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D8" w:rsidRDefault="00CF54D8">
      <w:bookmarkStart w:id="0" w:name="_GoBack"/>
      <w:bookmarkEnd w:id="0"/>
    </w:p>
    <w:p w:rsidR="00CF54D8" w:rsidRDefault="00CF54D8"/>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7371"/>
      </w:tblGrid>
      <w:tr w:rsidR="00840C70" w:rsidTr="00840C70">
        <w:trPr>
          <w:trHeight w:val="225"/>
        </w:trPr>
        <w:tc>
          <w:tcPr>
            <w:tcW w:w="10598" w:type="dxa"/>
            <w:gridSpan w:val="2"/>
            <w:tcBorders>
              <w:bottom w:val="single" w:sz="8" w:space="0" w:color="BFBFBF" w:themeColor="background1" w:themeShade="BF"/>
            </w:tcBorders>
          </w:tcPr>
          <w:p w:rsidR="00840C70" w:rsidRPr="00840C70" w:rsidRDefault="00840C70" w:rsidP="00840C70">
            <w:pPr>
              <w:spacing w:after="240"/>
              <w:jc w:val="center"/>
              <w:rPr>
                <w:rFonts w:ascii="Arial" w:hAnsi="Arial" w:cs="Arial"/>
                <w:b/>
                <w:sz w:val="32"/>
                <w:szCs w:val="32"/>
              </w:rPr>
            </w:pPr>
            <w:r>
              <w:rPr>
                <w:rFonts w:ascii="Arial" w:hAnsi="Arial" w:cs="Arial"/>
                <w:b/>
                <w:sz w:val="32"/>
                <w:szCs w:val="32"/>
              </w:rPr>
              <w:t>Insolvency Statistics – April to June 2014</w:t>
            </w:r>
            <w:r w:rsidR="00617B64">
              <w:rPr>
                <w:rFonts w:ascii="Arial" w:hAnsi="Arial" w:cs="Arial"/>
                <w:b/>
                <w:sz w:val="32"/>
                <w:szCs w:val="32"/>
              </w:rPr>
              <w:t xml:space="preserve"> (Q2 2014)</w:t>
            </w:r>
          </w:p>
        </w:tc>
      </w:tr>
      <w:tr w:rsidR="00563356" w:rsidTr="005040CF">
        <w:trPr>
          <w:trHeight w:val="11569"/>
        </w:trPr>
        <w:tc>
          <w:tcPr>
            <w:tcW w:w="3227" w:type="dxa"/>
            <w:tcBorders>
              <w:top w:val="single" w:sz="8" w:space="0" w:color="BFBFBF" w:themeColor="background1" w:themeShade="BF"/>
            </w:tcBorders>
          </w:tcPr>
          <w:p w:rsidR="00840C70" w:rsidRDefault="00840C70" w:rsidP="00840C70">
            <w:pPr>
              <w:rPr>
                <w:rFonts w:ascii="Arial" w:hAnsi="Arial" w:cs="Arial"/>
                <w:b/>
                <w:sz w:val="20"/>
                <w:szCs w:val="20"/>
              </w:rPr>
            </w:pPr>
          </w:p>
          <w:p w:rsidR="00563356" w:rsidRPr="002E7D5D" w:rsidRDefault="00601D39" w:rsidP="00274FD3">
            <w:pPr>
              <w:spacing w:after="60"/>
              <w:rPr>
                <w:rFonts w:ascii="Arial" w:hAnsi="Arial" w:cs="Arial"/>
                <w:sz w:val="20"/>
                <w:szCs w:val="20"/>
              </w:rPr>
            </w:pPr>
            <w:r w:rsidRPr="002E7D5D">
              <w:rPr>
                <w:rFonts w:ascii="Arial" w:hAnsi="Arial" w:cs="Arial"/>
                <w:b/>
                <w:sz w:val="20"/>
                <w:szCs w:val="20"/>
              </w:rPr>
              <w:t>Coverage</w:t>
            </w:r>
            <w:r w:rsidRPr="002E7D5D">
              <w:rPr>
                <w:rFonts w:ascii="Arial" w:hAnsi="Arial" w:cs="Arial"/>
                <w:b/>
                <w:sz w:val="20"/>
                <w:szCs w:val="20"/>
              </w:rPr>
              <w:br/>
            </w:r>
            <w:r w:rsidRPr="002E7D5D">
              <w:rPr>
                <w:rFonts w:ascii="Arial" w:hAnsi="Arial" w:cs="Arial"/>
                <w:sz w:val="20"/>
                <w:szCs w:val="20"/>
              </w:rPr>
              <w:t>England</w:t>
            </w:r>
            <w:r w:rsidR="00660C8F">
              <w:rPr>
                <w:rFonts w:ascii="Arial" w:hAnsi="Arial" w:cs="Arial"/>
                <w:sz w:val="20"/>
                <w:szCs w:val="20"/>
              </w:rPr>
              <w:t xml:space="preserve"> and </w:t>
            </w:r>
            <w:r w:rsidRPr="002E7D5D">
              <w:rPr>
                <w:rFonts w:ascii="Arial" w:hAnsi="Arial" w:cs="Arial"/>
                <w:sz w:val="20"/>
                <w:szCs w:val="20"/>
              </w:rPr>
              <w:t>Wales</w:t>
            </w:r>
            <w:r w:rsidRPr="002E7D5D">
              <w:rPr>
                <w:rFonts w:ascii="Arial" w:hAnsi="Arial" w:cs="Arial"/>
                <w:sz w:val="20"/>
                <w:szCs w:val="20"/>
              </w:rPr>
              <w:br/>
              <w:t>Scotland</w:t>
            </w:r>
            <w:r w:rsidRPr="002E7D5D">
              <w:rPr>
                <w:rFonts w:ascii="Arial" w:hAnsi="Arial" w:cs="Arial"/>
                <w:sz w:val="20"/>
                <w:szCs w:val="20"/>
              </w:rPr>
              <w:br/>
              <w:t>Northern Ireland</w:t>
            </w:r>
          </w:p>
          <w:p w:rsidR="002E7D5D" w:rsidRPr="002E7D5D" w:rsidRDefault="002E7D5D" w:rsidP="00274FD3">
            <w:pPr>
              <w:spacing w:after="60"/>
              <w:rPr>
                <w:rFonts w:ascii="Arial" w:hAnsi="Arial" w:cs="Arial"/>
                <w:b/>
                <w:sz w:val="20"/>
                <w:szCs w:val="20"/>
              </w:rPr>
            </w:pPr>
          </w:p>
          <w:p w:rsidR="002E7D5D" w:rsidRPr="002E7D5D" w:rsidRDefault="002E7D5D" w:rsidP="00274FD3">
            <w:pPr>
              <w:spacing w:after="60"/>
              <w:rPr>
                <w:rFonts w:ascii="Arial" w:hAnsi="Arial" w:cs="Arial"/>
                <w:b/>
                <w:sz w:val="20"/>
                <w:szCs w:val="20"/>
              </w:rPr>
            </w:pPr>
            <w:r w:rsidRPr="002E7D5D">
              <w:rPr>
                <w:rFonts w:ascii="Arial" w:hAnsi="Arial" w:cs="Arial"/>
                <w:b/>
                <w:sz w:val="20"/>
                <w:szCs w:val="20"/>
              </w:rPr>
              <w:t>Release date</w:t>
            </w:r>
          </w:p>
          <w:p w:rsidR="00C87B24" w:rsidRPr="002E7D5D" w:rsidRDefault="00512721" w:rsidP="00274FD3">
            <w:pPr>
              <w:spacing w:after="60"/>
              <w:rPr>
                <w:rFonts w:ascii="Arial" w:hAnsi="Arial" w:cs="Arial"/>
                <w:b/>
                <w:sz w:val="20"/>
                <w:szCs w:val="20"/>
              </w:rPr>
            </w:pPr>
            <w:r w:rsidRPr="002E7D5D">
              <w:rPr>
                <w:rFonts w:ascii="Arial" w:hAnsi="Arial" w:cs="Arial"/>
                <w:sz w:val="20"/>
                <w:szCs w:val="20"/>
              </w:rPr>
              <w:t xml:space="preserve">29 </w:t>
            </w:r>
            <w:r w:rsidR="00411F9B">
              <w:rPr>
                <w:rFonts w:ascii="Arial" w:hAnsi="Arial" w:cs="Arial"/>
                <w:sz w:val="20"/>
                <w:szCs w:val="20"/>
              </w:rPr>
              <w:t>July</w:t>
            </w:r>
            <w:r w:rsidRPr="002E7D5D">
              <w:rPr>
                <w:rFonts w:ascii="Arial" w:hAnsi="Arial" w:cs="Arial"/>
                <w:sz w:val="20"/>
                <w:szCs w:val="20"/>
              </w:rPr>
              <w:t xml:space="preserve"> 2014</w:t>
            </w:r>
          </w:p>
          <w:p w:rsidR="002E7D5D" w:rsidRPr="002E7D5D" w:rsidRDefault="002E7D5D" w:rsidP="00274FD3">
            <w:pPr>
              <w:spacing w:after="60"/>
              <w:rPr>
                <w:rFonts w:ascii="Arial" w:hAnsi="Arial" w:cs="Arial"/>
                <w:b/>
                <w:sz w:val="20"/>
                <w:szCs w:val="20"/>
              </w:rPr>
            </w:pPr>
          </w:p>
          <w:p w:rsidR="002E7D5D" w:rsidRPr="002E7D5D" w:rsidRDefault="00512721" w:rsidP="00274FD3">
            <w:pPr>
              <w:spacing w:after="60"/>
              <w:rPr>
                <w:rFonts w:ascii="Arial" w:hAnsi="Arial" w:cs="Arial"/>
                <w:b/>
                <w:sz w:val="20"/>
                <w:szCs w:val="20"/>
              </w:rPr>
            </w:pPr>
            <w:r w:rsidRPr="002E7D5D">
              <w:rPr>
                <w:rFonts w:ascii="Arial" w:hAnsi="Arial" w:cs="Arial"/>
                <w:b/>
                <w:sz w:val="20"/>
                <w:szCs w:val="20"/>
              </w:rPr>
              <w:t xml:space="preserve">Frequency of </w:t>
            </w:r>
            <w:r w:rsidR="002E7D5D" w:rsidRPr="002E7D5D">
              <w:rPr>
                <w:rFonts w:ascii="Arial" w:hAnsi="Arial" w:cs="Arial"/>
                <w:b/>
                <w:sz w:val="20"/>
                <w:szCs w:val="20"/>
              </w:rPr>
              <w:t>release</w:t>
            </w:r>
          </w:p>
          <w:p w:rsidR="00512721" w:rsidRPr="002E7D5D" w:rsidRDefault="00512721" w:rsidP="00274FD3">
            <w:pPr>
              <w:spacing w:after="60"/>
              <w:rPr>
                <w:rFonts w:ascii="Arial" w:hAnsi="Arial" w:cs="Arial"/>
                <w:sz w:val="20"/>
                <w:szCs w:val="20"/>
              </w:rPr>
            </w:pPr>
            <w:r w:rsidRPr="002E7D5D">
              <w:rPr>
                <w:rFonts w:ascii="Arial" w:hAnsi="Arial" w:cs="Arial"/>
                <w:sz w:val="20"/>
                <w:szCs w:val="20"/>
              </w:rPr>
              <w:t>Quarterly</w:t>
            </w:r>
          </w:p>
          <w:p w:rsidR="002E7D5D" w:rsidRPr="002E7D5D" w:rsidRDefault="002E7D5D" w:rsidP="00274FD3">
            <w:pPr>
              <w:spacing w:after="60"/>
              <w:rPr>
                <w:rFonts w:ascii="Arial" w:hAnsi="Arial" w:cs="Arial"/>
                <w:sz w:val="20"/>
                <w:szCs w:val="20"/>
              </w:rPr>
            </w:pPr>
          </w:p>
          <w:p w:rsidR="002E7D5D" w:rsidRPr="002E7D5D" w:rsidRDefault="002E7D5D" w:rsidP="00274FD3">
            <w:pPr>
              <w:spacing w:after="60"/>
              <w:rPr>
                <w:rFonts w:ascii="Arial" w:hAnsi="Arial" w:cs="Arial"/>
                <w:sz w:val="20"/>
                <w:szCs w:val="20"/>
              </w:rPr>
            </w:pPr>
            <w:r w:rsidRPr="002E7D5D">
              <w:rPr>
                <w:rFonts w:ascii="Arial" w:hAnsi="Arial" w:cs="Arial"/>
                <w:b/>
                <w:sz w:val="20"/>
                <w:szCs w:val="20"/>
              </w:rPr>
              <w:t>Next update</w:t>
            </w:r>
          </w:p>
          <w:p w:rsidR="002E7D5D" w:rsidRPr="002E7D5D" w:rsidRDefault="00411F9B" w:rsidP="00274FD3">
            <w:pPr>
              <w:spacing w:after="60"/>
              <w:rPr>
                <w:rFonts w:ascii="Arial" w:hAnsi="Arial" w:cs="Arial"/>
                <w:sz w:val="20"/>
                <w:szCs w:val="20"/>
              </w:rPr>
            </w:pPr>
            <w:r>
              <w:rPr>
                <w:rFonts w:ascii="Arial" w:hAnsi="Arial" w:cs="Arial"/>
                <w:sz w:val="20"/>
                <w:szCs w:val="20"/>
              </w:rPr>
              <w:t>29 October</w:t>
            </w:r>
            <w:r w:rsidR="002E7D5D" w:rsidRPr="002E7D5D">
              <w:rPr>
                <w:rFonts w:ascii="Arial" w:hAnsi="Arial" w:cs="Arial"/>
                <w:sz w:val="20"/>
                <w:szCs w:val="20"/>
              </w:rPr>
              <w:t xml:space="preserve"> 2014</w:t>
            </w:r>
          </w:p>
          <w:p w:rsidR="002E7D5D" w:rsidRPr="002E7D5D" w:rsidRDefault="002E7D5D" w:rsidP="00274FD3">
            <w:pPr>
              <w:spacing w:after="60"/>
              <w:rPr>
                <w:rFonts w:ascii="Arial" w:hAnsi="Arial" w:cs="Arial"/>
                <w:b/>
                <w:sz w:val="20"/>
                <w:szCs w:val="20"/>
              </w:rPr>
            </w:pPr>
          </w:p>
          <w:p w:rsidR="006E50ED" w:rsidRPr="00EF6233" w:rsidRDefault="006E50ED" w:rsidP="006E50ED">
            <w:pPr>
              <w:spacing w:after="60"/>
              <w:rPr>
                <w:rFonts w:ascii="Arial" w:hAnsi="Arial" w:cs="Arial"/>
                <w:b/>
                <w:sz w:val="20"/>
                <w:szCs w:val="20"/>
              </w:rPr>
            </w:pPr>
            <w:r w:rsidRPr="00EF6233">
              <w:rPr>
                <w:rFonts w:ascii="Arial" w:hAnsi="Arial" w:cs="Arial"/>
                <w:b/>
                <w:sz w:val="20"/>
                <w:szCs w:val="20"/>
              </w:rPr>
              <w:t>Media enquiries</w:t>
            </w:r>
          </w:p>
          <w:p w:rsidR="006E50ED" w:rsidRDefault="006E50ED" w:rsidP="006E50ED">
            <w:pPr>
              <w:spacing w:after="60"/>
              <w:rPr>
                <w:rFonts w:ascii="Arial" w:hAnsi="Arial" w:cs="Arial"/>
                <w:sz w:val="20"/>
                <w:szCs w:val="20"/>
              </w:rPr>
            </w:pPr>
            <w:r>
              <w:rPr>
                <w:rFonts w:ascii="Arial" w:hAnsi="Arial" w:cs="Arial"/>
                <w:sz w:val="20"/>
                <w:szCs w:val="20"/>
              </w:rPr>
              <w:t>Kathryn Montague</w:t>
            </w:r>
          </w:p>
          <w:p w:rsidR="006E50ED" w:rsidRDefault="006E50ED" w:rsidP="006E50ED">
            <w:pPr>
              <w:spacing w:after="60"/>
              <w:rPr>
                <w:rFonts w:ascii="Arial" w:hAnsi="Arial" w:cs="Arial"/>
                <w:sz w:val="20"/>
                <w:szCs w:val="20"/>
              </w:rPr>
            </w:pPr>
            <w:r w:rsidRPr="00274210">
              <w:rPr>
                <w:rFonts w:ascii="Arial" w:hAnsi="Arial" w:cs="Arial"/>
                <w:sz w:val="20"/>
                <w:szCs w:val="20"/>
              </w:rPr>
              <w:t>+44 (0)20 7674 6910</w:t>
            </w:r>
          </w:p>
          <w:p w:rsidR="006E50ED" w:rsidRDefault="006E50ED" w:rsidP="006E50ED">
            <w:pPr>
              <w:spacing w:after="60"/>
              <w:rPr>
                <w:rFonts w:ascii="Arial" w:hAnsi="Arial" w:cs="Arial"/>
                <w:sz w:val="20"/>
                <w:szCs w:val="20"/>
              </w:rPr>
            </w:pPr>
            <w:r>
              <w:rPr>
                <w:rFonts w:ascii="Arial" w:hAnsi="Arial" w:cs="Arial"/>
                <w:sz w:val="20"/>
                <w:szCs w:val="20"/>
              </w:rPr>
              <w:t xml:space="preserve">Ade </w:t>
            </w:r>
            <w:proofErr w:type="spellStart"/>
            <w:r>
              <w:rPr>
                <w:rFonts w:ascii="Arial" w:hAnsi="Arial" w:cs="Arial"/>
                <w:sz w:val="20"/>
                <w:szCs w:val="20"/>
              </w:rPr>
              <w:t>Daramy</w:t>
            </w:r>
            <w:proofErr w:type="spellEnd"/>
          </w:p>
          <w:p w:rsidR="002E7D5D" w:rsidRPr="002E7D5D" w:rsidRDefault="006E50ED" w:rsidP="00274FD3">
            <w:pPr>
              <w:spacing w:after="60"/>
              <w:rPr>
                <w:rFonts w:ascii="Arial" w:hAnsi="Arial" w:cs="Arial"/>
                <w:sz w:val="20"/>
                <w:szCs w:val="20"/>
              </w:rPr>
            </w:pPr>
            <w:r w:rsidRPr="00274210">
              <w:rPr>
                <w:rFonts w:ascii="Arial" w:hAnsi="Arial" w:cs="Arial"/>
                <w:sz w:val="20"/>
                <w:szCs w:val="20"/>
              </w:rPr>
              <w:t>+44 (0)20 7596 6187</w:t>
            </w:r>
          </w:p>
          <w:p w:rsidR="002E7D5D" w:rsidRPr="002E7D5D" w:rsidRDefault="002E7D5D" w:rsidP="00274FD3">
            <w:pPr>
              <w:spacing w:after="60"/>
              <w:rPr>
                <w:rFonts w:ascii="Arial" w:hAnsi="Arial" w:cs="Arial"/>
                <w:b/>
                <w:sz w:val="20"/>
                <w:szCs w:val="20"/>
              </w:rPr>
            </w:pPr>
          </w:p>
          <w:p w:rsidR="00512721" w:rsidRPr="002E7D5D" w:rsidRDefault="002E7D5D" w:rsidP="00274FD3">
            <w:pPr>
              <w:spacing w:after="60"/>
              <w:rPr>
                <w:rFonts w:ascii="Arial" w:hAnsi="Arial" w:cs="Arial"/>
                <w:b/>
                <w:sz w:val="20"/>
                <w:szCs w:val="20"/>
              </w:rPr>
            </w:pPr>
            <w:r w:rsidRPr="002E7D5D">
              <w:rPr>
                <w:rFonts w:ascii="Arial" w:hAnsi="Arial" w:cs="Arial"/>
                <w:b/>
                <w:sz w:val="20"/>
                <w:szCs w:val="20"/>
              </w:rPr>
              <w:t>Lead Statistician</w:t>
            </w:r>
          </w:p>
          <w:p w:rsidR="00274FD3" w:rsidRDefault="002E7D5D" w:rsidP="00274FD3">
            <w:pPr>
              <w:spacing w:after="60"/>
              <w:rPr>
                <w:rFonts w:ascii="Arial" w:hAnsi="Arial" w:cs="Arial"/>
                <w:bCs/>
                <w:noProof/>
                <w:sz w:val="20"/>
                <w:szCs w:val="20"/>
              </w:rPr>
            </w:pPr>
            <w:r w:rsidRPr="002E7D5D">
              <w:rPr>
                <w:rFonts w:ascii="Arial" w:hAnsi="Arial" w:cs="Arial"/>
                <w:bCs/>
                <w:noProof/>
                <w:sz w:val="20"/>
                <w:szCs w:val="20"/>
              </w:rPr>
              <w:t>John Perrett</w:t>
            </w:r>
          </w:p>
          <w:p w:rsidR="00274FD3" w:rsidRDefault="00AC1E8C" w:rsidP="00274FD3">
            <w:pPr>
              <w:spacing w:after="60"/>
              <w:rPr>
                <w:rFonts w:ascii="Arial" w:hAnsi="Arial" w:cs="Arial"/>
                <w:bCs/>
                <w:noProof/>
                <w:color w:val="0000FF"/>
                <w:sz w:val="20"/>
                <w:szCs w:val="20"/>
              </w:rPr>
            </w:pPr>
            <w:hyperlink r:id="rId9" w:history="1">
              <w:r w:rsidR="0017740D" w:rsidRPr="002E7D5D">
                <w:rPr>
                  <w:rStyle w:val="Hyperlink"/>
                  <w:rFonts w:ascii="Arial" w:hAnsi="Arial" w:cs="Arial"/>
                  <w:bCs/>
                  <w:noProof/>
                  <w:sz w:val="20"/>
                  <w:szCs w:val="20"/>
                </w:rPr>
                <w:t>statistics@insolvency.gsi.gov.uk</w:t>
              </w:r>
            </w:hyperlink>
          </w:p>
          <w:p w:rsidR="002E7D5D" w:rsidRPr="00274FD3" w:rsidRDefault="002E7D5D" w:rsidP="00274FD3">
            <w:pPr>
              <w:spacing w:after="60"/>
              <w:rPr>
                <w:rFonts w:ascii="Arial" w:hAnsi="Arial" w:cs="Arial"/>
                <w:bCs/>
                <w:noProof/>
                <w:sz w:val="20"/>
                <w:szCs w:val="20"/>
              </w:rPr>
            </w:pPr>
            <w:r w:rsidRPr="002E7D5D">
              <w:rPr>
                <w:rFonts w:ascii="Arial" w:hAnsi="Arial" w:cs="Arial"/>
                <w:sz w:val="20"/>
                <w:szCs w:val="20"/>
              </w:rPr>
              <w:t xml:space="preserve">020 7637 </w:t>
            </w:r>
            <w:r w:rsidR="00155F9D">
              <w:rPr>
                <w:rFonts w:ascii="Arial" w:hAnsi="Arial" w:cs="Arial"/>
                <w:sz w:val="20"/>
                <w:szCs w:val="20"/>
              </w:rPr>
              <w:t>6504</w:t>
            </w:r>
          </w:p>
          <w:p w:rsidR="002E7D5D" w:rsidRPr="002E7D5D" w:rsidRDefault="002E7D5D" w:rsidP="00274FD3">
            <w:pPr>
              <w:spacing w:after="60"/>
              <w:rPr>
                <w:rFonts w:ascii="Arial" w:hAnsi="Arial" w:cs="Arial"/>
                <w:sz w:val="20"/>
                <w:szCs w:val="20"/>
              </w:rPr>
            </w:pPr>
          </w:p>
          <w:p w:rsidR="00274FD3" w:rsidRDefault="002E7D5D" w:rsidP="00274FD3">
            <w:pPr>
              <w:spacing w:after="60"/>
              <w:rPr>
                <w:rFonts w:ascii="Arial" w:hAnsi="Arial" w:cs="Arial"/>
                <w:b/>
                <w:sz w:val="20"/>
                <w:szCs w:val="20"/>
              </w:rPr>
            </w:pPr>
            <w:r>
              <w:rPr>
                <w:rFonts w:ascii="Arial" w:hAnsi="Arial" w:cs="Arial"/>
                <w:b/>
                <w:sz w:val="20"/>
                <w:szCs w:val="20"/>
              </w:rPr>
              <w:t>Website</w:t>
            </w:r>
          </w:p>
          <w:p w:rsidR="00BD216B" w:rsidRPr="002E7D5D" w:rsidRDefault="00AC1E8C" w:rsidP="00274FD3">
            <w:pPr>
              <w:spacing w:after="60"/>
              <w:rPr>
                <w:rStyle w:val="Hyperlink"/>
                <w:rFonts w:ascii="Arial" w:hAnsi="Arial" w:cs="Arial"/>
                <w:sz w:val="20"/>
                <w:szCs w:val="20"/>
              </w:rPr>
            </w:pPr>
            <w:hyperlink r:id="rId10" w:history="1">
              <w:r w:rsidR="00446F12">
                <w:rPr>
                  <w:rStyle w:val="Hyperlink"/>
                  <w:rFonts w:ascii="Arial" w:hAnsi="Arial" w:cs="Arial"/>
                  <w:sz w:val="20"/>
                  <w:szCs w:val="20"/>
                </w:rPr>
                <w:t>https://www.gov.uk/government/collections/insolvency-service-official-statistics</w:t>
              </w:r>
            </w:hyperlink>
          </w:p>
          <w:p w:rsidR="002E7D5D" w:rsidRPr="002E7D5D" w:rsidRDefault="002E7D5D" w:rsidP="00274FD3">
            <w:pPr>
              <w:spacing w:after="60"/>
              <w:rPr>
                <w:rFonts w:ascii="Arial" w:hAnsi="Arial" w:cs="Arial"/>
                <w:b/>
                <w:sz w:val="20"/>
                <w:szCs w:val="20"/>
              </w:rPr>
            </w:pPr>
          </w:p>
          <w:p w:rsidR="002E7D5D" w:rsidRPr="002E7D5D" w:rsidRDefault="002E7D5D" w:rsidP="00274FD3">
            <w:pPr>
              <w:spacing w:after="60"/>
              <w:rPr>
                <w:rFonts w:ascii="Arial" w:hAnsi="Arial" w:cs="Arial"/>
                <w:b/>
                <w:sz w:val="20"/>
                <w:szCs w:val="20"/>
              </w:rPr>
            </w:pPr>
            <w:r w:rsidRPr="002E7D5D">
              <w:rPr>
                <w:rFonts w:ascii="Arial" w:hAnsi="Arial" w:cs="Arial"/>
                <w:b/>
                <w:sz w:val="20"/>
                <w:szCs w:val="20"/>
              </w:rPr>
              <w:t>Reference</w:t>
            </w:r>
          </w:p>
          <w:p w:rsidR="00BD216B" w:rsidRPr="00FD55AA" w:rsidRDefault="002E7D5D" w:rsidP="002D3A05">
            <w:pPr>
              <w:spacing w:after="60"/>
              <w:rPr>
                <w:rFonts w:ascii="Arial" w:hAnsi="Arial" w:cs="Arial"/>
                <w:b/>
                <w:sz w:val="20"/>
                <w:szCs w:val="20"/>
              </w:rPr>
            </w:pPr>
            <w:r w:rsidRPr="00AC1E8C">
              <w:rPr>
                <w:rFonts w:ascii="Arial" w:hAnsi="Arial" w:cs="Arial"/>
                <w:sz w:val="20"/>
                <w:szCs w:val="20"/>
              </w:rPr>
              <w:t>Ins</w:t>
            </w:r>
            <w:r w:rsidR="002D3A05" w:rsidRPr="00AC1E8C">
              <w:rPr>
                <w:rFonts w:ascii="Arial" w:hAnsi="Arial" w:cs="Arial"/>
                <w:sz w:val="20"/>
                <w:szCs w:val="20"/>
              </w:rPr>
              <w:t>14</w:t>
            </w:r>
            <w:r w:rsidRPr="00AC1E8C">
              <w:rPr>
                <w:rFonts w:ascii="Arial" w:hAnsi="Arial" w:cs="Arial"/>
                <w:sz w:val="20"/>
                <w:szCs w:val="20"/>
              </w:rPr>
              <w:t>/coms/0</w:t>
            </w:r>
            <w:r w:rsidR="002D3A05" w:rsidRPr="00AC1E8C">
              <w:rPr>
                <w:rFonts w:ascii="Arial" w:hAnsi="Arial" w:cs="Arial"/>
                <w:sz w:val="20"/>
                <w:szCs w:val="20"/>
              </w:rPr>
              <w:t>7</w:t>
            </w:r>
            <w:r w:rsidRPr="00AC1E8C">
              <w:rPr>
                <w:rFonts w:ascii="Arial" w:hAnsi="Arial" w:cs="Arial"/>
                <w:sz w:val="20"/>
                <w:szCs w:val="20"/>
              </w:rPr>
              <w:t>0</w:t>
            </w:r>
          </w:p>
        </w:tc>
        <w:tc>
          <w:tcPr>
            <w:tcW w:w="7371" w:type="dxa"/>
            <w:tcBorders>
              <w:top w:val="single" w:sz="8" w:space="0" w:color="BFBFBF" w:themeColor="background1" w:themeShade="BF"/>
            </w:tcBorders>
          </w:tcPr>
          <w:p w:rsidR="00D443E8" w:rsidRDefault="00D443E8" w:rsidP="00274FD3">
            <w:pPr>
              <w:rPr>
                <w:rFonts w:ascii="Arial" w:hAnsi="Arial" w:cs="Arial"/>
                <w:sz w:val="22"/>
                <w:szCs w:val="22"/>
              </w:rPr>
            </w:pPr>
          </w:p>
          <w:p w:rsidR="00274FD3" w:rsidRDefault="00274FD3" w:rsidP="00274FD3">
            <w:pPr>
              <w:rPr>
                <w:rFonts w:ascii="Arial" w:hAnsi="Arial" w:cs="Arial"/>
                <w:sz w:val="22"/>
                <w:szCs w:val="22"/>
              </w:rPr>
            </w:pPr>
            <w:r w:rsidRPr="00274FD3">
              <w:rPr>
                <w:rFonts w:ascii="Arial" w:hAnsi="Arial" w:cs="Arial"/>
                <w:sz w:val="22"/>
                <w:szCs w:val="22"/>
              </w:rPr>
              <w:t xml:space="preserve">This statistical release </w:t>
            </w:r>
            <w:r w:rsidR="00461033">
              <w:rPr>
                <w:rFonts w:ascii="Arial" w:hAnsi="Arial" w:cs="Arial"/>
                <w:sz w:val="22"/>
                <w:szCs w:val="22"/>
              </w:rPr>
              <w:t>contains</w:t>
            </w:r>
            <w:r w:rsidRPr="00274FD3">
              <w:rPr>
                <w:rFonts w:ascii="Arial" w:hAnsi="Arial" w:cs="Arial"/>
                <w:sz w:val="22"/>
                <w:szCs w:val="22"/>
              </w:rPr>
              <w:t xml:space="preserve"> the latest quarterly statistics on insolvenc</w:t>
            </w:r>
            <w:r w:rsidR="00461033">
              <w:rPr>
                <w:rFonts w:ascii="Arial" w:hAnsi="Arial" w:cs="Arial"/>
                <w:sz w:val="22"/>
                <w:szCs w:val="22"/>
              </w:rPr>
              <w:t>y</w:t>
            </w:r>
            <w:r w:rsidRPr="00274FD3">
              <w:rPr>
                <w:rFonts w:ascii="Arial" w:hAnsi="Arial" w:cs="Arial"/>
                <w:sz w:val="22"/>
                <w:szCs w:val="22"/>
              </w:rPr>
              <w:t xml:space="preserve"> in England and Wales</w:t>
            </w:r>
            <w:r w:rsidR="00461033">
              <w:rPr>
                <w:rFonts w:ascii="Arial" w:hAnsi="Arial" w:cs="Arial"/>
                <w:sz w:val="22"/>
                <w:szCs w:val="22"/>
              </w:rPr>
              <w:t>, both for companies (</w:t>
            </w:r>
            <w:r w:rsidR="00617B64">
              <w:rPr>
                <w:rFonts w:ascii="Arial" w:hAnsi="Arial" w:cs="Arial"/>
                <w:sz w:val="22"/>
                <w:szCs w:val="22"/>
              </w:rPr>
              <w:t>company</w:t>
            </w:r>
            <w:r w:rsidR="00617B64">
              <w:rPr>
                <w:rFonts w:ascii="Arial" w:hAnsi="Arial" w:cs="Arial"/>
                <w:sz w:val="22"/>
                <w:szCs w:val="22"/>
              </w:rPr>
              <w:t xml:space="preserve"> </w:t>
            </w:r>
            <w:r w:rsidR="00461033">
              <w:rPr>
                <w:rFonts w:ascii="Arial" w:hAnsi="Arial" w:cs="Arial"/>
                <w:sz w:val="22"/>
                <w:szCs w:val="22"/>
              </w:rPr>
              <w:t>insolvency) and for people (individual insolvency)</w:t>
            </w:r>
            <w:r w:rsidRPr="00274FD3">
              <w:rPr>
                <w:rFonts w:ascii="Arial" w:hAnsi="Arial" w:cs="Arial"/>
                <w:sz w:val="22"/>
                <w:szCs w:val="22"/>
              </w:rPr>
              <w:t>. It also includes related statistics for Scotland and Northern Ireland.</w:t>
            </w:r>
          </w:p>
          <w:p w:rsidR="00D443E8" w:rsidRDefault="00D443E8" w:rsidP="00274FD3">
            <w:pPr>
              <w:rPr>
                <w:rFonts w:ascii="Arial" w:hAnsi="Arial" w:cs="Arial"/>
                <w:sz w:val="22"/>
                <w:szCs w:val="22"/>
              </w:rPr>
            </w:pPr>
          </w:p>
          <w:p w:rsidR="00D443E8" w:rsidRPr="00274FD3" w:rsidRDefault="00D443E8" w:rsidP="00274FD3">
            <w:pPr>
              <w:rPr>
                <w:rFonts w:ascii="Arial" w:hAnsi="Arial" w:cs="Arial"/>
                <w:sz w:val="22"/>
                <w:szCs w:val="22"/>
              </w:rPr>
            </w:pPr>
          </w:p>
          <w:p w:rsidR="00D443E8" w:rsidRPr="00EF6233" w:rsidRDefault="00D443E8" w:rsidP="00D443E8">
            <w:pPr>
              <w:spacing w:after="240"/>
              <w:rPr>
                <w:rFonts w:ascii="Arial" w:hAnsi="Arial" w:cs="Arial"/>
                <w:b/>
                <w:sz w:val="28"/>
                <w:szCs w:val="22"/>
              </w:rPr>
            </w:pPr>
            <w:r>
              <w:rPr>
                <w:rFonts w:ascii="Arial" w:hAnsi="Arial" w:cs="Arial"/>
                <w:b/>
                <w:sz w:val="28"/>
                <w:szCs w:val="22"/>
              </w:rPr>
              <w:t>Key facts</w:t>
            </w:r>
          </w:p>
          <w:p w:rsidR="00D443E8" w:rsidRPr="008B4D6F" w:rsidRDefault="003A1BB2" w:rsidP="00D443E8">
            <w:pPr>
              <w:widowControl w:val="0"/>
              <w:rPr>
                <w:rFonts w:ascii="Arial" w:hAnsi="Arial" w:cs="Arial"/>
                <w:b/>
              </w:rPr>
            </w:pPr>
            <w:r w:rsidRPr="008B4D6F">
              <w:rPr>
                <w:rFonts w:ascii="Arial" w:hAnsi="Arial" w:cs="Arial"/>
                <w:b/>
              </w:rPr>
              <w:t>Companies</w:t>
            </w:r>
          </w:p>
          <w:p w:rsidR="003A1BB2" w:rsidRPr="00B15C5B" w:rsidRDefault="003A1BB2" w:rsidP="00D443E8">
            <w:pPr>
              <w:widowControl w:val="0"/>
              <w:rPr>
                <w:rFonts w:ascii="Arial" w:hAnsi="Arial" w:cs="Arial"/>
                <w:highlight w:val="yellow"/>
              </w:rPr>
            </w:pPr>
          </w:p>
          <w:p w:rsidR="00D443E8" w:rsidRDefault="003D5600" w:rsidP="00D443E8">
            <w:pPr>
              <w:pStyle w:val="ListParagraph"/>
              <w:widowControl w:val="0"/>
              <w:numPr>
                <w:ilvl w:val="0"/>
                <w:numId w:val="20"/>
              </w:numPr>
              <w:tabs>
                <w:tab w:val="left" w:pos="884"/>
              </w:tabs>
              <w:ind w:left="884"/>
              <w:rPr>
                <w:rFonts w:ascii="Arial" w:hAnsi="Arial" w:cs="Arial"/>
                <w:b/>
              </w:rPr>
            </w:pPr>
            <w:r>
              <w:rPr>
                <w:rFonts w:ascii="Arial" w:hAnsi="Arial" w:cs="Arial"/>
                <w:b/>
              </w:rPr>
              <w:t>The number of company liquidations in England and Wales decreased compared with April to June 2013</w:t>
            </w:r>
            <w:r w:rsidR="00D443E8">
              <w:rPr>
                <w:rFonts w:ascii="Arial" w:hAnsi="Arial" w:cs="Arial"/>
                <w:b/>
              </w:rPr>
              <w:t>.</w:t>
            </w:r>
          </w:p>
          <w:p w:rsidR="00D443E8" w:rsidRDefault="00D443E8" w:rsidP="00D443E8">
            <w:pPr>
              <w:pStyle w:val="ListParagraph"/>
              <w:widowControl w:val="0"/>
              <w:tabs>
                <w:tab w:val="left" w:pos="884"/>
              </w:tabs>
              <w:ind w:left="884"/>
              <w:rPr>
                <w:rFonts w:ascii="Arial" w:hAnsi="Arial" w:cs="Arial"/>
                <w:b/>
              </w:rPr>
            </w:pPr>
          </w:p>
          <w:p w:rsidR="00D443E8" w:rsidRDefault="00D443E8" w:rsidP="00D443E8">
            <w:pPr>
              <w:pStyle w:val="ListParagraph"/>
              <w:widowControl w:val="0"/>
              <w:tabs>
                <w:tab w:val="left" w:pos="884"/>
              </w:tabs>
              <w:ind w:left="884"/>
              <w:rPr>
                <w:rFonts w:ascii="Arial" w:hAnsi="Arial" w:cs="Arial"/>
                <w:b/>
              </w:rPr>
            </w:pPr>
          </w:p>
          <w:p w:rsidR="00D443E8" w:rsidRPr="00B15C5B" w:rsidRDefault="003D5600" w:rsidP="00D443E8">
            <w:pPr>
              <w:pStyle w:val="ListParagraph"/>
              <w:widowControl w:val="0"/>
              <w:numPr>
                <w:ilvl w:val="0"/>
                <w:numId w:val="20"/>
              </w:numPr>
              <w:tabs>
                <w:tab w:val="left" w:pos="884"/>
              </w:tabs>
              <w:ind w:left="884"/>
              <w:rPr>
                <w:rFonts w:ascii="Arial" w:hAnsi="Arial" w:cs="Arial"/>
                <w:b/>
              </w:rPr>
            </w:pPr>
            <w:r>
              <w:rPr>
                <w:rFonts w:ascii="Arial" w:hAnsi="Arial" w:cs="Arial"/>
                <w:b/>
              </w:rPr>
              <w:t>Administrations, company voluntary arrangements and receiverships were also lower than a year ago</w:t>
            </w:r>
            <w:r w:rsidR="00D443E8" w:rsidRPr="00B15C5B">
              <w:rPr>
                <w:rFonts w:ascii="Arial" w:hAnsi="Arial" w:cs="Arial"/>
                <w:b/>
              </w:rPr>
              <w:t>.</w:t>
            </w:r>
          </w:p>
          <w:p w:rsidR="00D443E8" w:rsidRDefault="00D443E8" w:rsidP="00D443E8">
            <w:pPr>
              <w:pStyle w:val="ListParagraph"/>
              <w:widowControl w:val="0"/>
              <w:ind w:left="884"/>
              <w:rPr>
                <w:rFonts w:ascii="Arial" w:hAnsi="Arial" w:cs="Arial"/>
                <w:b/>
              </w:rPr>
            </w:pPr>
          </w:p>
          <w:p w:rsidR="00D443E8" w:rsidRDefault="00D443E8" w:rsidP="008B4D6F">
            <w:pPr>
              <w:widowControl w:val="0"/>
              <w:rPr>
                <w:rFonts w:ascii="Arial" w:hAnsi="Arial" w:cs="Arial"/>
                <w:b/>
              </w:rPr>
            </w:pPr>
          </w:p>
          <w:p w:rsidR="003A1BB2" w:rsidRDefault="003A1BB2" w:rsidP="008B4D6F">
            <w:pPr>
              <w:widowControl w:val="0"/>
              <w:rPr>
                <w:rFonts w:ascii="Arial" w:hAnsi="Arial" w:cs="Arial"/>
                <w:b/>
              </w:rPr>
            </w:pPr>
            <w:r>
              <w:rPr>
                <w:rFonts w:ascii="Arial" w:hAnsi="Arial" w:cs="Arial"/>
                <w:b/>
              </w:rPr>
              <w:t>People</w:t>
            </w:r>
          </w:p>
          <w:p w:rsidR="003A1BB2" w:rsidRPr="008B4D6F" w:rsidRDefault="003A1BB2" w:rsidP="008B4D6F">
            <w:pPr>
              <w:widowControl w:val="0"/>
              <w:rPr>
                <w:rFonts w:ascii="Arial" w:hAnsi="Arial" w:cs="Arial"/>
                <w:b/>
              </w:rPr>
            </w:pPr>
          </w:p>
          <w:p w:rsidR="00D443E8" w:rsidRPr="00B15C5B" w:rsidRDefault="003D5600" w:rsidP="00D443E8">
            <w:pPr>
              <w:pStyle w:val="ListParagraph"/>
              <w:widowControl w:val="0"/>
              <w:numPr>
                <w:ilvl w:val="0"/>
                <w:numId w:val="20"/>
              </w:numPr>
              <w:tabs>
                <w:tab w:val="left" w:pos="884"/>
              </w:tabs>
              <w:ind w:left="884"/>
              <w:rPr>
                <w:rFonts w:ascii="Arial" w:hAnsi="Arial" w:cs="Arial"/>
                <w:b/>
              </w:rPr>
            </w:pPr>
            <w:r>
              <w:rPr>
                <w:rFonts w:ascii="Arial" w:hAnsi="Arial" w:cs="Arial"/>
                <w:b/>
              </w:rPr>
              <w:t xml:space="preserve">The number of people who became insolvent in England and Wales </w:t>
            </w:r>
            <w:r w:rsidR="003A1BB2">
              <w:rPr>
                <w:rFonts w:ascii="Arial" w:hAnsi="Arial" w:cs="Arial"/>
                <w:b/>
              </w:rPr>
              <w:t>increased compared with April to June 2013</w:t>
            </w:r>
            <w:r w:rsidR="00D443E8" w:rsidRPr="00B15C5B">
              <w:rPr>
                <w:rFonts w:ascii="Arial" w:hAnsi="Arial" w:cs="Arial"/>
                <w:b/>
              </w:rPr>
              <w:t>.</w:t>
            </w:r>
          </w:p>
          <w:p w:rsidR="00D443E8" w:rsidRDefault="00D443E8" w:rsidP="00D443E8">
            <w:pPr>
              <w:pStyle w:val="ListParagraph"/>
              <w:widowControl w:val="0"/>
              <w:ind w:left="884"/>
              <w:rPr>
                <w:rFonts w:ascii="Arial" w:hAnsi="Arial" w:cs="Arial"/>
                <w:b/>
              </w:rPr>
            </w:pPr>
          </w:p>
          <w:p w:rsidR="00D443E8" w:rsidRPr="00B15C5B" w:rsidRDefault="00D443E8" w:rsidP="00D443E8">
            <w:pPr>
              <w:pStyle w:val="ListParagraph"/>
              <w:widowControl w:val="0"/>
              <w:ind w:left="884"/>
              <w:rPr>
                <w:rFonts w:ascii="Arial" w:hAnsi="Arial" w:cs="Arial"/>
                <w:b/>
              </w:rPr>
            </w:pPr>
          </w:p>
          <w:p w:rsidR="00D443E8" w:rsidRDefault="003A1BB2" w:rsidP="00D443E8">
            <w:pPr>
              <w:pStyle w:val="ListParagraph"/>
              <w:widowControl w:val="0"/>
              <w:numPr>
                <w:ilvl w:val="0"/>
                <w:numId w:val="20"/>
              </w:numPr>
              <w:tabs>
                <w:tab w:val="left" w:pos="884"/>
              </w:tabs>
              <w:ind w:left="884"/>
              <w:rPr>
                <w:rFonts w:ascii="Arial" w:hAnsi="Arial" w:cs="Arial"/>
                <w:b/>
              </w:rPr>
            </w:pPr>
            <w:r>
              <w:rPr>
                <w:rFonts w:ascii="Arial" w:hAnsi="Arial" w:cs="Arial"/>
                <w:b/>
              </w:rPr>
              <w:t>This is because of an increase of one-fifth in the number of individual voluntary arrangements</w:t>
            </w:r>
            <w:r w:rsidR="00D443E8" w:rsidRPr="00B15C5B">
              <w:rPr>
                <w:rFonts w:ascii="Arial" w:hAnsi="Arial" w:cs="Arial"/>
                <w:b/>
              </w:rPr>
              <w:t>.</w:t>
            </w:r>
          </w:p>
          <w:p w:rsidR="003A1BB2" w:rsidRDefault="003A1BB2" w:rsidP="008B4D6F">
            <w:pPr>
              <w:pStyle w:val="ListParagraph"/>
              <w:widowControl w:val="0"/>
              <w:tabs>
                <w:tab w:val="left" w:pos="884"/>
              </w:tabs>
              <w:ind w:left="884"/>
              <w:rPr>
                <w:rFonts w:ascii="Arial" w:hAnsi="Arial" w:cs="Arial"/>
                <w:b/>
              </w:rPr>
            </w:pPr>
          </w:p>
          <w:p w:rsidR="003A1BB2" w:rsidRDefault="003A1BB2" w:rsidP="008B4D6F">
            <w:pPr>
              <w:pStyle w:val="ListParagraph"/>
              <w:widowControl w:val="0"/>
              <w:tabs>
                <w:tab w:val="left" w:pos="884"/>
              </w:tabs>
              <w:ind w:left="884"/>
              <w:rPr>
                <w:rFonts w:ascii="Arial" w:hAnsi="Arial" w:cs="Arial"/>
                <w:b/>
              </w:rPr>
            </w:pPr>
          </w:p>
          <w:p w:rsidR="003A1BB2" w:rsidRDefault="003A1BB2" w:rsidP="00D443E8">
            <w:pPr>
              <w:pStyle w:val="ListParagraph"/>
              <w:widowControl w:val="0"/>
              <w:numPr>
                <w:ilvl w:val="0"/>
                <w:numId w:val="20"/>
              </w:numPr>
              <w:tabs>
                <w:tab w:val="left" w:pos="884"/>
              </w:tabs>
              <w:ind w:left="884"/>
              <w:rPr>
                <w:rFonts w:ascii="Arial" w:hAnsi="Arial" w:cs="Arial"/>
                <w:b/>
              </w:rPr>
            </w:pPr>
            <w:r>
              <w:rPr>
                <w:rFonts w:ascii="Arial" w:hAnsi="Arial" w:cs="Arial"/>
                <w:b/>
              </w:rPr>
              <w:t>Bankruptcies and debt relief orders decreased.</w:t>
            </w:r>
          </w:p>
          <w:p w:rsidR="00F818CD" w:rsidRPr="00601D39" w:rsidRDefault="00F818CD" w:rsidP="002E7D5D">
            <w:pPr>
              <w:widowControl w:val="0"/>
              <w:rPr>
                <w:rFonts w:ascii="Arial" w:hAnsi="Arial" w:cs="Arial"/>
                <w:sz w:val="22"/>
                <w:szCs w:val="22"/>
                <w:u w:val="single"/>
              </w:rPr>
            </w:pPr>
          </w:p>
          <w:p w:rsidR="00155F9D" w:rsidRPr="00155F9D" w:rsidRDefault="00155F9D" w:rsidP="00155F9D">
            <w:pPr>
              <w:widowControl w:val="0"/>
              <w:rPr>
                <w:rFonts w:ascii="Arial" w:hAnsi="Arial" w:cs="Arial"/>
                <w:sz w:val="22"/>
                <w:szCs w:val="22"/>
              </w:rPr>
            </w:pPr>
          </w:p>
        </w:tc>
      </w:tr>
      <w:tr w:rsidR="00FD55AA" w:rsidRPr="00FD55AA" w:rsidTr="000076CB">
        <w:trPr>
          <w:trHeight w:val="1717"/>
        </w:trPr>
        <w:tc>
          <w:tcPr>
            <w:tcW w:w="10598" w:type="dxa"/>
            <w:gridSpan w:val="2"/>
            <w:shd w:val="clear" w:color="auto" w:fill="C6D9F1" w:themeFill="text2" w:themeFillTint="33"/>
          </w:tcPr>
          <w:p w:rsidR="00FD55AA" w:rsidRDefault="00FD55AA" w:rsidP="00FD55AA">
            <w:pPr>
              <w:spacing w:before="120" w:after="120"/>
              <w:rPr>
                <w:rFonts w:ascii="Arial" w:hAnsi="Arial" w:cs="Arial"/>
                <w:sz w:val="22"/>
                <w:szCs w:val="22"/>
              </w:rPr>
            </w:pPr>
            <w:r>
              <w:rPr>
                <w:rFonts w:ascii="Arial" w:hAnsi="Arial" w:cs="Arial"/>
                <w:b/>
                <w:sz w:val="22"/>
                <w:szCs w:val="22"/>
              </w:rPr>
              <w:t>Insolvency Statistics: your views on the new format</w:t>
            </w:r>
          </w:p>
          <w:p w:rsidR="00FD55AA" w:rsidRDefault="00FD55AA" w:rsidP="00FD55AA">
            <w:pPr>
              <w:spacing w:after="120"/>
              <w:rPr>
                <w:rFonts w:ascii="Arial" w:hAnsi="Arial" w:cs="Arial"/>
                <w:sz w:val="22"/>
                <w:szCs w:val="22"/>
              </w:rPr>
            </w:pPr>
            <w:r>
              <w:rPr>
                <w:rFonts w:ascii="Arial" w:hAnsi="Arial" w:cs="Arial"/>
                <w:sz w:val="22"/>
                <w:szCs w:val="22"/>
              </w:rPr>
              <w:t>The Insolvency Service has changed the presentation and commentary of these statistics, in response to feedback from users and in order to meet current standards for statistical publications.</w:t>
            </w:r>
          </w:p>
          <w:p w:rsidR="001F0B39" w:rsidRPr="00FD55AA" w:rsidRDefault="0038594F" w:rsidP="0038594F">
            <w:pPr>
              <w:spacing w:after="120"/>
              <w:rPr>
                <w:rFonts w:ascii="Arial" w:hAnsi="Arial" w:cs="Arial"/>
                <w:sz w:val="22"/>
                <w:szCs w:val="22"/>
              </w:rPr>
            </w:pPr>
            <w:r>
              <w:rPr>
                <w:rFonts w:ascii="Arial" w:hAnsi="Arial" w:cs="Arial"/>
                <w:sz w:val="22"/>
                <w:szCs w:val="22"/>
              </w:rPr>
              <w:t xml:space="preserve">Your feedback on all aspects of this release are important, to aid the process of continuous improvement. Please send comments to </w:t>
            </w:r>
            <w:hyperlink r:id="rId11" w:history="1">
              <w:r w:rsidRPr="00284646">
                <w:rPr>
                  <w:rStyle w:val="Hyperlink"/>
                  <w:rFonts w:ascii="Arial" w:hAnsi="Arial" w:cs="Arial"/>
                  <w:sz w:val="22"/>
                  <w:szCs w:val="22"/>
                </w:rPr>
                <w:t>statistics@insolvency.gsi.gov.uk</w:t>
              </w:r>
            </w:hyperlink>
            <w:r>
              <w:rPr>
                <w:rFonts w:ascii="Arial" w:hAnsi="Arial" w:cs="Arial"/>
                <w:sz w:val="22"/>
                <w:szCs w:val="22"/>
              </w:rPr>
              <w:t>.</w:t>
            </w:r>
          </w:p>
        </w:tc>
      </w:tr>
    </w:tbl>
    <w:p w:rsidR="00FD55AA" w:rsidRPr="00FD55AA" w:rsidRDefault="00FD55AA" w:rsidP="00222366">
      <w:pPr>
        <w:pageBreakBefore/>
        <w:spacing w:after="240" w:line="276" w:lineRule="auto"/>
        <w:rPr>
          <w:rFonts w:ascii="Arial" w:hAnsi="Arial" w:cs="Arial"/>
          <w:b/>
          <w:sz w:val="32"/>
          <w:szCs w:val="22"/>
        </w:rPr>
      </w:pPr>
      <w:r w:rsidRPr="00FD55AA">
        <w:rPr>
          <w:rFonts w:ascii="Arial" w:hAnsi="Arial" w:cs="Arial"/>
          <w:b/>
          <w:sz w:val="32"/>
          <w:szCs w:val="22"/>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
        <w:gridCol w:w="522"/>
        <w:gridCol w:w="7743"/>
        <w:gridCol w:w="1005"/>
      </w:tblGrid>
      <w:tr w:rsidR="0038594F" w:rsidRPr="00DA1265"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38594F" w:rsidP="00FD55AA">
            <w:pPr>
              <w:widowControl w:val="0"/>
              <w:rPr>
                <w:rFonts w:ascii="Arial" w:hAnsi="Arial" w:cs="Arial"/>
                <w:sz w:val="22"/>
                <w:szCs w:val="22"/>
              </w:rPr>
            </w:pPr>
          </w:p>
        </w:tc>
        <w:tc>
          <w:tcPr>
            <w:tcW w:w="7743" w:type="dxa"/>
          </w:tcPr>
          <w:p w:rsidR="0038594F" w:rsidRPr="00DA1265" w:rsidRDefault="0038594F" w:rsidP="00FD55AA">
            <w:pPr>
              <w:widowControl w:val="0"/>
              <w:rPr>
                <w:rFonts w:ascii="Arial" w:hAnsi="Arial" w:cs="Arial"/>
                <w:sz w:val="22"/>
                <w:szCs w:val="22"/>
              </w:rPr>
            </w:pPr>
          </w:p>
        </w:tc>
        <w:tc>
          <w:tcPr>
            <w:tcW w:w="1005" w:type="dxa"/>
          </w:tcPr>
          <w:p w:rsidR="0038594F" w:rsidRPr="00DA1265" w:rsidRDefault="0038594F" w:rsidP="00712F4C">
            <w:pPr>
              <w:widowControl w:val="0"/>
              <w:ind w:right="-108"/>
              <w:jc w:val="center"/>
              <w:rPr>
                <w:rFonts w:ascii="Arial" w:hAnsi="Arial" w:cs="Arial"/>
                <w:sz w:val="22"/>
                <w:szCs w:val="22"/>
              </w:rPr>
            </w:pPr>
            <w:r w:rsidRPr="00DA1265">
              <w:rPr>
                <w:rFonts w:ascii="Arial" w:hAnsi="Arial" w:cs="Arial"/>
                <w:sz w:val="22"/>
                <w:szCs w:val="22"/>
              </w:rPr>
              <w:t>Page</w:t>
            </w:r>
          </w:p>
        </w:tc>
      </w:tr>
      <w:tr w:rsidR="00DA1265" w:rsidRPr="00DA1265" w:rsidTr="00BB13FC">
        <w:tc>
          <w:tcPr>
            <w:tcW w:w="761" w:type="dxa"/>
          </w:tcPr>
          <w:p w:rsidR="00DA1265" w:rsidRPr="00DA1265" w:rsidRDefault="00DA1265" w:rsidP="00361B36">
            <w:pPr>
              <w:widowControl w:val="0"/>
              <w:rPr>
                <w:rFonts w:ascii="Arial" w:hAnsi="Arial" w:cs="Arial"/>
                <w:sz w:val="22"/>
                <w:szCs w:val="22"/>
              </w:rPr>
            </w:pPr>
            <w:r w:rsidRPr="00DA1265">
              <w:rPr>
                <w:rFonts w:ascii="Arial" w:hAnsi="Arial" w:cs="Arial"/>
                <w:sz w:val="22"/>
                <w:szCs w:val="22"/>
              </w:rPr>
              <w:t>1</w:t>
            </w:r>
          </w:p>
        </w:tc>
        <w:tc>
          <w:tcPr>
            <w:tcW w:w="8265" w:type="dxa"/>
            <w:gridSpan w:val="2"/>
          </w:tcPr>
          <w:p w:rsidR="00DA1265" w:rsidRPr="00DA1265" w:rsidRDefault="00DA1265" w:rsidP="00361B36">
            <w:pPr>
              <w:widowControl w:val="0"/>
              <w:rPr>
                <w:rFonts w:ascii="Arial" w:hAnsi="Arial" w:cs="Arial"/>
                <w:b/>
                <w:sz w:val="22"/>
                <w:szCs w:val="22"/>
              </w:rPr>
            </w:pPr>
            <w:r>
              <w:rPr>
                <w:rFonts w:ascii="Arial" w:hAnsi="Arial" w:cs="Arial"/>
                <w:b/>
                <w:sz w:val="22"/>
                <w:szCs w:val="22"/>
              </w:rPr>
              <w:t>Summary</w:t>
            </w:r>
          </w:p>
        </w:tc>
        <w:tc>
          <w:tcPr>
            <w:tcW w:w="1005" w:type="dxa"/>
          </w:tcPr>
          <w:p w:rsidR="00DA1265" w:rsidRPr="00DA1265" w:rsidRDefault="00DA1265" w:rsidP="00712F4C">
            <w:pPr>
              <w:widowControl w:val="0"/>
              <w:ind w:right="252"/>
              <w:jc w:val="right"/>
              <w:rPr>
                <w:rFonts w:ascii="Arial" w:hAnsi="Arial" w:cs="Arial"/>
                <w:sz w:val="22"/>
                <w:szCs w:val="22"/>
              </w:rPr>
            </w:pPr>
          </w:p>
        </w:tc>
      </w:tr>
      <w:tr w:rsidR="00222366" w:rsidRPr="00DA1265" w:rsidTr="00BB13FC">
        <w:tc>
          <w:tcPr>
            <w:tcW w:w="761" w:type="dxa"/>
          </w:tcPr>
          <w:p w:rsidR="00222366" w:rsidRPr="00DA1265" w:rsidRDefault="00222366" w:rsidP="00361B36">
            <w:pPr>
              <w:widowControl w:val="0"/>
              <w:rPr>
                <w:rFonts w:ascii="Arial" w:hAnsi="Arial" w:cs="Arial"/>
                <w:sz w:val="22"/>
                <w:szCs w:val="22"/>
              </w:rPr>
            </w:pPr>
          </w:p>
        </w:tc>
        <w:tc>
          <w:tcPr>
            <w:tcW w:w="522" w:type="dxa"/>
          </w:tcPr>
          <w:p w:rsidR="00222366" w:rsidRPr="00DA1265" w:rsidRDefault="00222366" w:rsidP="00361B36">
            <w:pPr>
              <w:widowControl w:val="0"/>
              <w:rPr>
                <w:rFonts w:ascii="Arial" w:hAnsi="Arial" w:cs="Arial"/>
                <w:sz w:val="22"/>
                <w:szCs w:val="22"/>
              </w:rPr>
            </w:pPr>
            <w:r>
              <w:rPr>
                <w:rFonts w:ascii="Arial" w:hAnsi="Arial" w:cs="Arial"/>
                <w:sz w:val="22"/>
                <w:szCs w:val="22"/>
              </w:rPr>
              <w:t>1.1</w:t>
            </w:r>
          </w:p>
        </w:tc>
        <w:tc>
          <w:tcPr>
            <w:tcW w:w="7743" w:type="dxa"/>
          </w:tcPr>
          <w:p w:rsidR="00222366" w:rsidRPr="00DA1265" w:rsidRDefault="00BB13FC" w:rsidP="00361B36">
            <w:pPr>
              <w:widowControl w:val="0"/>
              <w:rPr>
                <w:rFonts w:ascii="Arial" w:hAnsi="Arial" w:cs="Arial"/>
                <w:sz w:val="22"/>
                <w:szCs w:val="22"/>
              </w:rPr>
            </w:pPr>
            <w:r w:rsidRPr="00BB13FC">
              <w:rPr>
                <w:rFonts w:ascii="Arial" w:hAnsi="Arial" w:cs="Arial"/>
                <w:sz w:val="22"/>
                <w:szCs w:val="22"/>
              </w:rPr>
              <w:t>Company insolvency in England and Wales</w:t>
            </w:r>
          </w:p>
        </w:tc>
        <w:tc>
          <w:tcPr>
            <w:tcW w:w="1005" w:type="dxa"/>
          </w:tcPr>
          <w:p w:rsidR="00222366" w:rsidRPr="00DA1265" w:rsidRDefault="00712F4C" w:rsidP="00712F4C">
            <w:pPr>
              <w:widowControl w:val="0"/>
              <w:ind w:right="252"/>
              <w:jc w:val="right"/>
              <w:rPr>
                <w:rFonts w:ascii="Arial" w:hAnsi="Arial" w:cs="Arial"/>
                <w:sz w:val="22"/>
                <w:szCs w:val="22"/>
              </w:rPr>
            </w:pPr>
            <w:r>
              <w:rPr>
                <w:rFonts w:ascii="Arial" w:hAnsi="Arial" w:cs="Arial"/>
                <w:sz w:val="22"/>
                <w:szCs w:val="22"/>
              </w:rPr>
              <w:t>3</w:t>
            </w:r>
          </w:p>
        </w:tc>
      </w:tr>
      <w:tr w:rsidR="00BB13FC" w:rsidRPr="00DA1265" w:rsidTr="000B6473">
        <w:tc>
          <w:tcPr>
            <w:tcW w:w="761" w:type="dxa"/>
          </w:tcPr>
          <w:p w:rsidR="00BB13FC" w:rsidRPr="00DA1265" w:rsidRDefault="00BB13FC" w:rsidP="000B6473">
            <w:pPr>
              <w:widowControl w:val="0"/>
              <w:rPr>
                <w:rFonts w:ascii="Arial" w:hAnsi="Arial" w:cs="Arial"/>
                <w:sz w:val="22"/>
                <w:szCs w:val="22"/>
              </w:rPr>
            </w:pPr>
          </w:p>
        </w:tc>
        <w:tc>
          <w:tcPr>
            <w:tcW w:w="522" w:type="dxa"/>
          </w:tcPr>
          <w:p w:rsidR="00BB13FC" w:rsidRPr="00DA1265" w:rsidRDefault="00BB13FC" w:rsidP="000B6473">
            <w:pPr>
              <w:widowControl w:val="0"/>
              <w:rPr>
                <w:rFonts w:ascii="Arial" w:hAnsi="Arial" w:cs="Arial"/>
                <w:sz w:val="22"/>
                <w:szCs w:val="22"/>
              </w:rPr>
            </w:pPr>
            <w:r>
              <w:rPr>
                <w:rFonts w:ascii="Arial" w:hAnsi="Arial" w:cs="Arial"/>
                <w:sz w:val="22"/>
                <w:szCs w:val="22"/>
              </w:rPr>
              <w:t>1.2</w:t>
            </w:r>
          </w:p>
        </w:tc>
        <w:tc>
          <w:tcPr>
            <w:tcW w:w="7743" w:type="dxa"/>
          </w:tcPr>
          <w:p w:rsidR="00BB13FC" w:rsidRPr="00DA1265" w:rsidRDefault="008C36F3" w:rsidP="000B6473">
            <w:pPr>
              <w:widowControl w:val="0"/>
              <w:rPr>
                <w:rFonts w:ascii="Arial" w:hAnsi="Arial" w:cs="Arial"/>
                <w:sz w:val="22"/>
                <w:szCs w:val="22"/>
              </w:rPr>
            </w:pPr>
            <w:r w:rsidRPr="008C36F3">
              <w:rPr>
                <w:rFonts w:ascii="Arial" w:hAnsi="Arial" w:cs="Arial"/>
                <w:sz w:val="22"/>
                <w:szCs w:val="22"/>
              </w:rPr>
              <w:t>Individual insolvency in England and Wales</w:t>
            </w:r>
          </w:p>
        </w:tc>
        <w:tc>
          <w:tcPr>
            <w:tcW w:w="1005" w:type="dxa"/>
          </w:tcPr>
          <w:p w:rsidR="00BB13FC" w:rsidRPr="00DA1265" w:rsidRDefault="00D24073" w:rsidP="000B6473">
            <w:pPr>
              <w:widowControl w:val="0"/>
              <w:ind w:right="252"/>
              <w:jc w:val="right"/>
              <w:rPr>
                <w:rFonts w:ascii="Arial" w:hAnsi="Arial" w:cs="Arial"/>
                <w:sz w:val="22"/>
                <w:szCs w:val="22"/>
              </w:rPr>
            </w:pPr>
            <w:r>
              <w:rPr>
                <w:rFonts w:ascii="Arial" w:hAnsi="Arial" w:cs="Arial"/>
                <w:sz w:val="22"/>
                <w:szCs w:val="22"/>
              </w:rPr>
              <w:t>4</w:t>
            </w:r>
          </w:p>
        </w:tc>
      </w:tr>
      <w:tr w:rsidR="00222366" w:rsidRPr="00DA1265" w:rsidTr="00BB13FC">
        <w:tc>
          <w:tcPr>
            <w:tcW w:w="761" w:type="dxa"/>
          </w:tcPr>
          <w:p w:rsidR="00222366" w:rsidRPr="00DA1265" w:rsidRDefault="00222366" w:rsidP="00361B36">
            <w:pPr>
              <w:widowControl w:val="0"/>
              <w:rPr>
                <w:rFonts w:ascii="Arial" w:hAnsi="Arial" w:cs="Arial"/>
                <w:sz w:val="22"/>
                <w:szCs w:val="22"/>
              </w:rPr>
            </w:pPr>
          </w:p>
        </w:tc>
        <w:tc>
          <w:tcPr>
            <w:tcW w:w="522" w:type="dxa"/>
          </w:tcPr>
          <w:p w:rsidR="00222366" w:rsidRPr="00DA1265" w:rsidRDefault="00222366" w:rsidP="008C36F3">
            <w:pPr>
              <w:widowControl w:val="0"/>
              <w:rPr>
                <w:rFonts w:ascii="Arial" w:hAnsi="Arial" w:cs="Arial"/>
                <w:sz w:val="22"/>
                <w:szCs w:val="22"/>
              </w:rPr>
            </w:pPr>
            <w:r>
              <w:rPr>
                <w:rFonts w:ascii="Arial" w:hAnsi="Arial" w:cs="Arial"/>
                <w:sz w:val="22"/>
                <w:szCs w:val="22"/>
              </w:rPr>
              <w:t>1.</w:t>
            </w:r>
            <w:r w:rsidR="008C36F3">
              <w:rPr>
                <w:rFonts w:ascii="Arial" w:hAnsi="Arial" w:cs="Arial"/>
                <w:sz w:val="22"/>
                <w:szCs w:val="22"/>
              </w:rPr>
              <w:t>3</w:t>
            </w:r>
          </w:p>
        </w:tc>
        <w:tc>
          <w:tcPr>
            <w:tcW w:w="7743" w:type="dxa"/>
          </w:tcPr>
          <w:p w:rsidR="00222366" w:rsidRPr="00DA1265" w:rsidRDefault="00222366" w:rsidP="00361B36">
            <w:pPr>
              <w:widowControl w:val="0"/>
              <w:rPr>
                <w:rFonts w:ascii="Arial" w:hAnsi="Arial" w:cs="Arial"/>
                <w:sz w:val="22"/>
                <w:szCs w:val="22"/>
              </w:rPr>
            </w:pPr>
            <w:r>
              <w:rPr>
                <w:rFonts w:ascii="Arial" w:hAnsi="Arial" w:cs="Arial"/>
                <w:sz w:val="22"/>
                <w:szCs w:val="22"/>
              </w:rPr>
              <w:t>Summary tables</w:t>
            </w:r>
          </w:p>
        </w:tc>
        <w:tc>
          <w:tcPr>
            <w:tcW w:w="1005" w:type="dxa"/>
          </w:tcPr>
          <w:p w:rsidR="00222366" w:rsidRPr="00DA1265" w:rsidRDefault="00712F4C" w:rsidP="00712F4C">
            <w:pPr>
              <w:widowControl w:val="0"/>
              <w:ind w:right="252"/>
              <w:jc w:val="right"/>
              <w:rPr>
                <w:rFonts w:ascii="Arial" w:hAnsi="Arial" w:cs="Arial"/>
                <w:sz w:val="22"/>
                <w:szCs w:val="22"/>
              </w:rPr>
            </w:pPr>
            <w:r>
              <w:rPr>
                <w:rFonts w:ascii="Arial" w:hAnsi="Arial" w:cs="Arial"/>
                <w:sz w:val="22"/>
                <w:szCs w:val="22"/>
              </w:rPr>
              <w:t>5</w:t>
            </w:r>
          </w:p>
        </w:tc>
      </w:tr>
      <w:tr w:rsidR="00DA1265" w:rsidRPr="00DA1265" w:rsidTr="00BB13FC">
        <w:tc>
          <w:tcPr>
            <w:tcW w:w="761" w:type="dxa"/>
          </w:tcPr>
          <w:p w:rsidR="00DA1265" w:rsidRPr="00DA1265" w:rsidRDefault="00DA1265" w:rsidP="00361B36">
            <w:pPr>
              <w:widowControl w:val="0"/>
              <w:rPr>
                <w:rFonts w:ascii="Arial" w:hAnsi="Arial" w:cs="Arial"/>
                <w:sz w:val="22"/>
                <w:szCs w:val="22"/>
              </w:rPr>
            </w:pPr>
          </w:p>
        </w:tc>
        <w:tc>
          <w:tcPr>
            <w:tcW w:w="522" w:type="dxa"/>
          </w:tcPr>
          <w:p w:rsidR="00DA1265" w:rsidRPr="00DA1265" w:rsidRDefault="00DA1265" w:rsidP="00361B36">
            <w:pPr>
              <w:widowControl w:val="0"/>
              <w:rPr>
                <w:rFonts w:ascii="Arial" w:hAnsi="Arial" w:cs="Arial"/>
                <w:sz w:val="22"/>
                <w:szCs w:val="22"/>
              </w:rPr>
            </w:pPr>
          </w:p>
        </w:tc>
        <w:tc>
          <w:tcPr>
            <w:tcW w:w="7743" w:type="dxa"/>
          </w:tcPr>
          <w:p w:rsidR="00DA1265" w:rsidRPr="00DA1265" w:rsidRDefault="00DA1265" w:rsidP="00361B36">
            <w:pPr>
              <w:widowControl w:val="0"/>
              <w:rPr>
                <w:rFonts w:ascii="Arial" w:hAnsi="Arial" w:cs="Arial"/>
                <w:sz w:val="22"/>
                <w:szCs w:val="22"/>
              </w:rPr>
            </w:pPr>
          </w:p>
        </w:tc>
        <w:tc>
          <w:tcPr>
            <w:tcW w:w="1005" w:type="dxa"/>
          </w:tcPr>
          <w:p w:rsidR="00DA1265" w:rsidRPr="00DA1265" w:rsidRDefault="00DA1265" w:rsidP="00712F4C">
            <w:pPr>
              <w:widowControl w:val="0"/>
              <w:ind w:right="252"/>
              <w:jc w:val="right"/>
              <w:rPr>
                <w:rFonts w:ascii="Arial" w:hAnsi="Arial" w:cs="Arial"/>
                <w:sz w:val="22"/>
                <w:szCs w:val="22"/>
              </w:rPr>
            </w:pPr>
          </w:p>
        </w:tc>
      </w:tr>
      <w:tr w:rsidR="0038594F" w:rsidRPr="00DA1265" w:rsidTr="00BB13FC">
        <w:tc>
          <w:tcPr>
            <w:tcW w:w="761" w:type="dxa"/>
          </w:tcPr>
          <w:p w:rsidR="0038594F" w:rsidRPr="00DA1265" w:rsidRDefault="00DA1265" w:rsidP="00FD55AA">
            <w:pPr>
              <w:widowControl w:val="0"/>
              <w:rPr>
                <w:rFonts w:ascii="Arial" w:hAnsi="Arial" w:cs="Arial"/>
                <w:sz w:val="22"/>
                <w:szCs w:val="22"/>
              </w:rPr>
            </w:pPr>
            <w:r>
              <w:rPr>
                <w:rFonts w:ascii="Arial" w:hAnsi="Arial" w:cs="Arial"/>
                <w:sz w:val="22"/>
                <w:szCs w:val="22"/>
              </w:rPr>
              <w:t>2</w:t>
            </w:r>
          </w:p>
        </w:tc>
        <w:tc>
          <w:tcPr>
            <w:tcW w:w="8265" w:type="dxa"/>
            <w:gridSpan w:val="2"/>
          </w:tcPr>
          <w:p w:rsidR="0038594F" w:rsidRPr="00DA1265" w:rsidRDefault="0038594F" w:rsidP="00FD55AA">
            <w:pPr>
              <w:widowControl w:val="0"/>
              <w:rPr>
                <w:rFonts w:ascii="Arial" w:hAnsi="Arial" w:cs="Arial"/>
                <w:b/>
                <w:sz w:val="22"/>
                <w:szCs w:val="22"/>
              </w:rPr>
            </w:pPr>
            <w:r w:rsidRPr="00DA1265">
              <w:rPr>
                <w:rFonts w:ascii="Arial" w:hAnsi="Arial" w:cs="Arial"/>
                <w:b/>
                <w:sz w:val="22"/>
                <w:szCs w:val="22"/>
              </w:rPr>
              <w:t>Company insolvency in England and Wales</w:t>
            </w:r>
          </w:p>
        </w:tc>
        <w:tc>
          <w:tcPr>
            <w:tcW w:w="1005" w:type="dxa"/>
          </w:tcPr>
          <w:p w:rsidR="0038594F" w:rsidRPr="00DA1265" w:rsidRDefault="0038594F" w:rsidP="00712F4C">
            <w:pPr>
              <w:widowControl w:val="0"/>
              <w:ind w:right="252"/>
              <w:jc w:val="right"/>
              <w:rPr>
                <w:rFonts w:ascii="Arial" w:hAnsi="Arial" w:cs="Arial"/>
                <w:sz w:val="22"/>
                <w:szCs w:val="22"/>
              </w:rPr>
            </w:pPr>
          </w:p>
        </w:tc>
      </w:tr>
      <w:tr w:rsidR="0038594F" w:rsidRPr="00DA1265"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DA1265" w:rsidP="00FD55AA">
            <w:pPr>
              <w:widowControl w:val="0"/>
              <w:rPr>
                <w:rFonts w:ascii="Arial" w:hAnsi="Arial" w:cs="Arial"/>
                <w:sz w:val="22"/>
                <w:szCs w:val="22"/>
              </w:rPr>
            </w:pPr>
            <w:r>
              <w:rPr>
                <w:rFonts w:ascii="Arial" w:hAnsi="Arial" w:cs="Arial"/>
                <w:sz w:val="22"/>
                <w:szCs w:val="22"/>
              </w:rPr>
              <w:t>2.1</w:t>
            </w:r>
          </w:p>
        </w:tc>
        <w:tc>
          <w:tcPr>
            <w:tcW w:w="7743" w:type="dxa"/>
          </w:tcPr>
          <w:p w:rsidR="0038594F" w:rsidRPr="00DA1265" w:rsidRDefault="0038594F" w:rsidP="00FD55AA">
            <w:pPr>
              <w:widowControl w:val="0"/>
              <w:rPr>
                <w:rFonts w:ascii="Arial" w:hAnsi="Arial" w:cs="Arial"/>
                <w:sz w:val="22"/>
                <w:szCs w:val="22"/>
              </w:rPr>
            </w:pPr>
            <w:r w:rsidRPr="00DA1265">
              <w:rPr>
                <w:rFonts w:ascii="Arial" w:hAnsi="Arial" w:cs="Arial"/>
                <w:sz w:val="22"/>
                <w:szCs w:val="22"/>
              </w:rPr>
              <w:t>Company liquidations</w:t>
            </w:r>
          </w:p>
        </w:tc>
        <w:tc>
          <w:tcPr>
            <w:tcW w:w="1005" w:type="dxa"/>
          </w:tcPr>
          <w:p w:rsidR="0038594F" w:rsidRPr="00DA1265" w:rsidRDefault="00712F4C" w:rsidP="00712F4C">
            <w:pPr>
              <w:widowControl w:val="0"/>
              <w:ind w:right="252"/>
              <w:jc w:val="right"/>
              <w:rPr>
                <w:rFonts w:ascii="Arial" w:hAnsi="Arial" w:cs="Arial"/>
                <w:sz w:val="22"/>
                <w:szCs w:val="22"/>
              </w:rPr>
            </w:pPr>
            <w:r>
              <w:rPr>
                <w:rFonts w:ascii="Arial" w:hAnsi="Arial" w:cs="Arial"/>
                <w:sz w:val="22"/>
                <w:szCs w:val="22"/>
              </w:rPr>
              <w:t>6</w:t>
            </w:r>
          </w:p>
        </w:tc>
      </w:tr>
      <w:tr w:rsidR="0038594F" w:rsidRPr="00DA1265"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DA1265" w:rsidP="00FD55AA">
            <w:pPr>
              <w:widowControl w:val="0"/>
              <w:rPr>
                <w:rFonts w:ascii="Arial" w:hAnsi="Arial" w:cs="Arial"/>
                <w:sz w:val="22"/>
                <w:szCs w:val="22"/>
              </w:rPr>
            </w:pPr>
            <w:r>
              <w:rPr>
                <w:rFonts w:ascii="Arial" w:hAnsi="Arial" w:cs="Arial"/>
                <w:sz w:val="22"/>
                <w:szCs w:val="22"/>
              </w:rPr>
              <w:t>2.2</w:t>
            </w:r>
          </w:p>
        </w:tc>
        <w:tc>
          <w:tcPr>
            <w:tcW w:w="7743" w:type="dxa"/>
          </w:tcPr>
          <w:p w:rsidR="0038594F" w:rsidRPr="00DA1265" w:rsidRDefault="0038594F" w:rsidP="0038594F">
            <w:pPr>
              <w:widowControl w:val="0"/>
              <w:rPr>
                <w:rFonts w:ascii="Arial" w:hAnsi="Arial" w:cs="Arial"/>
                <w:sz w:val="22"/>
                <w:szCs w:val="22"/>
              </w:rPr>
            </w:pPr>
            <w:r w:rsidRPr="00DA1265">
              <w:rPr>
                <w:rFonts w:ascii="Arial" w:hAnsi="Arial" w:cs="Arial"/>
                <w:sz w:val="22"/>
                <w:szCs w:val="22"/>
              </w:rPr>
              <w:t>Administrations, company voluntary arrangements, and receiverships</w:t>
            </w:r>
          </w:p>
        </w:tc>
        <w:tc>
          <w:tcPr>
            <w:tcW w:w="1005" w:type="dxa"/>
          </w:tcPr>
          <w:p w:rsidR="0038594F" w:rsidRPr="00DA1265" w:rsidRDefault="00712F4C" w:rsidP="00712F4C">
            <w:pPr>
              <w:widowControl w:val="0"/>
              <w:ind w:right="252"/>
              <w:jc w:val="right"/>
              <w:rPr>
                <w:rFonts w:ascii="Arial" w:hAnsi="Arial" w:cs="Arial"/>
                <w:sz w:val="22"/>
                <w:szCs w:val="22"/>
              </w:rPr>
            </w:pPr>
            <w:r>
              <w:rPr>
                <w:rFonts w:ascii="Arial" w:hAnsi="Arial" w:cs="Arial"/>
                <w:sz w:val="22"/>
                <w:szCs w:val="22"/>
              </w:rPr>
              <w:t>9</w:t>
            </w:r>
          </w:p>
        </w:tc>
      </w:tr>
      <w:tr w:rsidR="0038594F" w:rsidRPr="00DA1265"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DA1265" w:rsidP="00FD55AA">
            <w:pPr>
              <w:widowControl w:val="0"/>
              <w:rPr>
                <w:rFonts w:ascii="Arial" w:hAnsi="Arial" w:cs="Arial"/>
                <w:sz w:val="22"/>
                <w:szCs w:val="22"/>
              </w:rPr>
            </w:pPr>
            <w:r>
              <w:rPr>
                <w:rFonts w:ascii="Arial" w:hAnsi="Arial" w:cs="Arial"/>
                <w:sz w:val="22"/>
                <w:szCs w:val="22"/>
              </w:rPr>
              <w:t>2.3</w:t>
            </w:r>
          </w:p>
        </w:tc>
        <w:tc>
          <w:tcPr>
            <w:tcW w:w="7743" w:type="dxa"/>
          </w:tcPr>
          <w:p w:rsidR="0038594F" w:rsidRPr="00DA1265" w:rsidRDefault="0038594F" w:rsidP="00FD55AA">
            <w:pPr>
              <w:widowControl w:val="0"/>
              <w:rPr>
                <w:rFonts w:ascii="Arial" w:hAnsi="Arial" w:cs="Arial"/>
                <w:sz w:val="22"/>
                <w:szCs w:val="22"/>
              </w:rPr>
            </w:pPr>
            <w:r w:rsidRPr="00DA1265">
              <w:rPr>
                <w:rFonts w:ascii="Arial" w:hAnsi="Arial" w:cs="Arial"/>
                <w:sz w:val="22"/>
                <w:szCs w:val="22"/>
              </w:rPr>
              <w:t>Experimental Statistics: company liquidations by industry</w:t>
            </w:r>
          </w:p>
        </w:tc>
        <w:tc>
          <w:tcPr>
            <w:tcW w:w="1005" w:type="dxa"/>
          </w:tcPr>
          <w:p w:rsidR="0038594F" w:rsidRPr="00DA1265" w:rsidRDefault="00712F4C" w:rsidP="00712F4C">
            <w:pPr>
              <w:widowControl w:val="0"/>
              <w:ind w:right="252"/>
              <w:jc w:val="right"/>
              <w:rPr>
                <w:rFonts w:ascii="Arial" w:hAnsi="Arial" w:cs="Arial"/>
                <w:sz w:val="22"/>
                <w:szCs w:val="22"/>
              </w:rPr>
            </w:pPr>
            <w:r>
              <w:rPr>
                <w:rFonts w:ascii="Arial" w:hAnsi="Arial" w:cs="Arial"/>
                <w:sz w:val="22"/>
                <w:szCs w:val="22"/>
              </w:rPr>
              <w:t>10</w:t>
            </w:r>
          </w:p>
        </w:tc>
      </w:tr>
      <w:tr w:rsidR="0038594F" w:rsidRPr="00DA1265"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38594F" w:rsidP="00FD55AA">
            <w:pPr>
              <w:widowControl w:val="0"/>
              <w:rPr>
                <w:rFonts w:ascii="Arial" w:hAnsi="Arial" w:cs="Arial"/>
                <w:sz w:val="22"/>
                <w:szCs w:val="22"/>
              </w:rPr>
            </w:pPr>
          </w:p>
        </w:tc>
        <w:tc>
          <w:tcPr>
            <w:tcW w:w="7743" w:type="dxa"/>
          </w:tcPr>
          <w:p w:rsidR="0038594F" w:rsidRPr="00DA1265" w:rsidRDefault="0038594F" w:rsidP="00FD55AA">
            <w:pPr>
              <w:widowControl w:val="0"/>
              <w:rPr>
                <w:rFonts w:ascii="Arial" w:hAnsi="Arial" w:cs="Arial"/>
                <w:sz w:val="22"/>
                <w:szCs w:val="22"/>
              </w:rPr>
            </w:pPr>
          </w:p>
        </w:tc>
        <w:tc>
          <w:tcPr>
            <w:tcW w:w="1005" w:type="dxa"/>
          </w:tcPr>
          <w:p w:rsidR="0038594F" w:rsidRPr="00DA1265" w:rsidRDefault="0038594F" w:rsidP="00712F4C">
            <w:pPr>
              <w:widowControl w:val="0"/>
              <w:ind w:right="252"/>
              <w:jc w:val="right"/>
              <w:rPr>
                <w:rFonts w:ascii="Arial" w:hAnsi="Arial" w:cs="Arial"/>
                <w:sz w:val="22"/>
                <w:szCs w:val="22"/>
              </w:rPr>
            </w:pPr>
          </w:p>
        </w:tc>
      </w:tr>
      <w:tr w:rsidR="0038594F" w:rsidRPr="00DA1265" w:rsidTr="00BB13FC">
        <w:tc>
          <w:tcPr>
            <w:tcW w:w="761" w:type="dxa"/>
          </w:tcPr>
          <w:p w:rsidR="0038594F" w:rsidRPr="00DA1265" w:rsidRDefault="00DA1265" w:rsidP="00FD55AA">
            <w:pPr>
              <w:widowControl w:val="0"/>
              <w:rPr>
                <w:rFonts w:ascii="Arial" w:hAnsi="Arial" w:cs="Arial"/>
                <w:sz w:val="22"/>
                <w:szCs w:val="22"/>
              </w:rPr>
            </w:pPr>
            <w:r>
              <w:rPr>
                <w:rFonts w:ascii="Arial" w:hAnsi="Arial" w:cs="Arial"/>
                <w:sz w:val="22"/>
                <w:szCs w:val="22"/>
              </w:rPr>
              <w:t>3</w:t>
            </w:r>
          </w:p>
        </w:tc>
        <w:tc>
          <w:tcPr>
            <w:tcW w:w="8265" w:type="dxa"/>
            <w:gridSpan w:val="2"/>
          </w:tcPr>
          <w:p w:rsidR="0038594F" w:rsidRPr="00DA1265" w:rsidRDefault="00461033" w:rsidP="00FD55AA">
            <w:pPr>
              <w:widowControl w:val="0"/>
              <w:rPr>
                <w:rFonts w:ascii="Arial" w:hAnsi="Arial" w:cs="Arial"/>
                <w:b/>
                <w:sz w:val="22"/>
                <w:szCs w:val="22"/>
              </w:rPr>
            </w:pPr>
            <w:r>
              <w:rPr>
                <w:rFonts w:ascii="Arial" w:hAnsi="Arial" w:cs="Arial"/>
                <w:b/>
                <w:sz w:val="22"/>
                <w:szCs w:val="22"/>
              </w:rPr>
              <w:t>Individual i</w:t>
            </w:r>
            <w:r w:rsidR="0038594F" w:rsidRPr="00DA1265">
              <w:rPr>
                <w:rFonts w:ascii="Arial" w:hAnsi="Arial" w:cs="Arial"/>
                <w:b/>
                <w:sz w:val="22"/>
                <w:szCs w:val="22"/>
              </w:rPr>
              <w:t>nsolvency in England and Wales</w:t>
            </w:r>
          </w:p>
        </w:tc>
        <w:tc>
          <w:tcPr>
            <w:tcW w:w="1005" w:type="dxa"/>
          </w:tcPr>
          <w:p w:rsidR="0038594F" w:rsidRPr="00DA1265" w:rsidRDefault="0038594F" w:rsidP="00712F4C">
            <w:pPr>
              <w:widowControl w:val="0"/>
              <w:ind w:right="252"/>
              <w:jc w:val="right"/>
              <w:rPr>
                <w:rFonts w:ascii="Arial" w:hAnsi="Arial" w:cs="Arial"/>
                <w:sz w:val="22"/>
                <w:szCs w:val="22"/>
              </w:rPr>
            </w:pPr>
          </w:p>
        </w:tc>
      </w:tr>
      <w:tr w:rsidR="0038594F" w:rsidRPr="00DA1265"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DA1265" w:rsidP="00FD55AA">
            <w:pPr>
              <w:widowControl w:val="0"/>
              <w:rPr>
                <w:rFonts w:ascii="Arial" w:hAnsi="Arial" w:cs="Arial"/>
                <w:sz w:val="22"/>
                <w:szCs w:val="22"/>
              </w:rPr>
            </w:pPr>
            <w:r>
              <w:rPr>
                <w:rFonts w:ascii="Arial" w:hAnsi="Arial" w:cs="Arial"/>
                <w:sz w:val="22"/>
                <w:szCs w:val="22"/>
              </w:rPr>
              <w:t>3.1</w:t>
            </w:r>
          </w:p>
        </w:tc>
        <w:tc>
          <w:tcPr>
            <w:tcW w:w="7743" w:type="dxa"/>
          </w:tcPr>
          <w:p w:rsidR="0038594F" w:rsidRPr="00DA1265" w:rsidRDefault="00B83AE5" w:rsidP="00B434F3">
            <w:pPr>
              <w:widowControl w:val="0"/>
              <w:rPr>
                <w:rFonts w:ascii="Arial" w:hAnsi="Arial" w:cs="Arial"/>
                <w:sz w:val="22"/>
                <w:szCs w:val="22"/>
              </w:rPr>
            </w:pPr>
            <w:r>
              <w:rPr>
                <w:rFonts w:ascii="Arial" w:hAnsi="Arial" w:cs="Arial"/>
                <w:sz w:val="22"/>
                <w:szCs w:val="22"/>
              </w:rPr>
              <w:t>Bankruptcies, debt relief orders and individual voluntary arrangements</w:t>
            </w:r>
          </w:p>
        </w:tc>
        <w:tc>
          <w:tcPr>
            <w:tcW w:w="1005" w:type="dxa"/>
          </w:tcPr>
          <w:p w:rsidR="0038594F" w:rsidRPr="00DA1265" w:rsidRDefault="00712F4C" w:rsidP="00712F4C">
            <w:pPr>
              <w:widowControl w:val="0"/>
              <w:ind w:right="252"/>
              <w:jc w:val="right"/>
              <w:rPr>
                <w:rFonts w:ascii="Arial" w:hAnsi="Arial" w:cs="Arial"/>
                <w:sz w:val="22"/>
                <w:szCs w:val="22"/>
              </w:rPr>
            </w:pPr>
            <w:r>
              <w:rPr>
                <w:rFonts w:ascii="Arial" w:hAnsi="Arial" w:cs="Arial"/>
                <w:sz w:val="22"/>
                <w:szCs w:val="22"/>
              </w:rPr>
              <w:t>12</w:t>
            </w:r>
          </w:p>
        </w:tc>
      </w:tr>
      <w:tr w:rsidR="0038594F" w:rsidRPr="00DA1265"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DA1265" w:rsidP="00FD55AA">
            <w:pPr>
              <w:widowControl w:val="0"/>
              <w:rPr>
                <w:rFonts w:ascii="Arial" w:hAnsi="Arial" w:cs="Arial"/>
                <w:sz w:val="22"/>
                <w:szCs w:val="22"/>
              </w:rPr>
            </w:pPr>
            <w:r>
              <w:rPr>
                <w:rFonts w:ascii="Arial" w:hAnsi="Arial" w:cs="Arial"/>
                <w:sz w:val="22"/>
                <w:szCs w:val="22"/>
              </w:rPr>
              <w:t>3.2</w:t>
            </w:r>
          </w:p>
        </w:tc>
        <w:tc>
          <w:tcPr>
            <w:tcW w:w="7743" w:type="dxa"/>
          </w:tcPr>
          <w:p w:rsidR="0038594F" w:rsidRPr="00DA1265" w:rsidRDefault="00DA1265" w:rsidP="00FD55AA">
            <w:pPr>
              <w:widowControl w:val="0"/>
              <w:rPr>
                <w:rFonts w:ascii="Arial" w:hAnsi="Arial" w:cs="Arial"/>
                <w:sz w:val="22"/>
                <w:szCs w:val="22"/>
              </w:rPr>
            </w:pPr>
            <w:r w:rsidRPr="00DA1265">
              <w:rPr>
                <w:rFonts w:ascii="Arial" w:hAnsi="Arial" w:cs="Arial"/>
                <w:sz w:val="22"/>
                <w:szCs w:val="22"/>
              </w:rPr>
              <w:t>Bankruptcies: petition type, trading status and income payment agreements</w:t>
            </w:r>
          </w:p>
        </w:tc>
        <w:tc>
          <w:tcPr>
            <w:tcW w:w="1005" w:type="dxa"/>
          </w:tcPr>
          <w:p w:rsidR="0038594F" w:rsidRPr="00DA1265" w:rsidRDefault="00712F4C" w:rsidP="00712F4C">
            <w:pPr>
              <w:widowControl w:val="0"/>
              <w:ind w:right="252"/>
              <w:jc w:val="right"/>
              <w:rPr>
                <w:rFonts w:ascii="Arial" w:hAnsi="Arial" w:cs="Arial"/>
                <w:sz w:val="22"/>
                <w:szCs w:val="22"/>
              </w:rPr>
            </w:pPr>
            <w:r>
              <w:rPr>
                <w:rFonts w:ascii="Arial" w:hAnsi="Arial" w:cs="Arial"/>
                <w:sz w:val="22"/>
                <w:szCs w:val="22"/>
              </w:rPr>
              <w:t>14</w:t>
            </w:r>
          </w:p>
        </w:tc>
      </w:tr>
      <w:tr w:rsidR="0038594F" w:rsidRPr="00DA1265"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38594F" w:rsidP="00FD55AA">
            <w:pPr>
              <w:widowControl w:val="0"/>
              <w:rPr>
                <w:rFonts w:ascii="Arial" w:hAnsi="Arial" w:cs="Arial"/>
                <w:sz w:val="22"/>
                <w:szCs w:val="22"/>
              </w:rPr>
            </w:pPr>
          </w:p>
        </w:tc>
        <w:tc>
          <w:tcPr>
            <w:tcW w:w="7743" w:type="dxa"/>
          </w:tcPr>
          <w:p w:rsidR="0038594F" w:rsidRPr="00DA1265" w:rsidRDefault="0038594F" w:rsidP="00FD55AA">
            <w:pPr>
              <w:widowControl w:val="0"/>
              <w:rPr>
                <w:rFonts w:ascii="Arial" w:hAnsi="Arial" w:cs="Arial"/>
                <w:sz w:val="22"/>
                <w:szCs w:val="22"/>
              </w:rPr>
            </w:pPr>
          </w:p>
        </w:tc>
        <w:tc>
          <w:tcPr>
            <w:tcW w:w="1005" w:type="dxa"/>
          </w:tcPr>
          <w:p w:rsidR="0038594F" w:rsidRPr="00DA1265" w:rsidRDefault="0038594F" w:rsidP="00712F4C">
            <w:pPr>
              <w:widowControl w:val="0"/>
              <w:ind w:right="252"/>
              <w:jc w:val="right"/>
              <w:rPr>
                <w:rFonts w:ascii="Arial" w:hAnsi="Arial" w:cs="Arial"/>
                <w:sz w:val="22"/>
                <w:szCs w:val="22"/>
              </w:rPr>
            </w:pPr>
          </w:p>
        </w:tc>
      </w:tr>
      <w:tr w:rsidR="00DA1265" w:rsidRPr="00DA1265" w:rsidTr="00BB13FC">
        <w:tc>
          <w:tcPr>
            <w:tcW w:w="761" w:type="dxa"/>
          </w:tcPr>
          <w:p w:rsidR="00DA1265" w:rsidRPr="00DA1265" w:rsidRDefault="00DA1265" w:rsidP="00FD55AA">
            <w:pPr>
              <w:widowControl w:val="0"/>
              <w:rPr>
                <w:rFonts w:ascii="Arial" w:hAnsi="Arial" w:cs="Arial"/>
                <w:sz w:val="22"/>
                <w:szCs w:val="22"/>
              </w:rPr>
            </w:pPr>
            <w:r>
              <w:rPr>
                <w:rFonts w:ascii="Arial" w:hAnsi="Arial" w:cs="Arial"/>
                <w:sz w:val="22"/>
                <w:szCs w:val="22"/>
              </w:rPr>
              <w:t>4</w:t>
            </w:r>
          </w:p>
        </w:tc>
        <w:tc>
          <w:tcPr>
            <w:tcW w:w="8265" w:type="dxa"/>
            <w:gridSpan w:val="2"/>
          </w:tcPr>
          <w:p w:rsidR="00DA1265" w:rsidRPr="00DA1265" w:rsidRDefault="00DA1265" w:rsidP="00361B36">
            <w:pPr>
              <w:rPr>
                <w:rFonts w:ascii="Arial" w:hAnsi="Arial" w:cs="Arial"/>
                <w:b/>
                <w:sz w:val="22"/>
                <w:szCs w:val="22"/>
              </w:rPr>
            </w:pPr>
            <w:r w:rsidRPr="00DA1265">
              <w:rPr>
                <w:rFonts w:ascii="Arial" w:hAnsi="Arial" w:cs="Arial"/>
                <w:b/>
                <w:sz w:val="22"/>
                <w:szCs w:val="22"/>
              </w:rPr>
              <w:t>Insolvency in Scotland</w:t>
            </w:r>
          </w:p>
        </w:tc>
        <w:tc>
          <w:tcPr>
            <w:tcW w:w="1005" w:type="dxa"/>
          </w:tcPr>
          <w:p w:rsidR="00DA1265" w:rsidRPr="00DA1265" w:rsidRDefault="00DA1265" w:rsidP="00712F4C">
            <w:pPr>
              <w:ind w:right="252"/>
              <w:jc w:val="right"/>
              <w:rPr>
                <w:rFonts w:ascii="Arial" w:hAnsi="Arial" w:cs="Arial"/>
                <w:sz w:val="22"/>
                <w:szCs w:val="22"/>
              </w:rPr>
            </w:pPr>
          </w:p>
        </w:tc>
      </w:tr>
      <w:tr w:rsidR="00DA1265" w:rsidRPr="00DA1265"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r>
              <w:rPr>
                <w:rFonts w:ascii="Arial" w:hAnsi="Arial" w:cs="Arial"/>
                <w:sz w:val="22"/>
                <w:szCs w:val="22"/>
              </w:rPr>
              <w:t>4.1</w:t>
            </w:r>
          </w:p>
        </w:tc>
        <w:tc>
          <w:tcPr>
            <w:tcW w:w="7743" w:type="dxa"/>
          </w:tcPr>
          <w:p w:rsidR="00DA1265" w:rsidRPr="00DA1265" w:rsidRDefault="00A0339B" w:rsidP="00361B36">
            <w:pPr>
              <w:rPr>
                <w:rFonts w:ascii="Arial" w:hAnsi="Arial" w:cs="Arial"/>
                <w:sz w:val="22"/>
                <w:szCs w:val="22"/>
              </w:rPr>
            </w:pPr>
            <w:r>
              <w:rPr>
                <w:rFonts w:ascii="Arial" w:hAnsi="Arial" w:cs="Arial"/>
                <w:sz w:val="22"/>
                <w:szCs w:val="22"/>
              </w:rPr>
              <w:t>Company insolvency</w:t>
            </w:r>
          </w:p>
        </w:tc>
        <w:tc>
          <w:tcPr>
            <w:tcW w:w="1005" w:type="dxa"/>
          </w:tcPr>
          <w:p w:rsidR="00DA1265" w:rsidRPr="00DA1265" w:rsidRDefault="00712F4C" w:rsidP="00712F4C">
            <w:pPr>
              <w:widowControl w:val="0"/>
              <w:ind w:right="252"/>
              <w:jc w:val="right"/>
              <w:rPr>
                <w:rFonts w:ascii="Arial" w:hAnsi="Arial" w:cs="Arial"/>
                <w:sz w:val="22"/>
                <w:szCs w:val="22"/>
              </w:rPr>
            </w:pPr>
            <w:r>
              <w:rPr>
                <w:rFonts w:ascii="Arial" w:hAnsi="Arial" w:cs="Arial"/>
                <w:sz w:val="22"/>
                <w:szCs w:val="22"/>
              </w:rPr>
              <w:t>17</w:t>
            </w:r>
          </w:p>
        </w:tc>
      </w:tr>
      <w:tr w:rsidR="00DA1265" w:rsidRPr="00DA1265"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r>
              <w:rPr>
                <w:rFonts w:ascii="Arial" w:hAnsi="Arial" w:cs="Arial"/>
                <w:sz w:val="22"/>
                <w:szCs w:val="22"/>
              </w:rPr>
              <w:t>4.2</w:t>
            </w:r>
          </w:p>
        </w:tc>
        <w:tc>
          <w:tcPr>
            <w:tcW w:w="7743" w:type="dxa"/>
          </w:tcPr>
          <w:p w:rsidR="00DA1265" w:rsidRPr="00DA1265" w:rsidRDefault="00A0339B" w:rsidP="00A0339B">
            <w:pPr>
              <w:rPr>
                <w:rFonts w:ascii="Arial" w:hAnsi="Arial" w:cs="Arial"/>
                <w:sz w:val="22"/>
                <w:szCs w:val="22"/>
              </w:rPr>
            </w:pPr>
            <w:r>
              <w:rPr>
                <w:rFonts w:ascii="Arial" w:hAnsi="Arial" w:cs="Arial"/>
                <w:sz w:val="22"/>
                <w:szCs w:val="22"/>
              </w:rPr>
              <w:t>Individual insolvency</w:t>
            </w:r>
          </w:p>
        </w:tc>
        <w:tc>
          <w:tcPr>
            <w:tcW w:w="1005" w:type="dxa"/>
          </w:tcPr>
          <w:p w:rsidR="00DA1265" w:rsidRPr="00DA1265" w:rsidRDefault="00712F4C" w:rsidP="00712F4C">
            <w:pPr>
              <w:widowControl w:val="0"/>
              <w:ind w:right="252"/>
              <w:jc w:val="right"/>
              <w:rPr>
                <w:rFonts w:ascii="Arial" w:hAnsi="Arial" w:cs="Arial"/>
                <w:sz w:val="22"/>
                <w:szCs w:val="22"/>
              </w:rPr>
            </w:pPr>
            <w:r>
              <w:rPr>
                <w:rFonts w:ascii="Arial" w:hAnsi="Arial" w:cs="Arial"/>
                <w:sz w:val="22"/>
                <w:szCs w:val="22"/>
              </w:rPr>
              <w:t>18</w:t>
            </w:r>
          </w:p>
        </w:tc>
      </w:tr>
      <w:tr w:rsidR="00DA1265" w:rsidRPr="00DA1265"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p>
        </w:tc>
        <w:tc>
          <w:tcPr>
            <w:tcW w:w="7743" w:type="dxa"/>
          </w:tcPr>
          <w:p w:rsidR="00DA1265" w:rsidRPr="00DA1265" w:rsidRDefault="00DA1265" w:rsidP="00361B36">
            <w:pPr>
              <w:rPr>
                <w:rFonts w:ascii="Arial" w:hAnsi="Arial" w:cs="Arial"/>
                <w:sz w:val="22"/>
                <w:szCs w:val="22"/>
              </w:rPr>
            </w:pPr>
          </w:p>
        </w:tc>
        <w:tc>
          <w:tcPr>
            <w:tcW w:w="1005" w:type="dxa"/>
          </w:tcPr>
          <w:p w:rsidR="00DA1265" w:rsidRPr="00DA1265" w:rsidRDefault="00DA1265" w:rsidP="00712F4C">
            <w:pPr>
              <w:widowControl w:val="0"/>
              <w:ind w:right="252"/>
              <w:jc w:val="right"/>
              <w:rPr>
                <w:rFonts w:ascii="Arial" w:hAnsi="Arial" w:cs="Arial"/>
                <w:sz w:val="22"/>
                <w:szCs w:val="22"/>
              </w:rPr>
            </w:pPr>
          </w:p>
        </w:tc>
      </w:tr>
      <w:tr w:rsidR="00DA1265" w:rsidRPr="00DA1265" w:rsidTr="00BB13FC">
        <w:tc>
          <w:tcPr>
            <w:tcW w:w="761" w:type="dxa"/>
          </w:tcPr>
          <w:p w:rsidR="00DA1265" w:rsidRPr="00DA1265" w:rsidRDefault="00DA1265" w:rsidP="00FD55AA">
            <w:pPr>
              <w:widowControl w:val="0"/>
              <w:rPr>
                <w:rFonts w:ascii="Arial" w:hAnsi="Arial" w:cs="Arial"/>
                <w:sz w:val="22"/>
                <w:szCs w:val="22"/>
              </w:rPr>
            </w:pPr>
            <w:r>
              <w:rPr>
                <w:rFonts w:ascii="Arial" w:hAnsi="Arial" w:cs="Arial"/>
                <w:sz w:val="22"/>
                <w:szCs w:val="22"/>
              </w:rPr>
              <w:t>5</w:t>
            </w:r>
          </w:p>
        </w:tc>
        <w:tc>
          <w:tcPr>
            <w:tcW w:w="8265" w:type="dxa"/>
            <w:gridSpan w:val="2"/>
          </w:tcPr>
          <w:p w:rsidR="00DA1265" w:rsidRPr="00DA1265" w:rsidRDefault="00DA1265" w:rsidP="00361B36">
            <w:pPr>
              <w:rPr>
                <w:rFonts w:ascii="Arial" w:hAnsi="Arial" w:cs="Arial"/>
                <w:b/>
                <w:sz w:val="22"/>
                <w:szCs w:val="22"/>
              </w:rPr>
            </w:pPr>
            <w:r w:rsidRPr="00DA1265">
              <w:rPr>
                <w:rFonts w:ascii="Arial" w:hAnsi="Arial" w:cs="Arial"/>
                <w:b/>
                <w:sz w:val="22"/>
                <w:szCs w:val="22"/>
              </w:rPr>
              <w:t>Insolvency in Northern Ireland</w:t>
            </w:r>
          </w:p>
        </w:tc>
        <w:tc>
          <w:tcPr>
            <w:tcW w:w="1005" w:type="dxa"/>
          </w:tcPr>
          <w:p w:rsidR="00DA1265" w:rsidRPr="00DA1265" w:rsidRDefault="00DA1265" w:rsidP="00712F4C">
            <w:pPr>
              <w:widowControl w:val="0"/>
              <w:ind w:right="252"/>
              <w:jc w:val="right"/>
              <w:rPr>
                <w:rFonts w:ascii="Arial" w:hAnsi="Arial" w:cs="Arial"/>
                <w:sz w:val="22"/>
                <w:szCs w:val="22"/>
              </w:rPr>
            </w:pPr>
          </w:p>
        </w:tc>
      </w:tr>
      <w:tr w:rsidR="00DA1265" w:rsidRPr="00DA1265"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r>
              <w:rPr>
                <w:rFonts w:ascii="Arial" w:hAnsi="Arial" w:cs="Arial"/>
                <w:sz w:val="22"/>
                <w:szCs w:val="22"/>
              </w:rPr>
              <w:t>5.1</w:t>
            </w:r>
          </w:p>
        </w:tc>
        <w:tc>
          <w:tcPr>
            <w:tcW w:w="7743" w:type="dxa"/>
          </w:tcPr>
          <w:p w:rsidR="00DA1265" w:rsidRPr="00DA1265" w:rsidRDefault="00DA1265" w:rsidP="00A0339B">
            <w:pPr>
              <w:rPr>
                <w:rFonts w:ascii="Arial" w:hAnsi="Arial" w:cs="Arial"/>
                <w:sz w:val="22"/>
                <w:szCs w:val="22"/>
              </w:rPr>
            </w:pPr>
            <w:r w:rsidRPr="00DA1265">
              <w:rPr>
                <w:rFonts w:ascii="Arial" w:hAnsi="Arial" w:cs="Arial"/>
                <w:sz w:val="22"/>
                <w:szCs w:val="22"/>
              </w:rPr>
              <w:t xml:space="preserve">Company </w:t>
            </w:r>
            <w:r w:rsidR="00B434F3">
              <w:rPr>
                <w:rFonts w:ascii="Arial" w:hAnsi="Arial" w:cs="Arial"/>
                <w:sz w:val="22"/>
                <w:szCs w:val="22"/>
              </w:rPr>
              <w:t>i</w:t>
            </w:r>
            <w:r w:rsidR="00A0339B">
              <w:rPr>
                <w:rFonts w:ascii="Arial" w:hAnsi="Arial" w:cs="Arial"/>
                <w:sz w:val="22"/>
                <w:szCs w:val="22"/>
              </w:rPr>
              <w:t>nsolvency</w:t>
            </w:r>
          </w:p>
        </w:tc>
        <w:tc>
          <w:tcPr>
            <w:tcW w:w="1005" w:type="dxa"/>
          </w:tcPr>
          <w:p w:rsidR="00DA1265" w:rsidRPr="00DA1265" w:rsidRDefault="00712F4C" w:rsidP="00712F4C">
            <w:pPr>
              <w:widowControl w:val="0"/>
              <w:ind w:right="252"/>
              <w:jc w:val="right"/>
              <w:rPr>
                <w:rFonts w:ascii="Arial" w:hAnsi="Arial" w:cs="Arial"/>
                <w:sz w:val="22"/>
                <w:szCs w:val="22"/>
              </w:rPr>
            </w:pPr>
            <w:r>
              <w:rPr>
                <w:rFonts w:ascii="Arial" w:hAnsi="Arial" w:cs="Arial"/>
                <w:sz w:val="22"/>
                <w:szCs w:val="22"/>
              </w:rPr>
              <w:t>19</w:t>
            </w:r>
          </w:p>
        </w:tc>
      </w:tr>
      <w:tr w:rsidR="00DA1265" w:rsidRPr="00DA1265"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r>
              <w:rPr>
                <w:rFonts w:ascii="Arial" w:hAnsi="Arial" w:cs="Arial"/>
                <w:sz w:val="22"/>
                <w:szCs w:val="22"/>
              </w:rPr>
              <w:t>5.2</w:t>
            </w:r>
          </w:p>
        </w:tc>
        <w:tc>
          <w:tcPr>
            <w:tcW w:w="7743" w:type="dxa"/>
          </w:tcPr>
          <w:p w:rsidR="00DA1265" w:rsidRPr="00DA1265" w:rsidRDefault="00B434F3" w:rsidP="00A0339B">
            <w:pPr>
              <w:rPr>
                <w:rFonts w:ascii="Arial" w:hAnsi="Arial" w:cs="Arial"/>
                <w:sz w:val="22"/>
                <w:szCs w:val="22"/>
              </w:rPr>
            </w:pPr>
            <w:r>
              <w:rPr>
                <w:rFonts w:ascii="Arial" w:hAnsi="Arial" w:cs="Arial"/>
                <w:sz w:val="22"/>
                <w:szCs w:val="22"/>
              </w:rPr>
              <w:t>Individual i</w:t>
            </w:r>
            <w:r w:rsidR="00A0339B">
              <w:rPr>
                <w:rFonts w:ascii="Arial" w:hAnsi="Arial" w:cs="Arial"/>
                <w:sz w:val="22"/>
                <w:szCs w:val="22"/>
              </w:rPr>
              <w:t>nsolvency</w:t>
            </w:r>
          </w:p>
        </w:tc>
        <w:tc>
          <w:tcPr>
            <w:tcW w:w="1005" w:type="dxa"/>
          </w:tcPr>
          <w:p w:rsidR="00DA1265" w:rsidRPr="00DA1265" w:rsidRDefault="00712F4C" w:rsidP="00712F4C">
            <w:pPr>
              <w:widowControl w:val="0"/>
              <w:ind w:right="252"/>
              <w:jc w:val="right"/>
              <w:rPr>
                <w:rFonts w:ascii="Arial" w:hAnsi="Arial" w:cs="Arial"/>
                <w:sz w:val="22"/>
                <w:szCs w:val="22"/>
              </w:rPr>
            </w:pPr>
            <w:r>
              <w:rPr>
                <w:rFonts w:ascii="Arial" w:hAnsi="Arial" w:cs="Arial"/>
                <w:sz w:val="22"/>
                <w:szCs w:val="22"/>
              </w:rPr>
              <w:t>20</w:t>
            </w:r>
          </w:p>
        </w:tc>
      </w:tr>
      <w:tr w:rsidR="00DA1265" w:rsidRPr="00DA1265"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p>
        </w:tc>
        <w:tc>
          <w:tcPr>
            <w:tcW w:w="7743" w:type="dxa"/>
          </w:tcPr>
          <w:p w:rsidR="00DA1265" w:rsidRPr="00DA1265" w:rsidRDefault="00DA1265" w:rsidP="00361B36">
            <w:pPr>
              <w:rPr>
                <w:rFonts w:ascii="Arial" w:hAnsi="Arial" w:cs="Arial"/>
                <w:sz w:val="22"/>
                <w:szCs w:val="22"/>
              </w:rPr>
            </w:pPr>
          </w:p>
        </w:tc>
        <w:tc>
          <w:tcPr>
            <w:tcW w:w="1005" w:type="dxa"/>
          </w:tcPr>
          <w:p w:rsidR="00DA1265" w:rsidRPr="00DA1265" w:rsidRDefault="00DA1265" w:rsidP="00712F4C">
            <w:pPr>
              <w:widowControl w:val="0"/>
              <w:ind w:right="252"/>
              <w:jc w:val="right"/>
              <w:rPr>
                <w:rFonts w:ascii="Arial" w:hAnsi="Arial" w:cs="Arial"/>
                <w:sz w:val="22"/>
                <w:szCs w:val="22"/>
              </w:rPr>
            </w:pPr>
          </w:p>
        </w:tc>
      </w:tr>
      <w:tr w:rsidR="00DA1265" w:rsidRPr="00DA1265" w:rsidTr="00BB13FC">
        <w:tc>
          <w:tcPr>
            <w:tcW w:w="761" w:type="dxa"/>
          </w:tcPr>
          <w:p w:rsidR="00DA1265" w:rsidRPr="00DA1265" w:rsidRDefault="00DA1265" w:rsidP="00361B36">
            <w:pPr>
              <w:widowControl w:val="0"/>
              <w:rPr>
                <w:rFonts w:ascii="Arial" w:hAnsi="Arial" w:cs="Arial"/>
                <w:sz w:val="22"/>
                <w:szCs w:val="22"/>
              </w:rPr>
            </w:pPr>
            <w:r>
              <w:rPr>
                <w:rFonts w:ascii="Arial" w:hAnsi="Arial" w:cs="Arial"/>
                <w:sz w:val="22"/>
                <w:szCs w:val="22"/>
              </w:rPr>
              <w:t>6</w:t>
            </w:r>
          </w:p>
        </w:tc>
        <w:tc>
          <w:tcPr>
            <w:tcW w:w="8265" w:type="dxa"/>
            <w:gridSpan w:val="2"/>
          </w:tcPr>
          <w:p w:rsidR="00DA1265" w:rsidRPr="00DA1265" w:rsidRDefault="00DA1265" w:rsidP="00361B36">
            <w:pPr>
              <w:rPr>
                <w:rFonts w:ascii="Arial" w:hAnsi="Arial" w:cs="Arial"/>
                <w:b/>
                <w:sz w:val="22"/>
                <w:szCs w:val="22"/>
              </w:rPr>
            </w:pPr>
            <w:r>
              <w:rPr>
                <w:rFonts w:ascii="Arial" w:hAnsi="Arial" w:cs="Arial"/>
                <w:b/>
                <w:sz w:val="22"/>
                <w:szCs w:val="22"/>
              </w:rPr>
              <w:t>Background notes</w:t>
            </w:r>
          </w:p>
        </w:tc>
        <w:tc>
          <w:tcPr>
            <w:tcW w:w="1005" w:type="dxa"/>
          </w:tcPr>
          <w:p w:rsidR="00DA1265" w:rsidRPr="00DA1265" w:rsidRDefault="00446F12" w:rsidP="00712F4C">
            <w:pPr>
              <w:widowControl w:val="0"/>
              <w:ind w:right="252"/>
              <w:jc w:val="right"/>
              <w:rPr>
                <w:rFonts w:ascii="Arial" w:hAnsi="Arial" w:cs="Arial"/>
                <w:sz w:val="22"/>
                <w:szCs w:val="22"/>
              </w:rPr>
            </w:pPr>
            <w:r>
              <w:rPr>
                <w:rFonts w:ascii="Arial" w:hAnsi="Arial" w:cs="Arial"/>
                <w:sz w:val="22"/>
                <w:szCs w:val="22"/>
              </w:rPr>
              <w:t>21</w:t>
            </w:r>
          </w:p>
        </w:tc>
      </w:tr>
      <w:tr w:rsidR="00DA1265" w:rsidRPr="00DA1265"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p>
        </w:tc>
        <w:tc>
          <w:tcPr>
            <w:tcW w:w="7743" w:type="dxa"/>
          </w:tcPr>
          <w:p w:rsidR="00DA1265" w:rsidRPr="00DA1265" w:rsidRDefault="00DA1265" w:rsidP="00361B36">
            <w:pPr>
              <w:rPr>
                <w:rFonts w:ascii="Arial" w:hAnsi="Arial" w:cs="Arial"/>
                <w:sz w:val="22"/>
                <w:szCs w:val="22"/>
              </w:rPr>
            </w:pPr>
          </w:p>
        </w:tc>
        <w:tc>
          <w:tcPr>
            <w:tcW w:w="1005" w:type="dxa"/>
          </w:tcPr>
          <w:p w:rsidR="00DA1265" w:rsidRPr="00DA1265" w:rsidRDefault="00DA1265" w:rsidP="00712F4C">
            <w:pPr>
              <w:widowControl w:val="0"/>
              <w:ind w:right="252"/>
              <w:jc w:val="right"/>
              <w:rPr>
                <w:rFonts w:ascii="Arial" w:hAnsi="Arial" w:cs="Arial"/>
                <w:sz w:val="22"/>
                <w:szCs w:val="22"/>
              </w:rPr>
            </w:pPr>
          </w:p>
        </w:tc>
      </w:tr>
    </w:tbl>
    <w:p w:rsidR="0038594F" w:rsidRDefault="0038594F" w:rsidP="00FD55AA">
      <w:pPr>
        <w:widowControl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180"/>
        <w:gridCol w:w="5526"/>
      </w:tblGrid>
      <w:tr w:rsidR="00BA16B8" w:rsidTr="000076CB">
        <w:tc>
          <w:tcPr>
            <w:tcW w:w="10706" w:type="dxa"/>
            <w:gridSpan w:val="2"/>
            <w:shd w:val="clear" w:color="auto" w:fill="C6D9F1" w:themeFill="text2" w:themeFillTint="33"/>
          </w:tcPr>
          <w:p w:rsidR="00BA16B8" w:rsidRPr="00BA16B8" w:rsidRDefault="00BA16B8" w:rsidP="00BA16B8">
            <w:pPr>
              <w:spacing w:before="120" w:after="120"/>
              <w:rPr>
                <w:rFonts w:ascii="Arial" w:hAnsi="Arial" w:cs="Arial"/>
                <w:b/>
                <w:sz w:val="22"/>
                <w:szCs w:val="22"/>
              </w:rPr>
            </w:pPr>
            <w:r>
              <w:rPr>
                <w:rFonts w:ascii="Arial" w:hAnsi="Arial" w:cs="Arial"/>
                <w:b/>
                <w:sz w:val="22"/>
                <w:szCs w:val="22"/>
              </w:rPr>
              <w:t>What is seasonal adjustment, and why has it been applied to these statistics?</w:t>
            </w:r>
          </w:p>
        </w:tc>
      </w:tr>
      <w:tr w:rsidR="00BA16B8" w:rsidTr="000076CB">
        <w:tc>
          <w:tcPr>
            <w:tcW w:w="5180" w:type="dxa"/>
            <w:shd w:val="clear" w:color="auto" w:fill="C6D9F1" w:themeFill="text2" w:themeFillTint="33"/>
          </w:tcPr>
          <w:p w:rsidR="00BA16B8" w:rsidRDefault="00BA16B8" w:rsidP="00461033">
            <w:pPr>
              <w:spacing w:after="120"/>
              <w:rPr>
                <w:rFonts w:ascii="Arial" w:hAnsi="Arial" w:cs="Arial"/>
                <w:sz w:val="22"/>
                <w:szCs w:val="22"/>
              </w:rPr>
            </w:pPr>
            <w:r>
              <w:rPr>
                <w:rFonts w:ascii="Arial" w:hAnsi="Arial" w:cs="Arial"/>
                <w:sz w:val="22"/>
                <w:szCs w:val="22"/>
              </w:rPr>
              <w:t>Seasonal a</w:t>
            </w:r>
            <w:r w:rsidRPr="00461033">
              <w:rPr>
                <w:rFonts w:ascii="Arial" w:hAnsi="Arial" w:cs="Arial"/>
                <w:sz w:val="22"/>
                <w:szCs w:val="22"/>
              </w:rPr>
              <w:t xml:space="preserve">djustment </w:t>
            </w:r>
            <w:r w:rsidR="00840C70">
              <w:rPr>
                <w:rFonts w:ascii="Arial" w:hAnsi="Arial" w:cs="Arial"/>
                <w:sz w:val="22"/>
                <w:szCs w:val="22"/>
              </w:rPr>
              <w:t xml:space="preserve">has been used in the </w:t>
            </w:r>
            <w:r w:rsidR="00840C70">
              <w:rPr>
                <w:rFonts w:ascii="Arial" w:hAnsi="Arial" w:cs="Arial"/>
                <w:i/>
                <w:sz w:val="22"/>
                <w:szCs w:val="22"/>
              </w:rPr>
              <w:t xml:space="preserve">Insolvency </w:t>
            </w:r>
            <w:r w:rsidR="00840C70" w:rsidRPr="00840C70">
              <w:rPr>
                <w:rFonts w:ascii="Arial" w:hAnsi="Arial" w:cs="Arial"/>
                <w:i/>
                <w:sz w:val="22"/>
                <w:szCs w:val="22"/>
              </w:rPr>
              <w:t>Statistics</w:t>
            </w:r>
            <w:r w:rsidR="00840C70">
              <w:rPr>
                <w:rFonts w:ascii="Arial" w:hAnsi="Arial" w:cs="Arial"/>
                <w:sz w:val="22"/>
                <w:szCs w:val="22"/>
              </w:rPr>
              <w:t xml:space="preserve"> for a number of years, </w:t>
            </w:r>
            <w:r w:rsidRPr="00840C70">
              <w:rPr>
                <w:rFonts w:ascii="Arial" w:hAnsi="Arial" w:cs="Arial"/>
                <w:sz w:val="22"/>
                <w:szCs w:val="22"/>
              </w:rPr>
              <w:t>is</w:t>
            </w:r>
            <w:r w:rsidRPr="00461033">
              <w:rPr>
                <w:rFonts w:ascii="Arial" w:hAnsi="Arial" w:cs="Arial"/>
                <w:sz w:val="22"/>
                <w:szCs w:val="22"/>
              </w:rPr>
              <w:t xml:space="preserve"> </w:t>
            </w:r>
            <w:r w:rsidR="007C7D9A">
              <w:rPr>
                <w:rFonts w:ascii="Arial" w:hAnsi="Arial" w:cs="Arial"/>
                <w:sz w:val="22"/>
                <w:szCs w:val="22"/>
              </w:rPr>
              <w:t xml:space="preserve">commonly used in official statistics, and is </w:t>
            </w:r>
            <w:r w:rsidRPr="00461033">
              <w:rPr>
                <w:rFonts w:ascii="Arial" w:hAnsi="Arial" w:cs="Arial"/>
                <w:sz w:val="22"/>
                <w:szCs w:val="22"/>
              </w:rPr>
              <w:t>the process by which patterns in a data series that are due to seasonal or other calendar influences are removed</w:t>
            </w:r>
            <w:r>
              <w:rPr>
                <w:rFonts w:ascii="Arial" w:hAnsi="Arial" w:cs="Arial"/>
                <w:sz w:val="22"/>
                <w:szCs w:val="22"/>
              </w:rPr>
              <w:t xml:space="preserve">, </w:t>
            </w:r>
            <w:r w:rsidRPr="00461033">
              <w:rPr>
                <w:rFonts w:ascii="Arial" w:hAnsi="Arial" w:cs="Arial"/>
                <w:sz w:val="22"/>
                <w:szCs w:val="22"/>
              </w:rPr>
              <w:t xml:space="preserve">to produce a </w:t>
            </w:r>
            <w:r w:rsidRPr="00D443E8">
              <w:rPr>
                <w:rFonts w:ascii="Arial" w:hAnsi="Arial" w:cs="Arial"/>
                <w:b/>
                <w:sz w:val="22"/>
                <w:szCs w:val="22"/>
              </w:rPr>
              <w:t>clearer picture of the underlying behaviour of the data</w:t>
            </w:r>
            <w:r w:rsidRPr="00461033">
              <w:rPr>
                <w:rFonts w:ascii="Arial" w:hAnsi="Arial" w:cs="Arial"/>
                <w:sz w:val="22"/>
                <w:szCs w:val="22"/>
              </w:rPr>
              <w:t>.</w:t>
            </w:r>
            <w:r>
              <w:rPr>
                <w:rFonts w:ascii="Arial" w:hAnsi="Arial" w:cs="Arial"/>
                <w:sz w:val="22"/>
                <w:szCs w:val="22"/>
              </w:rPr>
              <w:t xml:space="preserve"> This means that data for the latest quarter can be compared with that for the previous (or any other) quarter, without the comparison being distorted by calendar effects.</w:t>
            </w:r>
          </w:p>
          <w:p w:rsidR="00BA16B8" w:rsidRDefault="00BA16B8" w:rsidP="00BA16B8">
            <w:pPr>
              <w:spacing w:after="120"/>
              <w:rPr>
                <w:rFonts w:ascii="Arial" w:hAnsi="Arial" w:cs="Arial"/>
                <w:sz w:val="22"/>
                <w:szCs w:val="22"/>
              </w:rPr>
            </w:pPr>
            <w:r>
              <w:rPr>
                <w:rFonts w:ascii="Arial" w:hAnsi="Arial" w:cs="Arial"/>
                <w:sz w:val="22"/>
                <w:szCs w:val="22"/>
              </w:rPr>
              <w:t xml:space="preserve">Several data series in this release – such as bankruptcies – have been seasonally adjusted. Some – such as compulsory liquidations – did not show seasonal patterns and did not require adjustment. </w:t>
            </w:r>
          </w:p>
          <w:p w:rsidR="00BA16B8" w:rsidRDefault="00BA16B8" w:rsidP="00BA16B8">
            <w:pPr>
              <w:spacing w:after="120"/>
              <w:rPr>
                <w:rFonts w:ascii="Arial" w:hAnsi="Arial" w:cs="Arial"/>
                <w:sz w:val="22"/>
                <w:szCs w:val="22"/>
              </w:rPr>
            </w:pPr>
            <w:r>
              <w:rPr>
                <w:rFonts w:ascii="Arial" w:hAnsi="Arial" w:cs="Arial"/>
                <w:sz w:val="22"/>
                <w:szCs w:val="22"/>
              </w:rPr>
              <w:t xml:space="preserve">Where possible, seasonally adjusted data are referred to in this release, to aid interpretation of quarter-on-quarter changes. The main exception is the section on individual insolvencies, where the data series for one type of insolvency (debt relief orders) is not yet long enough to </w:t>
            </w:r>
            <w:r w:rsidR="00015752">
              <w:rPr>
                <w:rFonts w:ascii="Arial" w:hAnsi="Arial" w:cs="Arial"/>
                <w:sz w:val="22"/>
                <w:szCs w:val="22"/>
              </w:rPr>
              <w:t>apply seasonal adjustment.</w:t>
            </w:r>
          </w:p>
          <w:p w:rsidR="00BA16B8" w:rsidRDefault="00BA16B8" w:rsidP="00BA16B8">
            <w:pPr>
              <w:spacing w:after="120"/>
              <w:rPr>
                <w:rFonts w:ascii="Arial" w:hAnsi="Arial" w:cs="Arial"/>
                <w:sz w:val="22"/>
                <w:szCs w:val="22"/>
              </w:rPr>
            </w:pPr>
            <w:r>
              <w:rPr>
                <w:rFonts w:ascii="Arial" w:hAnsi="Arial" w:cs="Arial"/>
                <w:sz w:val="22"/>
                <w:szCs w:val="22"/>
              </w:rPr>
              <w:t>The detailed tables which accompany this release contain both adjusted and unadjusted data.</w:t>
            </w:r>
          </w:p>
        </w:tc>
        <w:tc>
          <w:tcPr>
            <w:tcW w:w="5526" w:type="dxa"/>
            <w:shd w:val="clear" w:color="auto" w:fill="C6D9F1" w:themeFill="text2" w:themeFillTint="33"/>
          </w:tcPr>
          <w:p w:rsidR="00BA16B8" w:rsidRDefault="00BA16B8" w:rsidP="00461033">
            <w:pPr>
              <w:spacing w:after="120"/>
              <w:rPr>
                <w:rFonts w:ascii="Arial" w:hAnsi="Arial" w:cs="Arial"/>
                <w:sz w:val="22"/>
                <w:szCs w:val="22"/>
              </w:rPr>
            </w:pPr>
          </w:p>
          <w:p w:rsidR="00BA16B8" w:rsidRPr="00BA16B8" w:rsidRDefault="00BA16B8" w:rsidP="00461033">
            <w:pPr>
              <w:spacing w:after="120"/>
              <w:rPr>
                <w:rFonts w:ascii="Arial" w:hAnsi="Arial" w:cs="Arial"/>
                <w:b/>
                <w:sz w:val="20"/>
                <w:szCs w:val="20"/>
              </w:rPr>
            </w:pPr>
            <w:r w:rsidRPr="00BA16B8">
              <w:rPr>
                <w:rFonts w:ascii="Arial" w:hAnsi="Arial" w:cs="Arial"/>
                <w:b/>
                <w:sz w:val="20"/>
                <w:szCs w:val="20"/>
              </w:rPr>
              <w:t>Illustration of seasonal adjustment</w:t>
            </w:r>
          </w:p>
          <w:p w:rsidR="00BA16B8" w:rsidRDefault="00BA16B8" w:rsidP="00461033">
            <w:pPr>
              <w:spacing w:after="120"/>
              <w:rPr>
                <w:rFonts w:ascii="Arial" w:hAnsi="Arial" w:cs="Arial"/>
                <w:sz w:val="22"/>
                <w:szCs w:val="22"/>
              </w:rPr>
            </w:pPr>
            <w:r>
              <w:rPr>
                <w:rFonts w:ascii="Arial" w:hAnsi="Arial" w:cs="Arial"/>
                <w:noProof/>
                <w:sz w:val="22"/>
                <w:szCs w:val="22"/>
                <w:lang w:eastAsia="en-GB"/>
              </w:rPr>
              <w:drawing>
                <wp:inline distT="0" distB="0" distL="0" distR="0" wp14:anchorId="1ACF0F61" wp14:editId="148DB809">
                  <wp:extent cx="3368784" cy="2329132"/>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8947" cy="2329245"/>
                          </a:xfrm>
                          <a:prstGeom prst="rect">
                            <a:avLst/>
                          </a:prstGeom>
                          <a:noFill/>
                          <a:ln>
                            <a:noFill/>
                          </a:ln>
                        </pic:spPr>
                      </pic:pic>
                    </a:graphicData>
                  </a:graphic>
                </wp:inline>
              </w:drawing>
            </w:r>
          </w:p>
          <w:p w:rsidR="00BA16B8" w:rsidRPr="00BA16B8" w:rsidRDefault="00BA16B8" w:rsidP="00461033">
            <w:pPr>
              <w:spacing w:after="120"/>
              <w:rPr>
                <w:rFonts w:ascii="Arial" w:hAnsi="Arial" w:cs="Arial"/>
                <w:sz w:val="18"/>
                <w:szCs w:val="18"/>
              </w:rPr>
            </w:pPr>
            <w:r>
              <w:rPr>
                <w:rFonts w:ascii="Arial" w:hAnsi="Arial" w:cs="Arial"/>
                <w:sz w:val="18"/>
                <w:szCs w:val="18"/>
              </w:rPr>
              <w:t>This graph shows the number of bankruptcies</w:t>
            </w:r>
            <w:r w:rsidR="00955D6B">
              <w:rPr>
                <w:rFonts w:ascii="Arial" w:hAnsi="Arial" w:cs="Arial"/>
                <w:sz w:val="18"/>
                <w:szCs w:val="18"/>
              </w:rPr>
              <w:t xml:space="preserve"> in England and Wales</w:t>
            </w:r>
            <w:r>
              <w:rPr>
                <w:rFonts w:ascii="Arial" w:hAnsi="Arial" w:cs="Arial"/>
                <w:sz w:val="18"/>
                <w:szCs w:val="18"/>
              </w:rPr>
              <w:t xml:space="preserve"> each quarter. The unadjusted data has regular peaks in Q1 of each year, which if not accounted for could lead to comparisons between quarters being distorted by these regular effects.</w:t>
            </w:r>
          </w:p>
        </w:tc>
      </w:tr>
    </w:tbl>
    <w:p w:rsidR="003E4EDF" w:rsidRPr="00280993" w:rsidRDefault="00782D59" w:rsidP="003E4EDF">
      <w:pPr>
        <w:pageBreakBefore/>
        <w:spacing w:after="240" w:line="276" w:lineRule="auto"/>
        <w:rPr>
          <w:rFonts w:ascii="Arial" w:hAnsi="Arial" w:cs="Arial"/>
          <w:b/>
          <w:sz w:val="32"/>
          <w:szCs w:val="22"/>
        </w:rPr>
      </w:pPr>
      <w:r>
        <w:rPr>
          <w:rFonts w:ascii="Arial" w:hAnsi="Arial" w:cs="Arial"/>
          <w:b/>
          <w:sz w:val="32"/>
          <w:szCs w:val="22"/>
        </w:rPr>
        <w:lastRenderedPageBreak/>
        <w:t>1</w:t>
      </w:r>
      <w:r w:rsidR="003E4EDF" w:rsidRPr="00280993">
        <w:rPr>
          <w:rFonts w:ascii="Arial" w:hAnsi="Arial" w:cs="Arial"/>
          <w:b/>
          <w:sz w:val="32"/>
          <w:szCs w:val="22"/>
        </w:rPr>
        <w:t xml:space="preserve"> </w:t>
      </w:r>
      <w:r w:rsidR="003E4EDF">
        <w:rPr>
          <w:rFonts w:ascii="Arial" w:hAnsi="Arial" w:cs="Arial"/>
          <w:b/>
          <w:sz w:val="32"/>
          <w:szCs w:val="22"/>
        </w:rPr>
        <w:t>Summary</w:t>
      </w:r>
    </w:p>
    <w:p w:rsidR="003E4EDF" w:rsidRDefault="003E4EDF" w:rsidP="003E4EDF">
      <w:pPr>
        <w:spacing w:after="240" w:line="276" w:lineRule="auto"/>
        <w:rPr>
          <w:rFonts w:ascii="Arial" w:hAnsi="Arial" w:cs="Arial"/>
          <w:b/>
          <w:sz w:val="28"/>
          <w:szCs w:val="22"/>
        </w:rPr>
      </w:pPr>
      <w:r>
        <w:rPr>
          <w:rFonts w:ascii="Arial" w:hAnsi="Arial" w:cs="Arial"/>
          <w:b/>
          <w:sz w:val="28"/>
          <w:szCs w:val="22"/>
        </w:rPr>
        <w:t xml:space="preserve">1.1 </w:t>
      </w:r>
      <w:r w:rsidR="00BB13FC">
        <w:rPr>
          <w:rFonts w:ascii="Arial" w:hAnsi="Arial" w:cs="Arial"/>
          <w:b/>
          <w:sz w:val="28"/>
          <w:szCs w:val="22"/>
        </w:rPr>
        <w:t>Company insolvency in England and Wales</w:t>
      </w:r>
      <w:r w:rsidR="00221326">
        <w:rPr>
          <w:rFonts w:ascii="Arial" w:hAnsi="Arial" w:cs="Arial"/>
          <w:b/>
          <w:sz w:val="28"/>
          <w:szCs w:val="22"/>
        </w:rPr>
        <w:t xml:space="preserve"> </w:t>
      </w:r>
      <w:r w:rsidR="00221326" w:rsidRPr="00221326">
        <w:rPr>
          <w:rFonts w:ascii="Arial" w:hAnsi="Arial" w:cs="Arial"/>
          <w:i/>
          <w:sz w:val="22"/>
          <w:szCs w:val="22"/>
        </w:rPr>
        <w:t>(Further information: section 2)</w:t>
      </w:r>
    </w:p>
    <w:p w:rsidR="003E4EDF" w:rsidRDefault="00782D59" w:rsidP="00767583">
      <w:pPr>
        <w:pStyle w:val="BodyText"/>
        <w:tabs>
          <w:tab w:val="left" w:pos="450"/>
        </w:tabs>
        <w:spacing w:before="120" w:line="276" w:lineRule="auto"/>
        <w:jc w:val="center"/>
        <w:rPr>
          <w:rFonts w:ascii="Arial" w:hAnsi="Arial" w:cs="Arial"/>
          <w:color w:val="000000"/>
          <w:sz w:val="22"/>
          <w:szCs w:val="22"/>
          <w:vertAlign w:val="superscript"/>
        </w:rPr>
      </w:pPr>
      <w:r w:rsidRPr="00B60F95">
        <w:rPr>
          <w:rFonts w:ascii="Arial" w:hAnsi="Arial" w:cs="Arial"/>
          <w:b/>
          <w:color w:val="000000"/>
          <w:sz w:val="22"/>
          <w:szCs w:val="22"/>
        </w:rPr>
        <w:t xml:space="preserve">Figure 1: Company </w:t>
      </w:r>
      <w:r>
        <w:rPr>
          <w:rFonts w:ascii="Arial" w:hAnsi="Arial" w:cs="Arial"/>
          <w:b/>
          <w:color w:val="000000"/>
          <w:sz w:val="22"/>
          <w:szCs w:val="22"/>
        </w:rPr>
        <w:t>insolvencies</w:t>
      </w:r>
      <w:r w:rsidRPr="00B60F95">
        <w:rPr>
          <w:rFonts w:ascii="Arial" w:hAnsi="Arial" w:cs="Arial"/>
          <w:b/>
          <w:color w:val="000000"/>
          <w:sz w:val="22"/>
          <w:szCs w:val="22"/>
        </w:rPr>
        <w:t xml:space="preserve"> in England and Wales</w:t>
      </w:r>
      <w:r w:rsidRPr="00B60F95">
        <w:rPr>
          <w:rFonts w:ascii="Arial" w:hAnsi="Arial" w:cs="Arial"/>
          <w:b/>
          <w:color w:val="000000"/>
          <w:sz w:val="22"/>
          <w:szCs w:val="22"/>
          <w:vertAlign w:val="superscript"/>
        </w:rPr>
        <w:t>1</w:t>
      </w:r>
      <w:r w:rsidRPr="00B60F95">
        <w:rPr>
          <w:rFonts w:ascii="Arial" w:hAnsi="Arial" w:cs="Arial"/>
          <w:b/>
          <w:color w:val="000000"/>
          <w:sz w:val="22"/>
          <w:szCs w:val="22"/>
        </w:rPr>
        <w:t xml:space="preserve"> </w:t>
      </w:r>
      <w:r w:rsidRPr="00B60F95">
        <w:rPr>
          <w:rFonts w:ascii="Arial" w:hAnsi="Arial" w:cs="Arial"/>
          <w:color w:val="000000"/>
          <w:sz w:val="22"/>
          <w:szCs w:val="22"/>
        </w:rPr>
        <w:t>(</w:t>
      </w:r>
      <w:r w:rsidR="00AA4F9A">
        <w:rPr>
          <w:rFonts w:ascii="Arial" w:hAnsi="Arial" w:cs="Arial"/>
          <w:color w:val="000000"/>
          <w:sz w:val="22"/>
          <w:szCs w:val="22"/>
        </w:rPr>
        <w:t xml:space="preserve">quarterly data, </w:t>
      </w:r>
      <w:r w:rsidRPr="00B60F95">
        <w:rPr>
          <w:rFonts w:ascii="Arial" w:hAnsi="Arial" w:cs="Arial"/>
          <w:color w:val="000000"/>
          <w:sz w:val="22"/>
          <w:szCs w:val="22"/>
        </w:rPr>
        <w:t>seasonally adjusted)</w:t>
      </w:r>
      <w:r w:rsidRPr="00B60F95">
        <w:rPr>
          <w:rFonts w:ascii="Arial" w:hAnsi="Arial" w:cs="Arial"/>
          <w:color w:val="000000"/>
          <w:sz w:val="22"/>
          <w:szCs w:val="22"/>
          <w:vertAlign w:val="superscript"/>
        </w:rPr>
        <w:t>2</w:t>
      </w:r>
    </w:p>
    <w:p w:rsidR="00782D59" w:rsidRPr="000B6473" w:rsidRDefault="00DD5D38" w:rsidP="00782D59">
      <w:pPr>
        <w:tabs>
          <w:tab w:val="left" w:pos="965"/>
        </w:tabs>
        <w:spacing w:before="120" w:after="60"/>
        <w:rPr>
          <w:rFonts w:ascii="Arial" w:hAnsi="Arial" w:cs="Arial"/>
          <w:color w:val="000000"/>
          <w:sz w:val="18"/>
          <w:szCs w:val="18"/>
        </w:rPr>
      </w:pPr>
      <w:r w:rsidRPr="00DD5D38">
        <w:rPr>
          <w:noProof/>
          <w:lang w:eastAsia="en-GB"/>
        </w:rPr>
        <w:drawing>
          <wp:inline distT="0" distB="0" distL="0" distR="0" wp14:anchorId="1BD9E2CD" wp14:editId="10DE886D">
            <wp:extent cx="6591300" cy="3143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0" cy="3143250"/>
                    </a:xfrm>
                    <a:prstGeom prst="rect">
                      <a:avLst/>
                    </a:prstGeom>
                    <a:noFill/>
                    <a:ln>
                      <a:noFill/>
                    </a:ln>
                  </pic:spPr>
                </pic:pic>
              </a:graphicData>
            </a:graphic>
          </wp:inline>
        </w:drawing>
      </w:r>
      <w:r w:rsidR="00782D59" w:rsidRPr="000B6473">
        <w:rPr>
          <w:rFonts w:ascii="Arial" w:hAnsi="Arial" w:cs="Arial"/>
          <w:color w:val="000000"/>
          <w:sz w:val="18"/>
          <w:szCs w:val="18"/>
        </w:rPr>
        <w:t>Source: Insolvency Service and Companies House.</w:t>
      </w:r>
    </w:p>
    <w:p w:rsidR="00782D59" w:rsidRPr="000B6473" w:rsidRDefault="00782D59" w:rsidP="00782D59">
      <w:pPr>
        <w:tabs>
          <w:tab w:val="left" w:pos="965"/>
        </w:tabs>
        <w:spacing w:after="60"/>
        <w:rPr>
          <w:rFonts w:ascii="Arial" w:hAnsi="Arial" w:cs="Arial"/>
          <w:color w:val="000000"/>
          <w:sz w:val="18"/>
          <w:szCs w:val="18"/>
        </w:rPr>
      </w:pPr>
      <w:r w:rsidRPr="000B6473">
        <w:rPr>
          <w:rFonts w:ascii="Arial" w:hAnsi="Arial" w:cs="Arial"/>
          <w:color w:val="000000"/>
          <w:sz w:val="18"/>
          <w:szCs w:val="18"/>
          <w:vertAlign w:val="superscript"/>
        </w:rPr>
        <w:t>1</w:t>
      </w:r>
      <w:r w:rsidRPr="000B6473">
        <w:rPr>
          <w:rFonts w:ascii="Arial" w:hAnsi="Arial" w:cs="Arial"/>
          <w:color w:val="000000"/>
          <w:sz w:val="18"/>
          <w:szCs w:val="18"/>
        </w:rPr>
        <w:t xml:space="preserve"> Excludes CVLs following administration as these do not represent a new company entering into an insolvency procedure for the first time.</w:t>
      </w:r>
      <w:r w:rsidR="000860D4">
        <w:rPr>
          <w:rFonts w:ascii="Arial" w:hAnsi="Arial" w:cs="Arial"/>
          <w:color w:val="000000"/>
          <w:sz w:val="18"/>
          <w:szCs w:val="18"/>
        </w:rPr>
        <w:t xml:space="preserve"> Receiverships </w:t>
      </w:r>
      <w:r w:rsidR="003D5600">
        <w:rPr>
          <w:rFonts w:ascii="Arial" w:hAnsi="Arial" w:cs="Arial"/>
          <w:color w:val="000000"/>
          <w:sz w:val="18"/>
          <w:szCs w:val="18"/>
        </w:rPr>
        <w:t>i</w:t>
      </w:r>
      <w:r w:rsidR="000860D4">
        <w:rPr>
          <w:rFonts w:ascii="Arial" w:hAnsi="Arial" w:cs="Arial"/>
          <w:color w:val="000000"/>
          <w:sz w:val="18"/>
          <w:szCs w:val="18"/>
        </w:rPr>
        <w:t>nclude</w:t>
      </w:r>
      <w:r w:rsidR="000860D4" w:rsidRPr="000860D4">
        <w:rPr>
          <w:rFonts w:ascii="Arial" w:hAnsi="Arial" w:cs="Arial"/>
          <w:color w:val="000000"/>
          <w:sz w:val="18"/>
          <w:szCs w:val="18"/>
        </w:rPr>
        <w:t xml:space="preserve"> Law of Property Act receiverships, which are not insolvencies but which cannot be identified separately</w:t>
      </w:r>
      <w:r w:rsidR="003D5600">
        <w:rPr>
          <w:rFonts w:ascii="Arial" w:hAnsi="Arial" w:cs="Arial"/>
          <w:color w:val="000000"/>
          <w:sz w:val="18"/>
          <w:szCs w:val="18"/>
        </w:rPr>
        <w:t>.</w:t>
      </w:r>
    </w:p>
    <w:p w:rsidR="00782D59" w:rsidRPr="000B6473" w:rsidRDefault="00782D59" w:rsidP="00782D59">
      <w:pPr>
        <w:tabs>
          <w:tab w:val="left" w:pos="965"/>
        </w:tabs>
        <w:spacing w:after="60"/>
        <w:rPr>
          <w:rFonts w:ascii="Arial" w:hAnsi="Arial" w:cs="Arial"/>
          <w:color w:val="000000"/>
          <w:sz w:val="18"/>
          <w:szCs w:val="18"/>
        </w:rPr>
      </w:pPr>
      <w:r w:rsidRPr="000B6473">
        <w:rPr>
          <w:rFonts w:ascii="Arial" w:hAnsi="Arial" w:cs="Arial"/>
          <w:color w:val="000000"/>
          <w:sz w:val="18"/>
          <w:szCs w:val="18"/>
          <w:vertAlign w:val="superscript"/>
        </w:rPr>
        <w:t>2</w:t>
      </w:r>
      <w:r w:rsidRPr="000B6473">
        <w:rPr>
          <w:rFonts w:ascii="Arial" w:hAnsi="Arial" w:cs="Arial"/>
          <w:color w:val="000000"/>
          <w:sz w:val="18"/>
          <w:szCs w:val="18"/>
        </w:rPr>
        <w:t xml:space="preserve"> Compulsory liquidations, receiverships and CVAs do not require seasonal adjustment.</w:t>
      </w:r>
    </w:p>
    <w:p w:rsidR="00D443E8" w:rsidRPr="000B6473" w:rsidRDefault="00D443E8" w:rsidP="00782D59">
      <w:pPr>
        <w:tabs>
          <w:tab w:val="left" w:pos="965"/>
        </w:tabs>
        <w:spacing w:after="60"/>
        <w:rPr>
          <w:rFonts w:ascii="Arial" w:hAnsi="Arial" w:cs="Arial"/>
          <w:color w:val="000000"/>
          <w:sz w:val="18"/>
          <w:szCs w:val="18"/>
        </w:rPr>
      </w:pPr>
      <w:r w:rsidRPr="000B6473">
        <w:rPr>
          <w:rFonts w:ascii="Arial" w:hAnsi="Arial" w:cs="Arial"/>
          <w:color w:val="000000"/>
          <w:sz w:val="18"/>
          <w:szCs w:val="18"/>
        </w:rPr>
        <w:t>See Tables 1 and 3 of the accompanying Excel file for more information.</w:t>
      </w:r>
    </w:p>
    <w:p w:rsidR="00782D59" w:rsidRDefault="00782D59" w:rsidP="00782D59">
      <w:pPr>
        <w:pStyle w:val="BodyText"/>
        <w:tabs>
          <w:tab w:val="left" w:pos="450"/>
        </w:tabs>
        <w:spacing w:before="120" w:line="276" w:lineRule="auto"/>
        <w:rPr>
          <w:rFonts w:ascii="Arial" w:hAnsi="Arial" w:cs="Arial"/>
          <w:sz w:val="22"/>
          <w:szCs w:val="22"/>
        </w:rPr>
      </w:pPr>
    </w:p>
    <w:p w:rsidR="00BB13FC" w:rsidRPr="00BB13FC" w:rsidRDefault="00BB13FC" w:rsidP="00BB13FC">
      <w:pPr>
        <w:spacing w:after="240" w:line="276" w:lineRule="auto"/>
        <w:rPr>
          <w:rFonts w:ascii="Arial" w:hAnsi="Arial" w:cs="Arial"/>
          <w:b/>
          <w:sz w:val="28"/>
          <w:szCs w:val="22"/>
        </w:rPr>
      </w:pPr>
      <w:r w:rsidRPr="00BB13FC">
        <w:rPr>
          <w:rFonts w:ascii="Arial" w:hAnsi="Arial" w:cs="Arial"/>
          <w:b/>
          <w:sz w:val="28"/>
          <w:szCs w:val="22"/>
        </w:rPr>
        <w:t>Key findings this quarter</w:t>
      </w:r>
      <w:r w:rsidR="007C7B50">
        <w:rPr>
          <w:rFonts w:ascii="Arial" w:hAnsi="Arial" w:cs="Arial"/>
          <w:b/>
          <w:sz w:val="28"/>
          <w:szCs w:val="22"/>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69"/>
        <w:gridCol w:w="7337"/>
      </w:tblGrid>
      <w:tr w:rsidR="002E5019" w:rsidTr="008C36F3">
        <w:tc>
          <w:tcPr>
            <w:tcW w:w="3369" w:type="dxa"/>
          </w:tcPr>
          <w:p w:rsidR="002E5019" w:rsidRPr="00BB13FC" w:rsidRDefault="00070001" w:rsidP="002E5019">
            <w:pPr>
              <w:pStyle w:val="BodyText"/>
              <w:tabs>
                <w:tab w:val="left" w:pos="450"/>
              </w:tabs>
              <w:spacing w:before="120" w:after="240"/>
              <w:rPr>
                <w:rFonts w:ascii="Arial" w:hAnsi="Arial" w:cs="Arial"/>
                <w:b/>
                <w:sz w:val="22"/>
                <w:szCs w:val="22"/>
              </w:rPr>
            </w:pPr>
            <w:r w:rsidRPr="00BB13FC">
              <w:rPr>
                <w:rFonts w:ascii="Arial" w:hAnsi="Arial" w:cs="Arial"/>
                <w:b/>
                <w:sz w:val="22"/>
                <w:szCs w:val="22"/>
              </w:rPr>
              <w:t>Creditors’ voluntary liquidations continued to decrease</w:t>
            </w:r>
          </w:p>
        </w:tc>
        <w:tc>
          <w:tcPr>
            <w:tcW w:w="7337" w:type="dxa"/>
          </w:tcPr>
          <w:p w:rsidR="002E5019" w:rsidRDefault="00DD5D38" w:rsidP="00DD5D38">
            <w:pPr>
              <w:pStyle w:val="BodyText"/>
              <w:tabs>
                <w:tab w:val="left" w:pos="450"/>
              </w:tabs>
              <w:spacing w:before="120" w:after="240"/>
              <w:rPr>
                <w:rFonts w:ascii="Arial" w:hAnsi="Arial" w:cs="Arial"/>
                <w:sz w:val="22"/>
                <w:szCs w:val="22"/>
              </w:rPr>
            </w:pPr>
            <w:r>
              <w:rPr>
                <w:rFonts w:ascii="Arial" w:hAnsi="Arial" w:cs="Arial"/>
                <w:sz w:val="22"/>
                <w:szCs w:val="22"/>
              </w:rPr>
              <w:t>The number</w:t>
            </w:r>
            <w:r w:rsidR="00070001">
              <w:rPr>
                <w:rFonts w:ascii="Arial" w:hAnsi="Arial" w:cs="Arial"/>
                <w:sz w:val="22"/>
                <w:szCs w:val="22"/>
              </w:rPr>
              <w:t xml:space="preserve"> of </w:t>
            </w:r>
            <w:r w:rsidR="003D5600">
              <w:rPr>
                <w:rFonts w:ascii="Arial" w:hAnsi="Arial" w:cs="Arial"/>
                <w:sz w:val="22"/>
                <w:szCs w:val="22"/>
              </w:rPr>
              <w:t xml:space="preserve">companies entering </w:t>
            </w:r>
            <w:r>
              <w:rPr>
                <w:rFonts w:ascii="Arial" w:hAnsi="Arial" w:cs="Arial"/>
                <w:sz w:val="22"/>
                <w:szCs w:val="22"/>
              </w:rPr>
              <w:t>c</w:t>
            </w:r>
            <w:r w:rsidR="00070001">
              <w:rPr>
                <w:rFonts w:ascii="Arial" w:hAnsi="Arial" w:cs="Arial"/>
                <w:sz w:val="22"/>
                <w:szCs w:val="22"/>
              </w:rPr>
              <w:t xml:space="preserve">reditors’ </w:t>
            </w:r>
            <w:r>
              <w:rPr>
                <w:rFonts w:ascii="Arial" w:hAnsi="Arial" w:cs="Arial"/>
                <w:sz w:val="22"/>
                <w:szCs w:val="22"/>
              </w:rPr>
              <w:t>v</w:t>
            </w:r>
            <w:r w:rsidR="00070001">
              <w:rPr>
                <w:rFonts w:ascii="Arial" w:hAnsi="Arial" w:cs="Arial"/>
                <w:sz w:val="22"/>
                <w:szCs w:val="22"/>
              </w:rPr>
              <w:t xml:space="preserve">oluntary </w:t>
            </w:r>
            <w:r>
              <w:rPr>
                <w:rFonts w:ascii="Arial" w:hAnsi="Arial" w:cs="Arial"/>
                <w:sz w:val="22"/>
                <w:szCs w:val="22"/>
              </w:rPr>
              <w:t>l</w:t>
            </w:r>
            <w:r w:rsidR="00070001">
              <w:rPr>
                <w:rFonts w:ascii="Arial" w:hAnsi="Arial" w:cs="Arial"/>
                <w:sz w:val="22"/>
                <w:szCs w:val="22"/>
              </w:rPr>
              <w:t xml:space="preserve">iquidation decreased for </w:t>
            </w:r>
            <w:r>
              <w:rPr>
                <w:rFonts w:ascii="Arial" w:hAnsi="Arial" w:cs="Arial"/>
                <w:sz w:val="22"/>
                <w:szCs w:val="22"/>
              </w:rPr>
              <w:t xml:space="preserve">the </w:t>
            </w:r>
            <w:r w:rsidR="00070001">
              <w:rPr>
                <w:rFonts w:ascii="Arial" w:hAnsi="Arial" w:cs="Arial"/>
                <w:sz w:val="22"/>
                <w:szCs w:val="22"/>
              </w:rPr>
              <w:t>four</w:t>
            </w:r>
            <w:r>
              <w:rPr>
                <w:rFonts w:ascii="Arial" w:hAnsi="Arial" w:cs="Arial"/>
                <w:sz w:val="22"/>
                <w:szCs w:val="22"/>
              </w:rPr>
              <w:t>th</w:t>
            </w:r>
            <w:r w:rsidR="00070001">
              <w:rPr>
                <w:rFonts w:ascii="Arial" w:hAnsi="Arial" w:cs="Arial"/>
                <w:sz w:val="22"/>
                <w:szCs w:val="22"/>
              </w:rPr>
              <w:t xml:space="preserve"> consecutive quarter</w:t>
            </w:r>
            <w:r>
              <w:rPr>
                <w:rFonts w:ascii="Arial" w:hAnsi="Arial" w:cs="Arial"/>
                <w:sz w:val="22"/>
                <w:szCs w:val="22"/>
              </w:rPr>
              <w:t>, and in Q2 2014 was 18.1% lower than in the same quarter a year earlier, and the lowest since Q1 2008.</w:t>
            </w:r>
          </w:p>
        </w:tc>
      </w:tr>
      <w:tr w:rsidR="006B4149" w:rsidTr="008C36F3">
        <w:tc>
          <w:tcPr>
            <w:tcW w:w="3369" w:type="dxa"/>
          </w:tcPr>
          <w:p w:rsidR="006B4149" w:rsidRPr="00BB13FC" w:rsidRDefault="00070001" w:rsidP="00BD2E9E">
            <w:pPr>
              <w:pStyle w:val="BodyText"/>
              <w:tabs>
                <w:tab w:val="left" w:pos="450"/>
              </w:tabs>
              <w:spacing w:before="120" w:after="240"/>
              <w:rPr>
                <w:rFonts w:ascii="Arial" w:hAnsi="Arial" w:cs="Arial"/>
                <w:b/>
                <w:sz w:val="22"/>
                <w:szCs w:val="22"/>
              </w:rPr>
            </w:pPr>
            <w:r w:rsidRPr="00BB13FC">
              <w:rPr>
                <w:rFonts w:ascii="Arial" w:hAnsi="Arial" w:cs="Arial"/>
                <w:b/>
                <w:sz w:val="22"/>
                <w:szCs w:val="22"/>
              </w:rPr>
              <w:t xml:space="preserve">Compulsory liquidations </w:t>
            </w:r>
            <w:r w:rsidR="00BD2E9E">
              <w:rPr>
                <w:rFonts w:ascii="Arial" w:hAnsi="Arial" w:cs="Arial"/>
                <w:b/>
                <w:sz w:val="22"/>
                <w:szCs w:val="22"/>
              </w:rPr>
              <w:t xml:space="preserve">remained at </w:t>
            </w:r>
            <w:r w:rsidRPr="00BB13FC">
              <w:rPr>
                <w:rFonts w:ascii="Arial" w:hAnsi="Arial" w:cs="Arial"/>
                <w:b/>
                <w:sz w:val="22"/>
                <w:szCs w:val="22"/>
              </w:rPr>
              <w:t>trend levels</w:t>
            </w:r>
          </w:p>
        </w:tc>
        <w:tc>
          <w:tcPr>
            <w:tcW w:w="7337" w:type="dxa"/>
          </w:tcPr>
          <w:p w:rsidR="006B4149" w:rsidRDefault="003D5600" w:rsidP="004132BA">
            <w:pPr>
              <w:pStyle w:val="BodyText"/>
              <w:tabs>
                <w:tab w:val="left" w:pos="450"/>
              </w:tabs>
              <w:spacing w:before="120" w:after="240"/>
              <w:rPr>
                <w:rFonts w:ascii="Arial" w:hAnsi="Arial" w:cs="Arial"/>
                <w:sz w:val="22"/>
                <w:szCs w:val="22"/>
              </w:rPr>
            </w:pPr>
            <w:r>
              <w:rPr>
                <w:rFonts w:ascii="Arial" w:hAnsi="Arial" w:cs="Arial"/>
                <w:sz w:val="22"/>
                <w:szCs w:val="22"/>
              </w:rPr>
              <w:t xml:space="preserve">The number of companies subject to a compulsory winding-up order </w:t>
            </w:r>
            <w:r w:rsidR="004132BA">
              <w:rPr>
                <w:rFonts w:ascii="Arial" w:hAnsi="Arial" w:cs="Arial"/>
                <w:sz w:val="22"/>
                <w:szCs w:val="22"/>
              </w:rPr>
              <w:t>also decreased, but remained in line with a fairly stable trend seen since mid-2012</w:t>
            </w:r>
            <w:r w:rsidR="00BD5580">
              <w:rPr>
                <w:rFonts w:ascii="Arial" w:hAnsi="Arial" w:cs="Arial"/>
                <w:sz w:val="22"/>
                <w:szCs w:val="22"/>
              </w:rPr>
              <w:t xml:space="preserve"> (with Q4 2013 being an exception to this)</w:t>
            </w:r>
            <w:r w:rsidR="004132BA">
              <w:rPr>
                <w:rFonts w:ascii="Arial" w:hAnsi="Arial" w:cs="Arial"/>
                <w:sz w:val="22"/>
                <w:szCs w:val="22"/>
              </w:rPr>
              <w:t>.</w:t>
            </w:r>
          </w:p>
        </w:tc>
      </w:tr>
      <w:tr w:rsidR="006B4149" w:rsidTr="008C36F3">
        <w:tc>
          <w:tcPr>
            <w:tcW w:w="3369" w:type="dxa"/>
          </w:tcPr>
          <w:p w:rsidR="006B4149" w:rsidRPr="00BB13FC" w:rsidRDefault="006B4149" w:rsidP="002E5019">
            <w:pPr>
              <w:pStyle w:val="BodyText"/>
              <w:tabs>
                <w:tab w:val="left" w:pos="450"/>
              </w:tabs>
              <w:spacing w:before="120" w:after="240"/>
              <w:rPr>
                <w:rFonts w:ascii="Arial" w:hAnsi="Arial" w:cs="Arial"/>
                <w:b/>
                <w:sz w:val="22"/>
                <w:szCs w:val="22"/>
              </w:rPr>
            </w:pPr>
            <w:r w:rsidRPr="00BB13FC">
              <w:rPr>
                <w:rFonts w:ascii="Arial" w:hAnsi="Arial" w:cs="Arial"/>
                <w:b/>
                <w:sz w:val="22"/>
                <w:szCs w:val="22"/>
              </w:rPr>
              <w:t>Other</w:t>
            </w:r>
            <w:r w:rsidR="00684F6E">
              <w:rPr>
                <w:rFonts w:ascii="Arial" w:hAnsi="Arial" w:cs="Arial"/>
                <w:b/>
                <w:sz w:val="22"/>
                <w:szCs w:val="22"/>
              </w:rPr>
              <w:t xml:space="preserve"> types of company insolvency continue</w:t>
            </w:r>
            <w:r w:rsidR="004132BA">
              <w:rPr>
                <w:rFonts w:ascii="Arial" w:hAnsi="Arial" w:cs="Arial"/>
                <w:b/>
                <w:sz w:val="22"/>
                <w:szCs w:val="22"/>
              </w:rPr>
              <w:t>d</w:t>
            </w:r>
            <w:r w:rsidR="00684F6E">
              <w:rPr>
                <w:rFonts w:ascii="Arial" w:hAnsi="Arial" w:cs="Arial"/>
                <w:b/>
                <w:sz w:val="22"/>
                <w:szCs w:val="22"/>
              </w:rPr>
              <w:t xml:space="preserve"> to fall</w:t>
            </w:r>
          </w:p>
        </w:tc>
        <w:tc>
          <w:tcPr>
            <w:tcW w:w="7337" w:type="dxa"/>
          </w:tcPr>
          <w:p w:rsidR="006B4149" w:rsidRDefault="00070001" w:rsidP="00DD5D38">
            <w:pPr>
              <w:pStyle w:val="BodyText"/>
              <w:tabs>
                <w:tab w:val="left" w:pos="450"/>
              </w:tabs>
              <w:spacing w:before="120" w:after="240"/>
              <w:rPr>
                <w:rFonts w:ascii="Arial" w:hAnsi="Arial" w:cs="Arial"/>
                <w:sz w:val="22"/>
                <w:szCs w:val="22"/>
              </w:rPr>
            </w:pPr>
            <w:r w:rsidRPr="00604C8B">
              <w:rPr>
                <w:rFonts w:ascii="Arial" w:hAnsi="Arial" w:cs="Arial"/>
                <w:sz w:val="22"/>
                <w:szCs w:val="22"/>
              </w:rPr>
              <w:t xml:space="preserve">The </w:t>
            </w:r>
            <w:r w:rsidRPr="00C8419B">
              <w:rPr>
                <w:rFonts w:ascii="Arial" w:hAnsi="Arial" w:cs="Arial"/>
                <w:color w:val="000000"/>
                <w:sz w:val="22"/>
                <w:szCs w:val="22"/>
              </w:rPr>
              <w:t xml:space="preserve">number of </w:t>
            </w:r>
            <w:r w:rsidR="003D5600">
              <w:rPr>
                <w:rFonts w:ascii="Arial" w:hAnsi="Arial" w:cs="Arial"/>
                <w:color w:val="000000"/>
                <w:sz w:val="22"/>
                <w:szCs w:val="22"/>
              </w:rPr>
              <w:t xml:space="preserve">companies entering </w:t>
            </w:r>
            <w:r w:rsidRPr="00C8419B">
              <w:rPr>
                <w:rFonts w:ascii="Arial" w:hAnsi="Arial" w:cs="Arial"/>
                <w:color w:val="000000"/>
                <w:sz w:val="22"/>
                <w:szCs w:val="22"/>
              </w:rPr>
              <w:t xml:space="preserve">administration </w:t>
            </w:r>
            <w:r w:rsidR="00DD5D38">
              <w:rPr>
                <w:rFonts w:ascii="Arial" w:hAnsi="Arial" w:cs="Arial"/>
                <w:color w:val="000000"/>
                <w:sz w:val="22"/>
                <w:szCs w:val="22"/>
              </w:rPr>
              <w:t>decreased for the fourth consecutive</w:t>
            </w:r>
            <w:r>
              <w:rPr>
                <w:rFonts w:ascii="Arial" w:hAnsi="Arial" w:cs="Arial"/>
                <w:color w:val="000000"/>
                <w:sz w:val="22"/>
                <w:szCs w:val="22"/>
              </w:rPr>
              <w:t xml:space="preserve"> quarter</w:t>
            </w:r>
            <w:r w:rsidR="00DD5D38">
              <w:rPr>
                <w:rFonts w:ascii="Arial" w:hAnsi="Arial" w:cs="Arial"/>
                <w:color w:val="000000"/>
                <w:sz w:val="22"/>
                <w:szCs w:val="22"/>
              </w:rPr>
              <w:t xml:space="preserve">, and was 34.9% lower in Q2 2014 than the same period a year earlier. This was the lowest quarterly figure since Q1 2005. </w:t>
            </w:r>
            <w:r w:rsidR="004132BA">
              <w:rPr>
                <w:rFonts w:ascii="Arial" w:hAnsi="Arial" w:cs="Arial"/>
                <w:color w:val="000000"/>
                <w:sz w:val="22"/>
                <w:szCs w:val="22"/>
              </w:rPr>
              <w:t>Company voluntary arrangements and receiverships also decreased.</w:t>
            </w:r>
          </w:p>
        </w:tc>
      </w:tr>
      <w:tr w:rsidR="00FE7B5F" w:rsidTr="008C36F3">
        <w:tc>
          <w:tcPr>
            <w:tcW w:w="3369" w:type="dxa"/>
          </w:tcPr>
          <w:p w:rsidR="00FE7B5F" w:rsidRPr="00BB13FC" w:rsidRDefault="00C8419B" w:rsidP="002E5019">
            <w:pPr>
              <w:pStyle w:val="BodyText"/>
              <w:tabs>
                <w:tab w:val="left" w:pos="450"/>
              </w:tabs>
              <w:spacing w:before="120" w:after="240"/>
              <w:rPr>
                <w:rFonts w:ascii="Arial" w:hAnsi="Arial" w:cs="Arial"/>
                <w:b/>
                <w:sz w:val="22"/>
                <w:szCs w:val="22"/>
              </w:rPr>
            </w:pPr>
            <w:r>
              <w:rPr>
                <w:rFonts w:ascii="Arial" w:hAnsi="Arial" w:cs="Arial"/>
                <w:b/>
                <w:sz w:val="22"/>
                <w:szCs w:val="22"/>
              </w:rPr>
              <w:t>The l</w:t>
            </w:r>
            <w:r w:rsidR="00FE7B5F">
              <w:rPr>
                <w:rFonts w:ascii="Arial" w:hAnsi="Arial" w:cs="Arial"/>
                <w:b/>
                <w:sz w:val="22"/>
                <w:szCs w:val="22"/>
              </w:rPr>
              <w:t>iquidation ra</w:t>
            </w:r>
            <w:r w:rsidR="00684F6E">
              <w:rPr>
                <w:rFonts w:ascii="Arial" w:hAnsi="Arial" w:cs="Arial"/>
                <w:b/>
                <w:sz w:val="22"/>
                <w:szCs w:val="22"/>
              </w:rPr>
              <w:t xml:space="preserve">te </w:t>
            </w:r>
            <w:r w:rsidR="00FE1F2D">
              <w:rPr>
                <w:rFonts w:ascii="Arial" w:hAnsi="Arial" w:cs="Arial"/>
                <w:b/>
                <w:sz w:val="22"/>
                <w:szCs w:val="22"/>
              </w:rPr>
              <w:t xml:space="preserve">was </w:t>
            </w:r>
            <w:r w:rsidR="00684F6E">
              <w:rPr>
                <w:rFonts w:ascii="Arial" w:hAnsi="Arial" w:cs="Arial"/>
                <w:b/>
                <w:sz w:val="22"/>
                <w:szCs w:val="22"/>
              </w:rPr>
              <w:t>at its lowest level</w:t>
            </w:r>
            <w:r w:rsidR="00FE1F2D">
              <w:rPr>
                <w:rFonts w:ascii="Arial" w:hAnsi="Arial" w:cs="Arial"/>
                <w:b/>
                <w:sz w:val="22"/>
                <w:szCs w:val="22"/>
              </w:rPr>
              <w:t xml:space="preserve"> </w:t>
            </w:r>
          </w:p>
        </w:tc>
        <w:tc>
          <w:tcPr>
            <w:tcW w:w="7337" w:type="dxa"/>
          </w:tcPr>
          <w:p w:rsidR="00FE7B5F" w:rsidRDefault="00070001" w:rsidP="002E5019">
            <w:pPr>
              <w:pStyle w:val="BodyText"/>
              <w:tabs>
                <w:tab w:val="left" w:pos="450"/>
              </w:tabs>
              <w:spacing w:before="120" w:after="240"/>
              <w:rPr>
                <w:rFonts w:ascii="Arial" w:hAnsi="Arial" w:cs="Arial"/>
                <w:sz w:val="22"/>
                <w:szCs w:val="22"/>
              </w:rPr>
            </w:pPr>
            <w:r>
              <w:rPr>
                <w:rFonts w:ascii="Arial" w:hAnsi="Arial" w:cs="Arial"/>
                <w:sz w:val="22"/>
                <w:szCs w:val="22"/>
              </w:rPr>
              <w:t xml:space="preserve">The liquidation rate </w:t>
            </w:r>
            <w:r w:rsidR="00DD5D38">
              <w:rPr>
                <w:rFonts w:ascii="Arial" w:hAnsi="Arial" w:cs="Arial"/>
                <w:sz w:val="22"/>
                <w:szCs w:val="22"/>
              </w:rPr>
              <w:t>in the 12 months ending Q2 2014 wa</w:t>
            </w:r>
            <w:r>
              <w:rPr>
                <w:rFonts w:ascii="Arial" w:hAnsi="Arial" w:cs="Arial"/>
                <w:sz w:val="22"/>
                <w:szCs w:val="22"/>
              </w:rPr>
              <w:t>s at its lowest level since data has been available to calculate the rate.</w:t>
            </w:r>
          </w:p>
        </w:tc>
      </w:tr>
    </w:tbl>
    <w:p w:rsidR="00D443E8" w:rsidRDefault="00D443E8" w:rsidP="00782D59">
      <w:pPr>
        <w:pStyle w:val="BodyText"/>
        <w:tabs>
          <w:tab w:val="left" w:pos="450"/>
        </w:tabs>
        <w:spacing w:before="120" w:line="276" w:lineRule="auto"/>
        <w:rPr>
          <w:rFonts w:ascii="Arial" w:hAnsi="Arial" w:cs="Arial"/>
          <w:sz w:val="22"/>
          <w:szCs w:val="22"/>
        </w:rPr>
      </w:pPr>
    </w:p>
    <w:p w:rsidR="00BB13FC" w:rsidRDefault="00BB13FC" w:rsidP="00BB13FC">
      <w:pPr>
        <w:pageBreakBefore/>
        <w:spacing w:after="240" w:line="276" w:lineRule="auto"/>
        <w:rPr>
          <w:rFonts w:ascii="Arial" w:hAnsi="Arial" w:cs="Arial"/>
          <w:b/>
          <w:sz w:val="28"/>
          <w:szCs w:val="22"/>
        </w:rPr>
      </w:pPr>
      <w:r>
        <w:rPr>
          <w:rFonts w:ascii="Arial" w:hAnsi="Arial" w:cs="Arial"/>
          <w:b/>
          <w:sz w:val="28"/>
          <w:szCs w:val="22"/>
        </w:rPr>
        <w:lastRenderedPageBreak/>
        <w:t>1.</w:t>
      </w:r>
      <w:r w:rsidR="008C36F3">
        <w:rPr>
          <w:rFonts w:ascii="Arial" w:hAnsi="Arial" w:cs="Arial"/>
          <w:b/>
          <w:sz w:val="28"/>
          <w:szCs w:val="22"/>
        </w:rPr>
        <w:t>2</w:t>
      </w:r>
      <w:r>
        <w:rPr>
          <w:rFonts w:ascii="Arial" w:hAnsi="Arial" w:cs="Arial"/>
          <w:b/>
          <w:sz w:val="28"/>
          <w:szCs w:val="22"/>
        </w:rPr>
        <w:t xml:space="preserve"> Individual insolvency in England and Wales</w:t>
      </w:r>
      <w:r w:rsidR="00221326">
        <w:rPr>
          <w:rFonts w:ascii="Arial" w:hAnsi="Arial" w:cs="Arial"/>
          <w:b/>
          <w:sz w:val="28"/>
          <w:szCs w:val="22"/>
        </w:rPr>
        <w:t xml:space="preserve"> </w:t>
      </w:r>
      <w:r w:rsidR="00221326" w:rsidRPr="00221326">
        <w:rPr>
          <w:rFonts w:ascii="Arial" w:hAnsi="Arial" w:cs="Arial"/>
          <w:i/>
          <w:sz w:val="22"/>
          <w:szCs w:val="22"/>
        </w:rPr>
        <w:t>(</w:t>
      </w:r>
      <w:r w:rsidR="00221326">
        <w:rPr>
          <w:rFonts w:ascii="Arial" w:hAnsi="Arial" w:cs="Arial"/>
          <w:i/>
          <w:sz w:val="22"/>
          <w:szCs w:val="22"/>
        </w:rPr>
        <w:t>Further information: section 3</w:t>
      </w:r>
      <w:r w:rsidR="00221326" w:rsidRPr="00221326">
        <w:rPr>
          <w:rFonts w:ascii="Arial" w:hAnsi="Arial" w:cs="Arial"/>
          <w:i/>
          <w:sz w:val="22"/>
          <w:szCs w:val="22"/>
        </w:rPr>
        <w:t>)</w:t>
      </w:r>
    </w:p>
    <w:p w:rsidR="00782D59" w:rsidRPr="00D443E8" w:rsidRDefault="00D443E8" w:rsidP="00BB13FC">
      <w:pPr>
        <w:tabs>
          <w:tab w:val="left" w:pos="965"/>
        </w:tabs>
        <w:spacing w:before="120" w:line="276" w:lineRule="auto"/>
        <w:rPr>
          <w:rFonts w:ascii="Arial" w:hAnsi="Arial" w:cs="Arial"/>
          <w:b/>
          <w:color w:val="000000"/>
          <w:sz w:val="22"/>
          <w:szCs w:val="22"/>
        </w:rPr>
      </w:pPr>
      <w:r w:rsidRPr="00B60F95">
        <w:rPr>
          <w:rFonts w:ascii="Arial" w:hAnsi="Arial" w:cs="Arial"/>
          <w:b/>
          <w:color w:val="000000"/>
          <w:sz w:val="22"/>
          <w:szCs w:val="22"/>
        </w:rPr>
        <w:t xml:space="preserve">Figure </w:t>
      </w:r>
      <w:r>
        <w:rPr>
          <w:rFonts w:ascii="Arial" w:hAnsi="Arial" w:cs="Arial"/>
          <w:b/>
          <w:color w:val="000000"/>
          <w:sz w:val="22"/>
          <w:szCs w:val="22"/>
        </w:rPr>
        <w:t>2</w:t>
      </w:r>
      <w:r w:rsidRPr="00B60F95">
        <w:rPr>
          <w:rFonts w:ascii="Arial" w:hAnsi="Arial" w:cs="Arial"/>
          <w:b/>
          <w:color w:val="000000"/>
          <w:sz w:val="22"/>
          <w:szCs w:val="22"/>
        </w:rPr>
        <w:t xml:space="preserve">: </w:t>
      </w:r>
      <w:r>
        <w:rPr>
          <w:rFonts w:ascii="Arial" w:hAnsi="Arial" w:cs="Arial"/>
          <w:b/>
          <w:color w:val="000000"/>
          <w:sz w:val="22"/>
          <w:szCs w:val="22"/>
        </w:rPr>
        <w:t xml:space="preserve">Individual </w:t>
      </w:r>
      <w:r w:rsidR="003D5600">
        <w:rPr>
          <w:rFonts w:ascii="Arial" w:hAnsi="Arial" w:cs="Arial"/>
          <w:b/>
          <w:color w:val="000000"/>
          <w:sz w:val="22"/>
          <w:szCs w:val="22"/>
        </w:rPr>
        <w:t>i</w:t>
      </w:r>
      <w:r>
        <w:rPr>
          <w:rFonts w:ascii="Arial" w:hAnsi="Arial" w:cs="Arial"/>
          <w:b/>
          <w:color w:val="000000"/>
          <w:sz w:val="22"/>
          <w:szCs w:val="22"/>
        </w:rPr>
        <w:t>nsolvencies</w:t>
      </w:r>
      <w:r w:rsidRPr="00B60F95">
        <w:rPr>
          <w:rFonts w:ascii="Arial" w:hAnsi="Arial" w:cs="Arial"/>
          <w:b/>
          <w:color w:val="000000"/>
          <w:sz w:val="22"/>
          <w:szCs w:val="22"/>
        </w:rPr>
        <w:t xml:space="preserve"> in England and Wales</w:t>
      </w:r>
      <w:r w:rsidRPr="00B60F95">
        <w:rPr>
          <w:rFonts w:ascii="Arial" w:hAnsi="Arial" w:cs="Arial"/>
          <w:b/>
          <w:color w:val="000000"/>
          <w:sz w:val="22"/>
          <w:szCs w:val="22"/>
          <w:vertAlign w:val="superscript"/>
        </w:rPr>
        <w:t>1</w:t>
      </w:r>
      <w:r>
        <w:rPr>
          <w:rFonts w:ascii="Arial" w:hAnsi="Arial" w:cs="Arial"/>
          <w:b/>
          <w:color w:val="000000"/>
          <w:sz w:val="22"/>
          <w:szCs w:val="22"/>
        </w:rPr>
        <w:t xml:space="preserve"> </w:t>
      </w:r>
      <w:r w:rsidRPr="00B60F95">
        <w:rPr>
          <w:rFonts w:ascii="Arial" w:hAnsi="Arial" w:cs="Arial"/>
          <w:color w:val="000000"/>
          <w:sz w:val="22"/>
          <w:szCs w:val="22"/>
        </w:rPr>
        <w:t>(</w:t>
      </w:r>
      <w:r w:rsidR="00AA4F9A">
        <w:rPr>
          <w:rFonts w:ascii="Arial" w:hAnsi="Arial" w:cs="Arial"/>
          <w:color w:val="000000"/>
          <w:sz w:val="22"/>
          <w:szCs w:val="22"/>
        </w:rPr>
        <w:t xml:space="preserve">quarterly data, </w:t>
      </w:r>
      <w:r>
        <w:rPr>
          <w:rFonts w:ascii="Arial" w:hAnsi="Arial" w:cs="Arial"/>
          <w:color w:val="000000"/>
          <w:sz w:val="22"/>
          <w:szCs w:val="22"/>
        </w:rPr>
        <w:t xml:space="preserve">not </w:t>
      </w:r>
      <w:r w:rsidRPr="00B60F95">
        <w:rPr>
          <w:rFonts w:ascii="Arial" w:hAnsi="Arial" w:cs="Arial"/>
          <w:color w:val="000000"/>
          <w:sz w:val="22"/>
          <w:szCs w:val="22"/>
        </w:rPr>
        <w:t>seasonally adjusted)</w:t>
      </w:r>
      <w:r w:rsidRPr="00B60F95">
        <w:rPr>
          <w:rFonts w:ascii="Arial" w:hAnsi="Arial" w:cs="Arial"/>
          <w:color w:val="000000"/>
          <w:sz w:val="22"/>
          <w:szCs w:val="22"/>
          <w:vertAlign w:val="superscript"/>
        </w:rPr>
        <w:t>2</w:t>
      </w:r>
    </w:p>
    <w:p w:rsidR="00D443E8" w:rsidRDefault="00767583" w:rsidP="00782D59">
      <w:pPr>
        <w:pStyle w:val="BodyText"/>
        <w:tabs>
          <w:tab w:val="left" w:pos="450"/>
        </w:tabs>
        <w:spacing w:before="120" w:line="276" w:lineRule="auto"/>
        <w:rPr>
          <w:rFonts w:ascii="Arial" w:hAnsi="Arial" w:cs="Arial"/>
          <w:sz w:val="22"/>
          <w:szCs w:val="22"/>
        </w:rPr>
      </w:pPr>
      <w:r>
        <w:rPr>
          <w:rFonts w:ascii="Arial" w:hAnsi="Arial" w:cs="Arial"/>
          <w:noProof/>
          <w:sz w:val="22"/>
          <w:szCs w:val="22"/>
          <w:lang w:eastAsia="en-GB"/>
        </w:rPr>
        <w:drawing>
          <wp:inline distT="0" distB="0" distL="0" distR="0" wp14:anchorId="1CBFE023" wp14:editId="08065B69">
            <wp:extent cx="6638925" cy="2771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8925" cy="2771775"/>
                    </a:xfrm>
                    <a:prstGeom prst="rect">
                      <a:avLst/>
                    </a:prstGeom>
                    <a:noFill/>
                    <a:ln>
                      <a:noFill/>
                    </a:ln>
                  </pic:spPr>
                </pic:pic>
              </a:graphicData>
            </a:graphic>
          </wp:inline>
        </w:drawing>
      </w:r>
    </w:p>
    <w:p w:rsidR="00D443E8" w:rsidRPr="000B6473" w:rsidRDefault="00D443E8" w:rsidP="00D443E8">
      <w:pPr>
        <w:tabs>
          <w:tab w:val="left" w:pos="965"/>
        </w:tabs>
        <w:spacing w:after="60"/>
        <w:rPr>
          <w:rFonts w:ascii="Arial" w:hAnsi="Arial" w:cs="Arial"/>
          <w:color w:val="000000"/>
          <w:sz w:val="18"/>
          <w:szCs w:val="18"/>
        </w:rPr>
      </w:pPr>
      <w:r w:rsidRPr="000B6473">
        <w:rPr>
          <w:rFonts w:ascii="Arial" w:hAnsi="Arial" w:cs="Arial"/>
          <w:color w:val="000000"/>
          <w:sz w:val="18"/>
          <w:szCs w:val="18"/>
        </w:rPr>
        <w:t>Source: Insolvency Service.</w:t>
      </w:r>
    </w:p>
    <w:p w:rsidR="00D443E8" w:rsidRPr="000B6473" w:rsidRDefault="00D443E8" w:rsidP="00D443E8">
      <w:pPr>
        <w:tabs>
          <w:tab w:val="left" w:pos="965"/>
        </w:tabs>
        <w:spacing w:after="60"/>
        <w:rPr>
          <w:rFonts w:ascii="Arial" w:hAnsi="Arial" w:cs="Arial"/>
          <w:color w:val="000000"/>
          <w:sz w:val="18"/>
          <w:szCs w:val="18"/>
        </w:rPr>
      </w:pPr>
      <w:r w:rsidRPr="000B6473">
        <w:rPr>
          <w:rFonts w:ascii="Arial" w:hAnsi="Arial" w:cs="Arial"/>
          <w:color w:val="000000"/>
          <w:sz w:val="18"/>
          <w:szCs w:val="18"/>
          <w:vertAlign w:val="superscript"/>
        </w:rPr>
        <w:t>1</w:t>
      </w:r>
      <w:r w:rsidRPr="000B6473">
        <w:rPr>
          <w:rFonts w:ascii="Arial" w:hAnsi="Arial" w:cs="Arial"/>
          <w:color w:val="000000"/>
          <w:sz w:val="18"/>
          <w:szCs w:val="18"/>
        </w:rPr>
        <w:t xml:space="preserve"> </w:t>
      </w:r>
      <w:r w:rsidRPr="000B6473">
        <w:rPr>
          <w:rFonts w:ascii="Arial" w:hAnsi="Arial" w:cs="Arial"/>
          <w:color w:val="000000" w:themeColor="text1"/>
          <w:sz w:val="18"/>
          <w:szCs w:val="18"/>
        </w:rPr>
        <w:t>Total individual insolvencies for Q2 2009 onwards include Debt Relief Orders, which came into force on 6 April 2009</w:t>
      </w:r>
      <w:r w:rsidR="003D5600">
        <w:rPr>
          <w:rFonts w:ascii="Arial" w:hAnsi="Arial" w:cs="Arial"/>
          <w:color w:val="000000" w:themeColor="text1"/>
          <w:sz w:val="18"/>
          <w:szCs w:val="18"/>
        </w:rPr>
        <w:t>.</w:t>
      </w:r>
    </w:p>
    <w:p w:rsidR="00D443E8" w:rsidRPr="000B6473" w:rsidRDefault="00D443E8" w:rsidP="00D443E8">
      <w:pPr>
        <w:tabs>
          <w:tab w:val="left" w:pos="965"/>
        </w:tabs>
        <w:spacing w:after="60"/>
        <w:rPr>
          <w:rFonts w:ascii="Arial" w:hAnsi="Arial" w:cs="Arial"/>
          <w:color w:val="000000" w:themeColor="text1"/>
          <w:sz w:val="18"/>
          <w:szCs w:val="18"/>
        </w:rPr>
      </w:pPr>
      <w:r w:rsidRPr="000B6473">
        <w:rPr>
          <w:rFonts w:ascii="Arial" w:hAnsi="Arial" w:cs="Arial"/>
          <w:color w:val="000000"/>
          <w:sz w:val="18"/>
          <w:szCs w:val="18"/>
          <w:vertAlign w:val="superscript"/>
        </w:rPr>
        <w:t>2</w:t>
      </w:r>
      <w:r w:rsidRPr="000B6473">
        <w:rPr>
          <w:rFonts w:ascii="Arial" w:hAnsi="Arial" w:cs="Arial"/>
          <w:color w:val="000000"/>
          <w:sz w:val="18"/>
          <w:szCs w:val="18"/>
        </w:rPr>
        <w:t xml:space="preserve"> </w:t>
      </w:r>
      <w:r w:rsidRPr="000B6473">
        <w:rPr>
          <w:rFonts w:ascii="Arial" w:hAnsi="Arial" w:cs="Arial"/>
          <w:color w:val="000000" w:themeColor="text1"/>
          <w:sz w:val="18"/>
          <w:szCs w:val="18"/>
        </w:rPr>
        <w:t xml:space="preserve">The accompanying detailed tables include seasonally adjusted series for bankruptcy orders and IVAs. The series for DROs is not currently long enough to </w:t>
      </w:r>
      <w:r w:rsidR="002D3A05">
        <w:rPr>
          <w:rFonts w:ascii="Arial" w:hAnsi="Arial" w:cs="Arial"/>
          <w:color w:val="000000" w:themeColor="text1"/>
          <w:sz w:val="18"/>
          <w:szCs w:val="18"/>
        </w:rPr>
        <w:t>apply</w:t>
      </w:r>
      <w:r w:rsidR="002D3A05" w:rsidRPr="000B6473">
        <w:rPr>
          <w:rFonts w:ascii="Arial" w:hAnsi="Arial" w:cs="Arial"/>
          <w:color w:val="000000" w:themeColor="text1"/>
          <w:sz w:val="18"/>
          <w:szCs w:val="18"/>
        </w:rPr>
        <w:t xml:space="preserve"> </w:t>
      </w:r>
      <w:r w:rsidRPr="000B6473">
        <w:rPr>
          <w:rFonts w:ascii="Arial" w:hAnsi="Arial" w:cs="Arial"/>
          <w:color w:val="000000" w:themeColor="text1"/>
          <w:sz w:val="18"/>
          <w:szCs w:val="18"/>
        </w:rPr>
        <w:t>seasonal adjust</w:t>
      </w:r>
      <w:r w:rsidR="002D3A05">
        <w:rPr>
          <w:rFonts w:ascii="Arial" w:hAnsi="Arial" w:cs="Arial"/>
          <w:color w:val="000000" w:themeColor="text1"/>
          <w:sz w:val="18"/>
          <w:szCs w:val="18"/>
        </w:rPr>
        <w:t>ment</w:t>
      </w:r>
      <w:r w:rsidRPr="000B6473">
        <w:rPr>
          <w:rFonts w:ascii="Arial" w:hAnsi="Arial" w:cs="Arial"/>
          <w:color w:val="000000" w:themeColor="text1"/>
          <w:sz w:val="18"/>
          <w:szCs w:val="18"/>
        </w:rPr>
        <w:t>.</w:t>
      </w:r>
    </w:p>
    <w:p w:rsidR="00D443E8" w:rsidRPr="000B6473" w:rsidRDefault="00D443E8" w:rsidP="008B4D6F">
      <w:pPr>
        <w:tabs>
          <w:tab w:val="left" w:pos="965"/>
        </w:tabs>
        <w:spacing w:after="60"/>
        <w:rPr>
          <w:rFonts w:ascii="Arial" w:hAnsi="Arial" w:cs="Arial"/>
          <w:sz w:val="18"/>
          <w:szCs w:val="18"/>
        </w:rPr>
      </w:pPr>
      <w:r w:rsidRPr="000B6473">
        <w:rPr>
          <w:rFonts w:ascii="Arial" w:hAnsi="Arial" w:cs="Arial"/>
          <w:color w:val="000000"/>
          <w:sz w:val="18"/>
          <w:szCs w:val="18"/>
        </w:rPr>
        <w:t xml:space="preserve">See Table 2 of </w:t>
      </w:r>
      <w:r w:rsidRPr="008B4D6F">
        <w:rPr>
          <w:rFonts w:ascii="Arial" w:hAnsi="Arial" w:cs="Arial"/>
          <w:color w:val="000000" w:themeColor="text1"/>
          <w:sz w:val="18"/>
          <w:szCs w:val="18"/>
        </w:rPr>
        <w:t>the</w:t>
      </w:r>
      <w:r w:rsidRPr="000B6473">
        <w:rPr>
          <w:rFonts w:ascii="Arial" w:hAnsi="Arial" w:cs="Arial"/>
          <w:color w:val="000000"/>
          <w:sz w:val="18"/>
          <w:szCs w:val="18"/>
        </w:rPr>
        <w:t xml:space="preserve"> accompanying Excel file for more detail.</w:t>
      </w:r>
    </w:p>
    <w:p w:rsidR="00D443E8" w:rsidRDefault="00D443E8" w:rsidP="00782D59">
      <w:pPr>
        <w:pStyle w:val="BodyText"/>
        <w:tabs>
          <w:tab w:val="left" w:pos="450"/>
        </w:tabs>
        <w:spacing w:before="120" w:line="276" w:lineRule="auto"/>
        <w:rPr>
          <w:rFonts w:ascii="Arial" w:hAnsi="Arial" w:cs="Arial"/>
          <w:sz w:val="22"/>
          <w:szCs w:val="22"/>
        </w:rPr>
      </w:pPr>
    </w:p>
    <w:p w:rsidR="008C36F3" w:rsidRPr="00BB13FC" w:rsidRDefault="008C36F3" w:rsidP="008C36F3">
      <w:pPr>
        <w:spacing w:after="240" w:line="276" w:lineRule="auto"/>
        <w:rPr>
          <w:rFonts w:ascii="Arial" w:hAnsi="Arial" w:cs="Arial"/>
          <w:b/>
          <w:sz w:val="28"/>
          <w:szCs w:val="22"/>
        </w:rPr>
      </w:pPr>
      <w:r w:rsidRPr="00BB13FC">
        <w:rPr>
          <w:rFonts w:ascii="Arial" w:hAnsi="Arial" w:cs="Arial"/>
          <w:b/>
          <w:sz w:val="28"/>
          <w:szCs w:val="22"/>
        </w:rPr>
        <w:t>Key findings this quarter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69"/>
        <w:gridCol w:w="7337"/>
      </w:tblGrid>
      <w:tr w:rsidR="00684F6E" w:rsidTr="00CF54D8">
        <w:tc>
          <w:tcPr>
            <w:tcW w:w="3369" w:type="dxa"/>
          </w:tcPr>
          <w:p w:rsidR="00684F6E" w:rsidRPr="00BB13FC" w:rsidRDefault="00684F6E" w:rsidP="003D5600">
            <w:pPr>
              <w:pStyle w:val="BodyText"/>
              <w:tabs>
                <w:tab w:val="left" w:pos="450"/>
              </w:tabs>
              <w:spacing w:before="120" w:after="240"/>
              <w:rPr>
                <w:rFonts w:ascii="Arial" w:hAnsi="Arial" w:cs="Arial"/>
                <w:b/>
                <w:sz w:val="22"/>
                <w:szCs w:val="22"/>
              </w:rPr>
            </w:pPr>
            <w:r>
              <w:rPr>
                <w:rFonts w:ascii="Arial" w:hAnsi="Arial" w:cs="Arial"/>
                <w:b/>
                <w:sz w:val="22"/>
                <w:szCs w:val="22"/>
              </w:rPr>
              <w:t xml:space="preserve">Total individual </w:t>
            </w:r>
            <w:r w:rsidR="00150661">
              <w:rPr>
                <w:rFonts w:ascii="Arial" w:hAnsi="Arial" w:cs="Arial"/>
                <w:b/>
                <w:sz w:val="22"/>
                <w:szCs w:val="22"/>
              </w:rPr>
              <w:t>i</w:t>
            </w:r>
            <w:r>
              <w:rPr>
                <w:rFonts w:ascii="Arial" w:hAnsi="Arial" w:cs="Arial"/>
                <w:b/>
                <w:sz w:val="22"/>
                <w:szCs w:val="22"/>
              </w:rPr>
              <w:t>nsolvencies</w:t>
            </w:r>
            <w:r w:rsidR="00BD2E9E">
              <w:rPr>
                <w:rFonts w:ascii="Arial" w:hAnsi="Arial" w:cs="Arial"/>
                <w:b/>
                <w:sz w:val="22"/>
                <w:szCs w:val="22"/>
              </w:rPr>
              <w:t xml:space="preserve"> increased</w:t>
            </w:r>
            <w:r w:rsidR="00457EB1">
              <w:rPr>
                <w:rFonts w:ascii="Arial" w:hAnsi="Arial" w:cs="Arial"/>
                <w:b/>
                <w:sz w:val="22"/>
                <w:szCs w:val="22"/>
              </w:rPr>
              <w:t xml:space="preserve"> since </w:t>
            </w:r>
            <w:r w:rsidR="003D5600">
              <w:rPr>
                <w:rFonts w:ascii="Arial" w:hAnsi="Arial" w:cs="Arial"/>
                <w:b/>
                <w:sz w:val="22"/>
                <w:szCs w:val="22"/>
              </w:rPr>
              <w:t>this time last year</w:t>
            </w:r>
          </w:p>
        </w:tc>
        <w:tc>
          <w:tcPr>
            <w:tcW w:w="7337" w:type="dxa"/>
          </w:tcPr>
          <w:p w:rsidR="00684F6E" w:rsidRDefault="00684F6E" w:rsidP="00FE1F2D">
            <w:pPr>
              <w:pStyle w:val="BodyText"/>
              <w:tabs>
                <w:tab w:val="left" w:pos="450"/>
              </w:tabs>
              <w:spacing w:before="120" w:after="240"/>
              <w:rPr>
                <w:rFonts w:ascii="Arial" w:hAnsi="Arial" w:cs="Arial"/>
                <w:sz w:val="22"/>
                <w:szCs w:val="22"/>
              </w:rPr>
            </w:pPr>
            <w:r>
              <w:rPr>
                <w:rFonts w:ascii="Arial" w:hAnsi="Arial" w:cs="Arial"/>
                <w:sz w:val="22"/>
                <w:szCs w:val="22"/>
              </w:rPr>
              <w:t xml:space="preserve">The number of </w:t>
            </w:r>
            <w:r w:rsidR="00FE1F2D">
              <w:rPr>
                <w:rFonts w:ascii="Arial" w:hAnsi="Arial" w:cs="Arial"/>
                <w:sz w:val="22"/>
                <w:szCs w:val="22"/>
              </w:rPr>
              <w:t xml:space="preserve">people who became insolvent in England and Wales was </w:t>
            </w:r>
            <w:r>
              <w:rPr>
                <w:rFonts w:ascii="Arial" w:hAnsi="Arial" w:cs="Arial"/>
                <w:sz w:val="22"/>
                <w:szCs w:val="22"/>
              </w:rPr>
              <w:t>27,029</w:t>
            </w:r>
            <w:r w:rsidR="00FE1F2D">
              <w:rPr>
                <w:rFonts w:ascii="Arial" w:hAnsi="Arial" w:cs="Arial"/>
                <w:sz w:val="22"/>
                <w:szCs w:val="22"/>
              </w:rPr>
              <w:t xml:space="preserve"> in Q2 2014</w:t>
            </w:r>
            <w:r w:rsidR="00457EB1">
              <w:rPr>
                <w:rFonts w:ascii="Arial" w:hAnsi="Arial" w:cs="Arial"/>
                <w:sz w:val="22"/>
                <w:szCs w:val="22"/>
              </w:rPr>
              <w:t>,</w:t>
            </w:r>
            <w:r>
              <w:rPr>
                <w:rFonts w:ascii="Arial" w:hAnsi="Arial" w:cs="Arial"/>
                <w:sz w:val="22"/>
                <w:szCs w:val="22"/>
              </w:rPr>
              <w:t xml:space="preserve"> a 5.1% increase on the same quarter last year. </w:t>
            </w:r>
          </w:p>
        </w:tc>
      </w:tr>
      <w:tr w:rsidR="00684F6E" w:rsidTr="00CF54D8">
        <w:tc>
          <w:tcPr>
            <w:tcW w:w="3369" w:type="dxa"/>
          </w:tcPr>
          <w:p w:rsidR="00684F6E" w:rsidRPr="00BB13FC" w:rsidRDefault="00457EB1" w:rsidP="00FE1F2D">
            <w:pPr>
              <w:pStyle w:val="BodyText"/>
              <w:tabs>
                <w:tab w:val="left" w:pos="450"/>
              </w:tabs>
              <w:spacing w:before="120" w:after="240"/>
              <w:rPr>
                <w:rFonts w:ascii="Arial" w:hAnsi="Arial" w:cs="Arial"/>
                <w:b/>
                <w:sz w:val="22"/>
                <w:szCs w:val="22"/>
              </w:rPr>
            </w:pPr>
            <w:r>
              <w:rPr>
                <w:rFonts w:ascii="Arial" w:hAnsi="Arial" w:cs="Arial"/>
                <w:b/>
                <w:sz w:val="22"/>
                <w:szCs w:val="22"/>
              </w:rPr>
              <w:t xml:space="preserve">This </w:t>
            </w:r>
            <w:r w:rsidR="00FE1F2D">
              <w:rPr>
                <w:rFonts w:ascii="Arial" w:hAnsi="Arial" w:cs="Arial"/>
                <w:b/>
                <w:sz w:val="22"/>
                <w:szCs w:val="22"/>
              </w:rPr>
              <w:t xml:space="preserve">is because of </w:t>
            </w:r>
            <w:r>
              <w:rPr>
                <w:rFonts w:ascii="Arial" w:hAnsi="Arial" w:cs="Arial"/>
                <w:b/>
                <w:sz w:val="22"/>
                <w:szCs w:val="22"/>
              </w:rPr>
              <w:t xml:space="preserve">an increase of </w:t>
            </w:r>
            <w:r w:rsidR="00BD2E9E">
              <w:rPr>
                <w:rFonts w:ascii="Arial" w:hAnsi="Arial" w:cs="Arial"/>
                <w:b/>
                <w:sz w:val="22"/>
                <w:szCs w:val="22"/>
              </w:rPr>
              <w:t xml:space="preserve">one-fifth </w:t>
            </w:r>
            <w:r>
              <w:rPr>
                <w:rFonts w:ascii="Arial" w:hAnsi="Arial" w:cs="Arial"/>
                <w:b/>
                <w:sz w:val="22"/>
                <w:szCs w:val="22"/>
              </w:rPr>
              <w:t xml:space="preserve">in the number of </w:t>
            </w:r>
            <w:r w:rsidR="00DD5D38">
              <w:rPr>
                <w:rFonts w:ascii="Arial" w:hAnsi="Arial" w:cs="Arial"/>
                <w:b/>
                <w:sz w:val="22"/>
                <w:szCs w:val="22"/>
              </w:rPr>
              <w:t>individual voluntary arrangements</w:t>
            </w:r>
          </w:p>
        </w:tc>
        <w:tc>
          <w:tcPr>
            <w:tcW w:w="7337" w:type="dxa"/>
          </w:tcPr>
          <w:p w:rsidR="00684F6E" w:rsidRDefault="00BD2E9E" w:rsidP="004132BA">
            <w:pPr>
              <w:pStyle w:val="BodyText"/>
              <w:tabs>
                <w:tab w:val="left" w:pos="450"/>
              </w:tabs>
              <w:spacing w:before="120" w:after="240"/>
              <w:rPr>
                <w:rFonts w:ascii="Arial" w:hAnsi="Arial" w:cs="Arial"/>
                <w:sz w:val="22"/>
                <w:szCs w:val="22"/>
              </w:rPr>
            </w:pPr>
            <w:r>
              <w:rPr>
                <w:rFonts w:ascii="Arial" w:hAnsi="Arial" w:cs="Arial"/>
                <w:sz w:val="22"/>
                <w:szCs w:val="22"/>
              </w:rPr>
              <w:t>Th</w:t>
            </w:r>
            <w:r w:rsidR="00FE1F2D">
              <w:rPr>
                <w:rFonts w:ascii="Arial" w:hAnsi="Arial" w:cs="Arial"/>
                <w:sz w:val="22"/>
                <w:szCs w:val="22"/>
              </w:rPr>
              <w:t>is</w:t>
            </w:r>
            <w:r>
              <w:rPr>
                <w:rFonts w:ascii="Arial" w:hAnsi="Arial" w:cs="Arial"/>
                <w:sz w:val="22"/>
                <w:szCs w:val="22"/>
              </w:rPr>
              <w:t xml:space="preserve"> increase was driven by a 20.2% </w:t>
            </w:r>
            <w:r w:rsidR="00FE1F2D">
              <w:rPr>
                <w:rFonts w:ascii="Arial" w:hAnsi="Arial" w:cs="Arial"/>
                <w:sz w:val="22"/>
                <w:szCs w:val="22"/>
              </w:rPr>
              <w:t xml:space="preserve">rise </w:t>
            </w:r>
            <w:r>
              <w:rPr>
                <w:rFonts w:ascii="Arial" w:hAnsi="Arial" w:cs="Arial"/>
                <w:sz w:val="22"/>
                <w:szCs w:val="22"/>
              </w:rPr>
              <w:t>in the number of i</w:t>
            </w:r>
            <w:r w:rsidR="00684F6E">
              <w:rPr>
                <w:rFonts w:ascii="Arial" w:hAnsi="Arial" w:cs="Arial"/>
                <w:sz w:val="22"/>
                <w:szCs w:val="22"/>
              </w:rPr>
              <w:t xml:space="preserve">ndividual </w:t>
            </w:r>
            <w:r>
              <w:rPr>
                <w:rFonts w:ascii="Arial" w:hAnsi="Arial" w:cs="Arial"/>
                <w:sz w:val="22"/>
                <w:szCs w:val="22"/>
              </w:rPr>
              <w:t>v</w:t>
            </w:r>
            <w:r w:rsidR="00684F6E">
              <w:rPr>
                <w:rFonts w:ascii="Arial" w:hAnsi="Arial" w:cs="Arial"/>
                <w:sz w:val="22"/>
                <w:szCs w:val="22"/>
              </w:rPr>
              <w:t xml:space="preserve">oluntary </w:t>
            </w:r>
            <w:r>
              <w:rPr>
                <w:rFonts w:ascii="Arial" w:hAnsi="Arial" w:cs="Arial"/>
                <w:sz w:val="22"/>
                <w:szCs w:val="22"/>
              </w:rPr>
              <w:t>a</w:t>
            </w:r>
            <w:r w:rsidR="00684F6E">
              <w:rPr>
                <w:rFonts w:ascii="Arial" w:hAnsi="Arial" w:cs="Arial"/>
                <w:sz w:val="22"/>
                <w:szCs w:val="22"/>
              </w:rPr>
              <w:t>rrangements</w:t>
            </w:r>
            <w:r w:rsidR="00BD5580">
              <w:rPr>
                <w:rFonts w:ascii="Arial" w:hAnsi="Arial" w:cs="Arial"/>
                <w:sz w:val="22"/>
                <w:szCs w:val="22"/>
              </w:rPr>
              <w:t xml:space="preserve"> (IVAs)</w:t>
            </w:r>
            <w:r w:rsidR="00FE1F2D">
              <w:rPr>
                <w:rFonts w:ascii="Arial" w:hAnsi="Arial" w:cs="Arial"/>
                <w:sz w:val="22"/>
                <w:szCs w:val="22"/>
              </w:rPr>
              <w:t xml:space="preserve"> compared with a year earlier.</w:t>
            </w:r>
            <w:r w:rsidR="004132BA">
              <w:rPr>
                <w:rFonts w:ascii="Arial" w:hAnsi="Arial" w:cs="Arial"/>
                <w:sz w:val="22"/>
                <w:szCs w:val="22"/>
              </w:rPr>
              <w:t xml:space="preserve"> There were 14,571 IVAs registered</w:t>
            </w:r>
            <w:r w:rsidR="00684F6E">
              <w:rPr>
                <w:rFonts w:ascii="Arial" w:hAnsi="Arial" w:cs="Arial"/>
                <w:sz w:val="22"/>
                <w:szCs w:val="22"/>
              </w:rPr>
              <w:t xml:space="preserve"> </w:t>
            </w:r>
            <w:r>
              <w:rPr>
                <w:rFonts w:ascii="Arial" w:hAnsi="Arial" w:cs="Arial"/>
                <w:sz w:val="22"/>
                <w:szCs w:val="22"/>
              </w:rPr>
              <w:t>in Q2 2014</w:t>
            </w:r>
            <w:r w:rsidR="004132BA">
              <w:rPr>
                <w:rFonts w:ascii="Arial" w:hAnsi="Arial" w:cs="Arial"/>
                <w:sz w:val="22"/>
                <w:szCs w:val="22"/>
              </w:rPr>
              <w:t>,</w:t>
            </w:r>
            <w:r>
              <w:rPr>
                <w:rFonts w:ascii="Arial" w:hAnsi="Arial" w:cs="Arial"/>
                <w:sz w:val="22"/>
                <w:szCs w:val="22"/>
              </w:rPr>
              <w:t xml:space="preserve"> </w:t>
            </w:r>
            <w:r w:rsidR="00684F6E">
              <w:rPr>
                <w:rFonts w:ascii="Arial" w:hAnsi="Arial" w:cs="Arial"/>
                <w:sz w:val="22"/>
                <w:szCs w:val="22"/>
              </w:rPr>
              <w:t xml:space="preserve">the highest level since their introduction in </w:t>
            </w:r>
            <w:r w:rsidR="001D510F">
              <w:rPr>
                <w:rFonts w:ascii="Arial" w:hAnsi="Arial" w:cs="Arial"/>
                <w:sz w:val="22"/>
                <w:szCs w:val="22"/>
              </w:rPr>
              <w:t>1987</w:t>
            </w:r>
            <w:r w:rsidR="00684F6E">
              <w:rPr>
                <w:rFonts w:ascii="Arial" w:hAnsi="Arial" w:cs="Arial"/>
                <w:sz w:val="22"/>
                <w:szCs w:val="22"/>
              </w:rPr>
              <w:t xml:space="preserve">. </w:t>
            </w:r>
            <w:r w:rsidR="00F70FFE">
              <w:rPr>
                <w:rFonts w:ascii="Arial" w:hAnsi="Arial" w:cs="Arial"/>
                <w:sz w:val="22"/>
                <w:szCs w:val="22"/>
              </w:rPr>
              <w:t xml:space="preserve">IVAs now make up </w:t>
            </w:r>
            <w:r>
              <w:rPr>
                <w:rFonts w:ascii="Arial" w:hAnsi="Arial" w:cs="Arial"/>
                <w:sz w:val="22"/>
                <w:szCs w:val="22"/>
              </w:rPr>
              <w:t xml:space="preserve">over half </w:t>
            </w:r>
            <w:r w:rsidR="00F70FFE">
              <w:rPr>
                <w:rFonts w:ascii="Arial" w:hAnsi="Arial" w:cs="Arial"/>
                <w:sz w:val="22"/>
                <w:szCs w:val="22"/>
              </w:rPr>
              <w:t xml:space="preserve">of </w:t>
            </w:r>
            <w:r>
              <w:rPr>
                <w:rFonts w:ascii="Arial" w:hAnsi="Arial" w:cs="Arial"/>
                <w:sz w:val="22"/>
                <w:szCs w:val="22"/>
              </w:rPr>
              <w:t xml:space="preserve">all </w:t>
            </w:r>
            <w:r w:rsidR="00F70FFE">
              <w:rPr>
                <w:rFonts w:ascii="Arial" w:hAnsi="Arial" w:cs="Arial"/>
                <w:sz w:val="22"/>
                <w:szCs w:val="22"/>
              </w:rPr>
              <w:t>individual insolvencies.</w:t>
            </w:r>
          </w:p>
        </w:tc>
      </w:tr>
      <w:tr w:rsidR="00684F6E" w:rsidTr="00CF54D8">
        <w:tc>
          <w:tcPr>
            <w:tcW w:w="3369" w:type="dxa"/>
          </w:tcPr>
          <w:p w:rsidR="00684F6E" w:rsidRPr="00BB13FC" w:rsidRDefault="00684F6E" w:rsidP="00FE1F2D">
            <w:pPr>
              <w:pStyle w:val="BodyText"/>
              <w:tabs>
                <w:tab w:val="left" w:pos="450"/>
              </w:tabs>
              <w:spacing w:before="120" w:after="240"/>
              <w:rPr>
                <w:rFonts w:ascii="Arial" w:hAnsi="Arial" w:cs="Arial"/>
                <w:b/>
                <w:sz w:val="22"/>
                <w:szCs w:val="22"/>
              </w:rPr>
            </w:pPr>
            <w:r w:rsidRPr="00BB13FC">
              <w:rPr>
                <w:rFonts w:ascii="Arial" w:hAnsi="Arial" w:cs="Arial"/>
                <w:b/>
                <w:sz w:val="22"/>
                <w:szCs w:val="22"/>
              </w:rPr>
              <w:t>Other types of</w:t>
            </w:r>
            <w:r w:rsidR="00F70FFE">
              <w:rPr>
                <w:rFonts w:ascii="Arial" w:hAnsi="Arial" w:cs="Arial"/>
                <w:b/>
                <w:sz w:val="22"/>
                <w:szCs w:val="22"/>
              </w:rPr>
              <w:t xml:space="preserve"> individual insolvency </w:t>
            </w:r>
            <w:r w:rsidR="00FE1F2D">
              <w:rPr>
                <w:rFonts w:ascii="Arial" w:hAnsi="Arial" w:cs="Arial"/>
                <w:b/>
                <w:sz w:val="22"/>
                <w:szCs w:val="22"/>
              </w:rPr>
              <w:t>decreased</w:t>
            </w:r>
          </w:p>
        </w:tc>
        <w:tc>
          <w:tcPr>
            <w:tcW w:w="7337" w:type="dxa"/>
          </w:tcPr>
          <w:p w:rsidR="00684F6E" w:rsidRDefault="00BD2E9E" w:rsidP="00BD5580">
            <w:pPr>
              <w:pStyle w:val="BodyText"/>
              <w:tabs>
                <w:tab w:val="left" w:pos="450"/>
              </w:tabs>
              <w:spacing w:before="120" w:after="240"/>
              <w:rPr>
                <w:rFonts w:ascii="Arial" w:hAnsi="Arial" w:cs="Arial"/>
                <w:sz w:val="22"/>
                <w:szCs w:val="22"/>
              </w:rPr>
            </w:pPr>
            <w:r>
              <w:rPr>
                <w:rFonts w:ascii="Arial" w:hAnsi="Arial" w:cs="Arial"/>
                <w:sz w:val="22"/>
                <w:szCs w:val="22"/>
              </w:rPr>
              <w:t xml:space="preserve">The number of </w:t>
            </w:r>
            <w:r w:rsidR="00FE1F2D">
              <w:rPr>
                <w:rFonts w:ascii="Arial" w:hAnsi="Arial" w:cs="Arial"/>
                <w:sz w:val="22"/>
                <w:szCs w:val="22"/>
              </w:rPr>
              <w:t>people becoming bankrupt</w:t>
            </w:r>
            <w:r>
              <w:rPr>
                <w:rFonts w:ascii="Arial" w:hAnsi="Arial" w:cs="Arial"/>
                <w:sz w:val="22"/>
                <w:szCs w:val="22"/>
              </w:rPr>
              <w:t xml:space="preserve"> decreased compared to Q2 2013, but the rate of decrease has slowed recently. </w:t>
            </w:r>
            <w:r w:rsidR="00684F6E" w:rsidRPr="00604C8B">
              <w:rPr>
                <w:rFonts w:ascii="Arial" w:hAnsi="Arial" w:cs="Arial"/>
                <w:sz w:val="22"/>
                <w:szCs w:val="22"/>
              </w:rPr>
              <w:t xml:space="preserve">The </w:t>
            </w:r>
            <w:r w:rsidR="00684F6E" w:rsidRPr="00C8419B">
              <w:rPr>
                <w:rFonts w:ascii="Arial" w:hAnsi="Arial" w:cs="Arial"/>
                <w:color w:val="000000"/>
                <w:sz w:val="22"/>
                <w:szCs w:val="22"/>
              </w:rPr>
              <w:t xml:space="preserve">number of </w:t>
            </w:r>
            <w:r w:rsidR="00FE1F2D">
              <w:rPr>
                <w:rFonts w:ascii="Arial" w:hAnsi="Arial" w:cs="Arial"/>
                <w:color w:val="000000"/>
                <w:sz w:val="22"/>
                <w:szCs w:val="22"/>
              </w:rPr>
              <w:t>people granted a d</w:t>
            </w:r>
            <w:r w:rsidR="00F70FFE">
              <w:rPr>
                <w:rFonts w:ascii="Arial" w:hAnsi="Arial" w:cs="Arial"/>
                <w:color w:val="000000"/>
                <w:sz w:val="22"/>
                <w:szCs w:val="22"/>
              </w:rPr>
              <w:t xml:space="preserve">ebt </w:t>
            </w:r>
            <w:r w:rsidR="00FE1F2D">
              <w:rPr>
                <w:rFonts w:ascii="Arial" w:hAnsi="Arial" w:cs="Arial"/>
                <w:color w:val="000000"/>
                <w:sz w:val="22"/>
                <w:szCs w:val="22"/>
              </w:rPr>
              <w:t>r</w:t>
            </w:r>
            <w:r w:rsidR="00F70FFE">
              <w:rPr>
                <w:rFonts w:ascii="Arial" w:hAnsi="Arial" w:cs="Arial"/>
                <w:color w:val="000000"/>
                <w:sz w:val="22"/>
                <w:szCs w:val="22"/>
              </w:rPr>
              <w:t xml:space="preserve">elief </w:t>
            </w:r>
            <w:r w:rsidR="00FE1F2D">
              <w:rPr>
                <w:rFonts w:ascii="Arial" w:hAnsi="Arial" w:cs="Arial"/>
                <w:color w:val="000000"/>
                <w:sz w:val="22"/>
                <w:szCs w:val="22"/>
              </w:rPr>
              <w:t>o</w:t>
            </w:r>
            <w:r w:rsidR="00F70FFE">
              <w:rPr>
                <w:rFonts w:ascii="Arial" w:hAnsi="Arial" w:cs="Arial"/>
                <w:color w:val="000000"/>
                <w:sz w:val="22"/>
                <w:szCs w:val="22"/>
              </w:rPr>
              <w:t xml:space="preserve">rder </w:t>
            </w:r>
            <w:r w:rsidR="00FE1F2D">
              <w:rPr>
                <w:rFonts w:ascii="Arial" w:hAnsi="Arial" w:cs="Arial"/>
                <w:color w:val="000000"/>
                <w:sz w:val="22"/>
                <w:szCs w:val="22"/>
              </w:rPr>
              <w:t xml:space="preserve">decreased slightly but </w:t>
            </w:r>
            <w:r w:rsidR="00F70FFE">
              <w:rPr>
                <w:rFonts w:ascii="Arial" w:hAnsi="Arial" w:cs="Arial"/>
                <w:color w:val="000000"/>
                <w:sz w:val="22"/>
                <w:szCs w:val="22"/>
              </w:rPr>
              <w:t>remain</w:t>
            </w:r>
            <w:r>
              <w:rPr>
                <w:rFonts w:ascii="Arial" w:hAnsi="Arial" w:cs="Arial"/>
                <w:color w:val="000000"/>
                <w:sz w:val="22"/>
                <w:szCs w:val="22"/>
              </w:rPr>
              <w:t xml:space="preserve">ed </w:t>
            </w:r>
            <w:r w:rsidR="00FE1F2D">
              <w:rPr>
                <w:rFonts w:ascii="Arial" w:hAnsi="Arial" w:cs="Arial"/>
                <w:color w:val="000000"/>
                <w:sz w:val="22"/>
                <w:szCs w:val="22"/>
              </w:rPr>
              <w:t>in line with a fairly stable trend</w:t>
            </w:r>
            <w:r w:rsidR="00F70FFE">
              <w:rPr>
                <w:rFonts w:ascii="Arial" w:hAnsi="Arial" w:cs="Arial"/>
                <w:color w:val="000000"/>
                <w:sz w:val="22"/>
                <w:szCs w:val="22"/>
              </w:rPr>
              <w:t>.</w:t>
            </w:r>
          </w:p>
        </w:tc>
      </w:tr>
      <w:tr w:rsidR="004132BA" w:rsidTr="00CF54D8">
        <w:tc>
          <w:tcPr>
            <w:tcW w:w="3369" w:type="dxa"/>
          </w:tcPr>
          <w:p w:rsidR="004132BA" w:rsidRPr="00BB13FC" w:rsidRDefault="004132BA" w:rsidP="00FE1F2D">
            <w:pPr>
              <w:pStyle w:val="BodyText"/>
              <w:tabs>
                <w:tab w:val="left" w:pos="450"/>
              </w:tabs>
              <w:spacing w:before="120" w:after="240"/>
              <w:rPr>
                <w:rFonts w:ascii="Arial" w:hAnsi="Arial" w:cs="Arial"/>
                <w:b/>
                <w:sz w:val="22"/>
                <w:szCs w:val="22"/>
              </w:rPr>
            </w:pPr>
            <w:r>
              <w:rPr>
                <w:rFonts w:ascii="Arial" w:hAnsi="Arial" w:cs="Arial"/>
                <w:b/>
                <w:sz w:val="22"/>
                <w:szCs w:val="22"/>
              </w:rPr>
              <w:t>The rate of insolvency increased for the first time since 2010</w:t>
            </w:r>
          </w:p>
        </w:tc>
        <w:tc>
          <w:tcPr>
            <w:tcW w:w="7337" w:type="dxa"/>
          </w:tcPr>
          <w:p w:rsidR="004132BA" w:rsidRDefault="004132BA" w:rsidP="004132BA">
            <w:pPr>
              <w:pStyle w:val="BodyText"/>
              <w:tabs>
                <w:tab w:val="left" w:pos="450"/>
              </w:tabs>
              <w:spacing w:before="120" w:after="240"/>
              <w:rPr>
                <w:rFonts w:ascii="Arial" w:hAnsi="Arial" w:cs="Arial"/>
                <w:sz w:val="22"/>
                <w:szCs w:val="22"/>
              </w:rPr>
            </w:pPr>
            <w:r w:rsidRPr="00C8419B">
              <w:rPr>
                <w:rFonts w:ascii="Arial" w:hAnsi="Arial" w:cs="Arial"/>
                <w:color w:val="000000"/>
                <w:sz w:val="22"/>
                <w:szCs w:val="22"/>
              </w:rPr>
              <w:t>In the 12 months ending Q</w:t>
            </w:r>
            <w:r>
              <w:rPr>
                <w:rFonts w:ascii="Arial" w:hAnsi="Arial" w:cs="Arial"/>
                <w:color w:val="000000"/>
                <w:sz w:val="22"/>
                <w:szCs w:val="22"/>
              </w:rPr>
              <w:t>2 2014, 1 in 440 adults (just over 0.2</w:t>
            </w:r>
            <w:r w:rsidRPr="00C8419B">
              <w:rPr>
                <w:rFonts w:ascii="Arial" w:hAnsi="Arial" w:cs="Arial"/>
                <w:color w:val="000000"/>
                <w:sz w:val="22"/>
                <w:szCs w:val="22"/>
              </w:rPr>
              <w:t>% of the adult population</w:t>
            </w:r>
            <w:r>
              <w:rPr>
                <w:rFonts w:ascii="Arial" w:hAnsi="Arial" w:cs="Arial"/>
                <w:color w:val="000000"/>
                <w:sz w:val="22"/>
                <w:szCs w:val="22"/>
              </w:rPr>
              <w:t>) became insolvent. This was the first increase in the insolvency rate since 2010, and reflects increases in the number of IVAs since the beginning of 2013.</w:t>
            </w:r>
          </w:p>
        </w:tc>
      </w:tr>
    </w:tbl>
    <w:p w:rsidR="008C36F3" w:rsidRDefault="008C36F3" w:rsidP="00782D59">
      <w:pPr>
        <w:pStyle w:val="BodyText"/>
        <w:tabs>
          <w:tab w:val="left" w:pos="450"/>
        </w:tabs>
        <w:spacing w:before="120" w:line="276" w:lineRule="auto"/>
        <w:rPr>
          <w:rFonts w:ascii="Arial" w:hAnsi="Arial" w:cs="Arial"/>
          <w:sz w:val="22"/>
          <w:szCs w:val="22"/>
        </w:rPr>
      </w:pPr>
    </w:p>
    <w:p w:rsidR="006B4149" w:rsidRPr="00782D59" w:rsidRDefault="006B4149" w:rsidP="00782D59">
      <w:pPr>
        <w:pStyle w:val="BodyText"/>
        <w:tabs>
          <w:tab w:val="left" w:pos="450"/>
        </w:tabs>
        <w:spacing w:before="120" w:line="276" w:lineRule="auto"/>
        <w:rPr>
          <w:rFonts w:ascii="Arial" w:hAnsi="Arial" w:cs="Arial"/>
          <w:sz w:val="22"/>
          <w:szCs w:val="22"/>
        </w:rPr>
      </w:pPr>
    </w:p>
    <w:p w:rsidR="00027FA3" w:rsidRDefault="00027FA3" w:rsidP="00027FA3">
      <w:pPr>
        <w:pageBreakBefore/>
        <w:spacing w:after="240" w:line="276" w:lineRule="auto"/>
        <w:rPr>
          <w:rFonts w:ascii="Arial" w:hAnsi="Arial" w:cs="Arial"/>
          <w:b/>
          <w:sz w:val="28"/>
          <w:szCs w:val="22"/>
        </w:rPr>
      </w:pPr>
      <w:r>
        <w:rPr>
          <w:rFonts w:ascii="Arial" w:hAnsi="Arial" w:cs="Arial"/>
          <w:b/>
          <w:sz w:val="28"/>
          <w:szCs w:val="22"/>
        </w:rPr>
        <w:lastRenderedPageBreak/>
        <w:t>1.</w:t>
      </w:r>
      <w:r w:rsidR="00221326">
        <w:rPr>
          <w:rFonts w:ascii="Arial" w:hAnsi="Arial" w:cs="Arial"/>
          <w:b/>
          <w:sz w:val="28"/>
          <w:szCs w:val="22"/>
        </w:rPr>
        <w:t>3</w:t>
      </w:r>
      <w:r>
        <w:rPr>
          <w:rFonts w:ascii="Arial" w:hAnsi="Arial" w:cs="Arial"/>
          <w:b/>
          <w:sz w:val="28"/>
          <w:szCs w:val="22"/>
        </w:rPr>
        <w:t xml:space="preserve"> Summary tables</w:t>
      </w:r>
    </w:p>
    <w:p w:rsidR="000E083D" w:rsidRPr="007C7B50" w:rsidRDefault="007C7B50" w:rsidP="000E083D">
      <w:pPr>
        <w:spacing w:after="120"/>
        <w:rPr>
          <w:rFonts w:ascii="Arial" w:hAnsi="Arial" w:cs="Arial"/>
          <w:b/>
          <w:bCs/>
          <w:sz w:val="22"/>
          <w:szCs w:val="22"/>
        </w:rPr>
      </w:pPr>
      <w:r w:rsidRPr="007C7B50">
        <w:rPr>
          <w:rFonts w:ascii="Arial" w:hAnsi="Arial" w:cs="Arial"/>
          <w:b/>
          <w:bCs/>
          <w:sz w:val="22"/>
          <w:szCs w:val="22"/>
        </w:rPr>
        <w:t>Table 1: New company insolvencies in England and Wales</w:t>
      </w:r>
      <w:r w:rsidRPr="007C7B50">
        <w:rPr>
          <w:rFonts w:ascii="Arial" w:hAnsi="Arial" w:cs="Arial"/>
          <w:b/>
          <w:bCs/>
          <w:sz w:val="22"/>
          <w:szCs w:val="22"/>
          <w:vertAlign w:val="superscript"/>
        </w:rPr>
        <w:t>1,2</w:t>
      </w:r>
      <w:r w:rsidRPr="007C7B50">
        <w:rPr>
          <w:rFonts w:ascii="Arial" w:hAnsi="Arial" w:cs="Arial"/>
          <w:b/>
          <w:bCs/>
          <w:sz w:val="22"/>
          <w:szCs w:val="22"/>
        </w:rPr>
        <w:t xml:space="preserve"> (seasona</w:t>
      </w:r>
      <w:r w:rsidR="000E083D" w:rsidRPr="007C7B50">
        <w:rPr>
          <w:rFonts w:ascii="Arial" w:hAnsi="Arial" w:cs="Arial"/>
          <w:b/>
          <w:bCs/>
          <w:sz w:val="22"/>
          <w:szCs w:val="22"/>
        </w:rPr>
        <w:t>lly adjusted)</w:t>
      </w:r>
      <w:r w:rsidR="000E083D">
        <w:rPr>
          <w:rFonts w:ascii="Arial" w:hAnsi="Arial" w:cs="Arial"/>
          <w:b/>
          <w:bCs/>
          <w:sz w:val="22"/>
          <w:szCs w:val="22"/>
          <w:vertAlign w:val="superscript"/>
        </w:rPr>
        <w:t>3</w:t>
      </w:r>
    </w:p>
    <w:tbl>
      <w:tblPr>
        <w:tblW w:w="10324" w:type="dxa"/>
        <w:tblInd w:w="108" w:type="dxa"/>
        <w:tblLook w:val="04A0" w:firstRow="1" w:lastRow="0" w:firstColumn="1" w:lastColumn="0" w:noHBand="0" w:noVBand="1"/>
      </w:tblPr>
      <w:tblGrid>
        <w:gridCol w:w="3836"/>
        <w:gridCol w:w="884"/>
        <w:gridCol w:w="883"/>
        <w:gridCol w:w="883"/>
        <w:gridCol w:w="883"/>
        <w:gridCol w:w="883"/>
        <w:gridCol w:w="296"/>
        <w:gridCol w:w="888"/>
        <w:gridCol w:w="888"/>
      </w:tblGrid>
      <w:tr w:rsidR="00B538CE" w:rsidTr="00B538CE">
        <w:trPr>
          <w:trHeight w:val="285"/>
        </w:trPr>
        <w:tc>
          <w:tcPr>
            <w:tcW w:w="3836" w:type="dxa"/>
            <w:tcBorders>
              <w:top w:val="single" w:sz="4" w:space="0" w:color="auto"/>
              <w:left w:val="nil"/>
              <w:bottom w:val="nil"/>
              <w:right w:val="nil"/>
            </w:tcBorders>
            <w:shd w:val="clear" w:color="auto" w:fill="auto"/>
            <w:noWrap/>
            <w:vAlign w:val="bottom"/>
            <w:hideMark/>
          </w:tcPr>
          <w:p w:rsidR="00B538CE" w:rsidRDefault="00B538CE">
            <w:pPr>
              <w:rPr>
                <w:rFonts w:ascii="Arial" w:hAnsi="Arial" w:cs="Arial"/>
                <w:sz w:val="20"/>
                <w:szCs w:val="20"/>
              </w:rPr>
            </w:pPr>
            <w:r>
              <w:rPr>
                <w:rFonts w:ascii="Arial" w:hAnsi="Arial" w:cs="Arial"/>
                <w:sz w:val="20"/>
                <w:szCs w:val="20"/>
              </w:rPr>
              <w:t> </w:t>
            </w:r>
          </w:p>
        </w:tc>
        <w:tc>
          <w:tcPr>
            <w:tcW w:w="4416" w:type="dxa"/>
            <w:gridSpan w:val="5"/>
            <w:tcBorders>
              <w:top w:val="single" w:sz="4" w:space="0" w:color="auto"/>
              <w:left w:val="nil"/>
              <w:bottom w:val="nil"/>
              <w:right w:val="nil"/>
            </w:tcBorders>
            <w:shd w:val="clear" w:color="auto" w:fill="auto"/>
            <w:noWrap/>
            <w:vAlign w:val="center"/>
            <w:hideMark/>
          </w:tcPr>
          <w:p w:rsidR="00B538CE" w:rsidRDefault="00B538CE">
            <w:pPr>
              <w:jc w:val="center"/>
              <w:rPr>
                <w:rFonts w:ascii="Arial" w:hAnsi="Arial" w:cs="Arial"/>
                <w:b/>
                <w:bCs/>
                <w:sz w:val="20"/>
                <w:szCs w:val="20"/>
              </w:rPr>
            </w:pPr>
            <w:r>
              <w:rPr>
                <w:rFonts w:ascii="Arial" w:hAnsi="Arial" w:cs="Arial"/>
                <w:b/>
                <w:bCs/>
                <w:sz w:val="20"/>
                <w:szCs w:val="20"/>
              </w:rPr>
              <w:t>Number of insolvencies</w:t>
            </w:r>
          </w:p>
        </w:tc>
        <w:tc>
          <w:tcPr>
            <w:tcW w:w="296" w:type="dxa"/>
            <w:tcBorders>
              <w:top w:val="single" w:sz="4" w:space="0" w:color="auto"/>
              <w:left w:val="nil"/>
              <w:bottom w:val="nil"/>
              <w:right w:val="nil"/>
            </w:tcBorders>
            <w:shd w:val="clear" w:color="auto" w:fill="auto"/>
            <w:noWrap/>
            <w:vAlign w:val="bottom"/>
            <w:hideMark/>
          </w:tcPr>
          <w:p w:rsidR="00B538CE" w:rsidRDefault="00B538CE">
            <w:pPr>
              <w:rPr>
                <w:rFonts w:ascii="Arial" w:hAnsi="Arial" w:cs="Arial"/>
                <w:sz w:val="20"/>
                <w:szCs w:val="20"/>
              </w:rPr>
            </w:pPr>
            <w:r>
              <w:rPr>
                <w:rFonts w:ascii="Arial" w:hAnsi="Arial" w:cs="Arial"/>
                <w:sz w:val="20"/>
                <w:szCs w:val="20"/>
              </w:rPr>
              <w:t> </w:t>
            </w:r>
          </w:p>
        </w:tc>
        <w:tc>
          <w:tcPr>
            <w:tcW w:w="1776" w:type="dxa"/>
            <w:gridSpan w:val="2"/>
            <w:tcBorders>
              <w:top w:val="single" w:sz="4" w:space="0" w:color="auto"/>
              <w:left w:val="nil"/>
              <w:bottom w:val="nil"/>
              <w:right w:val="nil"/>
            </w:tcBorders>
            <w:shd w:val="clear" w:color="auto" w:fill="auto"/>
            <w:noWrap/>
            <w:vAlign w:val="bottom"/>
            <w:hideMark/>
          </w:tcPr>
          <w:p w:rsidR="00B538CE" w:rsidRDefault="00B538CE">
            <w:pPr>
              <w:jc w:val="center"/>
              <w:rPr>
                <w:rFonts w:ascii="Arial" w:hAnsi="Arial" w:cs="Arial"/>
                <w:b/>
                <w:bCs/>
                <w:sz w:val="20"/>
                <w:szCs w:val="20"/>
              </w:rPr>
            </w:pPr>
            <w:r>
              <w:rPr>
                <w:rFonts w:ascii="Arial" w:hAnsi="Arial" w:cs="Arial"/>
                <w:b/>
                <w:bCs/>
                <w:sz w:val="20"/>
                <w:szCs w:val="20"/>
              </w:rPr>
              <w:t>% change – 2014 Q2 on</w:t>
            </w:r>
          </w:p>
        </w:tc>
      </w:tr>
      <w:tr w:rsidR="00B538CE" w:rsidTr="00B538CE">
        <w:trPr>
          <w:trHeight w:val="510"/>
        </w:trPr>
        <w:tc>
          <w:tcPr>
            <w:tcW w:w="3836" w:type="dxa"/>
            <w:tcBorders>
              <w:top w:val="nil"/>
              <w:left w:val="nil"/>
              <w:bottom w:val="single" w:sz="4" w:space="0" w:color="auto"/>
              <w:right w:val="nil"/>
            </w:tcBorders>
            <w:shd w:val="clear" w:color="auto" w:fill="auto"/>
            <w:noWrap/>
            <w:vAlign w:val="bottom"/>
            <w:hideMark/>
          </w:tcPr>
          <w:p w:rsidR="00B538CE" w:rsidRDefault="00B538CE">
            <w:pPr>
              <w:rPr>
                <w:rFonts w:ascii="Arial" w:hAnsi="Arial" w:cs="Arial"/>
                <w:sz w:val="20"/>
                <w:szCs w:val="20"/>
              </w:rPr>
            </w:pPr>
            <w:r>
              <w:rPr>
                <w:rFonts w:ascii="Arial" w:hAnsi="Arial" w:cs="Arial"/>
                <w:sz w:val="20"/>
                <w:szCs w:val="20"/>
              </w:rPr>
              <w:t> </w:t>
            </w:r>
          </w:p>
        </w:tc>
        <w:tc>
          <w:tcPr>
            <w:tcW w:w="884" w:type="dxa"/>
            <w:tcBorders>
              <w:top w:val="nil"/>
              <w:left w:val="nil"/>
              <w:bottom w:val="single" w:sz="4" w:space="0" w:color="auto"/>
              <w:right w:val="nil"/>
            </w:tcBorders>
            <w:shd w:val="clear" w:color="auto" w:fill="auto"/>
            <w:vAlign w:val="bottom"/>
            <w:hideMark/>
          </w:tcPr>
          <w:p w:rsidR="00B538CE" w:rsidRDefault="00B538CE">
            <w:pPr>
              <w:jc w:val="center"/>
              <w:rPr>
                <w:rFonts w:ascii="Arial" w:hAnsi="Arial" w:cs="Arial"/>
                <w:sz w:val="20"/>
                <w:szCs w:val="20"/>
              </w:rPr>
            </w:pPr>
            <w:r>
              <w:rPr>
                <w:rFonts w:ascii="Arial" w:hAnsi="Arial" w:cs="Arial"/>
                <w:sz w:val="20"/>
                <w:szCs w:val="20"/>
              </w:rPr>
              <w:t>2013                 Q2</w:t>
            </w:r>
            <w:r w:rsidR="005040CF">
              <w:rPr>
                <w:rFonts w:ascii="Arial" w:hAnsi="Arial" w:cs="Arial"/>
                <w:sz w:val="20"/>
                <w:szCs w:val="20"/>
              </w:rPr>
              <w:t xml:space="preserve"> r</w:t>
            </w:r>
          </w:p>
        </w:tc>
        <w:tc>
          <w:tcPr>
            <w:tcW w:w="883" w:type="dxa"/>
            <w:tcBorders>
              <w:top w:val="nil"/>
              <w:left w:val="nil"/>
              <w:bottom w:val="single" w:sz="4" w:space="0" w:color="auto"/>
              <w:right w:val="nil"/>
            </w:tcBorders>
            <w:shd w:val="clear" w:color="auto" w:fill="auto"/>
            <w:vAlign w:val="bottom"/>
            <w:hideMark/>
          </w:tcPr>
          <w:p w:rsidR="00B538CE" w:rsidRDefault="00B538CE">
            <w:pPr>
              <w:jc w:val="center"/>
              <w:rPr>
                <w:rFonts w:ascii="Arial" w:hAnsi="Arial" w:cs="Arial"/>
                <w:sz w:val="20"/>
                <w:szCs w:val="20"/>
              </w:rPr>
            </w:pPr>
            <w:r>
              <w:rPr>
                <w:rFonts w:ascii="Arial" w:hAnsi="Arial" w:cs="Arial"/>
                <w:sz w:val="20"/>
                <w:szCs w:val="20"/>
              </w:rPr>
              <w:t>2013                 Q3</w:t>
            </w:r>
            <w:r w:rsidR="005040CF">
              <w:rPr>
                <w:rFonts w:ascii="Arial" w:hAnsi="Arial" w:cs="Arial"/>
                <w:sz w:val="20"/>
                <w:szCs w:val="20"/>
              </w:rPr>
              <w:t xml:space="preserve"> r</w:t>
            </w:r>
          </w:p>
        </w:tc>
        <w:tc>
          <w:tcPr>
            <w:tcW w:w="883" w:type="dxa"/>
            <w:tcBorders>
              <w:top w:val="nil"/>
              <w:left w:val="nil"/>
              <w:bottom w:val="single" w:sz="4" w:space="0" w:color="auto"/>
              <w:right w:val="nil"/>
            </w:tcBorders>
            <w:shd w:val="clear" w:color="auto" w:fill="auto"/>
            <w:vAlign w:val="bottom"/>
            <w:hideMark/>
          </w:tcPr>
          <w:p w:rsidR="00B538CE" w:rsidRDefault="00B538CE">
            <w:pPr>
              <w:jc w:val="center"/>
              <w:rPr>
                <w:rFonts w:ascii="Arial" w:hAnsi="Arial" w:cs="Arial"/>
                <w:sz w:val="20"/>
                <w:szCs w:val="20"/>
              </w:rPr>
            </w:pPr>
            <w:r>
              <w:rPr>
                <w:rFonts w:ascii="Arial" w:hAnsi="Arial" w:cs="Arial"/>
                <w:sz w:val="20"/>
                <w:szCs w:val="20"/>
              </w:rPr>
              <w:t>2013                 Q4</w:t>
            </w:r>
            <w:r w:rsidR="005040CF">
              <w:rPr>
                <w:rFonts w:ascii="Arial" w:hAnsi="Arial" w:cs="Arial"/>
                <w:sz w:val="20"/>
                <w:szCs w:val="20"/>
              </w:rPr>
              <w:t xml:space="preserve"> r</w:t>
            </w:r>
          </w:p>
        </w:tc>
        <w:tc>
          <w:tcPr>
            <w:tcW w:w="883" w:type="dxa"/>
            <w:tcBorders>
              <w:top w:val="nil"/>
              <w:left w:val="nil"/>
              <w:bottom w:val="single" w:sz="4" w:space="0" w:color="auto"/>
              <w:right w:val="nil"/>
            </w:tcBorders>
            <w:shd w:val="clear" w:color="auto" w:fill="auto"/>
            <w:vAlign w:val="bottom"/>
            <w:hideMark/>
          </w:tcPr>
          <w:p w:rsidR="00B538CE" w:rsidRDefault="00B538CE">
            <w:pPr>
              <w:jc w:val="center"/>
              <w:rPr>
                <w:rFonts w:ascii="Arial" w:hAnsi="Arial" w:cs="Arial"/>
                <w:sz w:val="20"/>
                <w:szCs w:val="20"/>
              </w:rPr>
            </w:pPr>
            <w:r>
              <w:rPr>
                <w:rFonts w:ascii="Arial" w:hAnsi="Arial" w:cs="Arial"/>
                <w:sz w:val="20"/>
                <w:szCs w:val="20"/>
              </w:rPr>
              <w:t>2014                 Q1 r</w:t>
            </w:r>
          </w:p>
        </w:tc>
        <w:tc>
          <w:tcPr>
            <w:tcW w:w="883" w:type="dxa"/>
            <w:tcBorders>
              <w:top w:val="nil"/>
              <w:left w:val="nil"/>
              <w:bottom w:val="single" w:sz="4" w:space="0" w:color="auto"/>
              <w:right w:val="nil"/>
            </w:tcBorders>
            <w:shd w:val="clear" w:color="auto" w:fill="auto"/>
            <w:vAlign w:val="bottom"/>
            <w:hideMark/>
          </w:tcPr>
          <w:p w:rsidR="00B538CE" w:rsidRDefault="00B538CE">
            <w:pPr>
              <w:jc w:val="center"/>
              <w:rPr>
                <w:rFonts w:ascii="Arial" w:hAnsi="Arial" w:cs="Arial"/>
                <w:sz w:val="20"/>
                <w:szCs w:val="20"/>
              </w:rPr>
            </w:pPr>
            <w:r>
              <w:rPr>
                <w:rFonts w:ascii="Arial" w:hAnsi="Arial" w:cs="Arial"/>
                <w:sz w:val="20"/>
                <w:szCs w:val="20"/>
              </w:rPr>
              <w:t>2014                 Q2 p</w:t>
            </w:r>
          </w:p>
        </w:tc>
        <w:tc>
          <w:tcPr>
            <w:tcW w:w="296" w:type="dxa"/>
            <w:tcBorders>
              <w:top w:val="nil"/>
              <w:left w:val="nil"/>
              <w:bottom w:val="nil"/>
              <w:right w:val="nil"/>
            </w:tcBorders>
            <w:shd w:val="clear" w:color="auto" w:fill="auto"/>
            <w:vAlign w:val="bottom"/>
            <w:hideMark/>
          </w:tcPr>
          <w:p w:rsidR="00B538CE" w:rsidRDefault="00B538CE">
            <w:pPr>
              <w:jc w:val="center"/>
              <w:rPr>
                <w:rFonts w:ascii="Arial" w:hAnsi="Arial" w:cs="Arial"/>
                <w:sz w:val="20"/>
                <w:szCs w:val="20"/>
              </w:rPr>
            </w:pPr>
          </w:p>
        </w:tc>
        <w:tc>
          <w:tcPr>
            <w:tcW w:w="888" w:type="dxa"/>
            <w:tcBorders>
              <w:top w:val="nil"/>
              <w:left w:val="nil"/>
              <w:bottom w:val="single" w:sz="4" w:space="0" w:color="auto"/>
              <w:right w:val="nil"/>
            </w:tcBorders>
            <w:shd w:val="clear" w:color="auto" w:fill="auto"/>
            <w:vAlign w:val="bottom"/>
            <w:hideMark/>
          </w:tcPr>
          <w:p w:rsidR="00B538CE" w:rsidRDefault="00B538CE">
            <w:pPr>
              <w:jc w:val="center"/>
              <w:rPr>
                <w:rFonts w:ascii="Arial" w:hAnsi="Arial" w:cs="Arial"/>
                <w:sz w:val="20"/>
                <w:szCs w:val="20"/>
              </w:rPr>
            </w:pPr>
            <w:r>
              <w:rPr>
                <w:rFonts w:ascii="Arial" w:hAnsi="Arial" w:cs="Arial"/>
                <w:sz w:val="20"/>
                <w:szCs w:val="20"/>
              </w:rPr>
              <w:t>2014                 Q1</w:t>
            </w:r>
          </w:p>
        </w:tc>
        <w:tc>
          <w:tcPr>
            <w:tcW w:w="888" w:type="dxa"/>
            <w:tcBorders>
              <w:top w:val="nil"/>
              <w:left w:val="nil"/>
              <w:bottom w:val="single" w:sz="4" w:space="0" w:color="auto"/>
              <w:right w:val="nil"/>
            </w:tcBorders>
            <w:shd w:val="clear" w:color="auto" w:fill="auto"/>
            <w:vAlign w:val="bottom"/>
            <w:hideMark/>
          </w:tcPr>
          <w:p w:rsidR="00B538CE" w:rsidRDefault="00B538CE">
            <w:pPr>
              <w:jc w:val="center"/>
              <w:rPr>
                <w:rFonts w:ascii="Arial" w:hAnsi="Arial" w:cs="Arial"/>
                <w:sz w:val="20"/>
                <w:szCs w:val="20"/>
              </w:rPr>
            </w:pPr>
            <w:r>
              <w:rPr>
                <w:rFonts w:ascii="Arial" w:hAnsi="Arial" w:cs="Arial"/>
                <w:sz w:val="20"/>
                <w:szCs w:val="20"/>
              </w:rPr>
              <w:t>2013                 Q2</w:t>
            </w:r>
          </w:p>
        </w:tc>
      </w:tr>
      <w:tr w:rsidR="00B538CE" w:rsidTr="00B538CE">
        <w:trPr>
          <w:trHeight w:val="255"/>
        </w:trPr>
        <w:tc>
          <w:tcPr>
            <w:tcW w:w="3836" w:type="dxa"/>
            <w:tcBorders>
              <w:top w:val="nil"/>
              <w:left w:val="nil"/>
              <w:bottom w:val="nil"/>
              <w:right w:val="nil"/>
            </w:tcBorders>
            <w:shd w:val="clear" w:color="auto" w:fill="auto"/>
            <w:noWrap/>
            <w:vAlign w:val="bottom"/>
            <w:hideMark/>
          </w:tcPr>
          <w:p w:rsidR="00B538CE" w:rsidRDefault="00B538CE">
            <w:pPr>
              <w:rPr>
                <w:rFonts w:ascii="Arial" w:hAnsi="Arial" w:cs="Arial"/>
                <w:sz w:val="20"/>
                <w:szCs w:val="20"/>
              </w:rPr>
            </w:pPr>
            <w:r>
              <w:rPr>
                <w:rFonts w:ascii="Arial" w:hAnsi="Arial" w:cs="Arial"/>
                <w:sz w:val="20"/>
                <w:szCs w:val="20"/>
              </w:rPr>
              <w:t>Compulsory liquidations</w:t>
            </w:r>
          </w:p>
        </w:tc>
        <w:tc>
          <w:tcPr>
            <w:tcW w:w="884"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1,039</w:t>
            </w:r>
          </w:p>
        </w:tc>
        <w:tc>
          <w:tcPr>
            <w:tcW w:w="883"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921</w:t>
            </w:r>
          </w:p>
        </w:tc>
        <w:tc>
          <w:tcPr>
            <w:tcW w:w="883"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699</w:t>
            </w:r>
          </w:p>
        </w:tc>
        <w:tc>
          <w:tcPr>
            <w:tcW w:w="883"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1,075</w:t>
            </w:r>
          </w:p>
        </w:tc>
        <w:tc>
          <w:tcPr>
            <w:tcW w:w="883"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974</w:t>
            </w:r>
          </w:p>
        </w:tc>
        <w:tc>
          <w:tcPr>
            <w:tcW w:w="296" w:type="dxa"/>
            <w:tcBorders>
              <w:top w:val="nil"/>
              <w:left w:val="nil"/>
              <w:bottom w:val="nil"/>
              <w:right w:val="nil"/>
            </w:tcBorders>
            <w:shd w:val="clear" w:color="auto" w:fill="auto"/>
            <w:noWrap/>
            <w:vAlign w:val="bottom"/>
            <w:hideMark/>
          </w:tcPr>
          <w:p w:rsidR="00B538CE" w:rsidRDefault="00B538CE">
            <w:pPr>
              <w:rPr>
                <w:rFonts w:ascii="Arial" w:hAnsi="Arial" w:cs="Arial"/>
                <w:sz w:val="20"/>
                <w:szCs w:val="20"/>
              </w:rPr>
            </w:pPr>
          </w:p>
        </w:tc>
        <w:tc>
          <w:tcPr>
            <w:tcW w:w="888" w:type="dxa"/>
            <w:tcBorders>
              <w:top w:val="nil"/>
              <w:left w:val="nil"/>
              <w:bottom w:val="nil"/>
              <w:right w:val="nil"/>
            </w:tcBorders>
            <w:shd w:val="clear" w:color="auto" w:fill="auto"/>
            <w:noWrap/>
            <w:vAlign w:val="bottom"/>
            <w:hideMark/>
          </w:tcPr>
          <w:p w:rsidR="00B538CE" w:rsidRDefault="00B538CE">
            <w:pPr>
              <w:ind w:firstLineChars="100" w:firstLine="200"/>
              <w:jc w:val="right"/>
              <w:rPr>
                <w:rFonts w:ascii="Arial" w:hAnsi="Arial" w:cs="Arial"/>
                <w:sz w:val="20"/>
                <w:szCs w:val="20"/>
              </w:rPr>
            </w:pPr>
            <w:r>
              <w:rPr>
                <w:rFonts w:ascii="Arial" w:hAnsi="Arial" w:cs="Arial"/>
                <w:sz w:val="20"/>
                <w:szCs w:val="20"/>
              </w:rPr>
              <w:t>-9.4</w:t>
            </w:r>
          </w:p>
        </w:tc>
        <w:tc>
          <w:tcPr>
            <w:tcW w:w="888" w:type="dxa"/>
            <w:tcBorders>
              <w:top w:val="nil"/>
              <w:left w:val="nil"/>
              <w:bottom w:val="nil"/>
              <w:right w:val="nil"/>
            </w:tcBorders>
            <w:shd w:val="clear" w:color="auto" w:fill="auto"/>
            <w:noWrap/>
            <w:vAlign w:val="bottom"/>
            <w:hideMark/>
          </w:tcPr>
          <w:p w:rsidR="00B538CE" w:rsidRDefault="00B538CE">
            <w:pPr>
              <w:ind w:firstLineChars="100" w:firstLine="200"/>
              <w:jc w:val="right"/>
              <w:rPr>
                <w:rFonts w:ascii="Arial" w:hAnsi="Arial" w:cs="Arial"/>
                <w:sz w:val="20"/>
                <w:szCs w:val="20"/>
              </w:rPr>
            </w:pPr>
            <w:r>
              <w:rPr>
                <w:rFonts w:ascii="Arial" w:hAnsi="Arial" w:cs="Arial"/>
                <w:sz w:val="20"/>
                <w:szCs w:val="20"/>
              </w:rPr>
              <w:t>-6.3</w:t>
            </w:r>
          </w:p>
        </w:tc>
      </w:tr>
      <w:tr w:rsidR="00B538CE" w:rsidTr="00B538CE">
        <w:trPr>
          <w:trHeight w:val="285"/>
        </w:trPr>
        <w:tc>
          <w:tcPr>
            <w:tcW w:w="3836" w:type="dxa"/>
            <w:tcBorders>
              <w:top w:val="nil"/>
              <w:left w:val="nil"/>
              <w:bottom w:val="nil"/>
              <w:right w:val="nil"/>
            </w:tcBorders>
            <w:shd w:val="clear" w:color="auto" w:fill="auto"/>
            <w:noWrap/>
            <w:vAlign w:val="bottom"/>
            <w:hideMark/>
          </w:tcPr>
          <w:p w:rsidR="00B538CE" w:rsidRDefault="00B538CE">
            <w:pPr>
              <w:rPr>
                <w:rFonts w:ascii="Arial" w:hAnsi="Arial" w:cs="Arial"/>
                <w:sz w:val="20"/>
                <w:szCs w:val="20"/>
              </w:rPr>
            </w:pPr>
            <w:r>
              <w:rPr>
                <w:rFonts w:ascii="Arial" w:hAnsi="Arial" w:cs="Arial"/>
                <w:sz w:val="20"/>
                <w:szCs w:val="20"/>
              </w:rPr>
              <w:t>Creditors' voluntary liquidations</w:t>
            </w:r>
            <w:r>
              <w:rPr>
                <w:rFonts w:ascii="Arial" w:hAnsi="Arial" w:cs="Arial"/>
                <w:sz w:val="20"/>
                <w:szCs w:val="20"/>
                <w:vertAlign w:val="superscript"/>
              </w:rPr>
              <w:t>2</w:t>
            </w:r>
          </w:p>
        </w:tc>
        <w:tc>
          <w:tcPr>
            <w:tcW w:w="884"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3,038</w:t>
            </w:r>
          </w:p>
        </w:tc>
        <w:tc>
          <w:tcPr>
            <w:tcW w:w="883"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2,894</w:t>
            </w:r>
          </w:p>
        </w:tc>
        <w:tc>
          <w:tcPr>
            <w:tcW w:w="883"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2,852</w:t>
            </w:r>
          </w:p>
        </w:tc>
        <w:tc>
          <w:tcPr>
            <w:tcW w:w="883"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2,643</w:t>
            </w:r>
          </w:p>
        </w:tc>
        <w:tc>
          <w:tcPr>
            <w:tcW w:w="883"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2,487</w:t>
            </w:r>
          </w:p>
        </w:tc>
        <w:tc>
          <w:tcPr>
            <w:tcW w:w="296" w:type="dxa"/>
            <w:tcBorders>
              <w:top w:val="nil"/>
              <w:left w:val="nil"/>
              <w:bottom w:val="nil"/>
              <w:right w:val="nil"/>
            </w:tcBorders>
            <w:shd w:val="clear" w:color="auto" w:fill="auto"/>
            <w:noWrap/>
            <w:vAlign w:val="bottom"/>
            <w:hideMark/>
          </w:tcPr>
          <w:p w:rsidR="00B538CE" w:rsidRDefault="00B538CE">
            <w:pPr>
              <w:rPr>
                <w:rFonts w:ascii="Arial" w:hAnsi="Arial" w:cs="Arial"/>
                <w:sz w:val="20"/>
                <w:szCs w:val="20"/>
              </w:rPr>
            </w:pPr>
          </w:p>
        </w:tc>
        <w:tc>
          <w:tcPr>
            <w:tcW w:w="888" w:type="dxa"/>
            <w:tcBorders>
              <w:top w:val="nil"/>
              <w:left w:val="nil"/>
              <w:bottom w:val="nil"/>
              <w:right w:val="nil"/>
            </w:tcBorders>
            <w:shd w:val="clear" w:color="auto" w:fill="auto"/>
            <w:noWrap/>
            <w:vAlign w:val="bottom"/>
            <w:hideMark/>
          </w:tcPr>
          <w:p w:rsidR="00B538CE" w:rsidRDefault="00B538CE">
            <w:pPr>
              <w:ind w:firstLineChars="100" w:firstLine="200"/>
              <w:jc w:val="right"/>
              <w:rPr>
                <w:rFonts w:ascii="Arial" w:hAnsi="Arial" w:cs="Arial"/>
                <w:sz w:val="20"/>
                <w:szCs w:val="20"/>
              </w:rPr>
            </w:pPr>
            <w:r>
              <w:rPr>
                <w:rFonts w:ascii="Arial" w:hAnsi="Arial" w:cs="Arial"/>
                <w:sz w:val="20"/>
                <w:szCs w:val="20"/>
              </w:rPr>
              <w:t>-5.9</w:t>
            </w:r>
          </w:p>
        </w:tc>
        <w:tc>
          <w:tcPr>
            <w:tcW w:w="888" w:type="dxa"/>
            <w:tcBorders>
              <w:top w:val="nil"/>
              <w:left w:val="nil"/>
              <w:bottom w:val="nil"/>
              <w:right w:val="nil"/>
            </w:tcBorders>
            <w:shd w:val="clear" w:color="auto" w:fill="auto"/>
            <w:noWrap/>
            <w:vAlign w:val="bottom"/>
            <w:hideMark/>
          </w:tcPr>
          <w:p w:rsidR="00B538CE" w:rsidRDefault="00B538CE">
            <w:pPr>
              <w:ind w:firstLineChars="100" w:firstLine="200"/>
              <w:jc w:val="right"/>
              <w:rPr>
                <w:rFonts w:ascii="Arial" w:hAnsi="Arial" w:cs="Arial"/>
                <w:sz w:val="20"/>
                <w:szCs w:val="20"/>
              </w:rPr>
            </w:pPr>
            <w:r>
              <w:rPr>
                <w:rFonts w:ascii="Arial" w:hAnsi="Arial" w:cs="Arial"/>
                <w:sz w:val="20"/>
                <w:szCs w:val="20"/>
              </w:rPr>
              <w:t>-18.1</w:t>
            </w:r>
          </w:p>
        </w:tc>
      </w:tr>
      <w:tr w:rsidR="00B538CE" w:rsidTr="00B538CE">
        <w:trPr>
          <w:trHeight w:val="255"/>
        </w:trPr>
        <w:tc>
          <w:tcPr>
            <w:tcW w:w="3836" w:type="dxa"/>
            <w:tcBorders>
              <w:top w:val="nil"/>
              <w:left w:val="nil"/>
              <w:bottom w:val="nil"/>
              <w:right w:val="nil"/>
            </w:tcBorders>
            <w:shd w:val="clear" w:color="auto" w:fill="auto"/>
            <w:noWrap/>
            <w:vAlign w:val="bottom"/>
            <w:hideMark/>
          </w:tcPr>
          <w:p w:rsidR="00B538CE" w:rsidRDefault="00B538CE">
            <w:pPr>
              <w:rPr>
                <w:rFonts w:ascii="Arial" w:hAnsi="Arial" w:cs="Arial"/>
                <w:sz w:val="20"/>
                <w:szCs w:val="20"/>
              </w:rPr>
            </w:pPr>
            <w:r>
              <w:rPr>
                <w:rFonts w:ascii="Arial" w:hAnsi="Arial" w:cs="Arial"/>
                <w:sz w:val="20"/>
                <w:szCs w:val="20"/>
              </w:rPr>
              <w:t>Receiverships</w:t>
            </w:r>
            <w:r>
              <w:rPr>
                <w:rFonts w:ascii="Arial" w:hAnsi="Arial" w:cs="Arial"/>
                <w:sz w:val="16"/>
                <w:szCs w:val="16"/>
                <w:vertAlign w:val="superscript"/>
              </w:rPr>
              <w:t>4</w:t>
            </w:r>
          </w:p>
        </w:tc>
        <w:tc>
          <w:tcPr>
            <w:tcW w:w="884"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192</w:t>
            </w:r>
          </w:p>
        </w:tc>
        <w:tc>
          <w:tcPr>
            <w:tcW w:w="883"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253</w:t>
            </w:r>
          </w:p>
        </w:tc>
        <w:tc>
          <w:tcPr>
            <w:tcW w:w="883"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236</w:t>
            </w:r>
          </w:p>
        </w:tc>
        <w:tc>
          <w:tcPr>
            <w:tcW w:w="883"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205</w:t>
            </w:r>
          </w:p>
        </w:tc>
        <w:tc>
          <w:tcPr>
            <w:tcW w:w="883" w:type="dxa"/>
            <w:tcBorders>
              <w:top w:val="nil"/>
              <w:left w:val="nil"/>
              <w:bottom w:val="nil"/>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171</w:t>
            </w:r>
          </w:p>
        </w:tc>
        <w:tc>
          <w:tcPr>
            <w:tcW w:w="296" w:type="dxa"/>
            <w:tcBorders>
              <w:top w:val="nil"/>
              <w:left w:val="nil"/>
              <w:bottom w:val="nil"/>
              <w:right w:val="nil"/>
            </w:tcBorders>
            <w:shd w:val="clear" w:color="auto" w:fill="auto"/>
            <w:noWrap/>
            <w:vAlign w:val="bottom"/>
            <w:hideMark/>
          </w:tcPr>
          <w:p w:rsidR="00B538CE" w:rsidRDefault="00B538CE">
            <w:pPr>
              <w:rPr>
                <w:rFonts w:ascii="Arial" w:hAnsi="Arial" w:cs="Arial"/>
                <w:sz w:val="20"/>
                <w:szCs w:val="20"/>
              </w:rPr>
            </w:pPr>
          </w:p>
        </w:tc>
        <w:tc>
          <w:tcPr>
            <w:tcW w:w="888" w:type="dxa"/>
            <w:tcBorders>
              <w:top w:val="nil"/>
              <w:left w:val="nil"/>
              <w:bottom w:val="nil"/>
              <w:right w:val="nil"/>
            </w:tcBorders>
            <w:shd w:val="clear" w:color="auto" w:fill="auto"/>
            <w:noWrap/>
            <w:vAlign w:val="bottom"/>
            <w:hideMark/>
          </w:tcPr>
          <w:p w:rsidR="00B538CE" w:rsidRDefault="00B538CE">
            <w:pPr>
              <w:ind w:firstLineChars="100" w:firstLine="200"/>
              <w:jc w:val="right"/>
              <w:rPr>
                <w:rFonts w:ascii="Arial" w:hAnsi="Arial" w:cs="Arial"/>
                <w:sz w:val="20"/>
                <w:szCs w:val="20"/>
              </w:rPr>
            </w:pPr>
            <w:r>
              <w:rPr>
                <w:rFonts w:ascii="Arial" w:hAnsi="Arial" w:cs="Arial"/>
                <w:sz w:val="20"/>
                <w:szCs w:val="20"/>
              </w:rPr>
              <w:t>-16.6</w:t>
            </w:r>
          </w:p>
        </w:tc>
        <w:tc>
          <w:tcPr>
            <w:tcW w:w="888" w:type="dxa"/>
            <w:tcBorders>
              <w:top w:val="nil"/>
              <w:left w:val="nil"/>
              <w:bottom w:val="nil"/>
              <w:right w:val="nil"/>
            </w:tcBorders>
            <w:shd w:val="clear" w:color="auto" w:fill="auto"/>
            <w:noWrap/>
            <w:vAlign w:val="bottom"/>
            <w:hideMark/>
          </w:tcPr>
          <w:p w:rsidR="00B538CE" w:rsidRDefault="00B538CE">
            <w:pPr>
              <w:ind w:firstLineChars="100" w:firstLine="200"/>
              <w:jc w:val="right"/>
              <w:rPr>
                <w:rFonts w:ascii="Arial" w:hAnsi="Arial" w:cs="Arial"/>
                <w:sz w:val="20"/>
                <w:szCs w:val="20"/>
              </w:rPr>
            </w:pPr>
            <w:r>
              <w:rPr>
                <w:rFonts w:ascii="Arial" w:hAnsi="Arial" w:cs="Arial"/>
                <w:sz w:val="20"/>
                <w:szCs w:val="20"/>
              </w:rPr>
              <w:t>-10.9</w:t>
            </w:r>
          </w:p>
        </w:tc>
      </w:tr>
      <w:tr w:rsidR="00B538CE" w:rsidTr="00B538CE">
        <w:trPr>
          <w:trHeight w:val="255"/>
        </w:trPr>
        <w:tc>
          <w:tcPr>
            <w:tcW w:w="3836" w:type="dxa"/>
            <w:tcBorders>
              <w:top w:val="nil"/>
              <w:left w:val="nil"/>
              <w:bottom w:val="nil"/>
              <w:right w:val="nil"/>
            </w:tcBorders>
            <w:shd w:val="clear" w:color="auto" w:fill="auto"/>
            <w:noWrap/>
            <w:vAlign w:val="bottom"/>
            <w:hideMark/>
          </w:tcPr>
          <w:p w:rsidR="00B538CE" w:rsidRDefault="00B538CE">
            <w:pPr>
              <w:rPr>
                <w:rFonts w:ascii="Arial" w:hAnsi="Arial" w:cs="Arial"/>
                <w:sz w:val="20"/>
                <w:szCs w:val="20"/>
              </w:rPr>
            </w:pPr>
            <w:r>
              <w:rPr>
                <w:rFonts w:ascii="Arial" w:hAnsi="Arial" w:cs="Arial"/>
                <w:sz w:val="20"/>
                <w:szCs w:val="20"/>
              </w:rPr>
              <w:t>Administrations</w:t>
            </w:r>
          </w:p>
        </w:tc>
        <w:tc>
          <w:tcPr>
            <w:tcW w:w="884" w:type="dxa"/>
            <w:tcBorders>
              <w:top w:val="nil"/>
              <w:left w:val="nil"/>
              <w:bottom w:val="nil"/>
              <w:right w:val="nil"/>
            </w:tcBorders>
            <w:shd w:val="clear" w:color="auto" w:fill="auto"/>
            <w:noWrap/>
            <w:vAlign w:val="bottom"/>
            <w:hideMark/>
          </w:tcPr>
          <w:p w:rsidR="00B538CE" w:rsidRDefault="002D3A05">
            <w:pPr>
              <w:jc w:val="right"/>
              <w:rPr>
                <w:rFonts w:ascii="Arial" w:hAnsi="Arial" w:cs="Arial"/>
                <w:sz w:val="20"/>
                <w:szCs w:val="20"/>
              </w:rPr>
            </w:pPr>
            <w:r>
              <w:rPr>
                <w:rFonts w:ascii="Arial" w:hAnsi="Arial" w:cs="Arial"/>
                <w:sz w:val="20"/>
                <w:szCs w:val="20"/>
              </w:rPr>
              <w:t>630</w:t>
            </w:r>
          </w:p>
        </w:tc>
        <w:tc>
          <w:tcPr>
            <w:tcW w:w="883" w:type="dxa"/>
            <w:tcBorders>
              <w:top w:val="nil"/>
              <w:left w:val="nil"/>
              <w:bottom w:val="nil"/>
              <w:right w:val="nil"/>
            </w:tcBorders>
            <w:shd w:val="clear" w:color="auto" w:fill="auto"/>
            <w:noWrap/>
            <w:vAlign w:val="bottom"/>
            <w:hideMark/>
          </w:tcPr>
          <w:p w:rsidR="00B538CE" w:rsidRDefault="002D3A05">
            <w:pPr>
              <w:jc w:val="right"/>
              <w:rPr>
                <w:rFonts w:ascii="Arial" w:hAnsi="Arial" w:cs="Arial"/>
                <w:sz w:val="20"/>
                <w:szCs w:val="20"/>
              </w:rPr>
            </w:pPr>
            <w:r>
              <w:rPr>
                <w:rFonts w:ascii="Arial" w:hAnsi="Arial" w:cs="Arial"/>
                <w:sz w:val="20"/>
                <w:szCs w:val="20"/>
              </w:rPr>
              <w:t>605</w:t>
            </w:r>
          </w:p>
        </w:tc>
        <w:tc>
          <w:tcPr>
            <w:tcW w:w="883" w:type="dxa"/>
            <w:tcBorders>
              <w:top w:val="nil"/>
              <w:left w:val="nil"/>
              <w:bottom w:val="nil"/>
              <w:right w:val="nil"/>
            </w:tcBorders>
            <w:shd w:val="clear" w:color="auto" w:fill="auto"/>
            <w:noWrap/>
            <w:vAlign w:val="bottom"/>
            <w:hideMark/>
          </w:tcPr>
          <w:p w:rsidR="00B538CE" w:rsidRDefault="002D3A05">
            <w:pPr>
              <w:jc w:val="right"/>
              <w:rPr>
                <w:rFonts w:ascii="Arial" w:hAnsi="Arial" w:cs="Arial"/>
                <w:sz w:val="20"/>
                <w:szCs w:val="20"/>
              </w:rPr>
            </w:pPr>
            <w:r>
              <w:rPr>
                <w:rFonts w:ascii="Arial" w:hAnsi="Arial" w:cs="Arial"/>
                <w:sz w:val="20"/>
                <w:szCs w:val="20"/>
              </w:rPr>
              <w:t>599</w:t>
            </w:r>
          </w:p>
        </w:tc>
        <w:tc>
          <w:tcPr>
            <w:tcW w:w="883" w:type="dxa"/>
            <w:tcBorders>
              <w:top w:val="nil"/>
              <w:left w:val="nil"/>
              <w:bottom w:val="nil"/>
              <w:right w:val="nil"/>
            </w:tcBorders>
            <w:shd w:val="clear" w:color="auto" w:fill="auto"/>
            <w:noWrap/>
            <w:vAlign w:val="bottom"/>
            <w:hideMark/>
          </w:tcPr>
          <w:p w:rsidR="00B538CE" w:rsidRDefault="002D3A05">
            <w:pPr>
              <w:jc w:val="right"/>
              <w:rPr>
                <w:rFonts w:ascii="Arial" w:hAnsi="Arial" w:cs="Arial"/>
                <w:sz w:val="20"/>
                <w:szCs w:val="20"/>
              </w:rPr>
            </w:pPr>
            <w:r>
              <w:rPr>
                <w:rFonts w:ascii="Arial" w:hAnsi="Arial" w:cs="Arial"/>
                <w:sz w:val="20"/>
                <w:szCs w:val="20"/>
              </w:rPr>
              <w:t>508</w:t>
            </w:r>
          </w:p>
        </w:tc>
        <w:tc>
          <w:tcPr>
            <w:tcW w:w="883" w:type="dxa"/>
            <w:tcBorders>
              <w:top w:val="nil"/>
              <w:left w:val="nil"/>
              <w:bottom w:val="nil"/>
              <w:right w:val="nil"/>
            </w:tcBorders>
            <w:shd w:val="clear" w:color="auto" w:fill="auto"/>
            <w:noWrap/>
            <w:vAlign w:val="bottom"/>
            <w:hideMark/>
          </w:tcPr>
          <w:p w:rsidR="00B538CE" w:rsidRDefault="002D3A05">
            <w:pPr>
              <w:jc w:val="right"/>
              <w:rPr>
                <w:rFonts w:ascii="Arial" w:hAnsi="Arial" w:cs="Arial"/>
                <w:sz w:val="20"/>
                <w:szCs w:val="20"/>
              </w:rPr>
            </w:pPr>
            <w:r>
              <w:rPr>
                <w:rFonts w:ascii="Arial" w:hAnsi="Arial" w:cs="Arial"/>
                <w:sz w:val="20"/>
                <w:szCs w:val="20"/>
              </w:rPr>
              <w:t>410</w:t>
            </w:r>
          </w:p>
        </w:tc>
        <w:tc>
          <w:tcPr>
            <w:tcW w:w="296" w:type="dxa"/>
            <w:tcBorders>
              <w:top w:val="nil"/>
              <w:left w:val="nil"/>
              <w:bottom w:val="nil"/>
              <w:right w:val="nil"/>
            </w:tcBorders>
            <w:shd w:val="clear" w:color="auto" w:fill="auto"/>
            <w:noWrap/>
            <w:vAlign w:val="bottom"/>
            <w:hideMark/>
          </w:tcPr>
          <w:p w:rsidR="00B538CE" w:rsidRDefault="00B538CE">
            <w:pPr>
              <w:rPr>
                <w:rFonts w:ascii="Arial" w:hAnsi="Arial" w:cs="Arial"/>
                <w:sz w:val="20"/>
                <w:szCs w:val="20"/>
              </w:rPr>
            </w:pPr>
          </w:p>
        </w:tc>
        <w:tc>
          <w:tcPr>
            <w:tcW w:w="888" w:type="dxa"/>
            <w:tcBorders>
              <w:top w:val="nil"/>
              <w:left w:val="nil"/>
              <w:bottom w:val="nil"/>
              <w:right w:val="nil"/>
            </w:tcBorders>
            <w:shd w:val="clear" w:color="auto" w:fill="auto"/>
            <w:noWrap/>
            <w:vAlign w:val="bottom"/>
            <w:hideMark/>
          </w:tcPr>
          <w:p w:rsidR="00B538CE" w:rsidRDefault="00B538CE" w:rsidP="002D3A05">
            <w:pPr>
              <w:ind w:firstLineChars="100" w:firstLine="200"/>
              <w:jc w:val="right"/>
              <w:rPr>
                <w:rFonts w:ascii="Arial" w:hAnsi="Arial" w:cs="Arial"/>
                <w:sz w:val="20"/>
                <w:szCs w:val="20"/>
              </w:rPr>
            </w:pPr>
            <w:r>
              <w:rPr>
                <w:rFonts w:ascii="Arial" w:hAnsi="Arial" w:cs="Arial"/>
                <w:sz w:val="20"/>
                <w:szCs w:val="20"/>
              </w:rPr>
              <w:t>-</w:t>
            </w:r>
            <w:r w:rsidR="002D3A05">
              <w:rPr>
                <w:rFonts w:ascii="Arial" w:hAnsi="Arial" w:cs="Arial"/>
                <w:sz w:val="20"/>
                <w:szCs w:val="20"/>
              </w:rPr>
              <w:t>19</w:t>
            </w:r>
            <w:r>
              <w:rPr>
                <w:rFonts w:ascii="Arial" w:hAnsi="Arial" w:cs="Arial"/>
                <w:sz w:val="20"/>
                <w:szCs w:val="20"/>
              </w:rPr>
              <w:t>.2</w:t>
            </w:r>
          </w:p>
        </w:tc>
        <w:tc>
          <w:tcPr>
            <w:tcW w:w="888" w:type="dxa"/>
            <w:tcBorders>
              <w:top w:val="nil"/>
              <w:left w:val="nil"/>
              <w:bottom w:val="nil"/>
              <w:right w:val="nil"/>
            </w:tcBorders>
            <w:shd w:val="clear" w:color="auto" w:fill="auto"/>
            <w:noWrap/>
            <w:vAlign w:val="bottom"/>
            <w:hideMark/>
          </w:tcPr>
          <w:p w:rsidR="00B538CE" w:rsidRDefault="00B538CE" w:rsidP="002D3A05">
            <w:pPr>
              <w:ind w:firstLineChars="100" w:firstLine="200"/>
              <w:jc w:val="right"/>
              <w:rPr>
                <w:rFonts w:ascii="Arial" w:hAnsi="Arial" w:cs="Arial"/>
                <w:sz w:val="20"/>
                <w:szCs w:val="20"/>
              </w:rPr>
            </w:pPr>
            <w:r>
              <w:rPr>
                <w:rFonts w:ascii="Arial" w:hAnsi="Arial" w:cs="Arial"/>
                <w:sz w:val="20"/>
                <w:szCs w:val="20"/>
              </w:rPr>
              <w:t>-</w:t>
            </w:r>
            <w:r w:rsidR="002D3A05">
              <w:rPr>
                <w:rFonts w:ascii="Arial" w:hAnsi="Arial" w:cs="Arial"/>
                <w:sz w:val="20"/>
                <w:szCs w:val="20"/>
              </w:rPr>
              <w:t>34.9</w:t>
            </w:r>
          </w:p>
        </w:tc>
      </w:tr>
      <w:tr w:rsidR="00B538CE" w:rsidTr="00B538CE">
        <w:trPr>
          <w:trHeight w:val="255"/>
        </w:trPr>
        <w:tc>
          <w:tcPr>
            <w:tcW w:w="3836" w:type="dxa"/>
            <w:tcBorders>
              <w:top w:val="nil"/>
              <w:left w:val="nil"/>
              <w:bottom w:val="single" w:sz="4" w:space="0" w:color="auto"/>
              <w:right w:val="nil"/>
            </w:tcBorders>
            <w:shd w:val="clear" w:color="auto" w:fill="auto"/>
            <w:noWrap/>
            <w:vAlign w:val="bottom"/>
            <w:hideMark/>
          </w:tcPr>
          <w:p w:rsidR="00B538CE" w:rsidRDefault="00B538CE">
            <w:pPr>
              <w:rPr>
                <w:rFonts w:ascii="Arial" w:hAnsi="Arial" w:cs="Arial"/>
                <w:sz w:val="20"/>
                <w:szCs w:val="20"/>
              </w:rPr>
            </w:pPr>
            <w:r>
              <w:rPr>
                <w:rFonts w:ascii="Arial" w:hAnsi="Arial" w:cs="Arial"/>
                <w:sz w:val="20"/>
                <w:szCs w:val="20"/>
              </w:rPr>
              <w:t>Company voluntary arrangements</w:t>
            </w:r>
          </w:p>
        </w:tc>
        <w:tc>
          <w:tcPr>
            <w:tcW w:w="884" w:type="dxa"/>
            <w:tcBorders>
              <w:top w:val="nil"/>
              <w:left w:val="nil"/>
              <w:bottom w:val="single" w:sz="4" w:space="0" w:color="auto"/>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160</w:t>
            </w:r>
          </w:p>
        </w:tc>
        <w:tc>
          <w:tcPr>
            <w:tcW w:w="883" w:type="dxa"/>
            <w:tcBorders>
              <w:top w:val="nil"/>
              <w:left w:val="nil"/>
              <w:bottom w:val="single" w:sz="4" w:space="0" w:color="auto"/>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152</w:t>
            </w:r>
          </w:p>
        </w:tc>
        <w:tc>
          <w:tcPr>
            <w:tcW w:w="883" w:type="dxa"/>
            <w:tcBorders>
              <w:top w:val="nil"/>
              <w:left w:val="nil"/>
              <w:bottom w:val="single" w:sz="4" w:space="0" w:color="auto"/>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123</w:t>
            </w:r>
          </w:p>
        </w:tc>
        <w:tc>
          <w:tcPr>
            <w:tcW w:w="883" w:type="dxa"/>
            <w:tcBorders>
              <w:top w:val="nil"/>
              <w:left w:val="nil"/>
              <w:bottom w:val="single" w:sz="4" w:space="0" w:color="auto"/>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142</w:t>
            </w:r>
          </w:p>
        </w:tc>
        <w:tc>
          <w:tcPr>
            <w:tcW w:w="883" w:type="dxa"/>
            <w:tcBorders>
              <w:top w:val="nil"/>
              <w:left w:val="nil"/>
              <w:bottom w:val="single" w:sz="4" w:space="0" w:color="auto"/>
              <w:right w:val="nil"/>
            </w:tcBorders>
            <w:shd w:val="clear" w:color="auto" w:fill="auto"/>
            <w:noWrap/>
            <w:vAlign w:val="bottom"/>
            <w:hideMark/>
          </w:tcPr>
          <w:p w:rsidR="00B538CE" w:rsidRDefault="00B538CE">
            <w:pPr>
              <w:jc w:val="right"/>
              <w:rPr>
                <w:rFonts w:ascii="Arial" w:hAnsi="Arial" w:cs="Arial"/>
                <w:sz w:val="20"/>
                <w:szCs w:val="20"/>
              </w:rPr>
            </w:pPr>
            <w:r>
              <w:rPr>
                <w:rFonts w:ascii="Arial" w:hAnsi="Arial" w:cs="Arial"/>
                <w:sz w:val="20"/>
                <w:szCs w:val="20"/>
              </w:rPr>
              <w:t>142</w:t>
            </w:r>
          </w:p>
        </w:tc>
        <w:tc>
          <w:tcPr>
            <w:tcW w:w="296" w:type="dxa"/>
            <w:tcBorders>
              <w:top w:val="nil"/>
              <w:left w:val="nil"/>
              <w:bottom w:val="single" w:sz="4" w:space="0" w:color="auto"/>
              <w:right w:val="nil"/>
            </w:tcBorders>
            <w:shd w:val="clear" w:color="auto" w:fill="auto"/>
            <w:noWrap/>
            <w:vAlign w:val="bottom"/>
            <w:hideMark/>
          </w:tcPr>
          <w:p w:rsidR="00B538CE" w:rsidRDefault="00B538CE">
            <w:pPr>
              <w:rPr>
                <w:rFonts w:ascii="Arial" w:hAnsi="Arial" w:cs="Arial"/>
                <w:sz w:val="20"/>
                <w:szCs w:val="20"/>
              </w:rPr>
            </w:pPr>
            <w:r>
              <w:rPr>
                <w:rFonts w:ascii="Arial" w:hAnsi="Arial" w:cs="Arial"/>
                <w:sz w:val="20"/>
                <w:szCs w:val="20"/>
              </w:rPr>
              <w:t> </w:t>
            </w:r>
          </w:p>
        </w:tc>
        <w:tc>
          <w:tcPr>
            <w:tcW w:w="888" w:type="dxa"/>
            <w:tcBorders>
              <w:top w:val="nil"/>
              <w:left w:val="nil"/>
              <w:bottom w:val="single" w:sz="4" w:space="0" w:color="auto"/>
              <w:right w:val="nil"/>
            </w:tcBorders>
            <w:shd w:val="clear" w:color="auto" w:fill="auto"/>
            <w:noWrap/>
            <w:vAlign w:val="bottom"/>
            <w:hideMark/>
          </w:tcPr>
          <w:p w:rsidR="00B538CE" w:rsidRDefault="00B538CE">
            <w:pPr>
              <w:ind w:firstLineChars="100" w:firstLine="200"/>
              <w:jc w:val="right"/>
              <w:rPr>
                <w:rFonts w:ascii="Arial" w:hAnsi="Arial" w:cs="Arial"/>
                <w:sz w:val="20"/>
                <w:szCs w:val="20"/>
              </w:rPr>
            </w:pPr>
            <w:r>
              <w:rPr>
                <w:rFonts w:ascii="Arial" w:hAnsi="Arial" w:cs="Arial"/>
                <w:sz w:val="20"/>
                <w:szCs w:val="20"/>
              </w:rPr>
              <w:t>0.0</w:t>
            </w:r>
          </w:p>
        </w:tc>
        <w:tc>
          <w:tcPr>
            <w:tcW w:w="888" w:type="dxa"/>
            <w:tcBorders>
              <w:top w:val="nil"/>
              <w:left w:val="nil"/>
              <w:bottom w:val="single" w:sz="4" w:space="0" w:color="auto"/>
              <w:right w:val="nil"/>
            </w:tcBorders>
            <w:shd w:val="clear" w:color="auto" w:fill="auto"/>
            <w:noWrap/>
            <w:vAlign w:val="bottom"/>
            <w:hideMark/>
          </w:tcPr>
          <w:p w:rsidR="00B538CE" w:rsidRDefault="00B538CE">
            <w:pPr>
              <w:ind w:firstLineChars="100" w:firstLine="200"/>
              <w:jc w:val="right"/>
              <w:rPr>
                <w:rFonts w:ascii="Arial" w:hAnsi="Arial" w:cs="Arial"/>
                <w:sz w:val="20"/>
                <w:szCs w:val="20"/>
              </w:rPr>
            </w:pPr>
            <w:r>
              <w:rPr>
                <w:rFonts w:ascii="Arial" w:hAnsi="Arial" w:cs="Arial"/>
                <w:sz w:val="20"/>
                <w:szCs w:val="20"/>
              </w:rPr>
              <w:t>-11.3</w:t>
            </w:r>
          </w:p>
        </w:tc>
      </w:tr>
    </w:tbl>
    <w:p w:rsidR="000E083D" w:rsidRPr="000E083D" w:rsidRDefault="000E083D" w:rsidP="00A223CD">
      <w:pPr>
        <w:tabs>
          <w:tab w:val="left" w:pos="965"/>
        </w:tabs>
        <w:spacing w:before="60" w:after="60"/>
        <w:rPr>
          <w:rFonts w:ascii="Arial" w:hAnsi="Arial" w:cs="Arial"/>
          <w:color w:val="000000"/>
          <w:sz w:val="20"/>
          <w:szCs w:val="20"/>
        </w:rPr>
      </w:pPr>
      <w:r w:rsidRPr="000E083D">
        <w:rPr>
          <w:rFonts w:ascii="Arial" w:hAnsi="Arial" w:cs="Arial"/>
          <w:sz w:val="20"/>
          <w:szCs w:val="20"/>
        </w:rPr>
        <w:t xml:space="preserve">Source: </w:t>
      </w:r>
      <w:r w:rsidRPr="000E083D">
        <w:rPr>
          <w:rFonts w:ascii="Arial" w:hAnsi="Arial" w:cs="Arial"/>
          <w:color w:val="000000"/>
          <w:sz w:val="20"/>
          <w:szCs w:val="20"/>
        </w:rPr>
        <w:t>Insolvency Service and Companies House</w:t>
      </w:r>
      <w:r w:rsidR="003D5600">
        <w:rPr>
          <w:rFonts w:ascii="Arial" w:hAnsi="Arial" w:cs="Arial"/>
          <w:color w:val="000000"/>
          <w:sz w:val="20"/>
          <w:szCs w:val="20"/>
        </w:rPr>
        <w:t>.</w:t>
      </w:r>
    </w:p>
    <w:p w:rsidR="000E083D" w:rsidRPr="000E083D" w:rsidRDefault="000E083D" w:rsidP="000E083D">
      <w:pPr>
        <w:tabs>
          <w:tab w:val="left" w:pos="965"/>
        </w:tabs>
        <w:spacing w:after="60"/>
        <w:rPr>
          <w:rFonts w:ascii="Arial" w:hAnsi="Arial" w:cs="Arial"/>
          <w:sz w:val="20"/>
          <w:szCs w:val="20"/>
        </w:rPr>
      </w:pPr>
      <w:r w:rsidRPr="000E083D">
        <w:rPr>
          <w:rFonts w:ascii="Arial" w:hAnsi="Arial" w:cs="Arial"/>
          <w:color w:val="000000"/>
          <w:sz w:val="20"/>
          <w:szCs w:val="20"/>
        </w:rPr>
        <w:t>p = provisio</w:t>
      </w:r>
      <w:r w:rsidRPr="000E083D">
        <w:rPr>
          <w:rFonts w:ascii="Arial" w:hAnsi="Arial" w:cs="Arial"/>
          <w:sz w:val="20"/>
          <w:szCs w:val="20"/>
        </w:rPr>
        <w:t>nal, r = revised</w:t>
      </w:r>
      <w:r w:rsidR="003D5600">
        <w:rPr>
          <w:rFonts w:ascii="Arial" w:hAnsi="Arial" w:cs="Arial"/>
          <w:sz w:val="20"/>
          <w:szCs w:val="20"/>
        </w:rPr>
        <w:t>.</w:t>
      </w:r>
    </w:p>
    <w:p w:rsidR="000E083D" w:rsidRPr="000E083D" w:rsidRDefault="000E083D" w:rsidP="000E083D">
      <w:pPr>
        <w:tabs>
          <w:tab w:val="left" w:pos="965"/>
        </w:tabs>
        <w:spacing w:after="60"/>
        <w:rPr>
          <w:rFonts w:ascii="Arial" w:hAnsi="Arial" w:cs="Arial"/>
          <w:color w:val="000000"/>
          <w:sz w:val="20"/>
          <w:szCs w:val="20"/>
        </w:rPr>
      </w:pPr>
      <w:r w:rsidRPr="00A223CD">
        <w:rPr>
          <w:rFonts w:ascii="Arial" w:hAnsi="Arial" w:cs="Arial"/>
          <w:sz w:val="20"/>
          <w:szCs w:val="20"/>
          <w:vertAlign w:val="superscript"/>
        </w:rPr>
        <w:t>1</w:t>
      </w:r>
      <w:r w:rsidRPr="000E083D">
        <w:rPr>
          <w:rFonts w:ascii="Arial" w:hAnsi="Arial" w:cs="Arial"/>
          <w:sz w:val="20"/>
          <w:szCs w:val="20"/>
        </w:rPr>
        <w:t xml:space="preserve"> </w:t>
      </w:r>
      <w:r w:rsidRPr="000E083D">
        <w:rPr>
          <w:rFonts w:ascii="Arial" w:hAnsi="Arial" w:cs="Arial"/>
          <w:color w:val="000000"/>
          <w:sz w:val="20"/>
          <w:szCs w:val="20"/>
        </w:rPr>
        <w:t>Longer series back to 200</w:t>
      </w:r>
      <w:r w:rsidR="008A50E1">
        <w:rPr>
          <w:rFonts w:ascii="Arial" w:hAnsi="Arial" w:cs="Arial"/>
          <w:color w:val="000000"/>
          <w:sz w:val="20"/>
          <w:szCs w:val="20"/>
        </w:rPr>
        <w:t>4</w:t>
      </w:r>
      <w:r w:rsidRPr="000E083D">
        <w:rPr>
          <w:rFonts w:ascii="Arial" w:hAnsi="Arial" w:cs="Arial"/>
          <w:color w:val="000000"/>
          <w:sz w:val="20"/>
          <w:szCs w:val="20"/>
        </w:rPr>
        <w:t xml:space="preserve"> are presented in the accompanying detailed tables.</w:t>
      </w:r>
    </w:p>
    <w:p w:rsidR="000E083D" w:rsidRPr="000E083D" w:rsidRDefault="000E083D" w:rsidP="000E083D">
      <w:pPr>
        <w:tabs>
          <w:tab w:val="left" w:pos="965"/>
        </w:tabs>
        <w:spacing w:after="60"/>
        <w:rPr>
          <w:rFonts w:ascii="Arial" w:hAnsi="Arial" w:cs="Arial"/>
          <w:color w:val="000000"/>
          <w:sz w:val="20"/>
          <w:szCs w:val="20"/>
        </w:rPr>
      </w:pPr>
      <w:r w:rsidRPr="00A223CD">
        <w:rPr>
          <w:rFonts w:ascii="Arial" w:hAnsi="Arial" w:cs="Arial"/>
          <w:color w:val="000000"/>
          <w:sz w:val="20"/>
          <w:szCs w:val="20"/>
          <w:vertAlign w:val="superscript"/>
        </w:rPr>
        <w:t>2</w:t>
      </w:r>
      <w:r w:rsidR="000B6473">
        <w:rPr>
          <w:rFonts w:ascii="Arial" w:hAnsi="Arial" w:cs="Arial"/>
          <w:color w:val="000000"/>
          <w:sz w:val="20"/>
          <w:szCs w:val="20"/>
        </w:rPr>
        <w:t xml:space="preserve"> Excludes </w:t>
      </w:r>
      <w:r w:rsidRPr="000E083D">
        <w:rPr>
          <w:rFonts w:ascii="Arial" w:hAnsi="Arial" w:cs="Arial"/>
          <w:color w:val="000000"/>
          <w:sz w:val="20"/>
          <w:szCs w:val="20"/>
        </w:rPr>
        <w:t>creditors' voluntary liquidation</w:t>
      </w:r>
      <w:r w:rsidR="00A223CD">
        <w:rPr>
          <w:rFonts w:ascii="Arial" w:hAnsi="Arial" w:cs="Arial"/>
          <w:color w:val="000000"/>
          <w:sz w:val="20"/>
          <w:szCs w:val="20"/>
        </w:rPr>
        <w:t>s</w:t>
      </w:r>
      <w:r w:rsidR="0055072E">
        <w:rPr>
          <w:rFonts w:ascii="Arial" w:hAnsi="Arial" w:cs="Arial"/>
          <w:color w:val="000000"/>
          <w:sz w:val="20"/>
          <w:szCs w:val="20"/>
        </w:rPr>
        <w:t xml:space="preserve"> following administration (see section 2.1).</w:t>
      </w:r>
    </w:p>
    <w:p w:rsidR="000E083D" w:rsidRPr="000E083D" w:rsidRDefault="000E083D" w:rsidP="000E083D">
      <w:pPr>
        <w:tabs>
          <w:tab w:val="left" w:pos="965"/>
        </w:tabs>
        <w:spacing w:after="60"/>
        <w:rPr>
          <w:rFonts w:ascii="Arial" w:hAnsi="Arial" w:cs="Arial"/>
          <w:color w:val="000000"/>
          <w:sz w:val="20"/>
          <w:szCs w:val="20"/>
        </w:rPr>
      </w:pPr>
      <w:r w:rsidRPr="00A223CD">
        <w:rPr>
          <w:rFonts w:ascii="Arial" w:hAnsi="Arial" w:cs="Arial"/>
          <w:color w:val="000000"/>
          <w:sz w:val="20"/>
          <w:szCs w:val="20"/>
          <w:vertAlign w:val="superscript"/>
        </w:rPr>
        <w:t>3</w:t>
      </w:r>
      <w:r w:rsidRPr="000E083D">
        <w:rPr>
          <w:rFonts w:ascii="Arial" w:hAnsi="Arial" w:cs="Arial"/>
          <w:color w:val="000000"/>
          <w:sz w:val="20"/>
          <w:szCs w:val="20"/>
        </w:rPr>
        <w:t xml:space="preserve"> The series for compulsory liquidations, company voluntary arrangements and receiverships do not require seasonal adjustment.</w:t>
      </w:r>
    </w:p>
    <w:p w:rsidR="000E083D" w:rsidRPr="000E083D" w:rsidRDefault="000E083D" w:rsidP="000E083D">
      <w:pPr>
        <w:tabs>
          <w:tab w:val="left" w:pos="965"/>
        </w:tabs>
        <w:spacing w:after="60"/>
        <w:rPr>
          <w:rFonts w:ascii="Arial" w:hAnsi="Arial" w:cs="Arial"/>
          <w:sz w:val="20"/>
          <w:szCs w:val="20"/>
        </w:rPr>
      </w:pPr>
      <w:r w:rsidRPr="00A223CD">
        <w:rPr>
          <w:rFonts w:ascii="Arial" w:hAnsi="Arial" w:cs="Arial"/>
          <w:color w:val="000000"/>
          <w:sz w:val="20"/>
          <w:szCs w:val="20"/>
          <w:vertAlign w:val="superscript"/>
        </w:rPr>
        <w:t>4</w:t>
      </w:r>
      <w:r w:rsidRPr="000E083D">
        <w:rPr>
          <w:rFonts w:ascii="Arial" w:hAnsi="Arial" w:cs="Arial"/>
          <w:color w:val="000000"/>
          <w:sz w:val="20"/>
          <w:szCs w:val="20"/>
        </w:rPr>
        <w:t xml:space="preserve"> Includes Law</w:t>
      </w:r>
      <w:r w:rsidR="0055072E">
        <w:rPr>
          <w:rFonts w:ascii="Arial" w:hAnsi="Arial" w:cs="Arial"/>
          <w:sz w:val="20"/>
          <w:szCs w:val="20"/>
        </w:rPr>
        <w:t xml:space="preserve"> of Property Act receiverships, which are not insolvencies but which cannot be identified separately</w:t>
      </w:r>
      <w:r w:rsidRPr="000E083D">
        <w:rPr>
          <w:rFonts w:ascii="Arial" w:hAnsi="Arial" w:cs="Arial"/>
          <w:sz w:val="20"/>
          <w:szCs w:val="20"/>
        </w:rPr>
        <w:t>.</w:t>
      </w:r>
    </w:p>
    <w:p w:rsidR="000E083D" w:rsidRDefault="000E083D" w:rsidP="003E4EDF">
      <w:pPr>
        <w:pStyle w:val="BodyText"/>
        <w:tabs>
          <w:tab w:val="left" w:pos="450"/>
        </w:tabs>
        <w:spacing w:before="120" w:line="276" w:lineRule="auto"/>
        <w:rPr>
          <w:rFonts w:ascii="Arial" w:hAnsi="Arial" w:cs="Arial"/>
          <w:sz w:val="22"/>
          <w:szCs w:val="22"/>
        </w:rPr>
      </w:pPr>
    </w:p>
    <w:p w:rsidR="000E083D" w:rsidRPr="000E083D" w:rsidRDefault="00302CCF" w:rsidP="003E4EDF">
      <w:pPr>
        <w:pStyle w:val="BodyText"/>
        <w:tabs>
          <w:tab w:val="left" w:pos="450"/>
        </w:tabs>
        <w:spacing w:before="120" w:line="276" w:lineRule="auto"/>
        <w:rPr>
          <w:rFonts w:ascii="Arial" w:hAnsi="Arial" w:cs="Arial"/>
          <w:b/>
          <w:sz w:val="22"/>
          <w:szCs w:val="22"/>
        </w:rPr>
      </w:pPr>
      <w:r>
        <w:rPr>
          <w:rFonts w:ascii="Arial" w:hAnsi="Arial" w:cs="Arial"/>
          <w:b/>
          <w:sz w:val="22"/>
          <w:szCs w:val="22"/>
        </w:rPr>
        <w:t>Table 2:</w:t>
      </w:r>
      <w:r w:rsidR="000E083D" w:rsidRPr="000E083D">
        <w:rPr>
          <w:rFonts w:ascii="Arial" w:hAnsi="Arial" w:cs="Arial"/>
          <w:b/>
          <w:sz w:val="22"/>
          <w:szCs w:val="22"/>
        </w:rPr>
        <w:t xml:space="preserve"> Individual </w:t>
      </w:r>
      <w:r w:rsidR="00EB248C">
        <w:rPr>
          <w:rFonts w:ascii="Arial" w:hAnsi="Arial" w:cs="Arial"/>
          <w:b/>
          <w:sz w:val="22"/>
          <w:szCs w:val="22"/>
        </w:rPr>
        <w:t>i</w:t>
      </w:r>
      <w:r w:rsidR="000E083D" w:rsidRPr="000E083D">
        <w:rPr>
          <w:rFonts w:ascii="Arial" w:hAnsi="Arial" w:cs="Arial"/>
          <w:b/>
          <w:sz w:val="22"/>
          <w:szCs w:val="22"/>
        </w:rPr>
        <w:t>nsolvencies in England and Wales (not seasonally adjusted)</w:t>
      </w:r>
      <w:r w:rsidR="000E083D" w:rsidRPr="000E083D">
        <w:rPr>
          <w:rFonts w:ascii="Arial" w:hAnsi="Arial" w:cs="Arial"/>
          <w:b/>
          <w:sz w:val="22"/>
          <w:szCs w:val="22"/>
          <w:vertAlign w:val="superscript"/>
        </w:rPr>
        <w:t>1</w:t>
      </w:r>
      <w:r w:rsidR="00A223CD">
        <w:rPr>
          <w:rFonts w:ascii="Arial" w:hAnsi="Arial" w:cs="Arial"/>
          <w:b/>
          <w:sz w:val="22"/>
          <w:szCs w:val="22"/>
          <w:vertAlign w:val="superscript"/>
        </w:rPr>
        <w:t>,2</w:t>
      </w:r>
    </w:p>
    <w:tbl>
      <w:tblPr>
        <w:tblW w:w="10324" w:type="dxa"/>
        <w:tblInd w:w="108" w:type="dxa"/>
        <w:tblLook w:val="04A0" w:firstRow="1" w:lastRow="0" w:firstColumn="1" w:lastColumn="0" w:noHBand="0" w:noVBand="1"/>
      </w:tblPr>
      <w:tblGrid>
        <w:gridCol w:w="3836"/>
        <w:gridCol w:w="884"/>
        <w:gridCol w:w="883"/>
        <w:gridCol w:w="883"/>
        <w:gridCol w:w="883"/>
        <w:gridCol w:w="883"/>
        <w:gridCol w:w="296"/>
        <w:gridCol w:w="1776"/>
      </w:tblGrid>
      <w:tr w:rsidR="00AB51BF" w:rsidTr="00AB51BF">
        <w:trPr>
          <w:trHeight w:val="285"/>
        </w:trPr>
        <w:tc>
          <w:tcPr>
            <w:tcW w:w="3836" w:type="dxa"/>
            <w:tcBorders>
              <w:top w:val="single" w:sz="4" w:space="0" w:color="auto"/>
              <w:left w:val="nil"/>
              <w:bottom w:val="nil"/>
              <w:right w:val="nil"/>
            </w:tcBorders>
            <w:shd w:val="clear" w:color="auto" w:fill="auto"/>
            <w:noWrap/>
            <w:vAlign w:val="bottom"/>
            <w:hideMark/>
          </w:tcPr>
          <w:p w:rsidR="00AB51BF" w:rsidRDefault="00AB51BF">
            <w:pPr>
              <w:rPr>
                <w:rFonts w:ascii="Arial" w:hAnsi="Arial" w:cs="Arial"/>
                <w:sz w:val="20"/>
                <w:szCs w:val="20"/>
              </w:rPr>
            </w:pPr>
            <w:r>
              <w:rPr>
                <w:rFonts w:ascii="Arial" w:hAnsi="Arial" w:cs="Arial"/>
                <w:sz w:val="20"/>
                <w:szCs w:val="20"/>
              </w:rPr>
              <w:t> </w:t>
            </w:r>
          </w:p>
        </w:tc>
        <w:tc>
          <w:tcPr>
            <w:tcW w:w="4416" w:type="dxa"/>
            <w:gridSpan w:val="5"/>
            <w:tcBorders>
              <w:top w:val="single" w:sz="4" w:space="0" w:color="auto"/>
              <w:left w:val="nil"/>
              <w:bottom w:val="nil"/>
              <w:right w:val="nil"/>
            </w:tcBorders>
            <w:shd w:val="clear" w:color="auto" w:fill="auto"/>
            <w:noWrap/>
            <w:vAlign w:val="center"/>
            <w:hideMark/>
          </w:tcPr>
          <w:p w:rsidR="00AB51BF" w:rsidRDefault="00AB51BF">
            <w:pPr>
              <w:jc w:val="center"/>
              <w:rPr>
                <w:rFonts w:ascii="Arial" w:hAnsi="Arial" w:cs="Arial"/>
                <w:b/>
                <w:bCs/>
                <w:sz w:val="20"/>
                <w:szCs w:val="20"/>
              </w:rPr>
            </w:pPr>
            <w:r>
              <w:rPr>
                <w:rFonts w:ascii="Arial" w:hAnsi="Arial" w:cs="Arial"/>
                <w:b/>
                <w:bCs/>
                <w:sz w:val="20"/>
                <w:szCs w:val="20"/>
              </w:rPr>
              <w:t>Number of insolvencies</w:t>
            </w:r>
          </w:p>
        </w:tc>
        <w:tc>
          <w:tcPr>
            <w:tcW w:w="296" w:type="dxa"/>
            <w:tcBorders>
              <w:top w:val="single" w:sz="4" w:space="0" w:color="auto"/>
              <w:left w:val="nil"/>
              <w:bottom w:val="nil"/>
              <w:right w:val="nil"/>
            </w:tcBorders>
            <w:shd w:val="clear" w:color="auto" w:fill="auto"/>
            <w:noWrap/>
            <w:vAlign w:val="bottom"/>
            <w:hideMark/>
          </w:tcPr>
          <w:p w:rsidR="00AB51BF" w:rsidRDefault="00AB51BF">
            <w:pPr>
              <w:rPr>
                <w:rFonts w:ascii="Arial" w:hAnsi="Arial" w:cs="Arial"/>
                <w:sz w:val="20"/>
                <w:szCs w:val="20"/>
              </w:rPr>
            </w:pPr>
            <w:r>
              <w:rPr>
                <w:rFonts w:ascii="Arial" w:hAnsi="Arial" w:cs="Arial"/>
                <w:sz w:val="20"/>
                <w:szCs w:val="20"/>
              </w:rPr>
              <w:t> </w:t>
            </w:r>
          </w:p>
        </w:tc>
        <w:tc>
          <w:tcPr>
            <w:tcW w:w="1776" w:type="dxa"/>
            <w:tcBorders>
              <w:top w:val="single" w:sz="4" w:space="0" w:color="auto"/>
              <w:left w:val="nil"/>
              <w:bottom w:val="nil"/>
              <w:right w:val="nil"/>
            </w:tcBorders>
            <w:shd w:val="clear" w:color="auto" w:fill="auto"/>
            <w:noWrap/>
            <w:vAlign w:val="bottom"/>
            <w:hideMark/>
          </w:tcPr>
          <w:p w:rsidR="00AB51BF" w:rsidRDefault="00AB51BF">
            <w:pPr>
              <w:jc w:val="center"/>
              <w:rPr>
                <w:rFonts w:ascii="Arial" w:hAnsi="Arial" w:cs="Arial"/>
                <w:b/>
                <w:bCs/>
                <w:sz w:val="20"/>
                <w:szCs w:val="20"/>
              </w:rPr>
            </w:pPr>
            <w:r>
              <w:rPr>
                <w:rFonts w:ascii="Arial" w:hAnsi="Arial" w:cs="Arial"/>
                <w:b/>
                <w:bCs/>
                <w:sz w:val="20"/>
                <w:szCs w:val="20"/>
              </w:rPr>
              <w:t>% change – 2014 Q2 on</w:t>
            </w:r>
          </w:p>
        </w:tc>
      </w:tr>
      <w:tr w:rsidR="00AB51BF" w:rsidTr="00AB51BF">
        <w:trPr>
          <w:trHeight w:val="510"/>
        </w:trPr>
        <w:tc>
          <w:tcPr>
            <w:tcW w:w="3836" w:type="dxa"/>
            <w:tcBorders>
              <w:top w:val="nil"/>
              <w:left w:val="nil"/>
              <w:bottom w:val="single" w:sz="4" w:space="0" w:color="auto"/>
              <w:right w:val="nil"/>
            </w:tcBorders>
            <w:shd w:val="clear" w:color="auto" w:fill="auto"/>
            <w:noWrap/>
            <w:vAlign w:val="bottom"/>
            <w:hideMark/>
          </w:tcPr>
          <w:p w:rsidR="00AB51BF" w:rsidRDefault="00AB51BF">
            <w:pPr>
              <w:rPr>
                <w:rFonts w:ascii="Arial" w:hAnsi="Arial" w:cs="Arial"/>
                <w:sz w:val="20"/>
                <w:szCs w:val="20"/>
              </w:rPr>
            </w:pPr>
            <w:r>
              <w:rPr>
                <w:rFonts w:ascii="Arial" w:hAnsi="Arial" w:cs="Arial"/>
                <w:sz w:val="20"/>
                <w:szCs w:val="20"/>
              </w:rPr>
              <w:t> </w:t>
            </w:r>
          </w:p>
        </w:tc>
        <w:tc>
          <w:tcPr>
            <w:tcW w:w="884" w:type="dxa"/>
            <w:tcBorders>
              <w:top w:val="nil"/>
              <w:left w:val="nil"/>
              <w:bottom w:val="single" w:sz="4" w:space="0" w:color="auto"/>
              <w:right w:val="nil"/>
            </w:tcBorders>
            <w:shd w:val="clear" w:color="auto" w:fill="auto"/>
            <w:vAlign w:val="bottom"/>
            <w:hideMark/>
          </w:tcPr>
          <w:p w:rsidR="00AB51BF" w:rsidRDefault="00AB51BF">
            <w:pPr>
              <w:jc w:val="center"/>
              <w:rPr>
                <w:rFonts w:ascii="Arial" w:hAnsi="Arial" w:cs="Arial"/>
                <w:sz w:val="20"/>
                <w:szCs w:val="20"/>
              </w:rPr>
            </w:pPr>
            <w:r>
              <w:rPr>
                <w:rFonts w:ascii="Arial" w:hAnsi="Arial" w:cs="Arial"/>
                <w:sz w:val="20"/>
                <w:szCs w:val="20"/>
              </w:rPr>
              <w:t>2013                 Q2</w:t>
            </w:r>
          </w:p>
        </w:tc>
        <w:tc>
          <w:tcPr>
            <w:tcW w:w="883" w:type="dxa"/>
            <w:tcBorders>
              <w:top w:val="nil"/>
              <w:left w:val="nil"/>
              <w:bottom w:val="single" w:sz="4" w:space="0" w:color="auto"/>
              <w:right w:val="nil"/>
            </w:tcBorders>
            <w:shd w:val="clear" w:color="auto" w:fill="auto"/>
            <w:vAlign w:val="bottom"/>
            <w:hideMark/>
          </w:tcPr>
          <w:p w:rsidR="00AB51BF" w:rsidRDefault="00AB51BF">
            <w:pPr>
              <w:jc w:val="center"/>
              <w:rPr>
                <w:rFonts w:ascii="Arial" w:hAnsi="Arial" w:cs="Arial"/>
                <w:sz w:val="20"/>
                <w:szCs w:val="20"/>
              </w:rPr>
            </w:pPr>
            <w:r>
              <w:rPr>
                <w:rFonts w:ascii="Arial" w:hAnsi="Arial" w:cs="Arial"/>
                <w:sz w:val="20"/>
                <w:szCs w:val="20"/>
              </w:rPr>
              <w:t>2013                 Q3</w:t>
            </w:r>
          </w:p>
        </w:tc>
        <w:tc>
          <w:tcPr>
            <w:tcW w:w="883" w:type="dxa"/>
            <w:tcBorders>
              <w:top w:val="nil"/>
              <w:left w:val="nil"/>
              <w:bottom w:val="single" w:sz="4" w:space="0" w:color="auto"/>
              <w:right w:val="nil"/>
            </w:tcBorders>
            <w:shd w:val="clear" w:color="auto" w:fill="auto"/>
            <w:vAlign w:val="bottom"/>
            <w:hideMark/>
          </w:tcPr>
          <w:p w:rsidR="00AB51BF" w:rsidRDefault="00AB51BF">
            <w:pPr>
              <w:jc w:val="center"/>
              <w:rPr>
                <w:rFonts w:ascii="Arial" w:hAnsi="Arial" w:cs="Arial"/>
                <w:sz w:val="20"/>
                <w:szCs w:val="20"/>
              </w:rPr>
            </w:pPr>
            <w:r>
              <w:rPr>
                <w:rFonts w:ascii="Arial" w:hAnsi="Arial" w:cs="Arial"/>
                <w:sz w:val="20"/>
                <w:szCs w:val="20"/>
              </w:rPr>
              <w:t>2013                 Q4</w:t>
            </w:r>
          </w:p>
        </w:tc>
        <w:tc>
          <w:tcPr>
            <w:tcW w:w="883" w:type="dxa"/>
            <w:tcBorders>
              <w:top w:val="nil"/>
              <w:left w:val="nil"/>
              <w:bottom w:val="single" w:sz="4" w:space="0" w:color="auto"/>
              <w:right w:val="nil"/>
            </w:tcBorders>
            <w:shd w:val="clear" w:color="auto" w:fill="auto"/>
            <w:vAlign w:val="bottom"/>
            <w:hideMark/>
          </w:tcPr>
          <w:p w:rsidR="00AB51BF" w:rsidRDefault="00AB51BF">
            <w:pPr>
              <w:jc w:val="center"/>
              <w:rPr>
                <w:rFonts w:ascii="Arial" w:hAnsi="Arial" w:cs="Arial"/>
                <w:sz w:val="20"/>
                <w:szCs w:val="20"/>
              </w:rPr>
            </w:pPr>
            <w:r>
              <w:rPr>
                <w:rFonts w:ascii="Arial" w:hAnsi="Arial" w:cs="Arial"/>
                <w:sz w:val="20"/>
                <w:szCs w:val="20"/>
              </w:rPr>
              <w:t>2014                 Q1 r</w:t>
            </w:r>
          </w:p>
        </w:tc>
        <w:tc>
          <w:tcPr>
            <w:tcW w:w="883" w:type="dxa"/>
            <w:tcBorders>
              <w:top w:val="nil"/>
              <w:left w:val="nil"/>
              <w:bottom w:val="single" w:sz="4" w:space="0" w:color="auto"/>
              <w:right w:val="nil"/>
            </w:tcBorders>
            <w:shd w:val="clear" w:color="auto" w:fill="auto"/>
            <w:vAlign w:val="bottom"/>
            <w:hideMark/>
          </w:tcPr>
          <w:p w:rsidR="00AB51BF" w:rsidRDefault="00AB51BF">
            <w:pPr>
              <w:jc w:val="center"/>
              <w:rPr>
                <w:rFonts w:ascii="Arial" w:hAnsi="Arial" w:cs="Arial"/>
                <w:sz w:val="20"/>
                <w:szCs w:val="20"/>
              </w:rPr>
            </w:pPr>
            <w:r>
              <w:rPr>
                <w:rFonts w:ascii="Arial" w:hAnsi="Arial" w:cs="Arial"/>
                <w:sz w:val="20"/>
                <w:szCs w:val="20"/>
              </w:rPr>
              <w:t>2014                 Q2 p</w:t>
            </w:r>
          </w:p>
        </w:tc>
        <w:tc>
          <w:tcPr>
            <w:tcW w:w="296" w:type="dxa"/>
            <w:tcBorders>
              <w:top w:val="nil"/>
              <w:left w:val="nil"/>
              <w:bottom w:val="nil"/>
              <w:right w:val="nil"/>
            </w:tcBorders>
            <w:shd w:val="clear" w:color="auto" w:fill="auto"/>
            <w:noWrap/>
            <w:vAlign w:val="bottom"/>
            <w:hideMark/>
          </w:tcPr>
          <w:p w:rsidR="00AB51BF" w:rsidRDefault="00AB51BF">
            <w:pPr>
              <w:rPr>
                <w:rFonts w:ascii="Arial" w:hAnsi="Arial" w:cs="Arial"/>
                <w:sz w:val="20"/>
                <w:szCs w:val="20"/>
              </w:rPr>
            </w:pPr>
          </w:p>
        </w:tc>
        <w:tc>
          <w:tcPr>
            <w:tcW w:w="1776" w:type="dxa"/>
            <w:tcBorders>
              <w:top w:val="nil"/>
              <w:left w:val="nil"/>
              <w:bottom w:val="single" w:sz="4" w:space="0" w:color="auto"/>
              <w:right w:val="nil"/>
            </w:tcBorders>
            <w:shd w:val="clear" w:color="auto" w:fill="auto"/>
            <w:noWrap/>
            <w:vAlign w:val="bottom"/>
            <w:hideMark/>
          </w:tcPr>
          <w:p w:rsidR="00AB51BF" w:rsidRDefault="00AB51BF">
            <w:pPr>
              <w:jc w:val="center"/>
              <w:rPr>
                <w:rFonts w:ascii="Arial" w:hAnsi="Arial" w:cs="Arial"/>
                <w:sz w:val="20"/>
                <w:szCs w:val="20"/>
              </w:rPr>
            </w:pPr>
            <w:r>
              <w:rPr>
                <w:rFonts w:ascii="Arial" w:hAnsi="Arial" w:cs="Arial"/>
                <w:sz w:val="20"/>
                <w:szCs w:val="20"/>
              </w:rPr>
              <w:t>2013 Q2</w:t>
            </w:r>
          </w:p>
        </w:tc>
      </w:tr>
      <w:tr w:rsidR="00AB51BF" w:rsidTr="00AB51BF">
        <w:trPr>
          <w:trHeight w:val="255"/>
        </w:trPr>
        <w:tc>
          <w:tcPr>
            <w:tcW w:w="3836" w:type="dxa"/>
            <w:tcBorders>
              <w:top w:val="nil"/>
              <w:left w:val="nil"/>
              <w:bottom w:val="nil"/>
              <w:right w:val="nil"/>
            </w:tcBorders>
            <w:shd w:val="clear" w:color="auto" w:fill="auto"/>
            <w:noWrap/>
            <w:vAlign w:val="bottom"/>
            <w:hideMark/>
          </w:tcPr>
          <w:p w:rsidR="00AB51BF" w:rsidRDefault="00AB51BF">
            <w:pPr>
              <w:rPr>
                <w:rFonts w:ascii="Arial" w:hAnsi="Arial" w:cs="Arial"/>
                <w:b/>
                <w:bCs/>
                <w:sz w:val="20"/>
                <w:szCs w:val="20"/>
              </w:rPr>
            </w:pPr>
            <w:r>
              <w:rPr>
                <w:rFonts w:ascii="Arial" w:hAnsi="Arial" w:cs="Arial"/>
                <w:b/>
                <w:bCs/>
                <w:sz w:val="20"/>
                <w:szCs w:val="20"/>
              </w:rPr>
              <w:t>Total Individuals</w:t>
            </w:r>
          </w:p>
        </w:tc>
        <w:tc>
          <w:tcPr>
            <w:tcW w:w="884" w:type="dxa"/>
            <w:tcBorders>
              <w:top w:val="nil"/>
              <w:left w:val="nil"/>
              <w:bottom w:val="nil"/>
              <w:right w:val="nil"/>
            </w:tcBorders>
            <w:shd w:val="clear" w:color="auto" w:fill="auto"/>
            <w:noWrap/>
            <w:vAlign w:val="bottom"/>
            <w:hideMark/>
          </w:tcPr>
          <w:p w:rsidR="00AB51BF" w:rsidRDefault="00AB51BF">
            <w:pPr>
              <w:jc w:val="right"/>
              <w:rPr>
                <w:rFonts w:ascii="Arial" w:hAnsi="Arial" w:cs="Arial"/>
                <w:b/>
                <w:bCs/>
                <w:sz w:val="20"/>
                <w:szCs w:val="20"/>
              </w:rPr>
            </w:pPr>
            <w:r>
              <w:rPr>
                <w:rFonts w:ascii="Arial" w:hAnsi="Arial" w:cs="Arial"/>
                <w:b/>
                <w:bCs/>
                <w:sz w:val="20"/>
                <w:szCs w:val="20"/>
              </w:rPr>
              <w:t>25,728</w:t>
            </w:r>
          </w:p>
        </w:tc>
        <w:tc>
          <w:tcPr>
            <w:tcW w:w="883" w:type="dxa"/>
            <w:tcBorders>
              <w:top w:val="nil"/>
              <w:left w:val="nil"/>
              <w:bottom w:val="nil"/>
              <w:right w:val="nil"/>
            </w:tcBorders>
            <w:shd w:val="clear" w:color="auto" w:fill="auto"/>
            <w:noWrap/>
            <w:vAlign w:val="bottom"/>
            <w:hideMark/>
          </w:tcPr>
          <w:p w:rsidR="00AB51BF" w:rsidRDefault="00AB51BF">
            <w:pPr>
              <w:jc w:val="right"/>
              <w:rPr>
                <w:rFonts w:ascii="Arial" w:hAnsi="Arial" w:cs="Arial"/>
                <w:b/>
                <w:bCs/>
                <w:sz w:val="20"/>
                <w:szCs w:val="20"/>
              </w:rPr>
            </w:pPr>
            <w:r>
              <w:rPr>
                <w:rFonts w:ascii="Arial" w:hAnsi="Arial" w:cs="Arial"/>
                <w:b/>
                <w:bCs/>
                <w:sz w:val="20"/>
                <w:szCs w:val="20"/>
              </w:rPr>
              <w:t>26,035</w:t>
            </w:r>
          </w:p>
        </w:tc>
        <w:tc>
          <w:tcPr>
            <w:tcW w:w="883" w:type="dxa"/>
            <w:tcBorders>
              <w:top w:val="nil"/>
              <w:left w:val="nil"/>
              <w:bottom w:val="nil"/>
              <w:right w:val="nil"/>
            </w:tcBorders>
            <w:shd w:val="clear" w:color="auto" w:fill="auto"/>
            <w:noWrap/>
            <w:vAlign w:val="bottom"/>
            <w:hideMark/>
          </w:tcPr>
          <w:p w:rsidR="00AB51BF" w:rsidRDefault="00AB51BF">
            <w:pPr>
              <w:jc w:val="right"/>
              <w:rPr>
                <w:rFonts w:ascii="Arial" w:hAnsi="Arial" w:cs="Arial"/>
                <w:b/>
                <w:bCs/>
                <w:sz w:val="20"/>
                <w:szCs w:val="20"/>
              </w:rPr>
            </w:pPr>
            <w:r>
              <w:rPr>
                <w:rFonts w:ascii="Arial" w:hAnsi="Arial" w:cs="Arial"/>
                <w:b/>
                <w:bCs/>
                <w:sz w:val="20"/>
                <w:szCs w:val="20"/>
              </w:rPr>
              <w:t>24,305</w:t>
            </w:r>
          </w:p>
        </w:tc>
        <w:tc>
          <w:tcPr>
            <w:tcW w:w="883" w:type="dxa"/>
            <w:tcBorders>
              <w:top w:val="nil"/>
              <w:left w:val="nil"/>
              <w:bottom w:val="nil"/>
              <w:right w:val="nil"/>
            </w:tcBorders>
            <w:shd w:val="clear" w:color="auto" w:fill="auto"/>
            <w:noWrap/>
            <w:vAlign w:val="bottom"/>
            <w:hideMark/>
          </w:tcPr>
          <w:p w:rsidR="00AB51BF" w:rsidRDefault="00AB51BF">
            <w:pPr>
              <w:jc w:val="right"/>
              <w:rPr>
                <w:rFonts w:ascii="Arial" w:hAnsi="Arial" w:cs="Arial"/>
                <w:b/>
                <w:bCs/>
                <w:sz w:val="20"/>
                <w:szCs w:val="20"/>
              </w:rPr>
            </w:pPr>
            <w:r>
              <w:rPr>
                <w:rFonts w:ascii="Arial" w:hAnsi="Arial" w:cs="Arial"/>
                <w:b/>
                <w:bCs/>
                <w:sz w:val="20"/>
                <w:szCs w:val="20"/>
              </w:rPr>
              <w:t>24,941</w:t>
            </w:r>
          </w:p>
        </w:tc>
        <w:tc>
          <w:tcPr>
            <w:tcW w:w="883" w:type="dxa"/>
            <w:tcBorders>
              <w:top w:val="nil"/>
              <w:left w:val="nil"/>
              <w:bottom w:val="nil"/>
              <w:right w:val="nil"/>
            </w:tcBorders>
            <w:shd w:val="clear" w:color="auto" w:fill="auto"/>
            <w:noWrap/>
            <w:vAlign w:val="bottom"/>
            <w:hideMark/>
          </w:tcPr>
          <w:p w:rsidR="00AB51BF" w:rsidRDefault="00AB51BF">
            <w:pPr>
              <w:jc w:val="right"/>
              <w:rPr>
                <w:rFonts w:ascii="Arial" w:hAnsi="Arial" w:cs="Arial"/>
                <w:b/>
                <w:bCs/>
                <w:sz w:val="20"/>
                <w:szCs w:val="20"/>
              </w:rPr>
            </w:pPr>
            <w:r>
              <w:rPr>
                <w:rFonts w:ascii="Arial" w:hAnsi="Arial" w:cs="Arial"/>
                <w:b/>
                <w:bCs/>
                <w:sz w:val="20"/>
                <w:szCs w:val="20"/>
              </w:rPr>
              <w:t>27,029</w:t>
            </w:r>
          </w:p>
        </w:tc>
        <w:tc>
          <w:tcPr>
            <w:tcW w:w="296" w:type="dxa"/>
            <w:tcBorders>
              <w:top w:val="nil"/>
              <w:left w:val="nil"/>
              <w:bottom w:val="nil"/>
              <w:right w:val="nil"/>
            </w:tcBorders>
            <w:shd w:val="clear" w:color="auto" w:fill="auto"/>
            <w:noWrap/>
            <w:vAlign w:val="bottom"/>
            <w:hideMark/>
          </w:tcPr>
          <w:p w:rsidR="00AB51BF" w:rsidRDefault="00AB51BF">
            <w:pPr>
              <w:rPr>
                <w:rFonts w:ascii="Arial" w:hAnsi="Arial" w:cs="Arial"/>
                <w:b/>
                <w:bCs/>
                <w:sz w:val="20"/>
                <w:szCs w:val="20"/>
              </w:rPr>
            </w:pPr>
          </w:p>
        </w:tc>
        <w:tc>
          <w:tcPr>
            <w:tcW w:w="1776" w:type="dxa"/>
            <w:tcBorders>
              <w:top w:val="single" w:sz="4" w:space="0" w:color="auto"/>
              <w:left w:val="nil"/>
              <w:bottom w:val="nil"/>
              <w:right w:val="nil"/>
            </w:tcBorders>
            <w:shd w:val="clear" w:color="auto" w:fill="auto"/>
            <w:noWrap/>
            <w:vAlign w:val="bottom"/>
            <w:hideMark/>
          </w:tcPr>
          <w:p w:rsidR="00AB51BF" w:rsidRDefault="00AB51BF">
            <w:pPr>
              <w:jc w:val="center"/>
              <w:rPr>
                <w:rFonts w:ascii="Arial" w:hAnsi="Arial" w:cs="Arial"/>
                <w:b/>
                <w:bCs/>
                <w:sz w:val="20"/>
                <w:szCs w:val="20"/>
              </w:rPr>
            </w:pPr>
            <w:r>
              <w:rPr>
                <w:rFonts w:ascii="Arial" w:hAnsi="Arial" w:cs="Arial"/>
                <w:b/>
                <w:bCs/>
                <w:sz w:val="20"/>
                <w:szCs w:val="20"/>
              </w:rPr>
              <w:t>5.1</w:t>
            </w:r>
          </w:p>
        </w:tc>
      </w:tr>
      <w:tr w:rsidR="00AB51BF" w:rsidTr="00AB51BF">
        <w:trPr>
          <w:trHeight w:val="255"/>
        </w:trPr>
        <w:tc>
          <w:tcPr>
            <w:tcW w:w="3836" w:type="dxa"/>
            <w:tcBorders>
              <w:top w:val="nil"/>
              <w:left w:val="nil"/>
              <w:bottom w:val="nil"/>
              <w:right w:val="nil"/>
            </w:tcBorders>
            <w:shd w:val="clear" w:color="auto" w:fill="auto"/>
            <w:noWrap/>
            <w:vAlign w:val="bottom"/>
            <w:hideMark/>
          </w:tcPr>
          <w:p w:rsidR="00AB51BF" w:rsidRDefault="00AB51BF">
            <w:pPr>
              <w:rPr>
                <w:rFonts w:ascii="Arial" w:hAnsi="Arial" w:cs="Arial"/>
                <w:sz w:val="20"/>
                <w:szCs w:val="20"/>
              </w:rPr>
            </w:pPr>
            <w:r>
              <w:rPr>
                <w:rFonts w:ascii="Arial" w:hAnsi="Arial" w:cs="Arial"/>
                <w:sz w:val="20"/>
                <w:szCs w:val="20"/>
              </w:rPr>
              <w:t>Bankruptcy orders</w:t>
            </w:r>
          </w:p>
        </w:tc>
        <w:tc>
          <w:tcPr>
            <w:tcW w:w="884" w:type="dxa"/>
            <w:tcBorders>
              <w:top w:val="nil"/>
              <w:left w:val="nil"/>
              <w:bottom w:val="nil"/>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6,480</w:t>
            </w:r>
          </w:p>
        </w:tc>
        <w:tc>
          <w:tcPr>
            <w:tcW w:w="883" w:type="dxa"/>
            <w:tcBorders>
              <w:top w:val="nil"/>
              <w:left w:val="nil"/>
              <w:bottom w:val="nil"/>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6,009</w:t>
            </w:r>
          </w:p>
        </w:tc>
        <w:tc>
          <w:tcPr>
            <w:tcW w:w="883" w:type="dxa"/>
            <w:tcBorders>
              <w:top w:val="nil"/>
              <w:left w:val="nil"/>
              <w:bottom w:val="nil"/>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5,409</w:t>
            </w:r>
          </w:p>
        </w:tc>
        <w:tc>
          <w:tcPr>
            <w:tcW w:w="883" w:type="dxa"/>
            <w:tcBorders>
              <w:top w:val="nil"/>
              <w:left w:val="nil"/>
              <w:bottom w:val="nil"/>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5,681</w:t>
            </w:r>
          </w:p>
        </w:tc>
        <w:tc>
          <w:tcPr>
            <w:tcW w:w="883" w:type="dxa"/>
            <w:tcBorders>
              <w:top w:val="nil"/>
              <w:left w:val="nil"/>
              <w:bottom w:val="nil"/>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5,452</w:t>
            </w:r>
          </w:p>
        </w:tc>
        <w:tc>
          <w:tcPr>
            <w:tcW w:w="296" w:type="dxa"/>
            <w:tcBorders>
              <w:top w:val="nil"/>
              <w:left w:val="nil"/>
              <w:bottom w:val="nil"/>
              <w:right w:val="nil"/>
            </w:tcBorders>
            <w:shd w:val="clear" w:color="auto" w:fill="auto"/>
            <w:noWrap/>
            <w:vAlign w:val="bottom"/>
            <w:hideMark/>
          </w:tcPr>
          <w:p w:rsidR="00AB51BF" w:rsidRDefault="00AB51BF">
            <w:pPr>
              <w:rPr>
                <w:rFonts w:ascii="Arial" w:hAnsi="Arial" w:cs="Arial"/>
                <w:sz w:val="20"/>
                <w:szCs w:val="20"/>
              </w:rPr>
            </w:pPr>
          </w:p>
        </w:tc>
        <w:tc>
          <w:tcPr>
            <w:tcW w:w="1776" w:type="dxa"/>
            <w:tcBorders>
              <w:top w:val="nil"/>
              <w:left w:val="nil"/>
              <w:bottom w:val="nil"/>
              <w:right w:val="nil"/>
            </w:tcBorders>
            <w:shd w:val="clear" w:color="auto" w:fill="auto"/>
            <w:noWrap/>
            <w:vAlign w:val="bottom"/>
            <w:hideMark/>
          </w:tcPr>
          <w:p w:rsidR="00AB51BF" w:rsidRDefault="00AB51BF">
            <w:pPr>
              <w:jc w:val="center"/>
              <w:rPr>
                <w:rFonts w:ascii="Arial" w:hAnsi="Arial" w:cs="Arial"/>
                <w:sz w:val="20"/>
                <w:szCs w:val="20"/>
              </w:rPr>
            </w:pPr>
            <w:r>
              <w:rPr>
                <w:rFonts w:ascii="Arial" w:hAnsi="Arial" w:cs="Arial"/>
                <w:sz w:val="20"/>
                <w:szCs w:val="20"/>
              </w:rPr>
              <w:t>-15.9</w:t>
            </w:r>
          </w:p>
        </w:tc>
      </w:tr>
      <w:tr w:rsidR="00AB51BF" w:rsidTr="00AB51BF">
        <w:trPr>
          <w:trHeight w:val="255"/>
        </w:trPr>
        <w:tc>
          <w:tcPr>
            <w:tcW w:w="3836" w:type="dxa"/>
            <w:tcBorders>
              <w:top w:val="nil"/>
              <w:left w:val="nil"/>
              <w:bottom w:val="nil"/>
              <w:right w:val="nil"/>
            </w:tcBorders>
            <w:shd w:val="clear" w:color="auto" w:fill="auto"/>
            <w:noWrap/>
            <w:vAlign w:val="bottom"/>
            <w:hideMark/>
          </w:tcPr>
          <w:p w:rsidR="00AB51BF" w:rsidRDefault="00AB51BF">
            <w:pPr>
              <w:rPr>
                <w:rFonts w:ascii="Arial" w:hAnsi="Arial" w:cs="Arial"/>
                <w:sz w:val="20"/>
                <w:szCs w:val="20"/>
              </w:rPr>
            </w:pPr>
            <w:r>
              <w:rPr>
                <w:rFonts w:ascii="Arial" w:hAnsi="Arial" w:cs="Arial"/>
                <w:sz w:val="20"/>
                <w:szCs w:val="20"/>
              </w:rPr>
              <w:t>Debt Relief orders</w:t>
            </w:r>
          </w:p>
        </w:tc>
        <w:tc>
          <w:tcPr>
            <w:tcW w:w="884" w:type="dxa"/>
            <w:tcBorders>
              <w:top w:val="nil"/>
              <w:left w:val="nil"/>
              <w:bottom w:val="nil"/>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7,132</w:t>
            </w:r>
          </w:p>
        </w:tc>
        <w:tc>
          <w:tcPr>
            <w:tcW w:w="883" w:type="dxa"/>
            <w:tcBorders>
              <w:top w:val="nil"/>
              <w:left w:val="nil"/>
              <w:bottom w:val="nil"/>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6,632</w:t>
            </w:r>
          </w:p>
        </w:tc>
        <w:tc>
          <w:tcPr>
            <w:tcW w:w="883" w:type="dxa"/>
            <w:tcBorders>
              <w:top w:val="nil"/>
              <w:left w:val="nil"/>
              <w:bottom w:val="nil"/>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6,563</w:t>
            </w:r>
          </w:p>
        </w:tc>
        <w:tc>
          <w:tcPr>
            <w:tcW w:w="883" w:type="dxa"/>
            <w:tcBorders>
              <w:top w:val="nil"/>
              <w:left w:val="nil"/>
              <w:bottom w:val="nil"/>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6,549</w:t>
            </w:r>
          </w:p>
        </w:tc>
        <w:tc>
          <w:tcPr>
            <w:tcW w:w="883" w:type="dxa"/>
            <w:tcBorders>
              <w:top w:val="nil"/>
              <w:left w:val="nil"/>
              <w:bottom w:val="nil"/>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7,006</w:t>
            </w:r>
          </w:p>
        </w:tc>
        <w:tc>
          <w:tcPr>
            <w:tcW w:w="296" w:type="dxa"/>
            <w:tcBorders>
              <w:top w:val="nil"/>
              <w:left w:val="nil"/>
              <w:bottom w:val="nil"/>
              <w:right w:val="nil"/>
            </w:tcBorders>
            <w:shd w:val="clear" w:color="auto" w:fill="auto"/>
            <w:noWrap/>
            <w:vAlign w:val="bottom"/>
            <w:hideMark/>
          </w:tcPr>
          <w:p w:rsidR="00AB51BF" w:rsidRDefault="00AB51BF">
            <w:pPr>
              <w:rPr>
                <w:rFonts w:ascii="Arial" w:hAnsi="Arial" w:cs="Arial"/>
                <w:sz w:val="20"/>
                <w:szCs w:val="20"/>
              </w:rPr>
            </w:pPr>
          </w:p>
        </w:tc>
        <w:tc>
          <w:tcPr>
            <w:tcW w:w="1776" w:type="dxa"/>
            <w:tcBorders>
              <w:top w:val="nil"/>
              <w:left w:val="nil"/>
              <w:bottom w:val="nil"/>
              <w:right w:val="nil"/>
            </w:tcBorders>
            <w:shd w:val="clear" w:color="auto" w:fill="auto"/>
            <w:noWrap/>
            <w:vAlign w:val="bottom"/>
            <w:hideMark/>
          </w:tcPr>
          <w:p w:rsidR="00AB51BF" w:rsidRDefault="00AB51BF">
            <w:pPr>
              <w:jc w:val="center"/>
              <w:rPr>
                <w:rFonts w:ascii="Arial" w:hAnsi="Arial" w:cs="Arial"/>
                <w:sz w:val="20"/>
                <w:szCs w:val="20"/>
              </w:rPr>
            </w:pPr>
            <w:r>
              <w:rPr>
                <w:rFonts w:ascii="Arial" w:hAnsi="Arial" w:cs="Arial"/>
                <w:sz w:val="20"/>
                <w:szCs w:val="20"/>
              </w:rPr>
              <w:t>-1.8</w:t>
            </w:r>
          </w:p>
        </w:tc>
      </w:tr>
      <w:tr w:rsidR="00AB51BF" w:rsidTr="00AB51BF">
        <w:trPr>
          <w:trHeight w:val="255"/>
        </w:trPr>
        <w:tc>
          <w:tcPr>
            <w:tcW w:w="3836" w:type="dxa"/>
            <w:tcBorders>
              <w:top w:val="nil"/>
              <w:left w:val="nil"/>
              <w:bottom w:val="single" w:sz="4" w:space="0" w:color="auto"/>
              <w:right w:val="nil"/>
            </w:tcBorders>
            <w:shd w:val="clear" w:color="auto" w:fill="auto"/>
            <w:noWrap/>
            <w:vAlign w:val="bottom"/>
            <w:hideMark/>
          </w:tcPr>
          <w:p w:rsidR="00AB51BF" w:rsidRDefault="00AB51BF">
            <w:pPr>
              <w:rPr>
                <w:rFonts w:ascii="Arial" w:hAnsi="Arial" w:cs="Arial"/>
                <w:sz w:val="20"/>
                <w:szCs w:val="20"/>
              </w:rPr>
            </w:pPr>
            <w:r>
              <w:rPr>
                <w:rFonts w:ascii="Arial" w:hAnsi="Arial" w:cs="Arial"/>
                <w:sz w:val="20"/>
                <w:szCs w:val="20"/>
              </w:rPr>
              <w:t>Individual voluntary arrangements</w:t>
            </w:r>
          </w:p>
        </w:tc>
        <w:tc>
          <w:tcPr>
            <w:tcW w:w="884" w:type="dxa"/>
            <w:tcBorders>
              <w:top w:val="nil"/>
              <w:left w:val="nil"/>
              <w:bottom w:val="single" w:sz="4" w:space="0" w:color="auto"/>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12,116</w:t>
            </w:r>
          </w:p>
        </w:tc>
        <w:tc>
          <w:tcPr>
            <w:tcW w:w="883" w:type="dxa"/>
            <w:tcBorders>
              <w:top w:val="nil"/>
              <w:left w:val="nil"/>
              <w:bottom w:val="single" w:sz="4" w:space="0" w:color="auto"/>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13,394</w:t>
            </w:r>
          </w:p>
        </w:tc>
        <w:tc>
          <w:tcPr>
            <w:tcW w:w="883" w:type="dxa"/>
            <w:tcBorders>
              <w:top w:val="nil"/>
              <w:left w:val="nil"/>
              <w:bottom w:val="single" w:sz="4" w:space="0" w:color="auto"/>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12,333</w:t>
            </w:r>
          </w:p>
        </w:tc>
        <w:tc>
          <w:tcPr>
            <w:tcW w:w="883" w:type="dxa"/>
            <w:tcBorders>
              <w:top w:val="nil"/>
              <w:left w:val="nil"/>
              <w:bottom w:val="single" w:sz="4" w:space="0" w:color="auto"/>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12,711</w:t>
            </w:r>
          </w:p>
        </w:tc>
        <w:tc>
          <w:tcPr>
            <w:tcW w:w="883" w:type="dxa"/>
            <w:tcBorders>
              <w:top w:val="nil"/>
              <w:left w:val="nil"/>
              <w:bottom w:val="single" w:sz="4" w:space="0" w:color="auto"/>
              <w:right w:val="nil"/>
            </w:tcBorders>
            <w:shd w:val="clear" w:color="auto" w:fill="auto"/>
            <w:noWrap/>
            <w:vAlign w:val="bottom"/>
            <w:hideMark/>
          </w:tcPr>
          <w:p w:rsidR="00AB51BF" w:rsidRDefault="00AB51BF">
            <w:pPr>
              <w:jc w:val="right"/>
              <w:rPr>
                <w:rFonts w:ascii="Arial" w:hAnsi="Arial" w:cs="Arial"/>
                <w:sz w:val="20"/>
                <w:szCs w:val="20"/>
              </w:rPr>
            </w:pPr>
            <w:r>
              <w:rPr>
                <w:rFonts w:ascii="Arial" w:hAnsi="Arial" w:cs="Arial"/>
                <w:sz w:val="20"/>
                <w:szCs w:val="20"/>
              </w:rPr>
              <w:t>14,571</w:t>
            </w:r>
          </w:p>
        </w:tc>
        <w:tc>
          <w:tcPr>
            <w:tcW w:w="296" w:type="dxa"/>
            <w:tcBorders>
              <w:top w:val="nil"/>
              <w:left w:val="nil"/>
              <w:bottom w:val="single" w:sz="4" w:space="0" w:color="auto"/>
              <w:right w:val="nil"/>
            </w:tcBorders>
            <w:shd w:val="clear" w:color="auto" w:fill="auto"/>
            <w:noWrap/>
            <w:vAlign w:val="bottom"/>
            <w:hideMark/>
          </w:tcPr>
          <w:p w:rsidR="00AB51BF" w:rsidRDefault="00AB51BF">
            <w:pPr>
              <w:rPr>
                <w:rFonts w:ascii="Arial" w:hAnsi="Arial" w:cs="Arial"/>
                <w:sz w:val="20"/>
                <w:szCs w:val="20"/>
              </w:rPr>
            </w:pPr>
            <w:r>
              <w:rPr>
                <w:rFonts w:ascii="Arial" w:hAnsi="Arial" w:cs="Arial"/>
                <w:sz w:val="20"/>
                <w:szCs w:val="20"/>
              </w:rPr>
              <w:t> </w:t>
            </w:r>
          </w:p>
        </w:tc>
        <w:tc>
          <w:tcPr>
            <w:tcW w:w="1776" w:type="dxa"/>
            <w:tcBorders>
              <w:top w:val="nil"/>
              <w:left w:val="nil"/>
              <w:bottom w:val="single" w:sz="4" w:space="0" w:color="auto"/>
              <w:right w:val="nil"/>
            </w:tcBorders>
            <w:shd w:val="clear" w:color="auto" w:fill="auto"/>
            <w:noWrap/>
            <w:vAlign w:val="bottom"/>
            <w:hideMark/>
          </w:tcPr>
          <w:p w:rsidR="00AB51BF" w:rsidRDefault="00AB51BF">
            <w:pPr>
              <w:jc w:val="center"/>
              <w:rPr>
                <w:rFonts w:ascii="Arial" w:hAnsi="Arial" w:cs="Arial"/>
                <w:sz w:val="20"/>
                <w:szCs w:val="20"/>
              </w:rPr>
            </w:pPr>
            <w:r>
              <w:rPr>
                <w:rFonts w:ascii="Arial" w:hAnsi="Arial" w:cs="Arial"/>
                <w:sz w:val="20"/>
                <w:szCs w:val="20"/>
              </w:rPr>
              <w:t>20.3</w:t>
            </w:r>
          </w:p>
        </w:tc>
      </w:tr>
    </w:tbl>
    <w:p w:rsidR="00EB248C" w:rsidRPr="00EB248C" w:rsidRDefault="00EB248C" w:rsidP="00A223CD">
      <w:pPr>
        <w:tabs>
          <w:tab w:val="left" w:pos="965"/>
        </w:tabs>
        <w:spacing w:before="60" w:after="60"/>
        <w:rPr>
          <w:rFonts w:ascii="Arial" w:hAnsi="Arial" w:cs="Arial"/>
          <w:color w:val="000000"/>
          <w:sz w:val="20"/>
          <w:szCs w:val="20"/>
        </w:rPr>
      </w:pPr>
      <w:r w:rsidRPr="00A223CD">
        <w:rPr>
          <w:rFonts w:ascii="Arial" w:hAnsi="Arial" w:cs="Arial"/>
          <w:sz w:val="20"/>
          <w:szCs w:val="20"/>
        </w:rPr>
        <w:t>Source</w:t>
      </w:r>
      <w:r w:rsidRPr="00EB248C">
        <w:rPr>
          <w:rFonts w:ascii="Arial" w:hAnsi="Arial" w:cs="Arial"/>
          <w:color w:val="000000"/>
          <w:sz w:val="20"/>
          <w:szCs w:val="20"/>
        </w:rPr>
        <w:t>: Insolvency Service</w:t>
      </w:r>
      <w:r w:rsidR="003D5600">
        <w:rPr>
          <w:rFonts w:ascii="Arial" w:hAnsi="Arial" w:cs="Arial"/>
          <w:color w:val="000000"/>
          <w:sz w:val="20"/>
          <w:szCs w:val="20"/>
        </w:rPr>
        <w:t>.</w:t>
      </w:r>
    </w:p>
    <w:p w:rsidR="00EB248C" w:rsidRPr="00EB248C" w:rsidRDefault="00EB248C" w:rsidP="00EB248C">
      <w:pPr>
        <w:tabs>
          <w:tab w:val="left" w:pos="965"/>
        </w:tabs>
        <w:spacing w:after="60"/>
        <w:rPr>
          <w:rFonts w:ascii="Arial" w:hAnsi="Arial" w:cs="Arial"/>
          <w:color w:val="000000"/>
          <w:sz w:val="20"/>
          <w:szCs w:val="20"/>
        </w:rPr>
      </w:pPr>
      <w:r w:rsidRPr="00EB248C">
        <w:rPr>
          <w:rFonts w:ascii="Arial" w:hAnsi="Arial" w:cs="Arial"/>
          <w:color w:val="000000"/>
          <w:sz w:val="20"/>
          <w:szCs w:val="20"/>
        </w:rPr>
        <w:t>p = provisional, r = revised</w:t>
      </w:r>
      <w:r w:rsidR="003D5600">
        <w:rPr>
          <w:rFonts w:ascii="Arial" w:hAnsi="Arial" w:cs="Arial"/>
          <w:color w:val="000000"/>
          <w:sz w:val="20"/>
          <w:szCs w:val="20"/>
        </w:rPr>
        <w:t>.</w:t>
      </w:r>
    </w:p>
    <w:p w:rsidR="000E083D" w:rsidRDefault="00EB248C" w:rsidP="00EB248C">
      <w:pPr>
        <w:tabs>
          <w:tab w:val="left" w:pos="965"/>
        </w:tabs>
        <w:spacing w:after="60"/>
        <w:rPr>
          <w:rFonts w:ascii="Arial" w:hAnsi="Arial" w:cs="Arial"/>
          <w:color w:val="000000"/>
          <w:sz w:val="20"/>
          <w:szCs w:val="20"/>
        </w:rPr>
      </w:pPr>
      <w:r w:rsidRPr="00A223CD">
        <w:rPr>
          <w:rFonts w:ascii="Arial" w:hAnsi="Arial" w:cs="Arial"/>
          <w:color w:val="000000"/>
          <w:sz w:val="20"/>
          <w:szCs w:val="20"/>
          <w:vertAlign w:val="superscript"/>
        </w:rPr>
        <w:t>1</w:t>
      </w:r>
      <w:r w:rsidRPr="00EB248C">
        <w:rPr>
          <w:rFonts w:ascii="Arial" w:hAnsi="Arial" w:cs="Arial"/>
          <w:color w:val="000000"/>
          <w:sz w:val="20"/>
          <w:szCs w:val="20"/>
        </w:rPr>
        <w:t xml:space="preserve"> Longer series back to 200</w:t>
      </w:r>
      <w:r w:rsidR="008A50E1">
        <w:rPr>
          <w:rFonts w:ascii="Arial" w:hAnsi="Arial" w:cs="Arial"/>
          <w:color w:val="000000"/>
          <w:sz w:val="20"/>
          <w:szCs w:val="20"/>
        </w:rPr>
        <w:t>4</w:t>
      </w:r>
      <w:r w:rsidRPr="00EB248C">
        <w:rPr>
          <w:rFonts w:ascii="Arial" w:hAnsi="Arial" w:cs="Arial"/>
          <w:color w:val="000000"/>
          <w:sz w:val="20"/>
          <w:szCs w:val="20"/>
        </w:rPr>
        <w:t xml:space="preserve"> are presented in the accompanying detailed tables.</w:t>
      </w:r>
    </w:p>
    <w:p w:rsidR="00A223CD" w:rsidRPr="00EB248C" w:rsidRDefault="00A223CD" w:rsidP="00EB248C">
      <w:pPr>
        <w:tabs>
          <w:tab w:val="left" w:pos="965"/>
        </w:tabs>
        <w:spacing w:after="60"/>
        <w:rPr>
          <w:rFonts w:ascii="Arial" w:hAnsi="Arial" w:cs="Arial"/>
          <w:color w:val="000000"/>
          <w:sz w:val="20"/>
          <w:szCs w:val="20"/>
        </w:rPr>
      </w:pPr>
      <w:r>
        <w:rPr>
          <w:rFonts w:ascii="Arial" w:hAnsi="Arial" w:cs="Arial"/>
          <w:color w:val="000000"/>
          <w:sz w:val="20"/>
          <w:szCs w:val="20"/>
          <w:vertAlign w:val="superscript"/>
        </w:rPr>
        <w:t>2</w:t>
      </w:r>
      <w:r w:rsidRPr="00EB248C">
        <w:rPr>
          <w:rFonts w:ascii="Arial" w:hAnsi="Arial" w:cs="Arial"/>
          <w:color w:val="000000"/>
          <w:sz w:val="20"/>
          <w:szCs w:val="20"/>
        </w:rPr>
        <w:t xml:space="preserve"> </w:t>
      </w:r>
      <w:r>
        <w:rPr>
          <w:rFonts w:ascii="Arial" w:hAnsi="Arial" w:cs="Arial"/>
          <w:color w:val="000000"/>
          <w:sz w:val="20"/>
          <w:szCs w:val="20"/>
        </w:rPr>
        <w:t>Seasonally adjusted figures for bankruptcy orders and individual voluntary arrangements</w:t>
      </w:r>
      <w:r w:rsidRPr="00A223CD">
        <w:rPr>
          <w:rFonts w:ascii="Arial" w:hAnsi="Arial" w:cs="Arial"/>
          <w:color w:val="000000"/>
          <w:sz w:val="20"/>
          <w:szCs w:val="20"/>
        </w:rPr>
        <w:t xml:space="preserve"> </w:t>
      </w:r>
      <w:r w:rsidRPr="00EB248C">
        <w:rPr>
          <w:rFonts w:ascii="Arial" w:hAnsi="Arial" w:cs="Arial"/>
          <w:color w:val="000000"/>
          <w:sz w:val="20"/>
          <w:szCs w:val="20"/>
        </w:rPr>
        <w:t>are presented in the accompanying detailed tables.</w:t>
      </w:r>
    </w:p>
    <w:p w:rsidR="00C258E1" w:rsidRPr="00280993" w:rsidRDefault="00A906D5" w:rsidP="0038594F">
      <w:pPr>
        <w:pageBreakBefore/>
        <w:spacing w:after="240" w:line="276" w:lineRule="auto"/>
        <w:rPr>
          <w:rFonts w:ascii="Arial" w:hAnsi="Arial" w:cs="Arial"/>
          <w:b/>
          <w:sz w:val="32"/>
          <w:szCs w:val="22"/>
        </w:rPr>
      </w:pPr>
      <w:r>
        <w:rPr>
          <w:rFonts w:ascii="Arial" w:hAnsi="Arial" w:cs="Arial"/>
          <w:b/>
          <w:sz w:val="32"/>
          <w:szCs w:val="22"/>
        </w:rPr>
        <w:lastRenderedPageBreak/>
        <w:t>2</w:t>
      </w:r>
      <w:r w:rsidR="00155F9D" w:rsidRPr="00280993">
        <w:rPr>
          <w:rFonts w:ascii="Arial" w:hAnsi="Arial" w:cs="Arial"/>
          <w:b/>
          <w:sz w:val="32"/>
          <w:szCs w:val="22"/>
        </w:rPr>
        <w:t xml:space="preserve"> </w:t>
      </w:r>
      <w:r w:rsidR="00B73D14" w:rsidRPr="00280993">
        <w:rPr>
          <w:rFonts w:ascii="Arial" w:hAnsi="Arial" w:cs="Arial"/>
          <w:b/>
          <w:sz w:val="32"/>
          <w:szCs w:val="22"/>
        </w:rPr>
        <w:t>Compan</w:t>
      </w:r>
      <w:r w:rsidR="00E62656">
        <w:rPr>
          <w:rFonts w:ascii="Arial" w:hAnsi="Arial" w:cs="Arial"/>
          <w:b/>
          <w:sz w:val="32"/>
          <w:szCs w:val="22"/>
        </w:rPr>
        <w:t xml:space="preserve">y </w:t>
      </w:r>
      <w:r w:rsidR="00B434F3">
        <w:rPr>
          <w:rFonts w:ascii="Arial" w:hAnsi="Arial" w:cs="Arial"/>
          <w:b/>
          <w:sz w:val="32"/>
          <w:szCs w:val="22"/>
        </w:rPr>
        <w:t>i</w:t>
      </w:r>
      <w:r w:rsidR="00F818CD" w:rsidRPr="00280993">
        <w:rPr>
          <w:rFonts w:ascii="Arial" w:hAnsi="Arial" w:cs="Arial"/>
          <w:b/>
          <w:sz w:val="32"/>
          <w:szCs w:val="22"/>
        </w:rPr>
        <w:t>nsolvency in England and Wales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706"/>
      </w:tblGrid>
      <w:tr w:rsidR="009F1AA7" w:rsidTr="000076CB">
        <w:tc>
          <w:tcPr>
            <w:tcW w:w="10706" w:type="dxa"/>
            <w:shd w:val="clear" w:color="auto" w:fill="C6D9F1" w:themeFill="text2" w:themeFillTint="33"/>
          </w:tcPr>
          <w:p w:rsidR="009F1AA7" w:rsidRPr="009F1AA7" w:rsidRDefault="009F1AA7" w:rsidP="00277B5E">
            <w:pPr>
              <w:spacing w:before="120" w:after="120"/>
            </w:pPr>
            <w:r>
              <w:rPr>
                <w:rFonts w:ascii="Arial" w:hAnsi="Arial" w:cs="Arial"/>
                <w:sz w:val="22"/>
                <w:szCs w:val="22"/>
              </w:rPr>
              <w:t xml:space="preserve">These statistics relate to </w:t>
            </w:r>
            <w:r w:rsidRPr="009F1AA7">
              <w:rPr>
                <w:rFonts w:ascii="Arial" w:hAnsi="Arial" w:cs="Arial"/>
                <w:b/>
                <w:sz w:val="22"/>
                <w:szCs w:val="22"/>
              </w:rPr>
              <w:t>incorporated companies</w:t>
            </w:r>
            <w:r w:rsidR="000860D4">
              <w:rPr>
                <w:rFonts w:ascii="Arial" w:hAnsi="Arial" w:cs="Arial"/>
                <w:b/>
                <w:sz w:val="22"/>
                <w:szCs w:val="22"/>
              </w:rPr>
              <w:t xml:space="preserve"> (including limited liability partnerships)</w:t>
            </w:r>
            <w:r w:rsidR="001A557C">
              <w:rPr>
                <w:rFonts w:ascii="Arial" w:hAnsi="Arial" w:cs="Arial"/>
                <w:sz w:val="22"/>
                <w:szCs w:val="22"/>
              </w:rPr>
              <w:t xml:space="preserve"> –</w:t>
            </w:r>
            <w:r>
              <w:rPr>
                <w:rFonts w:ascii="Arial" w:hAnsi="Arial" w:cs="Arial"/>
                <w:sz w:val="22"/>
                <w:szCs w:val="22"/>
              </w:rPr>
              <w:t xml:space="preserve"> a specific legal form of business that is registered at </w:t>
            </w:r>
            <w:hyperlink r:id="rId15" w:history="1">
              <w:r w:rsidRPr="00361B36">
                <w:rPr>
                  <w:rStyle w:val="Hyperlink"/>
                  <w:rFonts w:ascii="Arial" w:hAnsi="Arial" w:cs="Arial"/>
                  <w:sz w:val="22"/>
                  <w:szCs w:val="22"/>
                </w:rPr>
                <w:t>Companies House</w:t>
              </w:r>
            </w:hyperlink>
            <w:r>
              <w:rPr>
                <w:rFonts w:ascii="Arial" w:hAnsi="Arial" w:cs="Arial"/>
                <w:sz w:val="22"/>
                <w:szCs w:val="22"/>
              </w:rPr>
              <w:t xml:space="preserve">. Company insolvency (being unable </w:t>
            </w:r>
            <w:r w:rsidR="005040CF">
              <w:rPr>
                <w:rFonts w:ascii="Arial" w:hAnsi="Arial" w:cs="Arial"/>
                <w:sz w:val="22"/>
                <w:szCs w:val="22"/>
              </w:rPr>
              <w:t xml:space="preserve">to </w:t>
            </w:r>
            <w:r>
              <w:rPr>
                <w:rFonts w:ascii="Arial" w:hAnsi="Arial" w:cs="Arial"/>
                <w:sz w:val="22"/>
                <w:szCs w:val="22"/>
              </w:rPr>
              <w:t>pay creditors the money they are owed) can be dealt with through a variety of legal processes, including liquidation (</w:t>
            </w:r>
            <w:r w:rsidRPr="008323D1">
              <w:rPr>
                <w:rFonts w:ascii="Arial" w:hAnsi="Arial" w:cs="Arial"/>
                <w:sz w:val="22"/>
                <w:szCs w:val="22"/>
              </w:rPr>
              <w:t>section 2.1</w:t>
            </w:r>
            <w:r>
              <w:rPr>
                <w:rFonts w:ascii="Arial" w:hAnsi="Arial" w:cs="Arial"/>
                <w:sz w:val="22"/>
                <w:szCs w:val="22"/>
              </w:rPr>
              <w:t>) which result in the company ceasing to exist; or through company rescue procedures such as administration (</w:t>
            </w:r>
            <w:r w:rsidRPr="008323D1">
              <w:rPr>
                <w:rFonts w:ascii="Arial" w:hAnsi="Arial" w:cs="Arial"/>
                <w:sz w:val="22"/>
                <w:szCs w:val="22"/>
              </w:rPr>
              <w:t>section 2.2</w:t>
            </w:r>
            <w:r>
              <w:rPr>
                <w:rFonts w:ascii="Arial" w:hAnsi="Arial" w:cs="Arial"/>
                <w:sz w:val="22"/>
                <w:szCs w:val="22"/>
              </w:rPr>
              <w:t>).</w:t>
            </w:r>
          </w:p>
        </w:tc>
      </w:tr>
    </w:tbl>
    <w:p w:rsidR="00F818CD" w:rsidRDefault="00A906D5" w:rsidP="009F1AA7">
      <w:pPr>
        <w:spacing w:before="120" w:after="240" w:line="276" w:lineRule="auto"/>
        <w:rPr>
          <w:rFonts w:ascii="Arial" w:hAnsi="Arial" w:cs="Arial"/>
          <w:b/>
          <w:sz w:val="28"/>
          <w:szCs w:val="22"/>
        </w:rPr>
      </w:pPr>
      <w:r>
        <w:rPr>
          <w:rFonts w:ascii="Arial" w:hAnsi="Arial" w:cs="Arial"/>
          <w:b/>
          <w:sz w:val="28"/>
          <w:szCs w:val="22"/>
        </w:rPr>
        <w:t>2</w:t>
      </w:r>
      <w:r w:rsidR="0008454A">
        <w:rPr>
          <w:rFonts w:ascii="Arial" w:hAnsi="Arial" w:cs="Arial"/>
          <w:b/>
          <w:sz w:val="28"/>
          <w:szCs w:val="22"/>
        </w:rPr>
        <w:t xml:space="preserve">.1 </w:t>
      </w:r>
      <w:r w:rsidR="00F818CD" w:rsidRPr="00280993">
        <w:rPr>
          <w:rFonts w:ascii="Arial" w:hAnsi="Arial" w:cs="Arial"/>
          <w:b/>
          <w:sz w:val="28"/>
          <w:szCs w:val="22"/>
        </w:rPr>
        <w:t xml:space="preserve">Company </w:t>
      </w:r>
      <w:r w:rsidR="00B83AE5">
        <w:rPr>
          <w:rFonts w:ascii="Arial" w:hAnsi="Arial" w:cs="Arial"/>
          <w:b/>
          <w:sz w:val="28"/>
          <w:szCs w:val="22"/>
        </w:rPr>
        <w:t>l</w:t>
      </w:r>
      <w:r w:rsidR="00F818CD" w:rsidRPr="00280993">
        <w:rPr>
          <w:rFonts w:ascii="Arial" w:hAnsi="Arial" w:cs="Arial"/>
          <w:b/>
          <w:sz w:val="28"/>
          <w:szCs w:val="22"/>
        </w:rPr>
        <w:t>iquidations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6"/>
        <w:gridCol w:w="3110"/>
      </w:tblGrid>
      <w:tr w:rsidR="00DD66FC" w:rsidTr="000076CB">
        <w:trPr>
          <w:trHeight w:val="7123"/>
        </w:trPr>
        <w:tc>
          <w:tcPr>
            <w:tcW w:w="7596" w:type="dxa"/>
          </w:tcPr>
          <w:p w:rsidR="00DD66FC" w:rsidRPr="00B60F95" w:rsidRDefault="00DD66FC" w:rsidP="00DD66FC">
            <w:pPr>
              <w:tabs>
                <w:tab w:val="left" w:pos="965"/>
              </w:tabs>
              <w:spacing w:line="276" w:lineRule="auto"/>
              <w:jc w:val="center"/>
              <w:rPr>
                <w:rFonts w:ascii="Arial" w:hAnsi="Arial" w:cs="Arial"/>
                <w:color w:val="000000"/>
                <w:sz w:val="22"/>
                <w:szCs w:val="22"/>
              </w:rPr>
            </w:pPr>
            <w:r w:rsidRPr="00B60F95">
              <w:rPr>
                <w:rFonts w:ascii="Arial" w:hAnsi="Arial" w:cs="Arial"/>
                <w:b/>
                <w:color w:val="000000"/>
                <w:sz w:val="22"/>
                <w:szCs w:val="22"/>
              </w:rPr>
              <w:t xml:space="preserve">Figure </w:t>
            </w:r>
            <w:r w:rsidR="00791A86">
              <w:rPr>
                <w:rFonts w:ascii="Arial" w:hAnsi="Arial" w:cs="Arial"/>
                <w:b/>
                <w:color w:val="000000"/>
                <w:sz w:val="22"/>
                <w:szCs w:val="22"/>
              </w:rPr>
              <w:t>3</w:t>
            </w:r>
            <w:r w:rsidRPr="00B60F95">
              <w:rPr>
                <w:rFonts w:ascii="Arial" w:hAnsi="Arial" w:cs="Arial"/>
                <w:b/>
                <w:color w:val="000000"/>
                <w:sz w:val="22"/>
                <w:szCs w:val="22"/>
              </w:rPr>
              <w:t>: Company liquidations in England and Wales</w:t>
            </w:r>
            <w:r w:rsidRPr="00B60F95">
              <w:rPr>
                <w:rFonts w:ascii="Arial" w:hAnsi="Arial" w:cs="Arial"/>
                <w:b/>
                <w:color w:val="000000"/>
                <w:sz w:val="22"/>
                <w:szCs w:val="22"/>
                <w:vertAlign w:val="superscript"/>
              </w:rPr>
              <w:t>1</w:t>
            </w:r>
            <w:r w:rsidRPr="00B60F95">
              <w:rPr>
                <w:rFonts w:ascii="Arial" w:hAnsi="Arial" w:cs="Arial"/>
                <w:b/>
                <w:color w:val="000000"/>
                <w:sz w:val="22"/>
                <w:szCs w:val="22"/>
              </w:rPr>
              <w:t xml:space="preserve"> </w:t>
            </w:r>
            <w:r>
              <w:rPr>
                <w:rFonts w:ascii="Arial" w:hAnsi="Arial" w:cs="Arial"/>
                <w:b/>
                <w:color w:val="000000"/>
                <w:sz w:val="22"/>
                <w:szCs w:val="22"/>
              </w:rPr>
              <w:t xml:space="preserve">         </w:t>
            </w:r>
            <w:r w:rsidR="00AA4F9A">
              <w:rPr>
                <w:rFonts w:ascii="Arial" w:hAnsi="Arial" w:cs="Arial"/>
                <w:b/>
                <w:color w:val="000000"/>
                <w:sz w:val="22"/>
                <w:szCs w:val="22"/>
              </w:rPr>
              <w:t xml:space="preserve">   </w:t>
            </w:r>
            <w:r>
              <w:rPr>
                <w:rFonts w:ascii="Arial" w:hAnsi="Arial" w:cs="Arial"/>
                <w:b/>
                <w:color w:val="000000"/>
                <w:sz w:val="22"/>
                <w:szCs w:val="22"/>
              </w:rPr>
              <w:t xml:space="preserve"> </w:t>
            </w:r>
            <w:r w:rsidRPr="00B60F95">
              <w:rPr>
                <w:rFonts w:ascii="Arial" w:hAnsi="Arial" w:cs="Arial"/>
                <w:color w:val="000000"/>
                <w:sz w:val="22"/>
                <w:szCs w:val="22"/>
              </w:rPr>
              <w:t>(</w:t>
            </w:r>
            <w:r w:rsidR="00AA4F9A">
              <w:rPr>
                <w:rFonts w:ascii="Arial" w:hAnsi="Arial" w:cs="Arial"/>
                <w:color w:val="000000"/>
                <w:sz w:val="22"/>
                <w:szCs w:val="22"/>
              </w:rPr>
              <w:t xml:space="preserve">quarterly data, </w:t>
            </w:r>
            <w:r w:rsidRPr="00B60F95">
              <w:rPr>
                <w:rFonts w:ascii="Arial" w:hAnsi="Arial" w:cs="Arial"/>
                <w:color w:val="000000"/>
                <w:sz w:val="22"/>
                <w:szCs w:val="22"/>
              </w:rPr>
              <w:t>seasonally adjusted)</w:t>
            </w:r>
            <w:r w:rsidRPr="00B60F95">
              <w:rPr>
                <w:rFonts w:ascii="Arial" w:hAnsi="Arial" w:cs="Arial"/>
                <w:color w:val="000000"/>
                <w:sz w:val="22"/>
                <w:szCs w:val="22"/>
                <w:vertAlign w:val="superscript"/>
              </w:rPr>
              <w:t>2</w:t>
            </w:r>
          </w:p>
          <w:p w:rsidR="00DD66FC" w:rsidRPr="008538AD" w:rsidRDefault="00B538CE" w:rsidP="00DD66FC">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47AA2E7D" wp14:editId="66C64002">
                  <wp:extent cx="4676775" cy="32385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3238500"/>
                          </a:xfrm>
                          <a:prstGeom prst="rect">
                            <a:avLst/>
                          </a:prstGeom>
                          <a:noFill/>
                          <a:ln>
                            <a:noFill/>
                          </a:ln>
                        </pic:spPr>
                      </pic:pic>
                    </a:graphicData>
                  </a:graphic>
                </wp:inline>
              </w:drawing>
            </w:r>
          </w:p>
          <w:p w:rsidR="00DD66FC" w:rsidRPr="000B6473" w:rsidRDefault="00DD66FC" w:rsidP="00297B1C">
            <w:pPr>
              <w:tabs>
                <w:tab w:val="left" w:pos="965"/>
              </w:tabs>
              <w:spacing w:before="120" w:after="60"/>
              <w:rPr>
                <w:rFonts w:ascii="Arial" w:hAnsi="Arial" w:cs="Arial"/>
                <w:color w:val="000000"/>
                <w:sz w:val="18"/>
                <w:szCs w:val="18"/>
              </w:rPr>
            </w:pPr>
            <w:r w:rsidRPr="000B6473">
              <w:rPr>
                <w:rFonts w:ascii="Arial" w:hAnsi="Arial" w:cs="Arial"/>
                <w:color w:val="000000"/>
                <w:sz w:val="18"/>
                <w:szCs w:val="18"/>
              </w:rPr>
              <w:t>Source: Insolvency Service and Companies House.</w:t>
            </w:r>
          </w:p>
          <w:p w:rsidR="00DD66FC" w:rsidRPr="000B6473" w:rsidRDefault="00DD66FC" w:rsidP="00DD66FC">
            <w:pPr>
              <w:tabs>
                <w:tab w:val="left" w:pos="965"/>
              </w:tabs>
              <w:spacing w:after="60"/>
              <w:rPr>
                <w:rFonts w:ascii="Arial" w:hAnsi="Arial" w:cs="Arial"/>
                <w:color w:val="000000"/>
                <w:sz w:val="18"/>
                <w:szCs w:val="18"/>
              </w:rPr>
            </w:pPr>
            <w:r w:rsidRPr="000B6473">
              <w:rPr>
                <w:rFonts w:ascii="Arial" w:hAnsi="Arial" w:cs="Arial"/>
                <w:color w:val="000000"/>
                <w:sz w:val="18"/>
                <w:szCs w:val="18"/>
                <w:vertAlign w:val="superscript"/>
              </w:rPr>
              <w:t>1</w:t>
            </w:r>
            <w:r w:rsidRPr="000B6473">
              <w:rPr>
                <w:rFonts w:ascii="Arial" w:hAnsi="Arial" w:cs="Arial"/>
                <w:color w:val="000000"/>
                <w:sz w:val="18"/>
                <w:szCs w:val="18"/>
              </w:rPr>
              <w:t xml:space="preserve"> Where the liquidation was the first insolvency procedure entered into.</w:t>
            </w:r>
          </w:p>
          <w:p w:rsidR="00DD66FC" w:rsidRPr="000B6473" w:rsidRDefault="00DD66FC" w:rsidP="002C33AC">
            <w:pPr>
              <w:tabs>
                <w:tab w:val="left" w:pos="965"/>
              </w:tabs>
              <w:spacing w:after="60"/>
              <w:rPr>
                <w:rFonts w:ascii="Arial" w:hAnsi="Arial" w:cs="Arial"/>
                <w:color w:val="000000"/>
                <w:sz w:val="18"/>
                <w:szCs w:val="18"/>
              </w:rPr>
            </w:pPr>
            <w:r w:rsidRPr="000B6473">
              <w:rPr>
                <w:rFonts w:ascii="Arial" w:hAnsi="Arial" w:cs="Arial"/>
                <w:color w:val="000000"/>
                <w:sz w:val="18"/>
                <w:szCs w:val="18"/>
                <w:vertAlign w:val="superscript"/>
              </w:rPr>
              <w:t>2</w:t>
            </w:r>
            <w:r w:rsidRPr="000B6473">
              <w:rPr>
                <w:rFonts w:ascii="Arial" w:hAnsi="Arial" w:cs="Arial"/>
                <w:color w:val="000000"/>
                <w:sz w:val="18"/>
                <w:szCs w:val="18"/>
              </w:rPr>
              <w:t xml:space="preserve"> Total company liquidations, and creditors’ voluntary liquidations, are seasonally adjusted; compulsory liquidations </w:t>
            </w:r>
            <w:r w:rsidR="008169A1" w:rsidRPr="000B6473">
              <w:rPr>
                <w:rFonts w:ascii="Arial" w:hAnsi="Arial" w:cs="Arial"/>
                <w:color w:val="000000"/>
                <w:sz w:val="18"/>
                <w:szCs w:val="18"/>
              </w:rPr>
              <w:t>do not require seasonal</w:t>
            </w:r>
            <w:r w:rsidRPr="000B6473">
              <w:rPr>
                <w:rFonts w:ascii="Arial" w:hAnsi="Arial" w:cs="Arial"/>
                <w:color w:val="000000"/>
                <w:sz w:val="18"/>
                <w:szCs w:val="18"/>
              </w:rPr>
              <w:t xml:space="preserve"> adjust</w:t>
            </w:r>
            <w:r w:rsidR="008169A1" w:rsidRPr="000B6473">
              <w:rPr>
                <w:rFonts w:ascii="Arial" w:hAnsi="Arial" w:cs="Arial"/>
                <w:color w:val="000000"/>
                <w:sz w:val="18"/>
                <w:szCs w:val="18"/>
              </w:rPr>
              <w:t>ment.</w:t>
            </w:r>
          </w:p>
          <w:p w:rsidR="002C33AC" w:rsidRPr="002C33AC" w:rsidRDefault="002C33AC" w:rsidP="00297B1C">
            <w:pPr>
              <w:tabs>
                <w:tab w:val="left" w:pos="965"/>
              </w:tabs>
              <w:rPr>
                <w:rFonts w:ascii="Arial" w:hAnsi="Arial" w:cs="Arial"/>
                <w:color w:val="000000"/>
                <w:sz w:val="20"/>
                <w:szCs w:val="20"/>
              </w:rPr>
            </w:pPr>
            <w:r w:rsidRPr="000B6473">
              <w:rPr>
                <w:rFonts w:ascii="Arial" w:hAnsi="Arial" w:cs="Arial"/>
                <w:color w:val="000000"/>
                <w:sz w:val="18"/>
                <w:szCs w:val="18"/>
              </w:rPr>
              <w:t>See Table 1 of the accompanying Excel file for more detail.</w:t>
            </w:r>
          </w:p>
        </w:tc>
        <w:tc>
          <w:tcPr>
            <w:tcW w:w="3110" w:type="dxa"/>
            <w:shd w:val="clear" w:color="auto" w:fill="C6D9F1" w:themeFill="text2" w:themeFillTint="33"/>
          </w:tcPr>
          <w:p w:rsidR="0015639A" w:rsidRPr="00DD66FC" w:rsidRDefault="000076CB" w:rsidP="0015639A">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1A557C" w:rsidRPr="001A557C" w:rsidRDefault="001A557C" w:rsidP="00DD66FC">
            <w:pPr>
              <w:pStyle w:val="BodyText"/>
              <w:tabs>
                <w:tab w:val="left" w:pos="450"/>
              </w:tabs>
              <w:spacing w:before="120" w:line="276" w:lineRule="auto"/>
              <w:rPr>
                <w:rFonts w:ascii="Arial" w:hAnsi="Arial" w:cs="Arial"/>
                <w:sz w:val="18"/>
                <w:szCs w:val="18"/>
              </w:rPr>
            </w:pPr>
            <w:r w:rsidRPr="001A557C">
              <w:rPr>
                <w:rFonts w:ascii="Arial" w:hAnsi="Arial" w:cs="Arial"/>
                <w:b/>
                <w:sz w:val="18"/>
                <w:szCs w:val="18"/>
              </w:rPr>
              <w:t xml:space="preserve">Liquidation </w:t>
            </w:r>
            <w:r w:rsidRPr="001A557C">
              <w:rPr>
                <w:rFonts w:ascii="Arial" w:hAnsi="Arial" w:cs="Arial"/>
                <w:sz w:val="18"/>
                <w:szCs w:val="18"/>
              </w:rPr>
              <w:t>is a legal process in which a liquidator is appointed to 'wind up' the affairs of a limited company. The purpose of liquidation is to sell the company’s assets and distribute the proceeds to its creditors. At the end of the process, the company is dissolved – it ceases to exist.</w:t>
            </w:r>
          </w:p>
          <w:p w:rsidR="00DD66FC" w:rsidRPr="00DD66FC" w:rsidRDefault="00DD66FC" w:rsidP="00DD66FC">
            <w:pPr>
              <w:pStyle w:val="BodyText"/>
              <w:tabs>
                <w:tab w:val="left" w:pos="450"/>
              </w:tabs>
              <w:spacing w:before="120" w:line="276" w:lineRule="auto"/>
              <w:rPr>
                <w:rFonts w:ascii="Arial" w:hAnsi="Arial" w:cs="Arial"/>
                <w:sz w:val="18"/>
                <w:szCs w:val="18"/>
              </w:rPr>
            </w:pPr>
            <w:r w:rsidRPr="00DD66FC">
              <w:rPr>
                <w:rFonts w:ascii="Arial" w:hAnsi="Arial" w:cs="Arial"/>
                <w:b/>
                <w:sz w:val="18"/>
                <w:szCs w:val="18"/>
              </w:rPr>
              <w:t>Compulsory liquidation</w:t>
            </w:r>
            <w:r w:rsidRPr="00DD66FC">
              <w:rPr>
                <w:rFonts w:ascii="Arial" w:hAnsi="Arial" w:cs="Arial"/>
                <w:sz w:val="18"/>
                <w:szCs w:val="18"/>
              </w:rPr>
              <w:t xml:space="preserve"> – a winding-up order obtained from the court by a creditor, shareholder or director.</w:t>
            </w:r>
          </w:p>
          <w:p w:rsidR="00DD66FC" w:rsidRPr="00DD66FC" w:rsidRDefault="00DD66FC" w:rsidP="00DD66FC">
            <w:pPr>
              <w:pStyle w:val="BodyText"/>
              <w:tabs>
                <w:tab w:val="left" w:pos="450"/>
              </w:tabs>
              <w:spacing w:before="120" w:line="276" w:lineRule="auto"/>
              <w:rPr>
                <w:rFonts w:ascii="Arial" w:hAnsi="Arial" w:cs="Arial"/>
                <w:sz w:val="18"/>
                <w:szCs w:val="18"/>
              </w:rPr>
            </w:pPr>
            <w:r w:rsidRPr="00DD66FC">
              <w:rPr>
                <w:rFonts w:ascii="Arial" w:hAnsi="Arial" w:cs="Arial"/>
                <w:b/>
                <w:sz w:val="18"/>
                <w:szCs w:val="18"/>
              </w:rPr>
              <w:t>Creditors’ voluntary liquidation</w:t>
            </w:r>
            <w:r w:rsidRPr="00DD66FC">
              <w:rPr>
                <w:rFonts w:ascii="Arial" w:hAnsi="Arial" w:cs="Arial"/>
                <w:sz w:val="18"/>
                <w:szCs w:val="18"/>
              </w:rPr>
              <w:t xml:space="preserve"> (CVL) – </w:t>
            </w:r>
            <w:r w:rsidR="004D5E97">
              <w:rPr>
                <w:rFonts w:ascii="Arial" w:hAnsi="Arial" w:cs="Arial"/>
                <w:sz w:val="18"/>
                <w:szCs w:val="18"/>
              </w:rPr>
              <w:t xml:space="preserve">shareholders of a company </w:t>
            </w:r>
            <w:r w:rsidRPr="00DD66FC">
              <w:rPr>
                <w:rFonts w:ascii="Arial" w:hAnsi="Arial" w:cs="Arial"/>
                <w:sz w:val="18"/>
                <w:szCs w:val="18"/>
              </w:rPr>
              <w:t>can themselves pass a resolution</w:t>
            </w:r>
            <w:r w:rsidR="004D5E97">
              <w:rPr>
                <w:rFonts w:ascii="Arial" w:hAnsi="Arial" w:cs="Arial"/>
                <w:sz w:val="18"/>
                <w:szCs w:val="18"/>
              </w:rPr>
              <w:t xml:space="preserve"> </w:t>
            </w:r>
            <w:r w:rsidRPr="00DD66FC">
              <w:rPr>
                <w:rFonts w:ascii="Arial" w:hAnsi="Arial" w:cs="Arial"/>
                <w:sz w:val="18"/>
                <w:szCs w:val="18"/>
              </w:rPr>
              <w:t>that the company be wound up voluntarily.</w:t>
            </w:r>
          </w:p>
          <w:p w:rsidR="00A906D5" w:rsidRDefault="00DD66FC" w:rsidP="00DD66FC">
            <w:pPr>
              <w:pStyle w:val="BodyText"/>
              <w:tabs>
                <w:tab w:val="left" w:pos="450"/>
              </w:tabs>
              <w:spacing w:before="120" w:after="0" w:line="276" w:lineRule="auto"/>
              <w:rPr>
                <w:rFonts w:ascii="Arial" w:hAnsi="Arial" w:cs="Arial"/>
                <w:sz w:val="18"/>
                <w:szCs w:val="18"/>
              </w:rPr>
            </w:pPr>
            <w:r w:rsidRPr="00DD66FC">
              <w:rPr>
                <w:rFonts w:ascii="Arial" w:hAnsi="Arial" w:cs="Arial"/>
                <w:sz w:val="18"/>
                <w:szCs w:val="18"/>
              </w:rPr>
              <w:t xml:space="preserve">In either case they are said to have been </w:t>
            </w:r>
            <w:r w:rsidRPr="00DD66FC">
              <w:rPr>
                <w:rFonts w:ascii="Arial" w:hAnsi="Arial" w:cs="Arial"/>
                <w:b/>
                <w:sz w:val="18"/>
                <w:szCs w:val="18"/>
              </w:rPr>
              <w:t>wou</w:t>
            </w:r>
            <w:r w:rsidR="004D5E97">
              <w:rPr>
                <w:rFonts w:ascii="Arial" w:hAnsi="Arial" w:cs="Arial"/>
                <w:b/>
                <w:sz w:val="18"/>
                <w:szCs w:val="18"/>
              </w:rPr>
              <w:t xml:space="preserve">nd </w:t>
            </w:r>
            <w:r w:rsidRPr="00DD66FC">
              <w:rPr>
                <w:rFonts w:ascii="Arial" w:hAnsi="Arial" w:cs="Arial"/>
                <w:b/>
                <w:sz w:val="18"/>
                <w:szCs w:val="18"/>
              </w:rPr>
              <w:t>up</w:t>
            </w:r>
            <w:r w:rsidR="00A906D5">
              <w:rPr>
                <w:rFonts w:ascii="Arial" w:hAnsi="Arial" w:cs="Arial"/>
                <w:sz w:val="18"/>
                <w:szCs w:val="18"/>
              </w:rPr>
              <w:t>.</w:t>
            </w:r>
          </w:p>
          <w:p w:rsidR="00DD66FC" w:rsidRDefault="004D5E97" w:rsidP="00DD66FC">
            <w:pPr>
              <w:pStyle w:val="BodyText"/>
              <w:tabs>
                <w:tab w:val="left" w:pos="450"/>
              </w:tabs>
              <w:spacing w:before="120" w:after="0" w:line="276" w:lineRule="auto"/>
              <w:rPr>
                <w:rFonts w:ascii="Arial" w:hAnsi="Arial" w:cs="Arial"/>
                <w:sz w:val="22"/>
                <w:szCs w:val="22"/>
              </w:rPr>
            </w:pPr>
            <w:r>
              <w:rPr>
                <w:rFonts w:ascii="Arial" w:hAnsi="Arial" w:cs="Arial"/>
                <w:sz w:val="18"/>
                <w:szCs w:val="18"/>
              </w:rPr>
              <w:t xml:space="preserve">A third type of winding </w:t>
            </w:r>
            <w:r w:rsidR="00DD66FC" w:rsidRPr="00DD66FC">
              <w:rPr>
                <w:rFonts w:ascii="Arial" w:hAnsi="Arial" w:cs="Arial"/>
                <w:sz w:val="18"/>
                <w:szCs w:val="18"/>
              </w:rPr>
              <w:t>up, members' voluntary liquidation</w:t>
            </w:r>
            <w:r w:rsidR="00297B1C">
              <w:rPr>
                <w:rFonts w:ascii="Arial" w:hAnsi="Arial" w:cs="Arial"/>
                <w:sz w:val="18"/>
                <w:szCs w:val="18"/>
              </w:rPr>
              <w:t xml:space="preserve"> (MVL)</w:t>
            </w:r>
            <w:r w:rsidR="00DD66FC" w:rsidRPr="00DD66FC">
              <w:rPr>
                <w:rFonts w:ascii="Arial" w:hAnsi="Arial" w:cs="Arial"/>
                <w:sz w:val="18"/>
                <w:szCs w:val="18"/>
              </w:rPr>
              <w:t>, is not included because it does not involve insolvency</w:t>
            </w:r>
            <w:r>
              <w:rPr>
                <w:rFonts w:ascii="Arial" w:hAnsi="Arial" w:cs="Arial"/>
                <w:sz w:val="18"/>
                <w:szCs w:val="18"/>
              </w:rPr>
              <w:t xml:space="preserve"> – all creditors’ debts are paid in full</w:t>
            </w:r>
            <w:r w:rsidR="002C33AC">
              <w:rPr>
                <w:rFonts w:ascii="Arial" w:hAnsi="Arial" w:cs="Arial"/>
                <w:sz w:val="18"/>
                <w:szCs w:val="18"/>
              </w:rPr>
              <w:t>.</w:t>
            </w:r>
            <w:r w:rsidR="00297B1C">
              <w:rPr>
                <w:rFonts w:ascii="Arial" w:hAnsi="Arial" w:cs="Arial"/>
                <w:sz w:val="18"/>
                <w:szCs w:val="18"/>
              </w:rPr>
              <w:t xml:space="preserve"> </w:t>
            </w:r>
            <w:hyperlink r:id="rId17" w:history="1">
              <w:r w:rsidR="00297B1C" w:rsidRPr="00297B1C">
                <w:rPr>
                  <w:rStyle w:val="Hyperlink"/>
                  <w:rFonts w:ascii="Arial" w:hAnsi="Arial" w:cs="Arial"/>
                  <w:sz w:val="18"/>
                  <w:szCs w:val="18"/>
                </w:rPr>
                <w:t>Companies House</w:t>
              </w:r>
            </w:hyperlink>
            <w:r w:rsidR="00297B1C">
              <w:rPr>
                <w:rFonts w:ascii="Arial" w:hAnsi="Arial" w:cs="Arial"/>
                <w:sz w:val="18"/>
                <w:szCs w:val="18"/>
              </w:rPr>
              <w:t xml:space="preserve"> produces statistics on MVLs.</w:t>
            </w:r>
          </w:p>
        </w:tc>
      </w:tr>
    </w:tbl>
    <w:p w:rsidR="00814224" w:rsidRDefault="00207EB6" w:rsidP="008169A1">
      <w:pPr>
        <w:pStyle w:val="BodyText"/>
        <w:tabs>
          <w:tab w:val="left" w:pos="450"/>
        </w:tabs>
        <w:spacing w:before="240" w:line="276" w:lineRule="auto"/>
        <w:rPr>
          <w:rFonts w:ascii="Arial" w:hAnsi="Arial" w:cs="Arial"/>
          <w:sz w:val="22"/>
          <w:szCs w:val="22"/>
        </w:rPr>
      </w:pPr>
      <w:r>
        <w:rPr>
          <w:rFonts w:ascii="Arial" w:hAnsi="Arial" w:cs="Arial"/>
          <w:sz w:val="22"/>
          <w:szCs w:val="22"/>
        </w:rPr>
        <w:t>In the second</w:t>
      </w:r>
      <w:r w:rsidR="00604C8B" w:rsidRPr="00604C8B">
        <w:rPr>
          <w:rFonts w:ascii="Arial" w:hAnsi="Arial" w:cs="Arial"/>
          <w:sz w:val="22"/>
          <w:szCs w:val="22"/>
        </w:rPr>
        <w:t xml:space="preserve"> quarter of 2014, there were 3,</w:t>
      </w:r>
      <w:r>
        <w:rPr>
          <w:rFonts w:ascii="Arial" w:hAnsi="Arial" w:cs="Arial"/>
          <w:sz w:val="22"/>
          <w:szCs w:val="22"/>
        </w:rPr>
        <w:t>461</w:t>
      </w:r>
      <w:r w:rsidR="00604C8B" w:rsidRPr="00604C8B">
        <w:rPr>
          <w:rFonts w:ascii="Arial" w:hAnsi="Arial" w:cs="Arial"/>
          <w:sz w:val="22"/>
          <w:szCs w:val="22"/>
        </w:rPr>
        <w:t xml:space="preserve"> company liquidations – a </w:t>
      </w:r>
      <w:r>
        <w:rPr>
          <w:rFonts w:ascii="Arial" w:hAnsi="Arial" w:cs="Arial"/>
          <w:sz w:val="22"/>
          <w:szCs w:val="22"/>
        </w:rPr>
        <w:t>6.9</w:t>
      </w:r>
      <w:r w:rsidR="00604C8B" w:rsidRPr="00604C8B">
        <w:rPr>
          <w:rFonts w:ascii="Arial" w:hAnsi="Arial" w:cs="Arial"/>
          <w:sz w:val="22"/>
          <w:szCs w:val="22"/>
        </w:rPr>
        <w:t xml:space="preserve">% </w:t>
      </w:r>
      <w:r>
        <w:rPr>
          <w:rFonts w:ascii="Arial" w:hAnsi="Arial" w:cs="Arial"/>
          <w:sz w:val="22"/>
          <w:szCs w:val="22"/>
        </w:rPr>
        <w:t>de</w:t>
      </w:r>
      <w:r w:rsidR="00604C8B" w:rsidRPr="00604C8B">
        <w:rPr>
          <w:rFonts w:ascii="Arial" w:hAnsi="Arial" w:cs="Arial"/>
          <w:sz w:val="22"/>
          <w:szCs w:val="22"/>
        </w:rPr>
        <w:t xml:space="preserve">crease on the previous quarter and </w:t>
      </w:r>
      <w:r>
        <w:rPr>
          <w:rFonts w:ascii="Arial" w:hAnsi="Arial" w:cs="Arial"/>
          <w:sz w:val="22"/>
          <w:szCs w:val="22"/>
        </w:rPr>
        <w:t>15.1</w:t>
      </w:r>
      <w:r w:rsidR="00604C8B" w:rsidRPr="00604C8B">
        <w:rPr>
          <w:rFonts w:ascii="Arial" w:hAnsi="Arial" w:cs="Arial"/>
          <w:sz w:val="22"/>
          <w:szCs w:val="22"/>
        </w:rPr>
        <w:t xml:space="preserve">% </w:t>
      </w:r>
      <w:r>
        <w:rPr>
          <w:rFonts w:ascii="Arial" w:hAnsi="Arial" w:cs="Arial"/>
          <w:sz w:val="22"/>
          <w:szCs w:val="22"/>
        </w:rPr>
        <w:t>less</w:t>
      </w:r>
      <w:r w:rsidR="00604C8B" w:rsidRPr="00604C8B">
        <w:rPr>
          <w:rFonts w:ascii="Arial" w:hAnsi="Arial" w:cs="Arial"/>
          <w:sz w:val="22"/>
          <w:szCs w:val="22"/>
        </w:rPr>
        <w:t xml:space="preserve"> than the same quarter a year ago.</w:t>
      </w:r>
      <w:r w:rsidR="00814224">
        <w:rPr>
          <w:rFonts w:ascii="Arial" w:hAnsi="Arial" w:cs="Arial"/>
          <w:sz w:val="22"/>
          <w:szCs w:val="22"/>
        </w:rPr>
        <w:t xml:space="preserve"> </w:t>
      </w:r>
      <w:r w:rsidR="000A40F2">
        <w:rPr>
          <w:rFonts w:ascii="Arial" w:hAnsi="Arial" w:cs="Arial"/>
          <w:sz w:val="22"/>
          <w:szCs w:val="22"/>
        </w:rPr>
        <w:t xml:space="preserve">This </w:t>
      </w:r>
      <w:r w:rsidR="003D5600">
        <w:rPr>
          <w:rFonts w:ascii="Arial" w:hAnsi="Arial" w:cs="Arial"/>
          <w:sz w:val="22"/>
          <w:szCs w:val="22"/>
        </w:rPr>
        <w:t>was</w:t>
      </w:r>
      <w:r w:rsidR="003D5600">
        <w:rPr>
          <w:rFonts w:ascii="Arial" w:hAnsi="Arial" w:cs="Arial"/>
          <w:sz w:val="22"/>
          <w:szCs w:val="22"/>
        </w:rPr>
        <w:t xml:space="preserve"> </w:t>
      </w:r>
      <w:r w:rsidR="000A40F2">
        <w:rPr>
          <w:rFonts w:ascii="Arial" w:hAnsi="Arial" w:cs="Arial"/>
          <w:sz w:val="22"/>
          <w:szCs w:val="22"/>
        </w:rPr>
        <w:t xml:space="preserve">the lowest </w:t>
      </w:r>
      <w:r w:rsidR="003D5600">
        <w:rPr>
          <w:rFonts w:ascii="Arial" w:hAnsi="Arial" w:cs="Arial"/>
          <w:sz w:val="22"/>
          <w:szCs w:val="22"/>
        </w:rPr>
        <w:t xml:space="preserve">quarterly total </w:t>
      </w:r>
      <w:r w:rsidR="000A40F2">
        <w:rPr>
          <w:rFonts w:ascii="Arial" w:hAnsi="Arial" w:cs="Arial"/>
          <w:sz w:val="22"/>
          <w:szCs w:val="22"/>
        </w:rPr>
        <w:t>since Q</w:t>
      </w:r>
      <w:r w:rsidR="001D510F">
        <w:rPr>
          <w:rFonts w:ascii="Arial" w:hAnsi="Arial" w:cs="Arial"/>
          <w:sz w:val="22"/>
          <w:szCs w:val="22"/>
        </w:rPr>
        <w:t>1</w:t>
      </w:r>
      <w:r w:rsidR="000A40F2">
        <w:rPr>
          <w:rFonts w:ascii="Arial" w:hAnsi="Arial" w:cs="Arial"/>
          <w:sz w:val="22"/>
          <w:szCs w:val="22"/>
        </w:rPr>
        <w:t xml:space="preserve"> 2008.</w:t>
      </w:r>
    </w:p>
    <w:p w:rsidR="00604C8B" w:rsidRDefault="00814224" w:rsidP="008169A1">
      <w:pPr>
        <w:pStyle w:val="BodyText"/>
        <w:tabs>
          <w:tab w:val="left" w:pos="450"/>
        </w:tabs>
        <w:spacing w:before="240" w:line="276" w:lineRule="auto"/>
        <w:rPr>
          <w:rFonts w:ascii="Arial" w:hAnsi="Arial" w:cs="Arial"/>
          <w:sz w:val="22"/>
          <w:szCs w:val="22"/>
        </w:rPr>
      </w:pPr>
      <w:r>
        <w:rPr>
          <w:rFonts w:ascii="Arial" w:hAnsi="Arial" w:cs="Arial"/>
          <w:sz w:val="22"/>
          <w:szCs w:val="22"/>
        </w:rPr>
        <w:t>Th</w:t>
      </w:r>
      <w:r w:rsidR="000A40F2">
        <w:rPr>
          <w:rFonts w:ascii="Arial" w:hAnsi="Arial" w:cs="Arial"/>
          <w:sz w:val="22"/>
          <w:szCs w:val="22"/>
        </w:rPr>
        <w:t>is</w:t>
      </w:r>
      <w:r>
        <w:rPr>
          <w:rFonts w:ascii="Arial" w:hAnsi="Arial" w:cs="Arial"/>
          <w:sz w:val="22"/>
          <w:szCs w:val="22"/>
        </w:rPr>
        <w:t xml:space="preserve"> downward trend in </w:t>
      </w:r>
      <w:r w:rsidR="000A40F2">
        <w:rPr>
          <w:rFonts w:ascii="Arial" w:hAnsi="Arial" w:cs="Arial"/>
          <w:sz w:val="22"/>
          <w:szCs w:val="22"/>
        </w:rPr>
        <w:t>company</w:t>
      </w:r>
      <w:r>
        <w:rPr>
          <w:rFonts w:ascii="Arial" w:hAnsi="Arial" w:cs="Arial"/>
          <w:sz w:val="22"/>
          <w:szCs w:val="22"/>
        </w:rPr>
        <w:t xml:space="preserve"> liquidations </w:t>
      </w:r>
      <w:r w:rsidR="003D5600">
        <w:rPr>
          <w:rFonts w:ascii="Arial" w:hAnsi="Arial" w:cs="Arial"/>
          <w:sz w:val="22"/>
          <w:szCs w:val="22"/>
        </w:rPr>
        <w:t>has been</w:t>
      </w:r>
      <w:r w:rsidR="003D5600">
        <w:rPr>
          <w:rFonts w:ascii="Arial" w:hAnsi="Arial" w:cs="Arial"/>
          <w:sz w:val="22"/>
          <w:szCs w:val="22"/>
        </w:rPr>
        <w:t xml:space="preserve"> </w:t>
      </w:r>
      <w:r>
        <w:rPr>
          <w:rFonts w:ascii="Arial" w:hAnsi="Arial" w:cs="Arial"/>
          <w:sz w:val="22"/>
          <w:szCs w:val="22"/>
        </w:rPr>
        <w:t xml:space="preserve">driven by </w:t>
      </w:r>
      <w:r w:rsidR="000E297E">
        <w:rPr>
          <w:rFonts w:ascii="Arial" w:hAnsi="Arial" w:cs="Arial"/>
          <w:sz w:val="22"/>
          <w:szCs w:val="22"/>
        </w:rPr>
        <w:t xml:space="preserve">successive </w:t>
      </w:r>
      <w:r>
        <w:rPr>
          <w:rFonts w:ascii="Arial" w:hAnsi="Arial" w:cs="Arial"/>
          <w:sz w:val="22"/>
          <w:szCs w:val="22"/>
        </w:rPr>
        <w:t>decrease</w:t>
      </w:r>
      <w:r w:rsidR="000E297E">
        <w:rPr>
          <w:rFonts w:ascii="Arial" w:hAnsi="Arial" w:cs="Arial"/>
          <w:sz w:val="22"/>
          <w:szCs w:val="22"/>
        </w:rPr>
        <w:t>s</w:t>
      </w:r>
      <w:r>
        <w:rPr>
          <w:rFonts w:ascii="Arial" w:hAnsi="Arial" w:cs="Arial"/>
          <w:sz w:val="22"/>
          <w:szCs w:val="22"/>
        </w:rPr>
        <w:t xml:space="preserve"> in</w:t>
      </w:r>
      <w:r w:rsidR="001D510F">
        <w:rPr>
          <w:rFonts w:ascii="Arial" w:hAnsi="Arial" w:cs="Arial"/>
          <w:sz w:val="22"/>
          <w:szCs w:val="22"/>
        </w:rPr>
        <w:t xml:space="preserve"> the number of</w:t>
      </w:r>
      <w:r>
        <w:rPr>
          <w:rFonts w:ascii="Arial" w:hAnsi="Arial" w:cs="Arial"/>
          <w:sz w:val="22"/>
          <w:szCs w:val="22"/>
        </w:rPr>
        <w:t xml:space="preserve"> </w:t>
      </w:r>
      <w:r w:rsidR="000E297E">
        <w:rPr>
          <w:rFonts w:ascii="Arial" w:hAnsi="Arial" w:cs="Arial"/>
          <w:sz w:val="22"/>
          <w:szCs w:val="22"/>
        </w:rPr>
        <w:t>c</w:t>
      </w:r>
      <w:r>
        <w:rPr>
          <w:rFonts w:ascii="Arial" w:hAnsi="Arial" w:cs="Arial"/>
          <w:sz w:val="22"/>
          <w:szCs w:val="22"/>
        </w:rPr>
        <w:t xml:space="preserve">reditors’ </w:t>
      </w:r>
      <w:r w:rsidR="000E297E">
        <w:rPr>
          <w:rFonts w:ascii="Arial" w:hAnsi="Arial" w:cs="Arial"/>
          <w:sz w:val="22"/>
          <w:szCs w:val="22"/>
        </w:rPr>
        <w:t>v</w:t>
      </w:r>
      <w:r>
        <w:rPr>
          <w:rFonts w:ascii="Arial" w:hAnsi="Arial" w:cs="Arial"/>
          <w:sz w:val="22"/>
          <w:szCs w:val="22"/>
        </w:rPr>
        <w:t xml:space="preserve">oluntary </w:t>
      </w:r>
      <w:r w:rsidR="000E297E">
        <w:rPr>
          <w:rFonts w:ascii="Arial" w:hAnsi="Arial" w:cs="Arial"/>
          <w:sz w:val="22"/>
          <w:szCs w:val="22"/>
        </w:rPr>
        <w:t>l</w:t>
      </w:r>
      <w:r>
        <w:rPr>
          <w:rFonts w:ascii="Arial" w:hAnsi="Arial" w:cs="Arial"/>
          <w:sz w:val="22"/>
          <w:szCs w:val="22"/>
        </w:rPr>
        <w:t>iquidations</w:t>
      </w:r>
      <w:r w:rsidR="000E297E">
        <w:rPr>
          <w:rFonts w:ascii="Arial" w:hAnsi="Arial" w:cs="Arial"/>
          <w:sz w:val="22"/>
          <w:szCs w:val="22"/>
        </w:rPr>
        <w:t xml:space="preserve"> (CVLs)</w:t>
      </w:r>
      <w:r w:rsidR="0098136E">
        <w:rPr>
          <w:rFonts w:ascii="Arial" w:hAnsi="Arial" w:cs="Arial"/>
          <w:sz w:val="22"/>
          <w:szCs w:val="22"/>
        </w:rPr>
        <w:t xml:space="preserve"> in the last four quarters</w:t>
      </w:r>
      <w:r w:rsidR="001838F2">
        <w:rPr>
          <w:rFonts w:ascii="Arial" w:hAnsi="Arial" w:cs="Arial"/>
          <w:sz w:val="22"/>
          <w:szCs w:val="22"/>
        </w:rPr>
        <w:t xml:space="preserve">. There were </w:t>
      </w:r>
      <w:r>
        <w:rPr>
          <w:rFonts w:ascii="Arial" w:hAnsi="Arial" w:cs="Arial"/>
          <w:sz w:val="22"/>
          <w:szCs w:val="22"/>
        </w:rPr>
        <w:t>2,487</w:t>
      </w:r>
      <w:r w:rsidR="001838F2">
        <w:rPr>
          <w:rFonts w:ascii="Arial" w:hAnsi="Arial" w:cs="Arial"/>
          <w:sz w:val="22"/>
          <w:szCs w:val="22"/>
        </w:rPr>
        <w:t xml:space="preserve"> new cases</w:t>
      </w:r>
      <w:r>
        <w:rPr>
          <w:rFonts w:ascii="Arial" w:hAnsi="Arial" w:cs="Arial"/>
          <w:sz w:val="22"/>
          <w:szCs w:val="22"/>
        </w:rPr>
        <w:t xml:space="preserve"> in Q2 2014</w:t>
      </w:r>
      <w:r w:rsidR="0098136E">
        <w:rPr>
          <w:rFonts w:ascii="Arial" w:hAnsi="Arial" w:cs="Arial"/>
          <w:sz w:val="22"/>
          <w:szCs w:val="22"/>
        </w:rPr>
        <w:t>,</w:t>
      </w:r>
      <w:r w:rsidR="00343DC4" w:rsidRPr="00343DC4">
        <w:rPr>
          <w:rFonts w:ascii="Arial" w:hAnsi="Arial" w:cs="Arial"/>
          <w:sz w:val="22"/>
          <w:szCs w:val="22"/>
        </w:rPr>
        <w:t xml:space="preserve"> </w:t>
      </w:r>
      <w:r w:rsidR="00343DC4">
        <w:rPr>
          <w:rFonts w:ascii="Arial" w:hAnsi="Arial" w:cs="Arial"/>
          <w:sz w:val="22"/>
          <w:szCs w:val="22"/>
        </w:rPr>
        <w:t>a decrease of 5.9% compared to the previous quarter and 18.1% compared to the same quarter a year ago; and</w:t>
      </w:r>
      <w:r w:rsidR="0098136E">
        <w:rPr>
          <w:rFonts w:ascii="Arial" w:hAnsi="Arial" w:cs="Arial"/>
          <w:sz w:val="22"/>
          <w:szCs w:val="22"/>
        </w:rPr>
        <w:t xml:space="preserve"> </w:t>
      </w:r>
      <w:r>
        <w:rPr>
          <w:rFonts w:ascii="Arial" w:hAnsi="Arial" w:cs="Arial"/>
          <w:sz w:val="22"/>
          <w:szCs w:val="22"/>
        </w:rPr>
        <w:t xml:space="preserve">the lowest </w:t>
      </w:r>
      <w:r w:rsidR="00343DC4">
        <w:rPr>
          <w:rFonts w:ascii="Arial" w:hAnsi="Arial" w:cs="Arial"/>
          <w:sz w:val="22"/>
          <w:szCs w:val="22"/>
        </w:rPr>
        <w:t xml:space="preserve">number </w:t>
      </w:r>
      <w:r>
        <w:rPr>
          <w:rFonts w:ascii="Arial" w:hAnsi="Arial" w:cs="Arial"/>
          <w:sz w:val="22"/>
          <w:szCs w:val="22"/>
        </w:rPr>
        <w:t xml:space="preserve">of </w:t>
      </w:r>
      <w:r w:rsidR="000E297E">
        <w:rPr>
          <w:rFonts w:ascii="Arial" w:hAnsi="Arial" w:cs="Arial"/>
          <w:sz w:val="22"/>
          <w:szCs w:val="22"/>
        </w:rPr>
        <w:t xml:space="preserve">CVLs </w:t>
      </w:r>
      <w:r>
        <w:rPr>
          <w:rFonts w:ascii="Arial" w:hAnsi="Arial" w:cs="Arial"/>
          <w:sz w:val="22"/>
          <w:szCs w:val="22"/>
        </w:rPr>
        <w:t xml:space="preserve">since </w:t>
      </w:r>
      <w:r w:rsidR="00400A32">
        <w:rPr>
          <w:rFonts w:ascii="Arial" w:hAnsi="Arial" w:cs="Arial"/>
          <w:sz w:val="22"/>
          <w:szCs w:val="22"/>
        </w:rPr>
        <w:t>Q</w:t>
      </w:r>
      <w:r w:rsidR="000E297E">
        <w:rPr>
          <w:rFonts w:ascii="Arial" w:hAnsi="Arial" w:cs="Arial"/>
          <w:sz w:val="22"/>
          <w:szCs w:val="22"/>
        </w:rPr>
        <w:t>2</w:t>
      </w:r>
      <w:r w:rsidR="00400A32">
        <w:rPr>
          <w:rFonts w:ascii="Arial" w:hAnsi="Arial" w:cs="Arial"/>
          <w:sz w:val="22"/>
          <w:szCs w:val="22"/>
        </w:rPr>
        <w:t xml:space="preserve"> 2008</w:t>
      </w:r>
      <w:r w:rsidR="00343DC4">
        <w:rPr>
          <w:rFonts w:ascii="Arial" w:hAnsi="Arial" w:cs="Arial"/>
          <w:sz w:val="22"/>
          <w:szCs w:val="22"/>
        </w:rPr>
        <w:t>.</w:t>
      </w:r>
    </w:p>
    <w:p w:rsidR="00CC0E45" w:rsidRDefault="000E297E" w:rsidP="002C33AC">
      <w:pPr>
        <w:pStyle w:val="BodyText"/>
        <w:tabs>
          <w:tab w:val="left" w:pos="450"/>
        </w:tabs>
        <w:spacing w:before="120" w:after="0" w:line="276" w:lineRule="auto"/>
        <w:rPr>
          <w:rFonts w:ascii="Arial" w:hAnsi="Arial" w:cs="Arial"/>
          <w:sz w:val="22"/>
          <w:szCs w:val="22"/>
        </w:rPr>
      </w:pPr>
      <w:r w:rsidRPr="008538AD">
        <w:rPr>
          <w:rFonts w:ascii="Arial" w:hAnsi="Arial" w:cs="Arial"/>
          <w:color w:val="000000"/>
          <w:sz w:val="22"/>
          <w:szCs w:val="22"/>
        </w:rPr>
        <w:t xml:space="preserve">In </w:t>
      </w:r>
      <w:r>
        <w:rPr>
          <w:rFonts w:ascii="Arial" w:hAnsi="Arial" w:cs="Arial"/>
          <w:color w:val="000000"/>
          <w:sz w:val="22"/>
          <w:szCs w:val="22"/>
        </w:rPr>
        <w:t>April</w:t>
      </w:r>
      <w:r w:rsidRPr="008538AD">
        <w:rPr>
          <w:rFonts w:ascii="Arial" w:hAnsi="Arial" w:cs="Arial"/>
          <w:color w:val="000000"/>
          <w:sz w:val="22"/>
          <w:szCs w:val="22"/>
        </w:rPr>
        <w:t xml:space="preserve"> to </w:t>
      </w:r>
      <w:r>
        <w:rPr>
          <w:rFonts w:ascii="Arial" w:hAnsi="Arial" w:cs="Arial"/>
          <w:color w:val="000000"/>
          <w:sz w:val="22"/>
          <w:szCs w:val="22"/>
        </w:rPr>
        <w:t>June</w:t>
      </w:r>
      <w:r w:rsidRPr="008538AD">
        <w:rPr>
          <w:rFonts w:ascii="Arial" w:hAnsi="Arial" w:cs="Arial"/>
          <w:color w:val="000000"/>
          <w:sz w:val="22"/>
          <w:szCs w:val="22"/>
        </w:rPr>
        <w:t xml:space="preserve"> 2014 there were </w:t>
      </w:r>
      <w:r>
        <w:rPr>
          <w:rFonts w:ascii="Arial" w:hAnsi="Arial" w:cs="Arial"/>
          <w:color w:val="000000"/>
          <w:sz w:val="22"/>
          <w:szCs w:val="22"/>
        </w:rPr>
        <w:t>974</w:t>
      </w:r>
      <w:r w:rsidRPr="008538AD">
        <w:rPr>
          <w:rFonts w:ascii="Arial" w:hAnsi="Arial" w:cs="Arial"/>
          <w:color w:val="000000"/>
          <w:sz w:val="22"/>
          <w:szCs w:val="22"/>
        </w:rPr>
        <w:t xml:space="preserve"> c</w:t>
      </w:r>
      <w:r>
        <w:rPr>
          <w:rFonts w:ascii="Arial" w:hAnsi="Arial" w:cs="Arial"/>
          <w:color w:val="000000"/>
          <w:sz w:val="22"/>
          <w:szCs w:val="22"/>
        </w:rPr>
        <w:t>ompulsory</w:t>
      </w:r>
      <w:r w:rsidRPr="008538AD">
        <w:rPr>
          <w:rFonts w:ascii="Arial" w:hAnsi="Arial" w:cs="Arial"/>
          <w:color w:val="000000"/>
          <w:sz w:val="22"/>
          <w:szCs w:val="22"/>
        </w:rPr>
        <w:t xml:space="preserve"> liquidations,</w:t>
      </w:r>
      <w:r>
        <w:rPr>
          <w:rFonts w:ascii="Arial" w:hAnsi="Arial" w:cs="Arial"/>
          <w:color w:val="000000"/>
          <w:sz w:val="22"/>
          <w:szCs w:val="22"/>
        </w:rPr>
        <w:t xml:space="preserve"> representing</w:t>
      </w:r>
      <w:r w:rsidRPr="008538AD">
        <w:rPr>
          <w:rFonts w:ascii="Arial" w:hAnsi="Arial" w:cs="Arial"/>
          <w:color w:val="000000"/>
          <w:sz w:val="22"/>
          <w:szCs w:val="22"/>
        </w:rPr>
        <w:t xml:space="preserve"> a decrease of </w:t>
      </w:r>
      <w:r>
        <w:rPr>
          <w:rFonts w:ascii="Arial" w:hAnsi="Arial" w:cs="Arial"/>
          <w:color w:val="000000"/>
          <w:sz w:val="22"/>
          <w:szCs w:val="22"/>
        </w:rPr>
        <w:t>9</w:t>
      </w:r>
      <w:r w:rsidRPr="008538AD">
        <w:rPr>
          <w:rFonts w:ascii="Arial" w:hAnsi="Arial" w:cs="Arial"/>
          <w:color w:val="000000"/>
          <w:sz w:val="22"/>
          <w:szCs w:val="22"/>
        </w:rPr>
        <w:t>.</w:t>
      </w:r>
      <w:r>
        <w:rPr>
          <w:rFonts w:ascii="Arial" w:hAnsi="Arial" w:cs="Arial"/>
          <w:color w:val="000000"/>
          <w:sz w:val="22"/>
          <w:szCs w:val="22"/>
        </w:rPr>
        <w:t>4</w:t>
      </w:r>
      <w:r w:rsidRPr="008538AD">
        <w:rPr>
          <w:rFonts w:ascii="Arial" w:hAnsi="Arial" w:cs="Arial"/>
          <w:color w:val="000000"/>
          <w:sz w:val="22"/>
          <w:szCs w:val="22"/>
        </w:rPr>
        <w:t>% on the previous quarter</w:t>
      </w:r>
      <w:r>
        <w:rPr>
          <w:rFonts w:ascii="Arial" w:hAnsi="Arial" w:cs="Arial"/>
          <w:color w:val="000000"/>
          <w:sz w:val="22"/>
          <w:szCs w:val="22"/>
        </w:rPr>
        <w:t>,</w:t>
      </w:r>
      <w:r w:rsidRPr="008538AD">
        <w:rPr>
          <w:rFonts w:ascii="Arial" w:hAnsi="Arial" w:cs="Arial"/>
          <w:color w:val="000000"/>
          <w:sz w:val="22"/>
          <w:szCs w:val="22"/>
        </w:rPr>
        <w:t xml:space="preserve"> </w:t>
      </w:r>
      <w:r>
        <w:rPr>
          <w:rFonts w:ascii="Arial" w:hAnsi="Arial" w:cs="Arial"/>
          <w:color w:val="000000"/>
          <w:sz w:val="22"/>
          <w:szCs w:val="22"/>
        </w:rPr>
        <w:t>and 6</w:t>
      </w:r>
      <w:r w:rsidRPr="008538AD">
        <w:rPr>
          <w:rFonts w:ascii="Arial" w:hAnsi="Arial" w:cs="Arial"/>
          <w:color w:val="000000"/>
          <w:sz w:val="22"/>
          <w:szCs w:val="22"/>
        </w:rPr>
        <w:t>.</w:t>
      </w:r>
      <w:r>
        <w:rPr>
          <w:rFonts w:ascii="Arial" w:hAnsi="Arial" w:cs="Arial"/>
          <w:color w:val="000000"/>
          <w:sz w:val="22"/>
          <w:szCs w:val="22"/>
        </w:rPr>
        <w:t>3</w:t>
      </w:r>
      <w:r w:rsidRPr="008538AD">
        <w:rPr>
          <w:rFonts w:ascii="Arial" w:hAnsi="Arial" w:cs="Arial"/>
          <w:color w:val="000000"/>
          <w:sz w:val="22"/>
          <w:szCs w:val="22"/>
        </w:rPr>
        <w:t>% on the same quarter in 2013.</w:t>
      </w:r>
      <w:r>
        <w:rPr>
          <w:rFonts w:ascii="Arial" w:hAnsi="Arial" w:cs="Arial"/>
          <w:color w:val="000000"/>
          <w:sz w:val="22"/>
          <w:szCs w:val="22"/>
        </w:rPr>
        <w:t xml:space="preserve"> The latest figures are in line with the general trend of between 900 and 1,100 per quarter since Q2 2012, except in Q4 2013 when there were 699 cases.</w:t>
      </w:r>
    </w:p>
    <w:p w:rsidR="00CC0E45" w:rsidRDefault="00CC0E45" w:rsidP="00CC0E45">
      <w:pPr>
        <w:pStyle w:val="BodyText"/>
        <w:tabs>
          <w:tab w:val="left" w:pos="450"/>
        </w:tabs>
        <w:spacing w:before="120" w:after="0" w:line="276" w:lineRule="auto"/>
        <w:rPr>
          <w:rFonts w:ascii="Arial" w:hAnsi="Arial" w:cs="Arial"/>
          <w:sz w:val="22"/>
          <w:szCs w:val="22"/>
        </w:rPr>
      </w:pPr>
    </w:p>
    <w:p w:rsidR="00F51A28" w:rsidRDefault="00F51A28" w:rsidP="00CC0E45">
      <w:pPr>
        <w:pStyle w:val="BodyText"/>
        <w:tabs>
          <w:tab w:val="left" w:pos="450"/>
        </w:tabs>
        <w:spacing w:before="120" w:after="0"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6"/>
        <w:gridCol w:w="3110"/>
      </w:tblGrid>
      <w:tr w:rsidR="000D62DE" w:rsidTr="000076CB">
        <w:trPr>
          <w:cantSplit/>
        </w:trPr>
        <w:tc>
          <w:tcPr>
            <w:tcW w:w="5353" w:type="dxa"/>
          </w:tcPr>
          <w:p w:rsidR="000D62DE" w:rsidRDefault="000D62DE" w:rsidP="000D62DE">
            <w:pPr>
              <w:tabs>
                <w:tab w:val="left" w:pos="965"/>
              </w:tabs>
              <w:spacing w:after="60"/>
              <w:jc w:val="center"/>
              <w:rPr>
                <w:rFonts w:ascii="Arial" w:hAnsi="Arial" w:cs="Arial"/>
                <w:color w:val="000000"/>
                <w:sz w:val="22"/>
                <w:szCs w:val="22"/>
              </w:rPr>
            </w:pPr>
            <w:r w:rsidRPr="004528AB">
              <w:rPr>
                <w:rFonts w:ascii="Arial" w:hAnsi="Arial" w:cs="Arial"/>
                <w:b/>
                <w:color w:val="000000"/>
                <w:sz w:val="22"/>
                <w:szCs w:val="22"/>
              </w:rPr>
              <w:lastRenderedPageBreak/>
              <w:t xml:space="preserve">Figure </w:t>
            </w:r>
            <w:r w:rsidR="00791A86">
              <w:rPr>
                <w:rFonts w:ascii="Arial" w:hAnsi="Arial" w:cs="Arial"/>
                <w:b/>
                <w:color w:val="000000"/>
                <w:sz w:val="22"/>
                <w:szCs w:val="22"/>
              </w:rPr>
              <w:t>4</w:t>
            </w:r>
            <w:r w:rsidRPr="004528AB">
              <w:rPr>
                <w:rFonts w:ascii="Arial" w:hAnsi="Arial" w:cs="Arial"/>
                <w:b/>
                <w:color w:val="000000"/>
                <w:sz w:val="22"/>
                <w:szCs w:val="22"/>
              </w:rPr>
              <w:t xml:space="preserve">: Creditors’ voluntary liquidation following administration in England and Wales </w:t>
            </w:r>
            <w:r w:rsidRPr="004528AB">
              <w:rPr>
                <w:rFonts w:ascii="Arial" w:hAnsi="Arial" w:cs="Arial"/>
                <w:color w:val="000000"/>
                <w:sz w:val="22"/>
                <w:szCs w:val="22"/>
              </w:rPr>
              <w:t>(</w:t>
            </w:r>
            <w:r w:rsidR="00AA4F9A">
              <w:rPr>
                <w:rFonts w:ascii="Arial" w:hAnsi="Arial" w:cs="Arial"/>
                <w:color w:val="000000"/>
                <w:sz w:val="22"/>
                <w:szCs w:val="22"/>
              </w:rPr>
              <w:t xml:space="preserve">quarterly data, </w:t>
            </w:r>
            <w:r w:rsidRPr="004528AB">
              <w:rPr>
                <w:rFonts w:ascii="Arial" w:hAnsi="Arial" w:cs="Arial"/>
                <w:color w:val="000000"/>
                <w:sz w:val="22"/>
                <w:szCs w:val="22"/>
              </w:rPr>
              <w:t>not seasonally adjusted)</w:t>
            </w:r>
          </w:p>
          <w:p w:rsidR="000D62DE" w:rsidRPr="008538AD" w:rsidRDefault="00B538CE" w:rsidP="000D62DE">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6D9A3FF1" wp14:editId="5193FA02">
                  <wp:extent cx="4676775" cy="32480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6775" cy="3248025"/>
                          </a:xfrm>
                          <a:prstGeom prst="rect">
                            <a:avLst/>
                          </a:prstGeom>
                          <a:noFill/>
                          <a:ln>
                            <a:noFill/>
                          </a:ln>
                        </pic:spPr>
                      </pic:pic>
                    </a:graphicData>
                  </a:graphic>
                </wp:inline>
              </w:drawing>
            </w:r>
          </w:p>
          <w:p w:rsidR="000D62DE" w:rsidRPr="000B6473" w:rsidRDefault="000D62DE" w:rsidP="000D62DE">
            <w:pPr>
              <w:tabs>
                <w:tab w:val="left" w:pos="965"/>
              </w:tabs>
              <w:spacing w:after="60"/>
              <w:rPr>
                <w:rFonts w:ascii="Arial" w:hAnsi="Arial" w:cs="Arial"/>
                <w:color w:val="000000"/>
                <w:sz w:val="18"/>
                <w:szCs w:val="18"/>
              </w:rPr>
            </w:pPr>
            <w:r w:rsidRPr="000B6473">
              <w:rPr>
                <w:rFonts w:ascii="Arial" w:hAnsi="Arial" w:cs="Arial"/>
                <w:color w:val="000000"/>
                <w:sz w:val="18"/>
                <w:szCs w:val="18"/>
              </w:rPr>
              <w:t>Source: Companies House.</w:t>
            </w:r>
          </w:p>
          <w:p w:rsidR="000D62DE" w:rsidRDefault="000D62DE" w:rsidP="000D62DE">
            <w:pPr>
              <w:pStyle w:val="BodyText"/>
              <w:tabs>
                <w:tab w:val="left" w:pos="450"/>
              </w:tabs>
              <w:spacing w:before="120" w:after="0" w:line="276" w:lineRule="auto"/>
              <w:rPr>
                <w:rFonts w:ascii="Arial" w:hAnsi="Arial" w:cs="Arial"/>
                <w:sz w:val="22"/>
                <w:szCs w:val="22"/>
              </w:rPr>
            </w:pPr>
            <w:r w:rsidRPr="000B6473">
              <w:rPr>
                <w:rFonts w:ascii="Arial" w:hAnsi="Arial" w:cs="Arial"/>
                <w:color w:val="000000"/>
                <w:sz w:val="18"/>
                <w:szCs w:val="18"/>
              </w:rPr>
              <w:t>See Table 1c of the accompanying Excel file for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361B36" w:rsidRDefault="005060D8" w:rsidP="000D62DE">
            <w:pPr>
              <w:pStyle w:val="BodyText"/>
              <w:tabs>
                <w:tab w:val="left" w:pos="450"/>
              </w:tabs>
              <w:spacing w:before="120" w:after="0" w:line="276" w:lineRule="auto"/>
              <w:rPr>
                <w:rFonts w:ascii="Arial" w:hAnsi="Arial" w:cs="Arial"/>
                <w:b/>
                <w:sz w:val="18"/>
                <w:szCs w:val="18"/>
              </w:rPr>
            </w:pPr>
            <w:r>
              <w:rPr>
                <w:rFonts w:ascii="Arial" w:hAnsi="Arial" w:cs="Arial"/>
                <w:sz w:val="18"/>
                <w:szCs w:val="18"/>
              </w:rPr>
              <w:t xml:space="preserve">An administration (see </w:t>
            </w:r>
            <w:r w:rsidRPr="008323D1">
              <w:rPr>
                <w:rFonts w:ascii="Arial" w:hAnsi="Arial" w:cs="Arial"/>
                <w:sz w:val="18"/>
                <w:szCs w:val="18"/>
              </w:rPr>
              <w:t xml:space="preserve">section </w:t>
            </w:r>
            <w:r w:rsidR="00446F12" w:rsidRPr="008323D1">
              <w:rPr>
                <w:rFonts w:ascii="Arial" w:hAnsi="Arial" w:cs="Arial"/>
                <w:sz w:val="18"/>
                <w:szCs w:val="18"/>
              </w:rPr>
              <w:t>2</w:t>
            </w:r>
            <w:r w:rsidRPr="008323D1">
              <w:rPr>
                <w:rFonts w:ascii="Arial" w:hAnsi="Arial" w:cs="Arial"/>
                <w:sz w:val="18"/>
                <w:szCs w:val="18"/>
              </w:rPr>
              <w:t>.2</w:t>
            </w:r>
            <w:r>
              <w:rPr>
                <w:rFonts w:ascii="Arial" w:hAnsi="Arial" w:cs="Arial"/>
                <w:sz w:val="18"/>
                <w:szCs w:val="18"/>
              </w:rPr>
              <w:t>) can end in a number of ways, one of which is by</w:t>
            </w:r>
            <w:r w:rsidR="000D62DE" w:rsidRPr="000D62DE">
              <w:rPr>
                <w:rFonts w:ascii="Arial" w:hAnsi="Arial" w:cs="Arial"/>
                <w:sz w:val="18"/>
                <w:szCs w:val="18"/>
              </w:rPr>
              <w:t xml:space="preserve"> enter</w:t>
            </w:r>
            <w:r>
              <w:rPr>
                <w:rFonts w:ascii="Arial" w:hAnsi="Arial" w:cs="Arial"/>
                <w:sz w:val="18"/>
                <w:szCs w:val="18"/>
              </w:rPr>
              <w:t>ing</w:t>
            </w:r>
            <w:r w:rsidR="000D62DE" w:rsidRPr="000D62DE">
              <w:rPr>
                <w:rFonts w:ascii="Arial" w:hAnsi="Arial" w:cs="Arial"/>
                <w:sz w:val="18"/>
                <w:szCs w:val="18"/>
              </w:rPr>
              <w:t xml:space="preserve"> </w:t>
            </w:r>
            <w:r w:rsidR="000D62DE" w:rsidRPr="000D62DE">
              <w:rPr>
                <w:rFonts w:ascii="Arial" w:hAnsi="Arial" w:cs="Arial"/>
                <w:b/>
                <w:sz w:val="18"/>
                <w:szCs w:val="18"/>
              </w:rPr>
              <w:t>creditors’ voluntary liquidation following administration.</w:t>
            </w:r>
          </w:p>
          <w:p w:rsidR="000D62DE" w:rsidRDefault="000D62DE" w:rsidP="000D62DE">
            <w:pPr>
              <w:pStyle w:val="BodyText"/>
              <w:tabs>
                <w:tab w:val="left" w:pos="450"/>
              </w:tabs>
              <w:spacing w:before="120" w:after="0" w:line="276" w:lineRule="auto"/>
              <w:rPr>
                <w:rFonts w:ascii="Arial" w:hAnsi="Arial" w:cs="Arial"/>
                <w:sz w:val="18"/>
                <w:szCs w:val="18"/>
              </w:rPr>
            </w:pPr>
            <w:r w:rsidRPr="000D62DE">
              <w:rPr>
                <w:rFonts w:ascii="Arial" w:hAnsi="Arial" w:cs="Arial"/>
                <w:sz w:val="18"/>
                <w:szCs w:val="18"/>
              </w:rPr>
              <w:t>These are not included in the figures above as they do not represent a new company entering into an insolvency procedure for the first time.</w:t>
            </w:r>
          </w:p>
          <w:p w:rsidR="00361B36" w:rsidRPr="005060D8" w:rsidRDefault="00361B36" w:rsidP="00297B1C">
            <w:pPr>
              <w:pStyle w:val="BodyText"/>
              <w:tabs>
                <w:tab w:val="left" w:pos="450"/>
              </w:tabs>
              <w:spacing w:before="120" w:after="0" w:line="276" w:lineRule="auto"/>
              <w:rPr>
                <w:rFonts w:ascii="Arial" w:hAnsi="Arial" w:cs="Arial"/>
                <w:sz w:val="18"/>
                <w:szCs w:val="18"/>
              </w:rPr>
            </w:pPr>
            <w:r>
              <w:rPr>
                <w:rFonts w:ascii="Arial" w:hAnsi="Arial" w:cs="Arial"/>
                <w:sz w:val="18"/>
                <w:szCs w:val="18"/>
              </w:rPr>
              <w:t xml:space="preserve">Following administration, companies could alternatively be returned to the control of </w:t>
            </w:r>
            <w:r w:rsidR="00297B1C">
              <w:rPr>
                <w:rFonts w:ascii="Arial" w:hAnsi="Arial" w:cs="Arial"/>
                <w:sz w:val="18"/>
                <w:szCs w:val="18"/>
              </w:rPr>
              <w:t>their</w:t>
            </w:r>
            <w:r>
              <w:rPr>
                <w:rFonts w:ascii="Arial" w:hAnsi="Arial" w:cs="Arial"/>
                <w:sz w:val="18"/>
                <w:szCs w:val="18"/>
              </w:rPr>
              <w:t xml:space="preserve"> directors and management; be dissolved;</w:t>
            </w:r>
            <w:r w:rsidR="000860D4">
              <w:rPr>
                <w:rFonts w:ascii="Arial" w:hAnsi="Arial" w:cs="Arial"/>
                <w:sz w:val="18"/>
                <w:szCs w:val="18"/>
              </w:rPr>
              <w:t xml:space="preserve"> enter compulsory liquidation;</w:t>
            </w:r>
            <w:r>
              <w:rPr>
                <w:rFonts w:ascii="Arial" w:hAnsi="Arial" w:cs="Arial"/>
                <w:sz w:val="18"/>
                <w:szCs w:val="18"/>
              </w:rPr>
              <w:t xml:space="preserve"> or enter a voluntary agreement.</w:t>
            </w:r>
            <w:r w:rsidR="000860D4">
              <w:rPr>
                <w:rFonts w:ascii="Arial" w:hAnsi="Arial" w:cs="Arial"/>
                <w:sz w:val="18"/>
                <w:szCs w:val="18"/>
              </w:rPr>
              <w:t xml:space="preserve"> No separate figures are available on these outcomes.</w:t>
            </w:r>
          </w:p>
        </w:tc>
      </w:tr>
    </w:tbl>
    <w:p w:rsidR="000D62DE" w:rsidRDefault="000D62DE" w:rsidP="00CC0E45">
      <w:pPr>
        <w:pStyle w:val="BodyText"/>
        <w:tabs>
          <w:tab w:val="left" w:pos="450"/>
        </w:tabs>
        <w:spacing w:before="120" w:after="0" w:line="276" w:lineRule="auto"/>
        <w:rPr>
          <w:rFonts w:ascii="Arial" w:hAnsi="Arial" w:cs="Arial"/>
          <w:sz w:val="22"/>
          <w:szCs w:val="22"/>
        </w:rPr>
      </w:pPr>
    </w:p>
    <w:p w:rsidR="000D62DE" w:rsidRDefault="00F16548"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In the second</w:t>
      </w:r>
      <w:r w:rsidR="000D62DE">
        <w:rPr>
          <w:rFonts w:ascii="Arial" w:hAnsi="Arial" w:cs="Arial"/>
          <w:color w:val="000000"/>
          <w:sz w:val="22"/>
          <w:szCs w:val="22"/>
        </w:rPr>
        <w:t xml:space="preserve"> </w:t>
      </w:r>
      <w:r w:rsidR="000D62DE" w:rsidRPr="00C8419B">
        <w:rPr>
          <w:rFonts w:ascii="Arial" w:hAnsi="Arial" w:cs="Arial"/>
          <w:sz w:val="22"/>
          <w:szCs w:val="22"/>
        </w:rPr>
        <w:t>quarter</w:t>
      </w:r>
      <w:r w:rsidR="000D62DE">
        <w:rPr>
          <w:rFonts w:ascii="Arial" w:hAnsi="Arial" w:cs="Arial"/>
          <w:color w:val="000000"/>
          <w:sz w:val="22"/>
          <w:szCs w:val="22"/>
        </w:rPr>
        <w:t xml:space="preserve"> of 2014, </w:t>
      </w:r>
      <w:r>
        <w:rPr>
          <w:rFonts w:ascii="Arial" w:hAnsi="Arial" w:cs="Arial"/>
          <w:color w:val="000000"/>
          <w:sz w:val="22"/>
          <w:szCs w:val="22"/>
        </w:rPr>
        <w:t xml:space="preserve">212 </w:t>
      </w:r>
      <w:r w:rsidR="000D62DE">
        <w:rPr>
          <w:rFonts w:ascii="Arial" w:hAnsi="Arial" w:cs="Arial"/>
          <w:color w:val="000000"/>
          <w:sz w:val="22"/>
          <w:szCs w:val="22"/>
        </w:rPr>
        <w:t xml:space="preserve">companies entered creditors’ voluntary liquidation following administration, a </w:t>
      </w:r>
      <w:r>
        <w:rPr>
          <w:rFonts w:ascii="Arial" w:hAnsi="Arial" w:cs="Arial"/>
          <w:color w:val="000000"/>
          <w:sz w:val="22"/>
          <w:szCs w:val="22"/>
        </w:rPr>
        <w:t>13.5%</w:t>
      </w:r>
      <w:r w:rsidR="00E00F4B">
        <w:rPr>
          <w:rFonts w:ascii="Arial" w:hAnsi="Arial" w:cs="Arial"/>
          <w:color w:val="000000"/>
          <w:sz w:val="22"/>
          <w:szCs w:val="22"/>
        </w:rPr>
        <w:t xml:space="preserve"> </w:t>
      </w:r>
      <w:r w:rsidR="001838F2">
        <w:rPr>
          <w:rFonts w:ascii="Arial" w:hAnsi="Arial" w:cs="Arial"/>
          <w:color w:val="000000"/>
          <w:sz w:val="22"/>
          <w:szCs w:val="22"/>
        </w:rPr>
        <w:t xml:space="preserve">decrease </w:t>
      </w:r>
      <w:r w:rsidR="00E00F4B">
        <w:rPr>
          <w:rFonts w:ascii="Arial" w:hAnsi="Arial" w:cs="Arial"/>
          <w:color w:val="000000"/>
          <w:sz w:val="22"/>
          <w:szCs w:val="22"/>
        </w:rPr>
        <w:t>on</w:t>
      </w:r>
      <w:r w:rsidR="000D62DE">
        <w:rPr>
          <w:rFonts w:ascii="Arial" w:hAnsi="Arial" w:cs="Arial"/>
          <w:color w:val="000000"/>
          <w:sz w:val="22"/>
          <w:szCs w:val="22"/>
        </w:rPr>
        <w:t xml:space="preserve"> the same quarter of 2013.</w:t>
      </w:r>
    </w:p>
    <w:p w:rsidR="00FC5525" w:rsidRDefault="00FC5525" w:rsidP="00FC5525">
      <w:pPr>
        <w:pStyle w:val="BodyText"/>
        <w:tabs>
          <w:tab w:val="left" w:pos="450"/>
        </w:tabs>
        <w:spacing w:before="120" w:after="0" w:line="276" w:lineRule="auto"/>
        <w:rPr>
          <w:rFonts w:ascii="Arial" w:hAnsi="Arial" w:cs="Arial"/>
          <w:sz w:val="22"/>
          <w:szCs w:val="22"/>
        </w:rPr>
      </w:pPr>
      <w:r w:rsidRPr="00B67B2A">
        <w:rPr>
          <w:rFonts w:ascii="Arial" w:hAnsi="Arial" w:cs="Arial"/>
          <w:sz w:val="22"/>
          <w:szCs w:val="22"/>
        </w:rPr>
        <w:t xml:space="preserve">The peak in the number of companies entering creditors’ voluntary liquidation following administration was seen in 2010. This is in contrast to the peak of liquidations as a first insolvency procedure, which was in 2009. This is </w:t>
      </w:r>
      <w:r w:rsidR="008323D1" w:rsidRPr="00B67B2A">
        <w:rPr>
          <w:rFonts w:ascii="Arial" w:hAnsi="Arial" w:cs="Arial"/>
          <w:sz w:val="22"/>
          <w:szCs w:val="22"/>
        </w:rPr>
        <w:t xml:space="preserve">because </w:t>
      </w:r>
      <w:r w:rsidRPr="00B67B2A">
        <w:rPr>
          <w:rFonts w:ascii="Arial" w:hAnsi="Arial" w:cs="Arial"/>
          <w:sz w:val="22"/>
          <w:szCs w:val="22"/>
        </w:rPr>
        <w:t xml:space="preserve">the </w:t>
      </w:r>
      <w:r w:rsidR="008323D1" w:rsidRPr="00B67B2A">
        <w:rPr>
          <w:rFonts w:ascii="Arial" w:hAnsi="Arial" w:cs="Arial"/>
          <w:sz w:val="22"/>
          <w:szCs w:val="22"/>
        </w:rPr>
        <w:t xml:space="preserve">usual </w:t>
      </w:r>
      <w:r w:rsidRPr="00B67B2A">
        <w:rPr>
          <w:rFonts w:ascii="Arial" w:hAnsi="Arial" w:cs="Arial"/>
          <w:sz w:val="22"/>
          <w:szCs w:val="22"/>
        </w:rPr>
        <w:t xml:space="preserve">length of an administration </w:t>
      </w:r>
      <w:r w:rsidR="008323D1" w:rsidRPr="00B67B2A">
        <w:rPr>
          <w:rFonts w:ascii="Arial" w:hAnsi="Arial" w:cs="Arial"/>
          <w:sz w:val="22"/>
          <w:szCs w:val="22"/>
        </w:rPr>
        <w:t xml:space="preserve">is </w:t>
      </w:r>
      <w:r w:rsidRPr="00B67B2A">
        <w:rPr>
          <w:rFonts w:ascii="Arial" w:hAnsi="Arial" w:cs="Arial"/>
          <w:sz w:val="22"/>
          <w:szCs w:val="22"/>
        </w:rPr>
        <w:t>one year</w:t>
      </w:r>
      <w:r w:rsidR="008323D1" w:rsidRPr="00B67B2A">
        <w:rPr>
          <w:rFonts w:ascii="Arial" w:hAnsi="Arial" w:cs="Arial"/>
          <w:sz w:val="22"/>
          <w:szCs w:val="22"/>
        </w:rPr>
        <w:t xml:space="preserve"> (though it can be extended for a further six months), and</w:t>
      </w:r>
      <w:r w:rsidRPr="00B67B2A">
        <w:rPr>
          <w:rFonts w:ascii="Arial" w:hAnsi="Arial" w:cs="Arial"/>
          <w:sz w:val="22"/>
          <w:szCs w:val="22"/>
        </w:rPr>
        <w:t xml:space="preserve"> </w:t>
      </w:r>
      <w:r w:rsidR="008323D1" w:rsidRPr="00B67B2A">
        <w:rPr>
          <w:rFonts w:ascii="Arial" w:hAnsi="Arial" w:cs="Arial"/>
          <w:sz w:val="22"/>
          <w:szCs w:val="22"/>
        </w:rPr>
        <w:t>t</w:t>
      </w:r>
      <w:r w:rsidRPr="00B67B2A">
        <w:rPr>
          <w:rFonts w:ascii="Arial" w:hAnsi="Arial" w:cs="Arial"/>
          <w:sz w:val="22"/>
          <w:szCs w:val="22"/>
        </w:rPr>
        <w:t xml:space="preserve">he </w:t>
      </w:r>
      <w:r w:rsidR="001A557C">
        <w:rPr>
          <w:rFonts w:ascii="Arial" w:hAnsi="Arial" w:cs="Arial"/>
          <w:sz w:val="22"/>
          <w:szCs w:val="22"/>
        </w:rPr>
        <w:t xml:space="preserve">number </w:t>
      </w:r>
      <w:r w:rsidRPr="00B67B2A">
        <w:rPr>
          <w:rFonts w:ascii="Arial" w:hAnsi="Arial" w:cs="Arial"/>
          <w:sz w:val="22"/>
          <w:szCs w:val="22"/>
        </w:rPr>
        <w:t xml:space="preserve">of administrations </w:t>
      </w:r>
      <w:r w:rsidR="001A557C">
        <w:rPr>
          <w:rFonts w:ascii="Arial" w:hAnsi="Arial" w:cs="Arial"/>
          <w:sz w:val="22"/>
          <w:szCs w:val="22"/>
        </w:rPr>
        <w:t xml:space="preserve">peaked </w:t>
      </w:r>
      <w:r w:rsidRPr="00B67B2A">
        <w:rPr>
          <w:rFonts w:ascii="Arial" w:hAnsi="Arial" w:cs="Arial"/>
          <w:sz w:val="22"/>
          <w:szCs w:val="22"/>
        </w:rPr>
        <w:t>in 2009 (section 2.2)</w:t>
      </w:r>
      <w:r w:rsidR="008323D1" w:rsidRPr="00B67B2A">
        <w:rPr>
          <w:rFonts w:ascii="Arial" w:hAnsi="Arial" w:cs="Arial"/>
          <w:sz w:val="22"/>
          <w:szCs w:val="22"/>
        </w:rPr>
        <w:t>.</w:t>
      </w:r>
    </w:p>
    <w:p w:rsidR="00AA4F9A" w:rsidRDefault="00AA4F9A" w:rsidP="000D62DE">
      <w:pPr>
        <w:spacing w:line="276" w:lineRule="auto"/>
        <w:rPr>
          <w:rFonts w:ascii="Arial" w:hAnsi="Arial" w:cs="Arial"/>
          <w:color w:val="000000"/>
          <w:sz w:val="22"/>
          <w:szCs w:val="22"/>
        </w:rPr>
      </w:pPr>
    </w:p>
    <w:p w:rsidR="00AA4F9A" w:rsidRDefault="00AA4F9A" w:rsidP="000D62DE">
      <w:pPr>
        <w:spacing w:line="276" w:lineRule="auto"/>
        <w:rPr>
          <w:rFonts w:ascii="Arial" w:hAnsi="Arial" w:cs="Arial"/>
          <w:color w:val="000000"/>
          <w:sz w:val="22"/>
          <w:szCs w:val="22"/>
        </w:rPr>
      </w:pPr>
    </w:p>
    <w:p w:rsidR="000D62DE" w:rsidRDefault="000D62DE" w:rsidP="00CC0E45">
      <w:pPr>
        <w:pStyle w:val="BodyText"/>
        <w:tabs>
          <w:tab w:val="left" w:pos="450"/>
        </w:tabs>
        <w:spacing w:before="120" w:after="0" w:line="276" w:lineRule="auto"/>
        <w:rPr>
          <w:rFonts w:ascii="Arial" w:hAnsi="Arial" w:cs="Arial"/>
          <w:sz w:val="22"/>
          <w:szCs w:val="22"/>
        </w:rPr>
      </w:pPr>
    </w:p>
    <w:p w:rsidR="000D62DE" w:rsidRDefault="000D62DE" w:rsidP="00CC0E45">
      <w:pPr>
        <w:pStyle w:val="BodyText"/>
        <w:tabs>
          <w:tab w:val="left" w:pos="450"/>
        </w:tabs>
        <w:spacing w:before="120" w:after="0" w:line="276" w:lineRule="auto"/>
        <w:rPr>
          <w:rFonts w:ascii="Arial" w:hAnsi="Arial" w:cs="Arial"/>
          <w:sz w:val="22"/>
          <w:szCs w:val="22"/>
        </w:rPr>
      </w:pPr>
    </w:p>
    <w:p w:rsidR="00865335" w:rsidRDefault="00865335" w:rsidP="00CC0E45">
      <w:pPr>
        <w:pStyle w:val="BodyText"/>
        <w:tabs>
          <w:tab w:val="left" w:pos="450"/>
        </w:tabs>
        <w:spacing w:before="120" w:after="0" w:line="276" w:lineRule="auto"/>
        <w:rPr>
          <w:rFonts w:ascii="Arial" w:hAnsi="Arial" w:cs="Arial"/>
          <w:sz w:val="22"/>
          <w:szCs w:val="22"/>
        </w:rPr>
      </w:pPr>
    </w:p>
    <w:p w:rsidR="009E7A28" w:rsidRPr="00155F9D" w:rsidRDefault="009E7A28" w:rsidP="00F51A28">
      <w:pPr>
        <w:pageBreakBefore/>
        <w:spacing w:after="120" w:line="276" w:lineRule="auto"/>
        <w:rPr>
          <w:rFonts w:ascii="Arial" w:hAnsi="Arial" w:cs="Arial"/>
          <w:i/>
          <w:color w:val="000000"/>
          <w:sz w:val="22"/>
          <w:szCs w:val="22"/>
        </w:rPr>
      </w:pPr>
      <w:r w:rsidRPr="00155F9D">
        <w:rPr>
          <w:rFonts w:ascii="Arial" w:hAnsi="Arial" w:cs="Arial"/>
          <w:i/>
          <w:color w:val="000000"/>
          <w:sz w:val="22"/>
          <w:szCs w:val="22"/>
        </w:rPr>
        <w:lastRenderedPageBreak/>
        <w:t>Longer-term perspective</w:t>
      </w:r>
    </w:p>
    <w:p w:rsidR="009E7A28" w:rsidRDefault="009E7A28" w:rsidP="009E7A28">
      <w:pPr>
        <w:tabs>
          <w:tab w:val="left" w:pos="965"/>
        </w:tabs>
        <w:spacing w:before="120" w:line="276" w:lineRule="auto"/>
        <w:rPr>
          <w:rFonts w:ascii="Arial" w:hAnsi="Arial" w:cs="Arial"/>
          <w:color w:val="000000"/>
          <w:sz w:val="22"/>
          <w:szCs w:val="22"/>
        </w:rPr>
      </w:pPr>
      <w:r w:rsidRPr="00155F9D">
        <w:rPr>
          <w:rFonts w:ascii="Arial" w:hAnsi="Arial" w:cs="Arial"/>
          <w:color w:val="000000"/>
          <w:sz w:val="22"/>
          <w:szCs w:val="22"/>
        </w:rPr>
        <w:t>Company liquidations may be expressed as the percentage of active companies, as this takes into account changes over time in the underlying population</w:t>
      </w:r>
      <w:r>
        <w:rPr>
          <w:rFonts w:ascii="Arial" w:hAnsi="Arial" w:cs="Arial"/>
          <w:color w:val="000000"/>
          <w:sz w:val="22"/>
          <w:szCs w:val="22"/>
        </w:rPr>
        <w:t>. As liquidation is a final procedure, meaning there is no risk of double counting companies, creditors’ voluntary liquidations following administration are included in the total liquidation rate.</w:t>
      </w:r>
    </w:p>
    <w:p w:rsidR="00AB1045" w:rsidRDefault="00AB1045" w:rsidP="009E7A28">
      <w:pPr>
        <w:tabs>
          <w:tab w:val="left" w:pos="965"/>
        </w:tabs>
        <w:spacing w:before="120" w:line="276" w:lineRule="auto"/>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F76BFB" w:rsidTr="000076CB">
        <w:tc>
          <w:tcPr>
            <w:tcW w:w="5353" w:type="dxa"/>
          </w:tcPr>
          <w:p w:rsidR="00F76BFB" w:rsidRPr="00DC384B" w:rsidRDefault="00F76BFB" w:rsidP="00F76BFB">
            <w:pPr>
              <w:tabs>
                <w:tab w:val="left" w:pos="965"/>
              </w:tabs>
              <w:spacing w:before="120" w:after="120" w:line="276" w:lineRule="auto"/>
              <w:jc w:val="center"/>
              <w:rPr>
                <w:rFonts w:ascii="Arial" w:hAnsi="Arial" w:cs="Arial"/>
                <w:color w:val="000000"/>
                <w:sz w:val="22"/>
                <w:szCs w:val="22"/>
              </w:rPr>
            </w:pPr>
            <w:r w:rsidRPr="00DC384B">
              <w:rPr>
                <w:rFonts w:ascii="Arial" w:hAnsi="Arial" w:cs="Arial"/>
                <w:b/>
                <w:color w:val="000000"/>
                <w:sz w:val="22"/>
                <w:szCs w:val="22"/>
              </w:rPr>
              <w:t xml:space="preserve">Figure </w:t>
            </w:r>
            <w:r w:rsidR="00791A86">
              <w:rPr>
                <w:rFonts w:ascii="Arial" w:hAnsi="Arial" w:cs="Arial"/>
                <w:b/>
                <w:color w:val="000000"/>
                <w:sz w:val="22"/>
                <w:szCs w:val="22"/>
              </w:rPr>
              <w:t>5</w:t>
            </w:r>
            <w:r w:rsidRPr="00DC384B">
              <w:rPr>
                <w:rFonts w:ascii="Arial" w:hAnsi="Arial" w:cs="Arial"/>
                <w:b/>
                <w:color w:val="000000"/>
                <w:sz w:val="22"/>
                <w:szCs w:val="22"/>
              </w:rPr>
              <w:t>: Company liquidation rate in England and Wales</w:t>
            </w:r>
            <w:r w:rsidRPr="00DC384B">
              <w:rPr>
                <w:rFonts w:ascii="Arial" w:hAnsi="Arial" w:cs="Arial"/>
                <w:color w:val="000000"/>
                <w:sz w:val="22"/>
                <w:szCs w:val="22"/>
              </w:rPr>
              <w:t xml:space="preserve"> </w:t>
            </w:r>
            <w:r w:rsidR="00361B36">
              <w:rPr>
                <w:rFonts w:ascii="Arial" w:hAnsi="Arial" w:cs="Arial"/>
                <w:color w:val="000000"/>
                <w:sz w:val="22"/>
                <w:szCs w:val="22"/>
              </w:rPr>
              <w:t xml:space="preserve">                </w:t>
            </w:r>
            <w:r w:rsidRPr="00DC384B">
              <w:rPr>
                <w:rFonts w:ascii="Arial" w:hAnsi="Arial" w:cs="Arial"/>
                <w:color w:val="000000"/>
                <w:sz w:val="22"/>
                <w:szCs w:val="22"/>
              </w:rPr>
              <w:t>(rolling 12-month rates)</w:t>
            </w:r>
          </w:p>
          <w:p w:rsidR="00F76BFB" w:rsidRDefault="00B538CE" w:rsidP="00F76BFB">
            <w:pPr>
              <w:pStyle w:val="BodyText"/>
              <w:tabs>
                <w:tab w:val="left" w:pos="450"/>
              </w:tabs>
              <w:spacing w:before="120" w:after="0" w:line="276" w:lineRule="auto"/>
              <w:rPr>
                <w:rFonts w:ascii="Arial" w:hAnsi="Arial" w:cs="Arial"/>
                <w:sz w:val="22"/>
                <w:szCs w:val="22"/>
              </w:rPr>
            </w:pPr>
            <w:r>
              <w:rPr>
                <w:rFonts w:ascii="Arial" w:hAnsi="Arial" w:cs="Arial"/>
                <w:noProof/>
                <w:sz w:val="22"/>
                <w:szCs w:val="22"/>
                <w:lang w:eastAsia="en-GB"/>
              </w:rPr>
              <w:drawing>
                <wp:inline distT="0" distB="0" distL="0" distR="0" wp14:anchorId="34EB0980" wp14:editId="37D8471F">
                  <wp:extent cx="4667250" cy="3238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rsidR="00361B36" w:rsidRPr="000B6473" w:rsidRDefault="00F76BFB" w:rsidP="00592AE2">
            <w:pPr>
              <w:tabs>
                <w:tab w:val="left" w:pos="965"/>
              </w:tabs>
              <w:spacing w:after="60"/>
              <w:rPr>
                <w:rFonts w:ascii="Arial" w:hAnsi="Arial" w:cs="Arial"/>
                <w:sz w:val="18"/>
                <w:szCs w:val="18"/>
              </w:rPr>
            </w:pPr>
            <w:r w:rsidRPr="000B6473">
              <w:rPr>
                <w:rFonts w:ascii="Arial" w:hAnsi="Arial" w:cs="Arial"/>
                <w:sz w:val="18"/>
                <w:szCs w:val="18"/>
              </w:rPr>
              <w:t>Source: Insolvency Service and Companies House.</w:t>
            </w:r>
          </w:p>
          <w:p w:rsidR="00F76BFB" w:rsidRPr="00361B36" w:rsidRDefault="00F76BFB" w:rsidP="00592AE2">
            <w:pPr>
              <w:spacing w:after="60"/>
            </w:pPr>
            <w:r w:rsidRPr="000B6473">
              <w:rPr>
                <w:rFonts w:ascii="Arial" w:hAnsi="Arial" w:cs="Arial"/>
                <w:color w:val="000000"/>
                <w:sz w:val="18"/>
                <w:szCs w:val="18"/>
              </w:rPr>
              <w:t>See Table 7 of the accompanying Excel file for more detail</w:t>
            </w:r>
            <w:r w:rsidR="00A906D5" w:rsidRPr="000B6473">
              <w:rPr>
                <w:rFonts w:ascii="Arial" w:hAnsi="Arial" w:cs="Arial"/>
                <w:color w:val="000000"/>
                <w:sz w:val="18"/>
                <w:szCs w:val="18"/>
              </w:rPr>
              <w:t>.</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F76BFB" w:rsidRDefault="00F76BFB" w:rsidP="00F76BFB">
            <w:pPr>
              <w:tabs>
                <w:tab w:val="left" w:pos="965"/>
              </w:tabs>
              <w:spacing w:before="120" w:line="276" w:lineRule="auto"/>
              <w:rPr>
                <w:rFonts w:ascii="Arial" w:hAnsi="Arial" w:cs="Arial"/>
                <w:color w:val="000000" w:themeColor="text1"/>
                <w:sz w:val="18"/>
                <w:szCs w:val="18"/>
              </w:rPr>
            </w:pPr>
            <w:r>
              <w:rPr>
                <w:rFonts w:ascii="Arial" w:hAnsi="Arial" w:cs="Arial"/>
                <w:b/>
                <w:color w:val="000000" w:themeColor="text1"/>
                <w:sz w:val="18"/>
                <w:szCs w:val="18"/>
              </w:rPr>
              <w:t>Liquidation rate</w:t>
            </w:r>
            <w:r>
              <w:rPr>
                <w:rFonts w:ascii="Arial" w:hAnsi="Arial" w:cs="Arial"/>
                <w:color w:val="000000" w:themeColor="text1"/>
                <w:sz w:val="18"/>
                <w:szCs w:val="18"/>
              </w:rPr>
              <w:t xml:space="preserve"> – the</w:t>
            </w:r>
            <w:r w:rsidR="00592AE2">
              <w:rPr>
                <w:rFonts w:ascii="Arial" w:hAnsi="Arial" w:cs="Arial"/>
                <w:color w:val="000000" w:themeColor="text1"/>
                <w:sz w:val="18"/>
                <w:szCs w:val="18"/>
              </w:rPr>
              <w:t xml:space="preserve"> number of</w:t>
            </w:r>
            <w:r>
              <w:rPr>
                <w:rFonts w:ascii="Arial" w:hAnsi="Arial" w:cs="Arial"/>
                <w:color w:val="000000" w:themeColor="text1"/>
                <w:sz w:val="18"/>
                <w:szCs w:val="18"/>
              </w:rPr>
              <w:t xml:space="preserve"> </w:t>
            </w:r>
            <w:r w:rsidRPr="00F76BFB">
              <w:rPr>
                <w:rFonts w:ascii="Arial" w:hAnsi="Arial" w:cs="Arial"/>
                <w:color w:val="000000" w:themeColor="text1"/>
                <w:sz w:val="18"/>
                <w:szCs w:val="18"/>
              </w:rPr>
              <w:t xml:space="preserve">company liquidations in the latest twelve month period divided by the average number of </w:t>
            </w:r>
            <w:r>
              <w:rPr>
                <w:rFonts w:ascii="Arial" w:hAnsi="Arial" w:cs="Arial"/>
                <w:color w:val="000000" w:themeColor="text1"/>
                <w:sz w:val="18"/>
                <w:szCs w:val="18"/>
              </w:rPr>
              <w:t xml:space="preserve">active </w:t>
            </w:r>
            <w:r w:rsidRPr="00F76BFB">
              <w:rPr>
                <w:rFonts w:ascii="Arial" w:hAnsi="Arial" w:cs="Arial"/>
                <w:color w:val="000000" w:themeColor="text1"/>
                <w:sz w:val="18"/>
                <w:szCs w:val="18"/>
              </w:rPr>
              <w:t>companies in that period</w:t>
            </w:r>
            <w:r>
              <w:rPr>
                <w:rFonts w:ascii="Arial" w:hAnsi="Arial" w:cs="Arial"/>
                <w:color w:val="000000" w:themeColor="text1"/>
                <w:sz w:val="18"/>
                <w:szCs w:val="18"/>
              </w:rPr>
              <w:t>.</w:t>
            </w:r>
          </w:p>
          <w:p w:rsidR="00F76BFB" w:rsidRDefault="00F76BFB" w:rsidP="00F76BFB">
            <w:pPr>
              <w:tabs>
                <w:tab w:val="left" w:pos="965"/>
              </w:tabs>
              <w:spacing w:before="120" w:line="276" w:lineRule="auto"/>
              <w:rPr>
                <w:rFonts w:ascii="Arial" w:hAnsi="Arial" w:cs="Arial"/>
                <w:color w:val="000000" w:themeColor="text1"/>
                <w:sz w:val="18"/>
                <w:szCs w:val="18"/>
              </w:rPr>
            </w:pPr>
            <w:r>
              <w:rPr>
                <w:rFonts w:ascii="Arial" w:hAnsi="Arial" w:cs="Arial"/>
                <w:b/>
                <w:color w:val="000000" w:themeColor="text1"/>
                <w:sz w:val="18"/>
                <w:szCs w:val="18"/>
              </w:rPr>
              <w:t>Active companies</w:t>
            </w:r>
            <w:r>
              <w:rPr>
                <w:rFonts w:ascii="Arial" w:hAnsi="Arial" w:cs="Arial"/>
                <w:color w:val="000000" w:themeColor="text1"/>
                <w:sz w:val="18"/>
                <w:szCs w:val="18"/>
              </w:rPr>
              <w:t xml:space="preserve"> – all companies which are registered at </w:t>
            </w:r>
            <w:hyperlink r:id="rId20" w:history="1">
              <w:r w:rsidRPr="00361B36">
                <w:rPr>
                  <w:rStyle w:val="Hyperlink"/>
                  <w:rFonts w:ascii="Arial" w:hAnsi="Arial" w:cs="Arial"/>
                  <w:sz w:val="18"/>
                  <w:szCs w:val="18"/>
                </w:rPr>
                <w:t>Companies House</w:t>
              </w:r>
            </w:hyperlink>
            <w:r>
              <w:rPr>
                <w:rFonts w:ascii="Arial" w:hAnsi="Arial" w:cs="Arial"/>
                <w:color w:val="000000" w:themeColor="text1"/>
                <w:sz w:val="18"/>
                <w:szCs w:val="18"/>
              </w:rPr>
              <w:t>, minus those in the process of dissolution or liquidation</w:t>
            </w:r>
            <w:r w:rsidR="00361B36">
              <w:rPr>
                <w:rFonts w:ascii="Arial" w:hAnsi="Arial" w:cs="Arial"/>
                <w:color w:val="000000" w:themeColor="text1"/>
                <w:sz w:val="18"/>
                <w:szCs w:val="18"/>
              </w:rPr>
              <w:t>.</w:t>
            </w:r>
          </w:p>
          <w:p w:rsidR="00361B36" w:rsidRDefault="00361B36" w:rsidP="00361B36">
            <w:pPr>
              <w:tabs>
                <w:tab w:val="left" w:pos="965"/>
              </w:tabs>
              <w:spacing w:before="120" w:line="276" w:lineRule="auto"/>
              <w:rPr>
                <w:rFonts w:ascii="Arial" w:hAnsi="Arial" w:cs="Arial"/>
                <w:color w:val="000000" w:themeColor="text1"/>
                <w:sz w:val="18"/>
                <w:szCs w:val="18"/>
              </w:rPr>
            </w:pPr>
            <w:r w:rsidRPr="00361B36">
              <w:rPr>
                <w:rFonts w:ascii="Arial" w:hAnsi="Arial" w:cs="Arial"/>
                <w:color w:val="000000" w:themeColor="text1"/>
                <w:sz w:val="18"/>
                <w:szCs w:val="18"/>
              </w:rPr>
              <w:t>The number of active companies has changed considerably over this period: there were 2.</w:t>
            </w:r>
            <w:r w:rsidR="000E297E">
              <w:rPr>
                <w:rFonts w:ascii="Arial" w:hAnsi="Arial" w:cs="Arial"/>
                <w:color w:val="000000" w:themeColor="text1"/>
                <w:sz w:val="18"/>
                <w:szCs w:val="18"/>
              </w:rPr>
              <w:t>8</w:t>
            </w:r>
            <w:r w:rsidR="000E297E" w:rsidRPr="00361B36">
              <w:rPr>
                <w:rFonts w:ascii="Arial" w:hAnsi="Arial" w:cs="Arial"/>
                <w:color w:val="000000" w:themeColor="text1"/>
                <w:sz w:val="18"/>
                <w:szCs w:val="18"/>
              </w:rPr>
              <w:t xml:space="preserve"> </w:t>
            </w:r>
            <w:r w:rsidRPr="00361B36">
              <w:rPr>
                <w:rFonts w:ascii="Arial" w:hAnsi="Arial" w:cs="Arial"/>
                <w:color w:val="000000" w:themeColor="text1"/>
                <w:sz w:val="18"/>
                <w:szCs w:val="18"/>
              </w:rPr>
              <w:t xml:space="preserve">million active registered companies in </w:t>
            </w:r>
            <w:r w:rsidR="000E297E" w:rsidRPr="00361B36">
              <w:rPr>
                <w:rFonts w:ascii="Arial" w:hAnsi="Arial" w:cs="Arial"/>
                <w:color w:val="000000" w:themeColor="text1"/>
                <w:sz w:val="18"/>
                <w:szCs w:val="18"/>
              </w:rPr>
              <w:t>Q</w:t>
            </w:r>
            <w:r w:rsidR="000E297E">
              <w:rPr>
                <w:rFonts w:ascii="Arial" w:hAnsi="Arial" w:cs="Arial"/>
                <w:color w:val="000000" w:themeColor="text1"/>
                <w:sz w:val="18"/>
                <w:szCs w:val="18"/>
              </w:rPr>
              <w:t>2</w:t>
            </w:r>
            <w:r w:rsidR="000E297E" w:rsidRPr="00361B36">
              <w:rPr>
                <w:rFonts w:ascii="Arial" w:hAnsi="Arial" w:cs="Arial"/>
                <w:color w:val="000000" w:themeColor="text1"/>
                <w:sz w:val="18"/>
                <w:szCs w:val="18"/>
              </w:rPr>
              <w:t xml:space="preserve"> </w:t>
            </w:r>
            <w:r w:rsidRPr="00361B36">
              <w:rPr>
                <w:rFonts w:ascii="Arial" w:hAnsi="Arial" w:cs="Arial"/>
                <w:color w:val="000000" w:themeColor="text1"/>
                <w:sz w:val="18"/>
                <w:szCs w:val="18"/>
              </w:rPr>
              <w:t xml:space="preserve">2014; this compares with only about 900,000 in the early 1990s </w:t>
            </w:r>
            <w:r>
              <w:rPr>
                <w:rFonts w:ascii="Arial" w:hAnsi="Arial" w:cs="Arial"/>
                <w:color w:val="000000" w:themeColor="text1"/>
                <w:sz w:val="18"/>
                <w:szCs w:val="18"/>
              </w:rPr>
              <w:t>and fewer than 800,000 in 1986.</w:t>
            </w:r>
          </w:p>
          <w:p w:rsidR="00592AE2" w:rsidRPr="00361B36" w:rsidRDefault="00592AE2" w:rsidP="00A906D5">
            <w:pPr>
              <w:tabs>
                <w:tab w:val="left" w:pos="965"/>
              </w:tabs>
              <w:spacing w:before="120" w:line="276" w:lineRule="auto"/>
              <w:rPr>
                <w:rFonts w:ascii="Arial" w:hAnsi="Arial" w:cs="Arial"/>
                <w:color w:val="000000" w:themeColor="text1"/>
                <w:sz w:val="18"/>
                <w:szCs w:val="18"/>
              </w:rPr>
            </w:pPr>
          </w:p>
        </w:tc>
      </w:tr>
    </w:tbl>
    <w:p w:rsidR="00592AE2" w:rsidRPr="00592AE2" w:rsidRDefault="00592AE2" w:rsidP="00C8419B">
      <w:pPr>
        <w:pStyle w:val="BodyText"/>
        <w:tabs>
          <w:tab w:val="left" w:pos="450"/>
        </w:tabs>
        <w:spacing w:before="240" w:after="0" w:line="276" w:lineRule="auto"/>
        <w:rPr>
          <w:rFonts w:ascii="Arial" w:hAnsi="Arial" w:cs="Arial"/>
          <w:color w:val="000000"/>
          <w:sz w:val="22"/>
          <w:szCs w:val="22"/>
        </w:rPr>
      </w:pPr>
      <w:r w:rsidRPr="00592AE2">
        <w:rPr>
          <w:rFonts w:ascii="Arial" w:hAnsi="Arial" w:cs="Arial"/>
          <w:color w:val="000000"/>
          <w:sz w:val="22"/>
          <w:szCs w:val="22"/>
        </w:rPr>
        <w:t>In the 12 months ending Q</w:t>
      </w:r>
      <w:r w:rsidR="00F212D8">
        <w:rPr>
          <w:rFonts w:ascii="Arial" w:hAnsi="Arial" w:cs="Arial"/>
          <w:color w:val="000000"/>
          <w:sz w:val="22"/>
          <w:szCs w:val="22"/>
        </w:rPr>
        <w:t xml:space="preserve">2 2014, 1 in </w:t>
      </w:r>
      <w:r w:rsidR="00F42278">
        <w:rPr>
          <w:rFonts w:ascii="Arial" w:hAnsi="Arial" w:cs="Arial"/>
          <w:color w:val="000000"/>
          <w:sz w:val="22"/>
          <w:szCs w:val="22"/>
        </w:rPr>
        <w:t>177</w:t>
      </w:r>
      <w:r w:rsidR="00F42278" w:rsidRPr="00592AE2">
        <w:rPr>
          <w:rFonts w:ascii="Arial" w:hAnsi="Arial" w:cs="Arial"/>
          <w:color w:val="000000"/>
          <w:sz w:val="22"/>
          <w:szCs w:val="22"/>
        </w:rPr>
        <w:t xml:space="preserve"> </w:t>
      </w:r>
      <w:r w:rsidRPr="00592AE2">
        <w:rPr>
          <w:rFonts w:ascii="Arial" w:hAnsi="Arial" w:cs="Arial"/>
          <w:color w:val="000000"/>
          <w:sz w:val="22"/>
          <w:szCs w:val="22"/>
        </w:rPr>
        <w:t>active companies (or 0.</w:t>
      </w:r>
      <w:r w:rsidR="002B7C0B">
        <w:rPr>
          <w:rFonts w:ascii="Arial" w:hAnsi="Arial" w:cs="Arial"/>
          <w:color w:val="000000"/>
          <w:sz w:val="22"/>
          <w:szCs w:val="22"/>
        </w:rPr>
        <w:t>5</w:t>
      </w:r>
      <w:r w:rsidR="00F212D8">
        <w:rPr>
          <w:rFonts w:ascii="Arial" w:hAnsi="Arial" w:cs="Arial"/>
          <w:color w:val="000000"/>
          <w:sz w:val="22"/>
          <w:szCs w:val="22"/>
        </w:rPr>
        <w:t>6</w:t>
      </w:r>
      <w:r w:rsidRPr="00592AE2">
        <w:rPr>
          <w:rFonts w:ascii="Arial" w:hAnsi="Arial" w:cs="Arial"/>
          <w:color w:val="000000"/>
          <w:sz w:val="22"/>
          <w:szCs w:val="22"/>
        </w:rPr>
        <w:t>% of all active companies) went int</w:t>
      </w:r>
      <w:r w:rsidR="00F212D8">
        <w:rPr>
          <w:rFonts w:ascii="Arial" w:hAnsi="Arial" w:cs="Arial"/>
          <w:color w:val="000000"/>
          <w:sz w:val="22"/>
          <w:szCs w:val="22"/>
        </w:rPr>
        <w:t>o liquidation, down from 1 in 167 in the 12 months ending Q1 2014</w:t>
      </w:r>
      <w:r w:rsidRPr="00592AE2">
        <w:rPr>
          <w:rFonts w:ascii="Arial" w:hAnsi="Arial" w:cs="Arial"/>
          <w:color w:val="000000"/>
          <w:sz w:val="22"/>
          <w:szCs w:val="22"/>
        </w:rPr>
        <w:t>.</w:t>
      </w:r>
      <w:r w:rsidR="0046136D">
        <w:rPr>
          <w:rFonts w:ascii="Arial" w:hAnsi="Arial" w:cs="Arial"/>
          <w:color w:val="000000"/>
          <w:sz w:val="22"/>
          <w:szCs w:val="22"/>
        </w:rPr>
        <w:t xml:space="preserve"> The downward trend in the rates from 2011 continue</w:t>
      </w:r>
      <w:r w:rsidR="003D5600">
        <w:rPr>
          <w:rFonts w:ascii="Arial" w:hAnsi="Arial" w:cs="Arial"/>
          <w:color w:val="000000"/>
          <w:sz w:val="22"/>
          <w:szCs w:val="22"/>
        </w:rPr>
        <w:t>d</w:t>
      </w:r>
      <w:r w:rsidR="00070001">
        <w:rPr>
          <w:rFonts w:ascii="Arial" w:hAnsi="Arial" w:cs="Arial"/>
          <w:color w:val="000000"/>
          <w:sz w:val="22"/>
          <w:szCs w:val="22"/>
        </w:rPr>
        <w:t>.</w:t>
      </w:r>
      <w:r w:rsidR="00A339C8">
        <w:rPr>
          <w:rFonts w:ascii="Arial" w:hAnsi="Arial" w:cs="Arial"/>
          <w:color w:val="000000"/>
          <w:sz w:val="22"/>
          <w:szCs w:val="22"/>
        </w:rPr>
        <w:t xml:space="preserve"> </w:t>
      </w:r>
      <w:r w:rsidR="0098136E">
        <w:rPr>
          <w:rFonts w:ascii="Arial" w:hAnsi="Arial" w:cs="Arial"/>
          <w:color w:val="000000"/>
          <w:sz w:val="22"/>
          <w:szCs w:val="22"/>
        </w:rPr>
        <w:t>T</w:t>
      </w:r>
      <w:r w:rsidR="00A339C8">
        <w:rPr>
          <w:rFonts w:ascii="Arial" w:hAnsi="Arial" w:cs="Arial"/>
          <w:color w:val="000000"/>
          <w:sz w:val="22"/>
          <w:szCs w:val="22"/>
        </w:rPr>
        <w:t xml:space="preserve">he liquidation rate </w:t>
      </w:r>
      <w:r w:rsidR="003D5600">
        <w:rPr>
          <w:rFonts w:ascii="Arial" w:hAnsi="Arial" w:cs="Arial"/>
          <w:color w:val="000000"/>
          <w:sz w:val="22"/>
          <w:szCs w:val="22"/>
        </w:rPr>
        <w:t>was</w:t>
      </w:r>
      <w:r w:rsidR="003D5600">
        <w:rPr>
          <w:rFonts w:ascii="Arial" w:hAnsi="Arial" w:cs="Arial"/>
          <w:color w:val="000000"/>
          <w:sz w:val="22"/>
          <w:szCs w:val="22"/>
        </w:rPr>
        <w:t xml:space="preserve"> </w:t>
      </w:r>
      <w:r w:rsidR="00A339C8">
        <w:rPr>
          <w:rFonts w:ascii="Arial" w:hAnsi="Arial" w:cs="Arial"/>
          <w:color w:val="000000"/>
          <w:sz w:val="22"/>
          <w:szCs w:val="22"/>
        </w:rPr>
        <w:t xml:space="preserve">at its lowest </w:t>
      </w:r>
      <w:r w:rsidR="00070001">
        <w:rPr>
          <w:rFonts w:ascii="Arial" w:hAnsi="Arial" w:cs="Arial"/>
          <w:color w:val="000000"/>
          <w:sz w:val="22"/>
          <w:szCs w:val="22"/>
        </w:rPr>
        <w:t xml:space="preserve">level </w:t>
      </w:r>
      <w:r w:rsidR="0098136E">
        <w:rPr>
          <w:rFonts w:ascii="Arial" w:hAnsi="Arial" w:cs="Arial"/>
          <w:color w:val="000000"/>
          <w:sz w:val="22"/>
          <w:szCs w:val="22"/>
        </w:rPr>
        <w:t>since</w:t>
      </w:r>
      <w:r w:rsidR="00070001">
        <w:rPr>
          <w:rFonts w:ascii="Arial" w:hAnsi="Arial" w:cs="Arial"/>
          <w:color w:val="000000"/>
          <w:sz w:val="22"/>
          <w:szCs w:val="22"/>
        </w:rPr>
        <w:t xml:space="preserve"> 1984, the </w:t>
      </w:r>
      <w:r w:rsidR="0098136E">
        <w:rPr>
          <w:rFonts w:ascii="Arial" w:hAnsi="Arial" w:cs="Arial"/>
          <w:color w:val="000000"/>
          <w:sz w:val="22"/>
          <w:szCs w:val="22"/>
        </w:rPr>
        <w:t>earliest date it is possible to calculate the rate.</w:t>
      </w:r>
    </w:p>
    <w:p w:rsidR="00592AE2" w:rsidRDefault="00592AE2" w:rsidP="00C8419B">
      <w:pPr>
        <w:pStyle w:val="BodyText"/>
        <w:tabs>
          <w:tab w:val="left" w:pos="450"/>
        </w:tabs>
        <w:spacing w:before="120" w:after="0" w:line="276" w:lineRule="auto"/>
        <w:rPr>
          <w:rFonts w:ascii="Arial" w:hAnsi="Arial" w:cs="Arial"/>
          <w:color w:val="000000"/>
          <w:sz w:val="22"/>
          <w:szCs w:val="22"/>
        </w:rPr>
      </w:pPr>
      <w:r w:rsidRPr="00592AE2">
        <w:rPr>
          <w:rFonts w:ascii="Arial" w:hAnsi="Arial" w:cs="Arial"/>
          <w:color w:val="000000"/>
          <w:sz w:val="22"/>
          <w:szCs w:val="22"/>
        </w:rPr>
        <w:t xml:space="preserve">Changes in company liquidation rates are related </w:t>
      </w:r>
      <w:r w:rsidR="00B74D69">
        <w:rPr>
          <w:rFonts w:ascii="Arial" w:hAnsi="Arial" w:cs="Arial"/>
          <w:color w:val="000000"/>
          <w:sz w:val="22"/>
          <w:szCs w:val="22"/>
        </w:rPr>
        <w:t xml:space="preserve">to </w:t>
      </w:r>
      <w:r w:rsidRPr="00592AE2">
        <w:rPr>
          <w:rFonts w:ascii="Arial" w:hAnsi="Arial" w:cs="Arial"/>
          <w:color w:val="000000"/>
          <w:sz w:val="22"/>
          <w:szCs w:val="22"/>
        </w:rPr>
        <w:t xml:space="preserve">economic </w:t>
      </w:r>
      <w:r w:rsidR="00B74D69">
        <w:rPr>
          <w:rFonts w:ascii="Arial" w:hAnsi="Arial" w:cs="Arial"/>
          <w:color w:val="000000"/>
          <w:sz w:val="22"/>
          <w:szCs w:val="22"/>
        </w:rPr>
        <w:t>conditions</w:t>
      </w:r>
      <w:r w:rsidRPr="00592AE2">
        <w:rPr>
          <w:rFonts w:ascii="Arial" w:hAnsi="Arial" w:cs="Arial"/>
          <w:color w:val="000000"/>
          <w:sz w:val="22"/>
          <w:szCs w:val="22"/>
        </w:rPr>
        <w:t xml:space="preserve">: in periods of </w:t>
      </w:r>
      <w:r w:rsidR="00B74D69">
        <w:rPr>
          <w:rFonts w:ascii="Arial" w:hAnsi="Arial" w:cs="Arial"/>
          <w:color w:val="000000"/>
          <w:sz w:val="22"/>
          <w:szCs w:val="22"/>
        </w:rPr>
        <w:t xml:space="preserve">economic </w:t>
      </w:r>
      <w:r w:rsidRPr="00592AE2">
        <w:rPr>
          <w:rFonts w:ascii="Arial" w:hAnsi="Arial" w:cs="Arial"/>
          <w:color w:val="000000"/>
          <w:sz w:val="22"/>
          <w:szCs w:val="22"/>
        </w:rPr>
        <w:t xml:space="preserve">growth, liquidation rates tend to decrease. </w:t>
      </w:r>
      <w:r w:rsidR="002975F8" w:rsidRPr="00C8419B">
        <w:rPr>
          <w:rFonts w:ascii="Arial" w:hAnsi="Arial" w:cs="Arial"/>
          <w:color w:val="000000"/>
          <w:sz w:val="22"/>
          <w:szCs w:val="22"/>
        </w:rPr>
        <w:t>The liquidation rate peaked at 2.6% (24,400 companies) in the year ending March 1993, over a year after the end of the 1990s recession. The next sustained increase in the rate coincided with the 2008-09 recession, when 0.9% (20,500 companies) entered liquidation in the year ending December 2009.</w:t>
      </w:r>
    </w:p>
    <w:p w:rsidR="00FC5525" w:rsidRPr="00C8419B" w:rsidRDefault="00FC5525" w:rsidP="00FC5525">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Although the number of liquidations was </w:t>
      </w:r>
      <w:r w:rsidR="002975F8" w:rsidRPr="00C8419B">
        <w:rPr>
          <w:rFonts w:ascii="Arial" w:hAnsi="Arial" w:cs="Arial"/>
          <w:color w:val="000000"/>
          <w:sz w:val="22"/>
          <w:szCs w:val="22"/>
        </w:rPr>
        <w:t xml:space="preserve">slightly </w:t>
      </w:r>
      <w:r w:rsidRPr="00C8419B">
        <w:rPr>
          <w:rFonts w:ascii="Arial" w:hAnsi="Arial" w:cs="Arial"/>
          <w:color w:val="000000"/>
          <w:sz w:val="22"/>
          <w:szCs w:val="22"/>
        </w:rPr>
        <w:t xml:space="preserve">higher in </w:t>
      </w:r>
      <w:r w:rsidR="002975F8" w:rsidRPr="00C8419B">
        <w:rPr>
          <w:rFonts w:ascii="Arial" w:hAnsi="Arial" w:cs="Arial"/>
          <w:color w:val="000000"/>
          <w:sz w:val="22"/>
          <w:szCs w:val="22"/>
        </w:rPr>
        <w:t xml:space="preserve">1993 </w:t>
      </w:r>
      <w:r w:rsidRPr="00C8419B">
        <w:rPr>
          <w:rFonts w:ascii="Arial" w:hAnsi="Arial" w:cs="Arial"/>
          <w:color w:val="000000"/>
          <w:sz w:val="22"/>
          <w:szCs w:val="22"/>
        </w:rPr>
        <w:t xml:space="preserve">than in </w:t>
      </w:r>
      <w:r w:rsidR="002975F8" w:rsidRPr="00C8419B">
        <w:rPr>
          <w:rFonts w:ascii="Arial" w:hAnsi="Arial" w:cs="Arial"/>
          <w:color w:val="000000"/>
          <w:sz w:val="22"/>
          <w:szCs w:val="22"/>
        </w:rPr>
        <w:t>2009</w:t>
      </w:r>
      <w:r w:rsidRPr="00C8419B">
        <w:rPr>
          <w:rFonts w:ascii="Arial" w:hAnsi="Arial" w:cs="Arial"/>
          <w:color w:val="000000"/>
          <w:sz w:val="22"/>
          <w:szCs w:val="22"/>
        </w:rPr>
        <w:t xml:space="preserve">, the rate of liquidations was </w:t>
      </w:r>
      <w:r w:rsidR="002975F8" w:rsidRPr="00C8419B">
        <w:rPr>
          <w:rFonts w:ascii="Arial" w:hAnsi="Arial" w:cs="Arial"/>
          <w:color w:val="000000"/>
          <w:sz w:val="22"/>
          <w:szCs w:val="22"/>
        </w:rPr>
        <w:t xml:space="preserve">substantially higher </w:t>
      </w:r>
      <w:r w:rsidRPr="00C8419B">
        <w:rPr>
          <w:rFonts w:ascii="Arial" w:hAnsi="Arial" w:cs="Arial"/>
          <w:color w:val="000000"/>
          <w:sz w:val="22"/>
          <w:szCs w:val="22"/>
        </w:rPr>
        <w:t>in 1993. This is because the</w:t>
      </w:r>
      <w:r w:rsidR="002975F8" w:rsidRPr="00C8419B">
        <w:rPr>
          <w:rFonts w:ascii="Arial" w:hAnsi="Arial" w:cs="Arial"/>
          <w:color w:val="000000"/>
          <w:sz w:val="22"/>
          <w:szCs w:val="22"/>
        </w:rPr>
        <w:t xml:space="preserve"> number of </w:t>
      </w:r>
      <w:r w:rsidR="000E297E">
        <w:rPr>
          <w:rFonts w:ascii="Arial" w:hAnsi="Arial" w:cs="Arial"/>
          <w:color w:val="000000"/>
          <w:sz w:val="22"/>
          <w:szCs w:val="22"/>
        </w:rPr>
        <w:t>active</w:t>
      </w:r>
      <w:r w:rsidR="000E297E" w:rsidRPr="00C8419B">
        <w:rPr>
          <w:rFonts w:ascii="Arial" w:hAnsi="Arial" w:cs="Arial"/>
          <w:color w:val="000000"/>
          <w:sz w:val="22"/>
          <w:szCs w:val="22"/>
        </w:rPr>
        <w:t xml:space="preserve"> </w:t>
      </w:r>
      <w:r w:rsidRPr="00C8419B">
        <w:rPr>
          <w:rFonts w:ascii="Arial" w:hAnsi="Arial" w:cs="Arial"/>
          <w:color w:val="000000"/>
          <w:sz w:val="22"/>
          <w:szCs w:val="22"/>
        </w:rPr>
        <w:t xml:space="preserve">companies </w:t>
      </w:r>
      <w:r w:rsidR="002975F8" w:rsidRPr="00C8419B">
        <w:rPr>
          <w:rFonts w:ascii="Arial" w:hAnsi="Arial" w:cs="Arial"/>
          <w:color w:val="000000"/>
          <w:sz w:val="22"/>
          <w:szCs w:val="22"/>
        </w:rPr>
        <w:t>more than doubled over this period</w:t>
      </w:r>
      <w:r w:rsidRPr="00C8419B">
        <w:rPr>
          <w:rFonts w:ascii="Arial" w:hAnsi="Arial" w:cs="Arial"/>
          <w:color w:val="000000"/>
          <w:sz w:val="22"/>
          <w:szCs w:val="22"/>
        </w:rPr>
        <w:t xml:space="preserve">, </w:t>
      </w:r>
      <w:r w:rsidR="002975F8" w:rsidRPr="00C8419B">
        <w:rPr>
          <w:rFonts w:ascii="Arial" w:hAnsi="Arial" w:cs="Arial"/>
          <w:color w:val="000000"/>
          <w:sz w:val="22"/>
          <w:szCs w:val="22"/>
        </w:rPr>
        <w:t xml:space="preserve">so </w:t>
      </w:r>
      <w:r w:rsidRPr="00C8419B">
        <w:rPr>
          <w:rFonts w:ascii="Arial" w:hAnsi="Arial" w:cs="Arial"/>
          <w:color w:val="000000"/>
          <w:sz w:val="22"/>
          <w:szCs w:val="22"/>
        </w:rPr>
        <w:t xml:space="preserve">a </w:t>
      </w:r>
      <w:r w:rsidR="002975F8" w:rsidRPr="00C8419B">
        <w:rPr>
          <w:rFonts w:ascii="Arial" w:hAnsi="Arial" w:cs="Arial"/>
          <w:color w:val="000000"/>
          <w:sz w:val="22"/>
          <w:szCs w:val="22"/>
        </w:rPr>
        <w:t xml:space="preserve">much </w:t>
      </w:r>
      <w:r w:rsidRPr="00C8419B">
        <w:rPr>
          <w:rFonts w:ascii="Arial" w:hAnsi="Arial" w:cs="Arial"/>
          <w:color w:val="000000"/>
          <w:sz w:val="22"/>
          <w:szCs w:val="22"/>
        </w:rPr>
        <w:t>smaller proportion of the total number of</w:t>
      </w:r>
      <w:r w:rsidR="002975F8" w:rsidRPr="00C8419B">
        <w:rPr>
          <w:rFonts w:ascii="Arial" w:hAnsi="Arial" w:cs="Arial"/>
          <w:color w:val="000000"/>
          <w:sz w:val="22"/>
          <w:szCs w:val="22"/>
        </w:rPr>
        <w:t xml:space="preserve"> companies entered liquidation</w:t>
      </w:r>
      <w:r w:rsidR="000E297E">
        <w:rPr>
          <w:rFonts w:ascii="Arial" w:hAnsi="Arial" w:cs="Arial"/>
          <w:color w:val="000000"/>
          <w:sz w:val="22"/>
          <w:szCs w:val="22"/>
        </w:rPr>
        <w:t xml:space="preserve"> in 2009</w:t>
      </w:r>
      <w:r w:rsidR="002975F8" w:rsidRPr="00C8419B">
        <w:rPr>
          <w:rFonts w:ascii="Arial" w:hAnsi="Arial" w:cs="Arial"/>
          <w:color w:val="000000"/>
          <w:sz w:val="22"/>
          <w:szCs w:val="22"/>
        </w:rPr>
        <w:t>.</w:t>
      </w:r>
    </w:p>
    <w:p w:rsidR="00865335" w:rsidRPr="00C8419B" w:rsidRDefault="00865335" w:rsidP="00CC0E45">
      <w:pPr>
        <w:pStyle w:val="BodyText"/>
        <w:tabs>
          <w:tab w:val="left" w:pos="450"/>
        </w:tabs>
        <w:spacing w:before="120" w:after="0" w:line="276" w:lineRule="auto"/>
        <w:rPr>
          <w:rFonts w:ascii="Arial" w:hAnsi="Arial" w:cs="Arial"/>
          <w:color w:val="000000"/>
          <w:sz w:val="22"/>
          <w:szCs w:val="22"/>
        </w:rPr>
      </w:pPr>
    </w:p>
    <w:p w:rsidR="00A317F9" w:rsidRPr="00280993" w:rsidRDefault="00A906D5" w:rsidP="00F51A28">
      <w:pPr>
        <w:pageBreakBefore/>
        <w:spacing w:after="240"/>
        <w:rPr>
          <w:rFonts w:ascii="Arial" w:hAnsi="Arial" w:cs="Arial"/>
          <w:b/>
          <w:sz w:val="28"/>
          <w:szCs w:val="22"/>
        </w:rPr>
      </w:pPr>
      <w:r>
        <w:rPr>
          <w:rFonts w:ascii="Arial" w:hAnsi="Arial" w:cs="Arial"/>
          <w:b/>
          <w:sz w:val="28"/>
          <w:szCs w:val="22"/>
        </w:rPr>
        <w:lastRenderedPageBreak/>
        <w:t>2</w:t>
      </w:r>
      <w:r w:rsidR="0008454A">
        <w:rPr>
          <w:rFonts w:ascii="Arial" w:hAnsi="Arial" w:cs="Arial"/>
          <w:b/>
          <w:sz w:val="28"/>
          <w:szCs w:val="22"/>
        </w:rPr>
        <w:t xml:space="preserve">.2 </w:t>
      </w:r>
      <w:r w:rsidR="007246FC">
        <w:rPr>
          <w:rFonts w:ascii="Arial" w:hAnsi="Arial" w:cs="Arial"/>
          <w:b/>
          <w:sz w:val="28"/>
          <w:szCs w:val="22"/>
        </w:rPr>
        <w:t xml:space="preserve">Administrations, </w:t>
      </w:r>
      <w:r w:rsidR="00B434F3">
        <w:rPr>
          <w:rFonts w:ascii="Arial" w:hAnsi="Arial" w:cs="Arial"/>
          <w:b/>
          <w:sz w:val="28"/>
          <w:szCs w:val="22"/>
        </w:rPr>
        <w:t>c</w:t>
      </w:r>
      <w:r w:rsidR="007246FC">
        <w:rPr>
          <w:rFonts w:ascii="Arial" w:hAnsi="Arial" w:cs="Arial"/>
          <w:b/>
          <w:sz w:val="28"/>
          <w:szCs w:val="22"/>
        </w:rPr>
        <w:t xml:space="preserve">ompany </w:t>
      </w:r>
      <w:r w:rsidR="00B434F3">
        <w:rPr>
          <w:rFonts w:ascii="Arial" w:hAnsi="Arial" w:cs="Arial"/>
          <w:b/>
          <w:sz w:val="28"/>
          <w:szCs w:val="22"/>
        </w:rPr>
        <w:t>v</w:t>
      </w:r>
      <w:r w:rsidR="007246FC">
        <w:rPr>
          <w:rFonts w:ascii="Arial" w:hAnsi="Arial" w:cs="Arial"/>
          <w:b/>
          <w:sz w:val="28"/>
          <w:szCs w:val="22"/>
        </w:rPr>
        <w:t xml:space="preserve">oluntary </w:t>
      </w:r>
      <w:r w:rsidR="00B434F3">
        <w:rPr>
          <w:rFonts w:ascii="Arial" w:hAnsi="Arial" w:cs="Arial"/>
          <w:b/>
          <w:sz w:val="28"/>
          <w:szCs w:val="22"/>
        </w:rPr>
        <w:t>a</w:t>
      </w:r>
      <w:r w:rsidR="007246FC">
        <w:rPr>
          <w:rFonts w:ascii="Arial" w:hAnsi="Arial" w:cs="Arial"/>
          <w:b/>
          <w:sz w:val="28"/>
          <w:szCs w:val="22"/>
        </w:rPr>
        <w:t xml:space="preserve">rrangements, </w:t>
      </w:r>
      <w:r w:rsidR="00B434F3">
        <w:rPr>
          <w:rFonts w:ascii="Arial" w:hAnsi="Arial" w:cs="Arial"/>
          <w:b/>
          <w:sz w:val="28"/>
          <w:szCs w:val="22"/>
        </w:rPr>
        <w:t>a</w:t>
      </w:r>
      <w:r w:rsidR="007246FC">
        <w:rPr>
          <w:rFonts w:ascii="Arial" w:hAnsi="Arial" w:cs="Arial"/>
          <w:b/>
          <w:sz w:val="28"/>
          <w:szCs w:val="22"/>
        </w:rPr>
        <w:t xml:space="preserve">nd </w:t>
      </w:r>
      <w:r w:rsidR="00B434F3">
        <w:rPr>
          <w:rFonts w:ascii="Arial" w:hAnsi="Arial" w:cs="Arial"/>
          <w:b/>
          <w:sz w:val="28"/>
          <w:szCs w:val="22"/>
        </w:rPr>
        <w:t>r</w:t>
      </w:r>
      <w:r w:rsidR="007246FC">
        <w:rPr>
          <w:rFonts w:ascii="Arial" w:hAnsi="Arial" w:cs="Arial"/>
          <w:b/>
          <w:sz w:val="28"/>
          <w:szCs w:val="22"/>
        </w:rPr>
        <w:t>eceiverships</w:t>
      </w:r>
    </w:p>
    <w:p w:rsidR="00DC384B" w:rsidRPr="00DC384B" w:rsidRDefault="00DC384B" w:rsidP="00A317F9">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These statistics relate to </w:t>
      </w:r>
      <w:r w:rsidR="0015639A">
        <w:rPr>
          <w:rFonts w:ascii="Arial" w:hAnsi="Arial" w:cs="Arial"/>
          <w:color w:val="000000" w:themeColor="text1"/>
          <w:sz w:val="22"/>
          <w:szCs w:val="22"/>
        </w:rPr>
        <w:t xml:space="preserve">other types </w:t>
      </w:r>
      <w:r>
        <w:rPr>
          <w:rFonts w:ascii="Arial" w:hAnsi="Arial" w:cs="Arial"/>
          <w:color w:val="000000" w:themeColor="text1"/>
          <w:sz w:val="22"/>
          <w:szCs w:val="22"/>
        </w:rPr>
        <w:t>of company insolvency</w:t>
      </w:r>
      <w:r w:rsidR="0015639A">
        <w:rPr>
          <w:rFonts w:ascii="Arial" w:hAnsi="Arial" w:cs="Arial"/>
          <w:color w:val="000000" w:themeColor="text1"/>
          <w:sz w:val="22"/>
          <w:szCs w:val="22"/>
        </w:rPr>
        <w:t>, where the objective is the rescue of the business rather than</w:t>
      </w:r>
      <w:r>
        <w:rPr>
          <w:rFonts w:ascii="Arial" w:hAnsi="Arial" w:cs="Arial"/>
          <w:color w:val="000000" w:themeColor="text1"/>
          <w:sz w:val="22"/>
          <w:szCs w:val="22"/>
        </w:rPr>
        <w:t xml:space="preserve"> </w:t>
      </w:r>
      <w:r w:rsidR="0015639A">
        <w:rPr>
          <w:rFonts w:ascii="Arial" w:hAnsi="Arial" w:cs="Arial"/>
          <w:color w:val="000000" w:themeColor="text1"/>
          <w:sz w:val="22"/>
          <w:szCs w:val="22"/>
        </w:rPr>
        <w:t>its winding</w:t>
      </w:r>
      <w:r w:rsidR="004D5E97">
        <w:rPr>
          <w:rFonts w:ascii="Arial" w:hAnsi="Arial" w:cs="Arial"/>
          <w:color w:val="000000" w:themeColor="text1"/>
          <w:sz w:val="22"/>
          <w:szCs w:val="22"/>
        </w:rPr>
        <w:t xml:space="preserve"> </w:t>
      </w:r>
      <w:r w:rsidR="0015639A">
        <w:rPr>
          <w:rFonts w:ascii="Arial" w:hAnsi="Arial" w:cs="Arial"/>
          <w:color w:val="000000" w:themeColor="text1"/>
          <w:sz w:val="22"/>
          <w:szCs w:val="22"/>
        </w:rPr>
        <w:t>up.</w:t>
      </w:r>
    </w:p>
    <w:p w:rsidR="00DD66FC" w:rsidRDefault="00DD66FC" w:rsidP="0015639A">
      <w:pPr>
        <w:spacing w:before="120"/>
        <w:rPr>
          <w:rFonts w:ascii="Arial" w:hAnsi="Arial"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DD66FC" w:rsidTr="000076CB">
        <w:tc>
          <w:tcPr>
            <w:tcW w:w="5353" w:type="dxa"/>
          </w:tcPr>
          <w:p w:rsidR="00DD66FC" w:rsidRPr="00DC384B" w:rsidRDefault="00DD66FC" w:rsidP="00F76BFB">
            <w:pPr>
              <w:tabs>
                <w:tab w:val="left" w:pos="965"/>
              </w:tabs>
              <w:spacing w:before="120" w:after="120" w:line="276" w:lineRule="auto"/>
              <w:jc w:val="center"/>
              <w:rPr>
                <w:rFonts w:ascii="Arial" w:hAnsi="Arial" w:cs="Arial"/>
                <w:color w:val="000000"/>
                <w:sz w:val="22"/>
                <w:szCs w:val="22"/>
              </w:rPr>
            </w:pPr>
            <w:r w:rsidRPr="00DC384B">
              <w:rPr>
                <w:rFonts w:ascii="Arial" w:hAnsi="Arial" w:cs="Arial"/>
                <w:b/>
                <w:color w:val="000000"/>
                <w:sz w:val="22"/>
                <w:szCs w:val="22"/>
              </w:rPr>
              <w:t xml:space="preserve">Figure </w:t>
            </w:r>
            <w:r w:rsidR="00791A86">
              <w:rPr>
                <w:rFonts w:ascii="Arial" w:hAnsi="Arial" w:cs="Arial"/>
                <w:b/>
                <w:color w:val="000000"/>
                <w:sz w:val="22"/>
                <w:szCs w:val="22"/>
              </w:rPr>
              <w:t>6</w:t>
            </w:r>
            <w:r w:rsidRPr="00DC384B">
              <w:rPr>
                <w:rFonts w:ascii="Arial" w:hAnsi="Arial" w:cs="Arial"/>
                <w:b/>
                <w:color w:val="000000"/>
                <w:sz w:val="22"/>
                <w:szCs w:val="22"/>
              </w:rPr>
              <w:t xml:space="preserve">: Other company insolvencies in England and Wales                    </w:t>
            </w:r>
            <w:r w:rsidRPr="00DC384B">
              <w:rPr>
                <w:rFonts w:ascii="Arial" w:hAnsi="Arial" w:cs="Arial"/>
                <w:color w:val="000000"/>
                <w:sz w:val="22"/>
                <w:szCs w:val="22"/>
              </w:rPr>
              <w:t>(</w:t>
            </w:r>
            <w:r w:rsidR="00AA4F9A">
              <w:rPr>
                <w:rFonts w:ascii="Arial" w:hAnsi="Arial" w:cs="Arial"/>
                <w:color w:val="000000"/>
                <w:sz w:val="22"/>
                <w:szCs w:val="22"/>
              </w:rPr>
              <w:t xml:space="preserve">quarterly data, </w:t>
            </w:r>
            <w:r w:rsidRPr="00DC384B">
              <w:rPr>
                <w:rFonts w:ascii="Arial" w:hAnsi="Arial" w:cs="Arial"/>
                <w:color w:val="000000"/>
                <w:sz w:val="22"/>
                <w:szCs w:val="22"/>
              </w:rPr>
              <w:t>seasonally adjusted)</w:t>
            </w:r>
            <w:r w:rsidRPr="00DC384B">
              <w:rPr>
                <w:rFonts w:ascii="Arial" w:hAnsi="Arial" w:cs="Arial"/>
                <w:color w:val="000000"/>
                <w:sz w:val="22"/>
                <w:szCs w:val="22"/>
                <w:vertAlign w:val="superscript"/>
              </w:rPr>
              <w:t>1</w:t>
            </w:r>
          </w:p>
          <w:p w:rsidR="00DD66FC" w:rsidRDefault="00B538CE" w:rsidP="00DD66FC">
            <w:pPr>
              <w:pStyle w:val="BodyText"/>
              <w:tabs>
                <w:tab w:val="left" w:pos="450"/>
              </w:tabs>
              <w:spacing w:before="120" w:after="0" w:line="276" w:lineRule="auto"/>
              <w:rPr>
                <w:rFonts w:ascii="Arial" w:hAnsi="Arial" w:cs="Arial"/>
                <w:sz w:val="22"/>
                <w:szCs w:val="22"/>
              </w:rPr>
            </w:pPr>
            <w:r>
              <w:rPr>
                <w:rFonts w:ascii="Arial" w:hAnsi="Arial" w:cs="Arial"/>
                <w:noProof/>
                <w:sz w:val="22"/>
                <w:szCs w:val="22"/>
                <w:lang w:eastAsia="en-GB"/>
              </w:rPr>
              <w:drawing>
                <wp:inline distT="0" distB="0" distL="0" distR="0" wp14:anchorId="36A7C5D5" wp14:editId="5D5D58C4">
                  <wp:extent cx="4667250" cy="3238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rsidR="00DD66FC" w:rsidRPr="000B6473" w:rsidRDefault="00DD66FC" w:rsidP="00DD66FC">
            <w:pPr>
              <w:tabs>
                <w:tab w:val="left" w:pos="965"/>
              </w:tabs>
              <w:spacing w:before="60"/>
              <w:rPr>
                <w:rFonts w:ascii="Arial" w:hAnsi="Arial" w:cs="Arial"/>
                <w:color w:val="000000"/>
                <w:sz w:val="18"/>
                <w:szCs w:val="18"/>
              </w:rPr>
            </w:pPr>
            <w:r w:rsidRPr="000B6473">
              <w:rPr>
                <w:rFonts w:ascii="Arial" w:hAnsi="Arial" w:cs="Arial"/>
                <w:color w:val="000000"/>
                <w:sz w:val="18"/>
                <w:szCs w:val="18"/>
              </w:rPr>
              <w:t xml:space="preserve">Source: </w:t>
            </w:r>
            <w:r w:rsidRPr="000B6473">
              <w:rPr>
                <w:rFonts w:ascii="Arial" w:hAnsi="Arial" w:cs="Arial"/>
                <w:sz w:val="18"/>
                <w:szCs w:val="18"/>
              </w:rPr>
              <w:t>Companies</w:t>
            </w:r>
            <w:r w:rsidRPr="000B6473">
              <w:rPr>
                <w:rFonts w:ascii="Arial" w:hAnsi="Arial" w:cs="Arial"/>
                <w:color w:val="000000"/>
                <w:sz w:val="18"/>
                <w:szCs w:val="18"/>
              </w:rPr>
              <w:t xml:space="preserve"> House.</w:t>
            </w:r>
          </w:p>
          <w:p w:rsidR="00DD66FC" w:rsidRPr="000B6473" w:rsidRDefault="00DD66FC" w:rsidP="00DD66FC">
            <w:pPr>
              <w:tabs>
                <w:tab w:val="left" w:pos="965"/>
              </w:tabs>
              <w:spacing w:before="60"/>
              <w:rPr>
                <w:rFonts w:ascii="Arial" w:hAnsi="Arial" w:cs="Arial"/>
                <w:color w:val="000000"/>
                <w:sz w:val="18"/>
                <w:szCs w:val="18"/>
              </w:rPr>
            </w:pPr>
            <w:r w:rsidRPr="000B6473">
              <w:rPr>
                <w:rFonts w:ascii="Arial" w:hAnsi="Arial" w:cs="Arial"/>
                <w:color w:val="000000"/>
                <w:sz w:val="18"/>
                <w:szCs w:val="18"/>
                <w:vertAlign w:val="superscript"/>
              </w:rPr>
              <w:t>1</w:t>
            </w:r>
            <w:r w:rsidRPr="000B6473">
              <w:rPr>
                <w:rFonts w:ascii="Arial" w:hAnsi="Arial" w:cs="Arial"/>
                <w:color w:val="000000"/>
                <w:sz w:val="18"/>
                <w:szCs w:val="18"/>
              </w:rPr>
              <w:t xml:space="preserve"> Administrations are </w:t>
            </w:r>
            <w:r w:rsidRPr="000B6473">
              <w:rPr>
                <w:rFonts w:ascii="Arial" w:hAnsi="Arial" w:cs="Arial"/>
                <w:sz w:val="18"/>
                <w:szCs w:val="18"/>
              </w:rPr>
              <w:t>seasonally</w:t>
            </w:r>
            <w:r w:rsidRPr="000B6473">
              <w:rPr>
                <w:rFonts w:ascii="Arial" w:hAnsi="Arial" w:cs="Arial"/>
                <w:color w:val="000000"/>
                <w:sz w:val="18"/>
                <w:szCs w:val="18"/>
              </w:rPr>
              <w:t xml:space="preserve"> adjusted; receiverships and company voluntary arrangements are not seasonally adjusted as the data do not exhibit regular patterns.</w:t>
            </w:r>
          </w:p>
          <w:p w:rsidR="00DD66FC" w:rsidRDefault="00DD66FC" w:rsidP="00DD66FC">
            <w:pPr>
              <w:spacing w:before="120"/>
              <w:rPr>
                <w:rFonts w:ascii="Arial" w:hAnsi="Arial" w:cs="Arial"/>
                <w:color w:val="000000" w:themeColor="text1"/>
                <w:sz w:val="22"/>
                <w:szCs w:val="22"/>
              </w:rPr>
            </w:pPr>
            <w:r w:rsidRPr="000B6473">
              <w:rPr>
                <w:rFonts w:ascii="Arial" w:hAnsi="Arial" w:cs="Arial"/>
                <w:color w:val="000000"/>
                <w:sz w:val="18"/>
                <w:szCs w:val="18"/>
              </w:rPr>
              <w:t xml:space="preserve">See Table 3 of the </w:t>
            </w:r>
            <w:r w:rsidRPr="000B6473">
              <w:rPr>
                <w:rFonts w:ascii="Arial" w:hAnsi="Arial" w:cs="Arial"/>
                <w:sz w:val="18"/>
                <w:szCs w:val="18"/>
              </w:rPr>
              <w:t>accompanying</w:t>
            </w:r>
            <w:r w:rsidRPr="000B6473">
              <w:rPr>
                <w:rFonts w:ascii="Arial" w:hAnsi="Arial" w:cs="Arial"/>
                <w:color w:val="000000"/>
                <w:sz w:val="18"/>
                <w:szCs w:val="18"/>
              </w:rPr>
              <w:t xml:space="preserve"> Excel file for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DD66FC" w:rsidRPr="00DD66FC" w:rsidRDefault="00DD66FC" w:rsidP="00DD66FC">
            <w:pPr>
              <w:spacing w:before="120"/>
              <w:rPr>
                <w:rFonts w:ascii="Arial" w:hAnsi="Arial" w:cs="Arial"/>
                <w:color w:val="000000" w:themeColor="text1"/>
                <w:sz w:val="18"/>
                <w:szCs w:val="18"/>
              </w:rPr>
            </w:pPr>
            <w:r w:rsidRPr="00DD66FC">
              <w:rPr>
                <w:rFonts w:ascii="Arial" w:hAnsi="Arial" w:cs="Arial"/>
                <w:b/>
                <w:color w:val="000000" w:themeColor="text1"/>
                <w:sz w:val="18"/>
                <w:szCs w:val="18"/>
              </w:rPr>
              <w:t>Administration</w:t>
            </w:r>
            <w:r w:rsidRPr="00DD66FC">
              <w:rPr>
                <w:rFonts w:ascii="Arial" w:hAnsi="Arial" w:cs="Arial"/>
                <w:color w:val="000000" w:themeColor="text1"/>
                <w:sz w:val="18"/>
                <w:szCs w:val="18"/>
              </w:rPr>
              <w:t xml:space="preserve"> is when a licensed insolvency practitioner, 'the administrator', is appointed to manage a company's affairs, business and property for the benefit of the creditors. The objective of administration is the rescue of the company as a going concern, or if this is not possible then to obtain a better result for creditors than would be likely if the company were to be wound up.</w:t>
            </w:r>
          </w:p>
          <w:p w:rsidR="00DD66FC" w:rsidRPr="00DD66FC" w:rsidRDefault="00DD66FC" w:rsidP="00DD66FC">
            <w:pPr>
              <w:spacing w:before="120"/>
              <w:rPr>
                <w:rFonts w:ascii="Arial" w:hAnsi="Arial" w:cs="Arial"/>
                <w:color w:val="000000" w:themeColor="text1"/>
                <w:sz w:val="18"/>
                <w:szCs w:val="18"/>
              </w:rPr>
            </w:pPr>
            <w:r w:rsidRPr="00DD66FC">
              <w:rPr>
                <w:rFonts w:ascii="Arial" w:hAnsi="Arial" w:cs="Arial"/>
                <w:b/>
                <w:color w:val="000000" w:themeColor="text1"/>
                <w:sz w:val="18"/>
                <w:szCs w:val="18"/>
              </w:rPr>
              <w:t>Company voluntary arrangements</w:t>
            </w:r>
            <w:r w:rsidRPr="00DD66FC">
              <w:rPr>
                <w:rFonts w:ascii="Arial" w:hAnsi="Arial" w:cs="Arial"/>
                <w:color w:val="000000" w:themeColor="text1"/>
                <w:sz w:val="18"/>
                <w:szCs w:val="18"/>
              </w:rPr>
              <w:t xml:space="preserve"> </w:t>
            </w:r>
            <w:r>
              <w:rPr>
                <w:rFonts w:ascii="Arial" w:hAnsi="Arial" w:cs="Arial"/>
                <w:color w:val="000000" w:themeColor="text1"/>
                <w:sz w:val="18"/>
                <w:szCs w:val="18"/>
              </w:rPr>
              <w:t xml:space="preserve">(CVAs) </w:t>
            </w:r>
            <w:r w:rsidR="004D5E97" w:rsidRPr="004D5E97">
              <w:rPr>
                <w:rFonts w:ascii="Arial" w:hAnsi="Arial" w:cs="Arial"/>
                <w:color w:val="000000" w:themeColor="text1"/>
                <w:sz w:val="18"/>
                <w:szCs w:val="18"/>
              </w:rPr>
              <w:t>are also designed as a mechanism for business rescue. They are a voluntary means of repaying creditors some or all of what they are owed. Once approved by 75% or more of creditors, the arrangement is binding on all creditors. CVAs are supervised by licensed insolvency practitioners</w:t>
            </w:r>
            <w:r w:rsidRPr="00DD66FC">
              <w:rPr>
                <w:rFonts w:ascii="Arial" w:hAnsi="Arial" w:cs="Arial"/>
                <w:color w:val="000000" w:themeColor="text1"/>
                <w:sz w:val="18"/>
                <w:szCs w:val="18"/>
              </w:rPr>
              <w:t>.</w:t>
            </w:r>
          </w:p>
          <w:p w:rsidR="00DD66FC" w:rsidRPr="00DD66FC" w:rsidRDefault="00DD66FC" w:rsidP="00DD66FC">
            <w:pPr>
              <w:spacing w:before="120"/>
              <w:rPr>
                <w:rFonts w:ascii="Arial" w:hAnsi="Arial" w:cs="Arial"/>
                <w:color w:val="000000" w:themeColor="text1"/>
                <w:sz w:val="18"/>
                <w:szCs w:val="18"/>
              </w:rPr>
            </w:pPr>
            <w:r w:rsidRPr="00DD66FC">
              <w:rPr>
                <w:rFonts w:ascii="Arial" w:hAnsi="Arial" w:cs="Arial"/>
                <w:b/>
                <w:color w:val="000000" w:themeColor="text1"/>
                <w:sz w:val="18"/>
                <w:szCs w:val="18"/>
              </w:rPr>
              <w:t>Receivership appointments</w:t>
            </w:r>
            <w:r w:rsidRPr="00DD66FC">
              <w:rPr>
                <w:rFonts w:ascii="Arial" w:hAnsi="Arial" w:cs="Arial"/>
                <w:color w:val="000000" w:themeColor="text1"/>
                <w:sz w:val="18"/>
                <w:szCs w:val="18"/>
              </w:rPr>
              <w:t xml:space="preserve"> include instances where a creditor with a floating charge (often a bank) appoints a licensed insolvency practitioner to recover the money it is owed. Receivership appointments also include other, non-insolvency, procedures, for example under the Law of Property Act 1925. It is not possible to distinguish between insolvent and non-insolvent receivership appointments so these figures should be treated with caution.</w:t>
            </w:r>
          </w:p>
        </w:tc>
      </w:tr>
    </w:tbl>
    <w:p w:rsidR="00604C8B" w:rsidRPr="00C8419B" w:rsidRDefault="00CA0B12" w:rsidP="00C8419B">
      <w:pPr>
        <w:pStyle w:val="BodyText"/>
        <w:tabs>
          <w:tab w:val="left" w:pos="450"/>
        </w:tabs>
        <w:spacing w:before="240" w:after="0" w:line="276" w:lineRule="auto"/>
        <w:rPr>
          <w:rFonts w:ascii="Arial" w:hAnsi="Arial" w:cs="Arial"/>
          <w:color w:val="000000"/>
          <w:sz w:val="22"/>
          <w:szCs w:val="22"/>
        </w:rPr>
      </w:pPr>
      <w:r>
        <w:rPr>
          <w:rFonts w:ascii="Arial" w:hAnsi="Arial" w:cs="Arial"/>
          <w:color w:val="000000"/>
          <w:sz w:val="22"/>
          <w:szCs w:val="22"/>
        </w:rPr>
        <w:t>There were 410 administrations in Q2 2014, a decrease of 19.2</w:t>
      </w:r>
      <w:r w:rsidRPr="00C8419B">
        <w:rPr>
          <w:rFonts w:ascii="Arial" w:hAnsi="Arial" w:cs="Arial"/>
          <w:color w:val="000000"/>
          <w:sz w:val="22"/>
          <w:szCs w:val="22"/>
        </w:rPr>
        <w:t xml:space="preserve">% compared with the previous quarter </w:t>
      </w:r>
      <w:r>
        <w:rPr>
          <w:rFonts w:ascii="Arial" w:hAnsi="Arial" w:cs="Arial"/>
          <w:color w:val="000000"/>
          <w:sz w:val="22"/>
          <w:szCs w:val="22"/>
        </w:rPr>
        <w:t>and 34.9% lower</w:t>
      </w:r>
      <w:r w:rsidRPr="00C8419B">
        <w:rPr>
          <w:rFonts w:ascii="Arial" w:hAnsi="Arial" w:cs="Arial"/>
          <w:color w:val="000000"/>
          <w:sz w:val="22"/>
          <w:szCs w:val="22"/>
        </w:rPr>
        <w:t xml:space="preserve"> than the same quarter in 2013</w:t>
      </w:r>
      <w:r>
        <w:rPr>
          <w:rFonts w:ascii="Arial" w:hAnsi="Arial" w:cs="Arial"/>
          <w:color w:val="000000"/>
          <w:sz w:val="22"/>
          <w:szCs w:val="22"/>
        </w:rPr>
        <w:t xml:space="preserve">, as well as a decrease from </w:t>
      </w:r>
      <w:r w:rsidR="00604C8B" w:rsidRPr="00C8419B">
        <w:rPr>
          <w:rFonts w:ascii="Arial" w:hAnsi="Arial" w:cs="Arial"/>
          <w:color w:val="000000"/>
          <w:sz w:val="22"/>
          <w:szCs w:val="22"/>
        </w:rPr>
        <w:t xml:space="preserve">a peak of nearly 1,700 </w:t>
      </w:r>
      <w:r w:rsidR="0098136E">
        <w:rPr>
          <w:rFonts w:ascii="Arial" w:hAnsi="Arial" w:cs="Arial"/>
          <w:color w:val="000000"/>
          <w:sz w:val="22"/>
          <w:szCs w:val="22"/>
        </w:rPr>
        <w:t>in 2008</w:t>
      </w:r>
      <w:r w:rsidR="00604C8B" w:rsidRPr="00C8419B">
        <w:rPr>
          <w:rFonts w:ascii="Arial" w:hAnsi="Arial" w:cs="Arial"/>
          <w:color w:val="000000"/>
          <w:sz w:val="22"/>
          <w:szCs w:val="22"/>
        </w:rPr>
        <w:t>.</w:t>
      </w:r>
      <w:r w:rsidR="009B4C77">
        <w:rPr>
          <w:rFonts w:ascii="Arial" w:hAnsi="Arial" w:cs="Arial"/>
          <w:color w:val="000000"/>
          <w:sz w:val="22"/>
          <w:szCs w:val="22"/>
        </w:rPr>
        <w:t xml:space="preserve"> </w:t>
      </w:r>
      <w:r w:rsidR="00F42278" w:rsidRPr="00604C8B">
        <w:rPr>
          <w:rFonts w:ascii="Arial" w:hAnsi="Arial" w:cs="Arial"/>
          <w:sz w:val="22"/>
          <w:szCs w:val="22"/>
        </w:rPr>
        <w:t xml:space="preserve">The </w:t>
      </w:r>
      <w:r w:rsidR="00F42278" w:rsidRPr="00C8419B">
        <w:rPr>
          <w:rFonts w:ascii="Arial" w:hAnsi="Arial" w:cs="Arial"/>
          <w:color w:val="000000"/>
          <w:sz w:val="22"/>
          <w:szCs w:val="22"/>
        </w:rPr>
        <w:t xml:space="preserve">number of administrations has </w:t>
      </w:r>
      <w:r w:rsidR="00F42278">
        <w:rPr>
          <w:rFonts w:ascii="Arial" w:hAnsi="Arial" w:cs="Arial"/>
          <w:color w:val="000000"/>
          <w:sz w:val="22"/>
          <w:szCs w:val="22"/>
        </w:rPr>
        <w:t xml:space="preserve">fallen for four successive quarters, and in Q2 2014 was at </w:t>
      </w:r>
      <w:r w:rsidR="009B4C77">
        <w:rPr>
          <w:rFonts w:ascii="Arial" w:hAnsi="Arial" w:cs="Arial"/>
          <w:color w:val="000000"/>
          <w:sz w:val="22"/>
          <w:szCs w:val="22"/>
        </w:rPr>
        <w:t>the lowest level since</w:t>
      </w:r>
      <w:r w:rsidR="006D3710">
        <w:rPr>
          <w:rFonts w:ascii="Arial" w:hAnsi="Arial" w:cs="Arial"/>
          <w:color w:val="000000"/>
          <w:sz w:val="22"/>
          <w:szCs w:val="22"/>
        </w:rPr>
        <w:t xml:space="preserve"> Q1</w:t>
      </w:r>
      <w:r w:rsidR="009B4C77">
        <w:rPr>
          <w:rFonts w:ascii="Arial" w:hAnsi="Arial" w:cs="Arial"/>
          <w:color w:val="000000"/>
          <w:sz w:val="22"/>
          <w:szCs w:val="22"/>
        </w:rPr>
        <w:t xml:space="preserve"> </w:t>
      </w:r>
      <w:r w:rsidR="00DD5D38">
        <w:rPr>
          <w:rFonts w:ascii="Arial" w:hAnsi="Arial" w:cs="Arial"/>
          <w:color w:val="000000"/>
          <w:sz w:val="22"/>
          <w:szCs w:val="22"/>
        </w:rPr>
        <w:t>2005</w:t>
      </w:r>
      <w:r w:rsidR="009B4C77">
        <w:rPr>
          <w:rFonts w:ascii="Arial" w:hAnsi="Arial" w:cs="Arial"/>
          <w:color w:val="000000"/>
          <w:sz w:val="22"/>
          <w:szCs w:val="22"/>
        </w:rPr>
        <w:t xml:space="preserve">. </w:t>
      </w:r>
    </w:p>
    <w:p w:rsidR="00604C8B" w:rsidRDefault="00CA0B12"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w:t>
      </w:r>
      <w:r w:rsidR="00604C8B" w:rsidRPr="00C8419B">
        <w:rPr>
          <w:rFonts w:ascii="Arial" w:hAnsi="Arial" w:cs="Arial"/>
          <w:color w:val="000000"/>
          <w:sz w:val="22"/>
          <w:szCs w:val="22"/>
        </w:rPr>
        <w:t xml:space="preserve">here were 142 company voluntary arrangements in </w:t>
      </w:r>
      <w:r w:rsidR="00D97039">
        <w:rPr>
          <w:rFonts w:ascii="Arial" w:hAnsi="Arial" w:cs="Arial"/>
          <w:color w:val="000000"/>
          <w:sz w:val="22"/>
          <w:szCs w:val="22"/>
        </w:rPr>
        <w:t>April</w:t>
      </w:r>
      <w:r w:rsidR="00604C8B" w:rsidRPr="00C8419B">
        <w:rPr>
          <w:rFonts w:ascii="Arial" w:hAnsi="Arial" w:cs="Arial"/>
          <w:color w:val="000000"/>
          <w:sz w:val="22"/>
          <w:szCs w:val="22"/>
        </w:rPr>
        <w:t xml:space="preserve"> to </w:t>
      </w:r>
      <w:r w:rsidR="00D97039">
        <w:rPr>
          <w:rFonts w:ascii="Arial" w:hAnsi="Arial" w:cs="Arial"/>
          <w:color w:val="000000"/>
          <w:sz w:val="22"/>
          <w:szCs w:val="22"/>
        </w:rPr>
        <w:t>June 2014</w:t>
      </w:r>
      <w:r w:rsidR="00F5194C">
        <w:rPr>
          <w:rFonts w:ascii="Arial" w:hAnsi="Arial" w:cs="Arial"/>
          <w:color w:val="000000"/>
          <w:sz w:val="22"/>
          <w:szCs w:val="22"/>
        </w:rPr>
        <w:t>,</w:t>
      </w:r>
      <w:r w:rsidRPr="00CA0B12">
        <w:rPr>
          <w:rFonts w:ascii="Arial" w:hAnsi="Arial" w:cs="Arial"/>
          <w:color w:val="000000"/>
          <w:sz w:val="22"/>
          <w:szCs w:val="22"/>
        </w:rPr>
        <w:t xml:space="preserve"> </w:t>
      </w:r>
      <w:r w:rsidR="00C522A9">
        <w:rPr>
          <w:rFonts w:ascii="Arial" w:hAnsi="Arial" w:cs="Arial"/>
          <w:color w:val="000000"/>
          <w:sz w:val="22"/>
          <w:szCs w:val="22"/>
        </w:rPr>
        <w:t xml:space="preserve">unchanged </w:t>
      </w:r>
      <w:r>
        <w:rPr>
          <w:rFonts w:ascii="Arial" w:hAnsi="Arial" w:cs="Arial"/>
          <w:color w:val="000000"/>
          <w:sz w:val="22"/>
          <w:szCs w:val="22"/>
        </w:rPr>
        <w:t>compared to Q1 2014</w:t>
      </w:r>
      <w:r w:rsidR="00C522A9">
        <w:rPr>
          <w:rFonts w:ascii="Arial" w:hAnsi="Arial" w:cs="Arial"/>
          <w:color w:val="000000"/>
          <w:sz w:val="22"/>
          <w:szCs w:val="22"/>
        </w:rPr>
        <w:t xml:space="preserve"> and in line with recent trends</w:t>
      </w:r>
      <w:r>
        <w:rPr>
          <w:rFonts w:ascii="Arial" w:hAnsi="Arial" w:cs="Arial"/>
          <w:color w:val="000000"/>
          <w:sz w:val="22"/>
          <w:szCs w:val="22"/>
        </w:rPr>
        <w:t>.</w:t>
      </w:r>
    </w:p>
    <w:p w:rsidR="00D97039" w:rsidRPr="00C8419B" w:rsidRDefault="00D97039"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Receivership</w:t>
      </w:r>
      <w:r w:rsidR="00C522A9">
        <w:rPr>
          <w:rFonts w:ascii="Arial" w:hAnsi="Arial" w:cs="Arial"/>
          <w:color w:val="000000"/>
          <w:sz w:val="22"/>
          <w:szCs w:val="22"/>
        </w:rPr>
        <w:t xml:space="preserve"> appointment</w:t>
      </w:r>
      <w:r>
        <w:rPr>
          <w:rFonts w:ascii="Arial" w:hAnsi="Arial" w:cs="Arial"/>
          <w:color w:val="000000"/>
          <w:sz w:val="22"/>
          <w:szCs w:val="22"/>
        </w:rPr>
        <w:t xml:space="preserve">s </w:t>
      </w:r>
      <w:r w:rsidR="00C522A9">
        <w:rPr>
          <w:rFonts w:ascii="Arial" w:hAnsi="Arial" w:cs="Arial"/>
          <w:color w:val="000000"/>
          <w:sz w:val="22"/>
          <w:szCs w:val="22"/>
        </w:rPr>
        <w:t xml:space="preserve">(including non-insolvent receivership appointments) </w:t>
      </w:r>
      <w:r>
        <w:rPr>
          <w:rFonts w:ascii="Arial" w:hAnsi="Arial" w:cs="Arial"/>
          <w:color w:val="000000"/>
          <w:sz w:val="22"/>
          <w:szCs w:val="22"/>
        </w:rPr>
        <w:t>continued to decline and were at their lowest level since Q1 2008. There were 171 receivership appointments in Q2 2014, a 16.6% decrease in comparison to the previous quarter</w:t>
      </w:r>
      <w:r w:rsidR="00613B73">
        <w:rPr>
          <w:rFonts w:ascii="Arial" w:hAnsi="Arial" w:cs="Arial"/>
          <w:color w:val="000000"/>
          <w:sz w:val="22"/>
          <w:szCs w:val="22"/>
        </w:rPr>
        <w:t xml:space="preserve"> and a 10.9% decrease on the same quarter last year</w:t>
      </w:r>
      <w:r>
        <w:rPr>
          <w:rFonts w:ascii="Arial" w:hAnsi="Arial" w:cs="Arial"/>
          <w:color w:val="000000"/>
          <w:sz w:val="22"/>
          <w:szCs w:val="22"/>
        </w:rPr>
        <w:t>.</w:t>
      </w:r>
    </w:p>
    <w:p w:rsidR="00865335" w:rsidRDefault="00865335" w:rsidP="00CC0E45">
      <w:pPr>
        <w:pStyle w:val="BodyText"/>
        <w:tabs>
          <w:tab w:val="left" w:pos="450"/>
        </w:tabs>
        <w:spacing w:before="120" w:after="0" w:line="276" w:lineRule="auto"/>
        <w:rPr>
          <w:rFonts w:ascii="Arial" w:hAnsi="Arial" w:cs="Arial"/>
          <w:sz w:val="22"/>
          <w:szCs w:val="22"/>
        </w:rPr>
      </w:pPr>
    </w:p>
    <w:p w:rsidR="005A1D3D" w:rsidRPr="00A906D5" w:rsidRDefault="00EC1B85" w:rsidP="00A906D5">
      <w:pPr>
        <w:pageBreakBefore/>
        <w:spacing w:after="240"/>
        <w:rPr>
          <w:rFonts w:ascii="Arial" w:hAnsi="Arial" w:cs="Arial"/>
          <w:b/>
          <w:sz w:val="28"/>
          <w:szCs w:val="22"/>
        </w:rPr>
      </w:pPr>
      <w:r>
        <w:rPr>
          <w:rFonts w:ascii="Arial" w:hAnsi="Arial" w:cs="Arial"/>
          <w:b/>
          <w:sz w:val="28"/>
          <w:szCs w:val="22"/>
        </w:rPr>
        <w:lastRenderedPageBreak/>
        <w:t xml:space="preserve">2.3 </w:t>
      </w:r>
      <w:r w:rsidR="00A906D5">
        <w:rPr>
          <w:rFonts w:ascii="Arial" w:hAnsi="Arial" w:cs="Arial"/>
          <w:b/>
          <w:sz w:val="28"/>
          <w:szCs w:val="22"/>
        </w:rPr>
        <w:t>Company liquidations by industry</w:t>
      </w:r>
    </w:p>
    <w:p w:rsidR="00A906D5" w:rsidRDefault="00A906D5" w:rsidP="00431779">
      <w:pPr>
        <w:spacing w:line="276" w:lineRule="auto"/>
        <w:rPr>
          <w:rFonts w:ascii="Arial" w:hAnsi="Arial" w:cs="Arial"/>
          <w:b/>
          <w:sz w:val="22"/>
          <w:szCs w:val="22"/>
        </w:rPr>
      </w:pPr>
      <w:r w:rsidRPr="007F0439">
        <w:rPr>
          <w:rFonts w:ascii="Arial" w:hAnsi="Arial" w:cs="Arial"/>
          <w:b/>
          <w:color w:val="FF0000"/>
          <w:sz w:val="22"/>
          <w:szCs w:val="22"/>
        </w:rPr>
        <w:t>EXPERIMENTAL STATISTICS</w:t>
      </w:r>
    </w:p>
    <w:p w:rsidR="00AA4F9A" w:rsidRDefault="00AA4F9A" w:rsidP="00AA4F9A">
      <w:pPr>
        <w:spacing w:line="276" w:lineRule="auto"/>
        <w:rPr>
          <w:rFonts w:ascii="Arial" w:hAnsi="Arial" w:cs="Arial"/>
          <w:color w:val="000000" w:themeColor="text1"/>
          <w:sz w:val="22"/>
          <w:szCs w:val="22"/>
        </w:rPr>
      </w:pPr>
    </w:p>
    <w:p w:rsidR="00AA4F9A" w:rsidRPr="00C8419B" w:rsidRDefault="00AA4F9A"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These statistics provide a breakdown of company liquidations, by industry, using the Standard Industrial Classification 2007 (SIC2007) – a harmonised set of industry classifications used in other UK Official Statistics. The Excel file which accompanies this release contains equivalent data for other types of company insolvency, and for trading-related bankruptcies, in England and Wales.</w:t>
      </w:r>
    </w:p>
    <w:p w:rsidR="00AA4F9A" w:rsidRDefault="00AA4F9A" w:rsidP="00C8419B">
      <w:pPr>
        <w:pStyle w:val="BodyText"/>
        <w:tabs>
          <w:tab w:val="left" w:pos="450"/>
        </w:tabs>
        <w:spacing w:before="120" w:line="276" w:lineRule="auto"/>
        <w:rPr>
          <w:rFonts w:ascii="Arial" w:hAnsi="Arial" w:cs="Arial"/>
          <w:color w:val="000000"/>
          <w:sz w:val="22"/>
          <w:szCs w:val="22"/>
        </w:rPr>
      </w:pPr>
      <w:r w:rsidRPr="00C8419B">
        <w:rPr>
          <w:rFonts w:ascii="Arial" w:hAnsi="Arial" w:cs="Arial"/>
          <w:color w:val="000000"/>
          <w:sz w:val="22"/>
          <w:szCs w:val="22"/>
        </w:rPr>
        <w:t xml:space="preserve">The Insolvency Service has classified these statistics as “Experimental Statistics” because the </w:t>
      </w:r>
      <w:r w:rsidR="00C8419B" w:rsidRPr="00C8419B">
        <w:rPr>
          <w:rFonts w:ascii="Arial" w:hAnsi="Arial" w:cs="Arial"/>
          <w:color w:val="000000"/>
          <w:sz w:val="22"/>
          <w:szCs w:val="22"/>
        </w:rPr>
        <w:t>methods used to produce them have</w:t>
      </w:r>
      <w:r w:rsidRPr="00C8419B">
        <w:rPr>
          <w:rFonts w:ascii="Arial" w:hAnsi="Arial" w:cs="Arial"/>
          <w:color w:val="000000"/>
          <w:sz w:val="22"/>
          <w:szCs w:val="22"/>
        </w:rPr>
        <w:t xml:space="preserve"> changed.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706"/>
      </w:tblGrid>
      <w:tr w:rsidR="007246FC" w:rsidTr="000076CB">
        <w:tc>
          <w:tcPr>
            <w:tcW w:w="10706" w:type="dxa"/>
            <w:shd w:val="clear" w:color="auto" w:fill="C6D9F1" w:themeFill="text2" w:themeFillTint="33"/>
          </w:tcPr>
          <w:p w:rsidR="007246FC" w:rsidRDefault="00E40684" w:rsidP="00AA4F9A">
            <w:pPr>
              <w:pStyle w:val="BodyText"/>
              <w:tabs>
                <w:tab w:val="left" w:pos="450"/>
              </w:tabs>
              <w:spacing w:before="120" w:line="276" w:lineRule="auto"/>
              <w:rPr>
                <w:rFonts w:ascii="Arial" w:hAnsi="Arial" w:cs="Arial"/>
                <w:sz w:val="22"/>
                <w:szCs w:val="22"/>
              </w:rPr>
            </w:pPr>
            <w:r w:rsidRPr="00E40684">
              <w:rPr>
                <w:rFonts w:ascii="Arial" w:hAnsi="Arial" w:cs="Arial"/>
                <w:sz w:val="22"/>
                <w:szCs w:val="22"/>
              </w:rPr>
              <w:t xml:space="preserve">Experimental statistics are defined in </w:t>
            </w:r>
            <w:r w:rsidRPr="007F0439">
              <w:rPr>
                <w:rFonts w:ascii="Arial" w:hAnsi="Arial" w:cs="Arial"/>
                <w:sz w:val="22"/>
                <w:szCs w:val="22"/>
              </w:rPr>
              <w:t xml:space="preserve">the UK Statistics Authority’s </w:t>
            </w:r>
            <w:hyperlink r:id="rId22" w:history="1">
              <w:r w:rsidRPr="007F0439">
                <w:rPr>
                  <w:rStyle w:val="Hyperlink"/>
                  <w:rFonts w:ascii="Arial" w:hAnsi="Arial" w:cs="Arial"/>
                  <w:i/>
                  <w:sz w:val="22"/>
                  <w:szCs w:val="22"/>
                </w:rPr>
                <w:t>Code of Practice for Official Statistics</w:t>
              </w:r>
            </w:hyperlink>
            <w:r>
              <w:rPr>
                <w:rFonts w:ascii="Arial" w:hAnsi="Arial" w:cs="Arial"/>
                <w:sz w:val="22"/>
                <w:szCs w:val="22"/>
              </w:rPr>
              <w:t xml:space="preserve"> as </w:t>
            </w:r>
            <w:r w:rsidRPr="00E40684">
              <w:rPr>
                <w:rFonts w:ascii="Arial" w:hAnsi="Arial" w:cs="Arial"/>
                <w:sz w:val="22"/>
                <w:szCs w:val="22"/>
              </w:rPr>
              <w:t>new official</w:t>
            </w:r>
            <w:r>
              <w:rPr>
                <w:rFonts w:ascii="Arial" w:hAnsi="Arial" w:cs="Arial"/>
                <w:sz w:val="22"/>
                <w:szCs w:val="22"/>
              </w:rPr>
              <w:t xml:space="preserve"> </w:t>
            </w:r>
            <w:r w:rsidRPr="00E40684">
              <w:rPr>
                <w:rFonts w:ascii="Arial" w:hAnsi="Arial" w:cs="Arial"/>
                <w:sz w:val="22"/>
                <w:szCs w:val="22"/>
              </w:rPr>
              <w:t xml:space="preserve">statistics </w:t>
            </w:r>
            <w:r>
              <w:rPr>
                <w:rFonts w:ascii="Arial" w:hAnsi="Arial" w:cs="Arial"/>
                <w:sz w:val="22"/>
                <w:szCs w:val="22"/>
              </w:rPr>
              <w:t xml:space="preserve">that are </w:t>
            </w:r>
            <w:r w:rsidRPr="00E40684">
              <w:rPr>
                <w:rFonts w:ascii="Arial" w:hAnsi="Arial" w:cs="Arial"/>
                <w:sz w:val="22"/>
                <w:szCs w:val="22"/>
              </w:rPr>
              <w:t>undergoing evaluation. They are published in order to involve users and stakeholders in</w:t>
            </w:r>
            <w:r>
              <w:rPr>
                <w:rFonts w:ascii="Arial" w:hAnsi="Arial" w:cs="Arial"/>
                <w:sz w:val="22"/>
                <w:szCs w:val="22"/>
              </w:rPr>
              <w:t xml:space="preserve"> </w:t>
            </w:r>
            <w:r w:rsidRPr="00E40684">
              <w:rPr>
                <w:rFonts w:ascii="Arial" w:hAnsi="Arial" w:cs="Arial"/>
                <w:sz w:val="22"/>
                <w:szCs w:val="22"/>
              </w:rPr>
              <w:t>their development and as a means to build in quality at an early stage.</w:t>
            </w:r>
          </w:p>
          <w:p w:rsidR="00E40684" w:rsidRDefault="00E40684" w:rsidP="00AA4F9A">
            <w:pPr>
              <w:pStyle w:val="BodyText"/>
              <w:tabs>
                <w:tab w:val="left" w:pos="450"/>
              </w:tabs>
              <w:spacing w:before="120" w:line="276" w:lineRule="auto"/>
              <w:rPr>
                <w:rFonts w:ascii="Arial" w:hAnsi="Arial" w:cs="Arial"/>
                <w:sz w:val="22"/>
                <w:szCs w:val="22"/>
              </w:rPr>
            </w:pPr>
            <w:r>
              <w:rPr>
                <w:rFonts w:ascii="Arial" w:hAnsi="Arial" w:cs="Arial"/>
                <w:sz w:val="22"/>
                <w:szCs w:val="22"/>
              </w:rPr>
              <w:t>Further information on the methods used to produce these statistics is in the Excel file which accompanies this release.</w:t>
            </w:r>
          </w:p>
          <w:p w:rsidR="00E40684" w:rsidRDefault="00E40684" w:rsidP="00AA4F9A">
            <w:pPr>
              <w:pStyle w:val="BodyText"/>
              <w:tabs>
                <w:tab w:val="left" w:pos="450"/>
              </w:tabs>
              <w:spacing w:before="120" w:line="276" w:lineRule="auto"/>
              <w:rPr>
                <w:rFonts w:ascii="Arial" w:hAnsi="Arial" w:cs="Arial"/>
                <w:sz w:val="22"/>
                <w:szCs w:val="22"/>
              </w:rPr>
            </w:pPr>
            <w:r>
              <w:rPr>
                <w:rFonts w:ascii="Arial" w:hAnsi="Arial" w:cs="Arial"/>
                <w:sz w:val="22"/>
                <w:szCs w:val="22"/>
              </w:rPr>
              <w:t>Please send comments on these Experimental Statistics, and</w:t>
            </w:r>
            <w:r w:rsidR="001A1B0A">
              <w:rPr>
                <w:rFonts w:ascii="Arial" w:hAnsi="Arial" w:cs="Arial"/>
                <w:sz w:val="22"/>
                <w:szCs w:val="22"/>
              </w:rPr>
              <w:t xml:space="preserve"> any</w:t>
            </w:r>
            <w:r>
              <w:rPr>
                <w:rFonts w:ascii="Arial" w:hAnsi="Arial" w:cs="Arial"/>
                <w:sz w:val="22"/>
                <w:szCs w:val="22"/>
              </w:rPr>
              <w:t xml:space="preserve"> other aspects of this release, to </w:t>
            </w:r>
            <w:hyperlink r:id="rId23" w:history="1">
              <w:r w:rsidRPr="00E720D8">
                <w:rPr>
                  <w:rStyle w:val="Hyperlink"/>
                  <w:rFonts w:ascii="Arial" w:hAnsi="Arial" w:cs="Arial"/>
                  <w:sz w:val="22"/>
                  <w:szCs w:val="22"/>
                </w:rPr>
                <w:t>statistics@insolvency.gsi.gov.uk</w:t>
              </w:r>
            </w:hyperlink>
            <w:r>
              <w:rPr>
                <w:rFonts w:ascii="Arial" w:hAnsi="Arial" w:cs="Arial"/>
                <w:sz w:val="22"/>
                <w:szCs w:val="22"/>
              </w:rPr>
              <w:t xml:space="preserve"> </w:t>
            </w:r>
          </w:p>
        </w:tc>
      </w:tr>
    </w:tbl>
    <w:p w:rsidR="007246FC" w:rsidRDefault="007246FC" w:rsidP="00431779">
      <w:pPr>
        <w:spacing w:line="276" w:lineRule="auto"/>
        <w:rPr>
          <w:rFonts w:ascii="Arial" w:hAnsi="Arial" w:cs="Arial"/>
          <w:sz w:val="22"/>
          <w:szCs w:val="22"/>
        </w:rPr>
      </w:pPr>
    </w:p>
    <w:p w:rsidR="00A21F44" w:rsidRPr="00C8419B" w:rsidRDefault="00A21F44"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As Figure </w:t>
      </w:r>
      <w:r w:rsidR="00791A86" w:rsidRPr="00C8419B">
        <w:rPr>
          <w:rFonts w:ascii="Arial" w:hAnsi="Arial" w:cs="Arial"/>
          <w:color w:val="000000"/>
          <w:sz w:val="22"/>
          <w:szCs w:val="22"/>
        </w:rPr>
        <w:t>7</w:t>
      </w:r>
      <w:r w:rsidRPr="00C8419B">
        <w:rPr>
          <w:rFonts w:ascii="Arial" w:hAnsi="Arial" w:cs="Arial"/>
          <w:color w:val="000000"/>
          <w:sz w:val="22"/>
          <w:szCs w:val="22"/>
        </w:rPr>
        <w:t xml:space="preserve"> shows, in</w:t>
      </w:r>
      <w:r w:rsidR="00F07D35">
        <w:rPr>
          <w:rFonts w:ascii="Arial" w:hAnsi="Arial" w:cs="Arial"/>
          <w:color w:val="000000"/>
          <w:sz w:val="22"/>
          <w:szCs w:val="22"/>
        </w:rPr>
        <w:t xml:space="preserve"> the twelve months ending</w:t>
      </w:r>
      <w:r w:rsidRPr="00C8419B">
        <w:rPr>
          <w:rFonts w:ascii="Arial" w:hAnsi="Arial" w:cs="Arial"/>
          <w:color w:val="000000"/>
          <w:sz w:val="22"/>
          <w:szCs w:val="22"/>
        </w:rPr>
        <w:t xml:space="preserve"> </w:t>
      </w:r>
      <w:r w:rsidR="003170B4">
        <w:rPr>
          <w:rFonts w:ascii="Arial" w:hAnsi="Arial" w:cs="Arial"/>
          <w:color w:val="000000"/>
          <w:sz w:val="22"/>
          <w:szCs w:val="22"/>
        </w:rPr>
        <w:t>Q</w:t>
      </w:r>
      <w:r w:rsidR="00F07D35">
        <w:rPr>
          <w:rFonts w:ascii="Arial" w:hAnsi="Arial" w:cs="Arial"/>
          <w:color w:val="000000"/>
          <w:sz w:val="22"/>
          <w:szCs w:val="22"/>
        </w:rPr>
        <w:t>1</w:t>
      </w:r>
      <w:r w:rsidRPr="00C8419B">
        <w:rPr>
          <w:rFonts w:ascii="Arial" w:hAnsi="Arial" w:cs="Arial"/>
          <w:color w:val="000000"/>
          <w:sz w:val="22"/>
          <w:szCs w:val="22"/>
        </w:rPr>
        <w:t xml:space="preserve"> 201</w:t>
      </w:r>
      <w:r w:rsidR="003170B4">
        <w:rPr>
          <w:rFonts w:ascii="Arial" w:hAnsi="Arial" w:cs="Arial"/>
          <w:color w:val="000000"/>
          <w:sz w:val="22"/>
          <w:szCs w:val="22"/>
        </w:rPr>
        <w:t>4</w:t>
      </w:r>
      <w:r w:rsidRPr="00C8419B">
        <w:rPr>
          <w:rFonts w:ascii="Arial" w:hAnsi="Arial" w:cs="Arial"/>
          <w:color w:val="000000"/>
          <w:sz w:val="22"/>
          <w:szCs w:val="22"/>
        </w:rPr>
        <w:t>, the highest number of total liquidations was i</w:t>
      </w:r>
      <w:r w:rsidR="00EA00EA">
        <w:rPr>
          <w:rFonts w:ascii="Arial" w:hAnsi="Arial" w:cs="Arial"/>
          <w:color w:val="000000"/>
          <w:sz w:val="22"/>
          <w:szCs w:val="22"/>
        </w:rPr>
        <w:t>n the construction sector (</w:t>
      </w:r>
      <w:r w:rsidR="00F07D35">
        <w:rPr>
          <w:rFonts w:ascii="Arial" w:hAnsi="Arial" w:cs="Arial"/>
          <w:color w:val="000000"/>
          <w:sz w:val="22"/>
          <w:szCs w:val="22"/>
        </w:rPr>
        <w:t>2,614</w:t>
      </w:r>
      <w:r w:rsidRPr="00C8419B">
        <w:rPr>
          <w:rFonts w:ascii="Arial" w:hAnsi="Arial" w:cs="Arial"/>
          <w:color w:val="000000"/>
          <w:sz w:val="22"/>
          <w:szCs w:val="22"/>
        </w:rPr>
        <w:t xml:space="preserve"> – d</w:t>
      </w:r>
      <w:r w:rsidR="00EA00EA">
        <w:rPr>
          <w:rFonts w:ascii="Arial" w:hAnsi="Arial" w:cs="Arial"/>
          <w:color w:val="000000"/>
          <w:sz w:val="22"/>
          <w:szCs w:val="22"/>
        </w:rPr>
        <w:t xml:space="preserve">own </w:t>
      </w:r>
      <w:r w:rsidR="00F07D35">
        <w:rPr>
          <w:rFonts w:ascii="Arial" w:hAnsi="Arial" w:cs="Arial"/>
          <w:color w:val="000000"/>
          <w:sz w:val="22"/>
          <w:szCs w:val="22"/>
        </w:rPr>
        <w:t>1.9</w:t>
      </w:r>
      <w:r w:rsidRPr="00C8419B">
        <w:rPr>
          <w:rFonts w:ascii="Arial" w:hAnsi="Arial" w:cs="Arial"/>
          <w:color w:val="000000"/>
          <w:sz w:val="22"/>
          <w:szCs w:val="22"/>
        </w:rPr>
        <w:t>% from</w:t>
      </w:r>
      <w:r w:rsidR="00B35ED3">
        <w:rPr>
          <w:rFonts w:ascii="Arial" w:hAnsi="Arial" w:cs="Arial"/>
          <w:color w:val="000000"/>
          <w:sz w:val="22"/>
          <w:szCs w:val="22"/>
        </w:rPr>
        <w:t xml:space="preserve"> the 12 months ending</w:t>
      </w:r>
      <w:r w:rsidRPr="00C8419B">
        <w:rPr>
          <w:rFonts w:ascii="Arial" w:hAnsi="Arial" w:cs="Arial"/>
          <w:color w:val="000000"/>
          <w:sz w:val="22"/>
          <w:szCs w:val="22"/>
        </w:rPr>
        <w:t xml:space="preserve"> </w:t>
      </w:r>
      <w:r w:rsidR="00EA00EA">
        <w:rPr>
          <w:rFonts w:ascii="Arial" w:hAnsi="Arial" w:cs="Arial"/>
          <w:color w:val="000000"/>
          <w:sz w:val="22"/>
          <w:szCs w:val="22"/>
        </w:rPr>
        <w:t>Q</w:t>
      </w:r>
      <w:r w:rsidR="00F07D35">
        <w:rPr>
          <w:rFonts w:ascii="Arial" w:hAnsi="Arial" w:cs="Arial"/>
          <w:color w:val="000000"/>
          <w:sz w:val="22"/>
          <w:szCs w:val="22"/>
        </w:rPr>
        <w:t>4</w:t>
      </w:r>
      <w:r w:rsidR="00EA00EA">
        <w:rPr>
          <w:rFonts w:ascii="Arial" w:hAnsi="Arial" w:cs="Arial"/>
          <w:color w:val="000000"/>
          <w:sz w:val="22"/>
          <w:szCs w:val="22"/>
        </w:rPr>
        <w:t xml:space="preserve"> 201</w:t>
      </w:r>
      <w:r w:rsidR="00F07D35">
        <w:rPr>
          <w:rFonts w:ascii="Arial" w:hAnsi="Arial" w:cs="Arial"/>
          <w:color w:val="000000"/>
          <w:sz w:val="22"/>
          <w:szCs w:val="22"/>
        </w:rPr>
        <w:t>3</w:t>
      </w:r>
      <w:r w:rsidRPr="00C8419B">
        <w:rPr>
          <w:rFonts w:ascii="Arial" w:hAnsi="Arial" w:cs="Arial"/>
          <w:color w:val="000000"/>
          <w:sz w:val="22"/>
          <w:szCs w:val="22"/>
        </w:rPr>
        <w:t>). This comprised 6</w:t>
      </w:r>
      <w:r w:rsidR="00F07D35">
        <w:rPr>
          <w:rFonts w:ascii="Arial" w:hAnsi="Arial" w:cs="Arial"/>
          <w:color w:val="000000"/>
          <w:sz w:val="22"/>
          <w:szCs w:val="22"/>
        </w:rPr>
        <w:t>94</w:t>
      </w:r>
      <w:r w:rsidRPr="00C8419B">
        <w:rPr>
          <w:rFonts w:ascii="Arial" w:hAnsi="Arial" w:cs="Arial"/>
          <w:color w:val="000000"/>
          <w:sz w:val="22"/>
          <w:szCs w:val="22"/>
        </w:rPr>
        <w:t xml:space="preserve"> compulsory liquidations (</w:t>
      </w:r>
      <w:r w:rsidR="003954D0">
        <w:rPr>
          <w:rFonts w:ascii="Arial" w:hAnsi="Arial" w:cs="Arial"/>
          <w:color w:val="000000"/>
          <w:sz w:val="22"/>
          <w:szCs w:val="22"/>
        </w:rPr>
        <w:t>down 4.5</w:t>
      </w:r>
      <w:r w:rsidR="00EA00EA">
        <w:rPr>
          <w:rFonts w:ascii="Arial" w:hAnsi="Arial" w:cs="Arial"/>
          <w:color w:val="000000"/>
          <w:sz w:val="22"/>
          <w:szCs w:val="22"/>
        </w:rPr>
        <w:t>%) and 1,920</w:t>
      </w:r>
      <w:r w:rsidRPr="00C8419B">
        <w:rPr>
          <w:rFonts w:ascii="Arial" w:hAnsi="Arial" w:cs="Arial"/>
          <w:color w:val="000000"/>
          <w:sz w:val="22"/>
          <w:szCs w:val="22"/>
        </w:rPr>
        <w:t xml:space="preserve"> creditors</w:t>
      </w:r>
      <w:r w:rsidR="00EA00EA">
        <w:rPr>
          <w:rFonts w:ascii="Arial" w:hAnsi="Arial" w:cs="Arial"/>
          <w:color w:val="000000"/>
          <w:sz w:val="22"/>
          <w:szCs w:val="22"/>
        </w:rPr>
        <w:t>’ voluntary liquidations (down 3</w:t>
      </w:r>
      <w:r w:rsidRPr="00C8419B">
        <w:rPr>
          <w:rFonts w:ascii="Arial" w:hAnsi="Arial" w:cs="Arial"/>
          <w:color w:val="000000"/>
          <w:sz w:val="22"/>
          <w:szCs w:val="22"/>
        </w:rPr>
        <w:t>.</w:t>
      </w:r>
      <w:r w:rsidR="003954D0">
        <w:rPr>
          <w:rFonts w:ascii="Arial" w:hAnsi="Arial" w:cs="Arial"/>
          <w:color w:val="000000"/>
          <w:sz w:val="22"/>
          <w:szCs w:val="22"/>
        </w:rPr>
        <w:t>7</w:t>
      </w:r>
      <w:r w:rsidRPr="00C8419B">
        <w:rPr>
          <w:rFonts w:ascii="Arial" w:hAnsi="Arial" w:cs="Arial"/>
          <w:color w:val="000000"/>
          <w:sz w:val="22"/>
          <w:szCs w:val="22"/>
        </w:rPr>
        <w:t>%).</w:t>
      </w:r>
    </w:p>
    <w:p w:rsidR="00A21F44" w:rsidRDefault="00A21F44"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w:t>
      </w:r>
      <w:r w:rsidR="00B35ED3">
        <w:rPr>
          <w:rFonts w:ascii="Arial" w:hAnsi="Arial" w:cs="Arial"/>
          <w:color w:val="000000"/>
          <w:sz w:val="22"/>
          <w:szCs w:val="22"/>
        </w:rPr>
        <w:t>e second highest number of 2,181</w:t>
      </w:r>
      <w:r w:rsidRPr="00C8419B">
        <w:rPr>
          <w:rFonts w:ascii="Arial" w:hAnsi="Arial" w:cs="Arial"/>
          <w:color w:val="000000"/>
          <w:sz w:val="22"/>
          <w:szCs w:val="22"/>
        </w:rPr>
        <w:t xml:space="preserve"> liquidations was seen in the wholesale and retail trade sector (3</w:t>
      </w:r>
      <w:r w:rsidR="00B35ED3">
        <w:rPr>
          <w:rFonts w:ascii="Arial" w:hAnsi="Arial" w:cs="Arial"/>
          <w:color w:val="000000"/>
          <w:sz w:val="22"/>
          <w:szCs w:val="22"/>
        </w:rPr>
        <w:t>34</w:t>
      </w:r>
      <w:r w:rsidRPr="00C8419B">
        <w:rPr>
          <w:rFonts w:ascii="Arial" w:hAnsi="Arial" w:cs="Arial"/>
          <w:color w:val="000000"/>
          <w:sz w:val="22"/>
          <w:szCs w:val="22"/>
        </w:rPr>
        <w:t xml:space="preserve"> c</w:t>
      </w:r>
      <w:r w:rsidR="00B35ED3">
        <w:rPr>
          <w:rFonts w:ascii="Arial" w:hAnsi="Arial" w:cs="Arial"/>
          <w:color w:val="000000"/>
          <w:sz w:val="22"/>
          <w:szCs w:val="22"/>
        </w:rPr>
        <w:t>ompulsory liquidations, and 1,847</w:t>
      </w:r>
      <w:r w:rsidRPr="00C8419B">
        <w:rPr>
          <w:rFonts w:ascii="Arial" w:hAnsi="Arial" w:cs="Arial"/>
          <w:color w:val="000000"/>
          <w:sz w:val="22"/>
          <w:szCs w:val="22"/>
        </w:rPr>
        <w:t xml:space="preserve"> creditors’ voluntary liquidations). </w:t>
      </w:r>
      <w:r w:rsidR="00C8419B" w:rsidRPr="00C8419B">
        <w:rPr>
          <w:rFonts w:ascii="Arial" w:hAnsi="Arial" w:cs="Arial"/>
          <w:color w:val="000000"/>
          <w:sz w:val="22"/>
          <w:szCs w:val="22"/>
        </w:rPr>
        <w:t>Overall, t</w:t>
      </w:r>
      <w:r w:rsidRPr="00C8419B">
        <w:rPr>
          <w:rFonts w:ascii="Arial" w:hAnsi="Arial" w:cs="Arial"/>
          <w:color w:val="000000"/>
          <w:sz w:val="22"/>
          <w:szCs w:val="22"/>
        </w:rPr>
        <w:t xml:space="preserve">his was </w:t>
      </w:r>
      <w:r w:rsidR="003954D0">
        <w:rPr>
          <w:rFonts w:ascii="Arial" w:hAnsi="Arial" w:cs="Arial"/>
          <w:color w:val="000000"/>
          <w:sz w:val="22"/>
          <w:szCs w:val="22"/>
        </w:rPr>
        <w:t>a decrease of 1.1</w:t>
      </w:r>
      <w:r w:rsidRPr="00C8419B">
        <w:rPr>
          <w:rFonts w:ascii="Arial" w:hAnsi="Arial" w:cs="Arial"/>
          <w:color w:val="000000"/>
          <w:sz w:val="22"/>
          <w:szCs w:val="22"/>
        </w:rPr>
        <w:t>% compared t</w:t>
      </w:r>
      <w:r w:rsidR="00B35ED3">
        <w:rPr>
          <w:rFonts w:ascii="Arial" w:hAnsi="Arial" w:cs="Arial"/>
          <w:color w:val="000000"/>
          <w:sz w:val="22"/>
          <w:szCs w:val="22"/>
        </w:rPr>
        <w:t>o the 12 months ending Q4</w:t>
      </w:r>
      <w:r w:rsidR="00C8419B" w:rsidRPr="00C8419B">
        <w:rPr>
          <w:rFonts w:ascii="Arial" w:hAnsi="Arial" w:cs="Arial"/>
          <w:color w:val="000000"/>
          <w:sz w:val="22"/>
          <w:szCs w:val="22"/>
        </w:rPr>
        <w:t xml:space="preserve"> 2013.</w:t>
      </w:r>
    </w:p>
    <w:p w:rsidR="00DA7F0F" w:rsidRDefault="00C8419B"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w:t>
      </w:r>
      <w:r w:rsidR="00A21F44" w:rsidRPr="00C8419B">
        <w:rPr>
          <w:rFonts w:ascii="Arial" w:hAnsi="Arial" w:cs="Arial"/>
          <w:color w:val="000000"/>
          <w:sz w:val="22"/>
          <w:szCs w:val="22"/>
        </w:rPr>
        <w:t>he</w:t>
      </w:r>
      <w:r w:rsidRPr="00C8419B">
        <w:rPr>
          <w:rFonts w:ascii="Arial" w:hAnsi="Arial" w:cs="Arial"/>
          <w:color w:val="000000"/>
          <w:sz w:val="22"/>
          <w:szCs w:val="22"/>
        </w:rPr>
        <w:t xml:space="preserve">se statistics </w:t>
      </w:r>
      <w:r w:rsidR="00A21F44" w:rsidRPr="00C8419B">
        <w:rPr>
          <w:rFonts w:ascii="Arial" w:hAnsi="Arial" w:cs="Arial"/>
          <w:color w:val="000000"/>
          <w:sz w:val="22"/>
          <w:szCs w:val="22"/>
        </w:rPr>
        <w:t>do not take into account the base population of com</w:t>
      </w:r>
      <w:r w:rsidR="00AA4F9A" w:rsidRPr="00C8419B">
        <w:rPr>
          <w:rFonts w:ascii="Arial" w:hAnsi="Arial" w:cs="Arial"/>
          <w:color w:val="000000"/>
          <w:sz w:val="22"/>
          <w:szCs w:val="22"/>
        </w:rPr>
        <w:t>panies in each industry sector</w:t>
      </w:r>
      <w:r w:rsidRPr="00C8419B">
        <w:rPr>
          <w:rFonts w:ascii="Arial" w:hAnsi="Arial" w:cs="Arial"/>
          <w:color w:val="000000"/>
          <w:sz w:val="22"/>
          <w:szCs w:val="22"/>
        </w:rPr>
        <w:t xml:space="preserve"> as this information is not currently available</w:t>
      </w:r>
      <w:r w:rsidR="00AA4F9A" w:rsidRPr="00C8419B">
        <w:rPr>
          <w:rFonts w:ascii="Arial" w:hAnsi="Arial" w:cs="Arial"/>
          <w:color w:val="000000"/>
          <w:sz w:val="22"/>
          <w:szCs w:val="22"/>
        </w:rPr>
        <w:t>.</w:t>
      </w:r>
      <w:r w:rsidRPr="00C8419B">
        <w:rPr>
          <w:rFonts w:ascii="Arial" w:hAnsi="Arial" w:cs="Arial"/>
          <w:color w:val="000000"/>
          <w:sz w:val="22"/>
          <w:szCs w:val="22"/>
        </w:rPr>
        <w:t xml:space="preserve"> This means that it is not possible to say whether the rate of liquidations in, for instance, the construction industry was different to the overall rate</w:t>
      </w:r>
      <w:r w:rsidR="00DA7F0F">
        <w:rPr>
          <w:rFonts w:ascii="Arial" w:hAnsi="Arial" w:cs="Arial"/>
          <w:color w:val="000000"/>
          <w:sz w:val="22"/>
          <w:szCs w:val="22"/>
        </w:rPr>
        <w:t>.</w:t>
      </w:r>
    </w:p>
    <w:p w:rsidR="00BA3F92" w:rsidRDefault="00BA3F92" w:rsidP="00BA3F92">
      <w:pPr>
        <w:rPr>
          <w:color w:val="1F497D"/>
        </w:rPr>
      </w:pPr>
    </w:p>
    <w:p w:rsidR="00BA3F92" w:rsidRDefault="003D08FA"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 xml:space="preserve">The five industry sectors </w:t>
      </w:r>
      <w:r w:rsidR="00107003">
        <w:rPr>
          <w:rFonts w:ascii="Arial" w:hAnsi="Arial" w:cs="Arial"/>
          <w:color w:val="000000"/>
          <w:sz w:val="22"/>
          <w:szCs w:val="22"/>
        </w:rPr>
        <w:t xml:space="preserve">with the highest number of compulsory liquidations have been </w:t>
      </w:r>
      <w:r>
        <w:rPr>
          <w:rFonts w:ascii="Arial" w:hAnsi="Arial" w:cs="Arial"/>
          <w:color w:val="000000"/>
          <w:sz w:val="22"/>
          <w:szCs w:val="22"/>
        </w:rPr>
        <w:t xml:space="preserve">the same (though sometimes in a different order) since the 12 months ending Q2 2010: </w:t>
      </w:r>
      <w:r w:rsidR="00107003">
        <w:rPr>
          <w:rFonts w:ascii="Arial" w:hAnsi="Arial" w:cs="Arial"/>
          <w:color w:val="000000"/>
          <w:sz w:val="22"/>
          <w:szCs w:val="22"/>
        </w:rPr>
        <w:t>‘Construction’</w:t>
      </w:r>
      <w:r>
        <w:rPr>
          <w:rFonts w:ascii="Arial" w:hAnsi="Arial" w:cs="Arial"/>
          <w:color w:val="000000"/>
          <w:sz w:val="22"/>
          <w:szCs w:val="22"/>
        </w:rPr>
        <w:t>;</w:t>
      </w:r>
      <w:r w:rsidR="00107003">
        <w:rPr>
          <w:rFonts w:ascii="Arial" w:hAnsi="Arial" w:cs="Arial"/>
          <w:color w:val="000000"/>
          <w:sz w:val="22"/>
          <w:szCs w:val="22"/>
        </w:rPr>
        <w:t xml:space="preserve"> ‘</w:t>
      </w:r>
      <w:r w:rsidR="00F07D35">
        <w:rPr>
          <w:rFonts w:ascii="Arial" w:hAnsi="Arial" w:cs="Arial"/>
          <w:color w:val="000000"/>
          <w:sz w:val="22"/>
          <w:szCs w:val="22"/>
        </w:rPr>
        <w:t>Wholesale</w:t>
      </w:r>
      <w:r w:rsidR="00107003">
        <w:rPr>
          <w:rFonts w:ascii="Arial" w:hAnsi="Arial" w:cs="Arial"/>
          <w:color w:val="000000"/>
          <w:sz w:val="22"/>
          <w:szCs w:val="22"/>
        </w:rPr>
        <w:t xml:space="preserve"> and retail trade; repair of motor vehicles and motorcycles’</w:t>
      </w:r>
      <w:r w:rsidR="00BA3F92">
        <w:rPr>
          <w:rFonts w:ascii="Arial" w:hAnsi="Arial" w:cs="Arial"/>
          <w:color w:val="000000"/>
          <w:sz w:val="22"/>
          <w:szCs w:val="22"/>
        </w:rPr>
        <w:t xml:space="preserve">; </w:t>
      </w:r>
      <w:r w:rsidR="00F07D35">
        <w:rPr>
          <w:rFonts w:ascii="Arial" w:hAnsi="Arial" w:cs="Arial"/>
          <w:color w:val="000000"/>
          <w:sz w:val="22"/>
          <w:szCs w:val="22"/>
        </w:rPr>
        <w:t>‘</w:t>
      </w:r>
      <w:r w:rsidR="00BA3F92">
        <w:rPr>
          <w:rFonts w:ascii="Arial" w:hAnsi="Arial" w:cs="Arial"/>
          <w:color w:val="000000"/>
          <w:sz w:val="22"/>
          <w:szCs w:val="22"/>
        </w:rPr>
        <w:t>accommodation and food service activities</w:t>
      </w:r>
      <w:r w:rsidR="00F07D35">
        <w:rPr>
          <w:rFonts w:ascii="Arial" w:hAnsi="Arial" w:cs="Arial"/>
          <w:color w:val="000000"/>
          <w:sz w:val="22"/>
          <w:szCs w:val="22"/>
        </w:rPr>
        <w:t>’</w:t>
      </w:r>
      <w:r w:rsidR="00BA3F92">
        <w:rPr>
          <w:rFonts w:ascii="Arial" w:hAnsi="Arial" w:cs="Arial"/>
          <w:color w:val="000000"/>
          <w:sz w:val="22"/>
          <w:szCs w:val="22"/>
        </w:rPr>
        <w:t>;</w:t>
      </w:r>
      <w:r w:rsidR="00B13E17">
        <w:rPr>
          <w:rFonts w:ascii="Arial" w:hAnsi="Arial" w:cs="Arial"/>
          <w:color w:val="000000"/>
          <w:sz w:val="22"/>
          <w:szCs w:val="22"/>
        </w:rPr>
        <w:t xml:space="preserve"> </w:t>
      </w:r>
      <w:r w:rsidR="00F07D35">
        <w:rPr>
          <w:rFonts w:ascii="Arial" w:hAnsi="Arial" w:cs="Arial"/>
          <w:color w:val="000000"/>
          <w:sz w:val="22"/>
          <w:szCs w:val="22"/>
        </w:rPr>
        <w:t>‘</w:t>
      </w:r>
      <w:r w:rsidR="00BA3F92">
        <w:rPr>
          <w:rFonts w:ascii="Arial" w:hAnsi="Arial" w:cs="Arial"/>
          <w:color w:val="000000"/>
          <w:sz w:val="22"/>
          <w:szCs w:val="22"/>
        </w:rPr>
        <w:t xml:space="preserve">administrative </w:t>
      </w:r>
      <w:r w:rsidR="00107003">
        <w:rPr>
          <w:rFonts w:ascii="Arial" w:hAnsi="Arial" w:cs="Arial"/>
          <w:color w:val="000000"/>
          <w:sz w:val="22"/>
          <w:szCs w:val="22"/>
        </w:rPr>
        <w:t xml:space="preserve">and support service </w:t>
      </w:r>
      <w:r w:rsidR="0062491E">
        <w:rPr>
          <w:rFonts w:ascii="Arial" w:hAnsi="Arial" w:cs="Arial"/>
          <w:color w:val="000000"/>
          <w:sz w:val="22"/>
          <w:szCs w:val="22"/>
        </w:rPr>
        <w:t>activities</w:t>
      </w:r>
      <w:r w:rsidR="00F07D35">
        <w:rPr>
          <w:rFonts w:ascii="Arial" w:hAnsi="Arial" w:cs="Arial"/>
          <w:color w:val="000000"/>
          <w:sz w:val="22"/>
          <w:szCs w:val="22"/>
        </w:rPr>
        <w:t>’</w:t>
      </w:r>
      <w:r w:rsidR="00107003">
        <w:rPr>
          <w:rFonts w:ascii="Arial" w:hAnsi="Arial" w:cs="Arial"/>
          <w:color w:val="000000"/>
          <w:sz w:val="22"/>
          <w:szCs w:val="22"/>
        </w:rPr>
        <w:t xml:space="preserve">; </w:t>
      </w:r>
      <w:r w:rsidR="003D5600">
        <w:rPr>
          <w:rFonts w:ascii="Arial" w:hAnsi="Arial" w:cs="Arial"/>
          <w:color w:val="000000"/>
          <w:sz w:val="22"/>
          <w:szCs w:val="22"/>
        </w:rPr>
        <w:t xml:space="preserve">and </w:t>
      </w:r>
      <w:r w:rsidR="00F07D35">
        <w:rPr>
          <w:rFonts w:ascii="Arial" w:hAnsi="Arial" w:cs="Arial"/>
          <w:color w:val="000000"/>
          <w:sz w:val="22"/>
          <w:szCs w:val="22"/>
        </w:rPr>
        <w:t>‘</w:t>
      </w:r>
      <w:r w:rsidR="00107003">
        <w:rPr>
          <w:rFonts w:ascii="Arial" w:hAnsi="Arial" w:cs="Arial"/>
          <w:color w:val="000000"/>
          <w:sz w:val="22"/>
          <w:szCs w:val="22"/>
        </w:rPr>
        <w:t>information and communication.</w:t>
      </w:r>
      <w:r w:rsidR="00F07D35">
        <w:rPr>
          <w:rFonts w:ascii="Arial" w:hAnsi="Arial" w:cs="Arial"/>
          <w:color w:val="000000"/>
          <w:sz w:val="22"/>
          <w:szCs w:val="22"/>
        </w:rPr>
        <w:t>’</w:t>
      </w:r>
    </w:p>
    <w:p w:rsidR="00AF5EF3" w:rsidRPr="004B5F99" w:rsidRDefault="00107003" w:rsidP="004B5F99">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For creditors’ voluntary liquidations</w:t>
      </w:r>
      <w:r w:rsidR="003D08FA">
        <w:rPr>
          <w:rFonts w:ascii="Arial" w:hAnsi="Arial" w:cs="Arial"/>
          <w:color w:val="000000"/>
          <w:sz w:val="22"/>
          <w:szCs w:val="22"/>
        </w:rPr>
        <w:t>,</w:t>
      </w:r>
      <w:r>
        <w:rPr>
          <w:rFonts w:ascii="Arial" w:hAnsi="Arial" w:cs="Arial"/>
          <w:color w:val="000000"/>
          <w:sz w:val="22"/>
          <w:szCs w:val="22"/>
        </w:rPr>
        <w:t xml:space="preserve"> the five sector</w:t>
      </w:r>
      <w:r w:rsidR="00F07D35">
        <w:rPr>
          <w:rFonts w:ascii="Arial" w:hAnsi="Arial" w:cs="Arial"/>
          <w:color w:val="000000"/>
          <w:sz w:val="22"/>
          <w:szCs w:val="22"/>
        </w:rPr>
        <w:t>s</w:t>
      </w:r>
      <w:r>
        <w:rPr>
          <w:rFonts w:ascii="Arial" w:hAnsi="Arial" w:cs="Arial"/>
          <w:color w:val="000000"/>
          <w:sz w:val="22"/>
          <w:szCs w:val="22"/>
        </w:rPr>
        <w:t xml:space="preserve"> with the highest number of creditors’ voluntary liquidations </w:t>
      </w:r>
      <w:r w:rsidR="003D08FA">
        <w:rPr>
          <w:rFonts w:ascii="Arial" w:hAnsi="Arial" w:cs="Arial"/>
          <w:color w:val="000000"/>
          <w:sz w:val="22"/>
          <w:szCs w:val="22"/>
        </w:rPr>
        <w:t xml:space="preserve">are the same as for compulsory liquidations, except for the inclusion of ‘Manufacturing’ for CVLs in place of ‘information and communication’. These five sectors </w:t>
      </w:r>
      <w:r>
        <w:rPr>
          <w:rFonts w:ascii="Arial" w:hAnsi="Arial" w:cs="Arial"/>
          <w:color w:val="000000"/>
          <w:sz w:val="22"/>
          <w:szCs w:val="22"/>
        </w:rPr>
        <w:t>have been</w:t>
      </w:r>
      <w:r w:rsidR="003D08FA">
        <w:rPr>
          <w:rFonts w:ascii="Arial" w:hAnsi="Arial" w:cs="Arial"/>
          <w:color w:val="000000"/>
          <w:sz w:val="22"/>
          <w:szCs w:val="22"/>
        </w:rPr>
        <w:t xml:space="preserve"> the same (though sometimes in a different order) since the 12 months ending Q4 2009.</w:t>
      </w:r>
      <w:r w:rsidR="004B5F99">
        <w:rPr>
          <w:rFonts w:ascii="Arial" w:hAnsi="Arial" w:cs="Arial"/>
          <w:color w:val="000000"/>
          <w:sz w:val="22"/>
          <w:szCs w:val="22"/>
        </w:rPr>
        <w:t xml:space="preserve"> </w:t>
      </w:r>
    </w:p>
    <w:p w:rsidR="00AF5EF3" w:rsidRDefault="00AF5EF3" w:rsidP="004C7DFB">
      <w:pPr>
        <w:pStyle w:val="BodyText"/>
        <w:tabs>
          <w:tab w:val="left" w:pos="450"/>
        </w:tabs>
        <w:spacing w:before="120" w:after="0"/>
        <w:rPr>
          <w:rFonts w:ascii="Arial" w:hAnsi="Arial" w:cs="Arial"/>
          <w:sz w:val="20"/>
          <w:szCs w:val="20"/>
        </w:rPr>
      </w:pPr>
    </w:p>
    <w:p w:rsidR="00AF5EF3" w:rsidRDefault="00AF5EF3" w:rsidP="004C7DFB">
      <w:pPr>
        <w:pStyle w:val="BodyText"/>
        <w:tabs>
          <w:tab w:val="left" w:pos="450"/>
        </w:tabs>
        <w:spacing w:before="120" w:after="0"/>
        <w:rPr>
          <w:rFonts w:ascii="Arial" w:hAnsi="Arial" w:cs="Arial"/>
          <w:sz w:val="20"/>
          <w:szCs w:val="20"/>
        </w:rPr>
      </w:pPr>
    </w:p>
    <w:p w:rsidR="00A60A71" w:rsidRPr="007F0439" w:rsidRDefault="00791A86" w:rsidP="00EB220A">
      <w:pPr>
        <w:pStyle w:val="BodyText"/>
        <w:keepNext/>
        <w:pBdr>
          <w:bottom w:val="single" w:sz="4" w:space="1" w:color="auto"/>
        </w:pBdr>
        <w:tabs>
          <w:tab w:val="left" w:pos="450"/>
        </w:tabs>
        <w:spacing w:before="120" w:after="0" w:line="276" w:lineRule="auto"/>
        <w:rPr>
          <w:rFonts w:ascii="Arial" w:hAnsi="Arial" w:cs="Arial"/>
          <w:b/>
          <w:sz w:val="22"/>
          <w:szCs w:val="22"/>
        </w:rPr>
      </w:pPr>
      <w:r>
        <w:rPr>
          <w:rFonts w:ascii="Arial" w:hAnsi="Arial" w:cs="Arial"/>
          <w:b/>
          <w:sz w:val="22"/>
          <w:szCs w:val="22"/>
        </w:rPr>
        <w:lastRenderedPageBreak/>
        <w:t xml:space="preserve">Figure 7: </w:t>
      </w:r>
      <w:r w:rsidR="00A60A71" w:rsidRPr="007F0439">
        <w:rPr>
          <w:rFonts w:ascii="Arial" w:hAnsi="Arial" w:cs="Arial"/>
          <w:b/>
          <w:sz w:val="22"/>
          <w:szCs w:val="22"/>
        </w:rPr>
        <w:t xml:space="preserve">Total </w:t>
      </w:r>
      <w:r w:rsidR="003D5600">
        <w:rPr>
          <w:rFonts w:ascii="Arial" w:hAnsi="Arial" w:cs="Arial"/>
          <w:b/>
          <w:sz w:val="22"/>
          <w:szCs w:val="22"/>
        </w:rPr>
        <w:t>c</w:t>
      </w:r>
      <w:r w:rsidR="00A60A71" w:rsidRPr="007F0439">
        <w:rPr>
          <w:rFonts w:ascii="Arial" w:hAnsi="Arial" w:cs="Arial"/>
          <w:b/>
          <w:sz w:val="22"/>
          <w:szCs w:val="22"/>
        </w:rPr>
        <w:t xml:space="preserve">ompany </w:t>
      </w:r>
      <w:r w:rsidR="003D5600">
        <w:rPr>
          <w:rFonts w:ascii="Arial" w:hAnsi="Arial" w:cs="Arial"/>
          <w:b/>
          <w:sz w:val="22"/>
          <w:szCs w:val="22"/>
        </w:rPr>
        <w:t>l</w:t>
      </w:r>
      <w:r w:rsidR="00A60A71" w:rsidRPr="007F0439">
        <w:rPr>
          <w:rFonts w:ascii="Arial" w:hAnsi="Arial" w:cs="Arial"/>
          <w:b/>
          <w:sz w:val="22"/>
          <w:szCs w:val="22"/>
        </w:rPr>
        <w:t xml:space="preserve">iquidations in England &amp; Wales by </w:t>
      </w:r>
      <w:r w:rsidR="003D5600">
        <w:rPr>
          <w:rFonts w:ascii="Arial" w:hAnsi="Arial" w:cs="Arial"/>
          <w:b/>
          <w:sz w:val="22"/>
          <w:szCs w:val="22"/>
        </w:rPr>
        <w:t>b</w:t>
      </w:r>
      <w:r w:rsidR="00A60A71" w:rsidRPr="007F0439">
        <w:rPr>
          <w:rFonts w:ascii="Arial" w:hAnsi="Arial" w:cs="Arial"/>
          <w:b/>
          <w:sz w:val="22"/>
          <w:szCs w:val="22"/>
        </w:rPr>
        <w:t xml:space="preserve">road </w:t>
      </w:r>
      <w:r w:rsidR="003D5600">
        <w:rPr>
          <w:rFonts w:ascii="Arial" w:hAnsi="Arial" w:cs="Arial"/>
          <w:b/>
          <w:sz w:val="22"/>
          <w:szCs w:val="22"/>
        </w:rPr>
        <w:t>i</w:t>
      </w:r>
      <w:r w:rsidR="003170B4">
        <w:rPr>
          <w:rFonts w:ascii="Arial" w:hAnsi="Arial" w:cs="Arial"/>
          <w:b/>
          <w:sz w:val="22"/>
          <w:szCs w:val="22"/>
        </w:rPr>
        <w:t xml:space="preserve">ndustry </w:t>
      </w:r>
      <w:r w:rsidR="003D5600">
        <w:rPr>
          <w:rFonts w:ascii="Arial" w:hAnsi="Arial" w:cs="Arial"/>
          <w:b/>
          <w:sz w:val="22"/>
          <w:szCs w:val="22"/>
        </w:rPr>
        <w:t>s</w:t>
      </w:r>
      <w:r w:rsidR="003170B4">
        <w:rPr>
          <w:rFonts w:ascii="Arial" w:hAnsi="Arial" w:cs="Arial"/>
          <w:b/>
          <w:sz w:val="22"/>
          <w:szCs w:val="22"/>
        </w:rPr>
        <w:t xml:space="preserve">ector, </w:t>
      </w:r>
      <w:r w:rsidR="003D5600">
        <w:rPr>
          <w:rFonts w:ascii="Arial" w:hAnsi="Arial" w:cs="Arial"/>
          <w:b/>
          <w:sz w:val="22"/>
          <w:szCs w:val="22"/>
        </w:rPr>
        <w:t xml:space="preserve">                      </w:t>
      </w:r>
      <w:r w:rsidR="003170B4">
        <w:rPr>
          <w:rFonts w:ascii="Arial" w:hAnsi="Arial" w:cs="Arial"/>
          <w:b/>
          <w:sz w:val="22"/>
          <w:szCs w:val="22"/>
        </w:rPr>
        <w:t>year ending 2014</w:t>
      </w:r>
      <w:r w:rsidR="00A60A71" w:rsidRPr="007F0439">
        <w:rPr>
          <w:rFonts w:ascii="Arial" w:hAnsi="Arial" w:cs="Arial"/>
          <w:b/>
          <w:sz w:val="22"/>
          <w:szCs w:val="22"/>
        </w:rPr>
        <w:t xml:space="preserve"> Q</w:t>
      </w:r>
      <w:r w:rsidR="003170B4">
        <w:rPr>
          <w:rFonts w:ascii="Arial" w:hAnsi="Arial" w:cs="Arial"/>
          <w:b/>
          <w:sz w:val="22"/>
          <w:szCs w:val="22"/>
        </w:rPr>
        <w:t>1</w:t>
      </w:r>
      <w:r w:rsidR="00E40684" w:rsidRPr="00E40684">
        <w:rPr>
          <w:rFonts w:ascii="Arial" w:hAnsi="Arial" w:cs="Arial"/>
          <w:b/>
          <w:sz w:val="22"/>
          <w:szCs w:val="22"/>
          <w:vertAlign w:val="superscript"/>
        </w:rPr>
        <w:t>1</w:t>
      </w:r>
      <w:r w:rsidR="00A60A71" w:rsidRPr="007F0439">
        <w:rPr>
          <w:rFonts w:ascii="Arial" w:hAnsi="Arial" w:cs="Arial"/>
          <w:b/>
          <w:sz w:val="22"/>
          <w:szCs w:val="22"/>
        </w:rPr>
        <w:t xml:space="preserve"> </w:t>
      </w:r>
    </w:p>
    <w:p w:rsidR="00BF60A9" w:rsidRDefault="003170B4" w:rsidP="00864C6C">
      <w:pPr>
        <w:pStyle w:val="BodyText"/>
        <w:tabs>
          <w:tab w:val="left" w:pos="450"/>
        </w:tabs>
        <w:spacing w:after="0" w:line="276" w:lineRule="auto"/>
        <w:rPr>
          <w:rFonts w:ascii="Arial" w:hAnsi="Arial" w:cs="Arial"/>
          <w:sz w:val="20"/>
          <w:szCs w:val="20"/>
        </w:rPr>
      </w:pPr>
      <w:r>
        <w:rPr>
          <w:rFonts w:ascii="Arial" w:hAnsi="Arial" w:cs="Arial"/>
          <w:noProof/>
          <w:sz w:val="20"/>
          <w:szCs w:val="20"/>
          <w:lang w:eastAsia="en-GB"/>
        </w:rPr>
        <w:drawing>
          <wp:inline distT="0" distB="0" distL="0" distR="0" wp14:anchorId="65850DAB" wp14:editId="3C6A3416">
            <wp:extent cx="6661150" cy="697834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1150" cy="6978348"/>
                    </a:xfrm>
                    <a:prstGeom prst="rect">
                      <a:avLst/>
                    </a:prstGeom>
                    <a:noFill/>
                    <a:ln>
                      <a:noFill/>
                    </a:ln>
                  </pic:spPr>
                </pic:pic>
              </a:graphicData>
            </a:graphic>
          </wp:inline>
        </w:drawing>
      </w:r>
    </w:p>
    <w:p w:rsidR="00BF60A9" w:rsidRDefault="00052B79" w:rsidP="00864C6C">
      <w:pPr>
        <w:pStyle w:val="BodyText"/>
        <w:pBdr>
          <w:top w:val="single" w:sz="4" w:space="1" w:color="auto"/>
        </w:pBdr>
        <w:tabs>
          <w:tab w:val="left" w:pos="450"/>
        </w:tabs>
        <w:spacing w:after="0" w:line="276" w:lineRule="auto"/>
        <w:rPr>
          <w:rFonts w:ascii="Arial" w:hAnsi="Arial" w:cs="Arial"/>
          <w:sz w:val="20"/>
          <w:szCs w:val="20"/>
        </w:rPr>
      </w:pPr>
      <w:r w:rsidRPr="00E40684">
        <w:rPr>
          <w:rFonts w:ascii="Arial" w:hAnsi="Arial" w:cs="Arial"/>
          <w:sz w:val="20"/>
          <w:szCs w:val="20"/>
        </w:rPr>
        <w:t>Source: Insolvency Service and Companies House</w:t>
      </w:r>
    </w:p>
    <w:p w:rsidR="00E40684" w:rsidRPr="00E40684" w:rsidRDefault="00E40684" w:rsidP="00864C6C">
      <w:pPr>
        <w:pStyle w:val="BodyText"/>
        <w:pBdr>
          <w:top w:val="single" w:sz="4" w:space="1" w:color="auto"/>
        </w:pBdr>
        <w:tabs>
          <w:tab w:val="left" w:pos="450"/>
        </w:tabs>
        <w:spacing w:after="0" w:line="276" w:lineRule="auto"/>
        <w:rPr>
          <w:rFonts w:ascii="Arial" w:hAnsi="Arial" w:cs="Arial"/>
          <w:sz w:val="20"/>
          <w:szCs w:val="20"/>
        </w:rPr>
      </w:pPr>
      <w:r w:rsidRPr="008648E4">
        <w:rPr>
          <w:rFonts w:ascii="Arial" w:hAnsi="Arial" w:cs="Arial"/>
          <w:sz w:val="20"/>
          <w:szCs w:val="20"/>
          <w:vertAlign w:val="superscript"/>
        </w:rPr>
        <w:t>1</w:t>
      </w:r>
      <w:r>
        <w:rPr>
          <w:rFonts w:ascii="Arial" w:hAnsi="Arial" w:cs="Arial"/>
          <w:sz w:val="20"/>
          <w:szCs w:val="20"/>
        </w:rPr>
        <w:t xml:space="preserve"> A sector breakdown for compulsory liquidations is not yet available for 2014 </w:t>
      </w:r>
      <w:r w:rsidR="003D5600">
        <w:rPr>
          <w:rFonts w:ascii="Arial" w:hAnsi="Arial" w:cs="Arial"/>
          <w:sz w:val="20"/>
          <w:szCs w:val="20"/>
        </w:rPr>
        <w:t>Q</w:t>
      </w:r>
      <w:r w:rsidR="003D5600">
        <w:rPr>
          <w:rFonts w:ascii="Arial" w:hAnsi="Arial" w:cs="Arial"/>
          <w:sz w:val="20"/>
          <w:szCs w:val="20"/>
        </w:rPr>
        <w:t>2</w:t>
      </w:r>
      <w:r>
        <w:rPr>
          <w:rFonts w:ascii="Arial" w:hAnsi="Arial" w:cs="Arial"/>
          <w:sz w:val="20"/>
          <w:szCs w:val="20"/>
        </w:rPr>
        <w:t>.</w:t>
      </w:r>
    </w:p>
    <w:p w:rsidR="00BF60A9" w:rsidRDefault="00BF60A9" w:rsidP="004C7DFB">
      <w:pPr>
        <w:pStyle w:val="BodyText"/>
        <w:tabs>
          <w:tab w:val="left" w:pos="450"/>
        </w:tabs>
        <w:spacing w:before="120" w:after="0"/>
        <w:rPr>
          <w:rFonts w:ascii="Arial" w:hAnsi="Arial" w:cs="Arial"/>
          <w:sz w:val="20"/>
          <w:szCs w:val="20"/>
        </w:rPr>
      </w:pPr>
    </w:p>
    <w:p w:rsidR="00AF5EF3" w:rsidRDefault="00AF5EF3" w:rsidP="007310B4">
      <w:pPr>
        <w:rPr>
          <w:u w:val="single"/>
        </w:rPr>
      </w:pPr>
    </w:p>
    <w:p w:rsidR="00AF5EF3" w:rsidRDefault="008648E4" w:rsidP="007310B4">
      <w:pPr>
        <w:rPr>
          <w:u w:val="single"/>
        </w:rPr>
      </w:pPr>
      <w:r>
        <w:rPr>
          <w:rFonts w:ascii="Arial" w:hAnsi="Arial" w:cs="Arial"/>
          <w:b/>
          <w:color w:val="FF0000"/>
          <w:sz w:val="22"/>
          <w:szCs w:val="22"/>
        </w:rPr>
        <w:t xml:space="preserve">END OF </w:t>
      </w:r>
      <w:r w:rsidRPr="007F0439">
        <w:rPr>
          <w:rFonts w:ascii="Arial" w:hAnsi="Arial" w:cs="Arial"/>
          <w:b/>
          <w:color w:val="FF0000"/>
          <w:sz w:val="22"/>
          <w:szCs w:val="22"/>
        </w:rPr>
        <w:t>EXPERIMENTAL STATISTICS</w:t>
      </w:r>
      <w:r w:rsidR="009F1AA7">
        <w:rPr>
          <w:rFonts w:ascii="Arial" w:hAnsi="Arial" w:cs="Arial"/>
          <w:b/>
          <w:color w:val="FF0000"/>
          <w:sz w:val="22"/>
          <w:szCs w:val="22"/>
        </w:rPr>
        <w:t xml:space="preserve"> SECTION</w:t>
      </w:r>
    </w:p>
    <w:p w:rsidR="00AF5EF3" w:rsidRDefault="00AF5EF3" w:rsidP="007310B4">
      <w:pPr>
        <w:rPr>
          <w:u w:val="single"/>
        </w:rPr>
      </w:pPr>
    </w:p>
    <w:p w:rsidR="00AF5EF3" w:rsidRDefault="00AF5EF3" w:rsidP="007310B4">
      <w:pPr>
        <w:rPr>
          <w:u w:val="single"/>
        </w:rPr>
      </w:pPr>
    </w:p>
    <w:p w:rsidR="00AF5EF3" w:rsidRDefault="00AF5EF3" w:rsidP="007310B4">
      <w:pPr>
        <w:rPr>
          <w:u w:val="single"/>
        </w:rPr>
      </w:pPr>
    </w:p>
    <w:p w:rsidR="00AF5EF3" w:rsidRDefault="00AF5EF3" w:rsidP="007310B4">
      <w:pPr>
        <w:rPr>
          <w:u w:val="single"/>
        </w:rPr>
      </w:pPr>
    </w:p>
    <w:p w:rsidR="00B73D14" w:rsidRPr="00280993" w:rsidRDefault="006E4BFD" w:rsidP="002E2D2E">
      <w:pPr>
        <w:pageBreakBefore/>
        <w:spacing w:after="240"/>
        <w:rPr>
          <w:rFonts w:ascii="Arial" w:hAnsi="Arial" w:cs="Arial"/>
          <w:b/>
          <w:sz w:val="32"/>
          <w:szCs w:val="22"/>
        </w:rPr>
      </w:pPr>
      <w:r>
        <w:rPr>
          <w:rFonts w:ascii="Arial" w:hAnsi="Arial" w:cs="Arial"/>
          <w:b/>
          <w:sz w:val="32"/>
          <w:szCs w:val="22"/>
        </w:rPr>
        <w:lastRenderedPageBreak/>
        <w:t>3</w:t>
      </w:r>
      <w:r w:rsidR="00B434F3">
        <w:rPr>
          <w:rFonts w:ascii="Arial" w:hAnsi="Arial" w:cs="Arial"/>
          <w:b/>
          <w:sz w:val="32"/>
          <w:szCs w:val="22"/>
        </w:rPr>
        <w:t xml:space="preserve"> Individual i</w:t>
      </w:r>
      <w:r w:rsidR="0008454A">
        <w:rPr>
          <w:rFonts w:ascii="Arial" w:hAnsi="Arial" w:cs="Arial"/>
          <w:b/>
          <w:sz w:val="32"/>
          <w:szCs w:val="22"/>
        </w:rPr>
        <w:t>nsolvenc</w:t>
      </w:r>
      <w:r w:rsidR="00A0339B">
        <w:rPr>
          <w:rFonts w:ascii="Arial" w:hAnsi="Arial" w:cs="Arial"/>
          <w:b/>
          <w:sz w:val="32"/>
          <w:szCs w:val="22"/>
        </w:rPr>
        <w:t>y</w:t>
      </w:r>
      <w:r w:rsidR="0008454A">
        <w:rPr>
          <w:rFonts w:ascii="Arial" w:hAnsi="Arial" w:cs="Arial"/>
          <w:b/>
          <w:sz w:val="32"/>
          <w:szCs w:val="22"/>
        </w:rPr>
        <w:t xml:space="preserve"> in England and Wales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706"/>
      </w:tblGrid>
      <w:tr w:rsidR="009F1AA7" w:rsidTr="000076CB">
        <w:tc>
          <w:tcPr>
            <w:tcW w:w="10706" w:type="dxa"/>
            <w:shd w:val="clear" w:color="auto" w:fill="C6D9F1" w:themeFill="text2" w:themeFillTint="33"/>
          </w:tcPr>
          <w:p w:rsidR="009F1AA7" w:rsidRDefault="009F1AA7" w:rsidP="001E25CE">
            <w:pPr>
              <w:spacing w:before="120" w:after="120"/>
              <w:rPr>
                <w:rFonts w:ascii="Arial" w:hAnsi="Arial" w:cs="Arial"/>
                <w:sz w:val="22"/>
                <w:szCs w:val="22"/>
              </w:rPr>
            </w:pPr>
            <w:r>
              <w:rPr>
                <w:rFonts w:ascii="Arial" w:hAnsi="Arial" w:cs="Arial"/>
                <w:sz w:val="22"/>
                <w:szCs w:val="22"/>
              </w:rPr>
              <w:t xml:space="preserve">These statistics relate to </w:t>
            </w:r>
            <w:r w:rsidRPr="009F1AA7">
              <w:rPr>
                <w:rFonts w:ascii="Arial" w:hAnsi="Arial" w:cs="Arial"/>
                <w:b/>
                <w:sz w:val="22"/>
                <w:szCs w:val="22"/>
              </w:rPr>
              <w:t>people</w:t>
            </w:r>
            <w:r>
              <w:rPr>
                <w:rFonts w:ascii="Arial" w:hAnsi="Arial" w:cs="Arial"/>
                <w:sz w:val="22"/>
                <w:szCs w:val="22"/>
              </w:rPr>
              <w:t>, rather than companies, who have had problems with debt and have entered a formal insolvency procedure. There are other, informal, means for individuals to deal with their debts, fo</w:t>
            </w:r>
            <w:r w:rsidR="001E25CE">
              <w:rPr>
                <w:rFonts w:ascii="Arial" w:hAnsi="Arial" w:cs="Arial"/>
                <w:sz w:val="22"/>
                <w:szCs w:val="22"/>
              </w:rPr>
              <w:t>r example debt management plans</w:t>
            </w:r>
            <w:r>
              <w:rPr>
                <w:rFonts w:ascii="Arial" w:hAnsi="Arial" w:cs="Arial"/>
                <w:sz w:val="22"/>
                <w:szCs w:val="22"/>
              </w:rPr>
              <w:t>, but no official statistics are collected regarding these.</w:t>
            </w:r>
          </w:p>
        </w:tc>
      </w:tr>
    </w:tbl>
    <w:p w:rsidR="00B83AE5" w:rsidRPr="00B83AE5" w:rsidRDefault="006E4BFD" w:rsidP="00B83AE5">
      <w:pPr>
        <w:spacing w:before="240" w:after="240"/>
        <w:rPr>
          <w:rFonts w:ascii="Arial" w:hAnsi="Arial" w:cs="Arial"/>
          <w:b/>
          <w:sz w:val="28"/>
          <w:szCs w:val="22"/>
        </w:rPr>
      </w:pPr>
      <w:r>
        <w:rPr>
          <w:rFonts w:ascii="Arial" w:hAnsi="Arial" w:cs="Arial"/>
          <w:b/>
          <w:sz w:val="28"/>
          <w:szCs w:val="22"/>
        </w:rPr>
        <w:t>3</w:t>
      </w:r>
      <w:r w:rsidR="00B83AE5">
        <w:rPr>
          <w:rFonts w:ascii="Arial" w:hAnsi="Arial" w:cs="Arial"/>
          <w:b/>
          <w:sz w:val="28"/>
          <w:szCs w:val="22"/>
        </w:rPr>
        <w:t xml:space="preserve">.1 </w:t>
      </w:r>
      <w:r w:rsidR="00B83AE5" w:rsidRPr="00B83AE5">
        <w:rPr>
          <w:rFonts w:ascii="Arial" w:hAnsi="Arial" w:cs="Arial"/>
          <w:b/>
          <w:sz w:val="28"/>
          <w:szCs w:val="22"/>
        </w:rPr>
        <w:t>Bankruptcies, debt relief orders and individual voluntary arrangements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DD66FC" w:rsidTr="000076CB">
        <w:tc>
          <w:tcPr>
            <w:tcW w:w="7566" w:type="dxa"/>
          </w:tcPr>
          <w:p w:rsidR="003B00ED" w:rsidRDefault="00DD66FC" w:rsidP="00F76BFB">
            <w:pPr>
              <w:tabs>
                <w:tab w:val="left" w:pos="965"/>
              </w:tabs>
              <w:spacing w:before="120" w:line="276" w:lineRule="auto"/>
              <w:jc w:val="center"/>
              <w:rPr>
                <w:rFonts w:ascii="Arial" w:hAnsi="Arial" w:cs="Arial"/>
                <w:b/>
                <w:color w:val="000000"/>
                <w:sz w:val="22"/>
                <w:szCs w:val="22"/>
              </w:rPr>
            </w:pPr>
            <w:r>
              <w:rPr>
                <w:rFonts w:ascii="Arial" w:hAnsi="Arial" w:cs="Arial"/>
                <w:b/>
                <w:color w:val="000000"/>
                <w:sz w:val="22"/>
                <w:szCs w:val="22"/>
              </w:rPr>
              <w:t xml:space="preserve">Figure </w:t>
            </w:r>
            <w:r w:rsidR="00791A86">
              <w:rPr>
                <w:rFonts w:ascii="Arial" w:hAnsi="Arial" w:cs="Arial"/>
                <w:b/>
                <w:color w:val="000000"/>
                <w:sz w:val="22"/>
                <w:szCs w:val="22"/>
              </w:rPr>
              <w:t>8</w:t>
            </w:r>
            <w:r w:rsidRPr="00B60F95">
              <w:rPr>
                <w:rFonts w:ascii="Arial" w:hAnsi="Arial" w:cs="Arial"/>
                <w:b/>
                <w:color w:val="000000"/>
                <w:sz w:val="22"/>
                <w:szCs w:val="22"/>
              </w:rPr>
              <w:t xml:space="preserve">: </w:t>
            </w:r>
            <w:r>
              <w:rPr>
                <w:rFonts w:ascii="Arial" w:hAnsi="Arial" w:cs="Arial"/>
                <w:b/>
                <w:color w:val="000000"/>
                <w:sz w:val="22"/>
                <w:szCs w:val="22"/>
              </w:rPr>
              <w:t xml:space="preserve">Individual </w:t>
            </w:r>
            <w:r w:rsidR="003D5600">
              <w:rPr>
                <w:rFonts w:ascii="Arial" w:hAnsi="Arial" w:cs="Arial"/>
                <w:b/>
                <w:color w:val="000000"/>
                <w:sz w:val="22"/>
                <w:szCs w:val="22"/>
              </w:rPr>
              <w:t>i</w:t>
            </w:r>
            <w:r>
              <w:rPr>
                <w:rFonts w:ascii="Arial" w:hAnsi="Arial" w:cs="Arial"/>
                <w:b/>
                <w:color w:val="000000"/>
                <w:sz w:val="22"/>
                <w:szCs w:val="22"/>
              </w:rPr>
              <w:t>nsolvencies</w:t>
            </w:r>
            <w:r w:rsidRPr="00B60F95">
              <w:rPr>
                <w:rFonts w:ascii="Arial" w:hAnsi="Arial" w:cs="Arial"/>
                <w:b/>
                <w:color w:val="000000"/>
                <w:sz w:val="22"/>
                <w:szCs w:val="22"/>
              </w:rPr>
              <w:t xml:space="preserve"> in England and Wales</w:t>
            </w:r>
            <w:r w:rsidRPr="00B60F95">
              <w:rPr>
                <w:rFonts w:ascii="Arial" w:hAnsi="Arial" w:cs="Arial"/>
                <w:b/>
                <w:color w:val="000000"/>
                <w:sz w:val="22"/>
                <w:szCs w:val="22"/>
                <w:vertAlign w:val="superscript"/>
              </w:rPr>
              <w:t>1</w:t>
            </w:r>
          </w:p>
          <w:p w:rsidR="00DD66FC" w:rsidRPr="00B60F95" w:rsidRDefault="00DD66FC" w:rsidP="00DD66FC">
            <w:pPr>
              <w:tabs>
                <w:tab w:val="left" w:pos="965"/>
              </w:tabs>
              <w:spacing w:line="276" w:lineRule="auto"/>
              <w:jc w:val="center"/>
              <w:rPr>
                <w:rFonts w:ascii="Arial" w:hAnsi="Arial" w:cs="Arial"/>
                <w:color w:val="000000"/>
                <w:sz w:val="22"/>
                <w:szCs w:val="22"/>
              </w:rPr>
            </w:pPr>
            <w:r w:rsidRPr="00B60F95">
              <w:rPr>
                <w:rFonts w:ascii="Arial" w:hAnsi="Arial" w:cs="Arial"/>
                <w:color w:val="000000"/>
                <w:sz w:val="22"/>
                <w:szCs w:val="22"/>
              </w:rPr>
              <w:t>(</w:t>
            </w:r>
            <w:r w:rsidR="00AA4F9A">
              <w:rPr>
                <w:rFonts w:ascii="Arial" w:hAnsi="Arial" w:cs="Arial"/>
                <w:color w:val="000000"/>
                <w:sz w:val="22"/>
                <w:szCs w:val="22"/>
              </w:rPr>
              <w:t xml:space="preserve">quarterly data, </w:t>
            </w:r>
            <w:r>
              <w:rPr>
                <w:rFonts w:ascii="Arial" w:hAnsi="Arial" w:cs="Arial"/>
                <w:color w:val="000000"/>
                <w:sz w:val="22"/>
                <w:szCs w:val="22"/>
              </w:rPr>
              <w:t xml:space="preserve">not </w:t>
            </w:r>
            <w:r w:rsidRPr="00B60F95">
              <w:rPr>
                <w:rFonts w:ascii="Arial" w:hAnsi="Arial" w:cs="Arial"/>
                <w:color w:val="000000"/>
                <w:sz w:val="22"/>
                <w:szCs w:val="22"/>
              </w:rPr>
              <w:t>seasonally adjusted)</w:t>
            </w:r>
            <w:r w:rsidRPr="00B60F95">
              <w:rPr>
                <w:rFonts w:ascii="Arial" w:hAnsi="Arial" w:cs="Arial"/>
                <w:color w:val="000000"/>
                <w:sz w:val="22"/>
                <w:szCs w:val="22"/>
                <w:vertAlign w:val="superscript"/>
              </w:rPr>
              <w:t>2</w:t>
            </w:r>
          </w:p>
          <w:p w:rsidR="00DD66FC" w:rsidRPr="008538AD" w:rsidRDefault="00767583" w:rsidP="00DD66FC">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75277D99" wp14:editId="070A3B84">
                  <wp:extent cx="4667250" cy="3238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rsidR="00DD66FC" w:rsidRPr="000B6473" w:rsidRDefault="00DD66FC" w:rsidP="00DD66FC">
            <w:pPr>
              <w:tabs>
                <w:tab w:val="left" w:pos="965"/>
              </w:tabs>
              <w:spacing w:after="60"/>
              <w:rPr>
                <w:rFonts w:ascii="Arial" w:hAnsi="Arial" w:cs="Arial"/>
                <w:color w:val="000000"/>
                <w:sz w:val="18"/>
                <w:szCs w:val="18"/>
              </w:rPr>
            </w:pPr>
            <w:r w:rsidRPr="000B6473">
              <w:rPr>
                <w:rFonts w:ascii="Arial" w:hAnsi="Arial" w:cs="Arial"/>
                <w:color w:val="000000"/>
                <w:sz w:val="18"/>
                <w:szCs w:val="18"/>
              </w:rPr>
              <w:t>Source: Insolvency Service.</w:t>
            </w:r>
          </w:p>
          <w:p w:rsidR="00DD66FC" w:rsidRPr="000B6473" w:rsidRDefault="00DD66FC" w:rsidP="00DD66FC">
            <w:pPr>
              <w:tabs>
                <w:tab w:val="left" w:pos="965"/>
              </w:tabs>
              <w:spacing w:after="60"/>
              <w:rPr>
                <w:rFonts w:ascii="Arial" w:hAnsi="Arial" w:cs="Arial"/>
                <w:color w:val="000000"/>
                <w:sz w:val="18"/>
                <w:szCs w:val="18"/>
              </w:rPr>
            </w:pPr>
            <w:r w:rsidRPr="000B6473">
              <w:rPr>
                <w:rFonts w:ascii="Arial" w:hAnsi="Arial" w:cs="Arial"/>
                <w:color w:val="000000"/>
                <w:sz w:val="18"/>
                <w:szCs w:val="18"/>
                <w:vertAlign w:val="superscript"/>
              </w:rPr>
              <w:t>1</w:t>
            </w:r>
            <w:r w:rsidRPr="000B6473">
              <w:rPr>
                <w:rFonts w:ascii="Arial" w:hAnsi="Arial" w:cs="Arial"/>
                <w:color w:val="000000"/>
                <w:sz w:val="18"/>
                <w:szCs w:val="18"/>
              </w:rPr>
              <w:t xml:space="preserve"> </w:t>
            </w:r>
            <w:r w:rsidRPr="000B6473">
              <w:rPr>
                <w:rFonts w:ascii="Arial" w:hAnsi="Arial" w:cs="Arial"/>
                <w:color w:val="000000" w:themeColor="text1"/>
                <w:sz w:val="18"/>
                <w:szCs w:val="18"/>
              </w:rPr>
              <w:t>Total individual insolvencies for Q2 2009 onwards include Debt Relief Orders, which came into force on 6 April 2009</w:t>
            </w:r>
            <w:r w:rsidR="003D5600">
              <w:rPr>
                <w:rFonts w:ascii="Arial" w:hAnsi="Arial" w:cs="Arial"/>
                <w:color w:val="000000" w:themeColor="text1"/>
                <w:sz w:val="18"/>
                <w:szCs w:val="18"/>
              </w:rPr>
              <w:t>.</w:t>
            </w:r>
          </w:p>
          <w:p w:rsidR="00DD66FC" w:rsidRPr="000B6473" w:rsidRDefault="00DD66FC" w:rsidP="003B00ED">
            <w:pPr>
              <w:tabs>
                <w:tab w:val="left" w:pos="965"/>
              </w:tabs>
              <w:spacing w:after="60"/>
              <w:rPr>
                <w:rFonts w:ascii="Arial" w:hAnsi="Arial" w:cs="Arial"/>
                <w:color w:val="000000" w:themeColor="text1"/>
                <w:sz w:val="18"/>
                <w:szCs w:val="18"/>
              </w:rPr>
            </w:pPr>
            <w:r w:rsidRPr="000B6473">
              <w:rPr>
                <w:rFonts w:ascii="Arial" w:hAnsi="Arial" w:cs="Arial"/>
                <w:color w:val="000000"/>
                <w:sz w:val="18"/>
                <w:szCs w:val="18"/>
                <w:vertAlign w:val="superscript"/>
              </w:rPr>
              <w:t>2</w:t>
            </w:r>
            <w:r w:rsidRPr="000B6473">
              <w:rPr>
                <w:rFonts w:ascii="Arial" w:hAnsi="Arial" w:cs="Arial"/>
                <w:color w:val="000000"/>
                <w:sz w:val="18"/>
                <w:szCs w:val="18"/>
              </w:rPr>
              <w:t xml:space="preserve"> </w:t>
            </w:r>
            <w:r w:rsidRPr="000B6473">
              <w:rPr>
                <w:rFonts w:ascii="Arial" w:hAnsi="Arial" w:cs="Arial"/>
                <w:color w:val="000000" w:themeColor="text1"/>
                <w:sz w:val="18"/>
                <w:szCs w:val="18"/>
              </w:rPr>
              <w:t xml:space="preserve">The accompanying detailed tables include seasonally adjusted series for bankruptcy orders and IVAs. The series for DROs is not currently long enough to </w:t>
            </w:r>
            <w:r w:rsidR="003D5600">
              <w:rPr>
                <w:rFonts w:ascii="Arial" w:hAnsi="Arial" w:cs="Arial"/>
                <w:color w:val="000000" w:themeColor="text1"/>
                <w:sz w:val="18"/>
                <w:szCs w:val="18"/>
              </w:rPr>
              <w:t xml:space="preserve">apply </w:t>
            </w:r>
            <w:r w:rsidRPr="000B6473">
              <w:rPr>
                <w:rFonts w:ascii="Arial" w:hAnsi="Arial" w:cs="Arial"/>
                <w:color w:val="000000" w:themeColor="text1"/>
                <w:sz w:val="18"/>
                <w:szCs w:val="18"/>
              </w:rPr>
              <w:t>seasonal adjust</w:t>
            </w:r>
            <w:r w:rsidR="003D5600">
              <w:rPr>
                <w:rFonts w:ascii="Arial" w:hAnsi="Arial" w:cs="Arial"/>
                <w:color w:val="000000" w:themeColor="text1"/>
                <w:sz w:val="18"/>
                <w:szCs w:val="18"/>
              </w:rPr>
              <w:t>ment</w:t>
            </w:r>
            <w:r w:rsidRPr="000B6473">
              <w:rPr>
                <w:rFonts w:ascii="Arial" w:hAnsi="Arial" w:cs="Arial"/>
                <w:color w:val="000000" w:themeColor="text1"/>
                <w:sz w:val="18"/>
                <w:szCs w:val="18"/>
              </w:rPr>
              <w:t>.</w:t>
            </w:r>
          </w:p>
          <w:p w:rsidR="00F76BFB" w:rsidRPr="003B00ED" w:rsidRDefault="00F76BFB" w:rsidP="003B00ED">
            <w:pPr>
              <w:tabs>
                <w:tab w:val="left" w:pos="965"/>
              </w:tabs>
              <w:spacing w:after="60"/>
              <w:rPr>
                <w:rFonts w:ascii="Arial" w:hAnsi="Arial" w:cs="Arial"/>
                <w:color w:val="000000"/>
                <w:sz w:val="20"/>
                <w:szCs w:val="20"/>
              </w:rPr>
            </w:pPr>
            <w:r w:rsidRPr="000B6473">
              <w:rPr>
                <w:rFonts w:ascii="Arial" w:hAnsi="Arial" w:cs="Arial"/>
                <w:color w:val="000000"/>
                <w:sz w:val="18"/>
                <w:szCs w:val="18"/>
              </w:rPr>
              <w:t>See Table 2 of the accompanying Excel file for more detail.</w:t>
            </w:r>
          </w:p>
        </w:tc>
        <w:tc>
          <w:tcPr>
            <w:tcW w:w="3140"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DD66FC" w:rsidRPr="00DD66FC" w:rsidRDefault="00DD66FC" w:rsidP="00DD66FC">
            <w:pPr>
              <w:spacing w:before="120"/>
              <w:rPr>
                <w:rFonts w:ascii="Arial" w:hAnsi="Arial" w:cs="Arial"/>
                <w:color w:val="000000" w:themeColor="text1"/>
                <w:sz w:val="18"/>
                <w:szCs w:val="18"/>
              </w:rPr>
            </w:pPr>
            <w:r w:rsidRPr="00DD66FC">
              <w:rPr>
                <w:rFonts w:ascii="Arial" w:hAnsi="Arial" w:cs="Arial"/>
                <w:b/>
                <w:color w:val="000000" w:themeColor="text1"/>
                <w:sz w:val="18"/>
                <w:szCs w:val="18"/>
              </w:rPr>
              <w:t>Bankruptcy orders</w:t>
            </w:r>
            <w:r w:rsidRPr="00DD66FC">
              <w:rPr>
                <w:rFonts w:ascii="Arial" w:hAnsi="Arial" w:cs="Arial"/>
                <w:color w:val="000000" w:themeColor="text1"/>
                <w:sz w:val="18"/>
                <w:szCs w:val="18"/>
              </w:rPr>
              <w:t xml:space="preserve"> – a form of debt relief available for anyone who is unable to pay their debts. Assets owned will vest in a trustee in bankruptcy who will sell them and distribute the proceeds to creditors. Discharge from debts </w:t>
            </w:r>
            <w:r w:rsidR="004D5E97">
              <w:rPr>
                <w:rFonts w:ascii="Arial" w:hAnsi="Arial" w:cs="Arial"/>
                <w:color w:val="000000" w:themeColor="text1"/>
                <w:sz w:val="18"/>
                <w:szCs w:val="18"/>
              </w:rPr>
              <w:t xml:space="preserve">usually </w:t>
            </w:r>
            <w:r w:rsidRPr="00DD66FC">
              <w:rPr>
                <w:rFonts w:ascii="Arial" w:hAnsi="Arial" w:cs="Arial"/>
                <w:color w:val="000000" w:themeColor="text1"/>
                <w:sz w:val="18"/>
                <w:szCs w:val="18"/>
              </w:rPr>
              <w:t>takes places 12 months after the bankruptcy order is granted.</w:t>
            </w:r>
          </w:p>
          <w:p w:rsidR="00DD66FC" w:rsidRDefault="00DD66FC" w:rsidP="00DD66FC">
            <w:pPr>
              <w:spacing w:before="120"/>
              <w:rPr>
                <w:rFonts w:ascii="Arial" w:hAnsi="Arial" w:cs="Arial"/>
                <w:color w:val="000000" w:themeColor="text1"/>
                <w:sz w:val="18"/>
                <w:szCs w:val="18"/>
              </w:rPr>
            </w:pPr>
            <w:r w:rsidRPr="00DD66FC">
              <w:rPr>
                <w:rFonts w:ascii="Arial" w:hAnsi="Arial" w:cs="Arial"/>
                <w:b/>
                <w:color w:val="000000" w:themeColor="text1"/>
                <w:sz w:val="18"/>
                <w:szCs w:val="18"/>
              </w:rPr>
              <w:t>Debt relief orders</w:t>
            </w:r>
            <w:r w:rsidRPr="00DD66FC">
              <w:rPr>
                <w:rFonts w:ascii="Arial" w:hAnsi="Arial" w:cs="Arial"/>
                <w:color w:val="000000" w:themeColor="text1"/>
                <w:sz w:val="18"/>
                <w:szCs w:val="18"/>
              </w:rPr>
              <w:t xml:space="preserve"> (DROs) </w:t>
            </w:r>
            <w:r w:rsidR="0015639A">
              <w:rPr>
                <w:rFonts w:ascii="Arial" w:hAnsi="Arial" w:cs="Arial"/>
                <w:color w:val="000000" w:themeColor="text1"/>
                <w:sz w:val="18"/>
                <w:szCs w:val="18"/>
              </w:rPr>
              <w:t>–</w:t>
            </w:r>
            <w:r w:rsidRPr="00DD66FC">
              <w:rPr>
                <w:rFonts w:ascii="Arial" w:hAnsi="Arial" w:cs="Arial"/>
                <w:color w:val="000000" w:themeColor="text1"/>
                <w:sz w:val="18"/>
                <w:szCs w:val="18"/>
              </w:rPr>
              <w:t xml:space="preserve"> a form of debt relief available to those who have a low income, low assets and less than £15,000 of debt. There is no distribution to creditors, and discharge from debts takes place 12 months after the DRO is granted.</w:t>
            </w:r>
          </w:p>
          <w:p w:rsidR="006E4BFD" w:rsidRPr="00DD66FC" w:rsidRDefault="006E4BFD" w:rsidP="00DD66FC">
            <w:pPr>
              <w:spacing w:before="120"/>
              <w:rPr>
                <w:rFonts w:ascii="Arial" w:hAnsi="Arial" w:cs="Arial"/>
                <w:color w:val="000000" w:themeColor="text1"/>
                <w:sz w:val="18"/>
                <w:szCs w:val="18"/>
              </w:rPr>
            </w:pPr>
            <w:r>
              <w:rPr>
                <w:rFonts w:ascii="Arial" w:hAnsi="Arial" w:cs="Arial"/>
                <w:color w:val="000000" w:themeColor="text1"/>
                <w:sz w:val="18"/>
                <w:szCs w:val="18"/>
              </w:rPr>
              <w:t>DROs were introduced in April 2009.</w:t>
            </w:r>
          </w:p>
          <w:p w:rsidR="00DD66FC" w:rsidRDefault="00DD66FC" w:rsidP="0015639A">
            <w:pPr>
              <w:spacing w:before="120"/>
              <w:rPr>
                <w:rFonts w:ascii="Arial" w:hAnsi="Arial" w:cs="Arial"/>
                <w:color w:val="000000" w:themeColor="text1"/>
                <w:sz w:val="18"/>
                <w:szCs w:val="18"/>
              </w:rPr>
            </w:pPr>
            <w:r w:rsidRPr="00DD66FC">
              <w:rPr>
                <w:rFonts w:ascii="Arial" w:hAnsi="Arial" w:cs="Arial"/>
                <w:b/>
                <w:color w:val="000000" w:themeColor="text1"/>
                <w:sz w:val="18"/>
                <w:szCs w:val="18"/>
              </w:rPr>
              <w:t>Individual voluntary arrangements</w:t>
            </w:r>
            <w:r w:rsidRPr="00DD66FC">
              <w:rPr>
                <w:rFonts w:ascii="Arial" w:hAnsi="Arial" w:cs="Arial"/>
                <w:color w:val="000000" w:themeColor="text1"/>
                <w:sz w:val="18"/>
                <w:szCs w:val="18"/>
              </w:rPr>
              <w:t xml:space="preserve"> (IVAs) </w:t>
            </w:r>
            <w:r w:rsidR="0015639A">
              <w:rPr>
                <w:rFonts w:ascii="Arial" w:hAnsi="Arial" w:cs="Arial"/>
                <w:color w:val="000000" w:themeColor="text1"/>
                <w:sz w:val="18"/>
                <w:szCs w:val="18"/>
              </w:rPr>
              <w:t>–</w:t>
            </w:r>
            <w:r w:rsidRPr="00DD66FC">
              <w:rPr>
                <w:rFonts w:ascii="Arial" w:hAnsi="Arial" w:cs="Arial"/>
                <w:color w:val="000000" w:themeColor="text1"/>
                <w:sz w:val="18"/>
                <w:szCs w:val="18"/>
              </w:rPr>
              <w:t xml:space="preserve"> a voluntary means of repaying creditors some or all of what they are owed. Once approved by </w:t>
            </w:r>
            <w:r w:rsidR="004D5E97">
              <w:rPr>
                <w:rFonts w:ascii="Arial" w:hAnsi="Arial" w:cs="Arial"/>
                <w:color w:val="000000" w:themeColor="text1"/>
                <w:sz w:val="18"/>
                <w:szCs w:val="18"/>
              </w:rPr>
              <w:t xml:space="preserve">75% or more </w:t>
            </w:r>
            <w:r w:rsidRPr="00DD66FC">
              <w:rPr>
                <w:rFonts w:ascii="Arial" w:hAnsi="Arial" w:cs="Arial"/>
                <w:color w:val="000000" w:themeColor="text1"/>
                <w:sz w:val="18"/>
                <w:szCs w:val="18"/>
              </w:rPr>
              <w:t>of creditors, the arrangement is binding on all. IVAs are supervised by licensed Insolvency Practitioners.</w:t>
            </w:r>
          </w:p>
          <w:p w:rsidR="003B00ED" w:rsidRPr="00DD66FC" w:rsidRDefault="003B00ED" w:rsidP="0015639A">
            <w:pPr>
              <w:spacing w:before="120"/>
              <w:rPr>
                <w:rFonts w:ascii="Arial" w:hAnsi="Arial" w:cs="Arial"/>
                <w:color w:val="000000" w:themeColor="text1"/>
                <w:sz w:val="18"/>
                <w:szCs w:val="18"/>
              </w:rPr>
            </w:pPr>
            <w:r>
              <w:rPr>
                <w:rFonts w:ascii="Arial" w:hAnsi="Arial" w:cs="Arial"/>
                <w:color w:val="000000" w:themeColor="text1"/>
                <w:sz w:val="18"/>
                <w:szCs w:val="18"/>
              </w:rPr>
              <w:t xml:space="preserve">All individuals entering these procedures are listed on the </w:t>
            </w:r>
            <w:hyperlink r:id="rId26" w:history="1">
              <w:r w:rsidRPr="003B00ED">
                <w:rPr>
                  <w:rStyle w:val="Hyperlink"/>
                  <w:rFonts w:ascii="Arial" w:hAnsi="Arial" w:cs="Arial"/>
                  <w:sz w:val="18"/>
                  <w:szCs w:val="18"/>
                </w:rPr>
                <w:t>Individual Insolvency Register</w:t>
              </w:r>
            </w:hyperlink>
            <w:r>
              <w:rPr>
                <w:rFonts w:ascii="Arial" w:hAnsi="Arial" w:cs="Arial"/>
                <w:color w:val="000000" w:themeColor="text1"/>
                <w:sz w:val="18"/>
                <w:szCs w:val="18"/>
              </w:rPr>
              <w:t>, and remain on the list until three months after their insolvency ends.</w:t>
            </w:r>
          </w:p>
        </w:tc>
      </w:tr>
    </w:tbl>
    <w:p w:rsidR="004C3829" w:rsidRDefault="00F76BFB" w:rsidP="008A50E1">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In the </w:t>
      </w:r>
      <w:r w:rsidR="00035854">
        <w:rPr>
          <w:rFonts w:ascii="Arial" w:hAnsi="Arial" w:cs="Arial"/>
          <w:color w:val="000000"/>
          <w:sz w:val="22"/>
          <w:szCs w:val="22"/>
        </w:rPr>
        <w:t>second</w:t>
      </w:r>
      <w:r w:rsidRPr="00C8419B">
        <w:rPr>
          <w:rFonts w:ascii="Arial" w:hAnsi="Arial" w:cs="Arial"/>
          <w:color w:val="000000"/>
          <w:sz w:val="22"/>
          <w:szCs w:val="22"/>
        </w:rPr>
        <w:t xml:space="preserve"> quarter of 2014, there were 2</w:t>
      </w:r>
      <w:r w:rsidR="00035854">
        <w:rPr>
          <w:rFonts w:ascii="Arial" w:hAnsi="Arial" w:cs="Arial"/>
          <w:color w:val="000000"/>
          <w:sz w:val="22"/>
          <w:szCs w:val="22"/>
        </w:rPr>
        <w:t>7</w:t>
      </w:r>
      <w:r w:rsidRPr="00C8419B">
        <w:rPr>
          <w:rFonts w:ascii="Arial" w:hAnsi="Arial" w:cs="Arial"/>
          <w:color w:val="000000"/>
          <w:sz w:val="22"/>
          <w:szCs w:val="22"/>
        </w:rPr>
        <w:t>,</w:t>
      </w:r>
      <w:r w:rsidR="00035854">
        <w:rPr>
          <w:rFonts w:ascii="Arial" w:hAnsi="Arial" w:cs="Arial"/>
          <w:color w:val="000000"/>
          <w:sz w:val="22"/>
          <w:szCs w:val="22"/>
        </w:rPr>
        <w:t>029</w:t>
      </w:r>
      <w:r w:rsidRPr="00C8419B">
        <w:rPr>
          <w:rFonts w:ascii="Arial" w:hAnsi="Arial" w:cs="Arial"/>
          <w:color w:val="000000"/>
          <w:sz w:val="22"/>
          <w:szCs w:val="22"/>
        </w:rPr>
        <w:t xml:space="preserve"> individual insolvencies in England &amp; Wales, </w:t>
      </w:r>
      <w:r w:rsidR="00F5194C">
        <w:rPr>
          <w:rFonts w:ascii="Arial" w:hAnsi="Arial" w:cs="Arial"/>
          <w:color w:val="000000"/>
          <w:sz w:val="22"/>
          <w:szCs w:val="22"/>
        </w:rPr>
        <w:t>comprising 5,452 bankruptcies, 7,006 debt relief orders (DROs), and 14,571 individual voluntary arrangements (IVAs).</w:t>
      </w:r>
    </w:p>
    <w:p w:rsidR="00F76BFB" w:rsidRPr="00C8419B" w:rsidRDefault="00F5194C" w:rsidP="008A50E1">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 xml:space="preserve"> In total, individual insolvencies </w:t>
      </w:r>
      <w:r w:rsidR="00035854">
        <w:rPr>
          <w:rFonts w:ascii="Arial" w:hAnsi="Arial" w:cs="Arial"/>
          <w:color w:val="000000"/>
          <w:sz w:val="22"/>
          <w:szCs w:val="22"/>
        </w:rPr>
        <w:t>increase</w:t>
      </w:r>
      <w:r>
        <w:rPr>
          <w:rFonts w:ascii="Arial" w:hAnsi="Arial" w:cs="Arial"/>
          <w:color w:val="000000"/>
          <w:sz w:val="22"/>
          <w:szCs w:val="22"/>
        </w:rPr>
        <w:t>d</w:t>
      </w:r>
      <w:r w:rsidR="00035854">
        <w:rPr>
          <w:rFonts w:ascii="Arial" w:hAnsi="Arial" w:cs="Arial"/>
          <w:color w:val="000000"/>
          <w:sz w:val="22"/>
          <w:szCs w:val="22"/>
        </w:rPr>
        <w:t xml:space="preserve"> </w:t>
      </w:r>
      <w:r>
        <w:rPr>
          <w:rFonts w:ascii="Arial" w:hAnsi="Arial" w:cs="Arial"/>
          <w:color w:val="000000"/>
          <w:sz w:val="22"/>
          <w:szCs w:val="22"/>
        </w:rPr>
        <w:t>by</w:t>
      </w:r>
      <w:r w:rsidR="00035854">
        <w:rPr>
          <w:rFonts w:ascii="Arial" w:hAnsi="Arial" w:cs="Arial"/>
          <w:color w:val="000000"/>
          <w:sz w:val="22"/>
          <w:szCs w:val="22"/>
        </w:rPr>
        <w:t xml:space="preserve"> 5</w:t>
      </w:r>
      <w:r w:rsidR="00F76BFB" w:rsidRPr="00C8419B">
        <w:rPr>
          <w:rFonts w:ascii="Arial" w:hAnsi="Arial" w:cs="Arial"/>
          <w:color w:val="000000"/>
          <w:sz w:val="22"/>
          <w:szCs w:val="22"/>
        </w:rPr>
        <w:t>.</w:t>
      </w:r>
      <w:r w:rsidR="00035854">
        <w:rPr>
          <w:rFonts w:ascii="Arial" w:hAnsi="Arial" w:cs="Arial"/>
          <w:color w:val="000000"/>
          <w:sz w:val="22"/>
          <w:szCs w:val="22"/>
        </w:rPr>
        <w:t>1</w:t>
      </w:r>
      <w:r w:rsidR="00F76BFB" w:rsidRPr="00C8419B">
        <w:rPr>
          <w:rFonts w:ascii="Arial" w:hAnsi="Arial" w:cs="Arial"/>
          <w:color w:val="000000"/>
          <w:sz w:val="22"/>
          <w:szCs w:val="22"/>
        </w:rPr>
        <w:t xml:space="preserve">% </w:t>
      </w:r>
      <w:r>
        <w:rPr>
          <w:rFonts w:ascii="Arial" w:hAnsi="Arial" w:cs="Arial"/>
          <w:color w:val="000000"/>
          <w:sz w:val="22"/>
          <w:szCs w:val="22"/>
        </w:rPr>
        <w:t xml:space="preserve">in Q2 2014 compared with </w:t>
      </w:r>
      <w:r w:rsidR="00F76BFB" w:rsidRPr="00C8419B">
        <w:rPr>
          <w:rFonts w:ascii="Arial" w:hAnsi="Arial" w:cs="Arial"/>
          <w:color w:val="000000"/>
          <w:sz w:val="22"/>
          <w:szCs w:val="22"/>
        </w:rPr>
        <w:t>the same period in 2013.</w:t>
      </w:r>
      <w:r>
        <w:rPr>
          <w:rFonts w:ascii="Arial" w:hAnsi="Arial" w:cs="Arial"/>
          <w:color w:val="000000"/>
          <w:sz w:val="22"/>
          <w:szCs w:val="22"/>
        </w:rPr>
        <w:t xml:space="preserve"> This w</w:t>
      </w:r>
      <w:r w:rsidR="00C7024C">
        <w:rPr>
          <w:rFonts w:ascii="Arial" w:hAnsi="Arial" w:cs="Arial"/>
          <w:color w:val="000000"/>
          <w:sz w:val="22"/>
          <w:szCs w:val="22"/>
        </w:rPr>
        <w:t>as driven by an increase of 20.3</w:t>
      </w:r>
      <w:r>
        <w:rPr>
          <w:rFonts w:ascii="Arial" w:hAnsi="Arial" w:cs="Arial"/>
          <w:color w:val="000000"/>
          <w:sz w:val="22"/>
          <w:szCs w:val="22"/>
        </w:rPr>
        <w:t>% in the number of IVAs</w:t>
      </w:r>
      <w:r w:rsidR="00C7024C">
        <w:rPr>
          <w:rFonts w:ascii="Arial" w:hAnsi="Arial" w:cs="Arial"/>
          <w:color w:val="000000"/>
          <w:sz w:val="22"/>
          <w:szCs w:val="22"/>
        </w:rPr>
        <w:t xml:space="preserve"> over this period</w:t>
      </w:r>
      <w:r>
        <w:rPr>
          <w:rFonts w:ascii="Arial" w:hAnsi="Arial" w:cs="Arial"/>
          <w:color w:val="000000"/>
          <w:sz w:val="22"/>
          <w:szCs w:val="22"/>
        </w:rPr>
        <w:t xml:space="preserve">, which more than offset decreases in the number of bankruptcies (down </w:t>
      </w:r>
      <w:r w:rsidR="00C7024C">
        <w:rPr>
          <w:rFonts w:ascii="Arial" w:hAnsi="Arial" w:cs="Arial"/>
          <w:color w:val="000000"/>
          <w:sz w:val="22"/>
          <w:szCs w:val="22"/>
        </w:rPr>
        <w:t>15.9</w:t>
      </w:r>
      <w:r>
        <w:rPr>
          <w:rFonts w:ascii="Arial" w:hAnsi="Arial" w:cs="Arial"/>
          <w:color w:val="000000"/>
          <w:sz w:val="22"/>
          <w:szCs w:val="22"/>
        </w:rPr>
        <w:t>%) and DROs (down 1.8%).</w:t>
      </w:r>
      <w:r w:rsidR="000B229A">
        <w:rPr>
          <w:rFonts w:ascii="Arial" w:hAnsi="Arial" w:cs="Arial"/>
          <w:color w:val="000000"/>
          <w:sz w:val="22"/>
          <w:szCs w:val="22"/>
        </w:rPr>
        <w:t xml:space="preserve"> The number of IVAs in Q2 2014 was the highest of any quarter since they were introduced in 1987.</w:t>
      </w:r>
    </w:p>
    <w:p w:rsidR="00F32645" w:rsidRDefault="00F76BFB"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The number of </w:t>
      </w:r>
      <w:r w:rsidR="00F07D35">
        <w:rPr>
          <w:rFonts w:ascii="Arial" w:hAnsi="Arial" w:cs="Arial"/>
          <w:color w:val="000000"/>
          <w:sz w:val="22"/>
          <w:szCs w:val="22"/>
        </w:rPr>
        <w:t xml:space="preserve">total </w:t>
      </w:r>
      <w:r w:rsidRPr="00C8419B">
        <w:rPr>
          <w:rFonts w:ascii="Arial" w:hAnsi="Arial" w:cs="Arial"/>
          <w:color w:val="000000"/>
          <w:sz w:val="22"/>
          <w:szCs w:val="22"/>
        </w:rPr>
        <w:t>individual insolvencies ha</w:t>
      </w:r>
      <w:r w:rsidR="00F07D35">
        <w:rPr>
          <w:rFonts w:ascii="Arial" w:hAnsi="Arial" w:cs="Arial"/>
          <w:color w:val="000000"/>
          <w:sz w:val="22"/>
          <w:szCs w:val="22"/>
        </w:rPr>
        <w:t>d</w:t>
      </w:r>
      <w:r w:rsidRPr="00C8419B">
        <w:rPr>
          <w:rFonts w:ascii="Arial" w:hAnsi="Arial" w:cs="Arial"/>
          <w:color w:val="000000"/>
          <w:sz w:val="22"/>
          <w:szCs w:val="22"/>
        </w:rPr>
        <w:t xml:space="preserve"> </w:t>
      </w:r>
      <w:r w:rsidR="003D5600">
        <w:rPr>
          <w:rFonts w:ascii="Arial" w:hAnsi="Arial" w:cs="Arial"/>
          <w:color w:val="000000"/>
          <w:sz w:val="22"/>
          <w:szCs w:val="22"/>
        </w:rPr>
        <w:t xml:space="preserve">previously </w:t>
      </w:r>
      <w:r w:rsidRPr="00C8419B">
        <w:rPr>
          <w:rFonts w:ascii="Arial" w:hAnsi="Arial" w:cs="Arial"/>
          <w:color w:val="000000"/>
          <w:sz w:val="22"/>
          <w:szCs w:val="22"/>
        </w:rPr>
        <w:t>been on a decreasing trend since 2010</w:t>
      </w:r>
      <w:r w:rsidR="00C7024C">
        <w:rPr>
          <w:rFonts w:ascii="Arial" w:hAnsi="Arial" w:cs="Arial"/>
          <w:color w:val="000000"/>
          <w:sz w:val="22"/>
          <w:szCs w:val="22"/>
        </w:rPr>
        <w:t xml:space="preserve">, </w:t>
      </w:r>
      <w:r w:rsidR="00F32645">
        <w:rPr>
          <w:rFonts w:ascii="Arial" w:hAnsi="Arial" w:cs="Arial"/>
          <w:color w:val="000000"/>
          <w:sz w:val="22"/>
          <w:szCs w:val="22"/>
        </w:rPr>
        <w:t>because of sustained decreases in the number of bankruptcies and DROs and broadly stable numbers of IVAs</w:t>
      </w:r>
      <w:r w:rsidR="00F07D35">
        <w:rPr>
          <w:rFonts w:ascii="Arial" w:hAnsi="Arial" w:cs="Arial"/>
          <w:color w:val="000000"/>
          <w:sz w:val="22"/>
          <w:szCs w:val="22"/>
        </w:rPr>
        <w:t xml:space="preserve">. </w:t>
      </w:r>
      <w:r w:rsidR="00F32645">
        <w:rPr>
          <w:rFonts w:ascii="Arial" w:hAnsi="Arial" w:cs="Arial"/>
          <w:color w:val="000000"/>
          <w:sz w:val="22"/>
          <w:szCs w:val="22"/>
        </w:rPr>
        <w:t xml:space="preserve">More recently, more than </w:t>
      </w:r>
      <w:r w:rsidR="00616213">
        <w:rPr>
          <w:rFonts w:ascii="Arial" w:hAnsi="Arial" w:cs="Arial"/>
          <w:color w:val="000000"/>
          <w:sz w:val="22"/>
          <w:szCs w:val="22"/>
        </w:rPr>
        <w:t>half of individual insolvencies</w:t>
      </w:r>
      <w:r w:rsidR="00F32645">
        <w:rPr>
          <w:rFonts w:ascii="Arial" w:hAnsi="Arial" w:cs="Arial"/>
          <w:color w:val="000000"/>
          <w:sz w:val="22"/>
          <w:szCs w:val="22"/>
        </w:rPr>
        <w:t xml:space="preserve"> have been IVAs</w:t>
      </w:r>
      <w:r w:rsidR="00616213">
        <w:rPr>
          <w:rFonts w:ascii="Arial" w:hAnsi="Arial" w:cs="Arial"/>
          <w:color w:val="000000"/>
          <w:sz w:val="22"/>
          <w:szCs w:val="22"/>
        </w:rPr>
        <w:t>,</w:t>
      </w:r>
      <w:r w:rsidR="00F32645">
        <w:rPr>
          <w:rFonts w:ascii="Arial" w:hAnsi="Arial" w:cs="Arial"/>
          <w:color w:val="000000"/>
          <w:sz w:val="22"/>
          <w:szCs w:val="22"/>
        </w:rPr>
        <w:t xml:space="preserve"> so</w:t>
      </w:r>
      <w:r w:rsidR="00616213">
        <w:rPr>
          <w:rFonts w:ascii="Arial" w:hAnsi="Arial" w:cs="Arial"/>
          <w:color w:val="000000"/>
          <w:sz w:val="22"/>
          <w:szCs w:val="22"/>
        </w:rPr>
        <w:t xml:space="preserve"> changes in IVAs have </w:t>
      </w:r>
      <w:r w:rsidR="00F32645">
        <w:rPr>
          <w:rFonts w:ascii="Arial" w:hAnsi="Arial" w:cs="Arial"/>
          <w:color w:val="000000"/>
          <w:sz w:val="22"/>
          <w:szCs w:val="22"/>
        </w:rPr>
        <w:t xml:space="preserve">had </w:t>
      </w:r>
      <w:r w:rsidR="00616213">
        <w:rPr>
          <w:rFonts w:ascii="Arial" w:hAnsi="Arial" w:cs="Arial"/>
          <w:color w:val="000000"/>
          <w:sz w:val="22"/>
          <w:szCs w:val="22"/>
        </w:rPr>
        <w:t>more influence over changes in the total.</w:t>
      </w:r>
    </w:p>
    <w:p w:rsidR="009D5ADB" w:rsidRDefault="00F07D35"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w:t>
      </w:r>
      <w:r w:rsidR="00035854" w:rsidRPr="00C8419B">
        <w:rPr>
          <w:rFonts w:ascii="Arial" w:hAnsi="Arial" w:cs="Arial"/>
          <w:color w:val="000000"/>
          <w:sz w:val="22"/>
          <w:szCs w:val="22"/>
        </w:rPr>
        <w:t>he number of bankruptcies</w:t>
      </w:r>
      <w:r>
        <w:rPr>
          <w:rFonts w:ascii="Arial" w:hAnsi="Arial" w:cs="Arial"/>
          <w:color w:val="000000"/>
          <w:sz w:val="22"/>
          <w:szCs w:val="22"/>
        </w:rPr>
        <w:t xml:space="preserve"> has been </w:t>
      </w:r>
      <w:r w:rsidR="00EA6C05">
        <w:rPr>
          <w:rFonts w:ascii="Arial" w:hAnsi="Arial" w:cs="Arial"/>
          <w:color w:val="000000"/>
          <w:sz w:val="22"/>
          <w:szCs w:val="22"/>
        </w:rPr>
        <w:t xml:space="preserve">on a </w:t>
      </w:r>
      <w:r>
        <w:rPr>
          <w:rFonts w:ascii="Arial" w:hAnsi="Arial" w:cs="Arial"/>
          <w:color w:val="000000"/>
          <w:sz w:val="22"/>
          <w:szCs w:val="22"/>
        </w:rPr>
        <w:t xml:space="preserve">decreasing </w:t>
      </w:r>
      <w:r w:rsidR="00EA6C05">
        <w:rPr>
          <w:rFonts w:ascii="Arial" w:hAnsi="Arial" w:cs="Arial"/>
          <w:color w:val="000000"/>
          <w:sz w:val="22"/>
          <w:szCs w:val="22"/>
        </w:rPr>
        <w:t xml:space="preserve">trend </w:t>
      </w:r>
      <w:r>
        <w:rPr>
          <w:rFonts w:ascii="Arial" w:hAnsi="Arial" w:cs="Arial"/>
          <w:color w:val="000000"/>
          <w:sz w:val="22"/>
          <w:szCs w:val="22"/>
        </w:rPr>
        <w:t xml:space="preserve">since 2010, </w:t>
      </w:r>
      <w:r w:rsidR="00EA6C05">
        <w:rPr>
          <w:rFonts w:ascii="Arial" w:hAnsi="Arial" w:cs="Arial"/>
          <w:color w:val="000000"/>
          <w:sz w:val="22"/>
          <w:szCs w:val="22"/>
        </w:rPr>
        <w:t xml:space="preserve">with the rate of decrease most rapid following </w:t>
      </w:r>
      <w:r w:rsidR="00035854" w:rsidRPr="00C8419B">
        <w:rPr>
          <w:rFonts w:ascii="Arial" w:hAnsi="Arial" w:cs="Arial"/>
          <w:color w:val="000000"/>
          <w:sz w:val="22"/>
          <w:szCs w:val="22"/>
        </w:rPr>
        <w:t>the introduction of DROs in 2009</w:t>
      </w:r>
      <w:r w:rsidR="00EA6C05">
        <w:rPr>
          <w:rFonts w:ascii="Arial" w:hAnsi="Arial" w:cs="Arial"/>
          <w:color w:val="000000"/>
          <w:sz w:val="22"/>
          <w:szCs w:val="22"/>
        </w:rPr>
        <w:t>, and slowing from 2012 onwards.</w:t>
      </w:r>
    </w:p>
    <w:p w:rsidR="00C83760" w:rsidRPr="00AC1E8C" w:rsidRDefault="00F76BFB" w:rsidP="00AC1E8C">
      <w:pPr>
        <w:pStyle w:val="BodyText"/>
        <w:tabs>
          <w:tab w:val="left" w:pos="450"/>
          <w:tab w:val="left" w:pos="8647"/>
        </w:tabs>
        <w:spacing w:before="120" w:after="0" w:line="276" w:lineRule="auto"/>
        <w:rPr>
          <w:rFonts w:ascii="Arial" w:hAnsi="Arial" w:cs="Arial"/>
          <w:b/>
          <w:color w:val="000000"/>
          <w:sz w:val="22"/>
          <w:szCs w:val="22"/>
        </w:rPr>
      </w:pPr>
      <w:r w:rsidRPr="00C8419B">
        <w:rPr>
          <w:rFonts w:ascii="Arial" w:hAnsi="Arial" w:cs="Arial"/>
          <w:color w:val="000000"/>
          <w:sz w:val="22"/>
          <w:szCs w:val="22"/>
        </w:rPr>
        <w:t xml:space="preserve">IVAs </w:t>
      </w:r>
      <w:r w:rsidR="000B229A">
        <w:rPr>
          <w:rFonts w:ascii="Arial" w:hAnsi="Arial" w:cs="Arial"/>
          <w:color w:val="000000"/>
          <w:sz w:val="22"/>
          <w:szCs w:val="22"/>
        </w:rPr>
        <w:t>comprised</w:t>
      </w:r>
      <w:r w:rsidRPr="00C8419B">
        <w:rPr>
          <w:rFonts w:ascii="Arial" w:hAnsi="Arial" w:cs="Arial"/>
          <w:color w:val="000000"/>
          <w:sz w:val="22"/>
          <w:szCs w:val="22"/>
        </w:rPr>
        <w:t xml:space="preserve"> more than half (5</w:t>
      </w:r>
      <w:r w:rsidR="00283F9D">
        <w:rPr>
          <w:rFonts w:ascii="Arial" w:hAnsi="Arial" w:cs="Arial"/>
          <w:color w:val="000000"/>
          <w:sz w:val="22"/>
          <w:szCs w:val="22"/>
        </w:rPr>
        <w:t>4</w:t>
      </w:r>
      <w:r w:rsidRPr="00C8419B">
        <w:rPr>
          <w:rFonts w:ascii="Arial" w:hAnsi="Arial" w:cs="Arial"/>
          <w:color w:val="000000"/>
          <w:sz w:val="22"/>
          <w:szCs w:val="22"/>
        </w:rPr>
        <w:t>%) of all individual insolvencies</w:t>
      </w:r>
      <w:r w:rsidR="000B229A">
        <w:rPr>
          <w:rFonts w:ascii="Arial" w:hAnsi="Arial" w:cs="Arial"/>
          <w:color w:val="000000"/>
          <w:sz w:val="22"/>
          <w:szCs w:val="22"/>
        </w:rPr>
        <w:t xml:space="preserve"> in Q2 2014, a substantial increase from 23% in 2004</w:t>
      </w:r>
      <w:r w:rsidR="009D5ADB">
        <w:rPr>
          <w:rFonts w:ascii="Arial" w:hAnsi="Arial" w:cs="Arial"/>
          <w:color w:val="000000"/>
          <w:sz w:val="22"/>
          <w:szCs w:val="22"/>
        </w:rPr>
        <w:t xml:space="preserve">. </w:t>
      </w:r>
      <w:r w:rsidR="000B229A">
        <w:rPr>
          <w:rFonts w:ascii="Arial" w:hAnsi="Arial" w:cs="Arial"/>
          <w:color w:val="000000"/>
          <w:sz w:val="22"/>
          <w:szCs w:val="22"/>
        </w:rPr>
        <w:t xml:space="preserve">The number of IVAs each quarter, having been fairly stable since 2010, </w:t>
      </w:r>
      <w:r w:rsidR="003D5600">
        <w:rPr>
          <w:rFonts w:ascii="Arial" w:hAnsi="Arial" w:cs="Arial"/>
          <w:color w:val="000000"/>
          <w:sz w:val="22"/>
          <w:szCs w:val="22"/>
        </w:rPr>
        <w:t>has</w:t>
      </w:r>
      <w:r w:rsidR="003D5600">
        <w:rPr>
          <w:rFonts w:ascii="Arial" w:hAnsi="Arial" w:cs="Arial"/>
          <w:color w:val="000000"/>
          <w:sz w:val="22"/>
          <w:szCs w:val="22"/>
        </w:rPr>
        <w:t xml:space="preserve"> </w:t>
      </w:r>
      <w:r w:rsidR="000B229A">
        <w:rPr>
          <w:rFonts w:ascii="Arial" w:hAnsi="Arial" w:cs="Arial"/>
          <w:color w:val="000000"/>
          <w:sz w:val="22"/>
          <w:szCs w:val="22"/>
        </w:rPr>
        <w:t>been on an increasing trend since early 2013.</w:t>
      </w:r>
      <w:r w:rsidR="00FE3DDE">
        <w:rPr>
          <w:rFonts w:ascii="Arial" w:hAnsi="Arial" w:cs="Arial"/>
          <w:color w:val="000000"/>
          <w:sz w:val="22"/>
          <w:szCs w:val="22"/>
        </w:rPr>
        <w:tab/>
      </w:r>
      <w:r w:rsidR="00FE3DDE" w:rsidRPr="00AC1E8C">
        <w:rPr>
          <w:rFonts w:ascii="Arial" w:hAnsi="Arial" w:cs="Arial"/>
          <w:b/>
          <w:i/>
          <w:color w:val="000000"/>
          <w:sz w:val="22"/>
          <w:szCs w:val="22"/>
        </w:rPr>
        <w:t>(continued over)</w:t>
      </w:r>
    </w:p>
    <w:p w:rsidR="00FE3DDE" w:rsidRDefault="00FE3DDE" w:rsidP="00C8419B">
      <w:pPr>
        <w:pStyle w:val="BodyText"/>
        <w:tabs>
          <w:tab w:val="left" w:pos="450"/>
        </w:tabs>
        <w:spacing w:before="120" w:after="0" w:line="276" w:lineRule="auto"/>
        <w:rPr>
          <w:rFonts w:ascii="Arial" w:hAnsi="Arial" w:cs="Arial"/>
          <w:color w:val="000000"/>
          <w:sz w:val="22"/>
          <w:szCs w:val="22"/>
        </w:rPr>
      </w:pPr>
    </w:p>
    <w:p w:rsidR="00717E24" w:rsidRDefault="00717E24"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 number of DROs has stayed steady since their introduction, generally in the range of 6,500 to 8,000, and ha</w:t>
      </w:r>
      <w:r w:rsidR="002975F8" w:rsidRPr="00C8419B">
        <w:rPr>
          <w:rFonts w:ascii="Arial" w:hAnsi="Arial" w:cs="Arial"/>
          <w:color w:val="000000"/>
          <w:sz w:val="22"/>
          <w:szCs w:val="22"/>
        </w:rPr>
        <w:t>s</w:t>
      </w:r>
      <w:r w:rsidRPr="00C8419B">
        <w:rPr>
          <w:rFonts w:ascii="Arial" w:hAnsi="Arial" w:cs="Arial"/>
          <w:color w:val="000000"/>
          <w:sz w:val="22"/>
          <w:szCs w:val="22"/>
        </w:rPr>
        <w:t xml:space="preserve"> been higher than </w:t>
      </w:r>
      <w:r w:rsidR="002975F8" w:rsidRPr="00C8419B">
        <w:rPr>
          <w:rFonts w:ascii="Arial" w:hAnsi="Arial" w:cs="Arial"/>
          <w:color w:val="000000"/>
          <w:sz w:val="22"/>
          <w:szCs w:val="22"/>
        </w:rPr>
        <w:t xml:space="preserve">the number of </w:t>
      </w:r>
      <w:r w:rsidRPr="00C8419B">
        <w:rPr>
          <w:rFonts w:ascii="Arial" w:hAnsi="Arial" w:cs="Arial"/>
          <w:color w:val="000000"/>
          <w:sz w:val="22"/>
          <w:szCs w:val="22"/>
        </w:rPr>
        <w:t xml:space="preserve">bankruptcy orders since Q3 2012. </w:t>
      </w:r>
    </w:p>
    <w:p w:rsidR="00840C70" w:rsidRPr="00C8419B" w:rsidRDefault="00840C70" w:rsidP="00C8419B">
      <w:pPr>
        <w:pStyle w:val="BodyText"/>
        <w:tabs>
          <w:tab w:val="left" w:pos="450"/>
        </w:tabs>
        <w:spacing w:before="120" w:after="0" w:line="276" w:lineRule="auto"/>
        <w:rPr>
          <w:rFonts w:ascii="Arial" w:hAnsi="Arial" w:cs="Arial"/>
          <w:color w:val="000000"/>
          <w:sz w:val="22"/>
          <w:szCs w:val="22"/>
        </w:rPr>
      </w:pPr>
    </w:p>
    <w:p w:rsidR="00121457" w:rsidRDefault="00121457" w:rsidP="00840C70">
      <w:pPr>
        <w:spacing w:after="120" w:line="276" w:lineRule="auto"/>
        <w:rPr>
          <w:rFonts w:ascii="Arial" w:hAnsi="Arial" w:cs="Arial"/>
          <w:i/>
          <w:color w:val="000000" w:themeColor="text1"/>
          <w:sz w:val="22"/>
          <w:szCs w:val="22"/>
        </w:rPr>
      </w:pPr>
      <w:r>
        <w:rPr>
          <w:rFonts w:ascii="Arial" w:hAnsi="Arial" w:cs="Arial"/>
          <w:i/>
          <w:color w:val="000000" w:themeColor="text1"/>
          <w:sz w:val="22"/>
          <w:szCs w:val="22"/>
        </w:rPr>
        <w:t>Longer-term perspective</w:t>
      </w:r>
    </w:p>
    <w:p w:rsidR="00121457" w:rsidRDefault="00121457"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Individual insolvencies can be expressed as a percentage of the adult population, as this takes into account </w:t>
      </w:r>
      <w:r w:rsidRPr="00155F9D">
        <w:rPr>
          <w:rFonts w:ascii="Arial" w:hAnsi="Arial" w:cs="Arial"/>
          <w:color w:val="000000"/>
          <w:sz w:val="22"/>
          <w:szCs w:val="22"/>
        </w:rPr>
        <w:t>changes over time in the underlying population</w:t>
      </w:r>
      <w:r>
        <w:rPr>
          <w:rFonts w:ascii="Arial" w:hAnsi="Arial" w:cs="Arial"/>
          <w:color w:val="000000"/>
          <w:sz w:val="22"/>
          <w:szCs w:val="22"/>
        </w:rPr>
        <w:t>. In this section, rolling 12-month total individual insolvencies are compared with the estimated adult (18+) population of England and Wales.</w:t>
      </w:r>
    </w:p>
    <w:p w:rsidR="00F76BFB" w:rsidRDefault="00F76BFB" w:rsidP="00121457">
      <w:pPr>
        <w:spacing w:line="276" w:lineRule="auto"/>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F76BFB" w:rsidTr="000076CB">
        <w:tc>
          <w:tcPr>
            <w:tcW w:w="5353" w:type="dxa"/>
          </w:tcPr>
          <w:p w:rsidR="00F76BFB" w:rsidRPr="00121457" w:rsidRDefault="00F76BFB" w:rsidP="00F76BFB">
            <w:pPr>
              <w:spacing w:before="120"/>
              <w:jc w:val="center"/>
              <w:rPr>
                <w:rFonts w:ascii="Arial" w:hAnsi="Arial" w:cs="Arial"/>
                <w:b/>
                <w:color w:val="000000" w:themeColor="text1"/>
                <w:sz w:val="22"/>
                <w:szCs w:val="22"/>
              </w:rPr>
            </w:pPr>
            <w:r w:rsidRPr="00121457">
              <w:rPr>
                <w:rFonts w:ascii="Arial" w:hAnsi="Arial" w:cs="Arial"/>
                <w:b/>
                <w:color w:val="000000" w:themeColor="text1"/>
                <w:sz w:val="22"/>
                <w:szCs w:val="22"/>
              </w:rPr>
              <w:t xml:space="preserve">Figure </w:t>
            </w:r>
            <w:r w:rsidR="00791A86">
              <w:rPr>
                <w:rFonts w:ascii="Arial" w:hAnsi="Arial" w:cs="Arial"/>
                <w:b/>
                <w:color w:val="000000" w:themeColor="text1"/>
                <w:sz w:val="22"/>
                <w:szCs w:val="22"/>
              </w:rPr>
              <w:t>9</w:t>
            </w:r>
            <w:r w:rsidRPr="00121457">
              <w:rPr>
                <w:rFonts w:ascii="Arial" w:hAnsi="Arial" w:cs="Arial"/>
                <w:b/>
                <w:color w:val="000000" w:themeColor="text1"/>
                <w:sz w:val="22"/>
                <w:szCs w:val="22"/>
              </w:rPr>
              <w:t xml:space="preserve">: Individual insolvency rate in England &amp; Wales </w:t>
            </w:r>
            <w:r>
              <w:rPr>
                <w:rFonts w:ascii="Arial" w:hAnsi="Arial" w:cs="Arial"/>
                <w:b/>
                <w:color w:val="000000" w:themeColor="text1"/>
                <w:sz w:val="22"/>
                <w:szCs w:val="22"/>
              </w:rPr>
              <w:t xml:space="preserve">               </w:t>
            </w:r>
            <w:r w:rsidRPr="00121457">
              <w:rPr>
                <w:rFonts w:ascii="Arial" w:hAnsi="Arial" w:cs="Arial"/>
                <w:color w:val="000000" w:themeColor="text1"/>
                <w:sz w:val="22"/>
                <w:szCs w:val="22"/>
              </w:rPr>
              <w:t>(rolling 12-month rates)</w:t>
            </w:r>
          </w:p>
          <w:p w:rsidR="00F76BFB" w:rsidRDefault="00767583" w:rsidP="00F76BFB">
            <w:pPr>
              <w:pStyle w:val="BodyText"/>
              <w:tabs>
                <w:tab w:val="left" w:pos="450"/>
              </w:tabs>
              <w:spacing w:before="120" w:after="0" w:line="276" w:lineRule="auto"/>
              <w:rPr>
                <w:rFonts w:ascii="Arial" w:hAnsi="Arial" w:cs="Arial"/>
                <w:sz w:val="22"/>
                <w:szCs w:val="22"/>
              </w:rPr>
            </w:pPr>
            <w:r>
              <w:rPr>
                <w:rFonts w:ascii="Arial" w:hAnsi="Arial" w:cs="Arial"/>
                <w:noProof/>
                <w:sz w:val="22"/>
                <w:szCs w:val="22"/>
                <w:lang w:eastAsia="en-GB"/>
              </w:rPr>
              <w:drawing>
                <wp:inline distT="0" distB="0" distL="0" distR="0" wp14:anchorId="318B1D49" wp14:editId="40EF5349">
                  <wp:extent cx="4667250" cy="32289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0" cy="3228975"/>
                          </a:xfrm>
                          <a:prstGeom prst="rect">
                            <a:avLst/>
                          </a:prstGeom>
                          <a:noFill/>
                          <a:ln>
                            <a:noFill/>
                          </a:ln>
                        </pic:spPr>
                      </pic:pic>
                    </a:graphicData>
                  </a:graphic>
                </wp:inline>
              </w:drawing>
            </w:r>
          </w:p>
          <w:p w:rsidR="00F76BFB" w:rsidRPr="000B6473" w:rsidRDefault="00F76BFB" w:rsidP="00EC1B85">
            <w:pPr>
              <w:spacing w:after="60" w:line="276" w:lineRule="auto"/>
              <w:rPr>
                <w:rFonts w:ascii="Arial" w:hAnsi="Arial" w:cs="Arial"/>
                <w:color w:val="000000" w:themeColor="text1"/>
                <w:sz w:val="18"/>
                <w:szCs w:val="18"/>
              </w:rPr>
            </w:pPr>
            <w:r w:rsidRPr="000B6473">
              <w:rPr>
                <w:rFonts w:ascii="Arial" w:hAnsi="Arial" w:cs="Arial"/>
                <w:color w:val="000000" w:themeColor="text1"/>
                <w:sz w:val="18"/>
                <w:szCs w:val="18"/>
              </w:rPr>
              <w:t>Source: Insolvency Service, Office for National Statistics.</w:t>
            </w:r>
          </w:p>
          <w:p w:rsidR="00F76BFB" w:rsidRPr="00B434F3" w:rsidRDefault="00F76BFB" w:rsidP="003D5600">
            <w:pPr>
              <w:spacing w:after="60" w:line="276" w:lineRule="auto"/>
              <w:rPr>
                <w:rFonts w:ascii="Arial" w:hAnsi="Arial" w:cs="Arial"/>
                <w:color w:val="000000"/>
                <w:sz w:val="20"/>
                <w:szCs w:val="20"/>
              </w:rPr>
            </w:pPr>
            <w:r w:rsidRPr="000B6473">
              <w:rPr>
                <w:rFonts w:ascii="Arial" w:hAnsi="Arial" w:cs="Arial"/>
                <w:color w:val="000000"/>
                <w:sz w:val="18"/>
                <w:szCs w:val="18"/>
              </w:rPr>
              <w:t xml:space="preserve">See Table 8 of the accompanying Excel file for more </w:t>
            </w:r>
            <w:r w:rsidR="003D5600">
              <w:rPr>
                <w:rFonts w:ascii="Arial" w:hAnsi="Arial" w:cs="Arial"/>
                <w:color w:val="000000"/>
                <w:sz w:val="18"/>
                <w:szCs w:val="18"/>
              </w:rPr>
              <w:t>detail</w:t>
            </w:r>
            <w:r w:rsidR="00B434F3" w:rsidRPr="000B6473">
              <w:rPr>
                <w:rFonts w:ascii="Arial" w:hAnsi="Arial" w:cs="Arial"/>
                <w:color w:val="000000"/>
                <w:sz w:val="18"/>
                <w:szCs w:val="18"/>
              </w:rPr>
              <w:t>.</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F76BFB" w:rsidRPr="00F76BFB" w:rsidRDefault="00F76BFB" w:rsidP="00F76BFB">
            <w:pPr>
              <w:spacing w:before="120"/>
              <w:rPr>
                <w:rFonts w:ascii="Arial" w:hAnsi="Arial" w:cs="Arial"/>
                <w:color w:val="000000" w:themeColor="text1"/>
                <w:sz w:val="18"/>
                <w:szCs w:val="18"/>
              </w:rPr>
            </w:pPr>
            <w:r w:rsidRPr="00F76BFB">
              <w:rPr>
                <w:rFonts w:ascii="Arial" w:hAnsi="Arial" w:cs="Arial"/>
                <w:b/>
                <w:color w:val="000000" w:themeColor="text1"/>
                <w:sz w:val="18"/>
                <w:szCs w:val="18"/>
              </w:rPr>
              <w:t>Insolvency rate</w:t>
            </w:r>
            <w:r w:rsidRPr="00DD66FC">
              <w:rPr>
                <w:rFonts w:ascii="Arial" w:hAnsi="Arial" w:cs="Arial"/>
                <w:color w:val="000000" w:themeColor="text1"/>
                <w:sz w:val="18"/>
                <w:szCs w:val="18"/>
              </w:rPr>
              <w:t xml:space="preserve"> –</w:t>
            </w:r>
            <w:r w:rsidRPr="00F76BFB">
              <w:rPr>
                <w:rFonts w:ascii="Arial" w:hAnsi="Arial" w:cs="Arial"/>
                <w:color w:val="000000" w:themeColor="text1"/>
                <w:sz w:val="18"/>
                <w:szCs w:val="18"/>
              </w:rPr>
              <w:t>the total number of bankruptcies, IVAs and DROs in the latest twelve month period, divided by the average estimated adult (18+) population of England &amp; Wales.</w:t>
            </w:r>
          </w:p>
          <w:p w:rsidR="00F76BFB" w:rsidRPr="00EC1B85" w:rsidRDefault="00EC1B85" w:rsidP="00EC1B85">
            <w:pPr>
              <w:spacing w:before="120"/>
              <w:rPr>
                <w:rFonts w:ascii="Arial" w:hAnsi="Arial" w:cs="Arial"/>
                <w:color w:val="000000" w:themeColor="text1"/>
                <w:sz w:val="18"/>
                <w:szCs w:val="18"/>
              </w:rPr>
            </w:pPr>
            <w:r w:rsidRPr="00EC1B85">
              <w:rPr>
                <w:rFonts w:ascii="Arial" w:hAnsi="Arial" w:cs="Arial"/>
                <w:color w:val="000000" w:themeColor="text1"/>
                <w:sz w:val="18"/>
                <w:szCs w:val="18"/>
              </w:rPr>
              <w:t>Bankruptcy, IVA and DRO rates are calculated in the same way.</w:t>
            </w:r>
          </w:p>
        </w:tc>
      </w:tr>
    </w:tbl>
    <w:p w:rsidR="00F76BFB" w:rsidRDefault="00F76BFB" w:rsidP="00121457">
      <w:pPr>
        <w:spacing w:line="276" w:lineRule="auto"/>
        <w:rPr>
          <w:rFonts w:ascii="Arial" w:hAnsi="Arial" w:cs="Arial"/>
          <w:color w:val="000000"/>
          <w:sz w:val="22"/>
          <w:szCs w:val="22"/>
        </w:rPr>
      </w:pPr>
    </w:p>
    <w:p w:rsidR="00EC1B85" w:rsidRDefault="00EC1B85"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In the 12 months ending Q</w:t>
      </w:r>
      <w:r w:rsidR="00602C22">
        <w:rPr>
          <w:rFonts w:ascii="Arial" w:hAnsi="Arial" w:cs="Arial"/>
          <w:color w:val="000000"/>
          <w:sz w:val="22"/>
          <w:szCs w:val="22"/>
        </w:rPr>
        <w:t>2</w:t>
      </w:r>
      <w:r w:rsidR="002A324F">
        <w:rPr>
          <w:rFonts w:ascii="Arial" w:hAnsi="Arial" w:cs="Arial"/>
          <w:color w:val="000000"/>
          <w:sz w:val="22"/>
          <w:szCs w:val="22"/>
        </w:rPr>
        <w:t xml:space="preserve"> 2014, 1 in </w:t>
      </w:r>
      <w:r w:rsidR="002D7A20">
        <w:rPr>
          <w:rFonts w:ascii="Arial" w:hAnsi="Arial" w:cs="Arial"/>
          <w:color w:val="000000"/>
          <w:sz w:val="22"/>
          <w:szCs w:val="22"/>
        </w:rPr>
        <w:t xml:space="preserve">440 </w:t>
      </w:r>
      <w:r w:rsidR="002A324F">
        <w:rPr>
          <w:rFonts w:ascii="Arial" w:hAnsi="Arial" w:cs="Arial"/>
          <w:color w:val="000000"/>
          <w:sz w:val="22"/>
          <w:szCs w:val="22"/>
        </w:rPr>
        <w:t>adults (or less than 0.23</w:t>
      </w:r>
      <w:r w:rsidRPr="00C8419B">
        <w:rPr>
          <w:rFonts w:ascii="Arial" w:hAnsi="Arial" w:cs="Arial"/>
          <w:color w:val="000000"/>
          <w:sz w:val="22"/>
          <w:szCs w:val="22"/>
        </w:rPr>
        <w:t>% of the adult population</w:t>
      </w:r>
      <w:r w:rsidR="002A324F">
        <w:rPr>
          <w:rFonts w:ascii="Arial" w:hAnsi="Arial" w:cs="Arial"/>
          <w:color w:val="000000"/>
          <w:sz w:val="22"/>
          <w:szCs w:val="22"/>
        </w:rPr>
        <w:t>) became insolvent. This is up</w:t>
      </w:r>
      <w:r w:rsidRPr="00C8419B">
        <w:rPr>
          <w:rFonts w:ascii="Arial" w:hAnsi="Arial" w:cs="Arial"/>
          <w:color w:val="000000"/>
          <w:sz w:val="22"/>
          <w:szCs w:val="22"/>
        </w:rPr>
        <w:t xml:space="preserve"> from 1 in 44</w:t>
      </w:r>
      <w:r w:rsidR="002A324F">
        <w:rPr>
          <w:rFonts w:ascii="Arial" w:hAnsi="Arial" w:cs="Arial"/>
          <w:color w:val="000000"/>
          <w:sz w:val="22"/>
          <w:szCs w:val="22"/>
        </w:rPr>
        <w:t>4</w:t>
      </w:r>
      <w:r w:rsidR="00602C22">
        <w:rPr>
          <w:rFonts w:ascii="Arial" w:hAnsi="Arial" w:cs="Arial"/>
          <w:color w:val="000000"/>
          <w:sz w:val="22"/>
          <w:szCs w:val="22"/>
        </w:rPr>
        <w:t xml:space="preserve"> in the twelve months ending Q1</w:t>
      </w:r>
      <w:r w:rsidRPr="00C8419B">
        <w:rPr>
          <w:rFonts w:ascii="Arial" w:hAnsi="Arial" w:cs="Arial"/>
          <w:color w:val="000000"/>
          <w:sz w:val="22"/>
          <w:szCs w:val="22"/>
        </w:rPr>
        <w:t xml:space="preserve"> 201</w:t>
      </w:r>
      <w:r w:rsidR="00602C22">
        <w:rPr>
          <w:rFonts w:ascii="Arial" w:hAnsi="Arial" w:cs="Arial"/>
          <w:color w:val="000000"/>
          <w:sz w:val="22"/>
          <w:szCs w:val="22"/>
        </w:rPr>
        <w:t>4</w:t>
      </w:r>
      <w:r w:rsidR="009D5ADB">
        <w:rPr>
          <w:rFonts w:ascii="Arial" w:hAnsi="Arial" w:cs="Arial"/>
          <w:color w:val="000000"/>
          <w:sz w:val="22"/>
          <w:szCs w:val="22"/>
        </w:rPr>
        <w:t>.</w:t>
      </w:r>
      <w:r w:rsidRPr="00C8419B">
        <w:rPr>
          <w:rFonts w:ascii="Arial" w:hAnsi="Arial" w:cs="Arial"/>
          <w:color w:val="000000"/>
          <w:sz w:val="22"/>
          <w:szCs w:val="22"/>
        </w:rPr>
        <w:t xml:space="preserve"> </w:t>
      </w:r>
      <w:r w:rsidR="009D5ADB">
        <w:rPr>
          <w:rFonts w:ascii="Arial" w:hAnsi="Arial" w:cs="Arial"/>
          <w:color w:val="000000"/>
          <w:sz w:val="22"/>
          <w:szCs w:val="22"/>
        </w:rPr>
        <w:t>Previously, this rate</w:t>
      </w:r>
      <w:r w:rsidRPr="00C8419B">
        <w:rPr>
          <w:rFonts w:ascii="Arial" w:hAnsi="Arial" w:cs="Arial"/>
          <w:color w:val="000000"/>
          <w:sz w:val="22"/>
          <w:szCs w:val="22"/>
        </w:rPr>
        <w:t xml:space="preserve"> ha</w:t>
      </w:r>
      <w:r w:rsidR="002D7A20">
        <w:rPr>
          <w:rFonts w:ascii="Arial" w:hAnsi="Arial" w:cs="Arial"/>
          <w:color w:val="000000"/>
          <w:sz w:val="22"/>
          <w:szCs w:val="22"/>
        </w:rPr>
        <w:t>d</w:t>
      </w:r>
      <w:r w:rsidRPr="00C8419B">
        <w:rPr>
          <w:rFonts w:ascii="Arial" w:hAnsi="Arial" w:cs="Arial"/>
          <w:color w:val="000000"/>
          <w:sz w:val="22"/>
          <w:szCs w:val="22"/>
        </w:rPr>
        <w:t xml:space="preserve"> decreased each quarter since mid-2010, </w:t>
      </w:r>
      <w:r w:rsidR="002D7A20">
        <w:rPr>
          <w:rFonts w:ascii="Arial" w:hAnsi="Arial" w:cs="Arial"/>
          <w:color w:val="000000"/>
          <w:sz w:val="22"/>
          <w:szCs w:val="22"/>
        </w:rPr>
        <w:t>and it</w:t>
      </w:r>
      <w:r w:rsidR="002D7A20" w:rsidRPr="00C8419B">
        <w:rPr>
          <w:rFonts w:ascii="Arial" w:hAnsi="Arial" w:cs="Arial"/>
          <w:color w:val="000000"/>
          <w:sz w:val="22"/>
          <w:szCs w:val="22"/>
        </w:rPr>
        <w:t xml:space="preserve"> </w:t>
      </w:r>
      <w:r w:rsidRPr="00C8419B">
        <w:rPr>
          <w:rFonts w:ascii="Arial" w:hAnsi="Arial" w:cs="Arial"/>
          <w:color w:val="000000"/>
          <w:sz w:val="22"/>
          <w:szCs w:val="22"/>
        </w:rPr>
        <w:t>is still elevated compared with rates of less than 0.1% observed before 2004.</w:t>
      </w:r>
    </w:p>
    <w:p w:rsidR="004340F2" w:rsidRPr="00C8419B" w:rsidRDefault="004340F2"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 xml:space="preserve">The bankruptcy rate </w:t>
      </w:r>
      <w:r w:rsidR="001D7E46">
        <w:rPr>
          <w:rFonts w:ascii="Arial" w:hAnsi="Arial" w:cs="Arial"/>
          <w:color w:val="000000"/>
          <w:sz w:val="22"/>
          <w:szCs w:val="22"/>
        </w:rPr>
        <w:t xml:space="preserve">has </w:t>
      </w:r>
      <w:r w:rsidR="009D5ADB">
        <w:rPr>
          <w:rFonts w:ascii="Arial" w:hAnsi="Arial" w:cs="Arial"/>
          <w:color w:val="000000"/>
          <w:sz w:val="22"/>
          <w:szCs w:val="22"/>
        </w:rPr>
        <w:t>decrease</w:t>
      </w:r>
      <w:r w:rsidR="001D7E46">
        <w:rPr>
          <w:rFonts w:ascii="Arial" w:hAnsi="Arial" w:cs="Arial"/>
          <w:color w:val="000000"/>
          <w:sz w:val="22"/>
          <w:szCs w:val="22"/>
        </w:rPr>
        <w:t>d each quarter since the 12 months ending Q3 2009</w:t>
      </w:r>
      <w:r w:rsidR="002D7A20">
        <w:rPr>
          <w:rFonts w:ascii="Arial" w:hAnsi="Arial" w:cs="Arial"/>
          <w:color w:val="000000"/>
          <w:sz w:val="22"/>
          <w:szCs w:val="22"/>
        </w:rPr>
        <w:t xml:space="preserve">, </w:t>
      </w:r>
      <w:r w:rsidR="001D7E46">
        <w:rPr>
          <w:rFonts w:ascii="Arial" w:hAnsi="Arial" w:cs="Arial"/>
          <w:color w:val="000000"/>
          <w:sz w:val="22"/>
          <w:szCs w:val="22"/>
        </w:rPr>
        <w:t xml:space="preserve">while </w:t>
      </w:r>
      <w:r w:rsidR="002D7A20">
        <w:rPr>
          <w:rFonts w:ascii="Arial" w:hAnsi="Arial" w:cs="Arial"/>
          <w:color w:val="000000"/>
          <w:sz w:val="22"/>
          <w:szCs w:val="22"/>
        </w:rPr>
        <w:t>the DRO rate</w:t>
      </w:r>
      <w:r w:rsidR="001D7E46">
        <w:rPr>
          <w:rFonts w:ascii="Arial" w:hAnsi="Arial" w:cs="Arial"/>
          <w:color w:val="000000"/>
          <w:sz w:val="22"/>
          <w:szCs w:val="22"/>
        </w:rPr>
        <w:t xml:space="preserve"> has decreased each quarter since the 12 months ending Q4 2012</w:t>
      </w:r>
      <w:r w:rsidR="002D7A20">
        <w:rPr>
          <w:rFonts w:ascii="Arial" w:hAnsi="Arial" w:cs="Arial"/>
          <w:color w:val="000000"/>
          <w:sz w:val="22"/>
          <w:szCs w:val="22"/>
        </w:rPr>
        <w:t>.</w:t>
      </w:r>
      <w:r w:rsidR="009D5ADB">
        <w:rPr>
          <w:rFonts w:ascii="Arial" w:hAnsi="Arial" w:cs="Arial"/>
          <w:color w:val="000000"/>
          <w:sz w:val="22"/>
          <w:szCs w:val="22"/>
        </w:rPr>
        <w:t xml:space="preserve"> </w:t>
      </w:r>
      <w:r w:rsidR="002D7A20">
        <w:rPr>
          <w:rFonts w:ascii="Arial" w:hAnsi="Arial" w:cs="Arial"/>
          <w:color w:val="000000"/>
          <w:sz w:val="22"/>
          <w:szCs w:val="22"/>
        </w:rPr>
        <w:t>T</w:t>
      </w:r>
      <w:r>
        <w:rPr>
          <w:rFonts w:ascii="Arial" w:hAnsi="Arial" w:cs="Arial"/>
          <w:color w:val="000000"/>
          <w:sz w:val="22"/>
          <w:szCs w:val="22"/>
        </w:rPr>
        <w:t xml:space="preserve">he IVA rate </w:t>
      </w:r>
      <w:r w:rsidR="002D7A20">
        <w:rPr>
          <w:rFonts w:ascii="Arial" w:hAnsi="Arial" w:cs="Arial"/>
          <w:color w:val="000000"/>
          <w:sz w:val="22"/>
          <w:szCs w:val="22"/>
        </w:rPr>
        <w:t>has increased each quarter since Q1 2013</w:t>
      </w:r>
      <w:r>
        <w:rPr>
          <w:rFonts w:ascii="Arial" w:hAnsi="Arial" w:cs="Arial"/>
          <w:color w:val="000000"/>
          <w:sz w:val="22"/>
          <w:szCs w:val="22"/>
        </w:rPr>
        <w:t>.</w:t>
      </w:r>
    </w:p>
    <w:p w:rsidR="00EC1B85" w:rsidRPr="00C8419B" w:rsidRDefault="00EC1B85"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The individual insolvency rate is </w:t>
      </w:r>
      <w:r w:rsidR="00AA4F9A" w:rsidRPr="00C8419B">
        <w:rPr>
          <w:rFonts w:ascii="Arial" w:hAnsi="Arial" w:cs="Arial"/>
          <w:color w:val="000000"/>
          <w:sz w:val="22"/>
          <w:szCs w:val="22"/>
        </w:rPr>
        <w:t>related to</w:t>
      </w:r>
      <w:r w:rsidRPr="00C8419B">
        <w:rPr>
          <w:rFonts w:ascii="Arial" w:hAnsi="Arial" w:cs="Arial"/>
          <w:color w:val="000000"/>
          <w:sz w:val="22"/>
          <w:szCs w:val="22"/>
        </w:rPr>
        <w:t xml:space="preserve"> levels of household debt, and with economic growth. The expansion of credit in the early- to mid-2000s coincided with a large increase in the individual insolvency rate, which abated following the credit crunch in 2007 before increasing again during the 2008-09 recession.</w:t>
      </w:r>
    </w:p>
    <w:p w:rsidR="00C83760" w:rsidRPr="00C8419B" w:rsidRDefault="00EC1B85"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For IVAs specifically, the rapid increase from 2004 to 2006 coincided with </w:t>
      </w:r>
      <w:r w:rsidR="00F56575" w:rsidRPr="00C8419B">
        <w:rPr>
          <w:rFonts w:ascii="Arial" w:hAnsi="Arial" w:cs="Arial"/>
          <w:color w:val="000000"/>
          <w:sz w:val="22"/>
          <w:szCs w:val="22"/>
        </w:rPr>
        <w:t>high levels of advertising by companies which manage these arrangements. The reduction in 2007 and 2008 could be because of creditors rejecting IVAs with low repayment rates.</w:t>
      </w:r>
    </w:p>
    <w:p w:rsidR="004824DB" w:rsidRPr="00371325" w:rsidRDefault="004824DB" w:rsidP="00EC1B85">
      <w:pPr>
        <w:rPr>
          <w:rFonts w:ascii="Arial" w:hAnsi="Arial" w:cs="Arial"/>
          <w:color w:val="E36C0A" w:themeColor="accent6" w:themeShade="BF"/>
          <w:sz w:val="22"/>
          <w:szCs w:val="22"/>
        </w:rPr>
      </w:pPr>
    </w:p>
    <w:p w:rsidR="00B434F3" w:rsidRDefault="006E4BFD" w:rsidP="00B83AE5">
      <w:pPr>
        <w:pageBreakBefore/>
        <w:spacing w:before="240" w:after="240"/>
        <w:rPr>
          <w:rFonts w:ascii="Arial" w:hAnsi="Arial" w:cs="Arial"/>
          <w:b/>
          <w:sz w:val="28"/>
          <w:szCs w:val="22"/>
        </w:rPr>
      </w:pPr>
      <w:r>
        <w:rPr>
          <w:rFonts w:ascii="Arial" w:hAnsi="Arial" w:cs="Arial"/>
          <w:b/>
          <w:sz w:val="28"/>
          <w:szCs w:val="22"/>
        </w:rPr>
        <w:lastRenderedPageBreak/>
        <w:t xml:space="preserve">3.2 </w:t>
      </w:r>
      <w:r w:rsidR="00B434F3" w:rsidRPr="00B83AE5">
        <w:rPr>
          <w:rFonts w:ascii="Arial" w:hAnsi="Arial" w:cs="Arial"/>
          <w:b/>
          <w:sz w:val="28"/>
          <w:szCs w:val="22"/>
        </w:rPr>
        <w:t>Bankruptcy orders: petition type</w:t>
      </w:r>
      <w:r w:rsidR="00F132F3">
        <w:rPr>
          <w:rFonts w:ascii="Arial" w:hAnsi="Arial" w:cs="Arial"/>
          <w:b/>
          <w:sz w:val="28"/>
          <w:szCs w:val="22"/>
        </w:rPr>
        <w:t xml:space="preserve">, </w:t>
      </w:r>
      <w:r w:rsidR="00F132F3" w:rsidRPr="00B83AE5">
        <w:rPr>
          <w:rFonts w:ascii="Arial" w:hAnsi="Arial" w:cs="Arial"/>
          <w:b/>
          <w:sz w:val="28"/>
          <w:szCs w:val="22"/>
        </w:rPr>
        <w:t>trading status</w:t>
      </w:r>
      <w:r w:rsidR="00F132F3">
        <w:rPr>
          <w:rFonts w:ascii="Arial" w:hAnsi="Arial" w:cs="Arial"/>
          <w:b/>
          <w:sz w:val="28"/>
          <w:szCs w:val="22"/>
        </w:rPr>
        <w:t>,</w:t>
      </w:r>
      <w:r w:rsidR="00B83AE5">
        <w:rPr>
          <w:rFonts w:ascii="Arial" w:hAnsi="Arial" w:cs="Arial"/>
          <w:b/>
          <w:sz w:val="28"/>
          <w:szCs w:val="22"/>
        </w:rPr>
        <w:t xml:space="preserve"> and income payments</w:t>
      </w:r>
    </w:p>
    <w:p w:rsidR="00B83AE5" w:rsidRDefault="00B83AE5" w:rsidP="00B83AE5">
      <w:pPr>
        <w:spacing w:after="120" w:line="276" w:lineRule="auto"/>
        <w:rPr>
          <w:rFonts w:ascii="Arial" w:hAnsi="Arial" w:cs="Arial"/>
          <w:sz w:val="22"/>
          <w:szCs w:val="22"/>
        </w:rPr>
      </w:pPr>
      <w:r>
        <w:rPr>
          <w:rFonts w:ascii="Arial" w:hAnsi="Arial" w:cs="Arial"/>
          <w:sz w:val="22"/>
          <w:szCs w:val="22"/>
        </w:rPr>
        <w:t>These statistics provide further information on the characteristics of bankruptcies.</w:t>
      </w:r>
    </w:p>
    <w:p w:rsidR="003D5600" w:rsidRDefault="003D5600" w:rsidP="00B83AE5">
      <w:pPr>
        <w:spacing w:after="120"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B83AE5" w:rsidTr="000076CB">
        <w:tc>
          <w:tcPr>
            <w:tcW w:w="5353" w:type="dxa"/>
          </w:tcPr>
          <w:p w:rsidR="00B83AE5" w:rsidRPr="00FF11F1" w:rsidRDefault="00B83AE5" w:rsidP="008B66F2">
            <w:pPr>
              <w:tabs>
                <w:tab w:val="left" w:pos="965"/>
              </w:tabs>
              <w:spacing w:before="120" w:after="120" w:line="276" w:lineRule="auto"/>
              <w:jc w:val="center"/>
              <w:rPr>
                <w:rFonts w:ascii="Arial" w:hAnsi="Arial" w:cs="Arial"/>
                <w:noProof/>
                <w:color w:val="000000" w:themeColor="text1"/>
                <w:sz w:val="22"/>
                <w:szCs w:val="22"/>
                <w:lang w:eastAsia="en-GB"/>
              </w:rPr>
            </w:pPr>
            <w:r w:rsidRPr="00FF11F1">
              <w:rPr>
                <w:rFonts w:ascii="Arial" w:hAnsi="Arial" w:cs="Arial"/>
                <w:b/>
                <w:color w:val="000000" w:themeColor="text1"/>
                <w:sz w:val="22"/>
                <w:szCs w:val="22"/>
              </w:rPr>
              <w:t xml:space="preserve">Figure </w:t>
            </w:r>
            <w:r w:rsidR="00791A86">
              <w:rPr>
                <w:rFonts w:ascii="Arial" w:hAnsi="Arial" w:cs="Arial"/>
                <w:b/>
                <w:color w:val="000000" w:themeColor="text1"/>
                <w:sz w:val="22"/>
                <w:szCs w:val="22"/>
              </w:rPr>
              <w:t>10</w:t>
            </w:r>
            <w:r w:rsidRPr="00FF11F1">
              <w:rPr>
                <w:rFonts w:ascii="Arial" w:hAnsi="Arial" w:cs="Arial"/>
                <w:b/>
                <w:color w:val="000000" w:themeColor="text1"/>
                <w:sz w:val="22"/>
                <w:szCs w:val="22"/>
              </w:rPr>
              <w:t>: Bankruptcies in England and Wales: petition status</w:t>
            </w:r>
            <w:r w:rsidR="00AA4F9A">
              <w:rPr>
                <w:rFonts w:ascii="Arial" w:hAnsi="Arial" w:cs="Arial"/>
                <w:b/>
                <w:color w:val="000000" w:themeColor="text1"/>
                <w:sz w:val="22"/>
                <w:szCs w:val="22"/>
              </w:rPr>
              <w:t xml:space="preserve">  </w:t>
            </w:r>
            <w:r w:rsidRPr="00FF11F1">
              <w:rPr>
                <w:rFonts w:ascii="Arial" w:hAnsi="Arial" w:cs="Arial"/>
                <w:b/>
                <w:color w:val="000000" w:themeColor="text1"/>
                <w:sz w:val="22"/>
                <w:szCs w:val="22"/>
              </w:rPr>
              <w:t xml:space="preserve"> </w:t>
            </w:r>
            <w:r w:rsidRPr="00FF11F1">
              <w:rPr>
                <w:rFonts w:ascii="Arial" w:hAnsi="Arial" w:cs="Arial"/>
                <w:color w:val="000000" w:themeColor="text1"/>
                <w:sz w:val="22"/>
                <w:szCs w:val="22"/>
              </w:rPr>
              <w:t>(</w:t>
            </w:r>
            <w:r w:rsidR="00AA4F9A">
              <w:rPr>
                <w:rFonts w:ascii="Arial" w:hAnsi="Arial" w:cs="Arial"/>
                <w:color w:val="000000"/>
                <w:sz w:val="22"/>
                <w:szCs w:val="22"/>
              </w:rPr>
              <w:t xml:space="preserve">quarterly data, </w:t>
            </w:r>
            <w:r w:rsidRPr="00FF11F1">
              <w:rPr>
                <w:rFonts w:ascii="Arial" w:hAnsi="Arial" w:cs="Arial"/>
                <w:color w:val="000000" w:themeColor="text1"/>
                <w:sz w:val="22"/>
                <w:szCs w:val="22"/>
              </w:rPr>
              <w:t>seasonally adjusted)</w:t>
            </w:r>
            <w:r w:rsidRPr="00FF11F1">
              <w:rPr>
                <w:rFonts w:ascii="Arial" w:hAnsi="Arial" w:cs="Arial"/>
                <w:noProof/>
                <w:color w:val="000000" w:themeColor="text1"/>
                <w:sz w:val="22"/>
                <w:szCs w:val="22"/>
                <w:lang w:eastAsia="en-GB"/>
              </w:rPr>
              <w:t xml:space="preserve"> </w:t>
            </w:r>
          </w:p>
          <w:p w:rsidR="00B83AE5" w:rsidRDefault="00767583" w:rsidP="00B83AE5">
            <w:pPr>
              <w:pStyle w:val="BodyText"/>
              <w:tabs>
                <w:tab w:val="left" w:pos="450"/>
              </w:tabs>
              <w:spacing w:before="120" w:after="0" w:line="276" w:lineRule="auto"/>
              <w:rPr>
                <w:rFonts w:ascii="Arial" w:hAnsi="Arial" w:cs="Arial"/>
                <w:sz w:val="22"/>
                <w:szCs w:val="22"/>
              </w:rPr>
            </w:pPr>
            <w:r>
              <w:rPr>
                <w:rFonts w:ascii="Arial" w:hAnsi="Arial" w:cs="Arial"/>
                <w:noProof/>
                <w:sz w:val="22"/>
                <w:szCs w:val="22"/>
                <w:lang w:eastAsia="en-GB"/>
              </w:rPr>
              <w:drawing>
                <wp:inline distT="0" distB="0" distL="0" distR="0" wp14:anchorId="409DFAD2" wp14:editId="07AC2901">
                  <wp:extent cx="4667250" cy="3238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rsidR="00B83AE5" w:rsidRPr="000B6473" w:rsidRDefault="00B83AE5" w:rsidP="00F132F3">
            <w:pPr>
              <w:spacing w:after="60" w:line="276" w:lineRule="auto"/>
              <w:rPr>
                <w:rFonts w:ascii="Arial" w:hAnsi="Arial" w:cs="Arial"/>
                <w:color w:val="000000" w:themeColor="text1"/>
                <w:sz w:val="18"/>
                <w:szCs w:val="18"/>
              </w:rPr>
            </w:pPr>
            <w:r w:rsidRPr="000B6473">
              <w:rPr>
                <w:rFonts w:ascii="Arial" w:hAnsi="Arial" w:cs="Arial"/>
                <w:color w:val="000000" w:themeColor="text1"/>
                <w:sz w:val="18"/>
                <w:szCs w:val="18"/>
              </w:rPr>
              <w:t>Source: Insolvency Service.</w:t>
            </w:r>
          </w:p>
          <w:p w:rsidR="00B83AE5" w:rsidRDefault="00B83AE5" w:rsidP="00F132F3">
            <w:pPr>
              <w:spacing w:after="60" w:line="276" w:lineRule="auto"/>
              <w:rPr>
                <w:rFonts w:ascii="Arial" w:hAnsi="Arial" w:cs="Arial"/>
                <w:sz w:val="22"/>
                <w:szCs w:val="22"/>
              </w:rPr>
            </w:pPr>
            <w:r w:rsidRPr="000B6473">
              <w:rPr>
                <w:rFonts w:ascii="Arial" w:hAnsi="Arial" w:cs="Arial"/>
                <w:color w:val="000000" w:themeColor="text1"/>
                <w:sz w:val="18"/>
                <w:szCs w:val="18"/>
              </w:rPr>
              <w:t xml:space="preserve">See Table 2a of the </w:t>
            </w:r>
            <w:r w:rsidRPr="000B6473">
              <w:rPr>
                <w:rFonts w:ascii="Arial" w:hAnsi="Arial" w:cs="Arial"/>
                <w:color w:val="000000"/>
                <w:sz w:val="18"/>
                <w:szCs w:val="18"/>
              </w:rPr>
              <w:t xml:space="preserve">accompanying Excel file </w:t>
            </w:r>
            <w:r w:rsidRPr="000B6473">
              <w:rPr>
                <w:rFonts w:ascii="Arial" w:hAnsi="Arial" w:cs="Arial"/>
                <w:color w:val="000000" w:themeColor="text1"/>
                <w:sz w:val="18"/>
                <w:szCs w:val="18"/>
              </w:rPr>
              <w:t>for</w:t>
            </w:r>
            <w:r w:rsidRPr="000B6473">
              <w:rPr>
                <w:rFonts w:ascii="Arial" w:hAnsi="Arial" w:cs="Arial"/>
                <w:color w:val="000000"/>
                <w:sz w:val="18"/>
                <w:szCs w:val="18"/>
              </w:rPr>
              <w:t xml:space="preserve">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F132F3" w:rsidRDefault="00F132F3" w:rsidP="00B83AE5">
            <w:pPr>
              <w:spacing w:before="120"/>
              <w:rPr>
                <w:rFonts w:ascii="Arial" w:hAnsi="Arial" w:cs="Arial"/>
                <w:color w:val="000000" w:themeColor="text1"/>
                <w:sz w:val="18"/>
                <w:szCs w:val="18"/>
              </w:rPr>
            </w:pPr>
            <w:r>
              <w:rPr>
                <w:rFonts w:ascii="Arial" w:hAnsi="Arial" w:cs="Arial"/>
                <w:b/>
                <w:color w:val="000000" w:themeColor="text1"/>
                <w:sz w:val="18"/>
                <w:szCs w:val="18"/>
              </w:rPr>
              <w:t>Debtor petition</w:t>
            </w:r>
            <w:r>
              <w:rPr>
                <w:rFonts w:ascii="Arial" w:hAnsi="Arial" w:cs="Arial"/>
                <w:color w:val="000000" w:themeColor="text1"/>
                <w:sz w:val="18"/>
                <w:szCs w:val="18"/>
              </w:rPr>
              <w:t xml:space="preserve"> – where the individual is unable to pay their debts, and applies to the court to declare themselves bankrupt.</w:t>
            </w:r>
          </w:p>
          <w:p w:rsidR="00B83AE5" w:rsidRDefault="00F132F3" w:rsidP="008B66F2">
            <w:pPr>
              <w:spacing w:before="120"/>
              <w:rPr>
                <w:rFonts w:ascii="Arial" w:hAnsi="Arial" w:cs="Arial"/>
                <w:color w:val="000000" w:themeColor="text1"/>
                <w:sz w:val="18"/>
                <w:szCs w:val="18"/>
              </w:rPr>
            </w:pPr>
            <w:r>
              <w:rPr>
                <w:rFonts w:ascii="Arial" w:hAnsi="Arial" w:cs="Arial"/>
                <w:b/>
                <w:color w:val="000000" w:themeColor="text1"/>
                <w:sz w:val="18"/>
                <w:szCs w:val="18"/>
              </w:rPr>
              <w:t>Creditor petition</w:t>
            </w:r>
            <w:r>
              <w:rPr>
                <w:rFonts w:ascii="Arial" w:hAnsi="Arial" w:cs="Arial"/>
                <w:color w:val="000000" w:themeColor="text1"/>
                <w:sz w:val="18"/>
                <w:szCs w:val="18"/>
              </w:rPr>
              <w:t xml:space="preserve"> –</w:t>
            </w:r>
            <w:r w:rsidR="00800BBD">
              <w:rPr>
                <w:rFonts w:ascii="Arial" w:hAnsi="Arial" w:cs="Arial"/>
                <w:color w:val="000000" w:themeColor="text1"/>
                <w:sz w:val="18"/>
                <w:szCs w:val="18"/>
              </w:rPr>
              <w:t xml:space="preserve"> </w:t>
            </w:r>
            <w:r>
              <w:rPr>
                <w:rFonts w:ascii="Arial" w:hAnsi="Arial" w:cs="Arial"/>
                <w:color w:val="000000" w:themeColor="text1"/>
                <w:sz w:val="18"/>
                <w:szCs w:val="18"/>
              </w:rPr>
              <w:t>if a creditor is owed £750 or more, they can apply to the court</w:t>
            </w:r>
            <w:r w:rsidR="008B66F2">
              <w:rPr>
                <w:rFonts w:ascii="Arial" w:hAnsi="Arial" w:cs="Arial"/>
                <w:color w:val="000000" w:themeColor="text1"/>
                <w:sz w:val="18"/>
                <w:szCs w:val="18"/>
              </w:rPr>
              <w:t xml:space="preserve"> to make an individual bankrupt.</w:t>
            </w:r>
          </w:p>
          <w:p w:rsidR="00A954B5" w:rsidRDefault="00A954B5" w:rsidP="008B66F2">
            <w:pPr>
              <w:spacing w:before="120"/>
              <w:rPr>
                <w:rFonts w:ascii="Arial" w:hAnsi="Arial" w:cs="Arial"/>
                <w:color w:val="000000" w:themeColor="text1"/>
                <w:sz w:val="18"/>
                <w:szCs w:val="18"/>
              </w:rPr>
            </w:pPr>
            <w:r>
              <w:rPr>
                <w:rFonts w:ascii="Arial" w:hAnsi="Arial" w:cs="Arial"/>
                <w:color w:val="000000" w:themeColor="text1"/>
                <w:sz w:val="18"/>
                <w:szCs w:val="18"/>
              </w:rPr>
              <w:t>Not all petitions to court result in a bankruptcy order. These statistics relate to petitions where a court order was made as a result.</w:t>
            </w:r>
          </w:p>
          <w:p w:rsidR="00A954B5" w:rsidRPr="008B66F2" w:rsidRDefault="00A954B5" w:rsidP="008B66F2">
            <w:pPr>
              <w:spacing w:before="120"/>
              <w:rPr>
                <w:rFonts w:ascii="Arial" w:hAnsi="Arial" w:cs="Arial"/>
                <w:color w:val="000000" w:themeColor="text1"/>
                <w:sz w:val="18"/>
                <w:szCs w:val="18"/>
              </w:rPr>
            </w:pPr>
            <w:r>
              <w:rPr>
                <w:rFonts w:ascii="Arial" w:hAnsi="Arial" w:cs="Arial"/>
                <w:color w:val="000000" w:themeColor="text1"/>
                <w:sz w:val="18"/>
                <w:szCs w:val="18"/>
              </w:rPr>
              <w:t xml:space="preserve">The </w:t>
            </w:r>
            <w:hyperlink r:id="rId29" w:history="1">
              <w:r w:rsidRPr="001C2BB8">
                <w:rPr>
                  <w:rStyle w:val="Hyperlink"/>
                  <w:rFonts w:ascii="Arial" w:hAnsi="Arial" w:cs="Arial"/>
                  <w:sz w:val="18"/>
                  <w:szCs w:val="18"/>
                </w:rPr>
                <w:t>Ministry of Justice</w:t>
              </w:r>
            </w:hyperlink>
            <w:r>
              <w:rPr>
                <w:rFonts w:ascii="Arial" w:hAnsi="Arial" w:cs="Arial"/>
                <w:color w:val="000000" w:themeColor="text1"/>
                <w:sz w:val="18"/>
                <w:szCs w:val="18"/>
              </w:rPr>
              <w:t xml:space="preserve"> publishes quarterly National Statistics on the total number of bankruptcy petitions presented to court in England and Wales.</w:t>
            </w:r>
          </w:p>
        </w:tc>
      </w:tr>
    </w:tbl>
    <w:p w:rsidR="00B83AE5" w:rsidRDefault="00B83AE5" w:rsidP="00B83AE5">
      <w:pPr>
        <w:spacing w:after="120" w:line="276" w:lineRule="auto"/>
        <w:rPr>
          <w:rFonts w:ascii="Arial" w:hAnsi="Arial" w:cs="Arial"/>
          <w:sz w:val="22"/>
          <w:szCs w:val="22"/>
        </w:rPr>
      </w:pPr>
    </w:p>
    <w:p w:rsidR="00B13183" w:rsidRPr="00C8419B" w:rsidRDefault="00A73C56"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 xml:space="preserve">In </w:t>
      </w:r>
      <w:r w:rsidR="009D5ADB">
        <w:rPr>
          <w:rFonts w:ascii="Arial" w:hAnsi="Arial" w:cs="Arial"/>
          <w:color w:val="000000"/>
          <w:sz w:val="22"/>
          <w:szCs w:val="22"/>
        </w:rPr>
        <w:t xml:space="preserve">Q2 </w:t>
      </w:r>
      <w:r>
        <w:rPr>
          <w:rFonts w:ascii="Arial" w:hAnsi="Arial" w:cs="Arial"/>
          <w:color w:val="000000"/>
          <w:sz w:val="22"/>
          <w:szCs w:val="22"/>
        </w:rPr>
        <w:t>2014</w:t>
      </w:r>
      <w:r w:rsidR="00B13183" w:rsidRPr="00C8419B">
        <w:rPr>
          <w:rFonts w:ascii="Arial" w:hAnsi="Arial" w:cs="Arial"/>
          <w:color w:val="000000"/>
          <w:sz w:val="22"/>
          <w:szCs w:val="22"/>
        </w:rPr>
        <w:t xml:space="preserve"> there were </w:t>
      </w:r>
      <w:r w:rsidR="00DD1AA4">
        <w:rPr>
          <w:rFonts w:ascii="Arial" w:hAnsi="Arial" w:cs="Arial"/>
          <w:color w:val="000000"/>
          <w:sz w:val="22"/>
          <w:szCs w:val="22"/>
        </w:rPr>
        <w:t>4,1</w:t>
      </w:r>
      <w:r w:rsidR="00626569">
        <w:rPr>
          <w:rFonts w:ascii="Arial" w:hAnsi="Arial" w:cs="Arial"/>
          <w:color w:val="000000"/>
          <w:sz w:val="22"/>
          <w:szCs w:val="22"/>
        </w:rPr>
        <w:t>57</w:t>
      </w:r>
      <w:r w:rsidR="00B13183" w:rsidRPr="00C8419B">
        <w:rPr>
          <w:rFonts w:ascii="Arial" w:hAnsi="Arial" w:cs="Arial"/>
          <w:color w:val="000000"/>
          <w:sz w:val="22"/>
          <w:szCs w:val="22"/>
        </w:rPr>
        <w:t xml:space="preserve"> debtor petition</w:t>
      </w:r>
      <w:r w:rsidR="001C2BB8" w:rsidRPr="00C8419B">
        <w:rPr>
          <w:rFonts w:ascii="Arial" w:hAnsi="Arial" w:cs="Arial"/>
          <w:color w:val="000000"/>
          <w:sz w:val="22"/>
          <w:szCs w:val="22"/>
        </w:rPr>
        <w:t xml:space="preserve"> bankruptcie</w:t>
      </w:r>
      <w:r>
        <w:rPr>
          <w:rFonts w:ascii="Arial" w:hAnsi="Arial" w:cs="Arial"/>
          <w:color w:val="000000"/>
          <w:sz w:val="22"/>
          <w:szCs w:val="22"/>
        </w:rPr>
        <w:t xml:space="preserve">s, which </w:t>
      </w:r>
      <w:r w:rsidR="009D5ADB">
        <w:rPr>
          <w:rFonts w:ascii="Arial" w:hAnsi="Arial" w:cs="Arial"/>
          <w:color w:val="000000"/>
          <w:sz w:val="22"/>
          <w:szCs w:val="22"/>
        </w:rPr>
        <w:t>was</w:t>
      </w:r>
      <w:r>
        <w:rPr>
          <w:rFonts w:ascii="Arial" w:hAnsi="Arial" w:cs="Arial"/>
          <w:color w:val="000000"/>
          <w:sz w:val="22"/>
          <w:szCs w:val="22"/>
        </w:rPr>
        <w:t xml:space="preserve"> </w:t>
      </w:r>
      <w:r w:rsidR="00DD1AA4">
        <w:rPr>
          <w:rFonts w:ascii="Arial" w:hAnsi="Arial" w:cs="Arial"/>
          <w:color w:val="000000"/>
          <w:sz w:val="22"/>
          <w:szCs w:val="22"/>
        </w:rPr>
        <w:t>1</w:t>
      </w:r>
      <w:r>
        <w:rPr>
          <w:rFonts w:ascii="Arial" w:hAnsi="Arial" w:cs="Arial"/>
          <w:color w:val="000000"/>
          <w:sz w:val="22"/>
          <w:szCs w:val="22"/>
        </w:rPr>
        <w:t>4</w:t>
      </w:r>
      <w:r w:rsidR="00DD1AA4">
        <w:rPr>
          <w:rFonts w:ascii="Arial" w:hAnsi="Arial" w:cs="Arial"/>
          <w:color w:val="000000"/>
          <w:sz w:val="22"/>
          <w:szCs w:val="22"/>
        </w:rPr>
        <w:t>.6% less than in the same quarter a year ago</w:t>
      </w:r>
      <w:r w:rsidR="00C8419B">
        <w:rPr>
          <w:rFonts w:ascii="Arial" w:hAnsi="Arial" w:cs="Arial"/>
          <w:color w:val="000000"/>
          <w:sz w:val="22"/>
          <w:szCs w:val="22"/>
        </w:rPr>
        <w:t xml:space="preserve"> </w:t>
      </w:r>
      <w:r>
        <w:rPr>
          <w:rFonts w:ascii="Arial" w:hAnsi="Arial" w:cs="Arial"/>
          <w:color w:val="000000"/>
          <w:sz w:val="22"/>
          <w:szCs w:val="22"/>
        </w:rPr>
        <w:t xml:space="preserve">and </w:t>
      </w:r>
      <w:r w:rsidR="00DD1AA4">
        <w:rPr>
          <w:rFonts w:ascii="Arial" w:hAnsi="Arial" w:cs="Arial"/>
          <w:color w:val="000000"/>
          <w:sz w:val="22"/>
          <w:szCs w:val="22"/>
        </w:rPr>
        <w:t>75</w:t>
      </w:r>
      <w:r w:rsidR="00B13183" w:rsidRPr="00C8419B">
        <w:rPr>
          <w:rFonts w:ascii="Arial" w:hAnsi="Arial" w:cs="Arial"/>
          <w:color w:val="000000"/>
          <w:sz w:val="22"/>
          <w:szCs w:val="22"/>
        </w:rPr>
        <w:t>%</w:t>
      </w:r>
      <w:r w:rsidR="001A557C" w:rsidRPr="00C8419B">
        <w:rPr>
          <w:rFonts w:ascii="Arial" w:hAnsi="Arial" w:cs="Arial"/>
          <w:color w:val="000000"/>
          <w:sz w:val="22"/>
          <w:szCs w:val="22"/>
        </w:rPr>
        <w:t xml:space="preserve"> lower</w:t>
      </w:r>
      <w:r w:rsidR="00B13183" w:rsidRPr="00C8419B">
        <w:rPr>
          <w:rFonts w:ascii="Arial" w:hAnsi="Arial" w:cs="Arial"/>
          <w:color w:val="000000"/>
          <w:sz w:val="22"/>
          <w:szCs w:val="22"/>
        </w:rPr>
        <w:t xml:space="preserve"> than the peak in Q2 2009.</w:t>
      </w:r>
    </w:p>
    <w:p w:rsidR="00DD1AA4" w:rsidRDefault="001C2BB8"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w:t>
      </w:r>
      <w:r w:rsidR="001A557C" w:rsidRPr="00C8419B">
        <w:rPr>
          <w:rFonts w:ascii="Arial" w:hAnsi="Arial" w:cs="Arial"/>
          <w:color w:val="000000"/>
          <w:sz w:val="22"/>
          <w:szCs w:val="22"/>
        </w:rPr>
        <w:t>re were</w:t>
      </w:r>
      <w:r w:rsidRPr="00C8419B">
        <w:rPr>
          <w:rFonts w:ascii="Arial" w:hAnsi="Arial" w:cs="Arial"/>
          <w:color w:val="000000"/>
          <w:sz w:val="22"/>
          <w:szCs w:val="22"/>
        </w:rPr>
        <w:t xml:space="preserve"> </w:t>
      </w:r>
      <w:r w:rsidR="00DD1AA4">
        <w:rPr>
          <w:rFonts w:ascii="Arial" w:hAnsi="Arial" w:cs="Arial"/>
          <w:color w:val="000000"/>
          <w:sz w:val="22"/>
          <w:szCs w:val="22"/>
        </w:rPr>
        <w:t>1,333</w:t>
      </w:r>
      <w:r w:rsidR="001A557C" w:rsidRPr="00C8419B">
        <w:rPr>
          <w:rFonts w:ascii="Arial" w:hAnsi="Arial" w:cs="Arial"/>
          <w:color w:val="000000"/>
          <w:sz w:val="22"/>
          <w:szCs w:val="22"/>
        </w:rPr>
        <w:t xml:space="preserve"> </w:t>
      </w:r>
      <w:r w:rsidRPr="00C8419B">
        <w:rPr>
          <w:rFonts w:ascii="Arial" w:hAnsi="Arial" w:cs="Arial"/>
          <w:color w:val="000000"/>
          <w:sz w:val="22"/>
          <w:szCs w:val="22"/>
        </w:rPr>
        <w:t>c</w:t>
      </w:r>
      <w:r w:rsidR="00B13183" w:rsidRPr="00C8419B">
        <w:rPr>
          <w:rFonts w:ascii="Arial" w:hAnsi="Arial" w:cs="Arial"/>
          <w:color w:val="000000"/>
          <w:sz w:val="22"/>
          <w:szCs w:val="22"/>
        </w:rPr>
        <w:t>reditor petition</w:t>
      </w:r>
      <w:r w:rsidRPr="00C8419B">
        <w:rPr>
          <w:rFonts w:ascii="Arial" w:hAnsi="Arial" w:cs="Arial"/>
          <w:color w:val="000000"/>
          <w:sz w:val="22"/>
          <w:szCs w:val="22"/>
        </w:rPr>
        <w:t xml:space="preserve"> bankruptcie</w:t>
      </w:r>
      <w:r w:rsidR="00B13183" w:rsidRPr="00C8419B">
        <w:rPr>
          <w:rFonts w:ascii="Arial" w:hAnsi="Arial" w:cs="Arial"/>
          <w:color w:val="000000"/>
          <w:sz w:val="22"/>
          <w:szCs w:val="22"/>
        </w:rPr>
        <w:t>s</w:t>
      </w:r>
      <w:r w:rsidR="00DD1AA4">
        <w:rPr>
          <w:rFonts w:ascii="Arial" w:hAnsi="Arial" w:cs="Arial"/>
          <w:color w:val="000000"/>
          <w:sz w:val="22"/>
          <w:szCs w:val="22"/>
        </w:rPr>
        <w:t xml:space="preserve">, which </w:t>
      </w:r>
      <w:r w:rsidR="009D5ADB">
        <w:rPr>
          <w:rFonts w:ascii="Arial" w:hAnsi="Arial" w:cs="Arial"/>
          <w:color w:val="000000"/>
          <w:sz w:val="22"/>
          <w:szCs w:val="22"/>
        </w:rPr>
        <w:t>was</w:t>
      </w:r>
      <w:r w:rsidR="00DD1AA4">
        <w:rPr>
          <w:rFonts w:ascii="Arial" w:hAnsi="Arial" w:cs="Arial"/>
          <w:color w:val="000000"/>
          <w:sz w:val="22"/>
          <w:szCs w:val="22"/>
        </w:rPr>
        <w:t xml:space="preserve"> 4.9% more than the last quarter, but 1.7% </w:t>
      </w:r>
      <w:r w:rsidR="00BB5A50">
        <w:rPr>
          <w:rFonts w:ascii="Arial" w:hAnsi="Arial" w:cs="Arial"/>
          <w:color w:val="000000"/>
          <w:sz w:val="22"/>
          <w:szCs w:val="22"/>
        </w:rPr>
        <w:t xml:space="preserve">less </w:t>
      </w:r>
      <w:r w:rsidR="00DD1AA4">
        <w:rPr>
          <w:rFonts w:ascii="Arial" w:hAnsi="Arial" w:cs="Arial"/>
          <w:color w:val="000000"/>
          <w:sz w:val="22"/>
          <w:szCs w:val="22"/>
        </w:rPr>
        <w:t>than the same quarter a year ago.</w:t>
      </w:r>
    </w:p>
    <w:p w:rsidR="00BC27F2" w:rsidRPr="00C8419B" w:rsidRDefault="00BC27F2"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 level of debtor petition bankruptcies has been following a generally decreasing trend since 2009. Creditor petition bankruptcy numbers have also been falling over a similar period, though less rapidly and less consistently</w:t>
      </w:r>
    </w:p>
    <w:p w:rsidR="00800BBD" w:rsidRPr="00C8419B" w:rsidRDefault="00800BBD"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 number of debtor petition</w:t>
      </w:r>
      <w:r w:rsidR="00A954B5" w:rsidRPr="00C8419B">
        <w:rPr>
          <w:rFonts w:ascii="Arial" w:hAnsi="Arial" w:cs="Arial"/>
          <w:color w:val="000000"/>
          <w:sz w:val="22"/>
          <w:szCs w:val="22"/>
        </w:rPr>
        <w:t xml:space="preserve"> ba</w:t>
      </w:r>
      <w:r w:rsidR="001C2BB8" w:rsidRPr="00C8419B">
        <w:rPr>
          <w:rFonts w:ascii="Arial" w:hAnsi="Arial" w:cs="Arial"/>
          <w:color w:val="000000"/>
          <w:sz w:val="22"/>
          <w:szCs w:val="22"/>
        </w:rPr>
        <w:t>nkruptcie</w:t>
      </w:r>
      <w:r w:rsidRPr="00C8419B">
        <w:rPr>
          <w:rFonts w:ascii="Arial" w:hAnsi="Arial" w:cs="Arial"/>
          <w:color w:val="000000"/>
          <w:sz w:val="22"/>
          <w:szCs w:val="22"/>
        </w:rPr>
        <w:t xml:space="preserve">s increased until 2006, coinciding with increasing levels of household debt. As the availability of credit decreased in 2007 and 2008, so did </w:t>
      </w:r>
      <w:r w:rsidR="00B13183" w:rsidRPr="00C8419B">
        <w:rPr>
          <w:rFonts w:ascii="Arial" w:hAnsi="Arial" w:cs="Arial"/>
          <w:color w:val="000000"/>
          <w:sz w:val="22"/>
          <w:szCs w:val="22"/>
        </w:rPr>
        <w:t xml:space="preserve">the number of </w:t>
      </w:r>
      <w:r w:rsidR="005857D5" w:rsidRPr="00C8419B">
        <w:rPr>
          <w:rFonts w:ascii="Arial" w:hAnsi="Arial" w:cs="Arial"/>
          <w:color w:val="000000"/>
          <w:sz w:val="22"/>
          <w:szCs w:val="22"/>
        </w:rPr>
        <w:t>these cases</w:t>
      </w:r>
      <w:r w:rsidR="00B13183" w:rsidRPr="00C8419B">
        <w:rPr>
          <w:rFonts w:ascii="Arial" w:hAnsi="Arial" w:cs="Arial"/>
          <w:color w:val="000000"/>
          <w:sz w:val="22"/>
          <w:szCs w:val="22"/>
        </w:rPr>
        <w:t>, before they increased again during the recession of 2008-09.</w:t>
      </w:r>
    </w:p>
    <w:p w:rsidR="00A70DDF" w:rsidRPr="00C8419B" w:rsidRDefault="00EB5D30"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Creditor petition</w:t>
      </w:r>
      <w:r w:rsidR="005857D5" w:rsidRPr="00C8419B">
        <w:rPr>
          <w:rFonts w:ascii="Arial" w:hAnsi="Arial" w:cs="Arial"/>
          <w:color w:val="000000"/>
          <w:sz w:val="22"/>
          <w:szCs w:val="22"/>
        </w:rPr>
        <w:t xml:space="preserve"> bankruptcie</w:t>
      </w:r>
      <w:r w:rsidRPr="00C8419B">
        <w:rPr>
          <w:rFonts w:ascii="Arial" w:hAnsi="Arial" w:cs="Arial"/>
          <w:color w:val="000000"/>
          <w:sz w:val="22"/>
          <w:szCs w:val="22"/>
        </w:rPr>
        <w:t>s</w:t>
      </w:r>
      <w:r w:rsidR="001C2BB8" w:rsidRPr="00C8419B">
        <w:rPr>
          <w:rFonts w:ascii="Arial" w:hAnsi="Arial" w:cs="Arial"/>
          <w:color w:val="000000"/>
          <w:sz w:val="22"/>
          <w:szCs w:val="22"/>
        </w:rPr>
        <w:t xml:space="preserve"> also</w:t>
      </w:r>
      <w:r w:rsidRPr="00C8419B">
        <w:rPr>
          <w:rFonts w:ascii="Arial" w:hAnsi="Arial" w:cs="Arial"/>
          <w:color w:val="000000"/>
          <w:sz w:val="22"/>
          <w:szCs w:val="22"/>
        </w:rPr>
        <w:t xml:space="preserve"> peaked in </w:t>
      </w:r>
      <w:r w:rsidR="001C2BB8" w:rsidRPr="00C8419B">
        <w:rPr>
          <w:rFonts w:ascii="Arial" w:hAnsi="Arial" w:cs="Arial"/>
          <w:color w:val="000000"/>
          <w:sz w:val="22"/>
          <w:szCs w:val="22"/>
        </w:rPr>
        <w:t>this period</w:t>
      </w:r>
      <w:r w:rsidRPr="00C8419B">
        <w:rPr>
          <w:rFonts w:ascii="Arial" w:hAnsi="Arial" w:cs="Arial"/>
          <w:color w:val="000000"/>
          <w:sz w:val="22"/>
          <w:szCs w:val="22"/>
        </w:rPr>
        <w:t xml:space="preserve">, </w:t>
      </w:r>
      <w:r w:rsidR="001C2BB8" w:rsidRPr="00C8419B">
        <w:rPr>
          <w:rFonts w:ascii="Arial" w:hAnsi="Arial" w:cs="Arial"/>
          <w:color w:val="000000"/>
          <w:sz w:val="22"/>
          <w:szCs w:val="22"/>
        </w:rPr>
        <w:t xml:space="preserve">and </w:t>
      </w:r>
      <w:r w:rsidR="000F435F" w:rsidRPr="00C8419B">
        <w:rPr>
          <w:rFonts w:ascii="Arial" w:hAnsi="Arial" w:cs="Arial"/>
          <w:color w:val="000000"/>
          <w:sz w:val="22"/>
          <w:szCs w:val="22"/>
        </w:rPr>
        <w:t xml:space="preserve">the general trend since 2010 has been decreasing numbers of </w:t>
      </w:r>
      <w:r w:rsidR="005857D5" w:rsidRPr="00C8419B">
        <w:rPr>
          <w:rFonts w:ascii="Arial" w:hAnsi="Arial" w:cs="Arial"/>
          <w:color w:val="000000"/>
          <w:sz w:val="22"/>
          <w:szCs w:val="22"/>
        </w:rPr>
        <w:t>these cases</w:t>
      </w:r>
      <w:r w:rsidR="000F435F" w:rsidRPr="00C8419B">
        <w:rPr>
          <w:rFonts w:ascii="Arial" w:hAnsi="Arial" w:cs="Arial"/>
          <w:color w:val="000000"/>
          <w:sz w:val="22"/>
          <w:szCs w:val="22"/>
        </w:rPr>
        <w:t>.</w:t>
      </w:r>
    </w:p>
    <w:p w:rsidR="00AD4FE4" w:rsidRDefault="00290FAB" w:rsidP="00290FAB">
      <w:pPr>
        <w:tabs>
          <w:tab w:val="left" w:pos="1125"/>
        </w:tabs>
        <w:spacing w:after="120" w:line="276" w:lineRule="auto"/>
        <w:rPr>
          <w:rFonts w:ascii="Arial" w:hAnsi="Arial" w:cs="Arial"/>
          <w:color w:val="000000" w:themeColor="text1"/>
          <w:sz w:val="22"/>
          <w:szCs w:val="22"/>
        </w:rPr>
      </w:pPr>
      <w:r>
        <w:rPr>
          <w:rFonts w:ascii="Arial" w:hAnsi="Arial" w:cs="Arial"/>
          <w:color w:val="000000" w:themeColor="text1"/>
          <w:sz w:val="22"/>
          <w:szCs w:val="22"/>
        </w:rPr>
        <w:tab/>
      </w:r>
    </w:p>
    <w:p w:rsidR="00B83AE5" w:rsidRDefault="00B83AE5" w:rsidP="00B83AE5">
      <w:pPr>
        <w:spacing w:after="120"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B83AE5" w:rsidTr="000076CB">
        <w:trPr>
          <w:cantSplit/>
        </w:trPr>
        <w:tc>
          <w:tcPr>
            <w:tcW w:w="5353" w:type="dxa"/>
          </w:tcPr>
          <w:p w:rsidR="00B83AE5" w:rsidRPr="005D0430" w:rsidRDefault="00B83AE5" w:rsidP="00AA4F9A">
            <w:pPr>
              <w:tabs>
                <w:tab w:val="left" w:pos="965"/>
              </w:tabs>
              <w:spacing w:before="120" w:after="120" w:line="276" w:lineRule="auto"/>
              <w:jc w:val="center"/>
              <w:rPr>
                <w:rFonts w:ascii="Arial" w:hAnsi="Arial" w:cs="Arial"/>
                <w:noProof/>
                <w:color w:val="000000" w:themeColor="text1"/>
                <w:lang w:eastAsia="en-GB"/>
              </w:rPr>
            </w:pPr>
            <w:r w:rsidRPr="00AB32FB">
              <w:rPr>
                <w:rFonts w:ascii="Arial" w:hAnsi="Arial" w:cs="Arial"/>
                <w:b/>
                <w:color w:val="000000" w:themeColor="text1"/>
                <w:sz w:val="22"/>
                <w:szCs w:val="22"/>
              </w:rPr>
              <w:lastRenderedPageBreak/>
              <w:t xml:space="preserve">Figure </w:t>
            </w:r>
            <w:r w:rsidR="00791A86">
              <w:rPr>
                <w:rFonts w:ascii="Arial" w:hAnsi="Arial" w:cs="Arial"/>
                <w:b/>
                <w:color w:val="000000" w:themeColor="text1"/>
                <w:sz w:val="22"/>
                <w:szCs w:val="22"/>
              </w:rPr>
              <w:t>11</w:t>
            </w:r>
            <w:r w:rsidRPr="00AB32FB">
              <w:rPr>
                <w:rFonts w:ascii="Arial" w:hAnsi="Arial" w:cs="Arial"/>
                <w:b/>
                <w:color w:val="000000" w:themeColor="text1"/>
                <w:sz w:val="22"/>
                <w:szCs w:val="22"/>
              </w:rPr>
              <w:t>: Bankruptcies in England and Wales: trading status</w:t>
            </w:r>
            <w:r w:rsidR="00AA4F9A">
              <w:rPr>
                <w:rFonts w:ascii="Arial" w:hAnsi="Arial" w:cs="Arial"/>
                <w:b/>
                <w:color w:val="000000" w:themeColor="text1"/>
                <w:sz w:val="22"/>
                <w:szCs w:val="22"/>
              </w:rPr>
              <w:t xml:space="preserve">  </w:t>
            </w:r>
            <w:r w:rsidRPr="00AB32FB">
              <w:rPr>
                <w:rFonts w:ascii="Arial" w:hAnsi="Arial" w:cs="Arial"/>
                <w:b/>
                <w:color w:val="000000" w:themeColor="text1"/>
                <w:sz w:val="22"/>
                <w:szCs w:val="22"/>
              </w:rPr>
              <w:t xml:space="preserve"> </w:t>
            </w:r>
            <w:r w:rsidRPr="00AB32FB">
              <w:rPr>
                <w:rFonts w:ascii="Arial" w:hAnsi="Arial" w:cs="Arial"/>
                <w:color w:val="000000" w:themeColor="text1"/>
                <w:sz w:val="22"/>
                <w:szCs w:val="22"/>
              </w:rPr>
              <w:t>(</w:t>
            </w:r>
            <w:r w:rsidR="00AA4F9A">
              <w:rPr>
                <w:rFonts w:ascii="Arial" w:hAnsi="Arial" w:cs="Arial"/>
                <w:color w:val="000000"/>
                <w:sz w:val="22"/>
                <w:szCs w:val="22"/>
              </w:rPr>
              <w:t xml:space="preserve">quarterly data, </w:t>
            </w:r>
            <w:r w:rsidRPr="00AB32FB">
              <w:rPr>
                <w:rFonts w:ascii="Arial" w:hAnsi="Arial" w:cs="Arial"/>
                <w:color w:val="000000" w:themeColor="text1"/>
                <w:sz w:val="22"/>
                <w:szCs w:val="22"/>
              </w:rPr>
              <w:t>seasonally adjusted)</w:t>
            </w:r>
          </w:p>
          <w:p w:rsidR="00B83AE5" w:rsidRPr="00FF11F1" w:rsidRDefault="00767583" w:rsidP="00B83AE5">
            <w:pPr>
              <w:tabs>
                <w:tab w:val="left" w:pos="965"/>
              </w:tabs>
              <w:spacing w:after="120" w:line="276" w:lineRule="auto"/>
              <w:rPr>
                <w:rFonts w:ascii="Arial" w:hAnsi="Arial" w:cs="Arial"/>
                <w:noProof/>
                <w:color w:val="000000" w:themeColor="text1"/>
                <w:sz w:val="22"/>
                <w:szCs w:val="22"/>
                <w:lang w:eastAsia="en-GB"/>
              </w:rPr>
            </w:pPr>
            <w:r>
              <w:rPr>
                <w:rFonts w:ascii="Arial" w:hAnsi="Arial" w:cs="Arial"/>
                <w:noProof/>
                <w:color w:val="000000" w:themeColor="text1"/>
                <w:sz w:val="22"/>
                <w:szCs w:val="22"/>
                <w:lang w:eastAsia="en-GB"/>
              </w:rPr>
              <w:drawing>
                <wp:inline distT="0" distB="0" distL="0" distR="0" wp14:anchorId="72ADBAB7" wp14:editId="0DE0F6E5">
                  <wp:extent cx="4667250" cy="3238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rsidR="00B83AE5" w:rsidRPr="000B6473" w:rsidRDefault="00B83AE5" w:rsidP="00F132F3">
            <w:pPr>
              <w:spacing w:after="60" w:line="276" w:lineRule="auto"/>
              <w:rPr>
                <w:rFonts w:ascii="Arial" w:hAnsi="Arial" w:cs="Arial"/>
                <w:color w:val="000000" w:themeColor="text1"/>
                <w:sz w:val="18"/>
                <w:szCs w:val="18"/>
              </w:rPr>
            </w:pPr>
            <w:r w:rsidRPr="000B6473">
              <w:rPr>
                <w:rFonts w:ascii="Arial" w:hAnsi="Arial" w:cs="Arial"/>
                <w:color w:val="000000" w:themeColor="text1"/>
                <w:sz w:val="18"/>
                <w:szCs w:val="18"/>
              </w:rPr>
              <w:t>Source: Insolvency Service</w:t>
            </w:r>
            <w:r w:rsidR="003D5600">
              <w:rPr>
                <w:rFonts w:ascii="Arial" w:hAnsi="Arial" w:cs="Arial"/>
                <w:color w:val="000000" w:themeColor="text1"/>
                <w:sz w:val="18"/>
                <w:szCs w:val="18"/>
              </w:rPr>
              <w:t>.</w:t>
            </w:r>
          </w:p>
          <w:p w:rsidR="00B83AE5" w:rsidRPr="00B83AE5" w:rsidRDefault="00B83AE5" w:rsidP="00F132F3">
            <w:pPr>
              <w:spacing w:after="60" w:line="276" w:lineRule="auto"/>
              <w:rPr>
                <w:rFonts w:ascii="Arial" w:hAnsi="Arial" w:cs="Arial"/>
                <w:color w:val="000000" w:themeColor="text1"/>
                <w:sz w:val="20"/>
                <w:szCs w:val="20"/>
              </w:rPr>
            </w:pPr>
            <w:r w:rsidRPr="000B6473">
              <w:rPr>
                <w:rFonts w:ascii="Arial" w:hAnsi="Arial" w:cs="Arial"/>
                <w:color w:val="000000" w:themeColor="text1"/>
                <w:sz w:val="18"/>
                <w:szCs w:val="18"/>
              </w:rPr>
              <w:t xml:space="preserve">See Table 2b of the </w:t>
            </w:r>
            <w:r w:rsidRPr="000B6473">
              <w:rPr>
                <w:rFonts w:ascii="Arial" w:hAnsi="Arial" w:cs="Arial"/>
                <w:color w:val="000000"/>
                <w:sz w:val="18"/>
                <w:szCs w:val="18"/>
              </w:rPr>
              <w:t xml:space="preserve">accompanying Excel file </w:t>
            </w:r>
            <w:r w:rsidRPr="000B6473">
              <w:rPr>
                <w:rFonts w:ascii="Arial" w:hAnsi="Arial" w:cs="Arial"/>
                <w:color w:val="000000" w:themeColor="text1"/>
                <w:sz w:val="18"/>
                <w:szCs w:val="18"/>
              </w:rPr>
              <w:t>for</w:t>
            </w:r>
            <w:r w:rsidRPr="000B6473">
              <w:rPr>
                <w:rFonts w:ascii="Arial" w:hAnsi="Arial" w:cs="Arial"/>
                <w:color w:val="000000"/>
                <w:sz w:val="18"/>
                <w:szCs w:val="18"/>
              </w:rPr>
              <w:t xml:space="preserve">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B83AE5" w:rsidRDefault="008B66F2" w:rsidP="00B83AE5">
            <w:pPr>
              <w:spacing w:before="120"/>
              <w:rPr>
                <w:rFonts w:ascii="Arial" w:hAnsi="Arial" w:cs="Arial"/>
                <w:color w:val="000000" w:themeColor="text1"/>
                <w:sz w:val="18"/>
                <w:szCs w:val="18"/>
              </w:rPr>
            </w:pPr>
            <w:r>
              <w:rPr>
                <w:rFonts w:ascii="Arial" w:hAnsi="Arial" w:cs="Arial"/>
                <w:b/>
                <w:color w:val="000000" w:themeColor="text1"/>
                <w:sz w:val="18"/>
                <w:szCs w:val="18"/>
              </w:rPr>
              <w:t>Self</w:t>
            </w:r>
            <w:r w:rsidR="00BB5A50">
              <w:rPr>
                <w:rFonts w:ascii="Arial" w:hAnsi="Arial" w:cs="Arial"/>
                <w:b/>
                <w:color w:val="000000" w:themeColor="text1"/>
                <w:sz w:val="18"/>
                <w:szCs w:val="18"/>
              </w:rPr>
              <w:t>-</w:t>
            </w:r>
            <w:r>
              <w:rPr>
                <w:rFonts w:ascii="Arial" w:hAnsi="Arial" w:cs="Arial"/>
                <w:b/>
                <w:color w:val="000000" w:themeColor="text1"/>
                <w:sz w:val="18"/>
                <w:szCs w:val="18"/>
              </w:rPr>
              <w:t>employed</w:t>
            </w:r>
            <w:r w:rsidR="00B83AE5" w:rsidRPr="00DD66FC">
              <w:rPr>
                <w:rFonts w:ascii="Arial" w:hAnsi="Arial" w:cs="Arial"/>
                <w:color w:val="000000" w:themeColor="text1"/>
                <w:sz w:val="18"/>
                <w:szCs w:val="18"/>
              </w:rPr>
              <w:t xml:space="preserve"> – </w:t>
            </w:r>
            <w:r>
              <w:rPr>
                <w:rFonts w:ascii="Arial" w:hAnsi="Arial" w:cs="Arial"/>
                <w:color w:val="000000" w:themeColor="text1"/>
                <w:sz w:val="18"/>
                <w:szCs w:val="18"/>
              </w:rPr>
              <w:t>individuals who have entered bankruptcy, and who have identified themselves as being self-employed.</w:t>
            </w:r>
          </w:p>
          <w:p w:rsidR="008B66F2" w:rsidRPr="008B66F2" w:rsidRDefault="008B66F2" w:rsidP="00B83AE5">
            <w:pPr>
              <w:spacing w:before="120"/>
              <w:rPr>
                <w:rFonts w:ascii="Arial" w:hAnsi="Arial" w:cs="Arial"/>
                <w:color w:val="000000" w:themeColor="text1"/>
                <w:sz w:val="18"/>
                <w:szCs w:val="18"/>
              </w:rPr>
            </w:pPr>
            <w:r>
              <w:rPr>
                <w:rFonts w:ascii="Arial" w:hAnsi="Arial" w:cs="Arial"/>
                <w:b/>
                <w:color w:val="000000" w:themeColor="text1"/>
                <w:sz w:val="18"/>
                <w:szCs w:val="18"/>
              </w:rPr>
              <w:t>Other individuals</w:t>
            </w:r>
            <w:r>
              <w:rPr>
                <w:rFonts w:ascii="Arial" w:hAnsi="Arial" w:cs="Arial"/>
                <w:color w:val="000000" w:themeColor="text1"/>
                <w:sz w:val="18"/>
                <w:szCs w:val="18"/>
              </w:rPr>
              <w:t xml:space="preserve"> – those who were not self-employed at the point at which they became bankrupt, or where this information is unknown</w:t>
            </w:r>
            <w:r w:rsidR="001C2BB8">
              <w:rPr>
                <w:rFonts w:ascii="Arial" w:hAnsi="Arial" w:cs="Arial"/>
                <w:color w:val="000000" w:themeColor="text1"/>
                <w:sz w:val="18"/>
                <w:szCs w:val="18"/>
              </w:rPr>
              <w:t>.</w:t>
            </w:r>
          </w:p>
          <w:p w:rsidR="001C2BB8" w:rsidRPr="00BC27F2" w:rsidRDefault="001C2BB8" w:rsidP="001C2BB8">
            <w:pPr>
              <w:spacing w:before="120"/>
              <w:rPr>
                <w:rFonts w:ascii="Arial" w:hAnsi="Arial" w:cs="Arial"/>
                <w:sz w:val="18"/>
                <w:szCs w:val="18"/>
              </w:rPr>
            </w:pPr>
            <w:r>
              <w:rPr>
                <w:rFonts w:ascii="Arial" w:hAnsi="Arial" w:cs="Arial"/>
                <w:sz w:val="18"/>
                <w:szCs w:val="18"/>
              </w:rPr>
              <w:t>These statistics are presented with a lag of one quarter on most other statistics in this release, because of the time it takes for the information to be obtained.</w:t>
            </w:r>
          </w:p>
          <w:p w:rsidR="00B83AE5" w:rsidRDefault="00B83AE5" w:rsidP="00B83AE5">
            <w:pPr>
              <w:spacing w:after="120" w:line="276" w:lineRule="auto"/>
              <w:rPr>
                <w:rFonts w:ascii="Arial" w:hAnsi="Arial" w:cs="Arial"/>
                <w:sz w:val="22"/>
                <w:szCs w:val="22"/>
              </w:rPr>
            </w:pPr>
          </w:p>
        </w:tc>
      </w:tr>
    </w:tbl>
    <w:p w:rsidR="00B83AE5" w:rsidRDefault="00B83AE5" w:rsidP="00B83AE5">
      <w:pPr>
        <w:spacing w:after="120" w:line="276" w:lineRule="auto"/>
        <w:rPr>
          <w:rFonts w:ascii="Arial" w:hAnsi="Arial" w:cs="Arial"/>
          <w:sz w:val="22"/>
          <w:szCs w:val="22"/>
        </w:rPr>
      </w:pPr>
    </w:p>
    <w:p w:rsidR="004075AE" w:rsidRPr="00C8419B" w:rsidRDefault="00F424B6"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In Q1</w:t>
      </w:r>
      <w:r w:rsidR="00626569">
        <w:rPr>
          <w:rFonts w:ascii="Arial" w:hAnsi="Arial" w:cs="Arial"/>
          <w:color w:val="000000"/>
          <w:sz w:val="22"/>
          <w:szCs w:val="22"/>
        </w:rPr>
        <w:t xml:space="preserve"> 2014</w:t>
      </w:r>
      <w:r w:rsidR="004075AE" w:rsidRPr="00C8419B">
        <w:rPr>
          <w:rFonts w:ascii="Arial" w:hAnsi="Arial" w:cs="Arial"/>
          <w:color w:val="000000"/>
          <w:sz w:val="22"/>
          <w:szCs w:val="22"/>
        </w:rPr>
        <w:t xml:space="preserve">, there were </w:t>
      </w:r>
      <w:r w:rsidR="00626569">
        <w:rPr>
          <w:rFonts w:ascii="Arial" w:hAnsi="Arial" w:cs="Arial"/>
          <w:color w:val="000000"/>
          <w:sz w:val="22"/>
          <w:szCs w:val="22"/>
        </w:rPr>
        <w:t>1,273</w:t>
      </w:r>
      <w:r w:rsidR="004075AE" w:rsidRPr="00C8419B">
        <w:rPr>
          <w:rFonts w:ascii="Arial" w:hAnsi="Arial" w:cs="Arial"/>
          <w:color w:val="000000"/>
          <w:sz w:val="22"/>
          <w:szCs w:val="22"/>
        </w:rPr>
        <w:t xml:space="preserve"> bankruptcies where the individual was self-employed</w:t>
      </w:r>
      <w:r w:rsidR="00BB5A50">
        <w:rPr>
          <w:rFonts w:ascii="Arial" w:hAnsi="Arial" w:cs="Arial"/>
          <w:color w:val="000000"/>
          <w:sz w:val="22"/>
          <w:szCs w:val="22"/>
        </w:rPr>
        <w:t>, 3.5% less than Q4 2013 and 18.2% less than Q1 2013</w:t>
      </w:r>
      <w:r w:rsidR="004075AE" w:rsidRPr="00C8419B">
        <w:rPr>
          <w:rFonts w:ascii="Arial" w:hAnsi="Arial" w:cs="Arial"/>
          <w:color w:val="000000"/>
          <w:sz w:val="22"/>
          <w:szCs w:val="22"/>
        </w:rPr>
        <w:t>. This was in line with a generally decreasing trend since 2011.</w:t>
      </w:r>
    </w:p>
    <w:p w:rsidR="004075AE" w:rsidRPr="00C8419B" w:rsidRDefault="004075AE"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There were </w:t>
      </w:r>
      <w:r w:rsidR="00626569">
        <w:rPr>
          <w:rFonts w:ascii="Arial" w:hAnsi="Arial" w:cs="Arial"/>
          <w:color w:val="000000"/>
          <w:sz w:val="22"/>
          <w:szCs w:val="22"/>
        </w:rPr>
        <w:t>4,124</w:t>
      </w:r>
      <w:r w:rsidRPr="00C8419B">
        <w:rPr>
          <w:rFonts w:ascii="Arial" w:hAnsi="Arial" w:cs="Arial"/>
          <w:color w:val="000000"/>
          <w:sz w:val="22"/>
          <w:szCs w:val="22"/>
        </w:rPr>
        <w:t xml:space="preserve"> bankruptcies among other individuals</w:t>
      </w:r>
      <w:r w:rsidR="00BB5A50">
        <w:rPr>
          <w:rFonts w:ascii="Arial" w:hAnsi="Arial" w:cs="Arial"/>
          <w:color w:val="000000"/>
          <w:sz w:val="22"/>
          <w:szCs w:val="22"/>
        </w:rPr>
        <w:t>, a decrease of 4.9% compared with the previous quarter, and 17.8% lower than the same quarter the previous year</w:t>
      </w:r>
      <w:r w:rsidRPr="00C8419B">
        <w:rPr>
          <w:rFonts w:ascii="Arial" w:hAnsi="Arial" w:cs="Arial"/>
          <w:color w:val="000000"/>
          <w:sz w:val="22"/>
          <w:szCs w:val="22"/>
        </w:rPr>
        <w:t>, in line with the decreasing trend since late 2009.</w:t>
      </w:r>
    </w:p>
    <w:p w:rsidR="00BC27F2" w:rsidRPr="00C8419B" w:rsidRDefault="00BC27F2"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 rate of decrease in bankruptcy orders has been less rapid for self-employed individuals than for others. This means that the proportion of bankruptcy orders where the individual was self-employed is higher than it has been in earlier years</w:t>
      </w:r>
      <w:r w:rsidR="009D5ADB">
        <w:rPr>
          <w:rFonts w:ascii="Arial" w:hAnsi="Arial" w:cs="Arial"/>
          <w:color w:val="000000"/>
          <w:sz w:val="22"/>
          <w:szCs w:val="22"/>
        </w:rPr>
        <w:t>,</w:t>
      </w:r>
      <w:r w:rsidR="00626569">
        <w:rPr>
          <w:rFonts w:ascii="Arial" w:hAnsi="Arial" w:cs="Arial"/>
          <w:color w:val="000000"/>
          <w:sz w:val="22"/>
          <w:szCs w:val="22"/>
        </w:rPr>
        <w:t xml:space="preserve"> </w:t>
      </w:r>
      <w:r w:rsidR="009D5ADB">
        <w:rPr>
          <w:rFonts w:ascii="Arial" w:hAnsi="Arial" w:cs="Arial"/>
          <w:color w:val="000000"/>
          <w:sz w:val="22"/>
          <w:szCs w:val="22"/>
        </w:rPr>
        <w:t>a</w:t>
      </w:r>
      <w:r w:rsidR="00626569">
        <w:rPr>
          <w:rFonts w:ascii="Arial" w:hAnsi="Arial" w:cs="Arial"/>
          <w:color w:val="000000"/>
          <w:sz w:val="22"/>
          <w:szCs w:val="22"/>
        </w:rPr>
        <w:t>lthough the rate of bankruptcy has decreased in recent quarters.</w:t>
      </w:r>
    </w:p>
    <w:p w:rsidR="0078125B" w:rsidRPr="00C8419B" w:rsidRDefault="005857D5"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Looking over a longer period, the number of b</w:t>
      </w:r>
      <w:r w:rsidR="0078125B" w:rsidRPr="00C8419B">
        <w:rPr>
          <w:rFonts w:ascii="Arial" w:hAnsi="Arial" w:cs="Arial"/>
          <w:color w:val="000000"/>
          <w:sz w:val="22"/>
          <w:szCs w:val="22"/>
        </w:rPr>
        <w:t xml:space="preserve">ankruptcies </w:t>
      </w:r>
      <w:r w:rsidRPr="00C8419B">
        <w:rPr>
          <w:rFonts w:ascii="Arial" w:hAnsi="Arial" w:cs="Arial"/>
          <w:color w:val="000000"/>
          <w:sz w:val="22"/>
          <w:szCs w:val="22"/>
        </w:rPr>
        <w:t xml:space="preserve">among </w:t>
      </w:r>
      <w:r w:rsidR="0078125B" w:rsidRPr="00C8419B">
        <w:rPr>
          <w:rFonts w:ascii="Arial" w:hAnsi="Arial" w:cs="Arial"/>
          <w:color w:val="000000"/>
          <w:sz w:val="22"/>
          <w:szCs w:val="22"/>
        </w:rPr>
        <w:t xml:space="preserve">other individuals </w:t>
      </w:r>
      <w:r w:rsidRPr="00C8419B">
        <w:rPr>
          <w:rFonts w:ascii="Arial" w:hAnsi="Arial" w:cs="Arial"/>
          <w:color w:val="000000"/>
          <w:sz w:val="22"/>
          <w:szCs w:val="22"/>
        </w:rPr>
        <w:t>followed a similar pattern to debtor petition bankruptcies (see above). This is because most</w:t>
      </w:r>
      <w:r w:rsidR="004A64F9" w:rsidRPr="00C8419B">
        <w:rPr>
          <w:rFonts w:ascii="Arial" w:hAnsi="Arial" w:cs="Arial"/>
          <w:color w:val="000000"/>
          <w:sz w:val="22"/>
          <w:szCs w:val="22"/>
        </w:rPr>
        <w:t xml:space="preserve"> </w:t>
      </w:r>
      <w:r w:rsidR="000F50D2" w:rsidRPr="00C8419B">
        <w:rPr>
          <w:rFonts w:ascii="Arial" w:hAnsi="Arial" w:cs="Arial"/>
          <w:color w:val="000000"/>
          <w:sz w:val="22"/>
          <w:szCs w:val="22"/>
        </w:rPr>
        <w:t>debtor petition bankruptcies (currently around 80%) are for other individuals. For creditor petition bankruptcies, currently around half are self</w:t>
      </w:r>
      <w:r w:rsidR="00BB5A50">
        <w:rPr>
          <w:rFonts w:ascii="Arial" w:hAnsi="Arial" w:cs="Arial"/>
          <w:color w:val="000000"/>
          <w:sz w:val="22"/>
          <w:szCs w:val="22"/>
        </w:rPr>
        <w:t>-</w:t>
      </w:r>
      <w:r w:rsidR="000F50D2" w:rsidRPr="00C8419B">
        <w:rPr>
          <w:rFonts w:ascii="Arial" w:hAnsi="Arial" w:cs="Arial"/>
          <w:color w:val="000000"/>
          <w:sz w:val="22"/>
          <w:szCs w:val="22"/>
        </w:rPr>
        <w:t>employed individuals.</w:t>
      </w:r>
    </w:p>
    <w:p w:rsidR="009A0DC8" w:rsidRPr="009A0DC8" w:rsidRDefault="009A0DC8" w:rsidP="00B83AE5">
      <w:pPr>
        <w:rPr>
          <w:rFonts w:ascii="Arial" w:hAnsi="Arial" w:cs="Arial"/>
          <w:color w:val="E36C0A" w:themeColor="accent6"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B83AE5" w:rsidTr="000076CB">
        <w:trPr>
          <w:cantSplit/>
        </w:trPr>
        <w:tc>
          <w:tcPr>
            <w:tcW w:w="5353" w:type="dxa"/>
          </w:tcPr>
          <w:p w:rsidR="00B83AE5" w:rsidRPr="001B0C9B" w:rsidRDefault="00BC27F2" w:rsidP="008B66F2">
            <w:pPr>
              <w:tabs>
                <w:tab w:val="left" w:pos="965"/>
              </w:tabs>
              <w:spacing w:before="120" w:after="120" w:line="276" w:lineRule="auto"/>
              <w:jc w:val="center"/>
              <w:rPr>
                <w:rFonts w:ascii="Arial" w:hAnsi="Arial" w:cs="Arial"/>
                <w:noProof/>
                <w:color w:val="000000" w:themeColor="text1"/>
                <w:sz w:val="22"/>
                <w:szCs w:val="22"/>
                <w:lang w:eastAsia="en-GB"/>
              </w:rPr>
            </w:pPr>
            <w:r>
              <w:rPr>
                <w:rFonts w:ascii="Arial" w:hAnsi="Arial" w:cs="Arial"/>
                <w:b/>
                <w:color w:val="000000" w:themeColor="text1"/>
                <w:sz w:val="22"/>
                <w:szCs w:val="22"/>
              </w:rPr>
              <w:lastRenderedPageBreak/>
              <w:t>Figure 1</w:t>
            </w:r>
            <w:r w:rsidR="00791A86">
              <w:rPr>
                <w:rFonts w:ascii="Arial" w:hAnsi="Arial" w:cs="Arial"/>
                <w:b/>
                <w:color w:val="000000" w:themeColor="text1"/>
                <w:sz w:val="22"/>
                <w:szCs w:val="22"/>
              </w:rPr>
              <w:t>2</w:t>
            </w:r>
            <w:r>
              <w:rPr>
                <w:rFonts w:ascii="Arial" w:hAnsi="Arial" w:cs="Arial"/>
                <w:b/>
                <w:color w:val="000000" w:themeColor="text1"/>
                <w:sz w:val="22"/>
                <w:szCs w:val="22"/>
              </w:rPr>
              <w:t>: Percentage of b</w:t>
            </w:r>
            <w:r w:rsidR="00B83AE5" w:rsidRPr="001B0C9B">
              <w:rPr>
                <w:rFonts w:ascii="Arial" w:hAnsi="Arial" w:cs="Arial"/>
                <w:b/>
                <w:color w:val="000000" w:themeColor="text1"/>
                <w:sz w:val="22"/>
                <w:szCs w:val="22"/>
              </w:rPr>
              <w:t xml:space="preserve">ankruptcies in England and Wales resulting in income payment agreements / orders </w:t>
            </w:r>
            <w:r w:rsidR="00AA4F9A">
              <w:rPr>
                <w:rFonts w:ascii="Arial" w:hAnsi="Arial" w:cs="Arial"/>
                <w:b/>
                <w:color w:val="000000" w:themeColor="text1"/>
                <w:sz w:val="22"/>
                <w:szCs w:val="22"/>
              </w:rPr>
              <w:t xml:space="preserve">                                              </w:t>
            </w:r>
            <w:r w:rsidR="00B83AE5" w:rsidRPr="001B0C9B">
              <w:rPr>
                <w:rFonts w:ascii="Arial" w:hAnsi="Arial" w:cs="Arial"/>
                <w:color w:val="000000" w:themeColor="text1"/>
                <w:sz w:val="22"/>
                <w:szCs w:val="22"/>
              </w:rPr>
              <w:t>(</w:t>
            </w:r>
            <w:r w:rsidR="00AA4F9A">
              <w:rPr>
                <w:rFonts w:ascii="Arial" w:hAnsi="Arial" w:cs="Arial"/>
                <w:color w:val="000000"/>
                <w:sz w:val="22"/>
                <w:szCs w:val="22"/>
              </w:rPr>
              <w:t xml:space="preserve">quarterly data, </w:t>
            </w:r>
            <w:r w:rsidR="00B83AE5" w:rsidRPr="001B0C9B">
              <w:rPr>
                <w:rFonts w:ascii="Arial" w:hAnsi="Arial" w:cs="Arial"/>
                <w:color w:val="000000" w:themeColor="text1"/>
                <w:sz w:val="22"/>
                <w:szCs w:val="22"/>
              </w:rPr>
              <w:t>not seasonally adjusted)</w:t>
            </w:r>
            <w:r w:rsidR="00B83AE5" w:rsidRPr="001B0C9B">
              <w:rPr>
                <w:rFonts w:ascii="Arial" w:hAnsi="Arial" w:cs="Arial"/>
                <w:noProof/>
                <w:color w:val="000000" w:themeColor="text1"/>
                <w:sz w:val="22"/>
                <w:szCs w:val="22"/>
                <w:lang w:eastAsia="en-GB"/>
              </w:rPr>
              <w:t xml:space="preserve"> </w:t>
            </w:r>
          </w:p>
          <w:p w:rsidR="00B83AE5" w:rsidRPr="008538AD" w:rsidRDefault="00767583" w:rsidP="00B83AE5">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5B568B7D" wp14:editId="223232E6">
                  <wp:extent cx="4667250" cy="3238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rsidR="00B83AE5" w:rsidRPr="000B6473" w:rsidRDefault="00B83AE5" w:rsidP="00F132F3">
            <w:pPr>
              <w:spacing w:after="60" w:line="276" w:lineRule="auto"/>
              <w:rPr>
                <w:rFonts w:ascii="Arial" w:hAnsi="Arial" w:cs="Arial"/>
                <w:color w:val="000000" w:themeColor="text1"/>
                <w:sz w:val="18"/>
                <w:szCs w:val="18"/>
              </w:rPr>
            </w:pPr>
            <w:r w:rsidRPr="000B6473">
              <w:rPr>
                <w:rFonts w:ascii="Arial" w:hAnsi="Arial" w:cs="Arial"/>
                <w:color w:val="000000" w:themeColor="text1"/>
                <w:sz w:val="18"/>
                <w:szCs w:val="18"/>
              </w:rPr>
              <w:t>Source: Insolvency Service</w:t>
            </w:r>
            <w:r w:rsidR="003D5600">
              <w:rPr>
                <w:rFonts w:ascii="Arial" w:hAnsi="Arial" w:cs="Arial"/>
                <w:color w:val="000000" w:themeColor="text1"/>
                <w:sz w:val="18"/>
                <w:szCs w:val="18"/>
              </w:rPr>
              <w:t>.</w:t>
            </w:r>
          </w:p>
          <w:p w:rsidR="00B83AE5" w:rsidRDefault="00B83AE5" w:rsidP="005D4BFA">
            <w:pPr>
              <w:spacing w:after="60" w:line="276" w:lineRule="auto"/>
              <w:rPr>
                <w:rFonts w:ascii="Arial" w:hAnsi="Arial" w:cs="Arial"/>
                <w:sz w:val="22"/>
                <w:szCs w:val="22"/>
              </w:rPr>
            </w:pPr>
            <w:r w:rsidRPr="000B6473">
              <w:rPr>
                <w:rFonts w:ascii="Arial" w:hAnsi="Arial" w:cs="Arial"/>
                <w:color w:val="000000" w:themeColor="text1"/>
                <w:sz w:val="18"/>
                <w:szCs w:val="18"/>
              </w:rPr>
              <w:t>See Table 2</w:t>
            </w:r>
            <w:r w:rsidR="005D4BFA">
              <w:rPr>
                <w:rFonts w:ascii="Arial" w:hAnsi="Arial" w:cs="Arial"/>
                <w:color w:val="000000" w:themeColor="text1"/>
                <w:sz w:val="18"/>
                <w:szCs w:val="18"/>
              </w:rPr>
              <w:t>c</w:t>
            </w:r>
            <w:r w:rsidRPr="000B6473">
              <w:rPr>
                <w:rFonts w:ascii="Arial" w:hAnsi="Arial" w:cs="Arial"/>
                <w:color w:val="000000" w:themeColor="text1"/>
                <w:sz w:val="18"/>
                <w:szCs w:val="18"/>
              </w:rPr>
              <w:t xml:space="preserve"> of the </w:t>
            </w:r>
            <w:r w:rsidRPr="000B6473">
              <w:rPr>
                <w:rFonts w:ascii="Arial" w:hAnsi="Arial" w:cs="Arial"/>
                <w:color w:val="000000"/>
                <w:sz w:val="18"/>
                <w:szCs w:val="18"/>
              </w:rPr>
              <w:t xml:space="preserve">accompanying Excel file </w:t>
            </w:r>
            <w:r w:rsidRPr="000B6473">
              <w:rPr>
                <w:rFonts w:ascii="Arial" w:hAnsi="Arial" w:cs="Arial"/>
                <w:color w:val="000000" w:themeColor="text1"/>
                <w:sz w:val="18"/>
                <w:szCs w:val="18"/>
              </w:rPr>
              <w:t>for</w:t>
            </w:r>
            <w:r w:rsidRPr="000B6473">
              <w:rPr>
                <w:rFonts w:ascii="Arial" w:hAnsi="Arial" w:cs="Arial"/>
                <w:color w:val="000000"/>
                <w:sz w:val="18"/>
                <w:szCs w:val="18"/>
              </w:rPr>
              <w:t xml:space="preserve">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3E232A" w:rsidRDefault="00BC27F2" w:rsidP="00BC27F2">
            <w:pPr>
              <w:spacing w:before="120"/>
              <w:rPr>
                <w:rFonts w:ascii="Arial" w:hAnsi="Arial" w:cs="Arial"/>
                <w:sz w:val="18"/>
                <w:szCs w:val="18"/>
              </w:rPr>
            </w:pPr>
            <w:r w:rsidRPr="00BC27F2">
              <w:rPr>
                <w:rFonts w:ascii="Arial" w:hAnsi="Arial" w:cs="Arial"/>
                <w:sz w:val="18"/>
                <w:szCs w:val="18"/>
              </w:rPr>
              <w:t xml:space="preserve">Bankrupts who can </w:t>
            </w:r>
            <w:r w:rsidRPr="00BC27F2">
              <w:rPr>
                <w:rFonts w:ascii="Arial" w:hAnsi="Arial" w:cs="Arial"/>
                <w:color w:val="000000" w:themeColor="text1"/>
                <w:sz w:val="18"/>
                <w:szCs w:val="18"/>
              </w:rPr>
              <w:t>make</w:t>
            </w:r>
            <w:r w:rsidRPr="00BC27F2">
              <w:rPr>
                <w:rFonts w:ascii="Arial" w:hAnsi="Arial" w:cs="Arial"/>
                <w:sz w:val="18"/>
                <w:szCs w:val="18"/>
              </w:rPr>
              <w:t xml:space="preserve"> reasonable contributions to their debts </w:t>
            </w:r>
            <w:r>
              <w:rPr>
                <w:rFonts w:ascii="Arial" w:hAnsi="Arial" w:cs="Arial"/>
                <w:sz w:val="18"/>
                <w:szCs w:val="18"/>
              </w:rPr>
              <w:t xml:space="preserve">are required to do so under an </w:t>
            </w:r>
            <w:r w:rsidRPr="00BC27F2">
              <w:rPr>
                <w:rFonts w:ascii="Arial" w:hAnsi="Arial" w:cs="Arial"/>
                <w:b/>
                <w:sz w:val="18"/>
                <w:szCs w:val="18"/>
              </w:rPr>
              <w:t>income payments agreement</w:t>
            </w:r>
            <w:r w:rsidR="003E232A">
              <w:rPr>
                <w:rFonts w:ascii="Arial" w:hAnsi="Arial" w:cs="Arial"/>
                <w:sz w:val="18"/>
                <w:szCs w:val="18"/>
              </w:rPr>
              <w:t xml:space="preserve"> (IPA).</w:t>
            </w:r>
          </w:p>
          <w:p w:rsidR="003E232A" w:rsidRDefault="00BC27F2" w:rsidP="00BC27F2">
            <w:pPr>
              <w:spacing w:before="120"/>
              <w:rPr>
                <w:rFonts w:ascii="Arial" w:hAnsi="Arial" w:cs="Arial"/>
                <w:sz w:val="18"/>
                <w:szCs w:val="18"/>
              </w:rPr>
            </w:pPr>
            <w:r w:rsidRPr="00BC27F2">
              <w:rPr>
                <w:rFonts w:ascii="Arial" w:hAnsi="Arial" w:cs="Arial"/>
                <w:sz w:val="18"/>
                <w:szCs w:val="18"/>
              </w:rPr>
              <w:t xml:space="preserve">If they do not agree, the official receiver or trustee in the bankruptcy will apply to court for an </w:t>
            </w:r>
            <w:r w:rsidRPr="00BC27F2">
              <w:rPr>
                <w:rFonts w:ascii="Arial" w:hAnsi="Arial" w:cs="Arial"/>
                <w:b/>
                <w:sz w:val="18"/>
                <w:szCs w:val="18"/>
              </w:rPr>
              <w:t>income payments order</w:t>
            </w:r>
            <w:r w:rsidRPr="00BC27F2">
              <w:rPr>
                <w:rFonts w:ascii="Arial" w:hAnsi="Arial" w:cs="Arial"/>
                <w:sz w:val="18"/>
                <w:szCs w:val="18"/>
              </w:rPr>
              <w:t xml:space="preserve"> (IPO).</w:t>
            </w:r>
          </w:p>
          <w:p w:rsidR="003E232A" w:rsidRDefault="003E232A" w:rsidP="00BC27F2">
            <w:pPr>
              <w:spacing w:before="120"/>
              <w:rPr>
                <w:rFonts w:ascii="Arial" w:hAnsi="Arial" w:cs="Arial"/>
                <w:sz w:val="18"/>
                <w:szCs w:val="18"/>
              </w:rPr>
            </w:pPr>
            <w:r>
              <w:rPr>
                <w:rFonts w:ascii="Arial" w:hAnsi="Arial" w:cs="Arial"/>
                <w:sz w:val="18"/>
                <w:szCs w:val="18"/>
              </w:rPr>
              <w:t>IPA or IPO payments come from surplus income – money left over from income after reasonable living expenses have been deducted.</w:t>
            </w:r>
          </w:p>
          <w:p w:rsidR="003E232A" w:rsidRDefault="003E232A" w:rsidP="00BC27F2">
            <w:pPr>
              <w:spacing w:before="120"/>
              <w:rPr>
                <w:rFonts w:ascii="Arial" w:hAnsi="Arial" w:cs="Arial"/>
                <w:sz w:val="18"/>
                <w:szCs w:val="18"/>
              </w:rPr>
            </w:pPr>
            <w:r>
              <w:rPr>
                <w:rFonts w:ascii="Arial" w:hAnsi="Arial" w:cs="Arial"/>
                <w:sz w:val="18"/>
                <w:szCs w:val="18"/>
              </w:rPr>
              <w:t>An IPA or IPO will normally be payable for 36 months.</w:t>
            </w:r>
          </w:p>
          <w:p w:rsidR="001C2BB8" w:rsidRPr="00BC27F2" w:rsidRDefault="001C2BB8" w:rsidP="00BC27F2">
            <w:pPr>
              <w:spacing w:before="120"/>
              <w:rPr>
                <w:rFonts w:ascii="Arial" w:hAnsi="Arial" w:cs="Arial"/>
                <w:sz w:val="18"/>
                <w:szCs w:val="18"/>
              </w:rPr>
            </w:pPr>
            <w:r>
              <w:rPr>
                <w:rFonts w:ascii="Arial" w:hAnsi="Arial" w:cs="Arial"/>
                <w:sz w:val="18"/>
                <w:szCs w:val="18"/>
              </w:rPr>
              <w:t>These statistics are presented with a lag of two quarters on most other statistics in this release, because of the time it takes for IPOs and IPAs to be made.</w:t>
            </w:r>
          </w:p>
          <w:p w:rsidR="00B83AE5" w:rsidRPr="00BC27F2" w:rsidRDefault="00B83AE5" w:rsidP="00BC27F2">
            <w:pPr>
              <w:spacing w:before="120"/>
              <w:rPr>
                <w:rFonts w:ascii="Arial" w:hAnsi="Arial" w:cs="Arial"/>
                <w:sz w:val="18"/>
                <w:szCs w:val="18"/>
              </w:rPr>
            </w:pPr>
          </w:p>
        </w:tc>
      </w:tr>
    </w:tbl>
    <w:p w:rsidR="00B83AE5" w:rsidRDefault="00B83AE5" w:rsidP="00B83AE5">
      <w:pPr>
        <w:rPr>
          <w:rFonts w:ascii="Arial" w:hAnsi="Arial" w:cs="Arial"/>
          <w:sz w:val="22"/>
          <w:szCs w:val="22"/>
        </w:rPr>
      </w:pPr>
    </w:p>
    <w:p w:rsidR="00BC27F2" w:rsidRDefault="00BC27F2" w:rsidP="00B83AE5">
      <w:pPr>
        <w:rPr>
          <w:rFonts w:ascii="Arial" w:hAnsi="Arial" w:cs="Arial"/>
          <w:sz w:val="22"/>
          <w:szCs w:val="22"/>
        </w:rPr>
      </w:pPr>
    </w:p>
    <w:p w:rsidR="00BC27F2" w:rsidRPr="00C8419B" w:rsidRDefault="005D4BFA"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16.6</w:t>
      </w:r>
      <w:r w:rsidR="00BC27F2" w:rsidRPr="00C8419B">
        <w:rPr>
          <w:rFonts w:ascii="Arial" w:hAnsi="Arial" w:cs="Arial"/>
          <w:color w:val="000000"/>
          <w:sz w:val="22"/>
          <w:szCs w:val="22"/>
        </w:rPr>
        <w:t>% of bankruptcy orders made in Q</w:t>
      </w:r>
      <w:r>
        <w:rPr>
          <w:rFonts w:ascii="Arial" w:hAnsi="Arial" w:cs="Arial"/>
          <w:color w:val="000000"/>
          <w:sz w:val="22"/>
          <w:szCs w:val="22"/>
        </w:rPr>
        <w:t>4</w:t>
      </w:r>
      <w:r w:rsidR="00BC27F2" w:rsidRPr="00C8419B">
        <w:rPr>
          <w:rFonts w:ascii="Arial" w:hAnsi="Arial" w:cs="Arial"/>
          <w:color w:val="000000"/>
          <w:sz w:val="22"/>
          <w:szCs w:val="22"/>
        </w:rPr>
        <w:t xml:space="preserve"> 2013 resulted in an IPA or IPO, a </w:t>
      </w:r>
      <w:r>
        <w:rPr>
          <w:rFonts w:ascii="Arial" w:hAnsi="Arial" w:cs="Arial"/>
          <w:color w:val="000000"/>
          <w:sz w:val="22"/>
          <w:szCs w:val="22"/>
        </w:rPr>
        <w:t>decrease</w:t>
      </w:r>
      <w:r w:rsidR="00BC27F2" w:rsidRPr="00C8419B">
        <w:rPr>
          <w:rFonts w:ascii="Arial" w:hAnsi="Arial" w:cs="Arial"/>
          <w:color w:val="000000"/>
          <w:sz w:val="22"/>
          <w:szCs w:val="22"/>
        </w:rPr>
        <w:t xml:space="preserve"> of </w:t>
      </w:r>
      <w:r>
        <w:rPr>
          <w:rFonts w:ascii="Arial" w:hAnsi="Arial" w:cs="Arial"/>
          <w:color w:val="000000"/>
          <w:sz w:val="22"/>
          <w:szCs w:val="22"/>
        </w:rPr>
        <w:t>2.</w:t>
      </w:r>
      <w:r w:rsidR="00BB5A50">
        <w:rPr>
          <w:rFonts w:ascii="Arial" w:hAnsi="Arial" w:cs="Arial"/>
          <w:color w:val="000000"/>
          <w:sz w:val="22"/>
          <w:szCs w:val="22"/>
        </w:rPr>
        <w:t>5</w:t>
      </w:r>
      <w:r w:rsidR="00BB5A50" w:rsidRPr="00C8419B">
        <w:rPr>
          <w:rFonts w:ascii="Arial" w:hAnsi="Arial" w:cs="Arial"/>
          <w:color w:val="000000"/>
          <w:sz w:val="22"/>
          <w:szCs w:val="22"/>
        </w:rPr>
        <w:t xml:space="preserve"> </w:t>
      </w:r>
      <w:r w:rsidR="00BC27F2" w:rsidRPr="00C8419B">
        <w:rPr>
          <w:rFonts w:ascii="Arial" w:hAnsi="Arial" w:cs="Arial"/>
          <w:color w:val="000000"/>
          <w:sz w:val="22"/>
          <w:szCs w:val="22"/>
        </w:rPr>
        <w:t>percentage points on the same quarter a year earlier.</w:t>
      </w:r>
    </w:p>
    <w:p w:rsidR="004D5913" w:rsidRPr="00C8419B" w:rsidRDefault="00BC27F2"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 percentage of bankruptcies resulting in an IPA or IPO is</w:t>
      </w:r>
      <w:r w:rsidR="004075AE" w:rsidRPr="00C8419B">
        <w:rPr>
          <w:rFonts w:ascii="Arial" w:hAnsi="Arial" w:cs="Arial"/>
          <w:color w:val="000000"/>
          <w:sz w:val="22"/>
          <w:szCs w:val="22"/>
        </w:rPr>
        <w:t xml:space="preserve"> usually</w:t>
      </w:r>
      <w:r w:rsidRPr="00C8419B">
        <w:rPr>
          <w:rFonts w:ascii="Arial" w:hAnsi="Arial" w:cs="Arial"/>
          <w:color w:val="000000"/>
          <w:sz w:val="22"/>
          <w:szCs w:val="22"/>
        </w:rPr>
        <w:t xml:space="preserve"> highest in April to June, and Jul</w:t>
      </w:r>
      <w:r w:rsidR="00237C7B" w:rsidRPr="00C8419B">
        <w:rPr>
          <w:rFonts w:ascii="Arial" w:hAnsi="Arial" w:cs="Arial"/>
          <w:color w:val="000000"/>
          <w:sz w:val="22"/>
          <w:szCs w:val="22"/>
        </w:rPr>
        <w:t xml:space="preserve">y to September, each year. </w:t>
      </w:r>
      <w:r w:rsidR="003E232A" w:rsidRPr="00C8419B">
        <w:rPr>
          <w:rFonts w:ascii="Arial" w:hAnsi="Arial" w:cs="Arial"/>
          <w:color w:val="000000"/>
          <w:sz w:val="22"/>
          <w:szCs w:val="22"/>
        </w:rPr>
        <w:t>This is likely to be because of treatment of income tax in bankruptcy: where individuals pay tax under PAYE, HM Revenue and Customs will usually apply a ‘nil tax’ code for the remainder of the tax year in which the bankruptcy occurred. This results in additional take-home pay for individuals, which in some cases means there is surplus income available to be claimed in that tax year</w:t>
      </w:r>
      <w:r w:rsidR="004075AE" w:rsidRPr="00C8419B">
        <w:rPr>
          <w:rFonts w:ascii="Arial" w:hAnsi="Arial" w:cs="Arial"/>
          <w:color w:val="000000"/>
          <w:sz w:val="22"/>
          <w:szCs w:val="22"/>
        </w:rPr>
        <w:t xml:space="preserve"> where otherwise there may not have been</w:t>
      </w:r>
      <w:r w:rsidR="004D5913" w:rsidRPr="00C8419B">
        <w:rPr>
          <w:rFonts w:ascii="Arial" w:hAnsi="Arial" w:cs="Arial"/>
          <w:color w:val="000000"/>
          <w:sz w:val="22"/>
          <w:szCs w:val="22"/>
        </w:rPr>
        <w:t>.</w:t>
      </w:r>
    </w:p>
    <w:p w:rsidR="00BC27F2" w:rsidRPr="00C8419B" w:rsidRDefault="004D5913"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These data exhibit clear seasonal patterns which will be examined and accounted for in the next review of seasonal adjustment.</w:t>
      </w:r>
    </w:p>
    <w:p w:rsidR="00B73D14" w:rsidRPr="00280723" w:rsidRDefault="006E4BFD" w:rsidP="00280723">
      <w:pPr>
        <w:pageBreakBefore/>
        <w:spacing w:after="240"/>
        <w:rPr>
          <w:rFonts w:ascii="Arial" w:hAnsi="Arial" w:cs="Arial"/>
          <w:b/>
          <w:sz w:val="32"/>
          <w:szCs w:val="22"/>
        </w:rPr>
      </w:pPr>
      <w:r>
        <w:rPr>
          <w:rFonts w:ascii="Arial" w:hAnsi="Arial" w:cs="Arial"/>
          <w:b/>
          <w:sz w:val="32"/>
          <w:szCs w:val="22"/>
        </w:rPr>
        <w:lastRenderedPageBreak/>
        <w:t>4</w:t>
      </w:r>
      <w:r w:rsidR="00280723">
        <w:rPr>
          <w:rFonts w:ascii="Arial" w:hAnsi="Arial" w:cs="Arial"/>
          <w:b/>
          <w:sz w:val="32"/>
          <w:szCs w:val="22"/>
        </w:rPr>
        <w:t xml:space="preserve"> Insolvenc</w:t>
      </w:r>
      <w:r w:rsidR="00A0339B">
        <w:rPr>
          <w:rFonts w:ascii="Arial" w:hAnsi="Arial" w:cs="Arial"/>
          <w:b/>
          <w:sz w:val="32"/>
          <w:szCs w:val="22"/>
        </w:rPr>
        <w:t>y</w:t>
      </w:r>
      <w:r w:rsidR="00B73D14" w:rsidRPr="00280723">
        <w:rPr>
          <w:rFonts w:ascii="Arial" w:hAnsi="Arial" w:cs="Arial"/>
          <w:b/>
          <w:sz w:val="32"/>
          <w:szCs w:val="22"/>
        </w:rPr>
        <w:t xml:space="preserve"> in Scotland </w:t>
      </w:r>
    </w:p>
    <w:p w:rsidR="00280723" w:rsidRPr="00280723" w:rsidRDefault="006E4BFD" w:rsidP="00280723">
      <w:pPr>
        <w:spacing w:after="240"/>
        <w:rPr>
          <w:rFonts w:ascii="Arial" w:hAnsi="Arial" w:cs="Arial"/>
          <w:b/>
          <w:sz w:val="28"/>
          <w:szCs w:val="22"/>
        </w:rPr>
      </w:pPr>
      <w:r>
        <w:rPr>
          <w:rFonts w:ascii="Arial" w:hAnsi="Arial" w:cs="Arial"/>
          <w:b/>
          <w:sz w:val="28"/>
          <w:szCs w:val="22"/>
        </w:rPr>
        <w:t>4</w:t>
      </w:r>
      <w:r w:rsidR="00280723">
        <w:rPr>
          <w:rFonts w:ascii="Arial" w:hAnsi="Arial" w:cs="Arial"/>
          <w:b/>
          <w:sz w:val="28"/>
          <w:szCs w:val="22"/>
        </w:rPr>
        <w:t xml:space="preserve">.1 Company </w:t>
      </w:r>
      <w:r w:rsidR="00A0339B">
        <w:rPr>
          <w:rFonts w:ascii="Arial" w:hAnsi="Arial" w:cs="Arial"/>
          <w:b/>
          <w:sz w:val="28"/>
          <w:szCs w:val="22"/>
        </w:rPr>
        <w:t>insolvency</w:t>
      </w:r>
    </w:p>
    <w:p w:rsidR="00397878" w:rsidRPr="00C8419B" w:rsidRDefault="00C763BE" w:rsidP="00807A93">
      <w:pPr>
        <w:pStyle w:val="BodyText"/>
        <w:tabs>
          <w:tab w:val="left" w:pos="450"/>
        </w:tabs>
        <w:spacing w:before="120" w:line="276" w:lineRule="auto"/>
        <w:rPr>
          <w:rFonts w:ascii="Arial" w:hAnsi="Arial" w:cs="Arial"/>
          <w:color w:val="000000"/>
          <w:sz w:val="22"/>
          <w:szCs w:val="22"/>
        </w:rPr>
      </w:pPr>
      <w:r w:rsidRPr="00C8419B">
        <w:rPr>
          <w:rFonts w:ascii="Arial" w:hAnsi="Arial" w:cs="Arial"/>
          <w:color w:val="000000"/>
          <w:sz w:val="22"/>
          <w:szCs w:val="22"/>
        </w:rPr>
        <w:t xml:space="preserve">Company insolvency in Scotland is governed by </w:t>
      </w:r>
      <w:r w:rsidR="008221B8" w:rsidRPr="00C8419B">
        <w:rPr>
          <w:rFonts w:ascii="Arial" w:hAnsi="Arial" w:cs="Arial"/>
          <w:color w:val="000000"/>
          <w:sz w:val="22"/>
          <w:szCs w:val="22"/>
        </w:rPr>
        <w:t xml:space="preserve">broadly the </w:t>
      </w:r>
      <w:r w:rsidRPr="00C8419B">
        <w:rPr>
          <w:rFonts w:ascii="Arial" w:hAnsi="Arial" w:cs="Arial"/>
          <w:color w:val="000000"/>
          <w:sz w:val="22"/>
          <w:szCs w:val="22"/>
        </w:rPr>
        <w:t>same legislation as for England and Wa</w:t>
      </w:r>
      <w:r w:rsidR="008221B8" w:rsidRPr="00C8419B">
        <w:rPr>
          <w:rFonts w:ascii="Arial" w:hAnsi="Arial" w:cs="Arial"/>
          <w:color w:val="000000"/>
          <w:sz w:val="22"/>
          <w:szCs w:val="22"/>
        </w:rPr>
        <w:t xml:space="preserve">les; however, </w:t>
      </w:r>
      <w:r w:rsidR="00791A86" w:rsidRPr="00C8419B">
        <w:rPr>
          <w:rFonts w:ascii="Arial" w:hAnsi="Arial" w:cs="Arial"/>
          <w:color w:val="000000"/>
          <w:sz w:val="22"/>
          <w:szCs w:val="22"/>
        </w:rPr>
        <w:t>the development of policy on and the recording of information about liquidations and receiverships is devolved to the Scottish Government</w:t>
      </w:r>
      <w:r w:rsidR="000F50D2" w:rsidRPr="00C8419B">
        <w:rPr>
          <w:rFonts w:ascii="Arial" w:hAnsi="Arial" w:cs="Arial"/>
          <w:color w:val="000000"/>
          <w:sz w:val="22"/>
          <w:szCs w:val="22"/>
        </w:rPr>
        <w:t>, so figures are presented separately.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826024" w:rsidTr="000076CB">
        <w:tc>
          <w:tcPr>
            <w:tcW w:w="5353" w:type="dxa"/>
          </w:tcPr>
          <w:p w:rsidR="00826024" w:rsidRDefault="00826024" w:rsidP="00F37D5C">
            <w:pPr>
              <w:spacing w:before="120"/>
              <w:jc w:val="center"/>
              <w:rPr>
                <w:rFonts w:ascii="Arial" w:hAnsi="Arial" w:cs="Arial"/>
                <w:color w:val="000000"/>
                <w:sz w:val="22"/>
                <w:szCs w:val="22"/>
              </w:rPr>
            </w:pPr>
            <w:r w:rsidRPr="004528AB">
              <w:rPr>
                <w:rFonts w:ascii="Arial" w:hAnsi="Arial" w:cs="Arial"/>
                <w:b/>
                <w:color w:val="000000"/>
                <w:sz w:val="22"/>
                <w:szCs w:val="22"/>
              </w:rPr>
              <w:t xml:space="preserve">Figure </w:t>
            </w:r>
            <w:r w:rsidR="00791A86">
              <w:rPr>
                <w:rFonts w:ascii="Arial" w:hAnsi="Arial" w:cs="Arial"/>
                <w:b/>
                <w:color w:val="000000"/>
                <w:sz w:val="22"/>
                <w:szCs w:val="22"/>
              </w:rPr>
              <w:t>13</w:t>
            </w:r>
            <w:r w:rsidRPr="004528AB">
              <w:rPr>
                <w:rFonts w:ascii="Arial" w:hAnsi="Arial" w:cs="Arial"/>
                <w:b/>
                <w:color w:val="000000"/>
                <w:sz w:val="22"/>
                <w:szCs w:val="22"/>
              </w:rPr>
              <w:t xml:space="preserve">: </w:t>
            </w:r>
            <w:r w:rsidRPr="00F37D5C">
              <w:rPr>
                <w:rFonts w:ascii="Arial" w:hAnsi="Arial" w:cs="Arial"/>
                <w:b/>
                <w:color w:val="000000" w:themeColor="text1"/>
                <w:sz w:val="22"/>
                <w:szCs w:val="22"/>
              </w:rPr>
              <w:t>Company</w:t>
            </w:r>
            <w:r>
              <w:rPr>
                <w:rFonts w:ascii="Arial" w:hAnsi="Arial" w:cs="Arial"/>
                <w:b/>
                <w:color w:val="000000"/>
                <w:sz w:val="22"/>
                <w:szCs w:val="22"/>
              </w:rPr>
              <w:t xml:space="preserve"> </w:t>
            </w:r>
            <w:r w:rsidR="00791A86">
              <w:rPr>
                <w:rFonts w:ascii="Arial" w:hAnsi="Arial" w:cs="Arial"/>
                <w:b/>
                <w:color w:val="000000"/>
                <w:sz w:val="22"/>
                <w:szCs w:val="22"/>
              </w:rPr>
              <w:t>l</w:t>
            </w:r>
            <w:r>
              <w:rPr>
                <w:rFonts w:ascii="Arial" w:hAnsi="Arial" w:cs="Arial"/>
                <w:b/>
                <w:color w:val="000000"/>
                <w:sz w:val="22"/>
                <w:szCs w:val="22"/>
              </w:rPr>
              <w:t>iquidations in Scotland</w:t>
            </w:r>
            <w:r w:rsidRPr="004528AB">
              <w:rPr>
                <w:rFonts w:ascii="Arial" w:hAnsi="Arial" w:cs="Arial"/>
                <w:b/>
                <w:color w:val="000000"/>
                <w:sz w:val="22"/>
                <w:szCs w:val="22"/>
              </w:rPr>
              <w:t xml:space="preserve"> </w:t>
            </w:r>
            <w:r w:rsidR="00AA4F9A">
              <w:rPr>
                <w:rFonts w:ascii="Arial" w:hAnsi="Arial" w:cs="Arial"/>
                <w:b/>
                <w:color w:val="000000"/>
                <w:sz w:val="22"/>
                <w:szCs w:val="22"/>
              </w:rPr>
              <w:t xml:space="preserve">                              </w:t>
            </w:r>
            <w:r w:rsidRPr="004528AB">
              <w:rPr>
                <w:rFonts w:ascii="Arial" w:hAnsi="Arial" w:cs="Arial"/>
                <w:color w:val="000000"/>
                <w:sz w:val="22"/>
                <w:szCs w:val="22"/>
              </w:rPr>
              <w:t>(</w:t>
            </w:r>
            <w:r w:rsidR="00AA4F9A">
              <w:rPr>
                <w:rFonts w:ascii="Arial" w:hAnsi="Arial" w:cs="Arial"/>
                <w:color w:val="000000"/>
                <w:sz w:val="22"/>
                <w:szCs w:val="22"/>
              </w:rPr>
              <w:t xml:space="preserve">quarterly data, </w:t>
            </w:r>
            <w:r w:rsidRPr="004528AB">
              <w:rPr>
                <w:rFonts w:ascii="Arial" w:hAnsi="Arial" w:cs="Arial"/>
                <w:color w:val="000000"/>
                <w:sz w:val="22"/>
                <w:szCs w:val="22"/>
              </w:rPr>
              <w:t>not seasonally adjusted)</w:t>
            </w:r>
          </w:p>
          <w:p w:rsidR="00826024" w:rsidRPr="008538AD" w:rsidRDefault="00767583" w:rsidP="00826024">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38C526C5" wp14:editId="7E6D2C6E">
                  <wp:extent cx="4667250" cy="32289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7250" cy="3228975"/>
                          </a:xfrm>
                          <a:prstGeom prst="rect">
                            <a:avLst/>
                          </a:prstGeom>
                          <a:noFill/>
                          <a:ln>
                            <a:noFill/>
                          </a:ln>
                        </pic:spPr>
                      </pic:pic>
                    </a:graphicData>
                  </a:graphic>
                </wp:inline>
              </w:drawing>
            </w:r>
          </w:p>
          <w:p w:rsidR="00277B5E" w:rsidRDefault="00277B5E" w:rsidP="00277B5E">
            <w:pPr>
              <w:spacing w:after="60" w:line="276" w:lineRule="auto"/>
              <w:rPr>
                <w:rFonts w:ascii="Arial" w:hAnsi="Arial" w:cs="Arial"/>
                <w:color w:val="000000"/>
                <w:sz w:val="18"/>
                <w:szCs w:val="18"/>
              </w:rPr>
            </w:pPr>
            <w:r>
              <w:rPr>
                <w:rFonts w:ascii="Arial" w:hAnsi="Arial" w:cs="Arial"/>
                <w:color w:val="000000"/>
                <w:sz w:val="18"/>
                <w:szCs w:val="18"/>
              </w:rPr>
              <w:t>Source</w:t>
            </w:r>
            <w:r w:rsidR="00826024" w:rsidRPr="000B6473">
              <w:rPr>
                <w:rFonts w:ascii="Arial" w:hAnsi="Arial" w:cs="Arial"/>
                <w:color w:val="000000"/>
                <w:sz w:val="18"/>
                <w:szCs w:val="18"/>
              </w:rPr>
              <w:t xml:space="preserve">: Companies </w:t>
            </w:r>
            <w:r w:rsidR="00826024" w:rsidRPr="000B6473">
              <w:rPr>
                <w:rFonts w:ascii="Arial" w:hAnsi="Arial" w:cs="Arial"/>
                <w:color w:val="000000" w:themeColor="text1"/>
                <w:sz w:val="18"/>
                <w:szCs w:val="18"/>
              </w:rPr>
              <w:t>House</w:t>
            </w:r>
            <w:r w:rsidR="003D5600">
              <w:rPr>
                <w:rFonts w:ascii="Arial" w:hAnsi="Arial" w:cs="Arial"/>
                <w:color w:val="000000" w:themeColor="text1"/>
                <w:sz w:val="18"/>
                <w:szCs w:val="18"/>
              </w:rPr>
              <w:t>.</w:t>
            </w:r>
          </w:p>
          <w:p w:rsidR="00826024" w:rsidRDefault="00826024" w:rsidP="00FC41CC">
            <w:pPr>
              <w:spacing w:after="60"/>
              <w:rPr>
                <w:rFonts w:ascii="Arial" w:hAnsi="Arial" w:cs="Arial"/>
                <w:color w:val="000000"/>
                <w:sz w:val="18"/>
                <w:szCs w:val="18"/>
              </w:rPr>
            </w:pPr>
            <w:r w:rsidRPr="000B6473">
              <w:rPr>
                <w:rFonts w:ascii="Arial" w:hAnsi="Arial" w:cs="Arial"/>
                <w:color w:val="000000"/>
                <w:sz w:val="18"/>
                <w:szCs w:val="18"/>
              </w:rPr>
              <w:t>Creditors’ Voluntary includes those companies which had previously been in administration or other insolvency procedure</w:t>
            </w:r>
            <w:r w:rsidR="000B6473">
              <w:rPr>
                <w:rFonts w:ascii="Arial" w:hAnsi="Arial" w:cs="Arial"/>
                <w:color w:val="000000"/>
                <w:sz w:val="18"/>
                <w:szCs w:val="18"/>
              </w:rPr>
              <w:t>.</w:t>
            </w:r>
          </w:p>
          <w:p w:rsidR="00741B5A" w:rsidRPr="000B6473" w:rsidRDefault="00741B5A" w:rsidP="008F7A73">
            <w:pPr>
              <w:spacing w:after="60"/>
              <w:rPr>
                <w:rFonts w:ascii="Arial" w:eastAsiaTheme="minorHAnsi" w:hAnsi="Arial" w:cs="Arial"/>
                <w:sz w:val="18"/>
                <w:szCs w:val="18"/>
              </w:rPr>
            </w:pPr>
            <w:r w:rsidRPr="000B6473">
              <w:rPr>
                <w:rFonts w:ascii="Arial" w:hAnsi="Arial" w:cs="Arial"/>
                <w:color w:val="000000" w:themeColor="text1"/>
                <w:sz w:val="18"/>
                <w:szCs w:val="18"/>
              </w:rPr>
              <w:t>See Table</w:t>
            </w:r>
            <w:r w:rsidR="00C712AC">
              <w:rPr>
                <w:rFonts w:ascii="Arial" w:hAnsi="Arial" w:cs="Arial"/>
                <w:color w:val="000000" w:themeColor="text1"/>
                <w:sz w:val="18"/>
                <w:szCs w:val="18"/>
              </w:rPr>
              <w:t>s</w:t>
            </w:r>
            <w:r w:rsidRPr="000B6473">
              <w:rPr>
                <w:rFonts w:ascii="Arial" w:hAnsi="Arial" w:cs="Arial"/>
                <w:color w:val="000000" w:themeColor="text1"/>
                <w:sz w:val="18"/>
                <w:szCs w:val="18"/>
              </w:rPr>
              <w:t xml:space="preserve"> </w:t>
            </w:r>
            <w:r>
              <w:rPr>
                <w:rFonts w:ascii="Arial" w:hAnsi="Arial" w:cs="Arial"/>
                <w:color w:val="000000" w:themeColor="text1"/>
                <w:sz w:val="18"/>
                <w:szCs w:val="18"/>
              </w:rPr>
              <w:t>4</w:t>
            </w:r>
            <w:r w:rsidR="00C712AC">
              <w:rPr>
                <w:rFonts w:ascii="Arial" w:hAnsi="Arial" w:cs="Arial"/>
                <w:color w:val="000000" w:themeColor="text1"/>
                <w:sz w:val="18"/>
                <w:szCs w:val="18"/>
              </w:rPr>
              <w:t xml:space="preserve"> and 5</w:t>
            </w:r>
            <w:r w:rsidRPr="000B6473">
              <w:rPr>
                <w:rFonts w:ascii="Arial" w:hAnsi="Arial" w:cs="Arial"/>
                <w:color w:val="000000" w:themeColor="text1"/>
                <w:sz w:val="18"/>
                <w:szCs w:val="18"/>
              </w:rPr>
              <w:t xml:space="preserve"> of the </w:t>
            </w:r>
            <w:r w:rsidRPr="000B6473">
              <w:rPr>
                <w:rFonts w:ascii="Arial" w:hAnsi="Arial" w:cs="Arial"/>
                <w:color w:val="000000"/>
                <w:sz w:val="18"/>
                <w:szCs w:val="18"/>
              </w:rPr>
              <w:t xml:space="preserve">accompanying Excel file </w:t>
            </w:r>
            <w:r w:rsidRPr="000B6473">
              <w:rPr>
                <w:rFonts w:ascii="Arial" w:hAnsi="Arial" w:cs="Arial"/>
                <w:color w:val="000000" w:themeColor="text1"/>
                <w:sz w:val="18"/>
                <w:szCs w:val="18"/>
              </w:rPr>
              <w:t>for</w:t>
            </w:r>
            <w:r w:rsidRPr="000B6473">
              <w:rPr>
                <w:rFonts w:ascii="Arial" w:hAnsi="Arial" w:cs="Arial"/>
                <w:color w:val="000000"/>
                <w:sz w:val="18"/>
                <w:szCs w:val="18"/>
              </w:rPr>
              <w:t xml:space="preserve">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826024" w:rsidRDefault="006E4BFD" w:rsidP="004D5E97">
            <w:pPr>
              <w:pStyle w:val="BodyText"/>
              <w:tabs>
                <w:tab w:val="left" w:pos="450"/>
              </w:tabs>
              <w:spacing w:before="120" w:line="276" w:lineRule="auto"/>
              <w:rPr>
                <w:rFonts w:ascii="Arial" w:hAnsi="Arial" w:cs="Arial"/>
                <w:sz w:val="18"/>
                <w:szCs w:val="18"/>
              </w:rPr>
            </w:pPr>
            <w:r>
              <w:rPr>
                <w:rFonts w:ascii="Arial" w:hAnsi="Arial" w:cs="Arial"/>
                <w:sz w:val="18"/>
                <w:szCs w:val="18"/>
              </w:rPr>
              <w:t>See section 2 (company insolvency in England and Wales) for further information.</w:t>
            </w:r>
          </w:p>
          <w:p w:rsidR="004075AE" w:rsidRDefault="004075AE" w:rsidP="004D5E97">
            <w:pPr>
              <w:pStyle w:val="BodyText"/>
              <w:tabs>
                <w:tab w:val="left" w:pos="450"/>
              </w:tabs>
              <w:spacing w:before="120" w:line="276" w:lineRule="auto"/>
              <w:rPr>
                <w:rFonts w:ascii="Arial" w:eastAsiaTheme="minorHAnsi" w:hAnsi="Arial" w:cs="Arial"/>
                <w:sz w:val="22"/>
                <w:szCs w:val="22"/>
              </w:rPr>
            </w:pPr>
            <w:r>
              <w:rPr>
                <w:rFonts w:ascii="Arial" w:hAnsi="Arial" w:cs="Arial"/>
                <w:sz w:val="18"/>
                <w:szCs w:val="18"/>
              </w:rPr>
              <w:t>The Excel file which accompanies this release additionally contains statistics on the number of administrations, receiverships and CVAs in Scotland.</w:t>
            </w:r>
          </w:p>
        </w:tc>
      </w:tr>
    </w:tbl>
    <w:p w:rsidR="00826024" w:rsidRPr="00C8419B" w:rsidRDefault="00741B5A"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In the second</w:t>
      </w:r>
      <w:r w:rsidR="00826024" w:rsidRPr="00C8419B">
        <w:rPr>
          <w:rFonts w:ascii="Arial" w:hAnsi="Arial" w:cs="Arial"/>
          <w:color w:val="000000"/>
          <w:sz w:val="22"/>
          <w:szCs w:val="22"/>
        </w:rPr>
        <w:t xml:space="preserve"> quarter of 2014, there were 2</w:t>
      </w:r>
      <w:r>
        <w:rPr>
          <w:rFonts w:ascii="Arial" w:hAnsi="Arial" w:cs="Arial"/>
          <w:color w:val="000000"/>
          <w:sz w:val="22"/>
          <w:szCs w:val="22"/>
        </w:rPr>
        <w:t>5</w:t>
      </w:r>
      <w:r w:rsidR="00826024" w:rsidRPr="00C8419B">
        <w:rPr>
          <w:rFonts w:ascii="Arial" w:hAnsi="Arial" w:cs="Arial"/>
          <w:color w:val="000000"/>
          <w:sz w:val="22"/>
          <w:szCs w:val="22"/>
        </w:rPr>
        <w:t>3 company li</w:t>
      </w:r>
      <w:r>
        <w:rPr>
          <w:rFonts w:ascii="Arial" w:hAnsi="Arial" w:cs="Arial"/>
          <w:color w:val="000000"/>
          <w:sz w:val="22"/>
          <w:szCs w:val="22"/>
        </w:rPr>
        <w:t>quidations in Scotland – a 60.1</w:t>
      </w:r>
      <w:r w:rsidR="00826024" w:rsidRPr="00C8419B">
        <w:rPr>
          <w:rFonts w:ascii="Arial" w:hAnsi="Arial" w:cs="Arial"/>
          <w:color w:val="000000"/>
          <w:sz w:val="22"/>
          <w:szCs w:val="22"/>
        </w:rPr>
        <w:t xml:space="preserve">% increase </w:t>
      </w:r>
      <w:r w:rsidR="00C712AC">
        <w:rPr>
          <w:rFonts w:ascii="Arial" w:hAnsi="Arial" w:cs="Arial"/>
          <w:color w:val="000000"/>
          <w:sz w:val="22"/>
          <w:szCs w:val="22"/>
        </w:rPr>
        <w:t>on</w:t>
      </w:r>
      <w:r w:rsidR="00826024" w:rsidRPr="00C8419B">
        <w:rPr>
          <w:rFonts w:ascii="Arial" w:hAnsi="Arial" w:cs="Arial"/>
          <w:color w:val="000000"/>
          <w:sz w:val="22"/>
          <w:szCs w:val="22"/>
        </w:rPr>
        <w:t xml:space="preserve"> the </w:t>
      </w:r>
      <w:r w:rsidR="00C712AC">
        <w:rPr>
          <w:rFonts w:ascii="Arial" w:hAnsi="Arial" w:cs="Arial"/>
          <w:color w:val="000000"/>
          <w:sz w:val="22"/>
          <w:szCs w:val="22"/>
        </w:rPr>
        <w:t>same</w:t>
      </w:r>
      <w:r w:rsidR="00826024" w:rsidRPr="00C8419B">
        <w:rPr>
          <w:rFonts w:ascii="Arial" w:hAnsi="Arial" w:cs="Arial"/>
          <w:color w:val="000000"/>
          <w:sz w:val="22"/>
          <w:szCs w:val="22"/>
        </w:rPr>
        <w:t xml:space="preserve"> quarter </w:t>
      </w:r>
      <w:r w:rsidR="00C712AC">
        <w:rPr>
          <w:rFonts w:ascii="Arial" w:hAnsi="Arial" w:cs="Arial"/>
          <w:color w:val="000000"/>
          <w:sz w:val="22"/>
          <w:szCs w:val="22"/>
        </w:rPr>
        <w:t>of</w:t>
      </w:r>
      <w:r w:rsidR="00826024" w:rsidRPr="00C8419B">
        <w:rPr>
          <w:rFonts w:ascii="Arial" w:hAnsi="Arial" w:cs="Arial"/>
          <w:color w:val="000000"/>
          <w:sz w:val="22"/>
          <w:szCs w:val="22"/>
        </w:rPr>
        <w:t xml:space="preserve"> 2013. Liquidations </w:t>
      </w:r>
      <w:r w:rsidR="001A557C" w:rsidRPr="00C8419B">
        <w:rPr>
          <w:rFonts w:ascii="Arial" w:hAnsi="Arial" w:cs="Arial"/>
          <w:color w:val="000000"/>
          <w:sz w:val="22"/>
          <w:szCs w:val="22"/>
        </w:rPr>
        <w:t xml:space="preserve">were fairly stable until 2009, </w:t>
      </w:r>
      <w:r w:rsidR="00C63F39">
        <w:rPr>
          <w:rFonts w:ascii="Arial" w:hAnsi="Arial" w:cs="Arial"/>
          <w:color w:val="000000"/>
          <w:sz w:val="22"/>
          <w:szCs w:val="22"/>
        </w:rPr>
        <w:t>followed by a</w:t>
      </w:r>
      <w:r w:rsidR="00826024" w:rsidRPr="00C8419B">
        <w:rPr>
          <w:rFonts w:ascii="Arial" w:hAnsi="Arial" w:cs="Arial"/>
          <w:color w:val="000000"/>
          <w:sz w:val="22"/>
          <w:szCs w:val="22"/>
        </w:rPr>
        <w:t xml:space="preserve"> generally increasing trend until a period of rapid decrease between Q2 2012 and Q1 2013. The number of company liquidations has been increasing since then, however the quarterly total continues to be lower than the peak of cases in Q2 2011.</w:t>
      </w:r>
    </w:p>
    <w:p w:rsidR="0015141C" w:rsidRPr="00C8419B" w:rsidRDefault="00826024"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 total number of company liquidations is driven by the number of compulsory</w:t>
      </w:r>
      <w:r w:rsidR="00FC5525" w:rsidRPr="00C8419B">
        <w:rPr>
          <w:rFonts w:ascii="Arial" w:hAnsi="Arial" w:cs="Arial"/>
          <w:color w:val="000000"/>
          <w:sz w:val="22"/>
          <w:szCs w:val="22"/>
        </w:rPr>
        <w:t xml:space="preserve"> cases.</w:t>
      </w:r>
      <w:r w:rsidRPr="00C8419B">
        <w:rPr>
          <w:rFonts w:ascii="Arial" w:hAnsi="Arial" w:cs="Arial"/>
          <w:color w:val="000000"/>
          <w:sz w:val="22"/>
          <w:szCs w:val="22"/>
        </w:rPr>
        <w:t xml:space="preserve"> </w:t>
      </w:r>
      <w:r w:rsidR="00FC5525" w:rsidRPr="00C8419B">
        <w:rPr>
          <w:rFonts w:ascii="Arial" w:hAnsi="Arial" w:cs="Arial"/>
          <w:color w:val="000000"/>
          <w:sz w:val="22"/>
          <w:szCs w:val="22"/>
        </w:rPr>
        <w:t xml:space="preserve">This is in contrast to England and Wales, where the number of creditors’ voluntary </w:t>
      </w:r>
      <w:r w:rsidR="008F7A73">
        <w:rPr>
          <w:rFonts w:ascii="Arial" w:hAnsi="Arial" w:cs="Arial"/>
          <w:color w:val="000000"/>
          <w:sz w:val="22"/>
          <w:szCs w:val="22"/>
        </w:rPr>
        <w:t>liquidations (CVLs)</w:t>
      </w:r>
      <w:r w:rsidR="008F7A73" w:rsidRPr="00C8419B">
        <w:rPr>
          <w:rFonts w:ascii="Arial" w:hAnsi="Arial" w:cs="Arial"/>
          <w:color w:val="000000"/>
          <w:sz w:val="22"/>
          <w:szCs w:val="22"/>
        </w:rPr>
        <w:t xml:space="preserve"> </w:t>
      </w:r>
      <w:r w:rsidR="00126FCC" w:rsidRPr="00C8419B">
        <w:rPr>
          <w:rFonts w:ascii="Arial" w:hAnsi="Arial" w:cs="Arial"/>
          <w:color w:val="000000"/>
          <w:sz w:val="22"/>
          <w:szCs w:val="22"/>
        </w:rPr>
        <w:t>account for the majority of company liquidations</w:t>
      </w:r>
      <w:r w:rsidR="00FC5525" w:rsidRPr="00C8419B">
        <w:rPr>
          <w:rFonts w:ascii="Arial" w:hAnsi="Arial" w:cs="Arial"/>
          <w:color w:val="000000"/>
          <w:sz w:val="22"/>
          <w:szCs w:val="22"/>
        </w:rPr>
        <w:t xml:space="preserve">. </w:t>
      </w:r>
      <w:r w:rsidR="000F50D2" w:rsidRPr="00C8419B">
        <w:rPr>
          <w:rFonts w:ascii="Arial" w:hAnsi="Arial" w:cs="Arial"/>
          <w:color w:val="000000"/>
          <w:sz w:val="22"/>
          <w:szCs w:val="22"/>
        </w:rPr>
        <w:t>This difference may be because in England and Wales, the Insolvency Service manages the initial stage of case administration for all compulsory liquidations</w:t>
      </w:r>
      <w:r w:rsidR="0015141C" w:rsidRPr="00C8419B">
        <w:rPr>
          <w:rFonts w:ascii="Arial" w:hAnsi="Arial" w:cs="Arial"/>
          <w:color w:val="000000"/>
          <w:sz w:val="22"/>
          <w:szCs w:val="22"/>
        </w:rPr>
        <w:t>, for which a fee is charged.</w:t>
      </w:r>
    </w:p>
    <w:p w:rsidR="00826024" w:rsidRPr="00C8419B" w:rsidRDefault="00826024"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There were 1</w:t>
      </w:r>
      <w:r w:rsidR="00741B5A">
        <w:rPr>
          <w:rFonts w:ascii="Arial" w:hAnsi="Arial" w:cs="Arial"/>
          <w:color w:val="000000"/>
          <w:sz w:val="22"/>
          <w:szCs w:val="22"/>
        </w:rPr>
        <w:t>93</w:t>
      </w:r>
      <w:r w:rsidRPr="00C8419B">
        <w:rPr>
          <w:rFonts w:ascii="Arial" w:hAnsi="Arial" w:cs="Arial"/>
          <w:color w:val="000000"/>
          <w:sz w:val="22"/>
          <w:szCs w:val="22"/>
        </w:rPr>
        <w:t xml:space="preserve"> comp</w:t>
      </w:r>
      <w:r w:rsidR="00741B5A">
        <w:rPr>
          <w:rFonts w:ascii="Arial" w:hAnsi="Arial" w:cs="Arial"/>
          <w:color w:val="000000"/>
          <w:sz w:val="22"/>
          <w:szCs w:val="22"/>
        </w:rPr>
        <w:t>ulsory liquidations in the second</w:t>
      </w:r>
      <w:r w:rsidRPr="00C8419B">
        <w:rPr>
          <w:rFonts w:ascii="Arial" w:hAnsi="Arial" w:cs="Arial"/>
          <w:color w:val="000000"/>
          <w:sz w:val="22"/>
          <w:szCs w:val="22"/>
        </w:rPr>
        <w:t xml:space="preserve"> quarter of 2014, compared to </w:t>
      </w:r>
      <w:r w:rsidR="00741B5A">
        <w:rPr>
          <w:rFonts w:ascii="Arial" w:hAnsi="Arial" w:cs="Arial"/>
          <w:color w:val="000000"/>
          <w:sz w:val="22"/>
          <w:szCs w:val="22"/>
        </w:rPr>
        <w:t>60</w:t>
      </w:r>
      <w:r w:rsidRPr="00C8419B">
        <w:rPr>
          <w:rFonts w:ascii="Arial" w:hAnsi="Arial" w:cs="Arial"/>
          <w:color w:val="000000"/>
          <w:sz w:val="22"/>
          <w:szCs w:val="22"/>
        </w:rPr>
        <w:t xml:space="preserve"> </w:t>
      </w:r>
      <w:r w:rsidR="008F7A73">
        <w:rPr>
          <w:rFonts w:ascii="Arial" w:hAnsi="Arial" w:cs="Arial"/>
          <w:color w:val="000000"/>
          <w:sz w:val="22"/>
          <w:szCs w:val="22"/>
        </w:rPr>
        <w:t>CVLs</w:t>
      </w:r>
      <w:r w:rsidRPr="00C8419B">
        <w:rPr>
          <w:rFonts w:ascii="Arial" w:hAnsi="Arial" w:cs="Arial"/>
          <w:color w:val="000000"/>
          <w:sz w:val="22"/>
          <w:szCs w:val="22"/>
        </w:rPr>
        <w:t xml:space="preserve">. The number of </w:t>
      </w:r>
      <w:r w:rsidR="008F7A73">
        <w:rPr>
          <w:rFonts w:ascii="Arial" w:hAnsi="Arial" w:cs="Arial"/>
          <w:color w:val="000000"/>
          <w:sz w:val="22"/>
          <w:szCs w:val="22"/>
        </w:rPr>
        <w:t xml:space="preserve">CVLs </w:t>
      </w:r>
      <w:r w:rsidRPr="00C8419B">
        <w:rPr>
          <w:rFonts w:ascii="Arial" w:hAnsi="Arial" w:cs="Arial"/>
          <w:color w:val="000000"/>
          <w:sz w:val="22"/>
          <w:szCs w:val="22"/>
        </w:rPr>
        <w:t>has remained largely stable, with between 50 and 100 cases in each quarter since 2010.</w:t>
      </w:r>
    </w:p>
    <w:p w:rsidR="00826024" w:rsidRPr="00C8419B" w:rsidRDefault="00741B5A"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There were 20</w:t>
      </w:r>
      <w:r w:rsidR="00826024" w:rsidRPr="00C8419B">
        <w:rPr>
          <w:rFonts w:ascii="Arial" w:hAnsi="Arial" w:cs="Arial"/>
          <w:color w:val="000000"/>
          <w:sz w:val="22"/>
          <w:szCs w:val="22"/>
        </w:rPr>
        <w:t xml:space="preserve"> other company insolvency procedures in the </w:t>
      </w:r>
      <w:r>
        <w:rPr>
          <w:rFonts w:ascii="Arial" w:hAnsi="Arial" w:cs="Arial"/>
          <w:color w:val="000000"/>
          <w:sz w:val="22"/>
          <w:szCs w:val="22"/>
        </w:rPr>
        <w:t>second</w:t>
      </w:r>
      <w:r w:rsidR="00826024" w:rsidRPr="00C8419B">
        <w:rPr>
          <w:rFonts w:ascii="Arial" w:hAnsi="Arial" w:cs="Arial"/>
          <w:color w:val="000000"/>
          <w:sz w:val="22"/>
          <w:szCs w:val="22"/>
        </w:rPr>
        <w:t xml:space="preserve"> quarter of 2014, </w:t>
      </w:r>
      <w:r>
        <w:rPr>
          <w:rFonts w:ascii="Arial" w:hAnsi="Arial" w:cs="Arial"/>
          <w:color w:val="000000"/>
          <w:sz w:val="22"/>
          <w:szCs w:val="22"/>
        </w:rPr>
        <w:t>18</w:t>
      </w:r>
      <w:r w:rsidR="00826024" w:rsidRPr="00C8419B">
        <w:rPr>
          <w:rFonts w:ascii="Arial" w:hAnsi="Arial" w:cs="Arial"/>
          <w:color w:val="000000"/>
          <w:sz w:val="22"/>
          <w:szCs w:val="22"/>
        </w:rPr>
        <w:t xml:space="preserve"> of which were administrations. This is the lowest number of administrations since Q</w:t>
      </w:r>
      <w:r>
        <w:rPr>
          <w:rFonts w:ascii="Arial" w:hAnsi="Arial" w:cs="Arial"/>
          <w:color w:val="000000"/>
          <w:sz w:val="22"/>
          <w:szCs w:val="22"/>
        </w:rPr>
        <w:t>3</w:t>
      </w:r>
      <w:r w:rsidR="00826024" w:rsidRPr="00C8419B">
        <w:rPr>
          <w:rFonts w:ascii="Arial" w:hAnsi="Arial" w:cs="Arial"/>
          <w:color w:val="000000"/>
          <w:sz w:val="22"/>
          <w:szCs w:val="22"/>
        </w:rPr>
        <w:t xml:space="preserve"> 2009.</w:t>
      </w:r>
    </w:p>
    <w:p w:rsidR="006363F7" w:rsidRDefault="006E4BFD" w:rsidP="00C763BE">
      <w:pPr>
        <w:pageBreakBefore/>
        <w:spacing w:after="240"/>
        <w:rPr>
          <w:rFonts w:ascii="Arial" w:hAnsi="Arial" w:cs="Arial"/>
          <w:b/>
          <w:sz w:val="28"/>
          <w:szCs w:val="22"/>
        </w:rPr>
      </w:pPr>
      <w:r>
        <w:rPr>
          <w:rFonts w:ascii="Arial" w:hAnsi="Arial" w:cs="Arial"/>
          <w:b/>
          <w:sz w:val="28"/>
          <w:szCs w:val="22"/>
        </w:rPr>
        <w:lastRenderedPageBreak/>
        <w:t>4</w:t>
      </w:r>
      <w:r w:rsidR="00280723" w:rsidRPr="00280723">
        <w:rPr>
          <w:rFonts w:ascii="Arial" w:hAnsi="Arial" w:cs="Arial"/>
          <w:b/>
          <w:sz w:val="28"/>
          <w:szCs w:val="22"/>
        </w:rPr>
        <w:t>.2</w:t>
      </w:r>
      <w:r w:rsidR="00A0339B">
        <w:rPr>
          <w:rFonts w:ascii="Arial" w:hAnsi="Arial" w:cs="Arial"/>
          <w:b/>
          <w:sz w:val="28"/>
          <w:szCs w:val="22"/>
        </w:rPr>
        <w:t xml:space="preserve"> Individual insolvency</w:t>
      </w:r>
    </w:p>
    <w:p w:rsidR="00F37D5C" w:rsidRDefault="006901E8" w:rsidP="00807A93">
      <w:pPr>
        <w:pStyle w:val="BodyText"/>
        <w:tabs>
          <w:tab w:val="left" w:pos="450"/>
        </w:tabs>
        <w:spacing w:before="120" w:line="276" w:lineRule="auto"/>
        <w:rPr>
          <w:rFonts w:ascii="Arial" w:hAnsi="Arial" w:cs="Arial"/>
          <w:color w:val="000000"/>
          <w:sz w:val="22"/>
          <w:szCs w:val="22"/>
        </w:rPr>
      </w:pPr>
      <w:r>
        <w:rPr>
          <w:rFonts w:ascii="Arial" w:hAnsi="Arial" w:cs="Arial"/>
          <w:color w:val="000000"/>
          <w:sz w:val="22"/>
          <w:szCs w:val="22"/>
        </w:rPr>
        <w:t>Legislation relating to i</w:t>
      </w:r>
      <w:r w:rsidR="0074330A" w:rsidRPr="0074330A">
        <w:rPr>
          <w:rFonts w:ascii="Arial" w:hAnsi="Arial" w:cs="Arial"/>
          <w:color w:val="000000"/>
          <w:sz w:val="22"/>
          <w:szCs w:val="22"/>
        </w:rPr>
        <w:t xml:space="preserve">ndividual insolvency in Scotland is </w:t>
      </w:r>
      <w:r>
        <w:rPr>
          <w:rFonts w:ascii="Arial" w:hAnsi="Arial" w:cs="Arial"/>
          <w:color w:val="000000"/>
          <w:sz w:val="22"/>
          <w:szCs w:val="22"/>
        </w:rPr>
        <w:t>devolved. T</w:t>
      </w:r>
      <w:r w:rsidR="0074330A" w:rsidRPr="0074330A">
        <w:rPr>
          <w:rFonts w:ascii="Arial" w:hAnsi="Arial" w:cs="Arial"/>
          <w:color w:val="000000"/>
          <w:sz w:val="22"/>
          <w:szCs w:val="22"/>
        </w:rPr>
        <w:t xml:space="preserve">he </w:t>
      </w:r>
      <w:hyperlink r:id="rId33" w:history="1">
        <w:r w:rsidR="0074330A" w:rsidRPr="006901E8">
          <w:rPr>
            <w:rStyle w:val="Hyperlink"/>
            <w:rFonts w:ascii="Arial" w:hAnsi="Arial" w:cs="Arial"/>
            <w:sz w:val="22"/>
            <w:szCs w:val="22"/>
          </w:rPr>
          <w:t>Accountant in Bankruptcy</w:t>
        </w:r>
      </w:hyperlink>
      <w:r w:rsidR="0074330A" w:rsidRPr="0074330A">
        <w:rPr>
          <w:rFonts w:ascii="Arial" w:hAnsi="Arial" w:cs="Arial"/>
          <w:color w:val="000000"/>
          <w:sz w:val="22"/>
          <w:szCs w:val="22"/>
        </w:rPr>
        <w:t xml:space="preserve">, Scotland’s Insolvency </w:t>
      </w:r>
      <w:r w:rsidR="0074330A" w:rsidRPr="000B6473">
        <w:rPr>
          <w:rFonts w:ascii="Arial" w:eastAsiaTheme="minorHAnsi" w:hAnsi="Arial" w:cs="Arial"/>
          <w:sz w:val="22"/>
          <w:szCs w:val="22"/>
        </w:rPr>
        <w:t>Service</w:t>
      </w:r>
      <w:r>
        <w:rPr>
          <w:rFonts w:ascii="Arial" w:eastAsiaTheme="minorHAnsi" w:hAnsi="Arial" w:cs="Arial"/>
          <w:sz w:val="22"/>
          <w:szCs w:val="22"/>
        </w:rPr>
        <w:t>, administers individual insolvency in Scotland.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F37D5C" w:rsidTr="000076CB">
        <w:tc>
          <w:tcPr>
            <w:tcW w:w="5353" w:type="dxa"/>
          </w:tcPr>
          <w:p w:rsidR="00F37D5C" w:rsidRDefault="00F37D5C" w:rsidP="00F37D5C">
            <w:pPr>
              <w:spacing w:before="120"/>
              <w:jc w:val="center"/>
              <w:rPr>
                <w:rFonts w:ascii="Arial" w:hAnsi="Arial" w:cs="Arial"/>
                <w:color w:val="000000"/>
                <w:sz w:val="22"/>
                <w:szCs w:val="22"/>
              </w:rPr>
            </w:pPr>
            <w:r w:rsidRPr="00F37D5C">
              <w:rPr>
                <w:rFonts w:ascii="Arial" w:hAnsi="Arial" w:cs="Arial"/>
                <w:b/>
                <w:color w:val="000000" w:themeColor="text1"/>
                <w:sz w:val="22"/>
                <w:szCs w:val="22"/>
              </w:rPr>
              <w:t>Figure</w:t>
            </w:r>
            <w:r w:rsidRPr="004528AB">
              <w:rPr>
                <w:rFonts w:ascii="Arial" w:hAnsi="Arial" w:cs="Arial"/>
                <w:b/>
                <w:color w:val="000000"/>
                <w:sz w:val="22"/>
                <w:szCs w:val="22"/>
              </w:rPr>
              <w:t xml:space="preserve"> </w:t>
            </w:r>
            <w:r w:rsidR="00791A86">
              <w:rPr>
                <w:rFonts w:ascii="Arial" w:hAnsi="Arial" w:cs="Arial"/>
                <w:b/>
                <w:color w:val="000000"/>
                <w:sz w:val="22"/>
                <w:szCs w:val="22"/>
              </w:rPr>
              <w:t>14</w:t>
            </w:r>
            <w:r w:rsidRPr="004528AB">
              <w:rPr>
                <w:rFonts w:ascii="Arial" w:hAnsi="Arial" w:cs="Arial"/>
                <w:b/>
                <w:color w:val="000000"/>
                <w:sz w:val="22"/>
                <w:szCs w:val="22"/>
              </w:rPr>
              <w:t xml:space="preserve">: </w:t>
            </w:r>
            <w:r>
              <w:rPr>
                <w:rFonts w:ascii="Arial" w:hAnsi="Arial" w:cs="Arial"/>
                <w:b/>
                <w:color w:val="000000"/>
                <w:sz w:val="22"/>
                <w:szCs w:val="22"/>
              </w:rPr>
              <w:t xml:space="preserve">Individual </w:t>
            </w:r>
            <w:r w:rsidR="00791A86">
              <w:rPr>
                <w:rFonts w:ascii="Arial" w:hAnsi="Arial" w:cs="Arial"/>
                <w:b/>
                <w:color w:val="000000"/>
                <w:sz w:val="22"/>
                <w:szCs w:val="22"/>
              </w:rPr>
              <w:t>i</w:t>
            </w:r>
            <w:r>
              <w:rPr>
                <w:rFonts w:ascii="Arial" w:hAnsi="Arial" w:cs="Arial"/>
                <w:b/>
                <w:color w:val="000000"/>
                <w:sz w:val="22"/>
                <w:szCs w:val="22"/>
              </w:rPr>
              <w:t>nsolvencies in Scotland</w:t>
            </w:r>
            <w:r w:rsidRPr="004528AB">
              <w:rPr>
                <w:rFonts w:ascii="Arial" w:hAnsi="Arial" w:cs="Arial"/>
                <w:b/>
                <w:color w:val="000000"/>
                <w:sz w:val="22"/>
                <w:szCs w:val="22"/>
              </w:rPr>
              <w:t xml:space="preserve"> </w:t>
            </w:r>
            <w:r w:rsidR="00AA4F9A">
              <w:rPr>
                <w:rFonts w:ascii="Arial" w:hAnsi="Arial" w:cs="Arial"/>
                <w:b/>
                <w:color w:val="000000"/>
                <w:sz w:val="22"/>
                <w:szCs w:val="22"/>
              </w:rPr>
              <w:t xml:space="preserve">                                 </w:t>
            </w:r>
            <w:r w:rsidRPr="004528AB">
              <w:rPr>
                <w:rFonts w:ascii="Arial" w:hAnsi="Arial" w:cs="Arial"/>
                <w:color w:val="000000"/>
                <w:sz w:val="22"/>
                <w:szCs w:val="22"/>
              </w:rPr>
              <w:t>(</w:t>
            </w:r>
            <w:r w:rsidR="00AA4F9A">
              <w:rPr>
                <w:rFonts w:ascii="Arial" w:hAnsi="Arial" w:cs="Arial"/>
                <w:color w:val="000000"/>
                <w:sz w:val="22"/>
                <w:szCs w:val="22"/>
              </w:rPr>
              <w:t xml:space="preserve">quarterly data, </w:t>
            </w:r>
            <w:r w:rsidRPr="004528AB">
              <w:rPr>
                <w:rFonts w:ascii="Arial" w:hAnsi="Arial" w:cs="Arial"/>
                <w:color w:val="000000"/>
                <w:sz w:val="22"/>
                <w:szCs w:val="22"/>
              </w:rPr>
              <w:t>not seasonally adjusted)</w:t>
            </w:r>
          </w:p>
          <w:p w:rsidR="00F37D5C" w:rsidRPr="008538AD" w:rsidRDefault="00767583" w:rsidP="00F37D5C">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446EBCC7" wp14:editId="674CFECC">
                  <wp:extent cx="4667250" cy="32289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67250" cy="3228975"/>
                          </a:xfrm>
                          <a:prstGeom prst="rect">
                            <a:avLst/>
                          </a:prstGeom>
                          <a:noFill/>
                          <a:ln>
                            <a:noFill/>
                          </a:ln>
                        </pic:spPr>
                      </pic:pic>
                    </a:graphicData>
                  </a:graphic>
                </wp:inline>
              </w:drawing>
            </w:r>
          </w:p>
          <w:p w:rsidR="00F37D5C" w:rsidRPr="000B6473" w:rsidRDefault="00F37D5C" w:rsidP="000B6473">
            <w:pPr>
              <w:spacing w:before="60" w:after="60" w:line="276" w:lineRule="auto"/>
              <w:rPr>
                <w:rFonts w:ascii="Arial" w:hAnsi="Arial" w:cs="Arial"/>
                <w:color w:val="000000"/>
                <w:sz w:val="18"/>
                <w:szCs w:val="18"/>
              </w:rPr>
            </w:pPr>
            <w:r w:rsidRPr="000B6473">
              <w:rPr>
                <w:rFonts w:ascii="Arial" w:hAnsi="Arial" w:cs="Arial"/>
                <w:color w:val="000000"/>
                <w:sz w:val="18"/>
                <w:szCs w:val="18"/>
              </w:rPr>
              <w:t xml:space="preserve">Source: </w:t>
            </w:r>
            <w:r w:rsidRPr="000B6473">
              <w:rPr>
                <w:rFonts w:ascii="Arial" w:hAnsi="Arial" w:cs="Arial"/>
                <w:color w:val="000000" w:themeColor="text1"/>
                <w:sz w:val="18"/>
                <w:szCs w:val="18"/>
              </w:rPr>
              <w:t>Accountant</w:t>
            </w:r>
            <w:r w:rsidRPr="000B6473">
              <w:rPr>
                <w:rFonts w:ascii="Arial" w:hAnsi="Arial" w:cs="Arial"/>
                <w:color w:val="000000"/>
                <w:sz w:val="18"/>
                <w:szCs w:val="18"/>
              </w:rPr>
              <w:t xml:space="preserve"> in Bankruptcy (</w:t>
            </w:r>
            <w:proofErr w:type="spellStart"/>
            <w:r w:rsidRPr="000B6473">
              <w:rPr>
                <w:rFonts w:ascii="Arial" w:hAnsi="Arial" w:cs="Arial"/>
                <w:color w:val="000000"/>
                <w:sz w:val="18"/>
                <w:szCs w:val="18"/>
              </w:rPr>
              <w:t>AiB</w:t>
            </w:r>
            <w:proofErr w:type="spellEnd"/>
            <w:r w:rsidRPr="000B6473">
              <w:rPr>
                <w:rFonts w:ascii="Arial" w:hAnsi="Arial" w:cs="Arial"/>
                <w:color w:val="000000"/>
                <w:sz w:val="18"/>
                <w:szCs w:val="18"/>
              </w:rPr>
              <w:t xml:space="preserve">), </w:t>
            </w:r>
            <w:hyperlink r:id="rId35" w:history="1">
              <w:proofErr w:type="spellStart"/>
              <w:r w:rsidR="003D5600">
                <w:rPr>
                  <w:rStyle w:val="Hyperlink"/>
                  <w:rFonts w:ascii="Arial" w:hAnsi="Arial" w:cs="Arial"/>
                  <w:sz w:val="18"/>
                  <w:szCs w:val="18"/>
                </w:rPr>
                <w:t>AiB</w:t>
              </w:r>
              <w:proofErr w:type="spellEnd"/>
              <w:r w:rsidR="003D5600">
                <w:rPr>
                  <w:rStyle w:val="Hyperlink"/>
                  <w:rFonts w:ascii="Arial" w:hAnsi="Arial" w:cs="Arial"/>
                  <w:sz w:val="18"/>
                  <w:szCs w:val="18"/>
                </w:rPr>
                <w:t xml:space="preserve"> Quarterly Statistics – Q1 2014/15</w:t>
              </w:r>
            </w:hyperlink>
          </w:p>
          <w:p w:rsidR="00F37D5C" w:rsidRDefault="00F37D5C" w:rsidP="000B6473">
            <w:pPr>
              <w:spacing w:after="60" w:line="276" w:lineRule="auto"/>
              <w:rPr>
                <w:rFonts w:ascii="Arial" w:eastAsia="Arial Unicode MS" w:hAnsi="Arial" w:cs="Arial"/>
                <w:sz w:val="18"/>
                <w:szCs w:val="18"/>
              </w:rPr>
            </w:pPr>
            <w:r w:rsidRPr="000B6473">
              <w:rPr>
                <w:rFonts w:ascii="Arial" w:eastAsia="Arial Unicode MS" w:hAnsi="Arial" w:cs="Arial"/>
                <w:sz w:val="18"/>
                <w:szCs w:val="18"/>
              </w:rPr>
              <w:t xml:space="preserve">The </w:t>
            </w:r>
            <w:r w:rsidRPr="000B6473">
              <w:rPr>
                <w:rFonts w:ascii="Arial" w:hAnsi="Arial" w:cs="Arial"/>
                <w:color w:val="000000"/>
                <w:sz w:val="18"/>
                <w:szCs w:val="18"/>
              </w:rPr>
              <w:t>sequestration</w:t>
            </w:r>
            <w:r w:rsidRPr="000B6473">
              <w:rPr>
                <w:rFonts w:ascii="Arial" w:eastAsia="Arial Unicode MS" w:hAnsi="Arial" w:cs="Arial"/>
                <w:sz w:val="18"/>
                <w:szCs w:val="18"/>
              </w:rPr>
              <w:t xml:space="preserve"> figures </w:t>
            </w:r>
            <w:r w:rsidRPr="000B6473">
              <w:rPr>
                <w:rFonts w:ascii="Arial" w:hAnsi="Arial" w:cs="Arial"/>
                <w:color w:val="000000" w:themeColor="text1"/>
                <w:sz w:val="18"/>
                <w:szCs w:val="18"/>
              </w:rPr>
              <w:t>include</w:t>
            </w:r>
            <w:r w:rsidRPr="000B6473">
              <w:rPr>
                <w:rFonts w:ascii="Arial" w:eastAsia="Arial Unicode MS" w:hAnsi="Arial" w:cs="Arial"/>
                <w:sz w:val="18"/>
                <w:szCs w:val="18"/>
              </w:rPr>
              <w:t xml:space="preserve"> LILA (Low Income, Low Assets) cases.  These were introduced as a new route into bankruptcy under the Bankruptcy and Diligence </w:t>
            </w:r>
            <w:proofErr w:type="spellStart"/>
            <w:r w:rsidRPr="000B6473">
              <w:rPr>
                <w:rFonts w:ascii="Arial" w:eastAsia="Arial Unicode MS" w:hAnsi="Arial" w:cs="Arial"/>
                <w:sz w:val="18"/>
                <w:szCs w:val="18"/>
              </w:rPr>
              <w:t>etc</w:t>
            </w:r>
            <w:proofErr w:type="spellEnd"/>
            <w:r w:rsidRPr="000B6473">
              <w:rPr>
                <w:rFonts w:ascii="Arial" w:eastAsia="Arial Unicode MS" w:hAnsi="Arial" w:cs="Arial"/>
                <w:sz w:val="18"/>
                <w:szCs w:val="18"/>
              </w:rPr>
              <w:t xml:space="preserve"> (Scotland) Act 2007, with effect from 1 April 2008.</w:t>
            </w:r>
          </w:p>
          <w:p w:rsidR="00741B5A" w:rsidRDefault="00741B5A" w:rsidP="00741B5A">
            <w:pPr>
              <w:spacing w:after="60" w:line="276" w:lineRule="auto"/>
              <w:rPr>
                <w:rFonts w:ascii="Arial" w:hAnsi="Arial" w:cs="Arial"/>
                <w:color w:val="000000"/>
                <w:sz w:val="22"/>
                <w:szCs w:val="22"/>
              </w:rPr>
            </w:pPr>
            <w:r w:rsidRPr="000B6473">
              <w:rPr>
                <w:rFonts w:ascii="Arial" w:hAnsi="Arial" w:cs="Arial"/>
                <w:color w:val="000000" w:themeColor="text1"/>
                <w:sz w:val="18"/>
                <w:szCs w:val="18"/>
              </w:rPr>
              <w:t>See Ta</w:t>
            </w:r>
            <w:r>
              <w:rPr>
                <w:rFonts w:ascii="Arial" w:hAnsi="Arial" w:cs="Arial"/>
                <w:color w:val="000000" w:themeColor="text1"/>
                <w:sz w:val="18"/>
                <w:szCs w:val="18"/>
              </w:rPr>
              <w:t>ble 4</w:t>
            </w:r>
            <w:r w:rsidRPr="000B6473">
              <w:rPr>
                <w:rFonts w:ascii="Arial" w:hAnsi="Arial" w:cs="Arial"/>
                <w:color w:val="000000" w:themeColor="text1"/>
                <w:sz w:val="18"/>
                <w:szCs w:val="18"/>
              </w:rPr>
              <w:t xml:space="preserve"> of the </w:t>
            </w:r>
            <w:r w:rsidRPr="000B6473">
              <w:rPr>
                <w:rFonts w:ascii="Arial" w:hAnsi="Arial" w:cs="Arial"/>
                <w:color w:val="000000"/>
                <w:sz w:val="18"/>
                <w:szCs w:val="18"/>
              </w:rPr>
              <w:t xml:space="preserve">accompanying Excel file </w:t>
            </w:r>
            <w:r w:rsidRPr="000B6473">
              <w:rPr>
                <w:rFonts w:ascii="Arial" w:hAnsi="Arial" w:cs="Arial"/>
                <w:color w:val="000000" w:themeColor="text1"/>
                <w:sz w:val="18"/>
                <w:szCs w:val="18"/>
              </w:rPr>
              <w:t>for</w:t>
            </w:r>
            <w:r w:rsidRPr="000B6473">
              <w:rPr>
                <w:rFonts w:ascii="Arial" w:hAnsi="Arial" w:cs="Arial"/>
                <w:color w:val="000000"/>
                <w:sz w:val="18"/>
                <w:szCs w:val="18"/>
              </w:rPr>
              <w:t xml:space="preserve">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F37D5C" w:rsidRDefault="00F37D5C" w:rsidP="00F37D5C">
            <w:pPr>
              <w:spacing w:before="120"/>
              <w:rPr>
                <w:rFonts w:ascii="Arial" w:hAnsi="Arial" w:cs="Arial"/>
                <w:sz w:val="18"/>
                <w:szCs w:val="18"/>
              </w:rPr>
            </w:pPr>
            <w:r w:rsidRPr="00F37D5C">
              <w:rPr>
                <w:rFonts w:ascii="Arial" w:hAnsi="Arial" w:cs="Arial"/>
                <w:b/>
                <w:sz w:val="18"/>
                <w:szCs w:val="18"/>
              </w:rPr>
              <w:t>Sequestration</w:t>
            </w:r>
            <w:r w:rsidRPr="00F37D5C">
              <w:rPr>
                <w:rFonts w:ascii="Arial" w:hAnsi="Arial" w:cs="Arial"/>
                <w:sz w:val="18"/>
                <w:szCs w:val="18"/>
              </w:rPr>
              <w:t xml:space="preserve"> fulfils much the same role as b</w:t>
            </w:r>
            <w:r>
              <w:rPr>
                <w:rFonts w:ascii="Arial" w:hAnsi="Arial" w:cs="Arial"/>
                <w:sz w:val="18"/>
                <w:szCs w:val="18"/>
              </w:rPr>
              <w:t>ankruptcy in England and Wales.</w:t>
            </w:r>
          </w:p>
          <w:p w:rsidR="00F37D5C" w:rsidRDefault="00F37D5C" w:rsidP="00F37D5C">
            <w:pPr>
              <w:spacing w:before="120"/>
              <w:rPr>
                <w:rFonts w:ascii="Arial" w:hAnsi="Arial" w:cs="Arial"/>
                <w:sz w:val="18"/>
                <w:szCs w:val="18"/>
              </w:rPr>
            </w:pPr>
            <w:r w:rsidRPr="00F37D5C">
              <w:rPr>
                <w:rFonts w:ascii="Arial" w:hAnsi="Arial" w:cs="Arial"/>
                <w:sz w:val="18"/>
                <w:szCs w:val="18"/>
              </w:rPr>
              <w:t xml:space="preserve">In April 2008, the law was changed to offer a new route into sequestration for individuals with </w:t>
            </w:r>
            <w:r w:rsidRPr="00F37D5C">
              <w:rPr>
                <w:rFonts w:ascii="Arial" w:hAnsi="Arial" w:cs="Arial"/>
                <w:b/>
                <w:sz w:val="18"/>
                <w:szCs w:val="18"/>
              </w:rPr>
              <w:t>low income and low assets</w:t>
            </w:r>
            <w:r w:rsidRPr="00F37D5C">
              <w:rPr>
                <w:rFonts w:ascii="Arial" w:hAnsi="Arial" w:cs="Arial"/>
                <w:sz w:val="18"/>
                <w:szCs w:val="18"/>
              </w:rPr>
              <w:t xml:space="preserve"> (LILA), which resulted in a large increase in the number of </w:t>
            </w:r>
            <w:r w:rsidR="007C53E0">
              <w:rPr>
                <w:rFonts w:ascii="Arial" w:hAnsi="Arial" w:cs="Arial"/>
                <w:sz w:val="18"/>
                <w:szCs w:val="18"/>
              </w:rPr>
              <w:t>sequestrations</w:t>
            </w:r>
            <w:r>
              <w:rPr>
                <w:rFonts w:ascii="Arial" w:hAnsi="Arial" w:cs="Arial"/>
                <w:sz w:val="18"/>
                <w:szCs w:val="18"/>
              </w:rPr>
              <w:t xml:space="preserve"> in Scotland.</w:t>
            </w:r>
          </w:p>
          <w:p w:rsidR="00F37D5C" w:rsidRDefault="00F37D5C" w:rsidP="00F37D5C">
            <w:pPr>
              <w:spacing w:before="120"/>
              <w:rPr>
                <w:rFonts w:ascii="Arial" w:hAnsi="Arial" w:cs="Arial"/>
                <w:color w:val="000000"/>
                <w:sz w:val="22"/>
                <w:szCs w:val="22"/>
              </w:rPr>
            </w:pPr>
            <w:r w:rsidRPr="00F37D5C">
              <w:rPr>
                <w:rFonts w:ascii="Arial" w:hAnsi="Arial" w:cs="Arial"/>
                <w:b/>
                <w:sz w:val="18"/>
                <w:szCs w:val="18"/>
              </w:rPr>
              <w:t>Protected trust deeds</w:t>
            </w:r>
            <w:r w:rsidRPr="00F37D5C">
              <w:rPr>
                <w:rFonts w:ascii="Arial" w:hAnsi="Arial" w:cs="Arial"/>
                <w:sz w:val="18"/>
                <w:szCs w:val="18"/>
              </w:rPr>
              <w:t xml:space="preserve"> are voluntary arrangements in Scotland and fulfil much the same role as IVAs in England and Wales. However there are differences in the way they are set up and administered, meaning the figures shown here are not consistent with those provided for England and Wales or Northern Ireland.</w:t>
            </w:r>
          </w:p>
        </w:tc>
      </w:tr>
    </w:tbl>
    <w:p w:rsidR="00F37D5C" w:rsidRDefault="00F37D5C" w:rsidP="0074330A">
      <w:pPr>
        <w:spacing w:line="276" w:lineRule="auto"/>
        <w:rPr>
          <w:rFonts w:ascii="Arial" w:hAnsi="Arial" w:cs="Arial"/>
          <w:color w:val="000000"/>
          <w:sz w:val="22"/>
          <w:szCs w:val="22"/>
        </w:rPr>
      </w:pPr>
    </w:p>
    <w:p w:rsidR="00F37D5C" w:rsidRDefault="00F37D5C"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In Q</w:t>
      </w:r>
      <w:r w:rsidR="000C1BEC">
        <w:rPr>
          <w:rFonts w:ascii="Arial" w:hAnsi="Arial" w:cs="Arial"/>
          <w:color w:val="000000"/>
          <w:sz w:val="22"/>
          <w:szCs w:val="22"/>
        </w:rPr>
        <w:t>2 2014, there were 2,96</w:t>
      </w:r>
      <w:r w:rsidRPr="00C8419B">
        <w:rPr>
          <w:rFonts w:ascii="Arial" w:hAnsi="Arial" w:cs="Arial"/>
          <w:color w:val="000000"/>
          <w:sz w:val="22"/>
          <w:szCs w:val="22"/>
        </w:rPr>
        <w:t>8 individual insolvencies in Scotland</w:t>
      </w:r>
      <w:r w:rsidR="000C1BEC">
        <w:rPr>
          <w:rFonts w:ascii="Arial" w:hAnsi="Arial" w:cs="Arial"/>
          <w:color w:val="000000"/>
          <w:sz w:val="22"/>
          <w:szCs w:val="22"/>
        </w:rPr>
        <w:t xml:space="preserve"> (</w:t>
      </w:r>
      <w:r w:rsidR="00C63F39">
        <w:rPr>
          <w:rFonts w:ascii="Arial" w:hAnsi="Arial" w:cs="Arial"/>
          <w:color w:val="000000"/>
          <w:sz w:val="22"/>
          <w:szCs w:val="22"/>
        </w:rPr>
        <w:t xml:space="preserve">the </w:t>
      </w:r>
      <w:r w:rsidR="000C1BEC">
        <w:rPr>
          <w:rFonts w:ascii="Arial" w:hAnsi="Arial" w:cs="Arial"/>
          <w:color w:val="000000"/>
          <w:sz w:val="22"/>
          <w:szCs w:val="22"/>
        </w:rPr>
        <w:t>lowest level since Q4 2005) – 25.8</w:t>
      </w:r>
      <w:r w:rsidRPr="00C8419B">
        <w:rPr>
          <w:rFonts w:ascii="Arial" w:hAnsi="Arial" w:cs="Arial"/>
          <w:color w:val="000000"/>
          <w:sz w:val="22"/>
          <w:szCs w:val="22"/>
        </w:rPr>
        <w:t>% lower than the tot</w:t>
      </w:r>
      <w:r w:rsidR="000C1BEC">
        <w:rPr>
          <w:rFonts w:ascii="Arial" w:hAnsi="Arial" w:cs="Arial"/>
          <w:color w:val="000000"/>
          <w:sz w:val="22"/>
          <w:szCs w:val="22"/>
        </w:rPr>
        <w:t xml:space="preserve">al in </w:t>
      </w:r>
      <w:r w:rsidR="00C712AC">
        <w:rPr>
          <w:rFonts w:ascii="Arial" w:hAnsi="Arial" w:cs="Arial"/>
          <w:color w:val="000000"/>
          <w:sz w:val="22"/>
          <w:szCs w:val="22"/>
        </w:rPr>
        <w:t>April to June last year</w:t>
      </w:r>
      <w:r w:rsidRPr="00C8419B">
        <w:rPr>
          <w:rFonts w:ascii="Arial" w:hAnsi="Arial" w:cs="Arial"/>
          <w:color w:val="000000"/>
          <w:sz w:val="22"/>
          <w:szCs w:val="22"/>
        </w:rPr>
        <w:t xml:space="preserve"> and continu</w:t>
      </w:r>
      <w:r w:rsidR="00FC41CC" w:rsidRPr="00C8419B">
        <w:rPr>
          <w:rFonts w:ascii="Arial" w:hAnsi="Arial" w:cs="Arial"/>
          <w:color w:val="000000"/>
          <w:sz w:val="22"/>
          <w:szCs w:val="22"/>
        </w:rPr>
        <w:t>ing</w:t>
      </w:r>
      <w:r w:rsidRPr="00C8419B">
        <w:rPr>
          <w:rFonts w:ascii="Arial" w:hAnsi="Arial" w:cs="Arial"/>
          <w:color w:val="000000"/>
          <w:sz w:val="22"/>
          <w:szCs w:val="22"/>
        </w:rPr>
        <w:t xml:space="preserve"> the generally downwards trend seen since the beginning of 2012.</w:t>
      </w:r>
    </w:p>
    <w:p w:rsidR="000C1BEC" w:rsidRPr="00C8419B" w:rsidRDefault="000C1BEC"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The level of sequestrations has remained fairly level, fluctuating between 1,670 and 2,000 since Q3 2012.</w:t>
      </w:r>
    </w:p>
    <w:p w:rsidR="00FC5525" w:rsidRPr="00C8419B" w:rsidRDefault="00FC5525"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A new route into sequestration was introduced in Q2 2008. The Low</w:t>
      </w:r>
      <w:r w:rsidR="0015141C" w:rsidRPr="00C8419B">
        <w:rPr>
          <w:rFonts w:ascii="Arial" w:hAnsi="Arial" w:cs="Arial"/>
          <w:color w:val="000000"/>
          <w:sz w:val="22"/>
          <w:szCs w:val="22"/>
        </w:rPr>
        <w:t xml:space="preserve"> Income Low Asset (LILA) route wa</w:t>
      </w:r>
      <w:r w:rsidRPr="00C8419B">
        <w:rPr>
          <w:rFonts w:ascii="Arial" w:hAnsi="Arial" w:cs="Arial"/>
          <w:color w:val="000000"/>
          <w:sz w:val="22"/>
          <w:szCs w:val="22"/>
        </w:rPr>
        <w:t>s aimed at widening access to debt relief, and resulted in a large increase in the number of sequestrations. Since then, sequestrations have shown a generally downwards trend since the beginning of 2008 and recent totals are now approaching those levels seen before the introduction of LILA.</w:t>
      </w:r>
    </w:p>
    <w:p w:rsidR="00FC5525" w:rsidRPr="00C8419B" w:rsidRDefault="0015141C"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By</w:t>
      </w:r>
      <w:r w:rsidR="00FC5525" w:rsidRPr="00C8419B">
        <w:rPr>
          <w:rFonts w:ascii="Arial" w:hAnsi="Arial" w:cs="Arial"/>
          <w:color w:val="000000"/>
          <w:sz w:val="22"/>
          <w:szCs w:val="22"/>
        </w:rPr>
        <w:t xml:space="preserve"> comparison, the number of protected trust deeds has been </w:t>
      </w:r>
      <w:r w:rsidR="008142E6">
        <w:rPr>
          <w:rFonts w:ascii="Arial" w:hAnsi="Arial" w:cs="Arial"/>
          <w:color w:val="000000"/>
          <w:sz w:val="22"/>
          <w:szCs w:val="22"/>
        </w:rPr>
        <w:t>fairly</w:t>
      </w:r>
      <w:r w:rsidR="008142E6" w:rsidRPr="00C8419B">
        <w:rPr>
          <w:rFonts w:ascii="Arial" w:hAnsi="Arial" w:cs="Arial"/>
          <w:color w:val="000000"/>
          <w:sz w:val="22"/>
          <w:szCs w:val="22"/>
        </w:rPr>
        <w:t xml:space="preserve"> </w:t>
      </w:r>
      <w:r w:rsidR="00FC5525" w:rsidRPr="00C8419B">
        <w:rPr>
          <w:rFonts w:ascii="Arial" w:hAnsi="Arial" w:cs="Arial"/>
          <w:color w:val="000000"/>
          <w:sz w:val="22"/>
          <w:szCs w:val="22"/>
        </w:rPr>
        <w:t xml:space="preserve">stable since 2008, </w:t>
      </w:r>
      <w:r w:rsidRPr="00C8419B">
        <w:rPr>
          <w:rFonts w:ascii="Arial" w:hAnsi="Arial" w:cs="Arial"/>
          <w:color w:val="000000"/>
          <w:sz w:val="22"/>
          <w:szCs w:val="22"/>
        </w:rPr>
        <w:t xml:space="preserve">though </w:t>
      </w:r>
      <w:r w:rsidR="00FC5525" w:rsidRPr="00C8419B">
        <w:rPr>
          <w:rFonts w:ascii="Arial" w:hAnsi="Arial" w:cs="Arial"/>
          <w:color w:val="000000"/>
          <w:sz w:val="22"/>
          <w:szCs w:val="22"/>
        </w:rPr>
        <w:t>with a downwards trend in recent quarters. The number of pr</w:t>
      </w:r>
      <w:r w:rsidR="00B26D3B">
        <w:rPr>
          <w:rFonts w:ascii="Arial" w:hAnsi="Arial" w:cs="Arial"/>
          <w:color w:val="000000"/>
          <w:sz w:val="22"/>
          <w:szCs w:val="22"/>
        </w:rPr>
        <w:t>otected trust deeds in Q2</w:t>
      </w:r>
      <w:r w:rsidRPr="00C8419B">
        <w:rPr>
          <w:rFonts w:ascii="Arial" w:hAnsi="Arial" w:cs="Arial"/>
          <w:color w:val="000000"/>
          <w:sz w:val="22"/>
          <w:szCs w:val="22"/>
        </w:rPr>
        <w:t xml:space="preserve"> 2014 </w:t>
      </w:r>
      <w:r w:rsidR="000C23F4">
        <w:rPr>
          <w:rFonts w:ascii="Arial" w:hAnsi="Arial" w:cs="Arial"/>
          <w:color w:val="000000"/>
          <w:sz w:val="22"/>
          <w:szCs w:val="22"/>
        </w:rPr>
        <w:t xml:space="preserve">reached a new minimum. </w:t>
      </w:r>
    </w:p>
    <w:p w:rsidR="004E487E" w:rsidRDefault="004E487E" w:rsidP="0074330A">
      <w:pPr>
        <w:spacing w:line="276" w:lineRule="auto"/>
        <w:ind w:left="720"/>
        <w:rPr>
          <w:rFonts w:ascii="Arial" w:hAnsi="Arial" w:cs="Arial"/>
          <w:color w:val="000000"/>
          <w:sz w:val="22"/>
          <w:szCs w:val="22"/>
        </w:rPr>
      </w:pPr>
    </w:p>
    <w:p w:rsidR="004E487E" w:rsidRDefault="004E487E" w:rsidP="0074330A">
      <w:pPr>
        <w:spacing w:line="276" w:lineRule="auto"/>
        <w:ind w:left="720"/>
        <w:rPr>
          <w:rFonts w:ascii="Arial" w:hAnsi="Arial" w:cs="Arial"/>
          <w:color w:val="000000"/>
          <w:sz w:val="22"/>
          <w:szCs w:val="22"/>
        </w:rPr>
      </w:pPr>
    </w:p>
    <w:p w:rsidR="004E487E" w:rsidRPr="0074330A" w:rsidRDefault="004E487E" w:rsidP="0074330A">
      <w:pPr>
        <w:spacing w:line="276" w:lineRule="auto"/>
        <w:ind w:left="720"/>
        <w:rPr>
          <w:rFonts w:ascii="Arial" w:hAnsi="Arial" w:cs="Arial"/>
          <w:color w:val="000000"/>
          <w:sz w:val="22"/>
          <w:szCs w:val="22"/>
        </w:rPr>
      </w:pPr>
    </w:p>
    <w:p w:rsidR="0074330A" w:rsidRPr="00280723" w:rsidRDefault="006E4BFD" w:rsidP="0074330A">
      <w:pPr>
        <w:pageBreakBefore/>
        <w:spacing w:after="240"/>
        <w:rPr>
          <w:rFonts w:ascii="Arial" w:hAnsi="Arial" w:cs="Arial"/>
          <w:b/>
          <w:sz w:val="32"/>
          <w:szCs w:val="22"/>
        </w:rPr>
      </w:pPr>
      <w:r>
        <w:rPr>
          <w:rFonts w:ascii="Arial" w:hAnsi="Arial" w:cs="Arial"/>
          <w:b/>
          <w:sz w:val="32"/>
          <w:szCs w:val="22"/>
        </w:rPr>
        <w:lastRenderedPageBreak/>
        <w:t>5</w:t>
      </w:r>
      <w:r w:rsidR="00A0339B">
        <w:rPr>
          <w:rFonts w:ascii="Arial" w:hAnsi="Arial" w:cs="Arial"/>
          <w:b/>
          <w:sz w:val="32"/>
          <w:szCs w:val="22"/>
        </w:rPr>
        <w:t xml:space="preserve"> Insolvency</w:t>
      </w:r>
      <w:r w:rsidR="0074330A" w:rsidRPr="00280723">
        <w:rPr>
          <w:rFonts w:ascii="Arial" w:hAnsi="Arial" w:cs="Arial"/>
          <w:b/>
          <w:sz w:val="32"/>
          <w:szCs w:val="22"/>
        </w:rPr>
        <w:t xml:space="preserve"> in </w:t>
      </w:r>
      <w:r w:rsidR="0074330A">
        <w:rPr>
          <w:rFonts w:ascii="Arial" w:hAnsi="Arial" w:cs="Arial"/>
          <w:b/>
          <w:sz w:val="32"/>
          <w:szCs w:val="22"/>
        </w:rPr>
        <w:t>Northern Ireland</w:t>
      </w:r>
      <w:r w:rsidR="0074330A" w:rsidRPr="00280723">
        <w:rPr>
          <w:rFonts w:ascii="Arial" w:hAnsi="Arial" w:cs="Arial"/>
          <w:b/>
          <w:sz w:val="32"/>
          <w:szCs w:val="22"/>
        </w:rPr>
        <w:t xml:space="preserve"> </w:t>
      </w:r>
    </w:p>
    <w:p w:rsidR="0074330A" w:rsidRPr="00280723" w:rsidRDefault="006E4BFD" w:rsidP="0074330A">
      <w:pPr>
        <w:spacing w:after="240"/>
        <w:rPr>
          <w:rFonts w:ascii="Arial" w:hAnsi="Arial" w:cs="Arial"/>
          <w:b/>
          <w:sz w:val="28"/>
          <w:szCs w:val="22"/>
        </w:rPr>
      </w:pPr>
      <w:r>
        <w:rPr>
          <w:rFonts w:ascii="Arial" w:hAnsi="Arial" w:cs="Arial"/>
          <w:b/>
          <w:sz w:val="28"/>
          <w:szCs w:val="22"/>
        </w:rPr>
        <w:t>5</w:t>
      </w:r>
      <w:r w:rsidR="00A0339B">
        <w:rPr>
          <w:rFonts w:ascii="Arial" w:hAnsi="Arial" w:cs="Arial"/>
          <w:b/>
          <w:sz w:val="28"/>
          <w:szCs w:val="22"/>
        </w:rPr>
        <w:t>.1 Company insolvency</w:t>
      </w:r>
    </w:p>
    <w:p w:rsidR="006363F7" w:rsidRPr="00807A93" w:rsidRDefault="00277B5E" w:rsidP="00807A93">
      <w:pPr>
        <w:pStyle w:val="BodyText"/>
        <w:tabs>
          <w:tab w:val="left" w:pos="450"/>
        </w:tabs>
        <w:spacing w:before="120" w:line="276" w:lineRule="auto"/>
        <w:rPr>
          <w:rFonts w:ascii="Arial" w:hAnsi="Arial" w:cs="Arial"/>
          <w:color w:val="000000"/>
          <w:sz w:val="22"/>
          <w:szCs w:val="22"/>
        </w:rPr>
      </w:pPr>
      <w:r w:rsidRPr="00807A93">
        <w:rPr>
          <w:rFonts w:ascii="Arial" w:hAnsi="Arial" w:cs="Arial"/>
          <w:color w:val="000000"/>
          <w:sz w:val="22"/>
          <w:szCs w:val="22"/>
        </w:rPr>
        <w:t xml:space="preserve">Company insolvency in </w:t>
      </w:r>
      <w:r w:rsidR="00570541" w:rsidRPr="00807A93">
        <w:rPr>
          <w:rFonts w:ascii="Arial" w:hAnsi="Arial" w:cs="Arial"/>
          <w:color w:val="000000"/>
          <w:sz w:val="22"/>
          <w:szCs w:val="22"/>
        </w:rPr>
        <w:t xml:space="preserve">Northern Ireland </w:t>
      </w:r>
      <w:r w:rsidRPr="00807A93">
        <w:rPr>
          <w:rFonts w:ascii="Arial" w:hAnsi="Arial" w:cs="Arial"/>
          <w:color w:val="000000"/>
          <w:sz w:val="22"/>
          <w:szCs w:val="22"/>
        </w:rPr>
        <w:t>is governed by</w:t>
      </w:r>
      <w:r w:rsidR="00FC41CC" w:rsidRPr="00807A93">
        <w:rPr>
          <w:rFonts w:ascii="Arial" w:hAnsi="Arial" w:cs="Arial"/>
          <w:color w:val="000000"/>
          <w:sz w:val="22"/>
          <w:szCs w:val="22"/>
        </w:rPr>
        <w:t xml:space="preserve"> separate, but</w:t>
      </w:r>
      <w:r w:rsidRPr="00807A93">
        <w:rPr>
          <w:rFonts w:ascii="Arial" w:hAnsi="Arial" w:cs="Arial"/>
          <w:color w:val="000000"/>
          <w:sz w:val="22"/>
          <w:szCs w:val="22"/>
        </w:rPr>
        <w:t xml:space="preserve"> </w:t>
      </w:r>
      <w:r w:rsidR="00570541" w:rsidRPr="00807A93">
        <w:rPr>
          <w:rFonts w:ascii="Arial" w:hAnsi="Arial" w:cs="Arial"/>
          <w:color w:val="000000"/>
          <w:sz w:val="22"/>
          <w:szCs w:val="22"/>
        </w:rPr>
        <w:t>broadly similar</w:t>
      </w:r>
      <w:r w:rsidR="00FC41CC" w:rsidRPr="00807A93">
        <w:rPr>
          <w:rFonts w:ascii="Arial" w:hAnsi="Arial" w:cs="Arial"/>
          <w:color w:val="000000"/>
          <w:sz w:val="22"/>
          <w:szCs w:val="22"/>
        </w:rPr>
        <w:t>,</w:t>
      </w:r>
      <w:r w:rsidR="00570541" w:rsidRPr="00807A93">
        <w:rPr>
          <w:rFonts w:ascii="Arial" w:hAnsi="Arial" w:cs="Arial"/>
          <w:color w:val="000000"/>
          <w:sz w:val="22"/>
          <w:szCs w:val="22"/>
        </w:rPr>
        <w:t xml:space="preserve"> </w:t>
      </w:r>
      <w:r w:rsidRPr="00807A93">
        <w:rPr>
          <w:rFonts w:ascii="Arial" w:hAnsi="Arial" w:cs="Arial"/>
          <w:color w:val="000000"/>
          <w:sz w:val="22"/>
          <w:szCs w:val="22"/>
        </w:rPr>
        <w:t xml:space="preserve">legislation </w:t>
      </w:r>
      <w:r w:rsidR="009B4241" w:rsidRPr="00807A93">
        <w:rPr>
          <w:rFonts w:ascii="Arial" w:hAnsi="Arial" w:cs="Arial"/>
          <w:color w:val="000000"/>
          <w:sz w:val="22"/>
          <w:szCs w:val="22"/>
        </w:rPr>
        <w:t>to</w:t>
      </w:r>
      <w:r w:rsidRPr="00807A93">
        <w:rPr>
          <w:rFonts w:ascii="Arial" w:hAnsi="Arial" w:cs="Arial"/>
          <w:color w:val="000000"/>
          <w:sz w:val="22"/>
          <w:szCs w:val="22"/>
        </w:rPr>
        <w:t xml:space="preserve"> England and Wales, </w:t>
      </w:r>
      <w:r w:rsidR="00FC41CC" w:rsidRPr="00807A93">
        <w:rPr>
          <w:rFonts w:ascii="Arial" w:hAnsi="Arial" w:cs="Arial"/>
          <w:color w:val="000000"/>
          <w:sz w:val="22"/>
          <w:szCs w:val="22"/>
        </w:rPr>
        <w:t xml:space="preserve">and so </w:t>
      </w:r>
      <w:r w:rsidR="008142E6">
        <w:rPr>
          <w:rFonts w:ascii="Arial" w:hAnsi="Arial" w:cs="Arial"/>
          <w:color w:val="000000"/>
          <w:sz w:val="22"/>
          <w:szCs w:val="22"/>
        </w:rPr>
        <w:t xml:space="preserve">figures </w:t>
      </w:r>
      <w:r w:rsidR="00FC41CC" w:rsidRPr="00807A93">
        <w:rPr>
          <w:rFonts w:ascii="Arial" w:hAnsi="Arial" w:cs="Arial"/>
          <w:color w:val="000000"/>
          <w:sz w:val="22"/>
          <w:szCs w:val="22"/>
        </w:rPr>
        <w:t>are presented separately.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277B5E" w:rsidTr="000076CB">
        <w:tc>
          <w:tcPr>
            <w:tcW w:w="5353" w:type="dxa"/>
          </w:tcPr>
          <w:p w:rsidR="00277B5E" w:rsidRPr="00B60F95" w:rsidRDefault="00277B5E" w:rsidP="00807A93">
            <w:pPr>
              <w:tabs>
                <w:tab w:val="left" w:pos="965"/>
              </w:tabs>
              <w:spacing w:before="120" w:line="276" w:lineRule="auto"/>
              <w:jc w:val="center"/>
              <w:rPr>
                <w:rFonts w:ascii="Arial" w:hAnsi="Arial" w:cs="Arial"/>
                <w:color w:val="000000"/>
                <w:sz w:val="22"/>
                <w:szCs w:val="22"/>
              </w:rPr>
            </w:pPr>
            <w:r>
              <w:rPr>
                <w:rFonts w:ascii="Arial" w:hAnsi="Arial" w:cs="Arial"/>
                <w:b/>
                <w:color w:val="000000"/>
                <w:sz w:val="22"/>
                <w:szCs w:val="22"/>
              </w:rPr>
              <w:t xml:space="preserve">Figure </w:t>
            </w:r>
            <w:r w:rsidR="00791A86">
              <w:rPr>
                <w:rFonts w:ascii="Arial" w:hAnsi="Arial" w:cs="Arial"/>
                <w:b/>
                <w:color w:val="000000"/>
                <w:sz w:val="22"/>
                <w:szCs w:val="22"/>
              </w:rPr>
              <w:t>15</w:t>
            </w:r>
            <w:r w:rsidRPr="00B60F95">
              <w:rPr>
                <w:rFonts w:ascii="Arial" w:hAnsi="Arial" w:cs="Arial"/>
                <w:b/>
                <w:color w:val="000000"/>
                <w:sz w:val="22"/>
                <w:szCs w:val="22"/>
              </w:rPr>
              <w:t xml:space="preserve">: </w:t>
            </w:r>
            <w:r>
              <w:rPr>
                <w:rFonts w:ascii="Arial" w:hAnsi="Arial" w:cs="Arial"/>
                <w:b/>
                <w:color w:val="000000"/>
                <w:sz w:val="22"/>
                <w:szCs w:val="22"/>
              </w:rPr>
              <w:t xml:space="preserve">Company </w:t>
            </w:r>
            <w:r w:rsidR="00791A86">
              <w:rPr>
                <w:rFonts w:ascii="Arial" w:hAnsi="Arial" w:cs="Arial"/>
                <w:b/>
                <w:color w:val="000000"/>
                <w:sz w:val="22"/>
                <w:szCs w:val="22"/>
              </w:rPr>
              <w:t>l</w:t>
            </w:r>
            <w:r>
              <w:rPr>
                <w:rFonts w:ascii="Arial" w:hAnsi="Arial" w:cs="Arial"/>
                <w:b/>
                <w:color w:val="000000"/>
                <w:sz w:val="22"/>
                <w:szCs w:val="22"/>
              </w:rPr>
              <w:t>iquidations in Northern Ireland</w:t>
            </w:r>
            <w:r w:rsidRPr="00B60F95">
              <w:rPr>
                <w:rFonts w:ascii="Arial" w:hAnsi="Arial" w:cs="Arial"/>
                <w:b/>
                <w:color w:val="000000"/>
                <w:sz w:val="22"/>
                <w:szCs w:val="22"/>
              </w:rPr>
              <w:t xml:space="preserve"> </w:t>
            </w:r>
            <w:r w:rsidR="006E4BFD">
              <w:rPr>
                <w:rFonts w:ascii="Arial" w:hAnsi="Arial" w:cs="Arial"/>
                <w:b/>
                <w:color w:val="000000"/>
                <w:sz w:val="22"/>
                <w:szCs w:val="22"/>
              </w:rPr>
              <w:t xml:space="preserve">                         </w:t>
            </w:r>
            <w:r w:rsidRPr="00B60F95">
              <w:rPr>
                <w:rFonts w:ascii="Arial" w:hAnsi="Arial" w:cs="Arial"/>
                <w:color w:val="000000"/>
                <w:sz w:val="22"/>
                <w:szCs w:val="22"/>
              </w:rPr>
              <w:t>(</w:t>
            </w:r>
            <w:r w:rsidR="00AA4F9A">
              <w:rPr>
                <w:rFonts w:ascii="Arial" w:hAnsi="Arial" w:cs="Arial"/>
                <w:color w:val="000000"/>
                <w:sz w:val="22"/>
                <w:szCs w:val="22"/>
              </w:rPr>
              <w:t xml:space="preserve">quarterly data, </w:t>
            </w:r>
            <w:r>
              <w:rPr>
                <w:rFonts w:ascii="Arial" w:hAnsi="Arial" w:cs="Arial"/>
                <w:color w:val="000000"/>
                <w:sz w:val="22"/>
                <w:szCs w:val="22"/>
              </w:rPr>
              <w:t xml:space="preserve">not </w:t>
            </w:r>
            <w:r w:rsidRPr="00B60F95">
              <w:rPr>
                <w:rFonts w:ascii="Arial" w:hAnsi="Arial" w:cs="Arial"/>
                <w:color w:val="000000"/>
                <w:sz w:val="22"/>
                <w:szCs w:val="22"/>
              </w:rPr>
              <w:t>seasonally adjusted)</w:t>
            </w:r>
          </w:p>
          <w:p w:rsidR="00277B5E" w:rsidRPr="008538AD" w:rsidRDefault="00335737" w:rsidP="00277B5E">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1C9306F6" wp14:editId="4F7EC7E9">
                  <wp:extent cx="4657725" cy="3314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57725" cy="3314700"/>
                          </a:xfrm>
                          <a:prstGeom prst="rect">
                            <a:avLst/>
                          </a:prstGeom>
                          <a:noFill/>
                          <a:ln>
                            <a:noFill/>
                          </a:ln>
                        </pic:spPr>
                      </pic:pic>
                    </a:graphicData>
                  </a:graphic>
                </wp:inline>
              </w:drawing>
            </w:r>
          </w:p>
          <w:p w:rsidR="00277B5E" w:rsidRPr="009B4241" w:rsidRDefault="00277B5E" w:rsidP="00955D6B">
            <w:pPr>
              <w:spacing w:before="60" w:after="60"/>
              <w:rPr>
                <w:rFonts w:ascii="Arial" w:eastAsia="Arial Unicode MS" w:hAnsi="Arial" w:cs="Arial"/>
                <w:sz w:val="18"/>
                <w:szCs w:val="18"/>
              </w:rPr>
            </w:pPr>
            <w:r w:rsidRPr="009B4241">
              <w:rPr>
                <w:rFonts w:ascii="Arial" w:eastAsia="Arial Unicode MS" w:hAnsi="Arial" w:cs="Arial"/>
                <w:sz w:val="18"/>
                <w:szCs w:val="18"/>
              </w:rPr>
              <w:t>Source</w:t>
            </w:r>
            <w:r w:rsidR="009B4241" w:rsidRPr="009B4241">
              <w:rPr>
                <w:rFonts w:ascii="Arial" w:eastAsia="Arial Unicode MS" w:hAnsi="Arial" w:cs="Arial"/>
                <w:sz w:val="18"/>
                <w:szCs w:val="18"/>
              </w:rPr>
              <w:t>s:</w:t>
            </w:r>
            <w:r w:rsidRPr="009B4241">
              <w:rPr>
                <w:rFonts w:ascii="Arial" w:eastAsia="Arial Unicode MS" w:hAnsi="Arial" w:cs="Arial"/>
                <w:sz w:val="18"/>
                <w:szCs w:val="18"/>
              </w:rPr>
              <w:t xml:space="preserve"> Department for Enterprise, Trade a</w:t>
            </w:r>
            <w:r w:rsidR="009B4241" w:rsidRPr="009B4241">
              <w:rPr>
                <w:rFonts w:ascii="Arial" w:eastAsia="Arial Unicode MS" w:hAnsi="Arial" w:cs="Arial"/>
                <w:sz w:val="18"/>
                <w:szCs w:val="18"/>
              </w:rPr>
              <w:t>nd Investment, Northern Ireland;</w:t>
            </w:r>
            <w:r w:rsidR="009B4241">
              <w:rPr>
                <w:rFonts w:ascii="Arial" w:eastAsia="Arial Unicode MS" w:hAnsi="Arial" w:cs="Arial"/>
                <w:sz w:val="18"/>
                <w:szCs w:val="18"/>
              </w:rPr>
              <w:t xml:space="preserve"> </w:t>
            </w:r>
            <w:r w:rsidRPr="009B4241">
              <w:rPr>
                <w:rFonts w:ascii="Arial" w:eastAsia="Arial Unicode MS" w:hAnsi="Arial" w:cs="Arial"/>
                <w:sz w:val="18"/>
                <w:szCs w:val="18"/>
              </w:rPr>
              <w:t>Companies House</w:t>
            </w:r>
            <w:r w:rsidR="009B4241" w:rsidRPr="009B4241">
              <w:rPr>
                <w:rFonts w:ascii="Arial" w:eastAsia="Arial Unicode MS" w:hAnsi="Arial" w:cs="Arial"/>
                <w:sz w:val="18"/>
                <w:szCs w:val="18"/>
              </w:rPr>
              <w:t>.</w:t>
            </w:r>
          </w:p>
          <w:p w:rsidR="00277B5E" w:rsidRPr="00277B5E" w:rsidRDefault="00277B5E" w:rsidP="00955D6B">
            <w:pPr>
              <w:spacing w:before="60" w:after="60"/>
              <w:rPr>
                <w:rFonts w:ascii="Arial" w:hAnsi="Arial" w:cs="Arial"/>
                <w:color w:val="000000"/>
                <w:sz w:val="20"/>
                <w:szCs w:val="20"/>
              </w:rPr>
            </w:pPr>
            <w:r w:rsidRPr="009B4241">
              <w:rPr>
                <w:rFonts w:ascii="Arial" w:eastAsia="Arial Unicode MS" w:hAnsi="Arial" w:cs="Arial"/>
                <w:sz w:val="18"/>
                <w:szCs w:val="18"/>
              </w:rPr>
              <w:t>See Table 6 of the accompanying Excel file for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6E4BFD" w:rsidRPr="006E4BFD" w:rsidRDefault="00E80A91" w:rsidP="00E80A91">
            <w:pPr>
              <w:pStyle w:val="BodyText"/>
              <w:tabs>
                <w:tab w:val="left" w:pos="450"/>
              </w:tabs>
              <w:spacing w:before="120" w:after="0" w:line="276" w:lineRule="auto"/>
              <w:rPr>
                <w:rFonts w:ascii="Arial" w:hAnsi="Arial" w:cs="Arial"/>
                <w:sz w:val="18"/>
                <w:szCs w:val="18"/>
              </w:rPr>
            </w:pPr>
            <w:r>
              <w:rPr>
                <w:rFonts w:ascii="Arial" w:hAnsi="Arial" w:cs="Arial"/>
                <w:sz w:val="18"/>
                <w:szCs w:val="18"/>
              </w:rPr>
              <w:t>See section 2 (company insolvency in England and Wales) for further information.</w:t>
            </w:r>
          </w:p>
        </w:tc>
      </w:tr>
    </w:tbl>
    <w:p w:rsidR="00277B5E" w:rsidRDefault="00277B5E" w:rsidP="00397878">
      <w:pPr>
        <w:spacing w:after="200" w:line="276" w:lineRule="auto"/>
        <w:rPr>
          <w:rFonts w:ascii="Arial" w:eastAsiaTheme="minorHAnsi" w:hAnsi="Arial" w:cs="Arial"/>
          <w:sz w:val="22"/>
          <w:szCs w:val="22"/>
        </w:rPr>
      </w:pPr>
    </w:p>
    <w:p w:rsidR="00277B5E" w:rsidRPr="00807A93" w:rsidRDefault="00932C2A" w:rsidP="00807A93">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There were 75</w:t>
      </w:r>
      <w:r w:rsidR="00277B5E" w:rsidRPr="00807A93">
        <w:rPr>
          <w:rFonts w:ascii="Arial" w:hAnsi="Arial" w:cs="Arial"/>
          <w:color w:val="000000"/>
          <w:sz w:val="22"/>
          <w:szCs w:val="22"/>
        </w:rPr>
        <w:t xml:space="preserve"> company liquidations</w:t>
      </w:r>
      <w:r w:rsidR="00955D6B" w:rsidRPr="00807A93">
        <w:rPr>
          <w:rFonts w:ascii="Arial" w:hAnsi="Arial" w:cs="Arial"/>
          <w:color w:val="000000"/>
          <w:sz w:val="22"/>
          <w:szCs w:val="22"/>
        </w:rPr>
        <w:t xml:space="preserve"> </w:t>
      </w:r>
      <w:r>
        <w:rPr>
          <w:rFonts w:ascii="Arial" w:hAnsi="Arial" w:cs="Arial"/>
          <w:color w:val="000000"/>
          <w:sz w:val="22"/>
          <w:szCs w:val="22"/>
        </w:rPr>
        <w:t>in Northern Ireland in the second</w:t>
      </w:r>
      <w:r w:rsidR="00955D6B" w:rsidRPr="00807A93">
        <w:rPr>
          <w:rFonts w:ascii="Arial" w:hAnsi="Arial" w:cs="Arial"/>
          <w:color w:val="000000"/>
          <w:sz w:val="22"/>
          <w:szCs w:val="22"/>
        </w:rPr>
        <w:t xml:space="preserve"> quarter of 2014,</w:t>
      </w:r>
      <w:r>
        <w:rPr>
          <w:rFonts w:ascii="Arial" w:hAnsi="Arial" w:cs="Arial"/>
          <w:color w:val="000000"/>
          <w:sz w:val="22"/>
          <w:szCs w:val="22"/>
        </w:rPr>
        <w:t xml:space="preserve"> 28</w:t>
      </w:r>
      <w:r w:rsidR="00277B5E" w:rsidRPr="00807A93">
        <w:rPr>
          <w:rFonts w:ascii="Arial" w:hAnsi="Arial" w:cs="Arial"/>
          <w:color w:val="000000"/>
          <w:sz w:val="22"/>
          <w:szCs w:val="22"/>
        </w:rPr>
        <w:t>.</w:t>
      </w:r>
      <w:r>
        <w:rPr>
          <w:rFonts w:ascii="Arial" w:hAnsi="Arial" w:cs="Arial"/>
          <w:color w:val="000000"/>
          <w:sz w:val="22"/>
          <w:szCs w:val="22"/>
        </w:rPr>
        <w:t>6% less</w:t>
      </w:r>
      <w:r w:rsidR="00277B5E" w:rsidRPr="00807A93">
        <w:rPr>
          <w:rFonts w:ascii="Arial" w:hAnsi="Arial" w:cs="Arial"/>
          <w:color w:val="000000"/>
          <w:sz w:val="22"/>
          <w:szCs w:val="22"/>
        </w:rPr>
        <w:t xml:space="preserve"> than the same quarter a year ago.</w:t>
      </w:r>
      <w:r w:rsidR="00955D6B" w:rsidRPr="00807A93">
        <w:rPr>
          <w:rFonts w:ascii="Arial" w:hAnsi="Arial" w:cs="Arial"/>
          <w:color w:val="000000"/>
          <w:sz w:val="22"/>
          <w:szCs w:val="22"/>
        </w:rPr>
        <w:t xml:space="preserve"> </w:t>
      </w:r>
      <w:r>
        <w:rPr>
          <w:rFonts w:ascii="Arial" w:hAnsi="Arial" w:cs="Arial"/>
          <w:color w:val="000000"/>
          <w:sz w:val="22"/>
          <w:szCs w:val="22"/>
        </w:rPr>
        <w:t>Of these, 52</w:t>
      </w:r>
      <w:r w:rsidR="00277B5E" w:rsidRPr="00807A93">
        <w:rPr>
          <w:rFonts w:ascii="Arial" w:hAnsi="Arial" w:cs="Arial"/>
          <w:color w:val="000000"/>
          <w:sz w:val="22"/>
          <w:szCs w:val="22"/>
        </w:rPr>
        <w:t xml:space="preserve"> </w:t>
      </w:r>
      <w:r>
        <w:rPr>
          <w:rFonts w:ascii="Arial" w:hAnsi="Arial" w:cs="Arial"/>
          <w:color w:val="000000"/>
          <w:sz w:val="22"/>
          <w:szCs w:val="22"/>
        </w:rPr>
        <w:t>were compulsory liquidations (down</w:t>
      </w:r>
      <w:r w:rsidR="00277B5E" w:rsidRPr="00807A93">
        <w:rPr>
          <w:rFonts w:ascii="Arial" w:hAnsi="Arial" w:cs="Arial"/>
          <w:color w:val="000000"/>
          <w:sz w:val="22"/>
          <w:szCs w:val="22"/>
        </w:rPr>
        <w:t xml:space="preserve"> </w:t>
      </w:r>
      <w:r>
        <w:rPr>
          <w:rFonts w:ascii="Arial" w:hAnsi="Arial" w:cs="Arial"/>
          <w:color w:val="000000"/>
          <w:sz w:val="22"/>
          <w:szCs w:val="22"/>
        </w:rPr>
        <w:t>21.2</w:t>
      </w:r>
      <w:r w:rsidR="00277B5E" w:rsidRPr="00807A93">
        <w:rPr>
          <w:rFonts w:ascii="Arial" w:hAnsi="Arial" w:cs="Arial"/>
          <w:color w:val="000000"/>
          <w:sz w:val="22"/>
          <w:szCs w:val="22"/>
        </w:rPr>
        <w:t>% on the same quarter la</w:t>
      </w:r>
      <w:r w:rsidR="00955D6B" w:rsidRPr="00807A93">
        <w:rPr>
          <w:rFonts w:ascii="Arial" w:hAnsi="Arial" w:cs="Arial"/>
          <w:color w:val="000000"/>
          <w:sz w:val="22"/>
          <w:szCs w:val="22"/>
        </w:rPr>
        <w:t xml:space="preserve">st year), and </w:t>
      </w:r>
      <w:r>
        <w:rPr>
          <w:rFonts w:ascii="Arial" w:hAnsi="Arial" w:cs="Arial"/>
          <w:color w:val="000000"/>
          <w:sz w:val="22"/>
          <w:szCs w:val="22"/>
        </w:rPr>
        <w:t>2</w:t>
      </w:r>
      <w:r w:rsidR="00277B5E" w:rsidRPr="00807A93">
        <w:rPr>
          <w:rFonts w:ascii="Arial" w:hAnsi="Arial" w:cs="Arial"/>
          <w:color w:val="000000"/>
          <w:sz w:val="22"/>
          <w:szCs w:val="22"/>
        </w:rPr>
        <w:t xml:space="preserve">3 </w:t>
      </w:r>
      <w:r w:rsidR="00955D6B" w:rsidRPr="00807A93">
        <w:rPr>
          <w:rFonts w:ascii="Arial" w:hAnsi="Arial" w:cs="Arial"/>
          <w:color w:val="000000"/>
          <w:sz w:val="22"/>
          <w:szCs w:val="22"/>
        </w:rPr>
        <w:t xml:space="preserve">were </w:t>
      </w:r>
      <w:r w:rsidR="00277B5E" w:rsidRPr="00807A93">
        <w:rPr>
          <w:rFonts w:ascii="Arial" w:hAnsi="Arial" w:cs="Arial"/>
          <w:color w:val="000000"/>
          <w:sz w:val="22"/>
          <w:szCs w:val="22"/>
        </w:rPr>
        <w:t>creditors’</w:t>
      </w:r>
      <w:r w:rsidR="00A0339B" w:rsidRPr="00807A93">
        <w:rPr>
          <w:rFonts w:ascii="Arial" w:hAnsi="Arial" w:cs="Arial"/>
          <w:color w:val="000000"/>
          <w:sz w:val="22"/>
          <w:szCs w:val="22"/>
        </w:rPr>
        <w:t xml:space="preserve"> </w:t>
      </w:r>
      <w:r w:rsidR="00277B5E" w:rsidRPr="00807A93">
        <w:rPr>
          <w:rFonts w:ascii="Arial" w:hAnsi="Arial" w:cs="Arial"/>
          <w:color w:val="000000"/>
          <w:sz w:val="22"/>
          <w:szCs w:val="22"/>
        </w:rPr>
        <w:t>voluntary liquidations (</w:t>
      </w:r>
      <w:r w:rsidR="00955D6B" w:rsidRPr="00807A93">
        <w:rPr>
          <w:rFonts w:ascii="Arial" w:hAnsi="Arial" w:cs="Arial"/>
          <w:color w:val="000000"/>
          <w:sz w:val="22"/>
          <w:szCs w:val="22"/>
        </w:rPr>
        <w:t xml:space="preserve">CVLs, </w:t>
      </w:r>
      <w:r>
        <w:rPr>
          <w:rFonts w:ascii="Arial" w:hAnsi="Arial" w:cs="Arial"/>
          <w:color w:val="000000"/>
          <w:sz w:val="22"/>
          <w:szCs w:val="22"/>
        </w:rPr>
        <w:t>down 41</w:t>
      </w:r>
      <w:r w:rsidR="008142E6">
        <w:rPr>
          <w:rFonts w:ascii="Arial" w:hAnsi="Arial" w:cs="Arial"/>
          <w:color w:val="000000"/>
          <w:sz w:val="22"/>
          <w:szCs w:val="22"/>
        </w:rPr>
        <w:t>.0</w:t>
      </w:r>
      <w:r w:rsidR="00277B5E" w:rsidRPr="00807A93">
        <w:rPr>
          <w:rFonts w:ascii="Arial" w:hAnsi="Arial" w:cs="Arial"/>
          <w:color w:val="000000"/>
          <w:sz w:val="22"/>
          <w:szCs w:val="22"/>
        </w:rPr>
        <w:t>% on the same quarter last year).</w:t>
      </w:r>
    </w:p>
    <w:p w:rsidR="00955D6B" w:rsidRPr="00807A93" w:rsidRDefault="00955D6B" w:rsidP="00807A93">
      <w:pPr>
        <w:pStyle w:val="BodyText"/>
        <w:tabs>
          <w:tab w:val="left" w:pos="450"/>
        </w:tabs>
        <w:spacing w:before="120" w:after="0" w:line="276" w:lineRule="auto"/>
        <w:rPr>
          <w:rFonts w:ascii="Arial" w:hAnsi="Arial" w:cs="Arial"/>
          <w:color w:val="000000"/>
          <w:sz w:val="22"/>
          <w:szCs w:val="22"/>
        </w:rPr>
      </w:pPr>
      <w:r w:rsidRPr="00807A93">
        <w:rPr>
          <w:rFonts w:ascii="Arial" w:hAnsi="Arial" w:cs="Arial"/>
          <w:color w:val="000000"/>
          <w:sz w:val="22"/>
          <w:szCs w:val="22"/>
        </w:rPr>
        <w:t>The number of CVLs in Northern Ireland increased between 2007 and 2010, but has been fairly stable since then. The number of compulsory liquidations has been more volatile.</w:t>
      </w:r>
    </w:p>
    <w:p w:rsidR="00955D6B" w:rsidRDefault="00955D6B" w:rsidP="00955D6B">
      <w:pPr>
        <w:spacing w:after="200" w:line="276" w:lineRule="auto"/>
        <w:rPr>
          <w:rFonts w:ascii="Arial" w:eastAsiaTheme="minorHAnsi" w:hAnsi="Arial" w:cs="Arial"/>
          <w:sz w:val="22"/>
          <w:szCs w:val="22"/>
        </w:rPr>
      </w:pPr>
    </w:p>
    <w:p w:rsidR="00277B5E" w:rsidRDefault="006E4BFD" w:rsidP="00277B5E">
      <w:pPr>
        <w:pageBreakBefore/>
        <w:spacing w:after="240"/>
        <w:rPr>
          <w:rFonts w:ascii="Arial" w:hAnsi="Arial" w:cs="Arial"/>
          <w:b/>
          <w:sz w:val="28"/>
          <w:szCs w:val="22"/>
        </w:rPr>
      </w:pPr>
      <w:r>
        <w:rPr>
          <w:rFonts w:ascii="Arial" w:hAnsi="Arial" w:cs="Arial"/>
          <w:b/>
          <w:sz w:val="28"/>
          <w:szCs w:val="22"/>
        </w:rPr>
        <w:lastRenderedPageBreak/>
        <w:t>5</w:t>
      </w:r>
      <w:r w:rsidR="00277B5E" w:rsidRPr="00280723">
        <w:rPr>
          <w:rFonts w:ascii="Arial" w:hAnsi="Arial" w:cs="Arial"/>
          <w:b/>
          <w:sz w:val="28"/>
          <w:szCs w:val="22"/>
        </w:rPr>
        <w:t>.2</w:t>
      </w:r>
      <w:r w:rsidR="00A0339B">
        <w:rPr>
          <w:rFonts w:ascii="Arial" w:hAnsi="Arial" w:cs="Arial"/>
          <w:b/>
          <w:sz w:val="28"/>
          <w:szCs w:val="22"/>
        </w:rPr>
        <w:t xml:space="preserve"> Individual insolvency</w:t>
      </w:r>
    </w:p>
    <w:p w:rsidR="00277B5E" w:rsidRDefault="00277B5E" w:rsidP="00807A93">
      <w:pPr>
        <w:pStyle w:val="BodyText"/>
        <w:tabs>
          <w:tab w:val="left" w:pos="450"/>
        </w:tabs>
        <w:spacing w:before="120" w:line="276" w:lineRule="auto"/>
        <w:rPr>
          <w:rFonts w:ascii="Arial" w:hAnsi="Arial" w:cs="Arial"/>
          <w:color w:val="000000"/>
          <w:sz w:val="22"/>
          <w:szCs w:val="22"/>
        </w:rPr>
      </w:pPr>
      <w:r w:rsidRPr="009B4241">
        <w:rPr>
          <w:rFonts w:ascii="Arial" w:hAnsi="Arial" w:cs="Arial"/>
          <w:color w:val="000000"/>
          <w:sz w:val="22"/>
          <w:szCs w:val="22"/>
        </w:rPr>
        <w:t xml:space="preserve">Individual insolvency in </w:t>
      </w:r>
      <w:r w:rsidR="009B4241" w:rsidRPr="009B4241">
        <w:rPr>
          <w:rFonts w:ascii="Arial" w:hAnsi="Arial" w:cs="Arial"/>
          <w:color w:val="000000"/>
          <w:sz w:val="22"/>
          <w:szCs w:val="22"/>
        </w:rPr>
        <w:t>Northern Ireland</w:t>
      </w:r>
      <w:r w:rsidRPr="009B4241">
        <w:rPr>
          <w:rFonts w:ascii="Arial" w:hAnsi="Arial" w:cs="Arial"/>
          <w:color w:val="000000"/>
          <w:sz w:val="22"/>
          <w:szCs w:val="22"/>
        </w:rPr>
        <w:t xml:space="preserve"> is </w:t>
      </w:r>
      <w:r w:rsidR="009B4241" w:rsidRPr="009B4241">
        <w:rPr>
          <w:rFonts w:ascii="Arial" w:hAnsi="Arial" w:cs="Arial"/>
          <w:color w:val="000000"/>
          <w:sz w:val="22"/>
          <w:szCs w:val="22"/>
        </w:rPr>
        <w:t xml:space="preserve">governed by </w:t>
      </w:r>
      <w:r w:rsidR="00FC41CC">
        <w:rPr>
          <w:rFonts w:ascii="Arial" w:hAnsi="Arial" w:cs="Arial"/>
          <w:color w:val="000000"/>
          <w:sz w:val="22"/>
          <w:szCs w:val="22"/>
        </w:rPr>
        <w:t xml:space="preserve">separate, but </w:t>
      </w:r>
      <w:r w:rsidR="009B4241" w:rsidRPr="009B4241">
        <w:rPr>
          <w:rFonts w:ascii="Arial" w:hAnsi="Arial" w:cs="Arial"/>
          <w:color w:val="000000"/>
          <w:sz w:val="22"/>
          <w:szCs w:val="22"/>
        </w:rPr>
        <w:t>broadly similar</w:t>
      </w:r>
      <w:r w:rsidR="00FC41CC">
        <w:rPr>
          <w:rFonts w:ascii="Arial" w:hAnsi="Arial" w:cs="Arial"/>
          <w:color w:val="000000"/>
          <w:sz w:val="22"/>
          <w:szCs w:val="22"/>
        </w:rPr>
        <w:t>,</w:t>
      </w:r>
      <w:r w:rsidR="009B4241" w:rsidRPr="009B4241">
        <w:rPr>
          <w:rFonts w:ascii="Arial" w:hAnsi="Arial" w:cs="Arial"/>
          <w:color w:val="000000"/>
          <w:sz w:val="22"/>
          <w:szCs w:val="22"/>
        </w:rPr>
        <w:t xml:space="preserve"> legislation to England and Wales</w:t>
      </w:r>
      <w:r w:rsidR="00FC41CC">
        <w:rPr>
          <w:rFonts w:ascii="Arial" w:hAnsi="Arial" w:cs="Arial"/>
          <w:color w:val="000000"/>
          <w:sz w:val="22"/>
          <w:szCs w:val="22"/>
        </w:rPr>
        <w:t xml:space="preserve">, and so </w:t>
      </w:r>
      <w:r w:rsidR="008142E6">
        <w:rPr>
          <w:rFonts w:ascii="Arial" w:hAnsi="Arial" w:cs="Arial"/>
          <w:color w:val="000000"/>
          <w:sz w:val="22"/>
          <w:szCs w:val="22"/>
        </w:rPr>
        <w:t xml:space="preserve">figures </w:t>
      </w:r>
      <w:r w:rsidR="00FC41CC">
        <w:rPr>
          <w:rFonts w:ascii="Arial" w:hAnsi="Arial" w:cs="Arial"/>
          <w:color w:val="000000"/>
          <w:sz w:val="22"/>
          <w:szCs w:val="22"/>
        </w:rPr>
        <w:t>are presented separately.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277B5E" w:rsidTr="000076CB">
        <w:tc>
          <w:tcPr>
            <w:tcW w:w="5353" w:type="dxa"/>
          </w:tcPr>
          <w:p w:rsidR="00277B5E" w:rsidRPr="00B60F95" w:rsidRDefault="00277B5E" w:rsidP="006E4BFD">
            <w:pPr>
              <w:spacing w:before="120"/>
              <w:jc w:val="center"/>
              <w:rPr>
                <w:rFonts w:ascii="Arial" w:hAnsi="Arial" w:cs="Arial"/>
                <w:color w:val="000000"/>
                <w:sz w:val="22"/>
                <w:szCs w:val="22"/>
              </w:rPr>
            </w:pPr>
            <w:r>
              <w:rPr>
                <w:rFonts w:ascii="Arial" w:hAnsi="Arial" w:cs="Arial"/>
                <w:b/>
                <w:color w:val="000000"/>
                <w:sz w:val="22"/>
                <w:szCs w:val="22"/>
              </w:rPr>
              <w:t xml:space="preserve">Figure </w:t>
            </w:r>
            <w:r w:rsidR="00791A86">
              <w:rPr>
                <w:rFonts w:ascii="Arial" w:hAnsi="Arial" w:cs="Arial"/>
                <w:b/>
                <w:color w:val="000000"/>
                <w:sz w:val="22"/>
                <w:szCs w:val="22"/>
              </w:rPr>
              <w:t>1</w:t>
            </w:r>
            <w:r>
              <w:rPr>
                <w:rFonts w:ascii="Arial" w:hAnsi="Arial" w:cs="Arial"/>
                <w:b/>
                <w:color w:val="000000"/>
                <w:sz w:val="22"/>
                <w:szCs w:val="22"/>
              </w:rPr>
              <w:t>6</w:t>
            </w:r>
            <w:r w:rsidRPr="00B60F95">
              <w:rPr>
                <w:rFonts w:ascii="Arial" w:hAnsi="Arial" w:cs="Arial"/>
                <w:b/>
                <w:color w:val="000000"/>
                <w:sz w:val="22"/>
                <w:szCs w:val="22"/>
              </w:rPr>
              <w:t xml:space="preserve">: </w:t>
            </w:r>
            <w:r w:rsidR="00791A86">
              <w:rPr>
                <w:rFonts w:ascii="Arial" w:hAnsi="Arial" w:cs="Arial"/>
                <w:b/>
                <w:color w:val="000000" w:themeColor="text1"/>
                <w:sz w:val="22"/>
                <w:szCs w:val="22"/>
              </w:rPr>
              <w:t>Individual insolvencies</w:t>
            </w:r>
            <w:r>
              <w:rPr>
                <w:rFonts w:ascii="Arial" w:hAnsi="Arial" w:cs="Arial"/>
                <w:b/>
                <w:color w:val="000000"/>
                <w:sz w:val="22"/>
                <w:szCs w:val="22"/>
              </w:rPr>
              <w:t xml:space="preserve"> in Northern Ireland</w:t>
            </w:r>
            <w:r w:rsidRPr="00B60F95">
              <w:rPr>
                <w:rFonts w:ascii="Arial" w:hAnsi="Arial" w:cs="Arial"/>
                <w:b/>
                <w:color w:val="000000"/>
                <w:sz w:val="22"/>
                <w:szCs w:val="22"/>
              </w:rPr>
              <w:t xml:space="preserve"> </w:t>
            </w:r>
            <w:r w:rsidR="006E4BFD">
              <w:rPr>
                <w:rFonts w:ascii="Arial" w:hAnsi="Arial" w:cs="Arial"/>
                <w:b/>
                <w:color w:val="000000"/>
                <w:sz w:val="22"/>
                <w:szCs w:val="22"/>
              </w:rPr>
              <w:t xml:space="preserve">                          </w:t>
            </w:r>
            <w:r w:rsidRPr="00B60F95">
              <w:rPr>
                <w:rFonts w:ascii="Arial" w:hAnsi="Arial" w:cs="Arial"/>
                <w:color w:val="000000"/>
                <w:sz w:val="22"/>
                <w:szCs w:val="22"/>
              </w:rPr>
              <w:t>(</w:t>
            </w:r>
            <w:r w:rsidR="00AA4F9A">
              <w:rPr>
                <w:rFonts w:ascii="Arial" w:hAnsi="Arial" w:cs="Arial"/>
                <w:color w:val="000000"/>
                <w:sz w:val="22"/>
                <w:szCs w:val="22"/>
              </w:rPr>
              <w:t xml:space="preserve">quarterly data, </w:t>
            </w:r>
            <w:r>
              <w:rPr>
                <w:rFonts w:ascii="Arial" w:hAnsi="Arial" w:cs="Arial"/>
                <w:color w:val="000000"/>
                <w:sz w:val="22"/>
                <w:szCs w:val="22"/>
              </w:rPr>
              <w:t xml:space="preserve">not </w:t>
            </w:r>
            <w:r w:rsidRPr="00B60F95">
              <w:rPr>
                <w:rFonts w:ascii="Arial" w:hAnsi="Arial" w:cs="Arial"/>
                <w:color w:val="000000"/>
                <w:sz w:val="22"/>
                <w:szCs w:val="22"/>
              </w:rPr>
              <w:t>seasonally adjusted)</w:t>
            </w:r>
          </w:p>
          <w:p w:rsidR="00277B5E" w:rsidRPr="008538AD" w:rsidRDefault="00335737" w:rsidP="00277B5E">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4DC8067E" wp14:editId="0DADE93E">
                  <wp:extent cx="4657725" cy="3324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57725" cy="3324225"/>
                          </a:xfrm>
                          <a:prstGeom prst="rect">
                            <a:avLst/>
                          </a:prstGeom>
                          <a:noFill/>
                          <a:ln>
                            <a:noFill/>
                          </a:ln>
                        </pic:spPr>
                      </pic:pic>
                    </a:graphicData>
                  </a:graphic>
                </wp:inline>
              </w:drawing>
            </w:r>
          </w:p>
          <w:p w:rsidR="009B4241" w:rsidRPr="009B4241" w:rsidRDefault="009B4241" w:rsidP="009B4241">
            <w:pPr>
              <w:spacing w:after="60" w:line="276" w:lineRule="auto"/>
              <w:rPr>
                <w:rFonts w:ascii="Arial" w:eastAsia="Arial Unicode MS" w:hAnsi="Arial" w:cs="Arial"/>
                <w:sz w:val="18"/>
                <w:szCs w:val="18"/>
              </w:rPr>
            </w:pPr>
            <w:r w:rsidRPr="009B4241">
              <w:rPr>
                <w:rFonts w:ascii="Arial" w:eastAsia="Arial Unicode MS" w:hAnsi="Arial" w:cs="Arial"/>
                <w:sz w:val="18"/>
                <w:szCs w:val="18"/>
              </w:rPr>
              <w:t>Source: Department for Enterprise, Trade and Investment, Northern Ireland</w:t>
            </w:r>
            <w:r>
              <w:rPr>
                <w:rFonts w:ascii="Arial" w:eastAsia="Arial Unicode MS" w:hAnsi="Arial" w:cs="Arial"/>
                <w:sz w:val="18"/>
                <w:szCs w:val="18"/>
              </w:rPr>
              <w:t>.</w:t>
            </w:r>
          </w:p>
          <w:p w:rsidR="00277B5E" w:rsidRDefault="009B4241" w:rsidP="009B4241">
            <w:pPr>
              <w:spacing w:after="60" w:line="276" w:lineRule="auto"/>
              <w:rPr>
                <w:rFonts w:ascii="Arial" w:eastAsiaTheme="minorHAnsi" w:hAnsi="Arial" w:cs="Arial"/>
                <w:sz w:val="22"/>
                <w:szCs w:val="22"/>
              </w:rPr>
            </w:pPr>
            <w:r w:rsidRPr="009B4241">
              <w:rPr>
                <w:rFonts w:ascii="Arial" w:eastAsia="Arial Unicode MS" w:hAnsi="Arial" w:cs="Arial"/>
                <w:sz w:val="18"/>
                <w:szCs w:val="18"/>
              </w:rPr>
              <w:t>See Table 6 of the accompanying Excel file for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E80A91" w:rsidRPr="00DD66FC" w:rsidRDefault="00E80A91" w:rsidP="00E80A91">
            <w:pPr>
              <w:spacing w:before="120"/>
              <w:rPr>
                <w:rFonts w:ascii="Arial" w:hAnsi="Arial" w:cs="Arial"/>
                <w:color w:val="000000" w:themeColor="text1"/>
                <w:sz w:val="18"/>
                <w:szCs w:val="18"/>
              </w:rPr>
            </w:pPr>
            <w:r w:rsidRPr="00DD66FC">
              <w:rPr>
                <w:rFonts w:ascii="Arial" w:hAnsi="Arial" w:cs="Arial"/>
                <w:b/>
                <w:color w:val="000000" w:themeColor="text1"/>
                <w:sz w:val="18"/>
                <w:szCs w:val="18"/>
              </w:rPr>
              <w:t>Bankruptcy orders</w:t>
            </w:r>
            <w:r w:rsidRPr="00DD66FC">
              <w:rPr>
                <w:rFonts w:ascii="Arial" w:hAnsi="Arial" w:cs="Arial"/>
                <w:color w:val="000000" w:themeColor="text1"/>
                <w:sz w:val="18"/>
                <w:szCs w:val="18"/>
              </w:rPr>
              <w:t xml:space="preserve"> – a form of debt relief available for anyone who is unable to pay their debts. Assets owned will vest in a trustee in bankruptcy who will sell them and distribute the proceeds to creditors. Discharge from debts </w:t>
            </w:r>
            <w:r>
              <w:rPr>
                <w:rFonts w:ascii="Arial" w:hAnsi="Arial" w:cs="Arial"/>
                <w:color w:val="000000" w:themeColor="text1"/>
                <w:sz w:val="18"/>
                <w:szCs w:val="18"/>
              </w:rPr>
              <w:t xml:space="preserve">usually </w:t>
            </w:r>
            <w:r w:rsidRPr="00DD66FC">
              <w:rPr>
                <w:rFonts w:ascii="Arial" w:hAnsi="Arial" w:cs="Arial"/>
                <w:color w:val="000000" w:themeColor="text1"/>
                <w:sz w:val="18"/>
                <w:szCs w:val="18"/>
              </w:rPr>
              <w:t>takes places 12 months after the bankruptcy order is granted.</w:t>
            </w:r>
          </w:p>
          <w:p w:rsidR="00E80A91" w:rsidRDefault="00E80A91" w:rsidP="00E80A91">
            <w:pPr>
              <w:spacing w:before="120"/>
              <w:rPr>
                <w:rFonts w:ascii="Arial" w:hAnsi="Arial" w:cs="Arial"/>
                <w:color w:val="000000" w:themeColor="text1"/>
                <w:sz w:val="18"/>
                <w:szCs w:val="18"/>
              </w:rPr>
            </w:pPr>
            <w:r w:rsidRPr="00DD66FC">
              <w:rPr>
                <w:rFonts w:ascii="Arial" w:hAnsi="Arial" w:cs="Arial"/>
                <w:b/>
                <w:color w:val="000000" w:themeColor="text1"/>
                <w:sz w:val="18"/>
                <w:szCs w:val="18"/>
              </w:rPr>
              <w:t>Debt relief orders</w:t>
            </w:r>
            <w:r w:rsidRPr="00DD66FC">
              <w:rPr>
                <w:rFonts w:ascii="Arial" w:hAnsi="Arial" w:cs="Arial"/>
                <w:color w:val="000000" w:themeColor="text1"/>
                <w:sz w:val="18"/>
                <w:szCs w:val="18"/>
              </w:rPr>
              <w:t xml:space="preserve"> (DROs) </w:t>
            </w:r>
            <w:r>
              <w:rPr>
                <w:rFonts w:ascii="Arial" w:hAnsi="Arial" w:cs="Arial"/>
                <w:color w:val="000000" w:themeColor="text1"/>
                <w:sz w:val="18"/>
                <w:szCs w:val="18"/>
              </w:rPr>
              <w:t>–</w:t>
            </w:r>
            <w:r w:rsidRPr="00DD66FC">
              <w:rPr>
                <w:rFonts w:ascii="Arial" w:hAnsi="Arial" w:cs="Arial"/>
                <w:color w:val="000000" w:themeColor="text1"/>
                <w:sz w:val="18"/>
                <w:szCs w:val="18"/>
              </w:rPr>
              <w:t xml:space="preserve"> a form of debt relief available to those who have a low income, low assets and less than £15,000 of debt. There is no distribution to creditors, and discharge from debts takes place 12 months after the DRO is granted.</w:t>
            </w:r>
          </w:p>
          <w:p w:rsidR="00E80A91" w:rsidRPr="00DD66FC" w:rsidRDefault="00E80A91" w:rsidP="00E80A91">
            <w:pPr>
              <w:spacing w:before="120"/>
              <w:rPr>
                <w:rFonts w:ascii="Arial" w:hAnsi="Arial" w:cs="Arial"/>
                <w:color w:val="000000" w:themeColor="text1"/>
                <w:sz w:val="18"/>
                <w:szCs w:val="18"/>
              </w:rPr>
            </w:pPr>
            <w:r>
              <w:rPr>
                <w:rFonts w:ascii="Arial" w:hAnsi="Arial" w:cs="Arial"/>
                <w:color w:val="000000" w:themeColor="text1"/>
                <w:sz w:val="18"/>
                <w:szCs w:val="18"/>
              </w:rPr>
              <w:t xml:space="preserve">DROs were introduced in </w:t>
            </w:r>
            <w:r w:rsidR="000860D4">
              <w:rPr>
                <w:rFonts w:ascii="Arial" w:hAnsi="Arial" w:cs="Arial"/>
                <w:color w:val="000000" w:themeColor="text1"/>
                <w:sz w:val="18"/>
                <w:szCs w:val="18"/>
              </w:rPr>
              <w:t>June 2011</w:t>
            </w:r>
            <w:r>
              <w:rPr>
                <w:rFonts w:ascii="Arial" w:hAnsi="Arial" w:cs="Arial"/>
                <w:color w:val="000000" w:themeColor="text1"/>
                <w:sz w:val="18"/>
                <w:szCs w:val="18"/>
              </w:rPr>
              <w:t>.</w:t>
            </w:r>
          </w:p>
          <w:p w:rsidR="00277B5E" w:rsidRPr="006E4BFD" w:rsidRDefault="00E80A91" w:rsidP="006E4BFD">
            <w:pPr>
              <w:spacing w:before="120"/>
              <w:rPr>
                <w:rFonts w:ascii="Arial" w:hAnsi="Arial" w:cs="Arial"/>
                <w:color w:val="000000" w:themeColor="text1"/>
                <w:sz w:val="18"/>
                <w:szCs w:val="18"/>
              </w:rPr>
            </w:pPr>
            <w:r w:rsidRPr="00DD66FC">
              <w:rPr>
                <w:rFonts w:ascii="Arial" w:hAnsi="Arial" w:cs="Arial"/>
                <w:b/>
                <w:color w:val="000000" w:themeColor="text1"/>
                <w:sz w:val="18"/>
                <w:szCs w:val="18"/>
              </w:rPr>
              <w:t>Individual voluntary arrangements</w:t>
            </w:r>
            <w:r w:rsidRPr="00DD66FC">
              <w:rPr>
                <w:rFonts w:ascii="Arial" w:hAnsi="Arial" w:cs="Arial"/>
                <w:color w:val="000000" w:themeColor="text1"/>
                <w:sz w:val="18"/>
                <w:szCs w:val="18"/>
              </w:rPr>
              <w:t xml:space="preserve"> (IVAs) </w:t>
            </w:r>
            <w:r>
              <w:rPr>
                <w:rFonts w:ascii="Arial" w:hAnsi="Arial" w:cs="Arial"/>
                <w:color w:val="000000" w:themeColor="text1"/>
                <w:sz w:val="18"/>
                <w:szCs w:val="18"/>
              </w:rPr>
              <w:t>–</w:t>
            </w:r>
            <w:r w:rsidRPr="00DD66FC">
              <w:rPr>
                <w:rFonts w:ascii="Arial" w:hAnsi="Arial" w:cs="Arial"/>
                <w:color w:val="000000" w:themeColor="text1"/>
                <w:sz w:val="18"/>
                <w:szCs w:val="18"/>
              </w:rPr>
              <w:t xml:space="preserve"> a voluntary means of repaying creditors some or all of what they are owed. Once approved by </w:t>
            </w:r>
            <w:r>
              <w:rPr>
                <w:rFonts w:ascii="Arial" w:hAnsi="Arial" w:cs="Arial"/>
                <w:color w:val="000000" w:themeColor="text1"/>
                <w:sz w:val="18"/>
                <w:szCs w:val="18"/>
              </w:rPr>
              <w:t xml:space="preserve">75% or more </w:t>
            </w:r>
            <w:r w:rsidRPr="00DD66FC">
              <w:rPr>
                <w:rFonts w:ascii="Arial" w:hAnsi="Arial" w:cs="Arial"/>
                <w:color w:val="000000" w:themeColor="text1"/>
                <w:sz w:val="18"/>
                <w:szCs w:val="18"/>
              </w:rPr>
              <w:t>of creditors, the arrangement is binding on all. IVAs are supervised by licensed Insolvency Practitioners.</w:t>
            </w:r>
          </w:p>
        </w:tc>
      </w:tr>
    </w:tbl>
    <w:p w:rsidR="00277B5E" w:rsidRDefault="00277B5E" w:rsidP="00397878">
      <w:pPr>
        <w:spacing w:after="200" w:line="276" w:lineRule="auto"/>
        <w:rPr>
          <w:rFonts w:ascii="Arial" w:eastAsiaTheme="minorHAnsi" w:hAnsi="Arial" w:cs="Arial"/>
          <w:sz w:val="22"/>
          <w:szCs w:val="22"/>
        </w:rPr>
      </w:pPr>
    </w:p>
    <w:p w:rsidR="00277B5E" w:rsidRDefault="00277B5E" w:rsidP="00807A93">
      <w:pPr>
        <w:pStyle w:val="BodyText"/>
        <w:tabs>
          <w:tab w:val="left" w:pos="450"/>
        </w:tabs>
        <w:spacing w:before="120" w:after="0" w:line="276" w:lineRule="auto"/>
        <w:rPr>
          <w:rFonts w:ascii="Arial" w:hAnsi="Arial" w:cs="Arial"/>
          <w:color w:val="000000"/>
          <w:sz w:val="22"/>
          <w:szCs w:val="22"/>
        </w:rPr>
      </w:pPr>
      <w:r w:rsidRPr="00807A93">
        <w:rPr>
          <w:rFonts w:ascii="Arial" w:hAnsi="Arial" w:cs="Arial"/>
          <w:color w:val="000000"/>
          <w:sz w:val="22"/>
          <w:szCs w:val="22"/>
        </w:rPr>
        <w:t xml:space="preserve">There were </w:t>
      </w:r>
      <w:r w:rsidR="00932C2A">
        <w:rPr>
          <w:rFonts w:ascii="Arial" w:hAnsi="Arial" w:cs="Arial"/>
          <w:color w:val="000000"/>
          <w:sz w:val="22"/>
          <w:szCs w:val="22"/>
        </w:rPr>
        <w:t>769</w:t>
      </w:r>
      <w:r w:rsidRPr="00807A93">
        <w:rPr>
          <w:rFonts w:ascii="Arial" w:hAnsi="Arial" w:cs="Arial"/>
          <w:color w:val="000000"/>
          <w:sz w:val="22"/>
          <w:szCs w:val="22"/>
        </w:rPr>
        <w:t xml:space="preserve"> individual insolvencies </w:t>
      </w:r>
      <w:r w:rsidR="00955D6B" w:rsidRPr="00807A93">
        <w:rPr>
          <w:rFonts w:ascii="Arial" w:hAnsi="Arial" w:cs="Arial"/>
          <w:color w:val="000000"/>
          <w:sz w:val="22"/>
          <w:szCs w:val="22"/>
        </w:rPr>
        <w:t xml:space="preserve">in Northern Ireland in the </w:t>
      </w:r>
      <w:r w:rsidR="00932C2A">
        <w:rPr>
          <w:rFonts w:ascii="Arial" w:hAnsi="Arial" w:cs="Arial"/>
          <w:color w:val="000000"/>
          <w:sz w:val="22"/>
          <w:szCs w:val="22"/>
        </w:rPr>
        <w:t>second</w:t>
      </w:r>
      <w:r w:rsidR="00955D6B" w:rsidRPr="00807A93">
        <w:rPr>
          <w:rFonts w:ascii="Arial" w:hAnsi="Arial" w:cs="Arial"/>
          <w:color w:val="000000"/>
          <w:sz w:val="22"/>
          <w:szCs w:val="22"/>
        </w:rPr>
        <w:t xml:space="preserve"> quarter of 2014, </w:t>
      </w:r>
      <w:r w:rsidR="00932C2A">
        <w:rPr>
          <w:rFonts w:ascii="Arial" w:hAnsi="Arial" w:cs="Arial"/>
          <w:color w:val="000000"/>
          <w:sz w:val="22"/>
          <w:szCs w:val="22"/>
        </w:rPr>
        <w:t>14</w:t>
      </w:r>
      <w:r w:rsidR="008142E6">
        <w:rPr>
          <w:rFonts w:ascii="Arial" w:hAnsi="Arial" w:cs="Arial"/>
          <w:color w:val="000000"/>
          <w:sz w:val="22"/>
          <w:szCs w:val="22"/>
        </w:rPr>
        <w:t>.0</w:t>
      </w:r>
      <w:r w:rsidRPr="00807A93">
        <w:rPr>
          <w:rFonts w:ascii="Arial" w:hAnsi="Arial" w:cs="Arial"/>
          <w:color w:val="000000"/>
          <w:sz w:val="22"/>
          <w:szCs w:val="22"/>
        </w:rPr>
        <w:t xml:space="preserve">% </w:t>
      </w:r>
      <w:r w:rsidR="00932C2A">
        <w:rPr>
          <w:rFonts w:ascii="Arial" w:hAnsi="Arial" w:cs="Arial"/>
          <w:color w:val="000000"/>
          <w:sz w:val="22"/>
          <w:szCs w:val="22"/>
        </w:rPr>
        <w:t>less</w:t>
      </w:r>
      <w:r w:rsidRPr="00807A93">
        <w:rPr>
          <w:rFonts w:ascii="Arial" w:hAnsi="Arial" w:cs="Arial"/>
          <w:color w:val="000000"/>
          <w:sz w:val="22"/>
          <w:szCs w:val="22"/>
        </w:rPr>
        <w:t xml:space="preserve"> th</w:t>
      </w:r>
      <w:r w:rsidR="00955D6B" w:rsidRPr="00807A93">
        <w:rPr>
          <w:rFonts w:ascii="Arial" w:hAnsi="Arial" w:cs="Arial"/>
          <w:color w:val="000000"/>
          <w:sz w:val="22"/>
          <w:szCs w:val="22"/>
        </w:rPr>
        <w:t xml:space="preserve">an the same quarter a year ago. </w:t>
      </w:r>
      <w:r w:rsidR="00932C2A">
        <w:rPr>
          <w:rFonts w:ascii="Arial" w:hAnsi="Arial" w:cs="Arial"/>
          <w:color w:val="000000"/>
          <w:sz w:val="22"/>
          <w:szCs w:val="22"/>
        </w:rPr>
        <w:t>Of these, 379</w:t>
      </w:r>
      <w:r w:rsidRPr="00807A93">
        <w:rPr>
          <w:rFonts w:ascii="Arial" w:hAnsi="Arial" w:cs="Arial"/>
          <w:color w:val="000000"/>
          <w:sz w:val="22"/>
          <w:szCs w:val="22"/>
        </w:rPr>
        <w:t xml:space="preserve"> were bankruptcies (up </w:t>
      </w:r>
      <w:r w:rsidR="00932C2A">
        <w:rPr>
          <w:rFonts w:ascii="Arial" w:hAnsi="Arial" w:cs="Arial"/>
          <w:color w:val="000000"/>
          <w:sz w:val="22"/>
          <w:szCs w:val="22"/>
        </w:rPr>
        <w:t>1.3</w:t>
      </w:r>
      <w:r w:rsidRPr="00807A93">
        <w:rPr>
          <w:rFonts w:ascii="Arial" w:hAnsi="Arial" w:cs="Arial"/>
          <w:color w:val="000000"/>
          <w:sz w:val="22"/>
          <w:szCs w:val="22"/>
        </w:rPr>
        <w:t>%</w:t>
      </w:r>
      <w:r w:rsidR="00955D6B" w:rsidRPr="00807A93">
        <w:rPr>
          <w:rFonts w:ascii="Arial" w:hAnsi="Arial" w:cs="Arial"/>
          <w:color w:val="000000"/>
          <w:sz w:val="22"/>
          <w:szCs w:val="22"/>
        </w:rPr>
        <w:t xml:space="preserve"> on the same quarter last year), </w:t>
      </w:r>
      <w:r w:rsidR="00932C2A">
        <w:rPr>
          <w:rFonts w:ascii="Arial" w:hAnsi="Arial" w:cs="Arial"/>
          <w:color w:val="000000"/>
          <w:sz w:val="22"/>
          <w:szCs w:val="22"/>
        </w:rPr>
        <w:t>155 were DROs (</w:t>
      </w:r>
      <w:r w:rsidR="00955D6B" w:rsidRPr="00807A93">
        <w:rPr>
          <w:rFonts w:ascii="Arial" w:hAnsi="Arial" w:cs="Arial"/>
          <w:color w:val="000000"/>
          <w:sz w:val="22"/>
          <w:szCs w:val="22"/>
        </w:rPr>
        <w:t xml:space="preserve">down </w:t>
      </w:r>
      <w:r w:rsidR="00932C2A">
        <w:rPr>
          <w:rFonts w:ascii="Arial" w:hAnsi="Arial" w:cs="Arial"/>
          <w:color w:val="000000"/>
          <w:sz w:val="22"/>
          <w:szCs w:val="22"/>
        </w:rPr>
        <w:t>7.2</w:t>
      </w:r>
      <w:r w:rsidR="00955D6B" w:rsidRPr="00807A93">
        <w:rPr>
          <w:rFonts w:ascii="Arial" w:hAnsi="Arial" w:cs="Arial"/>
          <w:color w:val="000000"/>
          <w:sz w:val="22"/>
          <w:szCs w:val="22"/>
        </w:rPr>
        <w:t>%</w:t>
      </w:r>
      <w:r w:rsidR="00932C2A">
        <w:rPr>
          <w:rFonts w:ascii="Arial" w:hAnsi="Arial" w:cs="Arial"/>
          <w:color w:val="000000"/>
          <w:sz w:val="22"/>
          <w:szCs w:val="22"/>
        </w:rPr>
        <w:t xml:space="preserve"> on the same quarter last year</w:t>
      </w:r>
      <w:r w:rsidR="00955D6B" w:rsidRPr="00807A93">
        <w:rPr>
          <w:rFonts w:ascii="Arial" w:hAnsi="Arial" w:cs="Arial"/>
          <w:color w:val="000000"/>
          <w:sz w:val="22"/>
          <w:szCs w:val="22"/>
        </w:rPr>
        <w:t xml:space="preserve">), and </w:t>
      </w:r>
      <w:r w:rsidR="00932C2A">
        <w:rPr>
          <w:rFonts w:ascii="Arial" w:hAnsi="Arial" w:cs="Arial"/>
          <w:color w:val="000000"/>
          <w:sz w:val="22"/>
          <w:szCs w:val="22"/>
        </w:rPr>
        <w:t>235</w:t>
      </w:r>
      <w:r w:rsidRPr="00807A93">
        <w:rPr>
          <w:rFonts w:ascii="Arial" w:hAnsi="Arial" w:cs="Arial"/>
          <w:color w:val="000000"/>
          <w:sz w:val="22"/>
          <w:szCs w:val="22"/>
        </w:rPr>
        <w:t xml:space="preserve"> </w:t>
      </w:r>
      <w:r w:rsidR="00955D6B" w:rsidRPr="00807A93">
        <w:rPr>
          <w:rFonts w:ascii="Arial" w:hAnsi="Arial" w:cs="Arial"/>
          <w:color w:val="000000"/>
          <w:sz w:val="22"/>
          <w:szCs w:val="22"/>
        </w:rPr>
        <w:t xml:space="preserve">were </w:t>
      </w:r>
      <w:r w:rsidRPr="00807A93">
        <w:rPr>
          <w:rFonts w:ascii="Arial" w:hAnsi="Arial" w:cs="Arial"/>
          <w:color w:val="000000"/>
          <w:sz w:val="22"/>
          <w:szCs w:val="22"/>
        </w:rPr>
        <w:t>IVAs</w:t>
      </w:r>
      <w:r w:rsidR="00955D6B" w:rsidRPr="00807A93">
        <w:rPr>
          <w:rFonts w:ascii="Arial" w:hAnsi="Arial" w:cs="Arial"/>
          <w:color w:val="000000"/>
          <w:sz w:val="22"/>
          <w:szCs w:val="22"/>
        </w:rPr>
        <w:t xml:space="preserve"> (</w:t>
      </w:r>
      <w:r w:rsidRPr="00807A93">
        <w:rPr>
          <w:rFonts w:ascii="Arial" w:hAnsi="Arial" w:cs="Arial"/>
          <w:color w:val="000000"/>
          <w:sz w:val="22"/>
          <w:szCs w:val="22"/>
        </w:rPr>
        <w:t xml:space="preserve">down </w:t>
      </w:r>
      <w:r w:rsidR="00932C2A">
        <w:rPr>
          <w:rFonts w:ascii="Arial" w:hAnsi="Arial" w:cs="Arial"/>
          <w:color w:val="000000"/>
          <w:sz w:val="22"/>
          <w:szCs w:val="22"/>
        </w:rPr>
        <w:t>33</w:t>
      </w:r>
      <w:r w:rsidRPr="00807A93">
        <w:rPr>
          <w:rFonts w:ascii="Arial" w:hAnsi="Arial" w:cs="Arial"/>
          <w:color w:val="000000"/>
          <w:sz w:val="22"/>
          <w:szCs w:val="22"/>
        </w:rPr>
        <w:t>%</w:t>
      </w:r>
      <w:r w:rsidR="00932C2A">
        <w:rPr>
          <w:rFonts w:ascii="Arial" w:hAnsi="Arial" w:cs="Arial"/>
          <w:color w:val="000000"/>
          <w:sz w:val="22"/>
          <w:szCs w:val="22"/>
        </w:rPr>
        <w:t xml:space="preserve"> on the same quarter last year</w:t>
      </w:r>
      <w:r w:rsidRPr="00807A93">
        <w:rPr>
          <w:rFonts w:ascii="Arial" w:hAnsi="Arial" w:cs="Arial"/>
          <w:color w:val="000000"/>
          <w:sz w:val="22"/>
          <w:szCs w:val="22"/>
        </w:rPr>
        <w:t>).</w:t>
      </w:r>
    </w:p>
    <w:p w:rsidR="00932C2A" w:rsidRPr="00807A93" w:rsidRDefault="00932C2A" w:rsidP="00807A93">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Though the graph highlights key changes</w:t>
      </w:r>
      <w:r w:rsidR="008142E6">
        <w:rPr>
          <w:rFonts w:ascii="Arial" w:hAnsi="Arial" w:cs="Arial"/>
          <w:color w:val="000000"/>
          <w:sz w:val="22"/>
          <w:szCs w:val="22"/>
        </w:rPr>
        <w:t>,</w:t>
      </w:r>
      <w:r>
        <w:rPr>
          <w:rFonts w:ascii="Arial" w:hAnsi="Arial" w:cs="Arial"/>
          <w:color w:val="000000"/>
          <w:sz w:val="22"/>
          <w:szCs w:val="22"/>
        </w:rPr>
        <w:t xml:space="preserve"> it </w:t>
      </w:r>
      <w:r w:rsidR="008142E6">
        <w:rPr>
          <w:rFonts w:ascii="Arial" w:hAnsi="Arial" w:cs="Arial"/>
          <w:color w:val="000000"/>
          <w:sz w:val="22"/>
          <w:szCs w:val="22"/>
        </w:rPr>
        <w:t xml:space="preserve">should be noted </w:t>
      </w:r>
      <w:r>
        <w:rPr>
          <w:rFonts w:ascii="Arial" w:hAnsi="Arial" w:cs="Arial"/>
          <w:color w:val="000000"/>
          <w:sz w:val="22"/>
          <w:szCs w:val="22"/>
        </w:rPr>
        <w:t xml:space="preserve">that the volatility in the </w:t>
      </w:r>
      <w:r w:rsidR="008142E6">
        <w:rPr>
          <w:rFonts w:ascii="Arial" w:hAnsi="Arial" w:cs="Arial"/>
          <w:color w:val="000000"/>
          <w:sz w:val="22"/>
          <w:szCs w:val="22"/>
        </w:rPr>
        <w:t xml:space="preserve">data </w:t>
      </w:r>
      <w:r>
        <w:rPr>
          <w:rFonts w:ascii="Arial" w:hAnsi="Arial" w:cs="Arial"/>
          <w:color w:val="000000"/>
          <w:sz w:val="22"/>
          <w:szCs w:val="22"/>
        </w:rPr>
        <w:t xml:space="preserve">is </w:t>
      </w:r>
      <w:r w:rsidR="008142E6">
        <w:rPr>
          <w:rFonts w:ascii="Arial" w:hAnsi="Arial" w:cs="Arial"/>
          <w:color w:val="000000"/>
          <w:sz w:val="22"/>
          <w:szCs w:val="22"/>
        </w:rPr>
        <w:t xml:space="preserve">because </w:t>
      </w:r>
      <w:r>
        <w:rPr>
          <w:rFonts w:ascii="Arial" w:hAnsi="Arial" w:cs="Arial"/>
          <w:color w:val="000000"/>
          <w:sz w:val="22"/>
          <w:szCs w:val="22"/>
        </w:rPr>
        <w:t>the numbers of insolvency are low</w:t>
      </w:r>
      <w:r w:rsidR="008F7A73">
        <w:rPr>
          <w:rFonts w:ascii="Arial" w:hAnsi="Arial" w:cs="Arial"/>
          <w:color w:val="000000"/>
          <w:sz w:val="22"/>
          <w:szCs w:val="22"/>
        </w:rPr>
        <w:t>,</w:t>
      </w:r>
      <w:r>
        <w:rPr>
          <w:rFonts w:ascii="Arial" w:hAnsi="Arial" w:cs="Arial"/>
          <w:color w:val="000000"/>
          <w:sz w:val="22"/>
          <w:szCs w:val="22"/>
        </w:rPr>
        <w:t xml:space="preserve"> so any small changes will result in large percentage changes.</w:t>
      </w:r>
    </w:p>
    <w:p w:rsidR="00955D6B" w:rsidRPr="00807A93" w:rsidRDefault="00955D6B" w:rsidP="00807A93">
      <w:pPr>
        <w:pStyle w:val="BodyText"/>
        <w:tabs>
          <w:tab w:val="left" w:pos="450"/>
        </w:tabs>
        <w:spacing w:before="120" w:after="0" w:line="276" w:lineRule="auto"/>
        <w:rPr>
          <w:rFonts w:ascii="Arial" w:hAnsi="Arial" w:cs="Arial"/>
          <w:color w:val="000000"/>
          <w:sz w:val="22"/>
          <w:szCs w:val="22"/>
        </w:rPr>
      </w:pPr>
      <w:r w:rsidRPr="00807A93">
        <w:rPr>
          <w:rFonts w:ascii="Arial" w:hAnsi="Arial" w:cs="Arial"/>
          <w:color w:val="000000"/>
          <w:sz w:val="22"/>
          <w:szCs w:val="22"/>
        </w:rPr>
        <w:t>The total number of individual insolvencies in Northern Ireland has been on a generally increasing trend since 2007. This has been driven by increases in the number of IVAs over this period, and the introduction and subsequent increase in the number of DROs. By contrast, the number of bankruptcies has followed a fairly stable trend since 2011.</w:t>
      </w:r>
    </w:p>
    <w:p w:rsidR="00955D6B" w:rsidRDefault="00955D6B" w:rsidP="00955D6B">
      <w:pPr>
        <w:spacing w:after="200" w:line="276" w:lineRule="auto"/>
        <w:rPr>
          <w:rFonts w:ascii="Arial" w:eastAsiaTheme="minorHAnsi" w:hAnsi="Arial" w:cs="Arial"/>
          <w:sz w:val="22"/>
          <w:szCs w:val="22"/>
        </w:rPr>
      </w:pPr>
    </w:p>
    <w:p w:rsidR="006363F7" w:rsidRDefault="006363F7" w:rsidP="00397878">
      <w:pPr>
        <w:spacing w:after="200" w:line="276" w:lineRule="auto"/>
        <w:rPr>
          <w:rFonts w:ascii="Arial" w:eastAsiaTheme="minorHAnsi" w:hAnsi="Arial" w:cs="Arial"/>
          <w:sz w:val="22"/>
          <w:szCs w:val="22"/>
        </w:rPr>
      </w:pPr>
    </w:p>
    <w:p w:rsidR="006363F7" w:rsidRDefault="006363F7" w:rsidP="00397878">
      <w:pPr>
        <w:spacing w:after="200" w:line="276" w:lineRule="auto"/>
        <w:rPr>
          <w:rFonts w:ascii="Arial" w:eastAsiaTheme="minorHAnsi" w:hAnsi="Arial" w:cs="Arial"/>
          <w:sz w:val="22"/>
          <w:szCs w:val="22"/>
        </w:rPr>
      </w:pPr>
    </w:p>
    <w:p w:rsidR="008A50E1" w:rsidRPr="0009240D" w:rsidRDefault="008A50E1" w:rsidP="008A50E1">
      <w:pPr>
        <w:pageBreakBefore/>
        <w:spacing w:after="240" w:line="276" w:lineRule="auto"/>
        <w:rPr>
          <w:rFonts w:ascii="Arial" w:hAnsi="Arial" w:cs="Arial"/>
          <w:b/>
          <w:sz w:val="32"/>
          <w:szCs w:val="22"/>
        </w:rPr>
      </w:pPr>
      <w:r>
        <w:rPr>
          <w:rFonts w:ascii="Arial" w:hAnsi="Arial" w:cs="Arial"/>
          <w:b/>
          <w:sz w:val="32"/>
          <w:szCs w:val="22"/>
        </w:rPr>
        <w:lastRenderedPageBreak/>
        <w:t xml:space="preserve">6 </w:t>
      </w:r>
      <w:r w:rsidR="003D5600">
        <w:rPr>
          <w:rFonts w:ascii="Arial" w:hAnsi="Arial" w:cs="Arial"/>
          <w:b/>
          <w:sz w:val="32"/>
          <w:szCs w:val="22"/>
        </w:rPr>
        <w:t>Background n</w:t>
      </w:r>
      <w:r w:rsidRPr="0009240D">
        <w:rPr>
          <w:rFonts w:ascii="Arial" w:hAnsi="Arial" w:cs="Arial"/>
          <w:b/>
          <w:sz w:val="32"/>
          <w:szCs w:val="22"/>
        </w:rPr>
        <w:t xml:space="preserve">otes </w:t>
      </w:r>
    </w:p>
    <w:p w:rsidR="008A50E1" w:rsidRDefault="008A50E1" w:rsidP="008A50E1">
      <w:pPr>
        <w:spacing w:before="120"/>
        <w:outlineLvl w:val="0"/>
        <w:rPr>
          <w:rFonts w:ascii="Arial" w:hAnsi="Arial" w:cs="Arial"/>
          <w:b/>
        </w:rPr>
      </w:pPr>
    </w:p>
    <w:p w:rsidR="008A50E1" w:rsidRPr="0009240D" w:rsidRDefault="008A50E1" w:rsidP="008A50E1">
      <w:pPr>
        <w:spacing w:after="240" w:line="276" w:lineRule="auto"/>
        <w:rPr>
          <w:rFonts w:ascii="Arial" w:hAnsi="Arial" w:cs="Arial"/>
          <w:b/>
          <w:sz w:val="28"/>
          <w:szCs w:val="22"/>
        </w:rPr>
      </w:pPr>
      <w:r w:rsidRPr="0009240D">
        <w:rPr>
          <w:rFonts w:ascii="Arial" w:hAnsi="Arial" w:cs="Arial"/>
          <w:b/>
          <w:sz w:val="28"/>
          <w:szCs w:val="22"/>
        </w:rPr>
        <w:t xml:space="preserve">Data sources and </w:t>
      </w:r>
      <w:r>
        <w:rPr>
          <w:rFonts w:ascii="Arial" w:hAnsi="Arial" w:cs="Arial"/>
          <w:b/>
          <w:sz w:val="28"/>
          <w:szCs w:val="22"/>
        </w:rPr>
        <w:t>methodology</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More details may be found in: </w:t>
      </w:r>
      <w:hyperlink r:id="rId38" w:history="1">
        <w:r w:rsidRPr="00DA2601">
          <w:rPr>
            <w:rStyle w:val="Hyperlink"/>
            <w:rFonts w:ascii="Arial" w:hAnsi="Arial" w:cs="Arial"/>
            <w:sz w:val="22"/>
            <w:szCs w:val="22"/>
          </w:rPr>
          <w:t>Insolvency Statistics Methodology</w:t>
        </w:r>
      </w:hyperlink>
      <w:r w:rsidRPr="00DA2601">
        <w:rPr>
          <w:rStyle w:val="Hyperlink"/>
          <w:rFonts w:ascii="Arial" w:hAnsi="Arial" w:cs="Arial"/>
          <w:sz w:val="22"/>
          <w:szCs w:val="22"/>
        </w:rPr>
        <w:t>,</w:t>
      </w:r>
      <w:r w:rsidRPr="00DA2601">
        <w:rPr>
          <w:rFonts w:ascii="Arial" w:hAnsi="Arial" w:cs="Arial"/>
          <w:sz w:val="22"/>
          <w:szCs w:val="22"/>
        </w:rPr>
        <w:t xml:space="preserve"> the </w:t>
      </w:r>
      <w:hyperlink r:id="rId39" w:history="1">
        <w:r w:rsidRPr="00DA2601">
          <w:rPr>
            <w:rStyle w:val="Hyperlink"/>
            <w:rFonts w:ascii="Arial" w:hAnsi="Arial" w:cs="Arial"/>
            <w:sz w:val="22"/>
            <w:szCs w:val="22"/>
          </w:rPr>
          <w:t>Statement of Administrative Sources</w:t>
        </w:r>
      </w:hyperlink>
      <w:r w:rsidRPr="00DA2601">
        <w:rPr>
          <w:rFonts w:ascii="Arial" w:hAnsi="Arial" w:cs="Arial"/>
          <w:sz w:val="22"/>
          <w:szCs w:val="22"/>
        </w:rPr>
        <w:t xml:space="preserve">, and </w:t>
      </w:r>
      <w:hyperlink r:id="rId40" w:history="1">
        <w:r w:rsidRPr="00DA2601">
          <w:rPr>
            <w:rStyle w:val="Hyperlink"/>
            <w:rFonts w:ascii="Arial" w:hAnsi="Arial" w:cs="Arial"/>
            <w:sz w:val="22"/>
            <w:szCs w:val="22"/>
          </w:rPr>
          <w:t>The Insolvency Statistics Revisions Policy</w:t>
        </w:r>
      </w:hyperlink>
      <w:r w:rsidRPr="00DA2601">
        <w:rPr>
          <w:rStyle w:val="Hyperlink"/>
          <w:rFonts w:ascii="Arial" w:hAnsi="Arial" w:cs="Arial"/>
          <w:color w:val="auto"/>
          <w:sz w:val="22"/>
          <w:szCs w:val="22"/>
          <w:u w:val="none"/>
        </w:rPr>
        <w:t>.</w:t>
      </w:r>
    </w:p>
    <w:p w:rsidR="008A50E1" w:rsidRPr="00DA2601" w:rsidRDefault="008A50E1" w:rsidP="008A50E1">
      <w:pPr>
        <w:pStyle w:val="BodyText"/>
        <w:spacing w:before="120" w:after="0" w:line="276" w:lineRule="auto"/>
        <w:rPr>
          <w:rFonts w:ascii="Arial" w:hAnsi="Arial" w:cs="Arial"/>
          <w:b/>
          <w:sz w:val="22"/>
          <w:szCs w:val="22"/>
        </w:rPr>
      </w:pPr>
    </w:p>
    <w:p w:rsidR="008A50E1" w:rsidRPr="00DA2601" w:rsidRDefault="008A50E1" w:rsidP="008A50E1">
      <w:pPr>
        <w:pStyle w:val="BodyText"/>
        <w:spacing w:before="120" w:after="0" w:line="276" w:lineRule="auto"/>
        <w:rPr>
          <w:rFonts w:ascii="Arial" w:hAnsi="Arial" w:cs="Arial"/>
          <w:b/>
          <w:sz w:val="22"/>
          <w:szCs w:val="22"/>
        </w:rPr>
      </w:pPr>
      <w:r w:rsidRPr="00DA2601">
        <w:rPr>
          <w:rFonts w:ascii="Arial" w:hAnsi="Arial" w:cs="Arial"/>
          <w:b/>
          <w:sz w:val="22"/>
          <w:szCs w:val="22"/>
        </w:rPr>
        <w:t>Data sources</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The statistics for England and Wales are derived from administrative records of the Insolvency Service and Companies House, both of which are Executive Agencies of the Department for Business, Innovation and Skills (BIS). For Scotland, the company insolvency statistics are derived from administrative records at Companies House, while figures for individual insolvencies in Scotland are sourced from the Office of the Accountant in Bankruptcy (</w:t>
      </w:r>
      <w:proofErr w:type="spellStart"/>
      <w:r w:rsidRPr="00DA2601">
        <w:rPr>
          <w:rFonts w:ascii="Arial" w:hAnsi="Arial" w:cs="Arial"/>
          <w:sz w:val="22"/>
          <w:szCs w:val="22"/>
        </w:rPr>
        <w:t>AiB</w:t>
      </w:r>
      <w:proofErr w:type="spellEnd"/>
      <w:r w:rsidRPr="00DA2601">
        <w:rPr>
          <w:rFonts w:ascii="Arial" w:hAnsi="Arial" w:cs="Arial"/>
          <w:sz w:val="22"/>
          <w:szCs w:val="22"/>
        </w:rPr>
        <w:t>). The Northern Ireland statistics are derived from administrative records of the DETI Insolvency Service and from Companies House.</w:t>
      </w:r>
      <w:r w:rsidRPr="008F46A2">
        <w:rPr>
          <w:rFonts w:ascii="Arial" w:hAnsi="Arial" w:cs="Arial"/>
          <w:sz w:val="22"/>
          <w:szCs w:val="22"/>
        </w:rPr>
        <w:t xml:space="preserve"> </w:t>
      </w:r>
      <w:r w:rsidRPr="00DA2601">
        <w:rPr>
          <w:rFonts w:ascii="Arial" w:hAnsi="Arial" w:cs="Arial"/>
          <w:sz w:val="22"/>
          <w:szCs w:val="22"/>
        </w:rPr>
        <w:t xml:space="preserve">The adult (18+) population data for England and Wales </w:t>
      </w:r>
      <w:r>
        <w:rPr>
          <w:rFonts w:ascii="Arial" w:hAnsi="Arial" w:cs="Arial"/>
          <w:sz w:val="22"/>
          <w:szCs w:val="22"/>
        </w:rPr>
        <w:t xml:space="preserve">(used in the calculation of individual insolvency rates) </w:t>
      </w:r>
      <w:r w:rsidRPr="00DA2601">
        <w:rPr>
          <w:rFonts w:ascii="Arial" w:hAnsi="Arial" w:cs="Arial"/>
          <w:sz w:val="22"/>
          <w:szCs w:val="22"/>
        </w:rPr>
        <w:t xml:space="preserve">are created using annual mid-year population estimates by single year of age sourced from the ONS Population Estimates Unit: </w:t>
      </w:r>
      <w:hyperlink r:id="rId41" w:history="1">
        <w:r w:rsidRPr="00DA2601">
          <w:rPr>
            <w:rStyle w:val="Hyperlink"/>
            <w:rFonts w:ascii="Arial" w:hAnsi="Arial" w:cs="Arial"/>
            <w:sz w:val="22"/>
            <w:szCs w:val="22"/>
          </w:rPr>
          <w:t>http://www.ons.gov.uk/ons/taxonomy/index.html?nscl=Population+Estimates</w:t>
        </w:r>
      </w:hyperlink>
    </w:p>
    <w:p w:rsidR="008A50E1" w:rsidRPr="00DA2601" w:rsidRDefault="008A50E1" w:rsidP="008A50E1">
      <w:pPr>
        <w:pStyle w:val="BodyText"/>
        <w:spacing w:before="120" w:after="0" w:line="276" w:lineRule="auto"/>
        <w:rPr>
          <w:rFonts w:ascii="Arial" w:hAnsi="Arial" w:cs="Arial"/>
          <w:sz w:val="22"/>
          <w:szCs w:val="22"/>
        </w:rPr>
      </w:pPr>
    </w:p>
    <w:p w:rsidR="008A50E1" w:rsidRPr="00DA2601" w:rsidRDefault="008A50E1" w:rsidP="008A50E1">
      <w:pPr>
        <w:pStyle w:val="BodyText"/>
        <w:spacing w:before="120" w:after="0" w:line="276" w:lineRule="auto"/>
        <w:rPr>
          <w:rFonts w:ascii="Arial" w:hAnsi="Arial" w:cs="Arial"/>
          <w:b/>
          <w:sz w:val="22"/>
          <w:szCs w:val="22"/>
        </w:rPr>
      </w:pPr>
      <w:r w:rsidRPr="00DA2601">
        <w:rPr>
          <w:rFonts w:ascii="Arial" w:hAnsi="Arial" w:cs="Arial"/>
          <w:b/>
          <w:sz w:val="22"/>
          <w:szCs w:val="22"/>
        </w:rPr>
        <w:t>Methodology</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The statistics are produced via tabulation of raw data collected from the various sources.</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The methods used to produce breakdowns by industry are described in more detail in the accompanying Excel file.</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Seasonal adjustment is performed on certain data series. The X13-ARIMA-SEATS program (developed by the US Census Bureau) is used for the seasonal adjustment of the </w:t>
      </w:r>
      <w:r w:rsidRPr="00AC1E8C">
        <w:rPr>
          <w:rFonts w:ascii="Arial" w:hAnsi="Arial" w:cs="Arial"/>
          <w:i/>
          <w:sz w:val="22"/>
          <w:szCs w:val="22"/>
        </w:rPr>
        <w:t>Insolvency</w:t>
      </w:r>
      <w:r w:rsidR="008142E6" w:rsidRPr="00AC1E8C">
        <w:rPr>
          <w:rFonts w:ascii="Arial" w:hAnsi="Arial" w:cs="Arial"/>
          <w:i/>
          <w:sz w:val="22"/>
          <w:szCs w:val="22"/>
        </w:rPr>
        <w:t xml:space="preserve"> Statistics</w:t>
      </w:r>
      <w:r w:rsidRPr="00DA2601">
        <w:rPr>
          <w:rFonts w:ascii="Arial" w:hAnsi="Arial" w:cs="Arial"/>
          <w:sz w:val="22"/>
          <w:szCs w:val="22"/>
        </w:rPr>
        <w:t xml:space="preserve">, this being the recommended program within UK National Statistics.  Seasonal adjustment models are reviewed annually: the most recent review was completed in April 2014 with the outcome published at </w:t>
      </w:r>
      <w:hyperlink r:id="rId42" w:history="1">
        <w:r w:rsidRPr="00DA2601">
          <w:rPr>
            <w:rStyle w:val="Hyperlink"/>
            <w:rFonts w:ascii="Arial" w:hAnsi="Arial" w:cs="Arial"/>
            <w:sz w:val="22"/>
            <w:szCs w:val="22"/>
          </w:rPr>
          <w:t>https://www.gov.uk/government/publications/insolvency-statistics-january-to-march-2014</w:t>
        </w:r>
      </w:hyperlink>
      <w:r w:rsidRPr="00DA2601">
        <w:rPr>
          <w:rFonts w:ascii="Arial" w:hAnsi="Arial" w:cs="Arial"/>
          <w:sz w:val="22"/>
          <w:szCs w:val="22"/>
        </w:rPr>
        <w:t>. In this latest review, the series for compulsory liquidations was found not to exhibit seasonal patterns, so adjustment has been discontinued.</w:t>
      </w:r>
    </w:p>
    <w:p w:rsidR="008A50E1" w:rsidRPr="00DA2601" w:rsidRDefault="008A50E1" w:rsidP="008A50E1">
      <w:pPr>
        <w:pStyle w:val="BodyText"/>
        <w:spacing w:before="120" w:after="0" w:line="276" w:lineRule="auto"/>
        <w:rPr>
          <w:rFonts w:ascii="Arial" w:hAnsi="Arial" w:cs="Arial"/>
          <w:sz w:val="22"/>
          <w:szCs w:val="22"/>
        </w:rPr>
      </w:pPr>
    </w:p>
    <w:p w:rsidR="008A50E1" w:rsidRPr="00DA2601" w:rsidRDefault="008A50E1" w:rsidP="008A50E1">
      <w:pPr>
        <w:pStyle w:val="BodyText"/>
        <w:spacing w:before="120" w:after="0" w:line="276" w:lineRule="auto"/>
        <w:rPr>
          <w:rFonts w:ascii="Arial" w:hAnsi="Arial" w:cs="Arial"/>
          <w:sz w:val="22"/>
          <w:szCs w:val="22"/>
        </w:rPr>
      </w:pPr>
      <w:r w:rsidRPr="00DA2601">
        <w:rPr>
          <w:rFonts w:ascii="Arial" w:hAnsi="Arial" w:cs="Arial"/>
          <w:b/>
          <w:sz w:val="22"/>
          <w:szCs w:val="22"/>
        </w:rPr>
        <w:t>Revisions</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These statistics are subject to scheduled revisions, as set out in the published </w:t>
      </w:r>
      <w:hyperlink r:id="rId43" w:history="1">
        <w:r w:rsidRPr="00DA2601">
          <w:rPr>
            <w:rStyle w:val="Hyperlink"/>
            <w:rFonts w:ascii="Arial" w:hAnsi="Arial" w:cs="Arial"/>
            <w:sz w:val="22"/>
            <w:szCs w:val="22"/>
          </w:rPr>
          <w:t>revisions policy</w:t>
        </w:r>
      </w:hyperlink>
      <w:r w:rsidRPr="00DA2601">
        <w:rPr>
          <w:rFonts w:ascii="Arial" w:hAnsi="Arial" w:cs="Arial"/>
          <w:sz w:val="22"/>
          <w:szCs w:val="22"/>
        </w:rPr>
        <w:t>. Revisions tend to be made as a result of data being entered onto administrative systems after the cut-off date for data being extracted to produce the statistics. Such revisions tend to be small in the context of overall totals; nonetheless all figures in this release that have been revised since the previous edition have been highlighted in the relevant tables.</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Figures sourced from Companies House (E&amp;W) were revised previously (where appropriate) between 2007 Q1 and 2008 Q1. This reflected inaccuracies identified in the counting of cases during validation following the move to a new IT system in February 2008. The most noticeable revisions were to receiverships (where some companies had been counted more than once); the rest of this series prior to 2007 is not available on a revised basis. However, it should also be noted that because the revised counts have been run against a live database, they do not exactly reflect the original numbers of new cases that would have been reported.</w:t>
      </w:r>
    </w:p>
    <w:p w:rsidR="008A50E1" w:rsidRPr="00DA2601" w:rsidRDefault="008A50E1" w:rsidP="008A50E1">
      <w:pPr>
        <w:pStyle w:val="BodyText"/>
        <w:spacing w:before="120" w:after="0" w:line="276" w:lineRule="auto"/>
        <w:rPr>
          <w:rFonts w:ascii="Arial" w:hAnsi="Arial" w:cs="Arial"/>
          <w:sz w:val="22"/>
          <w:szCs w:val="22"/>
        </w:rPr>
      </w:pPr>
    </w:p>
    <w:p w:rsidR="008A50E1" w:rsidRPr="00DA2601" w:rsidRDefault="008A50E1" w:rsidP="008A50E1">
      <w:pPr>
        <w:spacing w:after="240" w:line="276" w:lineRule="auto"/>
        <w:rPr>
          <w:rFonts w:ascii="Arial" w:hAnsi="Arial" w:cs="Arial"/>
          <w:b/>
          <w:sz w:val="28"/>
          <w:szCs w:val="22"/>
        </w:rPr>
      </w:pPr>
      <w:r w:rsidRPr="00DA2601">
        <w:rPr>
          <w:rFonts w:ascii="Arial" w:hAnsi="Arial" w:cs="Arial"/>
          <w:b/>
          <w:sz w:val="28"/>
          <w:szCs w:val="22"/>
        </w:rPr>
        <w:t>Quality</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This section provides information on the quality of the </w:t>
      </w:r>
      <w:r w:rsidRPr="00DA2601">
        <w:rPr>
          <w:rFonts w:ascii="Arial" w:hAnsi="Arial" w:cs="Arial"/>
          <w:i/>
          <w:sz w:val="22"/>
          <w:szCs w:val="22"/>
        </w:rPr>
        <w:t>Insolvency Statistics</w:t>
      </w:r>
      <w:r w:rsidRPr="00DA2601">
        <w:rPr>
          <w:rFonts w:ascii="Arial" w:hAnsi="Arial" w:cs="Arial"/>
          <w:sz w:val="22"/>
          <w:szCs w:val="22"/>
        </w:rPr>
        <w:t xml:space="preserve">, to enable users to judge whether or not the data are of sufficient quality for their intended use. The section is structured in terms of the six quality dimensions of the </w:t>
      </w:r>
      <w:hyperlink r:id="rId44" w:history="1">
        <w:r w:rsidRPr="00DA2601">
          <w:rPr>
            <w:rStyle w:val="Hyperlink"/>
            <w:rFonts w:ascii="Arial" w:hAnsi="Arial" w:cs="Arial"/>
            <w:sz w:val="22"/>
            <w:szCs w:val="22"/>
          </w:rPr>
          <w:t>European Statistical System</w:t>
        </w:r>
      </w:hyperlink>
      <w:r w:rsidRPr="00DA2601">
        <w:rPr>
          <w:rFonts w:ascii="Arial" w:hAnsi="Arial" w:cs="Arial"/>
          <w:sz w:val="22"/>
          <w:szCs w:val="22"/>
        </w:rPr>
        <w:t xml:space="preserve">. Further information can be found in the </w:t>
      </w:r>
      <w:hyperlink r:id="rId45" w:history="1">
        <w:r w:rsidRPr="00DA2601">
          <w:rPr>
            <w:rStyle w:val="Hyperlink"/>
            <w:rFonts w:ascii="Arial" w:hAnsi="Arial" w:cs="Arial"/>
            <w:sz w:val="22"/>
            <w:szCs w:val="22"/>
          </w:rPr>
          <w:t>statement on quality strategy, principles and processes</w:t>
        </w:r>
      </w:hyperlink>
      <w:r w:rsidRPr="00DA2601">
        <w:rPr>
          <w:rFonts w:ascii="Arial" w:hAnsi="Arial" w:cs="Arial"/>
          <w:sz w:val="22"/>
          <w:szCs w:val="22"/>
        </w:rPr>
        <w:t>, which cover all Official Statistics outputs from the Insolvency Service.</w:t>
      </w:r>
    </w:p>
    <w:p w:rsidR="008A50E1" w:rsidRPr="00DA2601" w:rsidRDefault="008A50E1" w:rsidP="008A50E1">
      <w:pPr>
        <w:spacing w:before="120"/>
        <w:outlineLvl w:val="0"/>
        <w:rPr>
          <w:rFonts w:ascii="Arial" w:hAnsi="Arial" w:cs="Arial"/>
          <w:b/>
          <w:sz w:val="22"/>
          <w:szCs w:val="22"/>
        </w:rPr>
      </w:pPr>
    </w:p>
    <w:p w:rsidR="008A50E1" w:rsidRPr="00DA2601" w:rsidRDefault="008A50E1" w:rsidP="008A50E1">
      <w:pPr>
        <w:keepNext/>
        <w:spacing w:before="120"/>
        <w:outlineLvl w:val="0"/>
        <w:rPr>
          <w:rFonts w:ascii="Arial" w:hAnsi="Arial" w:cs="Arial"/>
          <w:i/>
          <w:sz w:val="22"/>
          <w:szCs w:val="22"/>
        </w:rPr>
      </w:pPr>
      <w:r w:rsidRPr="00DA2601">
        <w:rPr>
          <w:rFonts w:ascii="Arial" w:hAnsi="Arial" w:cs="Arial"/>
          <w:b/>
          <w:sz w:val="22"/>
          <w:szCs w:val="22"/>
        </w:rPr>
        <w:t xml:space="preserve">Relevance </w:t>
      </w:r>
      <w:r w:rsidRPr="00DA2601">
        <w:rPr>
          <w:rFonts w:ascii="Arial" w:hAnsi="Arial" w:cs="Arial"/>
          <w:i/>
          <w:sz w:val="22"/>
          <w:szCs w:val="22"/>
        </w:rPr>
        <w:t>(the degree to which the statistical product meets user needs for both coverage and content)</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The </w:t>
      </w:r>
      <w:r w:rsidRPr="00AC1E8C">
        <w:rPr>
          <w:rFonts w:ascii="Arial" w:hAnsi="Arial" w:cs="Arial"/>
          <w:i/>
          <w:sz w:val="22"/>
          <w:szCs w:val="22"/>
        </w:rPr>
        <w:t>Insolvency Statistics</w:t>
      </w:r>
      <w:r w:rsidRPr="00DA2601">
        <w:rPr>
          <w:rFonts w:ascii="Arial" w:hAnsi="Arial" w:cs="Arial"/>
          <w:sz w:val="22"/>
          <w:szCs w:val="22"/>
        </w:rPr>
        <w:t xml:space="preserve"> are the most comprehensive record of the number of corporate and individual insolvencies in England and Wales. They include all formal types of insolvency procedure currently available. Insolvencies in Scotland and Northern Ireland are also included, but are shown separately as they are covered by separate legislation</w:t>
      </w:r>
      <w:r w:rsidR="001D510F">
        <w:rPr>
          <w:rFonts w:ascii="Arial" w:hAnsi="Arial" w:cs="Arial"/>
          <w:sz w:val="22"/>
          <w:szCs w:val="22"/>
        </w:rPr>
        <w:t>.</w:t>
      </w:r>
      <w:r w:rsidRPr="00DA2601">
        <w:rPr>
          <w:rFonts w:ascii="Arial" w:hAnsi="Arial" w:cs="Arial"/>
          <w:sz w:val="22"/>
          <w:szCs w:val="22"/>
        </w:rPr>
        <w:t xml:space="preserve"> </w:t>
      </w:r>
      <w:r w:rsidR="001D510F">
        <w:rPr>
          <w:rFonts w:ascii="Arial" w:hAnsi="Arial" w:cs="Arial"/>
          <w:sz w:val="22"/>
          <w:szCs w:val="22"/>
        </w:rPr>
        <w:t>T</w:t>
      </w:r>
      <w:r w:rsidRPr="00DA2601">
        <w:rPr>
          <w:rFonts w:ascii="Arial" w:hAnsi="Arial" w:cs="Arial"/>
          <w:sz w:val="22"/>
          <w:szCs w:val="22"/>
        </w:rPr>
        <w:t>here are some differences in definition, and policy responsibility for them lies within the devolved administrations. The Statistics Release itself covers the most recent 10 years of annual and quarterly figures; while historic data series are also available (back to 1960 in some cases), as are related sets of Official Statistics on insolvency.</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Key users of </w:t>
      </w:r>
      <w:r w:rsidR="008F7A73">
        <w:rPr>
          <w:rFonts w:ascii="Arial" w:hAnsi="Arial" w:cs="Arial"/>
          <w:sz w:val="22"/>
          <w:szCs w:val="22"/>
        </w:rPr>
        <w:t xml:space="preserve">the </w:t>
      </w:r>
      <w:r w:rsidR="008F7A73" w:rsidRPr="00AC1E8C">
        <w:rPr>
          <w:rFonts w:ascii="Arial" w:hAnsi="Arial" w:cs="Arial"/>
          <w:i/>
          <w:sz w:val="22"/>
          <w:szCs w:val="22"/>
        </w:rPr>
        <w:t>I</w:t>
      </w:r>
      <w:r w:rsidRPr="00AC1E8C">
        <w:rPr>
          <w:rFonts w:ascii="Arial" w:hAnsi="Arial" w:cs="Arial"/>
          <w:i/>
          <w:sz w:val="22"/>
          <w:szCs w:val="22"/>
        </w:rPr>
        <w:t xml:space="preserve">nsolvency </w:t>
      </w:r>
      <w:r w:rsidR="008F7A73" w:rsidRPr="00AC1E8C">
        <w:rPr>
          <w:rFonts w:ascii="Arial" w:hAnsi="Arial" w:cs="Arial"/>
          <w:i/>
          <w:sz w:val="22"/>
          <w:szCs w:val="22"/>
        </w:rPr>
        <w:t>S</w:t>
      </w:r>
      <w:r w:rsidRPr="00AC1E8C">
        <w:rPr>
          <w:rFonts w:ascii="Arial" w:hAnsi="Arial" w:cs="Arial"/>
          <w:i/>
          <w:sz w:val="22"/>
          <w:szCs w:val="22"/>
        </w:rPr>
        <w:t>tatistics</w:t>
      </w:r>
      <w:r w:rsidRPr="00DA2601">
        <w:rPr>
          <w:rFonts w:ascii="Arial" w:hAnsi="Arial" w:cs="Arial"/>
          <w:sz w:val="22"/>
          <w:szCs w:val="22"/>
        </w:rPr>
        <w:t xml:space="preserve"> include the Insolvency Service itself, which has policy responsibility for insolvency in England and Wales and for the non-devolved areas within Scotland and Northern Ireland; other government departments; parliament; the insolvency profession; debt advice agencies; media organisations; academics; the financial sector; the business community and the general public. The headline quarterly statistics are widely reported in national, regional and specialist media on the day of release.</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The statistical production team welcome</w:t>
      </w:r>
      <w:r w:rsidR="008142E6">
        <w:rPr>
          <w:rFonts w:ascii="Arial" w:hAnsi="Arial" w:cs="Arial"/>
          <w:sz w:val="22"/>
          <w:szCs w:val="22"/>
        </w:rPr>
        <w:t>s</w:t>
      </w:r>
      <w:r w:rsidRPr="00DA2601">
        <w:rPr>
          <w:rFonts w:ascii="Arial" w:hAnsi="Arial" w:cs="Arial"/>
          <w:sz w:val="22"/>
          <w:szCs w:val="22"/>
        </w:rPr>
        <w:t xml:space="preserve"> feedback from users of the </w:t>
      </w:r>
      <w:r w:rsidRPr="00AC1E8C">
        <w:rPr>
          <w:rFonts w:ascii="Arial" w:hAnsi="Arial" w:cs="Arial"/>
          <w:i/>
          <w:sz w:val="22"/>
          <w:szCs w:val="22"/>
        </w:rPr>
        <w:t>Insolvency Statistics</w:t>
      </w:r>
      <w:r w:rsidRPr="00DA2601">
        <w:rPr>
          <w:rFonts w:ascii="Arial" w:hAnsi="Arial" w:cs="Arial"/>
          <w:sz w:val="22"/>
          <w:szCs w:val="22"/>
        </w:rPr>
        <w:t xml:space="preserve"> (current contact details are provided at the end of these Notes). More formal engagement with users has recently included a </w:t>
      </w:r>
      <w:hyperlink r:id="rId46" w:history="1">
        <w:r w:rsidRPr="00DA2601">
          <w:rPr>
            <w:rStyle w:val="Hyperlink"/>
            <w:rFonts w:ascii="Arial" w:hAnsi="Arial" w:cs="Arial"/>
            <w:sz w:val="22"/>
            <w:szCs w:val="22"/>
          </w:rPr>
          <w:t>user feedback survey</w:t>
        </w:r>
      </w:hyperlink>
      <w:r w:rsidRPr="00DA2601">
        <w:rPr>
          <w:rFonts w:ascii="Arial" w:hAnsi="Arial" w:cs="Arial"/>
          <w:sz w:val="22"/>
          <w:szCs w:val="22"/>
        </w:rPr>
        <w:t xml:space="preserve"> on Insolvency Service Official Statistics.</w:t>
      </w:r>
    </w:p>
    <w:p w:rsidR="008A50E1" w:rsidRPr="00DA2601" w:rsidRDefault="008A50E1" w:rsidP="008A50E1">
      <w:pPr>
        <w:pStyle w:val="BodyText"/>
        <w:spacing w:before="120" w:after="0"/>
        <w:rPr>
          <w:rFonts w:ascii="Arial" w:hAnsi="Arial" w:cs="Arial"/>
          <w:sz w:val="22"/>
          <w:szCs w:val="22"/>
        </w:rPr>
      </w:pPr>
    </w:p>
    <w:p w:rsidR="008A50E1" w:rsidRPr="00DA2601" w:rsidRDefault="008A50E1" w:rsidP="008A50E1">
      <w:pPr>
        <w:pStyle w:val="BodyText"/>
        <w:spacing w:before="120" w:after="0"/>
        <w:rPr>
          <w:rFonts w:ascii="Arial" w:hAnsi="Arial" w:cs="Arial"/>
          <w:i/>
          <w:sz w:val="22"/>
          <w:szCs w:val="22"/>
        </w:rPr>
      </w:pPr>
      <w:r w:rsidRPr="00DA2601">
        <w:rPr>
          <w:rFonts w:ascii="Arial" w:hAnsi="Arial" w:cs="Arial"/>
          <w:b/>
          <w:sz w:val="22"/>
          <w:szCs w:val="22"/>
        </w:rPr>
        <w:t xml:space="preserve">Accuracy and Completeness </w:t>
      </w:r>
      <w:r w:rsidRPr="00DA2601">
        <w:rPr>
          <w:rFonts w:ascii="Arial" w:hAnsi="Arial" w:cs="Arial"/>
          <w:i/>
          <w:sz w:val="22"/>
          <w:szCs w:val="22"/>
        </w:rPr>
        <w:t>(including the closeness between an estimated or stated result and the [unknown] true value)</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All formal insolvency procedures entered into by a company, a partnership or an individual are required by law to be reported to the appropriate body, so the statistics should be a complete record of insolvency in the United Kingdom.</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Generally speaking, numbers of cases are based on the date the insolvency procedure was registered on the administrative recording system, not on the date of the order or agreement. The implication of this is that the published figures should capture all cases (on that definition) in a particular reporting period and they will not be influenced by, for example, the late reporting of orders made leading to missing data.  The exceptions for England and Wales are compulsory liquidations and bankruptcy orders (since Q2 2011), and debt relief orders (since </w:t>
      </w:r>
      <w:r>
        <w:rPr>
          <w:rFonts w:ascii="Arial" w:hAnsi="Arial" w:cs="Arial"/>
          <w:sz w:val="22"/>
          <w:szCs w:val="22"/>
        </w:rPr>
        <w:t>their implementation</w:t>
      </w:r>
      <w:r w:rsidRPr="00DA2601">
        <w:rPr>
          <w:rFonts w:ascii="Arial" w:hAnsi="Arial" w:cs="Arial"/>
          <w:sz w:val="22"/>
          <w:szCs w:val="22"/>
        </w:rPr>
        <w:t xml:space="preserve"> in April 2009), for which new case numbers are reported against the date of the court order. This should be noted when making comparisons of trends over time. Checks are in place to identify and remove duplication of cases, to ensure that returns cover all reporting areas, and to check consistency within tables and between related tables.</w:t>
      </w:r>
    </w:p>
    <w:p w:rsidR="008A50E1" w:rsidRPr="00DA2601" w:rsidRDefault="008A50E1" w:rsidP="008A50E1">
      <w:pPr>
        <w:autoSpaceDE w:val="0"/>
        <w:autoSpaceDN w:val="0"/>
        <w:adjustRightInd w:val="0"/>
        <w:jc w:val="both"/>
        <w:rPr>
          <w:rFonts w:ascii="Arial" w:hAnsi="Arial" w:cs="Arial"/>
          <w:sz w:val="22"/>
          <w:szCs w:val="22"/>
        </w:rPr>
      </w:pPr>
    </w:p>
    <w:p w:rsidR="008A50E1" w:rsidRPr="00DA2601" w:rsidRDefault="008A50E1" w:rsidP="008A50E1">
      <w:pPr>
        <w:autoSpaceDE w:val="0"/>
        <w:autoSpaceDN w:val="0"/>
        <w:adjustRightInd w:val="0"/>
        <w:rPr>
          <w:rFonts w:ascii="Arial" w:hAnsi="Arial" w:cs="Arial"/>
          <w:b/>
          <w:sz w:val="22"/>
          <w:szCs w:val="22"/>
        </w:rPr>
      </w:pPr>
    </w:p>
    <w:p w:rsidR="008A50E1" w:rsidRPr="00DA2601" w:rsidRDefault="008A50E1" w:rsidP="008A50E1">
      <w:pPr>
        <w:autoSpaceDE w:val="0"/>
        <w:autoSpaceDN w:val="0"/>
        <w:adjustRightInd w:val="0"/>
        <w:rPr>
          <w:rFonts w:ascii="Arial" w:hAnsi="Arial" w:cs="Arial"/>
          <w:i/>
          <w:sz w:val="22"/>
          <w:szCs w:val="22"/>
        </w:rPr>
      </w:pPr>
      <w:r w:rsidRPr="00DA2601">
        <w:rPr>
          <w:rFonts w:ascii="Arial" w:hAnsi="Arial" w:cs="Arial"/>
          <w:b/>
          <w:sz w:val="22"/>
          <w:szCs w:val="22"/>
        </w:rPr>
        <w:t>Coherence</w:t>
      </w:r>
      <w:r w:rsidRPr="00DA2601">
        <w:rPr>
          <w:rFonts w:ascii="Arial" w:hAnsi="Arial" w:cs="Arial"/>
          <w:sz w:val="22"/>
          <w:szCs w:val="22"/>
        </w:rPr>
        <w:t xml:space="preserve"> </w:t>
      </w:r>
      <w:r w:rsidRPr="00DA2601">
        <w:rPr>
          <w:rFonts w:ascii="Arial" w:hAnsi="Arial" w:cs="Arial"/>
          <w:i/>
          <w:sz w:val="22"/>
          <w:szCs w:val="22"/>
        </w:rPr>
        <w:t>(the degree to which data which are derived from different sources or methods, but which refer to the same phenomenon, are similar)</w:t>
      </w:r>
    </w:p>
    <w:p w:rsidR="008A50E1" w:rsidRPr="00DA2601" w:rsidRDefault="008A50E1" w:rsidP="008A50E1">
      <w:pPr>
        <w:pStyle w:val="BodyText"/>
        <w:spacing w:before="120" w:after="0"/>
        <w:rPr>
          <w:rFonts w:ascii="Arial" w:hAnsi="Arial" w:cs="Arial"/>
          <w:color w:val="FF0000"/>
          <w:sz w:val="22"/>
          <w:szCs w:val="22"/>
        </w:rPr>
      </w:pPr>
      <w:r w:rsidRPr="00DA2601">
        <w:rPr>
          <w:rFonts w:ascii="Arial" w:hAnsi="Arial" w:cs="Arial"/>
          <w:sz w:val="22"/>
          <w:szCs w:val="22"/>
        </w:rPr>
        <w:t xml:space="preserve">The Insolvency Service also publishes individual insolvency statistics on a regional basis, and outcome statistics for individual voluntary arrangements, both as Official Statistics. These report figures on an annual basis, and they differ from the headline quarterly </w:t>
      </w:r>
      <w:r w:rsidRPr="00AC1E8C">
        <w:rPr>
          <w:rFonts w:ascii="Arial" w:hAnsi="Arial" w:cs="Arial"/>
          <w:i/>
          <w:sz w:val="22"/>
          <w:szCs w:val="22"/>
        </w:rPr>
        <w:t>Insolvency Statistics</w:t>
      </w:r>
      <w:r w:rsidRPr="00DA2601">
        <w:rPr>
          <w:rFonts w:ascii="Arial" w:hAnsi="Arial" w:cs="Arial"/>
          <w:sz w:val="22"/>
          <w:szCs w:val="22"/>
        </w:rPr>
        <w:t xml:space="preserve"> in that there are some differences in the case selection criteria and/or the database from which they are sourced; this means that the totals are not identical between different outputs.</w:t>
      </w:r>
    </w:p>
    <w:p w:rsidR="008A50E1" w:rsidRPr="00DA2601" w:rsidRDefault="00AC1E8C" w:rsidP="008A50E1">
      <w:pPr>
        <w:pStyle w:val="BodyText"/>
        <w:spacing w:before="120" w:after="0"/>
        <w:rPr>
          <w:rFonts w:ascii="Arial" w:hAnsi="Arial" w:cs="Arial"/>
          <w:color w:val="FF0000"/>
          <w:sz w:val="22"/>
          <w:szCs w:val="22"/>
        </w:rPr>
      </w:pPr>
      <w:hyperlink r:id="rId47" w:history="1">
        <w:r w:rsidR="008A50E1" w:rsidRPr="00DA2601">
          <w:rPr>
            <w:rStyle w:val="Hyperlink"/>
            <w:rFonts w:ascii="Arial" w:hAnsi="Arial" w:cs="Arial"/>
            <w:sz w:val="22"/>
            <w:szCs w:val="22"/>
          </w:rPr>
          <w:t>Companies House</w:t>
        </w:r>
      </w:hyperlink>
      <w:r w:rsidR="008A50E1" w:rsidRPr="00DA2601">
        <w:rPr>
          <w:rFonts w:ascii="Arial" w:hAnsi="Arial" w:cs="Arial"/>
          <w:sz w:val="22"/>
          <w:szCs w:val="22"/>
        </w:rPr>
        <w:t xml:space="preserve"> produces monthly official statistics on company insolvencies registered each week, and totals for the period covered by the publication (either four or five weeks). These are not consistent with the </w:t>
      </w:r>
      <w:r w:rsidR="008A50E1" w:rsidRPr="00DA2601">
        <w:rPr>
          <w:rFonts w:ascii="Arial" w:hAnsi="Arial" w:cs="Arial"/>
          <w:i/>
          <w:sz w:val="22"/>
          <w:szCs w:val="22"/>
        </w:rPr>
        <w:t>Insolvency Statistics</w:t>
      </w:r>
      <w:r w:rsidR="008A50E1" w:rsidRPr="00DA2601">
        <w:rPr>
          <w:rFonts w:ascii="Arial" w:hAnsi="Arial" w:cs="Arial"/>
          <w:sz w:val="22"/>
          <w:szCs w:val="22"/>
        </w:rPr>
        <w:t>, which cover calendar quarters.</w:t>
      </w:r>
    </w:p>
    <w:p w:rsidR="008A50E1" w:rsidRPr="00DA2601" w:rsidRDefault="008A50E1" w:rsidP="008A50E1">
      <w:pPr>
        <w:pStyle w:val="BodyText"/>
        <w:spacing w:before="120" w:after="0"/>
        <w:rPr>
          <w:rFonts w:ascii="Arial" w:hAnsi="Arial" w:cs="Arial"/>
          <w:color w:val="FF0000"/>
          <w:sz w:val="22"/>
          <w:szCs w:val="22"/>
        </w:rPr>
      </w:pPr>
      <w:r w:rsidRPr="00DA2601">
        <w:rPr>
          <w:rFonts w:ascii="Arial" w:hAnsi="Arial" w:cs="Arial"/>
          <w:sz w:val="22"/>
          <w:szCs w:val="22"/>
        </w:rPr>
        <w:t xml:space="preserve">The </w:t>
      </w:r>
      <w:hyperlink r:id="rId48" w:history="1">
        <w:r w:rsidRPr="00DA2601">
          <w:rPr>
            <w:rStyle w:val="Hyperlink"/>
            <w:rFonts w:ascii="Arial" w:hAnsi="Arial" w:cs="Arial"/>
            <w:sz w:val="22"/>
            <w:szCs w:val="22"/>
          </w:rPr>
          <w:t>Accountant in Bankruptcy</w:t>
        </w:r>
      </w:hyperlink>
      <w:r w:rsidRPr="00DA2601">
        <w:rPr>
          <w:rFonts w:ascii="Arial" w:hAnsi="Arial" w:cs="Arial"/>
          <w:sz w:val="22"/>
          <w:szCs w:val="22"/>
        </w:rPr>
        <w:t xml:space="preserve"> (</w:t>
      </w:r>
      <w:proofErr w:type="spellStart"/>
      <w:r w:rsidRPr="00DA2601">
        <w:rPr>
          <w:rFonts w:ascii="Arial" w:hAnsi="Arial" w:cs="Arial"/>
          <w:sz w:val="22"/>
          <w:szCs w:val="22"/>
        </w:rPr>
        <w:t>AiB</w:t>
      </w:r>
      <w:proofErr w:type="spellEnd"/>
      <w:r w:rsidRPr="00DA2601">
        <w:rPr>
          <w:rFonts w:ascii="Arial" w:hAnsi="Arial" w:cs="Arial"/>
          <w:sz w:val="22"/>
          <w:szCs w:val="22"/>
        </w:rPr>
        <w:t xml:space="preserve">) is required to be notified of all company liquidations and receiverships in Scotland, and publishes quarterly official statistics based on its own administrative records. These differ from the </w:t>
      </w:r>
      <w:r w:rsidRPr="00AC1E8C">
        <w:rPr>
          <w:rFonts w:ascii="Arial" w:hAnsi="Arial" w:cs="Arial"/>
          <w:i/>
          <w:sz w:val="22"/>
          <w:szCs w:val="22"/>
        </w:rPr>
        <w:t>Insolvency Statistics</w:t>
      </w:r>
      <w:r w:rsidRPr="00DA2601">
        <w:rPr>
          <w:rFonts w:ascii="Arial" w:hAnsi="Arial" w:cs="Arial"/>
          <w:sz w:val="22"/>
          <w:szCs w:val="22"/>
        </w:rPr>
        <w:t>, which use data from Companies House as the source. Differences are due to Companies House data using the registration date</w:t>
      </w:r>
      <w:r>
        <w:rPr>
          <w:rFonts w:ascii="Arial" w:hAnsi="Arial" w:cs="Arial"/>
          <w:sz w:val="22"/>
          <w:szCs w:val="22"/>
        </w:rPr>
        <w:t xml:space="preserve"> on its own administrative system</w:t>
      </w:r>
      <w:r w:rsidRPr="00DA2601">
        <w:rPr>
          <w:rFonts w:ascii="Arial" w:hAnsi="Arial" w:cs="Arial"/>
          <w:sz w:val="22"/>
          <w:szCs w:val="22"/>
        </w:rPr>
        <w:t xml:space="preserve">, and the Accountant in Bankruptcy using </w:t>
      </w:r>
      <w:r>
        <w:rPr>
          <w:rFonts w:ascii="Arial" w:hAnsi="Arial" w:cs="Arial"/>
          <w:sz w:val="22"/>
          <w:szCs w:val="22"/>
        </w:rPr>
        <w:t xml:space="preserve">its own administrative system’s </w:t>
      </w:r>
      <w:r w:rsidRPr="00DA2601">
        <w:rPr>
          <w:rFonts w:ascii="Arial" w:hAnsi="Arial" w:cs="Arial"/>
          <w:sz w:val="22"/>
          <w:szCs w:val="22"/>
        </w:rPr>
        <w:t xml:space="preserve">date. </w:t>
      </w:r>
      <w:proofErr w:type="spellStart"/>
      <w:r w:rsidRPr="00DA2601">
        <w:rPr>
          <w:rFonts w:ascii="Arial" w:hAnsi="Arial" w:cs="Arial"/>
          <w:sz w:val="22"/>
          <w:szCs w:val="22"/>
        </w:rPr>
        <w:t>AiB</w:t>
      </w:r>
      <w:proofErr w:type="spellEnd"/>
      <w:r w:rsidRPr="00DA2601">
        <w:rPr>
          <w:rFonts w:ascii="Arial" w:hAnsi="Arial" w:cs="Arial"/>
          <w:sz w:val="22"/>
          <w:szCs w:val="22"/>
        </w:rPr>
        <w:t xml:space="preserve"> does not publish information on the number of company voluntary arrangements or administrations, which are a reserved matter for the UK government.</w:t>
      </w:r>
    </w:p>
    <w:p w:rsidR="008A50E1" w:rsidRDefault="008A50E1" w:rsidP="008A50E1">
      <w:pPr>
        <w:pStyle w:val="BodyText"/>
        <w:spacing w:before="120" w:after="0"/>
        <w:rPr>
          <w:rFonts w:ascii="Arial" w:hAnsi="Arial" w:cs="Arial"/>
          <w:sz w:val="22"/>
          <w:szCs w:val="22"/>
        </w:rPr>
      </w:pPr>
      <w:proofErr w:type="spellStart"/>
      <w:r w:rsidRPr="00DA2601">
        <w:rPr>
          <w:rFonts w:ascii="Arial" w:hAnsi="Arial" w:cs="Arial"/>
          <w:sz w:val="22"/>
          <w:szCs w:val="22"/>
        </w:rPr>
        <w:lastRenderedPageBreak/>
        <w:t>AiB</w:t>
      </w:r>
      <w:proofErr w:type="spellEnd"/>
      <w:r w:rsidRPr="00DA2601">
        <w:rPr>
          <w:rFonts w:ascii="Arial" w:hAnsi="Arial" w:cs="Arial"/>
          <w:sz w:val="22"/>
          <w:szCs w:val="22"/>
        </w:rPr>
        <w:t xml:space="preserve"> also publishes quarterly statistics on the number of individual insolvencies, which are reproduced in the </w:t>
      </w:r>
      <w:r w:rsidRPr="00DA2601">
        <w:rPr>
          <w:rFonts w:ascii="Arial" w:hAnsi="Arial" w:cs="Arial"/>
          <w:i/>
          <w:sz w:val="22"/>
          <w:szCs w:val="22"/>
        </w:rPr>
        <w:t>Insolvency Statistics</w:t>
      </w:r>
      <w:r w:rsidRPr="00DA2601">
        <w:rPr>
          <w:rFonts w:ascii="Arial" w:hAnsi="Arial" w:cs="Arial"/>
          <w:sz w:val="22"/>
          <w:szCs w:val="22"/>
        </w:rPr>
        <w:t>.</w:t>
      </w:r>
    </w:p>
    <w:p w:rsidR="008A50E1" w:rsidRDefault="008A50E1" w:rsidP="008A50E1">
      <w:pPr>
        <w:pStyle w:val="BodyText"/>
        <w:spacing w:before="120" w:after="0"/>
        <w:rPr>
          <w:rFonts w:ascii="Arial" w:hAnsi="Arial" w:cs="Arial"/>
          <w:sz w:val="22"/>
          <w:szCs w:val="22"/>
          <w:lang w:val="en"/>
        </w:rPr>
      </w:pPr>
      <w:r w:rsidRPr="00DA2601">
        <w:rPr>
          <w:rFonts w:ascii="Arial" w:hAnsi="Arial" w:cs="Arial"/>
          <w:sz w:val="22"/>
          <w:szCs w:val="22"/>
          <w:lang w:val="en"/>
        </w:rPr>
        <w:t xml:space="preserve">The </w:t>
      </w:r>
      <w:hyperlink r:id="rId49" w:history="1">
        <w:r w:rsidRPr="00DA2601">
          <w:rPr>
            <w:rStyle w:val="Hyperlink"/>
            <w:rFonts w:ascii="Arial" w:hAnsi="Arial" w:cs="Arial"/>
            <w:sz w:val="22"/>
            <w:szCs w:val="22"/>
            <w:lang w:val="en"/>
          </w:rPr>
          <w:t>Office for National Statistics</w:t>
        </w:r>
      </w:hyperlink>
      <w:r w:rsidRPr="00DA2601">
        <w:rPr>
          <w:rFonts w:ascii="Arial" w:hAnsi="Arial" w:cs="Arial"/>
          <w:sz w:val="22"/>
          <w:szCs w:val="22"/>
          <w:lang w:val="en"/>
        </w:rPr>
        <w:t xml:space="preserve"> produces annual statistics on business </w:t>
      </w:r>
      <w:r w:rsidR="00343DC4">
        <w:rPr>
          <w:rFonts w:ascii="Arial" w:hAnsi="Arial" w:cs="Arial"/>
          <w:sz w:val="22"/>
          <w:szCs w:val="22"/>
          <w:lang w:val="en"/>
        </w:rPr>
        <w:t>“</w:t>
      </w:r>
      <w:r w:rsidRPr="00DA2601">
        <w:rPr>
          <w:rFonts w:ascii="Arial" w:hAnsi="Arial" w:cs="Arial"/>
          <w:sz w:val="22"/>
          <w:szCs w:val="22"/>
          <w:lang w:val="en"/>
        </w:rPr>
        <w:t>deaths</w:t>
      </w:r>
      <w:r w:rsidR="00343DC4">
        <w:rPr>
          <w:rFonts w:ascii="Arial" w:hAnsi="Arial" w:cs="Arial"/>
          <w:sz w:val="22"/>
          <w:szCs w:val="22"/>
          <w:lang w:val="en"/>
        </w:rPr>
        <w:t>”</w:t>
      </w:r>
      <w:r w:rsidRPr="00DA2601">
        <w:rPr>
          <w:rFonts w:ascii="Arial" w:hAnsi="Arial" w:cs="Arial"/>
          <w:sz w:val="22"/>
          <w:szCs w:val="22"/>
          <w:lang w:val="en"/>
        </w:rPr>
        <w:t xml:space="preserve"> in its </w:t>
      </w:r>
      <w:hyperlink r:id="rId50" w:history="1">
        <w:r w:rsidRPr="00DA2601">
          <w:rPr>
            <w:rStyle w:val="Hyperlink"/>
            <w:rFonts w:ascii="Arial" w:hAnsi="Arial" w:cs="Arial"/>
            <w:sz w:val="22"/>
            <w:szCs w:val="22"/>
            <w:lang w:val="en"/>
          </w:rPr>
          <w:t>Business Demography</w:t>
        </w:r>
      </w:hyperlink>
      <w:r w:rsidRPr="00DA2601">
        <w:rPr>
          <w:rFonts w:ascii="Arial" w:hAnsi="Arial" w:cs="Arial"/>
          <w:sz w:val="22"/>
          <w:szCs w:val="22"/>
          <w:lang w:val="en"/>
        </w:rPr>
        <w:t xml:space="preserve"> publication. These statistics relate to all registered businesses, whereas </w:t>
      </w:r>
      <w:r>
        <w:rPr>
          <w:rFonts w:ascii="Arial" w:hAnsi="Arial" w:cs="Arial"/>
          <w:sz w:val="22"/>
          <w:szCs w:val="22"/>
          <w:lang w:val="en"/>
        </w:rPr>
        <w:t xml:space="preserve">the </w:t>
      </w:r>
      <w:r w:rsidRPr="00DA2601">
        <w:rPr>
          <w:rFonts w:ascii="Arial" w:hAnsi="Arial" w:cs="Arial"/>
          <w:i/>
          <w:sz w:val="22"/>
          <w:szCs w:val="22"/>
          <w:lang w:val="en"/>
        </w:rPr>
        <w:t>Insolvency Statistics</w:t>
      </w:r>
      <w:r w:rsidRPr="00DA2601">
        <w:rPr>
          <w:rFonts w:ascii="Arial" w:hAnsi="Arial" w:cs="Arial"/>
          <w:sz w:val="22"/>
          <w:szCs w:val="22"/>
          <w:lang w:val="en"/>
        </w:rPr>
        <w:t xml:space="preserve"> relate to companies on the Companies House register</w:t>
      </w:r>
      <w:r>
        <w:rPr>
          <w:rFonts w:ascii="Arial" w:hAnsi="Arial" w:cs="Arial"/>
          <w:sz w:val="22"/>
          <w:szCs w:val="22"/>
          <w:lang w:val="en"/>
        </w:rPr>
        <w:t>.</w:t>
      </w:r>
      <w:r w:rsidR="001D510F">
        <w:rPr>
          <w:rFonts w:ascii="Arial" w:hAnsi="Arial" w:cs="Arial"/>
          <w:sz w:val="22"/>
          <w:szCs w:val="22"/>
          <w:lang w:val="en"/>
        </w:rPr>
        <w:t xml:space="preserve"> </w:t>
      </w:r>
      <w:r w:rsidR="00343DC4">
        <w:rPr>
          <w:rFonts w:ascii="Arial" w:hAnsi="Arial" w:cs="Arial"/>
          <w:sz w:val="22"/>
          <w:szCs w:val="22"/>
          <w:lang w:val="en"/>
        </w:rPr>
        <w:t>Not all business deaths are because of insolvency.</w:t>
      </w:r>
    </w:p>
    <w:p w:rsidR="008A50E1" w:rsidRPr="00DA2601" w:rsidRDefault="008A50E1" w:rsidP="008A50E1">
      <w:pPr>
        <w:pStyle w:val="BodyText"/>
        <w:spacing w:before="120" w:after="0"/>
        <w:rPr>
          <w:rFonts w:ascii="Arial" w:hAnsi="Arial" w:cs="Arial"/>
          <w:b/>
          <w:sz w:val="22"/>
          <w:szCs w:val="22"/>
        </w:rPr>
      </w:pPr>
    </w:p>
    <w:p w:rsidR="008A50E1" w:rsidRPr="00DA2601" w:rsidRDefault="008A50E1" w:rsidP="008A50E1">
      <w:pPr>
        <w:autoSpaceDE w:val="0"/>
        <w:autoSpaceDN w:val="0"/>
        <w:adjustRightInd w:val="0"/>
        <w:rPr>
          <w:rFonts w:ascii="Arial" w:hAnsi="Arial" w:cs="Arial"/>
          <w:i/>
          <w:sz w:val="22"/>
          <w:szCs w:val="22"/>
        </w:rPr>
      </w:pPr>
      <w:r w:rsidRPr="00DA2601">
        <w:rPr>
          <w:rFonts w:ascii="Arial" w:hAnsi="Arial" w:cs="Arial"/>
          <w:b/>
          <w:sz w:val="22"/>
          <w:szCs w:val="22"/>
        </w:rPr>
        <w:t xml:space="preserve">Timeliness and Punctuality </w:t>
      </w:r>
      <w:r w:rsidRPr="00DA2601">
        <w:rPr>
          <w:rFonts w:ascii="Arial" w:hAnsi="Arial" w:cs="Arial"/>
          <w:i/>
          <w:sz w:val="22"/>
          <w:szCs w:val="22"/>
        </w:rPr>
        <w:t>(</w:t>
      </w:r>
      <w:r w:rsidRPr="00DA2601">
        <w:rPr>
          <w:rFonts w:ascii="Arial" w:hAnsi="Arial" w:cs="Arial"/>
          <w:i/>
          <w:sz w:val="22"/>
          <w:szCs w:val="22"/>
          <w:lang w:eastAsia="en-GB"/>
        </w:rPr>
        <w:t>Timeliness refers to the elapsed time between publication and the period to which the data refer. Punctuality refers to the time lag between the actual and planned dates of publication.)</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The </w:t>
      </w:r>
      <w:r w:rsidRPr="00AC1E8C">
        <w:rPr>
          <w:rFonts w:ascii="Arial" w:hAnsi="Arial" w:cs="Arial"/>
          <w:i/>
          <w:sz w:val="22"/>
          <w:szCs w:val="22"/>
        </w:rPr>
        <w:t>Insolvency Statistics</w:t>
      </w:r>
      <w:r w:rsidRPr="00DA2601">
        <w:rPr>
          <w:rFonts w:ascii="Arial" w:hAnsi="Arial" w:cs="Arial"/>
          <w:sz w:val="22"/>
          <w:szCs w:val="22"/>
        </w:rPr>
        <w:t xml:space="preserve"> are usually published on the 29th of the month following the end of the quarter being reported on; this is the earliest publication date which ensures receipt of all the data inputs, and allows sufficient time for liaising with data suppliers and completing all the steps between this and compilation of the statistical release in its final form ready for publication. The exception to this is where the 29th falls on a weekend or a Monday, when the statistics will be delayed until the following Tuesday, or brought forward to an earlier date if possible.</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There is a publication schedule for a year ahead available on the UK National Statistics Publication Hub and the statistics have always been published on target.</w:t>
      </w:r>
    </w:p>
    <w:p w:rsidR="008A50E1" w:rsidRPr="00DA2601" w:rsidRDefault="008A50E1" w:rsidP="008A50E1">
      <w:pPr>
        <w:pStyle w:val="BodyText"/>
        <w:spacing w:before="120" w:after="0"/>
        <w:rPr>
          <w:rFonts w:ascii="Arial" w:hAnsi="Arial" w:cs="Arial"/>
          <w:sz w:val="22"/>
          <w:szCs w:val="22"/>
        </w:rPr>
      </w:pPr>
    </w:p>
    <w:p w:rsidR="008A50E1" w:rsidRPr="00DA2601" w:rsidRDefault="008A50E1" w:rsidP="008A50E1">
      <w:pPr>
        <w:rPr>
          <w:rFonts w:ascii="Arial" w:eastAsia="Arial Unicode MS" w:hAnsi="Arial" w:cs="Arial"/>
          <w:i/>
          <w:sz w:val="22"/>
          <w:szCs w:val="22"/>
        </w:rPr>
      </w:pPr>
      <w:r w:rsidRPr="00DA2601">
        <w:rPr>
          <w:rFonts w:ascii="Arial" w:hAnsi="Arial" w:cs="Arial"/>
          <w:b/>
          <w:sz w:val="22"/>
          <w:szCs w:val="22"/>
        </w:rPr>
        <w:t xml:space="preserve">Accessibility and Clarity </w:t>
      </w:r>
      <w:r w:rsidRPr="00DA2601">
        <w:rPr>
          <w:rFonts w:ascii="Arial" w:hAnsi="Arial" w:cs="Arial"/>
          <w:i/>
          <w:sz w:val="22"/>
          <w:szCs w:val="22"/>
        </w:rPr>
        <w:t>(</w:t>
      </w:r>
      <w:r w:rsidRPr="00DA2601">
        <w:rPr>
          <w:rFonts w:ascii="Arial" w:eastAsia="Arial Unicode MS" w:hAnsi="Arial" w:cs="Arial"/>
          <w:i/>
          <w:sz w:val="22"/>
          <w:szCs w:val="22"/>
        </w:rPr>
        <w:t>Accessibility is the ease with which users are able to access the data. It also relates to the format in which the data are available and the availability of supporting information. Clarity refers to the quality and sufficiency of metadata, illustrations and accompanying advice)</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The </w:t>
      </w:r>
      <w:r w:rsidRPr="00AC1E8C">
        <w:rPr>
          <w:rFonts w:ascii="Arial" w:hAnsi="Arial" w:cs="Arial"/>
          <w:i/>
          <w:sz w:val="22"/>
          <w:szCs w:val="22"/>
        </w:rPr>
        <w:t>Insolvency Statistics</w:t>
      </w:r>
      <w:r w:rsidRPr="00DA2601">
        <w:rPr>
          <w:rFonts w:ascii="Arial" w:hAnsi="Arial" w:cs="Arial"/>
          <w:sz w:val="22"/>
          <w:szCs w:val="22"/>
        </w:rPr>
        <w:t xml:space="preserve"> are available free of charge to the end user on the </w:t>
      </w:r>
      <w:hyperlink r:id="rId51" w:history="1">
        <w:r w:rsidRPr="00DA2601">
          <w:rPr>
            <w:rStyle w:val="Hyperlink"/>
            <w:rFonts w:ascii="Arial" w:hAnsi="Arial" w:cs="Arial"/>
            <w:sz w:val="22"/>
            <w:szCs w:val="22"/>
          </w:rPr>
          <w:t>Insolvency Service website</w:t>
        </w:r>
      </w:hyperlink>
      <w:r w:rsidRPr="00DA2601">
        <w:rPr>
          <w:rFonts w:ascii="Arial" w:hAnsi="Arial" w:cs="Arial"/>
          <w:sz w:val="22"/>
          <w:szCs w:val="22"/>
        </w:rPr>
        <w:t>. They are released via the Publication Hub and they meet the standards required under the Code of Practice for Official Statistics and the Insolvency Service’s own website accessibility policy.</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Historic data are also published for the key series, on the </w:t>
      </w:r>
      <w:hyperlink r:id="rId52" w:history="1">
        <w:r w:rsidRPr="00DA2601">
          <w:rPr>
            <w:rStyle w:val="Hyperlink"/>
            <w:rFonts w:ascii="Arial" w:hAnsi="Arial" w:cs="Arial"/>
            <w:sz w:val="22"/>
            <w:szCs w:val="22"/>
          </w:rPr>
          <w:t>National Archives website</w:t>
        </w:r>
      </w:hyperlink>
      <w:r w:rsidRPr="00DA2601">
        <w:rPr>
          <w:rFonts w:ascii="Arial" w:hAnsi="Arial" w:cs="Arial"/>
          <w:sz w:val="22"/>
          <w:szCs w:val="22"/>
        </w:rPr>
        <w:t xml:space="preserve">. </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Views on the clarity of the publication are welcomed via the contact details at the </w:t>
      </w:r>
      <w:r w:rsidR="001D510F">
        <w:rPr>
          <w:rFonts w:ascii="Arial" w:hAnsi="Arial" w:cs="Arial"/>
          <w:sz w:val="22"/>
          <w:szCs w:val="22"/>
        </w:rPr>
        <w:t>end of these notes</w:t>
      </w:r>
      <w:r w:rsidRPr="00DA2601">
        <w:rPr>
          <w:rFonts w:ascii="Arial" w:hAnsi="Arial" w:cs="Arial"/>
          <w:sz w:val="22"/>
          <w:szCs w:val="22"/>
        </w:rPr>
        <w:t>.</w:t>
      </w:r>
    </w:p>
    <w:p w:rsidR="008A50E1" w:rsidRPr="00DA2601" w:rsidRDefault="008A50E1" w:rsidP="008A50E1">
      <w:pPr>
        <w:pStyle w:val="BodyText"/>
        <w:spacing w:before="120" w:after="0"/>
        <w:rPr>
          <w:rFonts w:ascii="Arial" w:hAnsi="Arial" w:cs="Arial"/>
          <w:sz w:val="22"/>
          <w:szCs w:val="22"/>
        </w:rPr>
      </w:pPr>
    </w:p>
    <w:p w:rsidR="008A50E1" w:rsidRPr="00DA2601" w:rsidRDefault="008A50E1" w:rsidP="008A50E1">
      <w:pPr>
        <w:pStyle w:val="BodyText"/>
        <w:spacing w:before="120" w:after="0"/>
        <w:rPr>
          <w:rFonts w:ascii="Arial" w:hAnsi="Arial" w:cs="Arial"/>
          <w:i/>
          <w:sz w:val="22"/>
          <w:szCs w:val="22"/>
        </w:rPr>
      </w:pPr>
      <w:r w:rsidRPr="00DA2601">
        <w:rPr>
          <w:rFonts w:ascii="Arial" w:hAnsi="Arial" w:cs="Arial"/>
          <w:b/>
          <w:sz w:val="22"/>
          <w:szCs w:val="22"/>
        </w:rPr>
        <w:t>Comparability</w:t>
      </w:r>
      <w:r w:rsidRPr="00DA2601">
        <w:rPr>
          <w:rFonts w:ascii="Arial" w:hAnsi="Arial" w:cs="Arial"/>
          <w:sz w:val="22"/>
          <w:szCs w:val="22"/>
        </w:rPr>
        <w:t xml:space="preserve"> </w:t>
      </w:r>
      <w:r w:rsidRPr="00DA2601">
        <w:rPr>
          <w:rFonts w:ascii="Arial" w:hAnsi="Arial" w:cs="Arial"/>
          <w:i/>
          <w:sz w:val="22"/>
          <w:szCs w:val="22"/>
        </w:rPr>
        <w:t>(</w:t>
      </w:r>
      <w:r w:rsidRPr="00DA2601">
        <w:rPr>
          <w:rFonts w:ascii="Arial" w:eastAsia="Arial Unicode MS" w:hAnsi="Arial" w:cs="Arial"/>
          <w:i/>
          <w:sz w:val="22"/>
          <w:szCs w:val="22"/>
        </w:rPr>
        <w:t>the degree to which data can be compared over time and domain)</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Changes in legislation and policy can affect the extent to which comparisons can be made over time for individual data series. Where such changes are known, they have been highlighted in explanatory notes at the bottom of the tables in the accompanying Excel file.</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The series for bankruptcy orders will have been impacted by the introduction (with effect from 6 April 2009) of debt relief orders (DROs). DROs comprise some of those individuals who would have otherwise been declared bankrupt (a subset of DRO-eligible cases, who were advised of the DRO route and chose to take it) and other individuals who, perhaps, could not have afforded the fee to enter into bankruptcy and who may have otherwise been in an informal debt management process, or been unable to access any form of debt resolution. It is not possible to quantify exactly the impact of the introduction of DROs on the number of bankruptcy orders. The series for DROs is currently not long enough to formally seasonally adjust. Table 2 therefore only shows bankruptcy orders and IVAs on a seasonally adjusted basis.</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See also </w:t>
      </w:r>
      <w:r w:rsidRPr="00DA2601">
        <w:rPr>
          <w:rFonts w:ascii="Arial" w:hAnsi="Arial" w:cs="Arial"/>
          <w:b/>
          <w:sz w:val="22"/>
          <w:szCs w:val="22"/>
        </w:rPr>
        <w:t>Subject Context</w:t>
      </w:r>
      <w:r w:rsidRPr="00DA2601">
        <w:rPr>
          <w:rFonts w:ascii="Arial" w:hAnsi="Arial" w:cs="Arial"/>
          <w:sz w:val="22"/>
          <w:szCs w:val="22"/>
        </w:rPr>
        <w:t xml:space="preserve"> below for additional specific aspects relevant to comparability.</w:t>
      </w:r>
    </w:p>
    <w:p w:rsidR="008A50E1" w:rsidRDefault="008A50E1" w:rsidP="008A50E1">
      <w:pPr>
        <w:pStyle w:val="BodyText"/>
        <w:spacing w:before="120" w:after="0"/>
        <w:rPr>
          <w:rFonts w:ascii="Arial" w:hAnsi="Arial" w:cs="Arial"/>
          <w:sz w:val="22"/>
          <w:szCs w:val="22"/>
        </w:rPr>
      </w:pPr>
    </w:p>
    <w:p w:rsidR="008A50E1" w:rsidRPr="00DA2601" w:rsidRDefault="008A50E1" w:rsidP="008A50E1">
      <w:pPr>
        <w:pStyle w:val="BodyText"/>
        <w:spacing w:before="120" w:after="0"/>
        <w:rPr>
          <w:rFonts w:ascii="Arial" w:hAnsi="Arial" w:cs="Arial"/>
          <w:sz w:val="22"/>
          <w:szCs w:val="22"/>
        </w:rPr>
      </w:pPr>
    </w:p>
    <w:p w:rsidR="008A50E1" w:rsidRPr="00DA2601" w:rsidRDefault="008A50E1" w:rsidP="008A50E1">
      <w:pPr>
        <w:spacing w:after="240" w:line="276" w:lineRule="auto"/>
        <w:rPr>
          <w:rFonts w:ascii="Arial" w:hAnsi="Arial" w:cs="Arial"/>
          <w:b/>
          <w:sz w:val="28"/>
          <w:szCs w:val="22"/>
        </w:rPr>
      </w:pPr>
      <w:r w:rsidRPr="00DA2601">
        <w:rPr>
          <w:rFonts w:ascii="Arial" w:hAnsi="Arial" w:cs="Arial"/>
          <w:b/>
          <w:sz w:val="28"/>
          <w:szCs w:val="22"/>
        </w:rPr>
        <w:t xml:space="preserve">Subject context </w:t>
      </w:r>
    </w:p>
    <w:p w:rsidR="008A50E1" w:rsidRDefault="008A50E1" w:rsidP="008A50E1">
      <w:pPr>
        <w:pStyle w:val="BodyText"/>
        <w:tabs>
          <w:tab w:val="left" w:pos="450"/>
        </w:tabs>
        <w:spacing w:before="120" w:after="0"/>
        <w:rPr>
          <w:rFonts w:ascii="Arial" w:hAnsi="Arial" w:cs="Arial"/>
          <w:sz w:val="22"/>
          <w:szCs w:val="22"/>
        </w:rPr>
      </w:pPr>
      <w:r>
        <w:rPr>
          <w:rFonts w:ascii="Arial" w:hAnsi="Arial" w:cs="Arial"/>
          <w:sz w:val="22"/>
          <w:szCs w:val="22"/>
        </w:rPr>
        <w:t>(I</w:t>
      </w:r>
      <w:r w:rsidRPr="00DA2601">
        <w:rPr>
          <w:rFonts w:ascii="Arial" w:hAnsi="Arial" w:cs="Arial"/>
          <w:sz w:val="22"/>
          <w:szCs w:val="22"/>
        </w:rPr>
        <w:t>ncluding relevant insolvency legislation, policy and practice in England and Wales, Scotland</w:t>
      </w:r>
      <w:r>
        <w:rPr>
          <w:rFonts w:ascii="Arial" w:hAnsi="Arial" w:cs="Arial"/>
          <w:sz w:val="22"/>
          <w:szCs w:val="22"/>
        </w:rPr>
        <w:t>,</w:t>
      </w:r>
      <w:r w:rsidRPr="00DA2601">
        <w:rPr>
          <w:rFonts w:ascii="Arial" w:hAnsi="Arial" w:cs="Arial"/>
          <w:sz w:val="22"/>
          <w:szCs w:val="22"/>
        </w:rPr>
        <w:t xml:space="preserve"> and Northern Ireland</w:t>
      </w:r>
      <w:r>
        <w:rPr>
          <w:rFonts w:ascii="Arial" w:hAnsi="Arial" w:cs="Arial"/>
          <w:sz w:val="22"/>
          <w:szCs w:val="22"/>
        </w:rPr>
        <w:t>.</w:t>
      </w:r>
      <w:r w:rsidRPr="00DA2601">
        <w:rPr>
          <w:rFonts w:ascii="Arial" w:hAnsi="Arial" w:cs="Arial"/>
          <w:sz w:val="22"/>
          <w:szCs w:val="22"/>
        </w:rPr>
        <w:t>)</w:t>
      </w:r>
    </w:p>
    <w:p w:rsidR="008A50E1" w:rsidRDefault="008A50E1" w:rsidP="008A50E1">
      <w:pPr>
        <w:pStyle w:val="BodyText"/>
        <w:tabs>
          <w:tab w:val="left" w:pos="450"/>
        </w:tabs>
        <w:spacing w:before="120" w:after="0"/>
        <w:rPr>
          <w:rFonts w:ascii="Arial" w:hAnsi="Arial" w:cs="Arial"/>
          <w:sz w:val="22"/>
          <w:szCs w:val="22"/>
        </w:rPr>
      </w:pPr>
    </w:p>
    <w:p w:rsidR="008A50E1" w:rsidRPr="00DA2601" w:rsidRDefault="008A50E1" w:rsidP="008A50E1">
      <w:pPr>
        <w:pStyle w:val="BodyText"/>
        <w:spacing w:before="120" w:after="0"/>
        <w:rPr>
          <w:rFonts w:ascii="Arial" w:hAnsi="Arial" w:cs="Arial"/>
          <w:b/>
          <w:sz w:val="22"/>
          <w:szCs w:val="22"/>
        </w:rPr>
      </w:pPr>
      <w:r>
        <w:rPr>
          <w:rFonts w:ascii="Arial" w:hAnsi="Arial" w:cs="Arial"/>
          <w:b/>
          <w:sz w:val="22"/>
          <w:szCs w:val="22"/>
        </w:rPr>
        <w:t>Company insolvency</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Insolvent companies entering liquidation in England &amp; Wales and Scotland are dealt with under the Insolvency Act of 1986 and, in Northern Ireland, by the Insolvency (Northern Ireland) Order 1989. They can </w:t>
      </w:r>
      <w:r w:rsidRPr="00DA2601">
        <w:rPr>
          <w:rFonts w:ascii="Arial" w:hAnsi="Arial" w:cs="Arial"/>
          <w:b/>
          <w:sz w:val="22"/>
          <w:szCs w:val="22"/>
        </w:rPr>
        <w:lastRenderedPageBreak/>
        <w:t>either</w:t>
      </w:r>
      <w:r w:rsidRPr="00DA2601">
        <w:rPr>
          <w:rFonts w:ascii="Arial" w:hAnsi="Arial" w:cs="Arial"/>
          <w:sz w:val="22"/>
          <w:szCs w:val="22"/>
        </w:rPr>
        <w:t xml:space="preserve"> be the subject of a </w:t>
      </w:r>
      <w:r w:rsidRPr="00DA2601">
        <w:rPr>
          <w:rFonts w:ascii="Arial" w:hAnsi="Arial" w:cs="Arial"/>
          <w:b/>
          <w:sz w:val="22"/>
          <w:szCs w:val="22"/>
        </w:rPr>
        <w:t xml:space="preserve">compulsory liquidation </w:t>
      </w:r>
      <w:r w:rsidRPr="00DA2601">
        <w:rPr>
          <w:rFonts w:ascii="Arial" w:hAnsi="Arial" w:cs="Arial"/>
          <w:sz w:val="22"/>
          <w:szCs w:val="22"/>
        </w:rPr>
        <w:t xml:space="preserve">(winding-up) order obtained from the court by a creditor, shareholder or director </w:t>
      </w:r>
      <w:r w:rsidRPr="00DA2601">
        <w:rPr>
          <w:rFonts w:ascii="Arial" w:hAnsi="Arial" w:cs="Arial"/>
          <w:b/>
          <w:sz w:val="22"/>
          <w:szCs w:val="22"/>
        </w:rPr>
        <w:t>or</w:t>
      </w:r>
      <w:r w:rsidRPr="00DA2601">
        <w:rPr>
          <w:rFonts w:ascii="Arial" w:hAnsi="Arial" w:cs="Arial"/>
          <w:sz w:val="22"/>
          <w:szCs w:val="22"/>
        </w:rPr>
        <w:t xml:space="preserve"> themselves pass a resolution, subject to the approval of a creditors' meeting that the company be wound up voluntarily </w:t>
      </w:r>
      <w:r w:rsidRPr="00DA2601">
        <w:rPr>
          <w:rFonts w:ascii="Arial" w:hAnsi="Arial" w:cs="Arial"/>
          <w:bCs/>
          <w:sz w:val="22"/>
          <w:szCs w:val="22"/>
        </w:rPr>
        <w:t>(</w:t>
      </w:r>
      <w:r w:rsidRPr="00DA2601">
        <w:rPr>
          <w:rFonts w:ascii="Arial" w:hAnsi="Arial" w:cs="Arial"/>
          <w:b/>
          <w:sz w:val="22"/>
          <w:szCs w:val="22"/>
        </w:rPr>
        <w:t>creditors voluntary</w:t>
      </w:r>
      <w:r w:rsidRPr="00DA2601">
        <w:rPr>
          <w:rFonts w:ascii="Arial" w:hAnsi="Arial" w:cs="Arial"/>
          <w:sz w:val="22"/>
          <w:szCs w:val="22"/>
        </w:rPr>
        <w:t xml:space="preserve"> </w:t>
      </w:r>
      <w:r w:rsidRPr="00DA2601">
        <w:rPr>
          <w:rFonts w:ascii="Arial" w:hAnsi="Arial" w:cs="Arial"/>
          <w:b/>
          <w:sz w:val="22"/>
          <w:szCs w:val="22"/>
        </w:rPr>
        <w:t>liquidations</w:t>
      </w:r>
      <w:r w:rsidRPr="00DA2601">
        <w:rPr>
          <w:rFonts w:ascii="Arial" w:hAnsi="Arial" w:cs="Arial"/>
          <w:bCs/>
          <w:sz w:val="22"/>
          <w:szCs w:val="22"/>
        </w:rPr>
        <w:t>, registered at Companies House/Companies Registry)</w:t>
      </w:r>
      <w:r w:rsidRPr="00DA2601">
        <w:rPr>
          <w:rFonts w:ascii="Arial" w:hAnsi="Arial" w:cs="Arial"/>
          <w:sz w:val="22"/>
          <w:szCs w:val="22"/>
        </w:rPr>
        <w:t xml:space="preserve">. In either case they are said to have been </w:t>
      </w:r>
      <w:r w:rsidRPr="00DA2601">
        <w:rPr>
          <w:rFonts w:ascii="Arial" w:hAnsi="Arial" w:cs="Arial"/>
          <w:b/>
          <w:sz w:val="22"/>
          <w:szCs w:val="22"/>
        </w:rPr>
        <w:t>wound-up</w:t>
      </w:r>
      <w:r w:rsidRPr="00DA2601">
        <w:rPr>
          <w:rFonts w:ascii="Arial" w:hAnsi="Arial" w:cs="Arial"/>
          <w:sz w:val="22"/>
          <w:szCs w:val="22"/>
        </w:rPr>
        <w:t>, and numbers are given in Tables 1, 4 and 6. A third type of winding-up, members' voluntary liquidation, is not included because it does not involve insolvency.</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The Insolvency Act 1986 and, in Northern Ireland, the Insolvency (Northern Ireland) Order 1989 also introduced the procedures of </w:t>
      </w:r>
      <w:r w:rsidRPr="00DA2601">
        <w:rPr>
          <w:rFonts w:ascii="Arial" w:hAnsi="Arial" w:cs="Arial"/>
          <w:b/>
          <w:sz w:val="22"/>
          <w:szCs w:val="22"/>
        </w:rPr>
        <w:t>company administration orders</w:t>
      </w:r>
      <w:r w:rsidRPr="00DA2601">
        <w:rPr>
          <w:rFonts w:ascii="Arial" w:hAnsi="Arial" w:cs="Arial"/>
          <w:sz w:val="22"/>
          <w:szCs w:val="22"/>
        </w:rPr>
        <w:t xml:space="preserve"> and </w:t>
      </w:r>
      <w:r w:rsidRPr="00DA2601">
        <w:rPr>
          <w:rFonts w:ascii="Arial" w:hAnsi="Arial" w:cs="Arial"/>
          <w:b/>
          <w:sz w:val="22"/>
          <w:szCs w:val="22"/>
        </w:rPr>
        <w:t>company voluntary arrangements (CVAs)</w:t>
      </w:r>
      <w:r w:rsidRPr="00DA2601">
        <w:rPr>
          <w:rFonts w:ascii="Arial" w:hAnsi="Arial" w:cs="Arial"/>
          <w:bCs/>
          <w:sz w:val="22"/>
          <w:szCs w:val="22"/>
        </w:rPr>
        <w:t>.</w:t>
      </w:r>
      <w:r w:rsidRPr="00DA2601">
        <w:rPr>
          <w:rFonts w:ascii="Arial" w:hAnsi="Arial" w:cs="Arial"/>
          <w:b/>
          <w:sz w:val="22"/>
          <w:szCs w:val="22"/>
        </w:rPr>
        <w:t xml:space="preserve"> </w:t>
      </w:r>
      <w:r w:rsidRPr="00DA2601">
        <w:rPr>
          <w:rFonts w:ascii="Arial" w:hAnsi="Arial" w:cs="Arial"/>
          <w:sz w:val="22"/>
          <w:szCs w:val="22"/>
        </w:rPr>
        <w:t xml:space="preserve">The administration procedure gives a period of time during which creditors are restrained from taking action and a court appointed administrator puts forward proposals to deal with the company’s financial difficulties. The CVA procedure aids business by enabling a company in financial difficulty to come to a binding agreement with its creditors. These are listed separately under Table 3 for England and Wales and Table 5 for Scotland. </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The Enterprise Act 2002 introduced revisions to the corporate administration procedures, replacing Part II of the Insolvency Act 1986 with Schedule B1. These include the introduction of additional entry routes into administration that do not require the making of an administration order and a streamlined process for </w:t>
      </w:r>
      <w:r w:rsidRPr="00DA2601">
        <w:rPr>
          <w:rFonts w:ascii="Arial" w:hAnsi="Arial" w:cs="Arial"/>
          <w:b/>
          <w:sz w:val="22"/>
          <w:szCs w:val="22"/>
        </w:rPr>
        <w:t>Administrations</w:t>
      </w:r>
      <w:r w:rsidRPr="00DA2601">
        <w:rPr>
          <w:rFonts w:ascii="Arial" w:hAnsi="Arial" w:cs="Arial"/>
          <w:sz w:val="22"/>
          <w:szCs w:val="22"/>
        </w:rPr>
        <w:t xml:space="preserve"> whereby a company can in some circumstances be dissolved without recourse to liquidation. The primary objective of administration (and of CVAs) is the rescue of the company as a going concern. These provisions came into force on 15</w:t>
      </w:r>
      <w:r w:rsidRPr="00DA2601">
        <w:rPr>
          <w:rFonts w:ascii="Arial" w:hAnsi="Arial" w:cs="Arial"/>
          <w:sz w:val="22"/>
          <w:szCs w:val="22"/>
          <w:vertAlign w:val="superscript"/>
        </w:rPr>
        <w:t>th</w:t>
      </w:r>
      <w:r w:rsidRPr="00DA2601">
        <w:rPr>
          <w:rFonts w:ascii="Arial" w:hAnsi="Arial" w:cs="Arial"/>
          <w:sz w:val="22"/>
          <w:szCs w:val="22"/>
        </w:rPr>
        <w:t xml:space="preserve"> September 2003 and </w:t>
      </w:r>
      <w:r w:rsidRPr="00DA2601">
        <w:rPr>
          <w:rFonts w:ascii="Arial" w:hAnsi="Arial" w:cs="Arial"/>
          <w:b/>
          <w:sz w:val="22"/>
          <w:szCs w:val="22"/>
        </w:rPr>
        <w:t>Administrations under the Enterprise Act</w:t>
      </w:r>
      <w:r w:rsidRPr="00DA2601">
        <w:rPr>
          <w:rFonts w:ascii="Arial" w:hAnsi="Arial" w:cs="Arial"/>
          <w:sz w:val="22"/>
          <w:szCs w:val="22"/>
        </w:rPr>
        <w:t xml:space="preserve"> have been included on Tables 3 and 5 from Q3 2003 (dissolution follows 3 months after a notice is filed with the Registrar of Companies, if no objections are raised by the court). On 27th March 2006 the Insolvency (Northern Ireland) Order 2005 introduced similar revisions to the corporate administration procedures in Northern Ireland, replacing Part III of the Insolvency (Northern Ireland) Order 1989 with Schedule B1.</w:t>
      </w:r>
    </w:p>
    <w:p w:rsidR="008A50E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Since the Enterprise Act 2002, a number of these streamlined administrations have subsequently converted to a creditors’ voluntary liquidation. These liquidations in England and Wales are not included under the headline figures here or at Table 1, as they do not represent a new company entering into an insolvency procedure for the first time. For completeness, however, they are included under Table 1c. It is also possible for the outcome of an administration to be entry into a company voluntary arrangement or a compulsory liquidation, but these cases are not separately identifiable from Companies House’ information and will therefore be included within the new case figures for these procedures (the numbers involved are relatively few, compared to those entering CVL). For Scotland and Northern Ireland, figures for creditors’ voluntary liquidation </w:t>
      </w:r>
      <w:r w:rsidRPr="00DA2601">
        <w:rPr>
          <w:rFonts w:ascii="Arial" w:hAnsi="Arial" w:cs="Arial"/>
          <w:i/>
          <w:sz w:val="22"/>
          <w:szCs w:val="22"/>
        </w:rPr>
        <w:t>include</w:t>
      </w:r>
      <w:r w:rsidRPr="00DA2601">
        <w:rPr>
          <w:rFonts w:ascii="Arial" w:hAnsi="Arial" w:cs="Arial"/>
          <w:sz w:val="22"/>
          <w:szCs w:val="22"/>
        </w:rPr>
        <w:t xml:space="preserve"> those companies which had previously been in administration or other insolvency procedure, as insufficient data are currently available to separate them from the totals, prior to 2010.</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b/>
          <w:sz w:val="22"/>
          <w:szCs w:val="22"/>
        </w:rPr>
        <w:t>Receivership appointments</w:t>
      </w:r>
      <w:r w:rsidRPr="00DA2601">
        <w:rPr>
          <w:rFonts w:ascii="Arial" w:hAnsi="Arial" w:cs="Arial"/>
          <w:sz w:val="22"/>
          <w:szCs w:val="22"/>
        </w:rPr>
        <w:t xml:space="preserve"> comprise </w:t>
      </w:r>
      <w:r w:rsidRPr="00DA2601">
        <w:rPr>
          <w:rFonts w:ascii="Arial" w:hAnsi="Arial" w:cs="Arial"/>
          <w:b/>
          <w:sz w:val="22"/>
          <w:szCs w:val="22"/>
        </w:rPr>
        <w:t>administrative receivers</w:t>
      </w:r>
      <w:r w:rsidRPr="00DA2601">
        <w:rPr>
          <w:rFonts w:ascii="Arial" w:hAnsi="Arial" w:cs="Arial"/>
          <w:sz w:val="22"/>
          <w:szCs w:val="22"/>
        </w:rPr>
        <w:t xml:space="preserve"> appointed under the 1986 Insolvency Act (and the 1989 Order for Northern Ireland) and certain </w:t>
      </w:r>
      <w:r w:rsidRPr="00DA2601">
        <w:rPr>
          <w:rFonts w:ascii="Arial" w:hAnsi="Arial" w:cs="Arial"/>
          <w:b/>
          <w:sz w:val="22"/>
          <w:szCs w:val="22"/>
        </w:rPr>
        <w:t>other receiver appointments, for example under the Law of Property Act 1925</w:t>
      </w:r>
      <w:r w:rsidRPr="00DA2601">
        <w:rPr>
          <w:rFonts w:ascii="Arial" w:hAnsi="Arial" w:cs="Arial"/>
          <w:sz w:val="22"/>
          <w:szCs w:val="22"/>
        </w:rPr>
        <w:t xml:space="preserve"> - due to the use of the same statutory documentation for different types of receivership, it is not possible to give a breakdown between them. Law of Property Act receivers are classed as </w:t>
      </w:r>
      <w:r w:rsidRPr="00DA2601">
        <w:rPr>
          <w:rFonts w:ascii="Arial" w:hAnsi="Arial" w:cs="Arial"/>
          <w:i/>
          <w:sz w:val="22"/>
          <w:szCs w:val="22"/>
        </w:rPr>
        <w:t>Enforcement of Security</w:t>
      </w:r>
      <w:r w:rsidRPr="00DA2601">
        <w:rPr>
          <w:rFonts w:ascii="Arial" w:hAnsi="Arial" w:cs="Arial"/>
          <w:sz w:val="22"/>
          <w:szCs w:val="22"/>
        </w:rPr>
        <w:t xml:space="preserve"> and are not insolvency procedures under the Insolvency Act of 1986. For this reason levels of, and trends in, receivership appointments should be interpreted with caution. The provisions of the Enterprise Act 2002 [section 250] (Insolvency [Northern Ireland] Order 2005 [Article 5]) have made some changes to the procedures for administrative receivership.</w:t>
      </w:r>
    </w:p>
    <w:p w:rsidR="008A50E1" w:rsidRDefault="008A50E1" w:rsidP="008A50E1">
      <w:pPr>
        <w:pStyle w:val="BodyText"/>
        <w:tabs>
          <w:tab w:val="left" w:pos="450"/>
        </w:tabs>
        <w:spacing w:before="120" w:after="0"/>
        <w:rPr>
          <w:rFonts w:ascii="Arial" w:hAnsi="Arial" w:cs="Arial"/>
          <w:sz w:val="22"/>
          <w:szCs w:val="22"/>
        </w:rPr>
      </w:pPr>
    </w:p>
    <w:p w:rsidR="008A50E1" w:rsidRPr="00DA2601" w:rsidRDefault="008A50E1" w:rsidP="008A50E1">
      <w:pPr>
        <w:pStyle w:val="BodyText"/>
        <w:spacing w:before="120" w:after="0"/>
        <w:rPr>
          <w:rFonts w:ascii="Arial" w:hAnsi="Arial" w:cs="Arial"/>
          <w:b/>
          <w:sz w:val="22"/>
          <w:szCs w:val="22"/>
        </w:rPr>
      </w:pPr>
      <w:r>
        <w:rPr>
          <w:rFonts w:ascii="Arial" w:hAnsi="Arial" w:cs="Arial"/>
          <w:b/>
          <w:sz w:val="22"/>
          <w:szCs w:val="22"/>
        </w:rPr>
        <w:t>Individual insolvency</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Individual insolvencies in England and Wales are made up of </w:t>
      </w:r>
      <w:r w:rsidRPr="00DA2601">
        <w:rPr>
          <w:rFonts w:ascii="Arial" w:hAnsi="Arial" w:cs="Arial"/>
          <w:b/>
          <w:bCs/>
          <w:sz w:val="22"/>
          <w:szCs w:val="22"/>
        </w:rPr>
        <w:t>bankruptcy orders</w:t>
      </w:r>
      <w:r>
        <w:rPr>
          <w:rFonts w:ascii="Arial" w:hAnsi="Arial" w:cs="Arial"/>
          <w:b/>
          <w:bCs/>
          <w:sz w:val="22"/>
          <w:szCs w:val="22"/>
        </w:rPr>
        <w:t>,</w:t>
      </w:r>
      <w:r w:rsidRPr="00DA2601">
        <w:rPr>
          <w:rFonts w:ascii="Arial" w:hAnsi="Arial" w:cs="Arial"/>
          <w:sz w:val="22"/>
          <w:szCs w:val="22"/>
        </w:rPr>
        <w:t xml:space="preserve"> </w:t>
      </w:r>
      <w:r w:rsidRPr="00DA2601">
        <w:rPr>
          <w:rFonts w:ascii="Arial" w:hAnsi="Arial" w:cs="Arial"/>
          <w:b/>
          <w:bCs/>
          <w:sz w:val="22"/>
          <w:szCs w:val="22"/>
        </w:rPr>
        <w:t>individual voluntary arrangements</w:t>
      </w:r>
      <w:r w:rsidRPr="00DA2601">
        <w:rPr>
          <w:rFonts w:ascii="Arial" w:hAnsi="Arial" w:cs="Arial"/>
          <w:sz w:val="22"/>
          <w:szCs w:val="22"/>
        </w:rPr>
        <w:t xml:space="preserve"> </w:t>
      </w:r>
      <w:r w:rsidRPr="00DA2601">
        <w:rPr>
          <w:rFonts w:ascii="Arial" w:hAnsi="Arial" w:cs="Arial"/>
          <w:b/>
          <w:bCs/>
          <w:sz w:val="22"/>
          <w:szCs w:val="22"/>
        </w:rPr>
        <w:t>(IVAs)</w:t>
      </w:r>
      <w:r w:rsidRPr="00DA2601">
        <w:rPr>
          <w:rFonts w:ascii="Arial" w:hAnsi="Arial" w:cs="Arial"/>
          <w:bCs/>
          <w:sz w:val="22"/>
          <w:szCs w:val="22"/>
        </w:rPr>
        <w:t xml:space="preserve"> </w:t>
      </w:r>
      <w:r>
        <w:rPr>
          <w:rFonts w:ascii="Arial" w:hAnsi="Arial" w:cs="Arial"/>
          <w:bCs/>
          <w:sz w:val="22"/>
          <w:szCs w:val="22"/>
        </w:rPr>
        <w:t xml:space="preserve">and </w:t>
      </w:r>
      <w:r w:rsidRPr="00DA2601">
        <w:rPr>
          <w:rFonts w:ascii="Arial" w:hAnsi="Arial" w:cs="Arial"/>
          <w:b/>
          <w:bCs/>
          <w:sz w:val="22"/>
          <w:szCs w:val="22"/>
        </w:rPr>
        <w:t>debt relief orders (DROs)</w:t>
      </w:r>
      <w:r w:rsidR="001D510F" w:rsidRPr="00AC1E8C">
        <w:rPr>
          <w:rFonts w:ascii="Arial" w:hAnsi="Arial" w:cs="Arial"/>
          <w:bCs/>
          <w:sz w:val="22"/>
          <w:szCs w:val="22"/>
        </w:rPr>
        <w:t>.</w:t>
      </w:r>
      <w:r w:rsidRPr="00DA2601">
        <w:rPr>
          <w:rFonts w:ascii="Arial" w:hAnsi="Arial" w:cs="Arial"/>
          <w:bCs/>
          <w:sz w:val="22"/>
          <w:szCs w:val="22"/>
        </w:rPr>
        <w:t xml:space="preserve"> </w:t>
      </w:r>
      <w:r w:rsidRPr="00DA2601">
        <w:rPr>
          <w:rFonts w:ascii="Arial" w:hAnsi="Arial" w:cs="Arial"/>
          <w:sz w:val="22"/>
          <w:szCs w:val="22"/>
        </w:rPr>
        <w:t xml:space="preserve">Insolvent individuals in England and Wales are dealt with mainly under the Insolvency Act 1986. A bankruptcy order is made on the petition of the debtor or one or more of his creditors when the court is satisfied that there is no prospect of the debt being paid. (Figures for bankruptcy orders include orders relating to the estates of deceased debtors). There are also individual voluntary arrangements (IVAs) and deeds of arrangement (the latter under the Deeds of Arrangement Act 1914), which enable debtors to come to an agreement with their creditors. Table 2 summarises the above procedures for England and Wales (IVAs and Deeds of Arrangement are included under a single column) and Table 2a provides bankruptcy orders further split by petition type. Changes to bankruptcy law in </w:t>
      </w:r>
      <w:r w:rsidRPr="00DA2601">
        <w:rPr>
          <w:rFonts w:ascii="Arial" w:hAnsi="Arial" w:cs="Arial"/>
          <w:sz w:val="22"/>
          <w:szCs w:val="22"/>
        </w:rPr>
        <w:lastRenderedPageBreak/>
        <w:t>England and Wales introduced by the Enterprise Act 2002 came into force on 1 April 2004 – the Act made no changes to the existing individual voluntary arrangement regime.</w:t>
      </w:r>
    </w:p>
    <w:p w:rsidR="008A50E1" w:rsidRDefault="008A50E1" w:rsidP="008A50E1">
      <w:pPr>
        <w:pStyle w:val="BodyText"/>
        <w:tabs>
          <w:tab w:val="left" w:pos="0"/>
        </w:tabs>
        <w:spacing w:before="120" w:after="0"/>
        <w:rPr>
          <w:rFonts w:ascii="Arial" w:hAnsi="Arial" w:cs="Arial"/>
          <w:bCs/>
          <w:sz w:val="22"/>
          <w:szCs w:val="22"/>
        </w:rPr>
      </w:pPr>
      <w:r w:rsidRPr="00DA2601">
        <w:rPr>
          <w:rFonts w:ascii="Arial" w:hAnsi="Arial" w:cs="Arial"/>
          <w:bCs/>
          <w:sz w:val="22"/>
          <w:szCs w:val="22"/>
        </w:rPr>
        <w:t>The Tribunals, Courts and Enforcement Act 2007 introduced a new route into personal insolvency called the debt relief order (DRO</w:t>
      </w:r>
      <w:r w:rsidRPr="00DA2601">
        <w:rPr>
          <w:rFonts w:ascii="Arial" w:hAnsi="Arial" w:cs="Arial"/>
          <w:sz w:val="22"/>
          <w:szCs w:val="22"/>
        </w:rPr>
        <w:t xml:space="preserve">), which came into effect from 6 April 2009. </w:t>
      </w:r>
      <w:r w:rsidRPr="00DA2601">
        <w:rPr>
          <w:rFonts w:ascii="Arial" w:hAnsi="Arial" w:cs="Arial"/>
          <w:bCs/>
          <w:sz w:val="22"/>
          <w:szCs w:val="22"/>
        </w:rPr>
        <w:t xml:space="preserve">DROs provide debt relief, subject to some restrictions, and are suitable for people domiciled in England and Wales who do not own their own home, have little surplus income (no more than £50 a month), assets (other than possibly a car) not exceeding £300, and less than £15,000 of debt. In April 2011 a change was introduced to Debt Relief Order legislation to allow those who have built up value in a pension scheme to apply for debt relief under these provisions; this will have increased the numbers of those eligible to apply for a Debt Relief Order. DROs do not involve the courts; they are run by The Insolvency Service in partnership with skilled debt advisers, called approved intermediaries. A DRO lasts for a period of one year before discharge and, as for bankruptcy, there are penalties in place for debtors who seek to abuse the process. Additional information may be found on The Insolvency Service website here: </w:t>
      </w:r>
      <w:hyperlink r:id="rId53" w:history="1">
        <w:r w:rsidRPr="00DA2601">
          <w:rPr>
            <w:rStyle w:val="Hyperlink"/>
            <w:rFonts w:ascii="Arial" w:hAnsi="Arial" w:cs="Arial"/>
            <w:bCs/>
            <w:sz w:val="22"/>
            <w:szCs w:val="22"/>
          </w:rPr>
          <w:t>http://www.bis.gov.uk/insolvency/personal-insolvency/bankruptcy-what-is-bankruptcy/what-alternatives-bankruptcy</w:t>
        </w:r>
      </w:hyperlink>
      <w:r w:rsidRPr="00DA2601">
        <w:rPr>
          <w:rFonts w:ascii="Arial" w:hAnsi="Arial" w:cs="Arial"/>
          <w:bCs/>
          <w:sz w:val="22"/>
          <w:szCs w:val="22"/>
        </w:rPr>
        <w:t>.</w:t>
      </w:r>
      <w:r w:rsidRPr="00DA2601">
        <w:rPr>
          <w:rFonts w:ascii="Arial" w:hAnsi="Arial" w:cs="Arial"/>
          <w:bCs/>
          <w:color w:val="FF0000"/>
          <w:sz w:val="22"/>
          <w:szCs w:val="22"/>
        </w:rPr>
        <w:t xml:space="preserve"> </w:t>
      </w:r>
      <w:r w:rsidRPr="00DA2601">
        <w:rPr>
          <w:rFonts w:ascii="Arial" w:hAnsi="Arial" w:cs="Arial"/>
          <w:bCs/>
          <w:sz w:val="22"/>
          <w:szCs w:val="22"/>
        </w:rPr>
        <w:t xml:space="preserve">Table 2 includes DROs from the second quarter of 2009. </w:t>
      </w:r>
    </w:p>
    <w:p w:rsidR="008A50E1" w:rsidRDefault="008A50E1" w:rsidP="008A50E1">
      <w:pPr>
        <w:pStyle w:val="BodyText"/>
        <w:tabs>
          <w:tab w:val="left" w:pos="0"/>
        </w:tabs>
        <w:spacing w:before="120" w:after="0"/>
        <w:rPr>
          <w:rFonts w:ascii="Arial" w:hAnsi="Arial" w:cs="Arial"/>
          <w:sz w:val="22"/>
          <w:szCs w:val="22"/>
        </w:rPr>
      </w:pPr>
      <w:r w:rsidRPr="00DA2601">
        <w:rPr>
          <w:rFonts w:ascii="Arial" w:hAnsi="Arial" w:cs="Arial"/>
          <w:sz w:val="22"/>
          <w:szCs w:val="22"/>
        </w:rPr>
        <w:t xml:space="preserve">Tables 2c and 2d cover Income Payments Orders (IPOs) and Income Payments Agreements (IPAs), where the bankrupt makes regular payments from surplus income towards his/her debts for a period of time, either by court order or by agreement. IPOs were introduced under the Insolvency Act 1986; IPAs are closely aligned to the IPO regime and were introduced under the provisions of the Enterprise Act 2002 (commenced on 1 April 2004). </w:t>
      </w:r>
    </w:p>
    <w:p w:rsidR="008A50E1" w:rsidRPr="00DA2601" w:rsidRDefault="008A50E1" w:rsidP="008A50E1">
      <w:pPr>
        <w:pStyle w:val="BodyText"/>
        <w:spacing w:before="120" w:after="0"/>
        <w:rPr>
          <w:rFonts w:ascii="Arial" w:hAnsi="Arial" w:cs="Arial"/>
          <w:sz w:val="22"/>
          <w:szCs w:val="22"/>
        </w:rPr>
      </w:pPr>
    </w:p>
    <w:p w:rsidR="008A50E1" w:rsidRPr="00DA2601" w:rsidRDefault="008A50E1" w:rsidP="008A50E1">
      <w:pPr>
        <w:pStyle w:val="BodyText"/>
        <w:spacing w:before="120" w:after="0"/>
        <w:rPr>
          <w:rFonts w:ascii="Arial" w:hAnsi="Arial" w:cs="Arial"/>
          <w:b/>
          <w:sz w:val="22"/>
          <w:szCs w:val="22"/>
        </w:rPr>
      </w:pPr>
      <w:r>
        <w:rPr>
          <w:rFonts w:ascii="Arial" w:hAnsi="Arial" w:cs="Arial"/>
          <w:b/>
          <w:sz w:val="22"/>
          <w:szCs w:val="22"/>
        </w:rPr>
        <w:t>Individual insolvency in Scotland and Northern Ireland</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Insolvent individuals in Scotland (Table 4) are subject to </w:t>
      </w:r>
      <w:r w:rsidRPr="00DA2601">
        <w:rPr>
          <w:rFonts w:ascii="Arial" w:hAnsi="Arial" w:cs="Arial"/>
          <w:b/>
          <w:bCs/>
          <w:sz w:val="22"/>
          <w:szCs w:val="22"/>
        </w:rPr>
        <w:t>sequestration</w:t>
      </w:r>
      <w:r w:rsidRPr="00DA2601">
        <w:rPr>
          <w:rFonts w:ascii="Arial" w:hAnsi="Arial" w:cs="Arial"/>
          <w:sz w:val="22"/>
          <w:szCs w:val="22"/>
        </w:rPr>
        <w:t xml:space="preserve"> (bankruptcy) or </w:t>
      </w:r>
      <w:r w:rsidRPr="00DA2601">
        <w:rPr>
          <w:rFonts w:ascii="Arial" w:hAnsi="Arial" w:cs="Arial"/>
          <w:b/>
          <w:bCs/>
          <w:sz w:val="22"/>
          <w:szCs w:val="22"/>
        </w:rPr>
        <w:t>protected trust deeds</w:t>
      </w:r>
      <w:r w:rsidRPr="00DA2601">
        <w:rPr>
          <w:rFonts w:ascii="Arial" w:hAnsi="Arial" w:cs="Arial"/>
          <w:sz w:val="22"/>
          <w:szCs w:val="22"/>
        </w:rPr>
        <w:t xml:space="preserve"> under the Bankruptcy (Scotland) Act 1985 (as amended). This Act was amended by the Bankruptcy (Scotland) Act 1993. On April 1 2008 the Bankruptcy and Diligence etc. (Scotland) Act 2007 came into force making significant changes to some aspects of bankruptcy, debt relief and debt enforcement in Scotland. Most notably, as far as these statistics are concerned, it introduced a new route into bankruptcy for people with low income and low assets (LILA). The sequestration figures for Q2 2008 onwards include these new LILA cases; therefore trends in numbers of sequestrations before and after this date should be interpreted with care. Protected trust deeds are voluntary arrangements in Scotland, but although they fulfil much the same role as individual voluntary arrangements, there are important differences in the way they are set up and administered. Details of both sequestrations and protected trust deeds are found on the register of insolvencies, which is maintained by the Accountant in Bankruptcy. Further information about insolvency in Scotland can be found on the Accountant's website at </w:t>
      </w:r>
      <w:hyperlink r:id="rId54" w:history="1">
        <w:r w:rsidRPr="00DA2601">
          <w:rPr>
            <w:rStyle w:val="Hyperlink"/>
            <w:rFonts w:ascii="Arial" w:hAnsi="Arial" w:cs="Arial"/>
            <w:sz w:val="22"/>
            <w:szCs w:val="22"/>
          </w:rPr>
          <w:t>www.aib.gov.uk</w:t>
        </w:r>
      </w:hyperlink>
      <w:r w:rsidRPr="00DA2601">
        <w:rPr>
          <w:rFonts w:ascii="Arial" w:hAnsi="Arial" w:cs="Arial"/>
          <w:sz w:val="22"/>
          <w:szCs w:val="22"/>
        </w:rPr>
        <w:t>.</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Insolvent individuals in Northern Ireland are dealt with under the Insolvency (Northern Ireland) Order 1989 and are recorded under Table 6. On 27 March 2006 the Insolvency (Northern Ireland) Order 2005 came into operation and implemented similar changes to bankruptcy procedures as the Enterprise Act 2002 introduced in England and Wales. The Debt Relief Act 2010 introduced DROs to Northern Ireland with effect from 30</w:t>
      </w:r>
      <w:r w:rsidRPr="00DA2601">
        <w:rPr>
          <w:rFonts w:ascii="Arial" w:hAnsi="Arial" w:cs="Arial"/>
          <w:sz w:val="22"/>
          <w:szCs w:val="22"/>
          <w:vertAlign w:val="superscript"/>
        </w:rPr>
        <w:t>th</w:t>
      </w:r>
      <w:r w:rsidRPr="00DA2601">
        <w:rPr>
          <w:rFonts w:ascii="Arial" w:hAnsi="Arial" w:cs="Arial"/>
          <w:sz w:val="22"/>
          <w:szCs w:val="22"/>
        </w:rPr>
        <w:t xml:space="preserve"> June 2011. Further information about insolvency in Northern Ireland can be found on their website at </w:t>
      </w:r>
      <w:hyperlink r:id="rId55" w:history="1">
        <w:r w:rsidRPr="00DA2601">
          <w:rPr>
            <w:rStyle w:val="Hyperlink"/>
            <w:rFonts w:ascii="Arial" w:hAnsi="Arial" w:cs="Arial"/>
            <w:sz w:val="22"/>
            <w:szCs w:val="22"/>
          </w:rPr>
          <w:t>http://www.detini.gov.uk/deti-insolvency-index.htm</w:t>
        </w:r>
      </w:hyperlink>
      <w:r w:rsidRPr="00DA2601">
        <w:rPr>
          <w:rFonts w:ascii="Arial" w:hAnsi="Arial" w:cs="Arial"/>
          <w:sz w:val="22"/>
          <w:szCs w:val="22"/>
        </w:rPr>
        <w:t>.</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Under the Insolvency Act 1986 and the Insolvent Partnerships Order and, in Northern Ireland, the Insolvency (Northern Ireland) Order 1989 and the Insolvent Partnerships Order (Northern Ireland) 1995, insolvent partnerships may be wound up as an unregistered company or administered following bankruptcy orders against the partners. Insolvent Partnerships can also enter administration or a voluntary arrangement. </w:t>
      </w:r>
    </w:p>
    <w:p w:rsidR="008A50E1" w:rsidRDefault="008A50E1" w:rsidP="008A50E1">
      <w:pPr>
        <w:pStyle w:val="BodyText"/>
        <w:pageBreakBefore/>
        <w:spacing w:before="120" w:after="0"/>
        <w:jc w:val="both"/>
        <w:rPr>
          <w:rFonts w:ascii="Arial" w:hAnsi="Arial" w:cs="Arial"/>
          <w:sz w:val="20"/>
          <w:szCs w:val="20"/>
        </w:rPr>
      </w:pPr>
    </w:p>
    <w:tbl>
      <w:tblPr>
        <w:tblStyle w:val="TableGrid"/>
        <w:tblW w:w="10490" w:type="dxa"/>
        <w:tblInd w:w="108" w:type="dxa"/>
        <w:shd w:val="clear" w:color="auto" w:fill="B8CCE4" w:themeFill="accent1" w:themeFillTint="66"/>
        <w:tblLook w:val="04A0" w:firstRow="1" w:lastRow="0" w:firstColumn="1" w:lastColumn="0" w:noHBand="0" w:noVBand="1"/>
      </w:tblPr>
      <w:tblGrid>
        <w:gridCol w:w="10490"/>
      </w:tblGrid>
      <w:tr w:rsidR="008A50E1" w:rsidRPr="00DA2601" w:rsidTr="00335737">
        <w:trPr>
          <w:trHeight w:val="268"/>
        </w:trPr>
        <w:tc>
          <w:tcPr>
            <w:tcW w:w="10490" w:type="dxa"/>
            <w:shd w:val="clear" w:color="auto" w:fill="B8CCE4" w:themeFill="accent1" w:themeFillTint="66"/>
          </w:tcPr>
          <w:p w:rsidR="008A50E1" w:rsidRPr="00DA2601" w:rsidRDefault="008A50E1" w:rsidP="00335737">
            <w:pPr>
              <w:pStyle w:val="Heading6"/>
              <w:spacing w:before="120" w:after="0"/>
              <w:jc w:val="center"/>
              <w:rPr>
                <w:rFonts w:ascii="Arial" w:hAnsi="Arial" w:cs="Arial"/>
              </w:rPr>
            </w:pPr>
            <w:r w:rsidRPr="00DA2601">
              <w:rPr>
                <w:rFonts w:ascii="Arial" w:hAnsi="Arial" w:cs="Arial"/>
              </w:rPr>
              <w:t>National Statistics</w:t>
            </w:r>
          </w:p>
          <w:p w:rsidR="008A50E1" w:rsidRPr="00DA2601" w:rsidRDefault="008A50E1" w:rsidP="00335737">
            <w:pPr>
              <w:rPr>
                <w:sz w:val="22"/>
                <w:szCs w:val="22"/>
              </w:rPr>
            </w:pPr>
          </w:p>
          <w:p w:rsidR="008A50E1" w:rsidRPr="00DA2601" w:rsidRDefault="008A50E1" w:rsidP="00335737">
            <w:p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The United Kingdom Statistics Authority has designated these statistics as National Statistics, in accordance with the Statistics and Registration Service Act 2007 and signifying compliance with the Code of Practice for Official Statistics.</w:t>
            </w:r>
          </w:p>
          <w:p w:rsidR="008A50E1" w:rsidRPr="00DA2601" w:rsidRDefault="008A50E1" w:rsidP="00335737">
            <w:pPr>
              <w:autoSpaceDE w:val="0"/>
              <w:autoSpaceDN w:val="0"/>
              <w:adjustRightInd w:val="0"/>
              <w:rPr>
                <w:rFonts w:ascii="Arial" w:hAnsi="Arial" w:cs="Arial"/>
                <w:sz w:val="22"/>
                <w:szCs w:val="22"/>
                <w:lang w:eastAsia="en-GB"/>
              </w:rPr>
            </w:pPr>
          </w:p>
          <w:p w:rsidR="008A50E1" w:rsidRPr="00DA2601" w:rsidRDefault="008A50E1" w:rsidP="00335737">
            <w:p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Designation can be broadly interpreted to mean that the statistics:</w:t>
            </w:r>
          </w:p>
          <w:p w:rsidR="008A50E1" w:rsidRPr="00DA2601" w:rsidRDefault="008A50E1" w:rsidP="00335737">
            <w:pPr>
              <w:numPr>
                <w:ilvl w:val="0"/>
                <w:numId w:val="10"/>
              </w:num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meet identified user needs;</w:t>
            </w:r>
          </w:p>
          <w:p w:rsidR="008A50E1" w:rsidRPr="00DA2601" w:rsidRDefault="008A50E1" w:rsidP="00335737">
            <w:pPr>
              <w:numPr>
                <w:ilvl w:val="0"/>
                <w:numId w:val="10"/>
              </w:num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are well explained and readily accessible;</w:t>
            </w:r>
          </w:p>
          <w:p w:rsidR="008A50E1" w:rsidRPr="00DA2601" w:rsidRDefault="008A50E1" w:rsidP="00335737">
            <w:pPr>
              <w:numPr>
                <w:ilvl w:val="0"/>
                <w:numId w:val="10"/>
              </w:num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are produced according to sound methods, and</w:t>
            </w:r>
          </w:p>
          <w:p w:rsidR="008A50E1" w:rsidRPr="00DA2601" w:rsidRDefault="008A50E1" w:rsidP="00335737">
            <w:pPr>
              <w:numPr>
                <w:ilvl w:val="0"/>
                <w:numId w:val="10"/>
              </w:num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are managed impartially and objectively in the public interest.</w:t>
            </w:r>
          </w:p>
          <w:p w:rsidR="008A50E1" w:rsidRPr="00DA2601" w:rsidRDefault="008A50E1" w:rsidP="00335737">
            <w:pPr>
              <w:autoSpaceDE w:val="0"/>
              <w:autoSpaceDN w:val="0"/>
              <w:adjustRightInd w:val="0"/>
              <w:rPr>
                <w:rFonts w:ascii="Arial" w:hAnsi="Arial" w:cs="Arial"/>
                <w:sz w:val="22"/>
                <w:szCs w:val="22"/>
                <w:lang w:eastAsia="en-GB"/>
              </w:rPr>
            </w:pPr>
          </w:p>
          <w:p w:rsidR="008A50E1" w:rsidRPr="00DA2601" w:rsidRDefault="008A50E1" w:rsidP="00335737">
            <w:p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Once statistics have been designated as National Statistics it is a statutory requirement that the Code of Practice shall continue to be observed.</w:t>
            </w:r>
          </w:p>
        </w:tc>
      </w:tr>
    </w:tbl>
    <w:p w:rsidR="008A50E1" w:rsidRDefault="008A50E1" w:rsidP="008A50E1">
      <w:pPr>
        <w:pStyle w:val="BodyText"/>
        <w:tabs>
          <w:tab w:val="left" w:pos="450"/>
        </w:tabs>
        <w:spacing w:before="120" w:after="0"/>
        <w:rPr>
          <w:rFonts w:ascii="Arial" w:hAnsi="Arial" w:cs="Arial"/>
          <w:sz w:val="20"/>
          <w:szCs w:val="20"/>
        </w:rPr>
      </w:pPr>
    </w:p>
    <w:p w:rsidR="008A50E1" w:rsidRDefault="008A50E1" w:rsidP="008A50E1">
      <w:pPr>
        <w:pStyle w:val="BodyText"/>
        <w:tabs>
          <w:tab w:val="left" w:pos="450"/>
        </w:tabs>
        <w:spacing w:before="120" w:after="0"/>
        <w:rPr>
          <w:rFonts w:ascii="Arial" w:hAnsi="Arial" w:cs="Arial"/>
          <w:sz w:val="20"/>
          <w:szCs w:val="20"/>
        </w:rPr>
      </w:pPr>
    </w:p>
    <w:p w:rsidR="008A50E1" w:rsidRDefault="008A50E1" w:rsidP="008A50E1">
      <w:pPr>
        <w:pStyle w:val="BodyText"/>
        <w:tabs>
          <w:tab w:val="left" w:pos="450"/>
        </w:tabs>
        <w:spacing w:before="120" w:after="0"/>
        <w:rPr>
          <w:rFonts w:ascii="Arial" w:hAnsi="Arial" w:cs="Arial"/>
          <w:sz w:val="20"/>
          <w:szCs w:val="20"/>
        </w:rPr>
      </w:pPr>
    </w:p>
    <w:p w:rsidR="008A50E1" w:rsidRDefault="008A50E1" w:rsidP="008A50E1">
      <w:pPr>
        <w:pStyle w:val="BodyText"/>
        <w:spacing w:before="120" w:after="0" w:line="276" w:lineRule="auto"/>
      </w:pPr>
      <w:r>
        <w:rPr>
          <w:noProof/>
          <w:lang w:eastAsia="en-GB"/>
        </w:rPr>
        <w:drawing>
          <wp:inline distT="0" distB="0" distL="0" distR="0" wp14:anchorId="4C2E664C" wp14:editId="2B174C59">
            <wp:extent cx="760095" cy="308610"/>
            <wp:effectExtent l="0" t="0" r="1905" b="0"/>
            <wp:docPr id="2" name="Picture 2" descr="ogl-symbol-41px-retin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symbol-41px-retina-black"/>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60095" cy="308610"/>
                    </a:xfrm>
                    <a:prstGeom prst="rect">
                      <a:avLst/>
                    </a:prstGeom>
                    <a:noFill/>
                    <a:ln>
                      <a:noFill/>
                    </a:ln>
                  </pic:spPr>
                </pic:pic>
              </a:graphicData>
            </a:graphic>
          </wp:inline>
        </w:drawing>
      </w:r>
    </w:p>
    <w:p w:rsidR="008A50E1" w:rsidRPr="003B7DEC" w:rsidRDefault="008A50E1" w:rsidP="008A50E1">
      <w:pPr>
        <w:pStyle w:val="NormalWeb"/>
        <w:spacing w:after="120" w:line="276" w:lineRule="auto"/>
        <w:rPr>
          <w:rFonts w:ascii="Arial" w:hAnsi="Arial" w:cs="Arial"/>
          <w:color w:val="000000"/>
          <w:sz w:val="22"/>
          <w:szCs w:val="22"/>
        </w:rPr>
      </w:pPr>
      <w:r w:rsidRPr="003B7DEC">
        <w:rPr>
          <w:rFonts w:ascii="Arial" w:hAnsi="Arial" w:cs="Arial"/>
          <w:color w:val="000000"/>
          <w:sz w:val="22"/>
          <w:szCs w:val="22"/>
        </w:rPr>
        <w:t xml:space="preserve">© Crown copyright </w:t>
      </w:r>
      <w:r>
        <w:rPr>
          <w:rFonts w:ascii="Arial" w:hAnsi="Arial" w:cs="Arial"/>
          <w:color w:val="000000"/>
          <w:sz w:val="22"/>
          <w:szCs w:val="22"/>
        </w:rPr>
        <w:t>2014</w:t>
      </w:r>
    </w:p>
    <w:p w:rsidR="008A50E1" w:rsidRDefault="008A50E1" w:rsidP="008A50E1">
      <w:pPr>
        <w:spacing w:line="276" w:lineRule="auto"/>
        <w:rPr>
          <w:rFonts w:ascii="Arial" w:hAnsi="Arial" w:cs="Arial"/>
          <w:sz w:val="22"/>
          <w:szCs w:val="22"/>
        </w:rPr>
      </w:pPr>
      <w:r w:rsidRPr="009523ED">
        <w:rPr>
          <w:rFonts w:ascii="Arial" w:hAnsi="Arial" w:cs="Arial"/>
          <w:sz w:val="22"/>
          <w:szCs w:val="22"/>
        </w:rPr>
        <w:t xml:space="preserve">You may re-use this document/publication (not including logos) free of charge in any format or medium, under the terms of the Open Government Licence v2.0 and the Ordnance Survey </w:t>
      </w:r>
      <w:proofErr w:type="spellStart"/>
      <w:r w:rsidRPr="009523ED">
        <w:rPr>
          <w:rFonts w:ascii="Arial" w:hAnsi="Arial" w:cs="Arial"/>
          <w:sz w:val="22"/>
          <w:szCs w:val="22"/>
        </w:rPr>
        <w:t>OpenData</w:t>
      </w:r>
      <w:proofErr w:type="spellEnd"/>
      <w:r w:rsidRPr="009523ED">
        <w:rPr>
          <w:rFonts w:ascii="Arial" w:hAnsi="Arial" w:cs="Arial"/>
          <w:sz w:val="22"/>
          <w:szCs w:val="22"/>
        </w:rPr>
        <w:t xml:space="preserve"> Licence.</w:t>
      </w:r>
    </w:p>
    <w:p w:rsidR="008A50E1" w:rsidRPr="009523ED" w:rsidRDefault="008A50E1" w:rsidP="008A50E1">
      <w:pPr>
        <w:spacing w:line="276" w:lineRule="auto"/>
        <w:rPr>
          <w:rFonts w:ascii="Arial" w:hAnsi="Arial" w:cs="Arial"/>
          <w:sz w:val="22"/>
          <w:szCs w:val="22"/>
        </w:rPr>
      </w:pPr>
    </w:p>
    <w:p w:rsidR="008A50E1" w:rsidRDefault="008A50E1" w:rsidP="008A50E1">
      <w:pPr>
        <w:spacing w:line="276" w:lineRule="auto"/>
        <w:rPr>
          <w:rFonts w:ascii="Arial" w:hAnsi="Arial" w:cs="Arial"/>
          <w:sz w:val="22"/>
          <w:szCs w:val="22"/>
        </w:rPr>
      </w:pPr>
      <w:r w:rsidRPr="009523ED">
        <w:rPr>
          <w:rFonts w:ascii="Arial" w:hAnsi="Arial" w:cs="Arial"/>
          <w:sz w:val="22"/>
          <w:szCs w:val="22"/>
        </w:rPr>
        <w:t xml:space="preserve">To view the Open Government Licence v2.0 visit </w:t>
      </w:r>
      <w:hyperlink r:id="rId57" w:history="1">
        <w:r w:rsidRPr="009523ED">
          <w:rPr>
            <w:rStyle w:val="Hyperlink"/>
            <w:rFonts w:ascii="Arial" w:hAnsi="Arial" w:cs="Arial"/>
            <w:sz w:val="22"/>
            <w:szCs w:val="22"/>
          </w:rPr>
          <w:t>http://www.nationalarchives.gov.uk/doc/open-government-licence</w:t>
        </w:r>
      </w:hyperlink>
      <w:r w:rsidRPr="009523ED">
        <w:rPr>
          <w:rFonts w:ascii="Arial" w:hAnsi="Arial" w:cs="Arial"/>
          <w:sz w:val="22"/>
          <w:szCs w:val="22"/>
        </w:rPr>
        <w:t xml:space="preserve">; or write to the Information Policy Team, The National Archives, Kew, Richmond, Surrey, TW9 3DU; or email: </w:t>
      </w:r>
      <w:hyperlink r:id="rId58" w:history="1">
        <w:r w:rsidRPr="009523ED">
          <w:rPr>
            <w:rStyle w:val="Hyperlink"/>
            <w:rFonts w:ascii="Arial" w:hAnsi="Arial" w:cs="Arial"/>
            <w:sz w:val="22"/>
            <w:szCs w:val="22"/>
          </w:rPr>
          <w:t>psi@nationalarchives.gsi.gov.uk</w:t>
        </w:r>
      </w:hyperlink>
      <w:r w:rsidRPr="009523ED">
        <w:rPr>
          <w:rFonts w:ascii="Arial" w:hAnsi="Arial" w:cs="Arial"/>
          <w:sz w:val="22"/>
          <w:szCs w:val="22"/>
        </w:rPr>
        <w:t>.</w:t>
      </w:r>
    </w:p>
    <w:p w:rsidR="008A50E1" w:rsidRPr="003B7DEC" w:rsidRDefault="008A50E1" w:rsidP="008A50E1">
      <w:pPr>
        <w:pStyle w:val="NormalWeb"/>
        <w:spacing w:after="120" w:line="276" w:lineRule="auto"/>
        <w:rPr>
          <w:rFonts w:ascii="Arial" w:hAnsi="Arial" w:cs="Arial"/>
          <w:color w:val="000000"/>
          <w:sz w:val="22"/>
          <w:szCs w:val="22"/>
        </w:rPr>
      </w:pPr>
      <w:r w:rsidRPr="003B7DEC">
        <w:rPr>
          <w:rFonts w:ascii="Arial" w:hAnsi="Arial" w:cs="Arial"/>
          <w:color w:val="000000"/>
          <w:sz w:val="22"/>
          <w:szCs w:val="22"/>
        </w:rPr>
        <w:t xml:space="preserve">This document/publication is also available on our website at </w:t>
      </w:r>
      <w:hyperlink r:id="rId59" w:history="1">
        <w:r>
          <w:rPr>
            <w:rStyle w:val="Hyperlink"/>
            <w:rFonts w:ascii="Arial" w:hAnsi="Arial" w:cs="Arial"/>
            <w:sz w:val="22"/>
            <w:szCs w:val="22"/>
          </w:rPr>
          <w:t>https://www.gov.uk/government/collections/insolvency-service-official-statistics</w:t>
        </w:r>
      </w:hyperlink>
      <w:r>
        <w:rPr>
          <w:rFonts w:ascii="Arial" w:hAnsi="Arial" w:cs="Arial"/>
          <w:color w:val="000000"/>
          <w:sz w:val="22"/>
          <w:szCs w:val="22"/>
        </w:rPr>
        <w:t>.</w:t>
      </w:r>
    </w:p>
    <w:p w:rsidR="008A50E1" w:rsidRPr="003B7DEC" w:rsidRDefault="008A50E1" w:rsidP="008A50E1">
      <w:pPr>
        <w:pStyle w:val="NormalWeb"/>
        <w:spacing w:after="120" w:line="276" w:lineRule="auto"/>
        <w:rPr>
          <w:rFonts w:ascii="Arial" w:hAnsi="Arial" w:cs="Arial"/>
          <w:color w:val="000000"/>
          <w:sz w:val="22"/>
          <w:szCs w:val="22"/>
        </w:rPr>
      </w:pPr>
      <w:r w:rsidRPr="003B7DEC">
        <w:rPr>
          <w:rFonts w:ascii="Arial" w:hAnsi="Arial" w:cs="Arial"/>
          <w:color w:val="000000"/>
          <w:sz w:val="22"/>
          <w:szCs w:val="22"/>
        </w:rPr>
        <w:t xml:space="preserve">Any enquiries regarding this document/publication should be sent to us at </w:t>
      </w:r>
      <w:hyperlink r:id="rId60" w:history="1">
        <w:r w:rsidRPr="00D0632C">
          <w:rPr>
            <w:rStyle w:val="Hyperlink"/>
            <w:rFonts w:ascii="Arial" w:hAnsi="Arial" w:cs="Arial"/>
            <w:sz w:val="22"/>
            <w:szCs w:val="22"/>
          </w:rPr>
          <w:t>statistics@insolvencyservice.gsi.gov.uk</w:t>
        </w:r>
      </w:hyperlink>
      <w:r>
        <w:rPr>
          <w:rFonts w:ascii="Arial" w:hAnsi="Arial" w:cs="Arial"/>
          <w:color w:val="000000"/>
          <w:sz w:val="22"/>
          <w:szCs w:val="22"/>
        </w:rPr>
        <w:t>.</w:t>
      </w:r>
    </w:p>
    <w:sectPr w:rsidR="008A50E1" w:rsidRPr="003B7DEC" w:rsidSect="008A50E1">
      <w:headerReference w:type="default" r:id="rId61"/>
      <w:footerReference w:type="default" r:id="rId62"/>
      <w:headerReference w:type="first" r:id="rId63"/>
      <w:footerReference w:type="first" r:id="rId64"/>
      <w:pgSz w:w="11906" w:h="16838" w:code="9"/>
      <w:pgMar w:top="987" w:right="707" w:bottom="851" w:left="709" w:header="218" w:footer="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8C" w:rsidRDefault="00AC1E8C">
      <w:r>
        <w:separator/>
      </w:r>
    </w:p>
  </w:endnote>
  <w:endnote w:type="continuationSeparator" w:id="0">
    <w:p w:rsidR="00AC1E8C" w:rsidRDefault="00AC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25784"/>
      <w:docPartObj>
        <w:docPartGallery w:val="Page Numbers (Bottom of Page)"/>
        <w:docPartUnique/>
      </w:docPartObj>
    </w:sdtPr>
    <w:sdtEndPr>
      <w:rPr>
        <w:noProof/>
      </w:rPr>
    </w:sdtEndPr>
    <w:sdtContent>
      <w:p w:rsidR="00AC1E8C" w:rsidRDefault="00AC1E8C">
        <w:pPr>
          <w:pStyle w:val="Footer"/>
          <w:jc w:val="center"/>
        </w:pPr>
        <w:r w:rsidRPr="00274FD3">
          <w:rPr>
            <w:rFonts w:ascii="Arial" w:hAnsi="Arial" w:cs="Arial"/>
          </w:rPr>
          <w:fldChar w:fldCharType="begin"/>
        </w:r>
        <w:r w:rsidRPr="00274FD3">
          <w:rPr>
            <w:rFonts w:ascii="Arial" w:hAnsi="Arial" w:cs="Arial"/>
          </w:rPr>
          <w:instrText xml:space="preserve"> PAGE   \* MERGEFORMAT </w:instrText>
        </w:r>
        <w:r w:rsidRPr="00274FD3">
          <w:rPr>
            <w:rFonts w:ascii="Arial" w:hAnsi="Arial" w:cs="Arial"/>
          </w:rPr>
          <w:fldChar w:fldCharType="separate"/>
        </w:r>
        <w:r w:rsidR="007B4793">
          <w:rPr>
            <w:rFonts w:ascii="Arial" w:hAnsi="Arial" w:cs="Arial"/>
            <w:noProof/>
          </w:rPr>
          <w:t>2</w:t>
        </w:r>
        <w:r w:rsidRPr="00274FD3">
          <w:rPr>
            <w:rFonts w:ascii="Arial" w:hAnsi="Arial" w:cs="Arial"/>
            <w:noProof/>
          </w:rPr>
          <w:fldChar w:fldCharType="end"/>
        </w:r>
      </w:p>
    </w:sdtContent>
  </w:sdt>
  <w:p w:rsidR="00AC1E8C" w:rsidRDefault="00AC1E8C" w:rsidP="00165C80">
    <w:pPr>
      <w:pStyle w:val="Footer"/>
      <w:tabs>
        <w:tab w:val="clear" w:pos="4153"/>
        <w:tab w:val="clear" w:pos="8306"/>
        <w:tab w:val="left" w:pos="5057"/>
        <w:tab w:val="left" w:pos="704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996216"/>
      <w:docPartObj>
        <w:docPartGallery w:val="Page Numbers (Bottom of Page)"/>
        <w:docPartUnique/>
      </w:docPartObj>
    </w:sdtPr>
    <w:sdtEndPr>
      <w:rPr>
        <w:rFonts w:ascii="Arial" w:hAnsi="Arial" w:cs="Arial"/>
        <w:noProof/>
      </w:rPr>
    </w:sdtEndPr>
    <w:sdtContent>
      <w:p w:rsidR="00AC1E8C" w:rsidRPr="00274FD3" w:rsidRDefault="00AC1E8C">
        <w:pPr>
          <w:pStyle w:val="Footer"/>
          <w:jc w:val="center"/>
          <w:rPr>
            <w:rFonts w:ascii="Arial" w:hAnsi="Arial" w:cs="Arial"/>
          </w:rPr>
        </w:pPr>
        <w:r w:rsidRPr="00274FD3">
          <w:rPr>
            <w:rFonts w:ascii="Arial" w:hAnsi="Arial" w:cs="Arial"/>
          </w:rPr>
          <w:fldChar w:fldCharType="begin"/>
        </w:r>
        <w:r w:rsidRPr="00274FD3">
          <w:rPr>
            <w:rFonts w:ascii="Arial" w:hAnsi="Arial" w:cs="Arial"/>
          </w:rPr>
          <w:instrText xml:space="preserve"> PAGE   \* MERGEFORMAT </w:instrText>
        </w:r>
        <w:r w:rsidRPr="00274FD3">
          <w:rPr>
            <w:rFonts w:ascii="Arial" w:hAnsi="Arial" w:cs="Arial"/>
          </w:rPr>
          <w:fldChar w:fldCharType="separate"/>
        </w:r>
        <w:r w:rsidR="007B4793">
          <w:rPr>
            <w:rFonts w:ascii="Arial" w:hAnsi="Arial" w:cs="Arial"/>
            <w:noProof/>
          </w:rPr>
          <w:t>1</w:t>
        </w:r>
        <w:r w:rsidRPr="00274FD3">
          <w:rPr>
            <w:rFonts w:ascii="Arial" w:hAnsi="Arial" w:cs="Arial"/>
            <w:noProof/>
          </w:rPr>
          <w:fldChar w:fldCharType="end"/>
        </w:r>
      </w:p>
    </w:sdtContent>
  </w:sdt>
  <w:p w:rsidR="00AC1E8C" w:rsidRDefault="00AC1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8C" w:rsidRDefault="00AC1E8C">
      <w:r>
        <w:separator/>
      </w:r>
    </w:p>
  </w:footnote>
  <w:footnote w:type="continuationSeparator" w:id="0">
    <w:p w:rsidR="00AC1E8C" w:rsidRDefault="00AC1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8C" w:rsidRDefault="00AC1E8C" w:rsidP="00840C70">
    <w:pPr>
      <w:pStyle w:val="Header"/>
      <w:spacing w:before="120"/>
      <w:jc w:val="center"/>
      <w:rPr>
        <w:rFonts w:ascii="Arial" w:hAnsi="Arial" w:cs="Arial"/>
        <w:b/>
        <w:color w:val="FF0000"/>
      </w:rPr>
    </w:pPr>
  </w:p>
  <w:p w:rsidR="00AC1E8C" w:rsidRPr="00116DC6" w:rsidRDefault="00AC1E8C" w:rsidP="00840C70">
    <w:pPr>
      <w:pStyle w:val="Header"/>
      <w:jc w:val="center"/>
      <w:rPr>
        <w:rFonts w:ascii="Arial" w:hAnsi="Arial" w:cs="Arial"/>
        <w:b/>
        <w:color w:val="FF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8C" w:rsidRDefault="00AC1E8C" w:rsidP="00840C70">
    <w:pPr>
      <w:pStyle w:val="Header"/>
      <w:spacing w:before="120"/>
      <w:jc w:val="center"/>
      <w:rPr>
        <w:rFonts w:ascii="Arial" w:hAnsi="Arial" w:cs="Arial"/>
        <w:b/>
        <w:color w:val="FF0000"/>
      </w:rPr>
    </w:pPr>
    <w:r>
      <w:rPr>
        <w:noProof/>
        <w:lang w:eastAsia="en-GB"/>
      </w:rPr>
      <w:drawing>
        <wp:anchor distT="0" distB="0" distL="114300" distR="114300" simplePos="0" relativeHeight="251659776" behindDoc="0" locked="0" layoutInCell="1" allowOverlap="1" wp14:anchorId="1C88B163" wp14:editId="4309D6F7">
          <wp:simplePos x="0" y="0"/>
          <wp:positionH relativeFrom="column">
            <wp:posOffset>5641340</wp:posOffset>
          </wp:positionH>
          <wp:positionV relativeFrom="paragraph">
            <wp:posOffset>27305</wp:posOffset>
          </wp:positionV>
          <wp:extent cx="985520" cy="985520"/>
          <wp:effectExtent l="0" t="0" r="508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_RGB.jpg"/>
                  <pic:cNvPicPr/>
                </pic:nvPicPr>
                <pic:blipFill>
                  <a:blip r:embed="rId1">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sidRPr="00116DC6">
      <w:rPr>
        <w:rFonts w:ascii="Arial" w:hAnsi="Arial"/>
        <w:noProof/>
        <w:sz w:val="16"/>
        <w:szCs w:val="16"/>
        <w:lang w:eastAsia="en-GB"/>
      </w:rPr>
      <w:drawing>
        <wp:anchor distT="0" distB="0" distL="114300" distR="114300" simplePos="0" relativeHeight="251658752" behindDoc="0" locked="0" layoutInCell="1" allowOverlap="1" wp14:anchorId="6B889DD1" wp14:editId="731B3DD4">
          <wp:simplePos x="0" y="0"/>
          <wp:positionH relativeFrom="column">
            <wp:posOffset>-27940</wp:posOffset>
          </wp:positionH>
          <wp:positionV relativeFrom="paragraph">
            <wp:posOffset>113030</wp:posOffset>
          </wp:positionV>
          <wp:extent cx="1257300" cy="657225"/>
          <wp:effectExtent l="0" t="0" r="0" b="9525"/>
          <wp:wrapSquare wrapText="bothSides"/>
          <wp:docPr id="20" name="Picture 20" descr="Insolvency Service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olvency Service_BLK_SML_A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E8C" w:rsidRDefault="00AC1E8C" w:rsidP="00840C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5025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8614A0"/>
    <w:multiLevelType w:val="hybridMultilevel"/>
    <w:tmpl w:val="09C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D40AE"/>
    <w:multiLevelType w:val="hybridMultilevel"/>
    <w:tmpl w:val="60342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67E82"/>
    <w:multiLevelType w:val="hybridMultilevel"/>
    <w:tmpl w:val="4052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042D5"/>
    <w:multiLevelType w:val="hybridMultilevel"/>
    <w:tmpl w:val="69B23DE8"/>
    <w:lvl w:ilvl="0" w:tplc="42529F6C">
      <w:start w:val="1"/>
      <w:numFmt w:val="decimal"/>
      <w:lvlText w:val="%1."/>
      <w:lvlJc w:val="left"/>
      <w:pPr>
        <w:tabs>
          <w:tab w:val="num" w:pos="454"/>
        </w:tabs>
        <w:ind w:left="0" w:firstLine="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06F4B40"/>
    <w:multiLevelType w:val="hybridMultilevel"/>
    <w:tmpl w:val="4E14D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BF0706"/>
    <w:multiLevelType w:val="hybridMultilevel"/>
    <w:tmpl w:val="422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C251A"/>
    <w:multiLevelType w:val="multilevel"/>
    <w:tmpl w:val="CB5893D2"/>
    <w:lvl w:ilvl="0">
      <w:start w:val="1"/>
      <w:numFmt w:val="decimal"/>
      <w:lvlText w:val="%1."/>
      <w:lvlJc w:val="left"/>
      <w:pPr>
        <w:tabs>
          <w:tab w:val="num" w:pos="357"/>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DF2BDC"/>
    <w:multiLevelType w:val="hybridMultilevel"/>
    <w:tmpl w:val="B654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4A07D9"/>
    <w:multiLevelType w:val="multilevel"/>
    <w:tmpl w:val="DBBA26C2"/>
    <w:lvl w:ilvl="0">
      <w:start w:val="1"/>
      <w:numFmt w:val="decimal"/>
      <w:lvlText w:val="%1."/>
      <w:lvlJc w:val="left"/>
      <w:pPr>
        <w:tabs>
          <w:tab w:val="num" w:pos="720"/>
        </w:tabs>
        <w:ind w:left="0" w:firstLine="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1A80CB7"/>
    <w:multiLevelType w:val="multilevel"/>
    <w:tmpl w:val="51C8C718"/>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5F4049"/>
    <w:multiLevelType w:val="hybridMultilevel"/>
    <w:tmpl w:val="D7E8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C047915"/>
    <w:multiLevelType w:val="multilevel"/>
    <w:tmpl w:val="FEBC14B8"/>
    <w:lvl w:ilvl="0">
      <w:start w:val="1"/>
      <w:numFmt w:val="decimal"/>
      <w:lvlText w:val="%1."/>
      <w:lvlJc w:val="left"/>
      <w:pPr>
        <w:tabs>
          <w:tab w:val="num" w:pos="720"/>
        </w:tabs>
        <w:ind w:left="0" w:firstLine="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C050EDD"/>
    <w:multiLevelType w:val="multilevel"/>
    <w:tmpl w:val="7B38B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F65915"/>
    <w:multiLevelType w:val="hybridMultilevel"/>
    <w:tmpl w:val="D96A5AFE"/>
    <w:lvl w:ilvl="0" w:tplc="7D9A22DA">
      <w:start w:val="1"/>
      <w:numFmt w:val="decimal"/>
      <w:lvlText w:val="%1."/>
      <w:lvlJc w:val="left"/>
      <w:pPr>
        <w:tabs>
          <w:tab w:val="num" w:pos="357"/>
        </w:tabs>
        <w:ind w:left="0" w:firstLine="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0C153CA"/>
    <w:multiLevelType w:val="hybridMultilevel"/>
    <w:tmpl w:val="7AB4D700"/>
    <w:lvl w:ilvl="0" w:tplc="375C223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CA394D"/>
    <w:multiLevelType w:val="hybridMultilevel"/>
    <w:tmpl w:val="0CBABBAA"/>
    <w:lvl w:ilvl="0" w:tplc="D982D9D8">
      <w:start w:val="24"/>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6E5B573E"/>
    <w:multiLevelType w:val="hybridMultilevel"/>
    <w:tmpl w:val="4234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F023F8"/>
    <w:multiLevelType w:val="hybridMultilevel"/>
    <w:tmpl w:val="1882AE5E"/>
    <w:lvl w:ilvl="0" w:tplc="D19022D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E05FA1"/>
    <w:multiLevelType w:val="hybridMultilevel"/>
    <w:tmpl w:val="BCEE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9"/>
  </w:num>
  <w:num w:numId="5">
    <w:abstractNumId w:val="15"/>
  </w:num>
  <w:num w:numId="6">
    <w:abstractNumId w:val="14"/>
  </w:num>
  <w:num w:numId="7">
    <w:abstractNumId w:val="13"/>
  </w:num>
  <w:num w:numId="8">
    <w:abstractNumId w:val="7"/>
  </w:num>
  <w:num w:numId="9">
    <w:abstractNumId w:val="0"/>
  </w:num>
  <w:num w:numId="10">
    <w:abstractNumId w:val="18"/>
  </w:num>
  <w:num w:numId="11">
    <w:abstractNumId w:val="1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5"/>
  </w:num>
  <w:num w:numId="15">
    <w:abstractNumId w:val="6"/>
  </w:num>
  <w:num w:numId="16">
    <w:abstractNumId w:val="19"/>
  </w:num>
  <w:num w:numId="17">
    <w:abstractNumId w:val="3"/>
  </w:num>
  <w:num w:numId="18">
    <w:abstractNumId w:val="8"/>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0C"/>
    <w:rsid w:val="000032E9"/>
    <w:rsid w:val="000036B1"/>
    <w:rsid w:val="000060E1"/>
    <w:rsid w:val="00006113"/>
    <w:rsid w:val="0000619C"/>
    <w:rsid w:val="000064CF"/>
    <w:rsid w:val="00006962"/>
    <w:rsid w:val="000076CB"/>
    <w:rsid w:val="00011902"/>
    <w:rsid w:val="00012B51"/>
    <w:rsid w:val="00014197"/>
    <w:rsid w:val="0001537E"/>
    <w:rsid w:val="000153F2"/>
    <w:rsid w:val="00015752"/>
    <w:rsid w:val="00017D9D"/>
    <w:rsid w:val="00020171"/>
    <w:rsid w:val="00020C4E"/>
    <w:rsid w:val="000216E6"/>
    <w:rsid w:val="00021906"/>
    <w:rsid w:val="00026BC8"/>
    <w:rsid w:val="00027A11"/>
    <w:rsid w:val="00027FA3"/>
    <w:rsid w:val="00033AAF"/>
    <w:rsid w:val="00035854"/>
    <w:rsid w:val="000360C6"/>
    <w:rsid w:val="00036AA6"/>
    <w:rsid w:val="00036BFF"/>
    <w:rsid w:val="0003724C"/>
    <w:rsid w:val="0004071C"/>
    <w:rsid w:val="00040E3A"/>
    <w:rsid w:val="0004130F"/>
    <w:rsid w:val="00041F14"/>
    <w:rsid w:val="000421C8"/>
    <w:rsid w:val="00044F7F"/>
    <w:rsid w:val="00046339"/>
    <w:rsid w:val="0004773F"/>
    <w:rsid w:val="00047DFD"/>
    <w:rsid w:val="00047E6A"/>
    <w:rsid w:val="0005018A"/>
    <w:rsid w:val="00050F05"/>
    <w:rsid w:val="00051BB4"/>
    <w:rsid w:val="00052B79"/>
    <w:rsid w:val="0005756A"/>
    <w:rsid w:val="0006157E"/>
    <w:rsid w:val="00062571"/>
    <w:rsid w:val="000640B0"/>
    <w:rsid w:val="000645AC"/>
    <w:rsid w:val="00065FB1"/>
    <w:rsid w:val="00067D73"/>
    <w:rsid w:val="00070001"/>
    <w:rsid w:val="00073842"/>
    <w:rsid w:val="00073EE0"/>
    <w:rsid w:val="00075416"/>
    <w:rsid w:val="00076404"/>
    <w:rsid w:val="00081B14"/>
    <w:rsid w:val="00083914"/>
    <w:rsid w:val="0008454A"/>
    <w:rsid w:val="0008546B"/>
    <w:rsid w:val="000860D4"/>
    <w:rsid w:val="00087C0C"/>
    <w:rsid w:val="00087CC4"/>
    <w:rsid w:val="00091D73"/>
    <w:rsid w:val="0009240D"/>
    <w:rsid w:val="00095110"/>
    <w:rsid w:val="00096CC8"/>
    <w:rsid w:val="00096FF4"/>
    <w:rsid w:val="0009776E"/>
    <w:rsid w:val="000A19FA"/>
    <w:rsid w:val="000A2B5D"/>
    <w:rsid w:val="000A336D"/>
    <w:rsid w:val="000A40F2"/>
    <w:rsid w:val="000A46EC"/>
    <w:rsid w:val="000A7202"/>
    <w:rsid w:val="000A7B11"/>
    <w:rsid w:val="000B16F2"/>
    <w:rsid w:val="000B229A"/>
    <w:rsid w:val="000B3AB4"/>
    <w:rsid w:val="000B6473"/>
    <w:rsid w:val="000C0100"/>
    <w:rsid w:val="000C04BB"/>
    <w:rsid w:val="000C09D1"/>
    <w:rsid w:val="000C1259"/>
    <w:rsid w:val="000C1BEC"/>
    <w:rsid w:val="000C1E04"/>
    <w:rsid w:val="000C23F4"/>
    <w:rsid w:val="000C2B93"/>
    <w:rsid w:val="000C39E6"/>
    <w:rsid w:val="000C760B"/>
    <w:rsid w:val="000C7B98"/>
    <w:rsid w:val="000D0EAB"/>
    <w:rsid w:val="000D1472"/>
    <w:rsid w:val="000D2AF6"/>
    <w:rsid w:val="000D301E"/>
    <w:rsid w:val="000D62DE"/>
    <w:rsid w:val="000E0028"/>
    <w:rsid w:val="000E0647"/>
    <w:rsid w:val="000E083D"/>
    <w:rsid w:val="000E141A"/>
    <w:rsid w:val="000E297E"/>
    <w:rsid w:val="000E4555"/>
    <w:rsid w:val="000E4618"/>
    <w:rsid w:val="000E77AA"/>
    <w:rsid w:val="000E79F5"/>
    <w:rsid w:val="000F2AA2"/>
    <w:rsid w:val="000F435F"/>
    <w:rsid w:val="000F50D2"/>
    <w:rsid w:val="00104A87"/>
    <w:rsid w:val="00105B20"/>
    <w:rsid w:val="00105D04"/>
    <w:rsid w:val="00106876"/>
    <w:rsid w:val="00107003"/>
    <w:rsid w:val="0010788C"/>
    <w:rsid w:val="00110139"/>
    <w:rsid w:val="0011042F"/>
    <w:rsid w:val="00110C41"/>
    <w:rsid w:val="00110DAA"/>
    <w:rsid w:val="001119F3"/>
    <w:rsid w:val="00113053"/>
    <w:rsid w:val="001130B1"/>
    <w:rsid w:val="00116DC6"/>
    <w:rsid w:val="00121457"/>
    <w:rsid w:val="00121B79"/>
    <w:rsid w:val="00123C88"/>
    <w:rsid w:val="00125919"/>
    <w:rsid w:val="00126FCC"/>
    <w:rsid w:val="001307F9"/>
    <w:rsid w:val="00130C21"/>
    <w:rsid w:val="00131FF3"/>
    <w:rsid w:val="00132878"/>
    <w:rsid w:val="001378CB"/>
    <w:rsid w:val="00144490"/>
    <w:rsid w:val="00150224"/>
    <w:rsid w:val="00150661"/>
    <w:rsid w:val="001513ED"/>
    <w:rsid w:val="0015141C"/>
    <w:rsid w:val="00153B6D"/>
    <w:rsid w:val="00155F9D"/>
    <w:rsid w:val="0015639A"/>
    <w:rsid w:val="00160FC7"/>
    <w:rsid w:val="00165C80"/>
    <w:rsid w:val="001665E0"/>
    <w:rsid w:val="001676BE"/>
    <w:rsid w:val="00171411"/>
    <w:rsid w:val="00174F9E"/>
    <w:rsid w:val="001760AF"/>
    <w:rsid w:val="0017740D"/>
    <w:rsid w:val="00177F88"/>
    <w:rsid w:val="001838F2"/>
    <w:rsid w:val="00183C55"/>
    <w:rsid w:val="00184CC9"/>
    <w:rsid w:val="00186CAF"/>
    <w:rsid w:val="0018788E"/>
    <w:rsid w:val="00190379"/>
    <w:rsid w:val="001930C4"/>
    <w:rsid w:val="0019311C"/>
    <w:rsid w:val="00193D75"/>
    <w:rsid w:val="001946F4"/>
    <w:rsid w:val="0019713A"/>
    <w:rsid w:val="001A1B0A"/>
    <w:rsid w:val="001A2474"/>
    <w:rsid w:val="001A3F45"/>
    <w:rsid w:val="001A557C"/>
    <w:rsid w:val="001A6A26"/>
    <w:rsid w:val="001B0C9B"/>
    <w:rsid w:val="001B2462"/>
    <w:rsid w:val="001B2768"/>
    <w:rsid w:val="001B2BF0"/>
    <w:rsid w:val="001B2F8E"/>
    <w:rsid w:val="001B586E"/>
    <w:rsid w:val="001B5D35"/>
    <w:rsid w:val="001B5E58"/>
    <w:rsid w:val="001B6A81"/>
    <w:rsid w:val="001C1256"/>
    <w:rsid w:val="001C2BB8"/>
    <w:rsid w:val="001C49F1"/>
    <w:rsid w:val="001C66B1"/>
    <w:rsid w:val="001C7104"/>
    <w:rsid w:val="001D0089"/>
    <w:rsid w:val="001D4B16"/>
    <w:rsid w:val="001D510F"/>
    <w:rsid w:val="001D6839"/>
    <w:rsid w:val="001D70D8"/>
    <w:rsid w:val="001D7E46"/>
    <w:rsid w:val="001E0E3D"/>
    <w:rsid w:val="001E16CF"/>
    <w:rsid w:val="001E25CE"/>
    <w:rsid w:val="001E2825"/>
    <w:rsid w:val="001F0B39"/>
    <w:rsid w:val="001F0FC6"/>
    <w:rsid w:val="001F4919"/>
    <w:rsid w:val="001F584F"/>
    <w:rsid w:val="002043B4"/>
    <w:rsid w:val="00204D78"/>
    <w:rsid w:val="0020598A"/>
    <w:rsid w:val="00206B47"/>
    <w:rsid w:val="00206BC2"/>
    <w:rsid w:val="00206D3B"/>
    <w:rsid w:val="00207EB6"/>
    <w:rsid w:val="00213BFF"/>
    <w:rsid w:val="0021666C"/>
    <w:rsid w:val="00216CD2"/>
    <w:rsid w:val="00220AA6"/>
    <w:rsid w:val="00221326"/>
    <w:rsid w:val="00222097"/>
    <w:rsid w:val="00222366"/>
    <w:rsid w:val="002236B9"/>
    <w:rsid w:val="00223704"/>
    <w:rsid w:val="0022431C"/>
    <w:rsid w:val="00224A02"/>
    <w:rsid w:val="00225BAD"/>
    <w:rsid w:val="00225F33"/>
    <w:rsid w:val="00226371"/>
    <w:rsid w:val="002263B8"/>
    <w:rsid w:val="002278C3"/>
    <w:rsid w:val="002304E0"/>
    <w:rsid w:val="00232C19"/>
    <w:rsid w:val="00233FA4"/>
    <w:rsid w:val="002378E2"/>
    <w:rsid w:val="00237C7B"/>
    <w:rsid w:val="00240DF5"/>
    <w:rsid w:val="002435CC"/>
    <w:rsid w:val="00245174"/>
    <w:rsid w:val="0024621F"/>
    <w:rsid w:val="002504E3"/>
    <w:rsid w:val="00253D2D"/>
    <w:rsid w:val="00253DAD"/>
    <w:rsid w:val="00255A60"/>
    <w:rsid w:val="0026248F"/>
    <w:rsid w:val="00264AC5"/>
    <w:rsid w:val="002713B5"/>
    <w:rsid w:val="00271997"/>
    <w:rsid w:val="002743FC"/>
    <w:rsid w:val="00274FD3"/>
    <w:rsid w:val="00275D8D"/>
    <w:rsid w:val="00276E55"/>
    <w:rsid w:val="00277509"/>
    <w:rsid w:val="00277B5E"/>
    <w:rsid w:val="00280723"/>
    <w:rsid w:val="00280993"/>
    <w:rsid w:val="00281B52"/>
    <w:rsid w:val="00282131"/>
    <w:rsid w:val="00283F9D"/>
    <w:rsid w:val="0028401E"/>
    <w:rsid w:val="00285124"/>
    <w:rsid w:val="00290E25"/>
    <w:rsid w:val="00290FAB"/>
    <w:rsid w:val="00291113"/>
    <w:rsid w:val="002915E1"/>
    <w:rsid w:val="0029196D"/>
    <w:rsid w:val="002947A0"/>
    <w:rsid w:val="0029590F"/>
    <w:rsid w:val="00296033"/>
    <w:rsid w:val="002975F8"/>
    <w:rsid w:val="00297B1C"/>
    <w:rsid w:val="002A29B0"/>
    <w:rsid w:val="002A324F"/>
    <w:rsid w:val="002A718F"/>
    <w:rsid w:val="002A7ACB"/>
    <w:rsid w:val="002B64B5"/>
    <w:rsid w:val="002B752B"/>
    <w:rsid w:val="002B7C0B"/>
    <w:rsid w:val="002C0049"/>
    <w:rsid w:val="002C0937"/>
    <w:rsid w:val="002C299A"/>
    <w:rsid w:val="002C33AC"/>
    <w:rsid w:val="002C3511"/>
    <w:rsid w:val="002C4265"/>
    <w:rsid w:val="002C6B1C"/>
    <w:rsid w:val="002D15E0"/>
    <w:rsid w:val="002D337E"/>
    <w:rsid w:val="002D3A05"/>
    <w:rsid w:val="002D4007"/>
    <w:rsid w:val="002D4450"/>
    <w:rsid w:val="002D7A20"/>
    <w:rsid w:val="002D7A3F"/>
    <w:rsid w:val="002E1CC6"/>
    <w:rsid w:val="002E2D2E"/>
    <w:rsid w:val="002E417A"/>
    <w:rsid w:val="002E5019"/>
    <w:rsid w:val="002E7D5D"/>
    <w:rsid w:val="002F0F35"/>
    <w:rsid w:val="002F462E"/>
    <w:rsid w:val="002F4693"/>
    <w:rsid w:val="002F5ABE"/>
    <w:rsid w:val="002F6C79"/>
    <w:rsid w:val="00301E48"/>
    <w:rsid w:val="00301E85"/>
    <w:rsid w:val="00302CCF"/>
    <w:rsid w:val="00303524"/>
    <w:rsid w:val="00304EA1"/>
    <w:rsid w:val="00305530"/>
    <w:rsid w:val="003055EF"/>
    <w:rsid w:val="0030610A"/>
    <w:rsid w:val="00306D33"/>
    <w:rsid w:val="00306FA4"/>
    <w:rsid w:val="00307FA1"/>
    <w:rsid w:val="003101AE"/>
    <w:rsid w:val="00310B4C"/>
    <w:rsid w:val="003125E3"/>
    <w:rsid w:val="003127C3"/>
    <w:rsid w:val="00314804"/>
    <w:rsid w:val="00314B62"/>
    <w:rsid w:val="0031700D"/>
    <w:rsid w:val="003170B4"/>
    <w:rsid w:val="003217B9"/>
    <w:rsid w:val="00322AEF"/>
    <w:rsid w:val="0032328A"/>
    <w:rsid w:val="0032449E"/>
    <w:rsid w:val="00326114"/>
    <w:rsid w:val="0032622F"/>
    <w:rsid w:val="00326EEA"/>
    <w:rsid w:val="0033096C"/>
    <w:rsid w:val="00332DFE"/>
    <w:rsid w:val="003336D0"/>
    <w:rsid w:val="003345F4"/>
    <w:rsid w:val="00335737"/>
    <w:rsid w:val="003373CC"/>
    <w:rsid w:val="00337611"/>
    <w:rsid w:val="003403C1"/>
    <w:rsid w:val="00343DBF"/>
    <w:rsid w:val="00343DC4"/>
    <w:rsid w:val="003469AB"/>
    <w:rsid w:val="00351422"/>
    <w:rsid w:val="00353A0E"/>
    <w:rsid w:val="00356627"/>
    <w:rsid w:val="003609AD"/>
    <w:rsid w:val="00361B36"/>
    <w:rsid w:val="003631E5"/>
    <w:rsid w:val="00363579"/>
    <w:rsid w:val="00371325"/>
    <w:rsid w:val="00371CE4"/>
    <w:rsid w:val="003723B6"/>
    <w:rsid w:val="00373472"/>
    <w:rsid w:val="00373495"/>
    <w:rsid w:val="003759C8"/>
    <w:rsid w:val="00377A44"/>
    <w:rsid w:val="0038087C"/>
    <w:rsid w:val="00380FFA"/>
    <w:rsid w:val="00383B76"/>
    <w:rsid w:val="00384F3A"/>
    <w:rsid w:val="0038594F"/>
    <w:rsid w:val="00385A68"/>
    <w:rsid w:val="00387D45"/>
    <w:rsid w:val="003919DC"/>
    <w:rsid w:val="003954D0"/>
    <w:rsid w:val="003964A3"/>
    <w:rsid w:val="00397878"/>
    <w:rsid w:val="00397BDA"/>
    <w:rsid w:val="003A1A36"/>
    <w:rsid w:val="003A1BB2"/>
    <w:rsid w:val="003A232E"/>
    <w:rsid w:val="003A43B3"/>
    <w:rsid w:val="003A5E1B"/>
    <w:rsid w:val="003B00ED"/>
    <w:rsid w:val="003B01AC"/>
    <w:rsid w:val="003B107C"/>
    <w:rsid w:val="003B4E0F"/>
    <w:rsid w:val="003B55EF"/>
    <w:rsid w:val="003C039A"/>
    <w:rsid w:val="003C3EB3"/>
    <w:rsid w:val="003D08FA"/>
    <w:rsid w:val="003D167F"/>
    <w:rsid w:val="003D4DC1"/>
    <w:rsid w:val="003D5600"/>
    <w:rsid w:val="003D7715"/>
    <w:rsid w:val="003E1E65"/>
    <w:rsid w:val="003E205E"/>
    <w:rsid w:val="003E232A"/>
    <w:rsid w:val="003E3659"/>
    <w:rsid w:val="003E4596"/>
    <w:rsid w:val="003E4EDF"/>
    <w:rsid w:val="003E5C2A"/>
    <w:rsid w:val="003E680D"/>
    <w:rsid w:val="003F22D6"/>
    <w:rsid w:val="003F3A38"/>
    <w:rsid w:val="003F6834"/>
    <w:rsid w:val="003F7077"/>
    <w:rsid w:val="00400A32"/>
    <w:rsid w:val="004014B5"/>
    <w:rsid w:val="00407102"/>
    <w:rsid w:val="004071A1"/>
    <w:rsid w:val="004075AE"/>
    <w:rsid w:val="004117C5"/>
    <w:rsid w:val="00411F9B"/>
    <w:rsid w:val="00412305"/>
    <w:rsid w:val="00412597"/>
    <w:rsid w:val="004131FE"/>
    <w:rsid w:val="004132BA"/>
    <w:rsid w:val="00413F19"/>
    <w:rsid w:val="0041479C"/>
    <w:rsid w:val="004148E8"/>
    <w:rsid w:val="00415F08"/>
    <w:rsid w:val="00416D1B"/>
    <w:rsid w:val="004221CE"/>
    <w:rsid w:val="00423409"/>
    <w:rsid w:val="00423751"/>
    <w:rsid w:val="00423888"/>
    <w:rsid w:val="004252F4"/>
    <w:rsid w:val="004261EA"/>
    <w:rsid w:val="004269BD"/>
    <w:rsid w:val="0042737F"/>
    <w:rsid w:val="004310A1"/>
    <w:rsid w:val="00431779"/>
    <w:rsid w:val="00431B73"/>
    <w:rsid w:val="00433FE1"/>
    <w:rsid w:val="004340F2"/>
    <w:rsid w:val="004369D5"/>
    <w:rsid w:val="004404F3"/>
    <w:rsid w:val="00441551"/>
    <w:rsid w:val="004416B3"/>
    <w:rsid w:val="0044205C"/>
    <w:rsid w:val="00442D62"/>
    <w:rsid w:val="004457E8"/>
    <w:rsid w:val="00446F12"/>
    <w:rsid w:val="00450B37"/>
    <w:rsid w:val="00451764"/>
    <w:rsid w:val="00451848"/>
    <w:rsid w:val="004528AB"/>
    <w:rsid w:val="004534E5"/>
    <w:rsid w:val="00453C6B"/>
    <w:rsid w:val="00455F04"/>
    <w:rsid w:val="00456257"/>
    <w:rsid w:val="00456536"/>
    <w:rsid w:val="004570C5"/>
    <w:rsid w:val="00457EB1"/>
    <w:rsid w:val="0046008C"/>
    <w:rsid w:val="00460AE8"/>
    <w:rsid w:val="00461033"/>
    <w:rsid w:val="0046136D"/>
    <w:rsid w:val="00461C80"/>
    <w:rsid w:val="00462B3E"/>
    <w:rsid w:val="00467A29"/>
    <w:rsid w:val="00467C79"/>
    <w:rsid w:val="004713DE"/>
    <w:rsid w:val="0047225D"/>
    <w:rsid w:val="00475A7F"/>
    <w:rsid w:val="004762C9"/>
    <w:rsid w:val="0047637C"/>
    <w:rsid w:val="0047715A"/>
    <w:rsid w:val="00480C85"/>
    <w:rsid w:val="00481522"/>
    <w:rsid w:val="00481AEA"/>
    <w:rsid w:val="004824DB"/>
    <w:rsid w:val="004835E6"/>
    <w:rsid w:val="00483656"/>
    <w:rsid w:val="004853F8"/>
    <w:rsid w:val="00486D2C"/>
    <w:rsid w:val="00487755"/>
    <w:rsid w:val="004932D1"/>
    <w:rsid w:val="004941FC"/>
    <w:rsid w:val="00494F75"/>
    <w:rsid w:val="00497A76"/>
    <w:rsid w:val="004A35B0"/>
    <w:rsid w:val="004A3FAE"/>
    <w:rsid w:val="004A4333"/>
    <w:rsid w:val="004A51D5"/>
    <w:rsid w:val="004A5377"/>
    <w:rsid w:val="004A64F9"/>
    <w:rsid w:val="004B1417"/>
    <w:rsid w:val="004B1CF0"/>
    <w:rsid w:val="004B2C02"/>
    <w:rsid w:val="004B303E"/>
    <w:rsid w:val="004B33CD"/>
    <w:rsid w:val="004B45FA"/>
    <w:rsid w:val="004B4866"/>
    <w:rsid w:val="004B59C9"/>
    <w:rsid w:val="004B5F99"/>
    <w:rsid w:val="004B7067"/>
    <w:rsid w:val="004B7C0C"/>
    <w:rsid w:val="004C0F39"/>
    <w:rsid w:val="004C144C"/>
    <w:rsid w:val="004C1AE4"/>
    <w:rsid w:val="004C1B7F"/>
    <w:rsid w:val="004C3829"/>
    <w:rsid w:val="004C3BA7"/>
    <w:rsid w:val="004C468F"/>
    <w:rsid w:val="004C4979"/>
    <w:rsid w:val="004C51AC"/>
    <w:rsid w:val="004C7DFB"/>
    <w:rsid w:val="004D1210"/>
    <w:rsid w:val="004D26D5"/>
    <w:rsid w:val="004D4506"/>
    <w:rsid w:val="004D5913"/>
    <w:rsid w:val="004D5E97"/>
    <w:rsid w:val="004E1435"/>
    <w:rsid w:val="004E1AD3"/>
    <w:rsid w:val="004E2E8D"/>
    <w:rsid w:val="004E487E"/>
    <w:rsid w:val="004E4946"/>
    <w:rsid w:val="004E4BC6"/>
    <w:rsid w:val="004E5722"/>
    <w:rsid w:val="004E5F78"/>
    <w:rsid w:val="004E6C29"/>
    <w:rsid w:val="004F178F"/>
    <w:rsid w:val="004F427F"/>
    <w:rsid w:val="004F45FB"/>
    <w:rsid w:val="004F4876"/>
    <w:rsid w:val="004F4D9A"/>
    <w:rsid w:val="004F79DA"/>
    <w:rsid w:val="0050352E"/>
    <w:rsid w:val="00503572"/>
    <w:rsid w:val="005040CF"/>
    <w:rsid w:val="005060D8"/>
    <w:rsid w:val="00511980"/>
    <w:rsid w:val="005123C0"/>
    <w:rsid w:val="00512679"/>
    <w:rsid w:val="00512721"/>
    <w:rsid w:val="005133FF"/>
    <w:rsid w:val="00513A65"/>
    <w:rsid w:val="00514A87"/>
    <w:rsid w:val="00516125"/>
    <w:rsid w:val="00516A25"/>
    <w:rsid w:val="0051798D"/>
    <w:rsid w:val="005216BD"/>
    <w:rsid w:val="00522354"/>
    <w:rsid w:val="00523951"/>
    <w:rsid w:val="0053243D"/>
    <w:rsid w:val="0053317C"/>
    <w:rsid w:val="00534150"/>
    <w:rsid w:val="00534F0F"/>
    <w:rsid w:val="00534F38"/>
    <w:rsid w:val="00536CCC"/>
    <w:rsid w:val="00536D34"/>
    <w:rsid w:val="00540644"/>
    <w:rsid w:val="005407BF"/>
    <w:rsid w:val="00540B0B"/>
    <w:rsid w:val="00540C46"/>
    <w:rsid w:val="005418EB"/>
    <w:rsid w:val="00542E1F"/>
    <w:rsid w:val="00543C10"/>
    <w:rsid w:val="005441D7"/>
    <w:rsid w:val="005468F8"/>
    <w:rsid w:val="00547239"/>
    <w:rsid w:val="005473DC"/>
    <w:rsid w:val="0054781D"/>
    <w:rsid w:val="0055072E"/>
    <w:rsid w:val="005517B8"/>
    <w:rsid w:val="005537D7"/>
    <w:rsid w:val="00561495"/>
    <w:rsid w:val="005624E6"/>
    <w:rsid w:val="00563356"/>
    <w:rsid w:val="00566631"/>
    <w:rsid w:val="00570541"/>
    <w:rsid w:val="00570B1B"/>
    <w:rsid w:val="00571312"/>
    <w:rsid w:val="00580BAC"/>
    <w:rsid w:val="00582769"/>
    <w:rsid w:val="005841FF"/>
    <w:rsid w:val="005848DA"/>
    <w:rsid w:val="005857D5"/>
    <w:rsid w:val="005903B4"/>
    <w:rsid w:val="00592455"/>
    <w:rsid w:val="005929DB"/>
    <w:rsid w:val="00592AE2"/>
    <w:rsid w:val="00593628"/>
    <w:rsid w:val="0059620C"/>
    <w:rsid w:val="005A1D3D"/>
    <w:rsid w:val="005A479D"/>
    <w:rsid w:val="005A61D3"/>
    <w:rsid w:val="005A71B7"/>
    <w:rsid w:val="005A7C67"/>
    <w:rsid w:val="005B119D"/>
    <w:rsid w:val="005B276B"/>
    <w:rsid w:val="005B445D"/>
    <w:rsid w:val="005B4AE9"/>
    <w:rsid w:val="005B78CE"/>
    <w:rsid w:val="005C27E0"/>
    <w:rsid w:val="005C3AE7"/>
    <w:rsid w:val="005D0430"/>
    <w:rsid w:val="005D2AA9"/>
    <w:rsid w:val="005D4BFA"/>
    <w:rsid w:val="005D4F3D"/>
    <w:rsid w:val="005D7429"/>
    <w:rsid w:val="005E14DC"/>
    <w:rsid w:val="005E2790"/>
    <w:rsid w:val="005E3481"/>
    <w:rsid w:val="005E47D9"/>
    <w:rsid w:val="005E7123"/>
    <w:rsid w:val="005F1942"/>
    <w:rsid w:val="005F4EEA"/>
    <w:rsid w:val="005F57A1"/>
    <w:rsid w:val="005F5C8E"/>
    <w:rsid w:val="005F601B"/>
    <w:rsid w:val="005F7DD8"/>
    <w:rsid w:val="00600890"/>
    <w:rsid w:val="0060127B"/>
    <w:rsid w:val="00601D39"/>
    <w:rsid w:val="00601F35"/>
    <w:rsid w:val="0060265A"/>
    <w:rsid w:val="00602C22"/>
    <w:rsid w:val="006039A8"/>
    <w:rsid w:val="00603BB8"/>
    <w:rsid w:val="00604099"/>
    <w:rsid w:val="00604C8B"/>
    <w:rsid w:val="006053AB"/>
    <w:rsid w:val="00607EAC"/>
    <w:rsid w:val="006110DF"/>
    <w:rsid w:val="0061194F"/>
    <w:rsid w:val="00611F8F"/>
    <w:rsid w:val="00612EE3"/>
    <w:rsid w:val="00613B73"/>
    <w:rsid w:val="00614F03"/>
    <w:rsid w:val="00616213"/>
    <w:rsid w:val="00616AF9"/>
    <w:rsid w:val="00616C7C"/>
    <w:rsid w:val="006173AD"/>
    <w:rsid w:val="00617B64"/>
    <w:rsid w:val="00617D20"/>
    <w:rsid w:val="00624747"/>
    <w:rsid w:val="006247B8"/>
    <w:rsid w:val="0062491E"/>
    <w:rsid w:val="00625A6D"/>
    <w:rsid w:val="00626039"/>
    <w:rsid w:val="00626569"/>
    <w:rsid w:val="00627118"/>
    <w:rsid w:val="00627124"/>
    <w:rsid w:val="00627596"/>
    <w:rsid w:val="00632DA8"/>
    <w:rsid w:val="006332FB"/>
    <w:rsid w:val="00634C4A"/>
    <w:rsid w:val="006363F7"/>
    <w:rsid w:val="00636864"/>
    <w:rsid w:val="006369F1"/>
    <w:rsid w:val="00642722"/>
    <w:rsid w:val="00642AFF"/>
    <w:rsid w:val="00644E77"/>
    <w:rsid w:val="00645143"/>
    <w:rsid w:val="00645249"/>
    <w:rsid w:val="0064764A"/>
    <w:rsid w:val="00653A17"/>
    <w:rsid w:val="006568BA"/>
    <w:rsid w:val="00657BA8"/>
    <w:rsid w:val="00657C5D"/>
    <w:rsid w:val="00660B6B"/>
    <w:rsid w:val="00660C8F"/>
    <w:rsid w:val="00661B13"/>
    <w:rsid w:val="0066498F"/>
    <w:rsid w:val="00667997"/>
    <w:rsid w:val="006709FA"/>
    <w:rsid w:val="0067157E"/>
    <w:rsid w:val="00671BCA"/>
    <w:rsid w:val="00672798"/>
    <w:rsid w:val="00675744"/>
    <w:rsid w:val="00677696"/>
    <w:rsid w:val="006804F6"/>
    <w:rsid w:val="0068394F"/>
    <w:rsid w:val="00684085"/>
    <w:rsid w:val="00684740"/>
    <w:rsid w:val="00684F6E"/>
    <w:rsid w:val="00685530"/>
    <w:rsid w:val="00686036"/>
    <w:rsid w:val="00686264"/>
    <w:rsid w:val="006864C8"/>
    <w:rsid w:val="00686E25"/>
    <w:rsid w:val="00687BBC"/>
    <w:rsid w:val="00687C43"/>
    <w:rsid w:val="006901E8"/>
    <w:rsid w:val="0069037D"/>
    <w:rsid w:val="006907AE"/>
    <w:rsid w:val="00691F47"/>
    <w:rsid w:val="00693155"/>
    <w:rsid w:val="00696884"/>
    <w:rsid w:val="00697984"/>
    <w:rsid w:val="006A01D4"/>
    <w:rsid w:val="006A25C8"/>
    <w:rsid w:val="006A594F"/>
    <w:rsid w:val="006A63D3"/>
    <w:rsid w:val="006B07AE"/>
    <w:rsid w:val="006B1176"/>
    <w:rsid w:val="006B30ED"/>
    <w:rsid w:val="006B4149"/>
    <w:rsid w:val="006B7226"/>
    <w:rsid w:val="006C4C39"/>
    <w:rsid w:val="006C510D"/>
    <w:rsid w:val="006C6187"/>
    <w:rsid w:val="006D052D"/>
    <w:rsid w:val="006D1A82"/>
    <w:rsid w:val="006D217F"/>
    <w:rsid w:val="006D2ADC"/>
    <w:rsid w:val="006D2DDB"/>
    <w:rsid w:val="006D3710"/>
    <w:rsid w:val="006D3AED"/>
    <w:rsid w:val="006D7A22"/>
    <w:rsid w:val="006D7F53"/>
    <w:rsid w:val="006E1505"/>
    <w:rsid w:val="006E1700"/>
    <w:rsid w:val="006E3F45"/>
    <w:rsid w:val="006E4BFD"/>
    <w:rsid w:val="006E50ED"/>
    <w:rsid w:val="006E771D"/>
    <w:rsid w:val="006F0D90"/>
    <w:rsid w:val="006F2365"/>
    <w:rsid w:val="006F3309"/>
    <w:rsid w:val="006F49C6"/>
    <w:rsid w:val="006F5E8E"/>
    <w:rsid w:val="006F7F7D"/>
    <w:rsid w:val="0070057D"/>
    <w:rsid w:val="00701D93"/>
    <w:rsid w:val="0070238A"/>
    <w:rsid w:val="00702675"/>
    <w:rsid w:val="00702FAF"/>
    <w:rsid w:val="00706042"/>
    <w:rsid w:val="00706C92"/>
    <w:rsid w:val="00707924"/>
    <w:rsid w:val="00710A48"/>
    <w:rsid w:val="00711116"/>
    <w:rsid w:val="0071198A"/>
    <w:rsid w:val="00711C45"/>
    <w:rsid w:val="00712542"/>
    <w:rsid w:val="00712F4C"/>
    <w:rsid w:val="007132A0"/>
    <w:rsid w:val="007143B6"/>
    <w:rsid w:val="00716AA7"/>
    <w:rsid w:val="00717C5C"/>
    <w:rsid w:val="00717E24"/>
    <w:rsid w:val="00720516"/>
    <w:rsid w:val="007230E1"/>
    <w:rsid w:val="00723554"/>
    <w:rsid w:val="007246FC"/>
    <w:rsid w:val="00726C54"/>
    <w:rsid w:val="0073101D"/>
    <w:rsid w:val="007310B4"/>
    <w:rsid w:val="0073315D"/>
    <w:rsid w:val="00733A95"/>
    <w:rsid w:val="0074052C"/>
    <w:rsid w:val="00741616"/>
    <w:rsid w:val="00741B5A"/>
    <w:rsid w:val="0074330A"/>
    <w:rsid w:val="00746668"/>
    <w:rsid w:val="007503A6"/>
    <w:rsid w:val="00751002"/>
    <w:rsid w:val="00751AFF"/>
    <w:rsid w:val="00752835"/>
    <w:rsid w:val="00757293"/>
    <w:rsid w:val="0076041F"/>
    <w:rsid w:val="00760C88"/>
    <w:rsid w:val="00761525"/>
    <w:rsid w:val="00761569"/>
    <w:rsid w:val="00761D34"/>
    <w:rsid w:val="00765522"/>
    <w:rsid w:val="00767583"/>
    <w:rsid w:val="00771F20"/>
    <w:rsid w:val="007747DD"/>
    <w:rsid w:val="00774A8E"/>
    <w:rsid w:val="00774ACC"/>
    <w:rsid w:val="007750C2"/>
    <w:rsid w:val="00775BF0"/>
    <w:rsid w:val="007810BF"/>
    <w:rsid w:val="0078125B"/>
    <w:rsid w:val="00782D59"/>
    <w:rsid w:val="007850CE"/>
    <w:rsid w:val="007853F8"/>
    <w:rsid w:val="00786E2A"/>
    <w:rsid w:val="00787536"/>
    <w:rsid w:val="0079105D"/>
    <w:rsid w:val="00791A86"/>
    <w:rsid w:val="00791B5E"/>
    <w:rsid w:val="007922D4"/>
    <w:rsid w:val="00795163"/>
    <w:rsid w:val="00795BEC"/>
    <w:rsid w:val="007977E6"/>
    <w:rsid w:val="00797897"/>
    <w:rsid w:val="007A2E09"/>
    <w:rsid w:val="007A3766"/>
    <w:rsid w:val="007A5183"/>
    <w:rsid w:val="007B206D"/>
    <w:rsid w:val="007B4793"/>
    <w:rsid w:val="007B5F11"/>
    <w:rsid w:val="007B7CB7"/>
    <w:rsid w:val="007C1AA3"/>
    <w:rsid w:val="007C2676"/>
    <w:rsid w:val="007C53E0"/>
    <w:rsid w:val="007C79ED"/>
    <w:rsid w:val="007C7B50"/>
    <w:rsid w:val="007C7BA8"/>
    <w:rsid w:val="007C7D9A"/>
    <w:rsid w:val="007D16DF"/>
    <w:rsid w:val="007D49C6"/>
    <w:rsid w:val="007D5F13"/>
    <w:rsid w:val="007D615B"/>
    <w:rsid w:val="007E13F2"/>
    <w:rsid w:val="007E2A3A"/>
    <w:rsid w:val="007E433E"/>
    <w:rsid w:val="007E6470"/>
    <w:rsid w:val="007F01D9"/>
    <w:rsid w:val="007F0439"/>
    <w:rsid w:val="007F1670"/>
    <w:rsid w:val="007F2621"/>
    <w:rsid w:val="007F6387"/>
    <w:rsid w:val="00800BBD"/>
    <w:rsid w:val="008013EA"/>
    <w:rsid w:val="00802B6D"/>
    <w:rsid w:val="008032D4"/>
    <w:rsid w:val="00804C5E"/>
    <w:rsid w:val="00804EE9"/>
    <w:rsid w:val="008059D0"/>
    <w:rsid w:val="00806102"/>
    <w:rsid w:val="00806DB1"/>
    <w:rsid w:val="00807A93"/>
    <w:rsid w:val="00810D38"/>
    <w:rsid w:val="00810DC2"/>
    <w:rsid w:val="00811475"/>
    <w:rsid w:val="008121DF"/>
    <w:rsid w:val="00813693"/>
    <w:rsid w:val="00814224"/>
    <w:rsid w:val="008142E6"/>
    <w:rsid w:val="00814CB8"/>
    <w:rsid w:val="00815764"/>
    <w:rsid w:val="00815F65"/>
    <w:rsid w:val="008169A1"/>
    <w:rsid w:val="008172B1"/>
    <w:rsid w:val="0081795F"/>
    <w:rsid w:val="00821D3A"/>
    <w:rsid w:val="008221B8"/>
    <w:rsid w:val="008236E5"/>
    <w:rsid w:val="00824467"/>
    <w:rsid w:val="00826024"/>
    <w:rsid w:val="0082774C"/>
    <w:rsid w:val="00827B99"/>
    <w:rsid w:val="00827DF0"/>
    <w:rsid w:val="008302AB"/>
    <w:rsid w:val="008323D1"/>
    <w:rsid w:val="0083274A"/>
    <w:rsid w:val="00833110"/>
    <w:rsid w:val="00836071"/>
    <w:rsid w:val="0083688A"/>
    <w:rsid w:val="00836F16"/>
    <w:rsid w:val="00840C70"/>
    <w:rsid w:val="00841E87"/>
    <w:rsid w:val="00842F8C"/>
    <w:rsid w:val="00843BB7"/>
    <w:rsid w:val="00844466"/>
    <w:rsid w:val="00845D78"/>
    <w:rsid w:val="00846572"/>
    <w:rsid w:val="0085005D"/>
    <w:rsid w:val="008514E8"/>
    <w:rsid w:val="00851978"/>
    <w:rsid w:val="0085283D"/>
    <w:rsid w:val="008538AD"/>
    <w:rsid w:val="00854E4B"/>
    <w:rsid w:val="00854E74"/>
    <w:rsid w:val="00856F57"/>
    <w:rsid w:val="008575FD"/>
    <w:rsid w:val="0085781A"/>
    <w:rsid w:val="00857DAF"/>
    <w:rsid w:val="0086176E"/>
    <w:rsid w:val="0086237F"/>
    <w:rsid w:val="008648E4"/>
    <w:rsid w:val="00864C6C"/>
    <w:rsid w:val="00865005"/>
    <w:rsid w:val="00865335"/>
    <w:rsid w:val="008661B1"/>
    <w:rsid w:val="0087076C"/>
    <w:rsid w:val="008724F3"/>
    <w:rsid w:val="00872737"/>
    <w:rsid w:val="00872B13"/>
    <w:rsid w:val="00873662"/>
    <w:rsid w:val="00873C74"/>
    <w:rsid w:val="00874797"/>
    <w:rsid w:val="00874DB9"/>
    <w:rsid w:val="0087565E"/>
    <w:rsid w:val="0087585E"/>
    <w:rsid w:val="00876A91"/>
    <w:rsid w:val="00881D65"/>
    <w:rsid w:val="008832C6"/>
    <w:rsid w:val="00886A43"/>
    <w:rsid w:val="00887470"/>
    <w:rsid w:val="0089191F"/>
    <w:rsid w:val="00894B41"/>
    <w:rsid w:val="00895841"/>
    <w:rsid w:val="00896639"/>
    <w:rsid w:val="008A0464"/>
    <w:rsid w:val="008A0C40"/>
    <w:rsid w:val="008A1C2F"/>
    <w:rsid w:val="008A2FD3"/>
    <w:rsid w:val="008A4689"/>
    <w:rsid w:val="008A46EB"/>
    <w:rsid w:val="008A50E1"/>
    <w:rsid w:val="008A732A"/>
    <w:rsid w:val="008B07DF"/>
    <w:rsid w:val="008B2B34"/>
    <w:rsid w:val="008B430E"/>
    <w:rsid w:val="008B4D6F"/>
    <w:rsid w:val="008B66F2"/>
    <w:rsid w:val="008C0075"/>
    <w:rsid w:val="008C01DC"/>
    <w:rsid w:val="008C16DA"/>
    <w:rsid w:val="008C1C7B"/>
    <w:rsid w:val="008C33CC"/>
    <w:rsid w:val="008C36F3"/>
    <w:rsid w:val="008C398A"/>
    <w:rsid w:val="008C49E9"/>
    <w:rsid w:val="008C6B52"/>
    <w:rsid w:val="008C7DC7"/>
    <w:rsid w:val="008D1359"/>
    <w:rsid w:val="008D15F4"/>
    <w:rsid w:val="008D314D"/>
    <w:rsid w:val="008D4F79"/>
    <w:rsid w:val="008D528E"/>
    <w:rsid w:val="008D580F"/>
    <w:rsid w:val="008D703D"/>
    <w:rsid w:val="008D71B6"/>
    <w:rsid w:val="008D7C9B"/>
    <w:rsid w:val="008E0B24"/>
    <w:rsid w:val="008E0C5A"/>
    <w:rsid w:val="008E1826"/>
    <w:rsid w:val="008E240D"/>
    <w:rsid w:val="008E2C7C"/>
    <w:rsid w:val="008E7229"/>
    <w:rsid w:val="008E755C"/>
    <w:rsid w:val="008F00D2"/>
    <w:rsid w:val="008F03B2"/>
    <w:rsid w:val="008F14E3"/>
    <w:rsid w:val="008F16FD"/>
    <w:rsid w:val="008F2635"/>
    <w:rsid w:val="008F2C77"/>
    <w:rsid w:val="008F6DF3"/>
    <w:rsid w:val="008F7A73"/>
    <w:rsid w:val="008F7D52"/>
    <w:rsid w:val="0090027B"/>
    <w:rsid w:val="00902530"/>
    <w:rsid w:val="0090460D"/>
    <w:rsid w:val="009064A9"/>
    <w:rsid w:val="00911836"/>
    <w:rsid w:val="009131DA"/>
    <w:rsid w:val="009147E6"/>
    <w:rsid w:val="00914D49"/>
    <w:rsid w:val="009163CF"/>
    <w:rsid w:val="00916A2E"/>
    <w:rsid w:val="0092063A"/>
    <w:rsid w:val="00921328"/>
    <w:rsid w:val="009219A7"/>
    <w:rsid w:val="00925487"/>
    <w:rsid w:val="00925C3E"/>
    <w:rsid w:val="00927105"/>
    <w:rsid w:val="00930A65"/>
    <w:rsid w:val="00931E9C"/>
    <w:rsid w:val="00932C2A"/>
    <w:rsid w:val="009353B8"/>
    <w:rsid w:val="0094027B"/>
    <w:rsid w:val="00941D61"/>
    <w:rsid w:val="00944583"/>
    <w:rsid w:val="009447B4"/>
    <w:rsid w:val="00944CF9"/>
    <w:rsid w:val="0094500F"/>
    <w:rsid w:val="00947546"/>
    <w:rsid w:val="00950315"/>
    <w:rsid w:val="00952E7D"/>
    <w:rsid w:val="00954508"/>
    <w:rsid w:val="00955D6B"/>
    <w:rsid w:val="00956F2D"/>
    <w:rsid w:val="00957CB3"/>
    <w:rsid w:val="00960EC8"/>
    <w:rsid w:val="00966DE4"/>
    <w:rsid w:val="00967956"/>
    <w:rsid w:val="00970A4A"/>
    <w:rsid w:val="009723BB"/>
    <w:rsid w:val="00973AFE"/>
    <w:rsid w:val="00974C8A"/>
    <w:rsid w:val="00976392"/>
    <w:rsid w:val="0097795D"/>
    <w:rsid w:val="0098045A"/>
    <w:rsid w:val="009805D8"/>
    <w:rsid w:val="0098067A"/>
    <w:rsid w:val="0098136E"/>
    <w:rsid w:val="00983599"/>
    <w:rsid w:val="009837D9"/>
    <w:rsid w:val="00983F25"/>
    <w:rsid w:val="00985334"/>
    <w:rsid w:val="00985C19"/>
    <w:rsid w:val="009875DB"/>
    <w:rsid w:val="00994695"/>
    <w:rsid w:val="009A0960"/>
    <w:rsid w:val="009A0DC8"/>
    <w:rsid w:val="009A2215"/>
    <w:rsid w:val="009A28B2"/>
    <w:rsid w:val="009A2F0F"/>
    <w:rsid w:val="009B0366"/>
    <w:rsid w:val="009B25AF"/>
    <w:rsid w:val="009B4241"/>
    <w:rsid w:val="009B4C77"/>
    <w:rsid w:val="009B7C26"/>
    <w:rsid w:val="009C0628"/>
    <w:rsid w:val="009C0FEF"/>
    <w:rsid w:val="009C2DEC"/>
    <w:rsid w:val="009C6B00"/>
    <w:rsid w:val="009C6D4B"/>
    <w:rsid w:val="009D1527"/>
    <w:rsid w:val="009D1530"/>
    <w:rsid w:val="009D1539"/>
    <w:rsid w:val="009D1544"/>
    <w:rsid w:val="009D3715"/>
    <w:rsid w:val="009D43AA"/>
    <w:rsid w:val="009D4CA1"/>
    <w:rsid w:val="009D5ADB"/>
    <w:rsid w:val="009E0E5D"/>
    <w:rsid w:val="009E1E8D"/>
    <w:rsid w:val="009E24CE"/>
    <w:rsid w:val="009E41D4"/>
    <w:rsid w:val="009E4763"/>
    <w:rsid w:val="009E6F7D"/>
    <w:rsid w:val="009E7A28"/>
    <w:rsid w:val="009F0C47"/>
    <w:rsid w:val="009F174C"/>
    <w:rsid w:val="009F1AA7"/>
    <w:rsid w:val="009F349D"/>
    <w:rsid w:val="009F7EF5"/>
    <w:rsid w:val="00A0079F"/>
    <w:rsid w:val="00A0339B"/>
    <w:rsid w:val="00A036A3"/>
    <w:rsid w:val="00A05C51"/>
    <w:rsid w:val="00A0772A"/>
    <w:rsid w:val="00A078FC"/>
    <w:rsid w:val="00A07D0B"/>
    <w:rsid w:val="00A100F7"/>
    <w:rsid w:val="00A12227"/>
    <w:rsid w:val="00A13421"/>
    <w:rsid w:val="00A13A89"/>
    <w:rsid w:val="00A1403B"/>
    <w:rsid w:val="00A2119B"/>
    <w:rsid w:val="00A21F44"/>
    <w:rsid w:val="00A223CD"/>
    <w:rsid w:val="00A23E1B"/>
    <w:rsid w:val="00A24C59"/>
    <w:rsid w:val="00A3004E"/>
    <w:rsid w:val="00A317F9"/>
    <w:rsid w:val="00A32402"/>
    <w:rsid w:val="00A3245C"/>
    <w:rsid w:val="00A3355C"/>
    <w:rsid w:val="00A339C8"/>
    <w:rsid w:val="00A3487D"/>
    <w:rsid w:val="00A348E0"/>
    <w:rsid w:val="00A3580A"/>
    <w:rsid w:val="00A40833"/>
    <w:rsid w:val="00A43FB1"/>
    <w:rsid w:val="00A43FC2"/>
    <w:rsid w:val="00A456A4"/>
    <w:rsid w:val="00A45C45"/>
    <w:rsid w:val="00A47126"/>
    <w:rsid w:val="00A4750E"/>
    <w:rsid w:val="00A51444"/>
    <w:rsid w:val="00A53795"/>
    <w:rsid w:val="00A56DE0"/>
    <w:rsid w:val="00A60A71"/>
    <w:rsid w:val="00A60AD0"/>
    <w:rsid w:val="00A6113D"/>
    <w:rsid w:val="00A62021"/>
    <w:rsid w:val="00A63F19"/>
    <w:rsid w:val="00A64131"/>
    <w:rsid w:val="00A64D58"/>
    <w:rsid w:val="00A707F9"/>
    <w:rsid w:val="00A70DDF"/>
    <w:rsid w:val="00A71787"/>
    <w:rsid w:val="00A72F41"/>
    <w:rsid w:val="00A73C56"/>
    <w:rsid w:val="00A73F4E"/>
    <w:rsid w:val="00A77683"/>
    <w:rsid w:val="00A86E4E"/>
    <w:rsid w:val="00A87744"/>
    <w:rsid w:val="00A906D5"/>
    <w:rsid w:val="00A91B2E"/>
    <w:rsid w:val="00A92FDC"/>
    <w:rsid w:val="00A9428B"/>
    <w:rsid w:val="00A954B5"/>
    <w:rsid w:val="00AA3EDE"/>
    <w:rsid w:val="00AA4F9A"/>
    <w:rsid w:val="00AA53F3"/>
    <w:rsid w:val="00AB1045"/>
    <w:rsid w:val="00AB11C6"/>
    <w:rsid w:val="00AB138A"/>
    <w:rsid w:val="00AB1543"/>
    <w:rsid w:val="00AB32FB"/>
    <w:rsid w:val="00AB512E"/>
    <w:rsid w:val="00AB51BF"/>
    <w:rsid w:val="00AB5827"/>
    <w:rsid w:val="00AC057A"/>
    <w:rsid w:val="00AC05AF"/>
    <w:rsid w:val="00AC1E8C"/>
    <w:rsid w:val="00AC3088"/>
    <w:rsid w:val="00AC314F"/>
    <w:rsid w:val="00AC3FF1"/>
    <w:rsid w:val="00AC4396"/>
    <w:rsid w:val="00AC4C54"/>
    <w:rsid w:val="00AC588B"/>
    <w:rsid w:val="00AC6DB9"/>
    <w:rsid w:val="00AC7D13"/>
    <w:rsid w:val="00AD0899"/>
    <w:rsid w:val="00AD1182"/>
    <w:rsid w:val="00AD4FE4"/>
    <w:rsid w:val="00AD6497"/>
    <w:rsid w:val="00AD6576"/>
    <w:rsid w:val="00AE05C0"/>
    <w:rsid w:val="00AE1B12"/>
    <w:rsid w:val="00AE2186"/>
    <w:rsid w:val="00AE303D"/>
    <w:rsid w:val="00AE52C4"/>
    <w:rsid w:val="00AE5A30"/>
    <w:rsid w:val="00AE6B25"/>
    <w:rsid w:val="00AE7F84"/>
    <w:rsid w:val="00AF1902"/>
    <w:rsid w:val="00AF4252"/>
    <w:rsid w:val="00AF5EF3"/>
    <w:rsid w:val="00AF6156"/>
    <w:rsid w:val="00AF61DF"/>
    <w:rsid w:val="00B03A34"/>
    <w:rsid w:val="00B050DD"/>
    <w:rsid w:val="00B057AD"/>
    <w:rsid w:val="00B05A0E"/>
    <w:rsid w:val="00B07450"/>
    <w:rsid w:val="00B07C21"/>
    <w:rsid w:val="00B1062B"/>
    <w:rsid w:val="00B10E45"/>
    <w:rsid w:val="00B10E6A"/>
    <w:rsid w:val="00B11B7F"/>
    <w:rsid w:val="00B13183"/>
    <w:rsid w:val="00B13BED"/>
    <w:rsid w:val="00B13D27"/>
    <w:rsid w:val="00B13E17"/>
    <w:rsid w:val="00B16FDC"/>
    <w:rsid w:val="00B17A45"/>
    <w:rsid w:val="00B20289"/>
    <w:rsid w:val="00B211C7"/>
    <w:rsid w:val="00B21299"/>
    <w:rsid w:val="00B249BE"/>
    <w:rsid w:val="00B26D3B"/>
    <w:rsid w:val="00B2723D"/>
    <w:rsid w:val="00B27EE1"/>
    <w:rsid w:val="00B32704"/>
    <w:rsid w:val="00B3362F"/>
    <w:rsid w:val="00B35ED3"/>
    <w:rsid w:val="00B404E1"/>
    <w:rsid w:val="00B407D8"/>
    <w:rsid w:val="00B422A3"/>
    <w:rsid w:val="00B42922"/>
    <w:rsid w:val="00B434F3"/>
    <w:rsid w:val="00B4495D"/>
    <w:rsid w:val="00B4497C"/>
    <w:rsid w:val="00B538CE"/>
    <w:rsid w:val="00B53B09"/>
    <w:rsid w:val="00B5620B"/>
    <w:rsid w:val="00B56A11"/>
    <w:rsid w:val="00B60F95"/>
    <w:rsid w:val="00B6225A"/>
    <w:rsid w:val="00B641F6"/>
    <w:rsid w:val="00B64D0C"/>
    <w:rsid w:val="00B65213"/>
    <w:rsid w:val="00B65939"/>
    <w:rsid w:val="00B67B2A"/>
    <w:rsid w:val="00B70E94"/>
    <w:rsid w:val="00B73D14"/>
    <w:rsid w:val="00B74D69"/>
    <w:rsid w:val="00B830D0"/>
    <w:rsid w:val="00B83AE5"/>
    <w:rsid w:val="00B84E70"/>
    <w:rsid w:val="00B90FC1"/>
    <w:rsid w:val="00B9212F"/>
    <w:rsid w:val="00B9258A"/>
    <w:rsid w:val="00B9358F"/>
    <w:rsid w:val="00B97E98"/>
    <w:rsid w:val="00BA111F"/>
    <w:rsid w:val="00BA16B8"/>
    <w:rsid w:val="00BA2CF3"/>
    <w:rsid w:val="00BA2D73"/>
    <w:rsid w:val="00BA3F92"/>
    <w:rsid w:val="00BA4040"/>
    <w:rsid w:val="00BA45E3"/>
    <w:rsid w:val="00BA5E45"/>
    <w:rsid w:val="00BA7C1D"/>
    <w:rsid w:val="00BA7DA7"/>
    <w:rsid w:val="00BB02E0"/>
    <w:rsid w:val="00BB13FC"/>
    <w:rsid w:val="00BB21C6"/>
    <w:rsid w:val="00BB2D23"/>
    <w:rsid w:val="00BB34F8"/>
    <w:rsid w:val="00BB4262"/>
    <w:rsid w:val="00BB4CAB"/>
    <w:rsid w:val="00BB5A50"/>
    <w:rsid w:val="00BB7199"/>
    <w:rsid w:val="00BB74BD"/>
    <w:rsid w:val="00BC27F2"/>
    <w:rsid w:val="00BC3FCF"/>
    <w:rsid w:val="00BC4BBC"/>
    <w:rsid w:val="00BC56E9"/>
    <w:rsid w:val="00BD216B"/>
    <w:rsid w:val="00BD2E9E"/>
    <w:rsid w:val="00BD34C1"/>
    <w:rsid w:val="00BD4E2C"/>
    <w:rsid w:val="00BD5580"/>
    <w:rsid w:val="00BD59EA"/>
    <w:rsid w:val="00BE24EC"/>
    <w:rsid w:val="00BE60B9"/>
    <w:rsid w:val="00BE7036"/>
    <w:rsid w:val="00BE7402"/>
    <w:rsid w:val="00BE77B8"/>
    <w:rsid w:val="00BE7AA2"/>
    <w:rsid w:val="00BF0845"/>
    <w:rsid w:val="00BF0BED"/>
    <w:rsid w:val="00BF0D9D"/>
    <w:rsid w:val="00BF40A5"/>
    <w:rsid w:val="00BF59FE"/>
    <w:rsid w:val="00BF60A9"/>
    <w:rsid w:val="00BF7964"/>
    <w:rsid w:val="00C01ECC"/>
    <w:rsid w:val="00C03CDB"/>
    <w:rsid w:val="00C04EE8"/>
    <w:rsid w:val="00C05BC4"/>
    <w:rsid w:val="00C17B15"/>
    <w:rsid w:val="00C223FA"/>
    <w:rsid w:val="00C22A49"/>
    <w:rsid w:val="00C258E1"/>
    <w:rsid w:val="00C25B75"/>
    <w:rsid w:val="00C25D3B"/>
    <w:rsid w:val="00C267B6"/>
    <w:rsid w:val="00C275F8"/>
    <w:rsid w:val="00C27F09"/>
    <w:rsid w:val="00C34A49"/>
    <w:rsid w:val="00C34C61"/>
    <w:rsid w:val="00C35831"/>
    <w:rsid w:val="00C37265"/>
    <w:rsid w:val="00C4056A"/>
    <w:rsid w:val="00C43339"/>
    <w:rsid w:val="00C44B71"/>
    <w:rsid w:val="00C45320"/>
    <w:rsid w:val="00C4548B"/>
    <w:rsid w:val="00C522A9"/>
    <w:rsid w:val="00C526D6"/>
    <w:rsid w:val="00C52EE8"/>
    <w:rsid w:val="00C536D7"/>
    <w:rsid w:val="00C557CD"/>
    <w:rsid w:val="00C61FA8"/>
    <w:rsid w:val="00C62BE8"/>
    <w:rsid w:val="00C63726"/>
    <w:rsid w:val="00C63F39"/>
    <w:rsid w:val="00C645C3"/>
    <w:rsid w:val="00C6608E"/>
    <w:rsid w:val="00C66476"/>
    <w:rsid w:val="00C66DCF"/>
    <w:rsid w:val="00C670BF"/>
    <w:rsid w:val="00C7024C"/>
    <w:rsid w:val="00C712AC"/>
    <w:rsid w:val="00C71522"/>
    <w:rsid w:val="00C72075"/>
    <w:rsid w:val="00C739ED"/>
    <w:rsid w:val="00C763BE"/>
    <w:rsid w:val="00C81857"/>
    <w:rsid w:val="00C83760"/>
    <w:rsid w:val="00C8419B"/>
    <w:rsid w:val="00C84623"/>
    <w:rsid w:val="00C86131"/>
    <w:rsid w:val="00C86D30"/>
    <w:rsid w:val="00C87B24"/>
    <w:rsid w:val="00C930FC"/>
    <w:rsid w:val="00C93399"/>
    <w:rsid w:val="00C94099"/>
    <w:rsid w:val="00C950E6"/>
    <w:rsid w:val="00C97846"/>
    <w:rsid w:val="00C978E8"/>
    <w:rsid w:val="00CA0B12"/>
    <w:rsid w:val="00CA2B4B"/>
    <w:rsid w:val="00CA2E16"/>
    <w:rsid w:val="00CA34BB"/>
    <w:rsid w:val="00CA4D1B"/>
    <w:rsid w:val="00CA56F9"/>
    <w:rsid w:val="00CB1BC8"/>
    <w:rsid w:val="00CB5E6D"/>
    <w:rsid w:val="00CC0E45"/>
    <w:rsid w:val="00CC10C7"/>
    <w:rsid w:val="00CC2A36"/>
    <w:rsid w:val="00CC6687"/>
    <w:rsid w:val="00CD0136"/>
    <w:rsid w:val="00CD041F"/>
    <w:rsid w:val="00CD0D63"/>
    <w:rsid w:val="00CD1D03"/>
    <w:rsid w:val="00CD2734"/>
    <w:rsid w:val="00CD2C37"/>
    <w:rsid w:val="00CD421E"/>
    <w:rsid w:val="00CD6DAD"/>
    <w:rsid w:val="00CD7A80"/>
    <w:rsid w:val="00CE1DD9"/>
    <w:rsid w:val="00CE4017"/>
    <w:rsid w:val="00CE4950"/>
    <w:rsid w:val="00CE4A6E"/>
    <w:rsid w:val="00CF54D8"/>
    <w:rsid w:val="00CF5E80"/>
    <w:rsid w:val="00CF66AA"/>
    <w:rsid w:val="00D0216D"/>
    <w:rsid w:val="00D02496"/>
    <w:rsid w:val="00D058D0"/>
    <w:rsid w:val="00D05B0E"/>
    <w:rsid w:val="00D124DB"/>
    <w:rsid w:val="00D13312"/>
    <w:rsid w:val="00D13599"/>
    <w:rsid w:val="00D176C5"/>
    <w:rsid w:val="00D17E7F"/>
    <w:rsid w:val="00D212F3"/>
    <w:rsid w:val="00D2403A"/>
    <w:rsid w:val="00D24073"/>
    <w:rsid w:val="00D24813"/>
    <w:rsid w:val="00D25FB1"/>
    <w:rsid w:val="00D27240"/>
    <w:rsid w:val="00D3318C"/>
    <w:rsid w:val="00D33EE3"/>
    <w:rsid w:val="00D3401E"/>
    <w:rsid w:val="00D35381"/>
    <w:rsid w:val="00D37480"/>
    <w:rsid w:val="00D40476"/>
    <w:rsid w:val="00D41637"/>
    <w:rsid w:val="00D41BB5"/>
    <w:rsid w:val="00D42400"/>
    <w:rsid w:val="00D443E8"/>
    <w:rsid w:val="00D44EF3"/>
    <w:rsid w:val="00D4618F"/>
    <w:rsid w:val="00D46A35"/>
    <w:rsid w:val="00D50942"/>
    <w:rsid w:val="00D555D0"/>
    <w:rsid w:val="00D5604D"/>
    <w:rsid w:val="00D56EBC"/>
    <w:rsid w:val="00D6093C"/>
    <w:rsid w:val="00D6197C"/>
    <w:rsid w:val="00D6197D"/>
    <w:rsid w:val="00D62CB3"/>
    <w:rsid w:val="00D63600"/>
    <w:rsid w:val="00D63A8C"/>
    <w:rsid w:val="00D67DC0"/>
    <w:rsid w:val="00D70D2E"/>
    <w:rsid w:val="00D71F07"/>
    <w:rsid w:val="00D72D6E"/>
    <w:rsid w:val="00D72FBC"/>
    <w:rsid w:val="00D74DEF"/>
    <w:rsid w:val="00D8221A"/>
    <w:rsid w:val="00D82EB2"/>
    <w:rsid w:val="00D847CB"/>
    <w:rsid w:val="00D86AB0"/>
    <w:rsid w:val="00D86B40"/>
    <w:rsid w:val="00D87D56"/>
    <w:rsid w:val="00D90592"/>
    <w:rsid w:val="00D9223C"/>
    <w:rsid w:val="00D92F1E"/>
    <w:rsid w:val="00D9334E"/>
    <w:rsid w:val="00D93FDB"/>
    <w:rsid w:val="00D9406F"/>
    <w:rsid w:val="00D94684"/>
    <w:rsid w:val="00D96BDE"/>
    <w:rsid w:val="00D97039"/>
    <w:rsid w:val="00DA1265"/>
    <w:rsid w:val="00DA2126"/>
    <w:rsid w:val="00DA2910"/>
    <w:rsid w:val="00DA4660"/>
    <w:rsid w:val="00DA7F0F"/>
    <w:rsid w:val="00DB04E7"/>
    <w:rsid w:val="00DB2021"/>
    <w:rsid w:val="00DC1FBB"/>
    <w:rsid w:val="00DC1FC5"/>
    <w:rsid w:val="00DC2B4D"/>
    <w:rsid w:val="00DC384B"/>
    <w:rsid w:val="00DC518C"/>
    <w:rsid w:val="00DC5FA8"/>
    <w:rsid w:val="00DC6BD9"/>
    <w:rsid w:val="00DD095D"/>
    <w:rsid w:val="00DD1AA4"/>
    <w:rsid w:val="00DD4C6E"/>
    <w:rsid w:val="00DD5744"/>
    <w:rsid w:val="00DD5D38"/>
    <w:rsid w:val="00DD5DF5"/>
    <w:rsid w:val="00DD66FC"/>
    <w:rsid w:val="00DE04AC"/>
    <w:rsid w:val="00DE47E8"/>
    <w:rsid w:val="00DE5BAB"/>
    <w:rsid w:val="00DE62EB"/>
    <w:rsid w:val="00DF1BFD"/>
    <w:rsid w:val="00DF1CB7"/>
    <w:rsid w:val="00DF1E70"/>
    <w:rsid w:val="00DF22EC"/>
    <w:rsid w:val="00DF2505"/>
    <w:rsid w:val="00DF5529"/>
    <w:rsid w:val="00DF5BEB"/>
    <w:rsid w:val="00DF668F"/>
    <w:rsid w:val="00E00F4B"/>
    <w:rsid w:val="00E01412"/>
    <w:rsid w:val="00E01AFA"/>
    <w:rsid w:val="00E035CE"/>
    <w:rsid w:val="00E0447E"/>
    <w:rsid w:val="00E054FD"/>
    <w:rsid w:val="00E058A9"/>
    <w:rsid w:val="00E1191D"/>
    <w:rsid w:val="00E11A0C"/>
    <w:rsid w:val="00E13E2C"/>
    <w:rsid w:val="00E144E6"/>
    <w:rsid w:val="00E16EAC"/>
    <w:rsid w:val="00E217DE"/>
    <w:rsid w:val="00E26B8C"/>
    <w:rsid w:val="00E270F8"/>
    <w:rsid w:val="00E32835"/>
    <w:rsid w:val="00E35FCB"/>
    <w:rsid w:val="00E36387"/>
    <w:rsid w:val="00E40214"/>
    <w:rsid w:val="00E40684"/>
    <w:rsid w:val="00E41778"/>
    <w:rsid w:val="00E440D8"/>
    <w:rsid w:val="00E463F4"/>
    <w:rsid w:val="00E464B1"/>
    <w:rsid w:val="00E46D71"/>
    <w:rsid w:val="00E47CF6"/>
    <w:rsid w:val="00E47F42"/>
    <w:rsid w:val="00E505B1"/>
    <w:rsid w:val="00E5370C"/>
    <w:rsid w:val="00E53EF4"/>
    <w:rsid w:val="00E546F8"/>
    <w:rsid w:val="00E5470F"/>
    <w:rsid w:val="00E555A8"/>
    <w:rsid w:val="00E55634"/>
    <w:rsid w:val="00E55AD3"/>
    <w:rsid w:val="00E563C9"/>
    <w:rsid w:val="00E57D79"/>
    <w:rsid w:val="00E600A4"/>
    <w:rsid w:val="00E60F53"/>
    <w:rsid w:val="00E617D4"/>
    <w:rsid w:val="00E62656"/>
    <w:rsid w:val="00E631F6"/>
    <w:rsid w:val="00E63EF3"/>
    <w:rsid w:val="00E64727"/>
    <w:rsid w:val="00E653C6"/>
    <w:rsid w:val="00E668EB"/>
    <w:rsid w:val="00E70357"/>
    <w:rsid w:val="00E71396"/>
    <w:rsid w:val="00E72DE3"/>
    <w:rsid w:val="00E80A91"/>
    <w:rsid w:val="00E826EA"/>
    <w:rsid w:val="00E8320B"/>
    <w:rsid w:val="00E846F4"/>
    <w:rsid w:val="00E855B3"/>
    <w:rsid w:val="00E858D5"/>
    <w:rsid w:val="00E85DB7"/>
    <w:rsid w:val="00E87C4E"/>
    <w:rsid w:val="00E92866"/>
    <w:rsid w:val="00E93D1F"/>
    <w:rsid w:val="00E9407F"/>
    <w:rsid w:val="00E9509A"/>
    <w:rsid w:val="00EA00EA"/>
    <w:rsid w:val="00EA5256"/>
    <w:rsid w:val="00EA6C05"/>
    <w:rsid w:val="00EB0371"/>
    <w:rsid w:val="00EB220A"/>
    <w:rsid w:val="00EB248C"/>
    <w:rsid w:val="00EB2E16"/>
    <w:rsid w:val="00EB41E3"/>
    <w:rsid w:val="00EB524F"/>
    <w:rsid w:val="00EB5D30"/>
    <w:rsid w:val="00EB6C3F"/>
    <w:rsid w:val="00EC1B85"/>
    <w:rsid w:val="00EC2A77"/>
    <w:rsid w:val="00EC5216"/>
    <w:rsid w:val="00ED0DDD"/>
    <w:rsid w:val="00ED18E8"/>
    <w:rsid w:val="00ED2FE8"/>
    <w:rsid w:val="00ED3654"/>
    <w:rsid w:val="00ED500A"/>
    <w:rsid w:val="00ED7F61"/>
    <w:rsid w:val="00EE0624"/>
    <w:rsid w:val="00EE1CEF"/>
    <w:rsid w:val="00EE2026"/>
    <w:rsid w:val="00EE3355"/>
    <w:rsid w:val="00EE50B4"/>
    <w:rsid w:val="00EE53B4"/>
    <w:rsid w:val="00EE7E1D"/>
    <w:rsid w:val="00EF1C75"/>
    <w:rsid w:val="00EF2C12"/>
    <w:rsid w:val="00EF41B4"/>
    <w:rsid w:val="00EF5BFD"/>
    <w:rsid w:val="00EF61C3"/>
    <w:rsid w:val="00F01D84"/>
    <w:rsid w:val="00F04AA5"/>
    <w:rsid w:val="00F0640A"/>
    <w:rsid w:val="00F074BC"/>
    <w:rsid w:val="00F07D35"/>
    <w:rsid w:val="00F10C9C"/>
    <w:rsid w:val="00F118D3"/>
    <w:rsid w:val="00F132F3"/>
    <w:rsid w:val="00F13EA0"/>
    <w:rsid w:val="00F13F18"/>
    <w:rsid w:val="00F14AA7"/>
    <w:rsid w:val="00F15C82"/>
    <w:rsid w:val="00F15D1F"/>
    <w:rsid w:val="00F16548"/>
    <w:rsid w:val="00F165AA"/>
    <w:rsid w:val="00F16D0B"/>
    <w:rsid w:val="00F1756B"/>
    <w:rsid w:val="00F17DFC"/>
    <w:rsid w:val="00F205AC"/>
    <w:rsid w:val="00F212D8"/>
    <w:rsid w:val="00F21A2D"/>
    <w:rsid w:val="00F2206D"/>
    <w:rsid w:val="00F232B9"/>
    <w:rsid w:val="00F259BE"/>
    <w:rsid w:val="00F27241"/>
    <w:rsid w:val="00F32645"/>
    <w:rsid w:val="00F33825"/>
    <w:rsid w:val="00F33D2E"/>
    <w:rsid w:val="00F37D5C"/>
    <w:rsid w:val="00F37E0E"/>
    <w:rsid w:val="00F40B06"/>
    <w:rsid w:val="00F42278"/>
    <w:rsid w:val="00F424B6"/>
    <w:rsid w:val="00F43959"/>
    <w:rsid w:val="00F44600"/>
    <w:rsid w:val="00F46FD4"/>
    <w:rsid w:val="00F47B8A"/>
    <w:rsid w:val="00F505CD"/>
    <w:rsid w:val="00F51387"/>
    <w:rsid w:val="00F5194C"/>
    <w:rsid w:val="00F51A28"/>
    <w:rsid w:val="00F52397"/>
    <w:rsid w:val="00F56575"/>
    <w:rsid w:val="00F603C4"/>
    <w:rsid w:val="00F62794"/>
    <w:rsid w:val="00F631E0"/>
    <w:rsid w:val="00F63D29"/>
    <w:rsid w:val="00F6642E"/>
    <w:rsid w:val="00F6707F"/>
    <w:rsid w:val="00F70795"/>
    <w:rsid w:val="00F70FFE"/>
    <w:rsid w:val="00F72B3B"/>
    <w:rsid w:val="00F72DE9"/>
    <w:rsid w:val="00F741D2"/>
    <w:rsid w:val="00F7517B"/>
    <w:rsid w:val="00F76BFB"/>
    <w:rsid w:val="00F80716"/>
    <w:rsid w:val="00F818CD"/>
    <w:rsid w:val="00F8420F"/>
    <w:rsid w:val="00F85FA1"/>
    <w:rsid w:val="00F8688E"/>
    <w:rsid w:val="00F86B84"/>
    <w:rsid w:val="00F90D29"/>
    <w:rsid w:val="00F91133"/>
    <w:rsid w:val="00F93111"/>
    <w:rsid w:val="00F939DB"/>
    <w:rsid w:val="00F953EE"/>
    <w:rsid w:val="00FA3BFE"/>
    <w:rsid w:val="00FA4BB7"/>
    <w:rsid w:val="00FA4CC1"/>
    <w:rsid w:val="00FA5AB0"/>
    <w:rsid w:val="00FA65D1"/>
    <w:rsid w:val="00FA65D6"/>
    <w:rsid w:val="00FA798A"/>
    <w:rsid w:val="00FA7FAB"/>
    <w:rsid w:val="00FB493C"/>
    <w:rsid w:val="00FC1354"/>
    <w:rsid w:val="00FC1E22"/>
    <w:rsid w:val="00FC402D"/>
    <w:rsid w:val="00FC41CC"/>
    <w:rsid w:val="00FC423B"/>
    <w:rsid w:val="00FC5525"/>
    <w:rsid w:val="00FC72FB"/>
    <w:rsid w:val="00FC7A9F"/>
    <w:rsid w:val="00FD0B1A"/>
    <w:rsid w:val="00FD10F1"/>
    <w:rsid w:val="00FD1814"/>
    <w:rsid w:val="00FD3821"/>
    <w:rsid w:val="00FD55AA"/>
    <w:rsid w:val="00FD57BD"/>
    <w:rsid w:val="00FE1F2D"/>
    <w:rsid w:val="00FE2D01"/>
    <w:rsid w:val="00FE3DDE"/>
    <w:rsid w:val="00FE7487"/>
    <w:rsid w:val="00FE7B5F"/>
    <w:rsid w:val="00FF0B3F"/>
    <w:rsid w:val="00FF11F1"/>
    <w:rsid w:val="00FF1FFD"/>
    <w:rsid w:val="00FF45C6"/>
    <w:rsid w:val="00FF4612"/>
    <w:rsid w:val="00FF5255"/>
    <w:rsid w:val="00FF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DFB"/>
    <w:rPr>
      <w:sz w:val="24"/>
      <w:szCs w:val="24"/>
      <w:lang w:eastAsia="en-US"/>
    </w:rPr>
  </w:style>
  <w:style w:type="paragraph" w:styleId="Heading4">
    <w:name w:val="heading 4"/>
    <w:basedOn w:val="Normal"/>
    <w:next w:val="Normal"/>
    <w:qFormat/>
    <w:rsid w:val="00A07D0B"/>
    <w:pPr>
      <w:keepNext/>
      <w:ind w:left="5670"/>
      <w:outlineLvl w:val="3"/>
    </w:pPr>
    <w:rPr>
      <w:b/>
      <w:szCs w:val="20"/>
      <w:u w:val="single"/>
    </w:rPr>
  </w:style>
  <w:style w:type="paragraph" w:styleId="Heading6">
    <w:name w:val="heading 6"/>
    <w:basedOn w:val="Normal"/>
    <w:next w:val="Normal"/>
    <w:qFormat/>
    <w:rsid w:val="0078753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B7C0C"/>
    <w:pPr>
      <w:tabs>
        <w:tab w:val="center" w:pos="4153"/>
        <w:tab w:val="right" w:pos="8306"/>
      </w:tabs>
    </w:pPr>
  </w:style>
  <w:style w:type="paragraph" w:styleId="Footer">
    <w:name w:val="footer"/>
    <w:basedOn w:val="Normal"/>
    <w:link w:val="FooterChar"/>
    <w:uiPriority w:val="99"/>
    <w:rsid w:val="004B7C0C"/>
    <w:pPr>
      <w:tabs>
        <w:tab w:val="center" w:pos="4153"/>
        <w:tab w:val="right" w:pos="8306"/>
      </w:tabs>
    </w:pPr>
  </w:style>
  <w:style w:type="character" w:styleId="Hyperlink">
    <w:name w:val="Hyperlink"/>
    <w:rsid w:val="00686E25"/>
    <w:rPr>
      <w:color w:val="0000FF"/>
      <w:u w:val="single"/>
    </w:rPr>
  </w:style>
  <w:style w:type="paragraph" w:styleId="BodyText2">
    <w:name w:val="Body Text 2"/>
    <w:basedOn w:val="Normal"/>
    <w:rsid w:val="009875DB"/>
    <w:pPr>
      <w:jc w:val="both"/>
    </w:pPr>
    <w:rPr>
      <w:rFonts w:ascii="Univers" w:hAnsi="Univers"/>
      <w:sz w:val="20"/>
      <w:szCs w:val="20"/>
    </w:rPr>
  </w:style>
  <w:style w:type="paragraph" w:customStyle="1" w:styleId="DtiLtrHeadAddr-AddrBlk">
    <w:name w:val="DtiLtrHeadAddr-AddrBlk"/>
    <w:basedOn w:val="Normal"/>
    <w:autoRedefine/>
    <w:rsid w:val="00787536"/>
    <w:pPr>
      <w:tabs>
        <w:tab w:val="left" w:pos="0"/>
        <w:tab w:val="left" w:pos="1134"/>
        <w:tab w:val="left" w:pos="1701"/>
        <w:tab w:val="left" w:pos="2400"/>
        <w:tab w:val="left" w:pos="2835"/>
        <w:tab w:val="left" w:pos="3969"/>
        <w:tab w:val="left" w:pos="5103"/>
        <w:tab w:val="left" w:pos="6237"/>
        <w:tab w:val="right" w:pos="8222"/>
      </w:tabs>
      <w:spacing w:before="120"/>
    </w:pPr>
    <w:rPr>
      <w:rFonts w:ascii="Univers 45 Light" w:hAnsi="Univers 45 Light"/>
      <w:bCs/>
      <w:noProof/>
      <w:sz w:val="18"/>
      <w:szCs w:val="16"/>
    </w:rPr>
  </w:style>
  <w:style w:type="character" w:styleId="FollowedHyperlink">
    <w:name w:val="FollowedHyperlink"/>
    <w:rsid w:val="00787536"/>
    <w:rPr>
      <w:color w:val="000080"/>
      <w:u w:val="single"/>
    </w:rPr>
  </w:style>
  <w:style w:type="paragraph" w:styleId="BalloonText">
    <w:name w:val="Balloon Text"/>
    <w:basedOn w:val="Normal"/>
    <w:semiHidden/>
    <w:rsid w:val="00FC1354"/>
    <w:rPr>
      <w:rFonts w:ascii="Tahoma" w:hAnsi="Tahoma" w:cs="Tahoma"/>
      <w:sz w:val="16"/>
      <w:szCs w:val="16"/>
    </w:rPr>
  </w:style>
  <w:style w:type="paragraph" w:styleId="BodyText">
    <w:name w:val="Body Text"/>
    <w:basedOn w:val="Normal"/>
    <w:rsid w:val="00D72D6E"/>
    <w:pPr>
      <w:spacing w:after="120"/>
    </w:pPr>
  </w:style>
  <w:style w:type="paragraph" w:styleId="ListBullet">
    <w:name w:val="List Bullet"/>
    <w:basedOn w:val="Normal"/>
    <w:rsid w:val="00D9223C"/>
    <w:pPr>
      <w:numPr>
        <w:numId w:val="9"/>
      </w:numPr>
    </w:pPr>
  </w:style>
  <w:style w:type="paragraph" w:styleId="DocumentMap">
    <w:name w:val="Document Map"/>
    <w:basedOn w:val="Normal"/>
    <w:semiHidden/>
    <w:rsid w:val="00233FA4"/>
    <w:pPr>
      <w:shd w:val="clear" w:color="auto" w:fill="000080"/>
    </w:pPr>
    <w:rPr>
      <w:rFonts w:ascii="Tahoma" w:hAnsi="Tahoma" w:cs="Tahoma"/>
      <w:sz w:val="20"/>
      <w:szCs w:val="20"/>
    </w:rPr>
  </w:style>
  <w:style w:type="paragraph" w:styleId="FootnoteText">
    <w:name w:val="footnote text"/>
    <w:basedOn w:val="Normal"/>
    <w:link w:val="FootnoteTextChar"/>
    <w:rsid w:val="00D46A35"/>
    <w:rPr>
      <w:sz w:val="20"/>
      <w:szCs w:val="20"/>
    </w:rPr>
  </w:style>
  <w:style w:type="character" w:customStyle="1" w:styleId="FootnoteTextChar">
    <w:name w:val="Footnote Text Char"/>
    <w:basedOn w:val="DefaultParagraphFont"/>
    <w:link w:val="FootnoteText"/>
    <w:rsid w:val="00D46A35"/>
    <w:rPr>
      <w:lang w:eastAsia="en-US"/>
    </w:rPr>
  </w:style>
  <w:style w:type="character" w:styleId="FootnoteReference">
    <w:name w:val="footnote reference"/>
    <w:basedOn w:val="DefaultParagraphFont"/>
    <w:rsid w:val="00D46A35"/>
    <w:rPr>
      <w:vertAlign w:val="superscript"/>
    </w:rPr>
  </w:style>
  <w:style w:type="paragraph" w:styleId="Revision">
    <w:name w:val="Revision"/>
    <w:hidden/>
    <w:uiPriority w:val="99"/>
    <w:semiHidden/>
    <w:rsid w:val="00617D20"/>
    <w:rPr>
      <w:sz w:val="24"/>
      <w:szCs w:val="24"/>
      <w:lang w:eastAsia="en-US"/>
    </w:rPr>
  </w:style>
  <w:style w:type="paragraph" w:styleId="ListParagraph">
    <w:name w:val="List Paragraph"/>
    <w:basedOn w:val="Normal"/>
    <w:uiPriority w:val="34"/>
    <w:qFormat/>
    <w:rsid w:val="004B7067"/>
    <w:pPr>
      <w:ind w:left="720"/>
      <w:contextualSpacing/>
    </w:pPr>
  </w:style>
  <w:style w:type="character" w:customStyle="1" w:styleId="FooterChar">
    <w:name w:val="Footer Char"/>
    <w:basedOn w:val="DefaultParagraphFont"/>
    <w:link w:val="Footer"/>
    <w:uiPriority w:val="99"/>
    <w:rsid w:val="00B56A11"/>
    <w:rPr>
      <w:sz w:val="24"/>
      <w:szCs w:val="24"/>
      <w:lang w:eastAsia="en-US"/>
    </w:rPr>
  </w:style>
  <w:style w:type="paragraph" w:styleId="NormalWeb">
    <w:name w:val="Normal (Web)"/>
    <w:basedOn w:val="Normal"/>
    <w:uiPriority w:val="99"/>
    <w:unhideWhenUsed/>
    <w:rsid w:val="00716AA7"/>
    <w:pPr>
      <w:spacing w:before="100" w:beforeAutospacing="1" w:after="100" w:afterAutospacing="1"/>
    </w:pPr>
    <w:rPr>
      <w:rFonts w:eastAsiaTheme="minorEastAsia"/>
      <w:lang w:eastAsia="en-GB"/>
    </w:rPr>
  </w:style>
  <w:style w:type="character" w:customStyle="1" w:styleId="HeaderChar">
    <w:name w:val="Header Char"/>
    <w:basedOn w:val="DefaultParagraphFont"/>
    <w:link w:val="Header"/>
    <w:rsid w:val="0090253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DFB"/>
    <w:rPr>
      <w:sz w:val="24"/>
      <w:szCs w:val="24"/>
      <w:lang w:eastAsia="en-US"/>
    </w:rPr>
  </w:style>
  <w:style w:type="paragraph" w:styleId="Heading4">
    <w:name w:val="heading 4"/>
    <w:basedOn w:val="Normal"/>
    <w:next w:val="Normal"/>
    <w:qFormat/>
    <w:rsid w:val="00A07D0B"/>
    <w:pPr>
      <w:keepNext/>
      <w:ind w:left="5670"/>
      <w:outlineLvl w:val="3"/>
    </w:pPr>
    <w:rPr>
      <w:b/>
      <w:szCs w:val="20"/>
      <w:u w:val="single"/>
    </w:rPr>
  </w:style>
  <w:style w:type="paragraph" w:styleId="Heading6">
    <w:name w:val="heading 6"/>
    <w:basedOn w:val="Normal"/>
    <w:next w:val="Normal"/>
    <w:qFormat/>
    <w:rsid w:val="0078753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B7C0C"/>
    <w:pPr>
      <w:tabs>
        <w:tab w:val="center" w:pos="4153"/>
        <w:tab w:val="right" w:pos="8306"/>
      </w:tabs>
    </w:pPr>
  </w:style>
  <w:style w:type="paragraph" w:styleId="Footer">
    <w:name w:val="footer"/>
    <w:basedOn w:val="Normal"/>
    <w:link w:val="FooterChar"/>
    <w:uiPriority w:val="99"/>
    <w:rsid w:val="004B7C0C"/>
    <w:pPr>
      <w:tabs>
        <w:tab w:val="center" w:pos="4153"/>
        <w:tab w:val="right" w:pos="8306"/>
      </w:tabs>
    </w:pPr>
  </w:style>
  <w:style w:type="character" w:styleId="Hyperlink">
    <w:name w:val="Hyperlink"/>
    <w:rsid w:val="00686E25"/>
    <w:rPr>
      <w:color w:val="0000FF"/>
      <w:u w:val="single"/>
    </w:rPr>
  </w:style>
  <w:style w:type="paragraph" w:styleId="BodyText2">
    <w:name w:val="Body Text 2"/>
    <w:basedOn w:val="Normal"/>
    <w:rsid w:val="009875DB"/>
    <w:pPr>
      <w:jc w:val="both"/>
    </w:pPr>
    <w:rPr>
      <w:rFonts w:ascii="Univers" w:hAnsi="Univers"/>
      <w:sz w:val="20"/>
      <w:szCs w:val="20"/>
    </w:rPr>
  </w:style>
  <w:style w:type="paragraph" w:customStyle="1" w:styleId="DtiLtrHeadAddr-AddrBlk">
    <w:name w:val="DtiLtrHeadAddr-AddrBlk"/>
    <w:basedOn w:val="Normal"/>
    <w:autoRedefine/>
    <w:rsid w:val="00787536"/>
    <w:pPr>
      <w:tabs>
        <w:tab w:val="left" w:pos="0"/>
        <w:tab w:val="left" w:pos="1134"/>
        <w:tab w:val="left" w:pos="1701"/>
        <w:tab w:val="left" w:pos="2400"/>
        <w:tab w:val="left" w:pos="2835"/>
        <w:tab w:val="left" w:pos="3969"/>
        <w:tab w:val="left" w:pos="5103"/>
        <w:tab w:val="left" w:pos="6237"/>
        <w:tab w:val="right" w:pos="8222"/>
      </w:tabs>
      <w:spacing w:before="120"/>
    </w:pPr>
    <w:rPr>
      <w:rFonts w:ascii="Univers 45 Light" w:hAnsi="Univers 45 Light"/>
      <w:bCs/>
      <w:noProof/>
      <w:sz w:val="18"/>
      <w:szCs w:val="16"/>
    </w:rPr>
  </w:style>
  <w:style w:type="character" w:styleId="FollowedHyperlink">
    <w:name w:val="FollowedHyperlink"/>
    <w:rsid w:val="00787536"/>
    <w:rPr>
      <w:color w:val="000080"/>
      <w:u w:val="single"/>
    </w:rPr>
  </w:style>
  <w:style w:type="paragraph" w:styleId="BalloonText">
    <w:name w:val="Balloon Text"/>
    <w:basedOn w:val="Normal"/>
    <w:semiHidden/>
    <w:rsid w:val="00FC1354"/>
    <w:rPr>
      <w:rFonts w:ascii="Tahoma" w:hAnsi="Tahoma" w:cs="Tahoma"/>
      <w:sz w:val="16"/>
      <w:szCs w:val="16"/>
    </w:rPr>
  </w:style>
  <w:style w:type="paragraph" w:styleId="BodyText">
    <w:name w:val="Body Text"/>
    <w:basedOn w:val="Normal"/>
    <w:rsid w:val="00D72D6E"/>
    <w:pPr>
      <w:spacing w:after="120"/>
    </w:pPr>
  </w:style>
  <w:style w:type="paragraph" w:styleId="ListBullet">
    <w:name w:val="List Bullet"/>
    <w:basedOn w:val="Normal"/>
    <w:rsid w:val="00D9223C"/>
    <w:pPr>
      <w:numPr>
        <w:numId w:val="9"/>
      </w:numPr>
    </w:pPr>
  </w:style>
  <w:style w:type="paragraph" w:styleId="DocumentMap">
    <w:name w:val="Document Map"/>
    <w:basedOn w:val="Normal"/>
    <w:semiHidden/>
    <w:rsid w:val="00233FA4"/>
    <w:pPr>
      <w:shd w:val="clear" w:color="auto" w:fill="000080"/>
    </w:pPr>
    <w:rPr>
      <w:rFonts w:ascii="Tahoma" w:hAnsi="Tahoma" w:cs="Tahoma"/>
      <w:sz w:val="20"/>
      <w:szCs w:val="20"/>
    </w:rPr>
  </w:style>
  <w:style w:type="paragraph" w:styleId="FootnoteText">
    <w:name w:val="footnote text"/>
    <w:basedOn w:val="Normal"/>
    <w:link w:val="FootnoteTextChar"/>
    <w:rsid w:val="00D46A35"/>
    <w:rPr>
      <w:sz w:val="20"/>
      <w:szCs w:val="20"/>
    </w:rPr>
  </w:style>
  <w:style w:type="character" w:customStyle="1" w:styleId="FootnoteTextChar">
    <w:name w:val="Footnote Text Char"/>
    <w:basedOn w:val="DefaultParagraphFont"/>
    <w:link w:val="FootnoteText"/>
    <w:rsid w:val="00D46A35"/>
    <w:rPr>
      <w:lang w:eastAsia="en-US"/>
    </w:rPr>
  </w:style>
  <w:style w:type="character" w:styleId="FootnoteReference">
    <w:name w:val="footnote reference"/>
    <w:basedOn w:val="DefaultParagraphFont"/>
    <w:rsid w:val="00D46A35"/>
    <w:rPr>
      <w:vertAlign w:val="superscript"/>
    </w:rPr>
  </w:style>
  <w:style w:type="paragraph" w:styleId="Revision">
    <w:name w:val="Revision"/>
    <w:hidden/>
    <w:uiPriority w:val="99"/>
    <w:semiHidden/>
    <w:rsid w:val="00617D20"/>
    <w:rPr>
      <w:sz w:val="24"/>
      <w:szCs w:val="24"/>
      <w:lang w:eastAsia="en-US"/>
    </w:rPr>
  </w:style>
  <w:style w:type="paragraph" w:styleId="ListParagraph">
    <w:name w:val="List Paragraph"/>
    <w:basedOn w:val="Normal"/>
    <w:uiPriority w:val="34"/>
    <w:qFormat/>
    <w:rsid w:val="004B7067"/>
    <w:pPr>
      <w:ind w:left="720"/>
      <w:contextualSpacing/>
    </w:pPr>
  </w:style>
  <w:style w:type="character" w:customStyle="1" w:styleId="FooterChar">
    <w:name w:val="Footer Char"/>
    <w:basedOn w:val="DefaultParagraphFont"/>
    <w:link w:val="Footer"/>
    <w:uiPriority w:val="99"/>
    <w:rsid w:val="00B56A11"/>
    <w:rPr>
      <w:sz w:val="24"/>
      <w:szCs w:val="24"/>
      <w:lang w:eastAsia="en-US"/>
    </w:rPr>
  </w:style>
  <w:style w:type="paragraph" w:styleId="NormalWeb">
    <w:name w:val="Normal (Web)"/>
    <w:basedOn w:val="Normal"/>
    <w:uiPriority w:val="99"/>
    <w:unhideWhenUsed/>
    <w:rsid w:val="00716AA7"/>
    <w:pPr>
      <w:spacing w:before="100" w:beforeAutospacing="1" w:after="100" w:afterAutospacing="1"/>
    </w:pPr>
    <w:rPr>
      <w:rFonts w:eastAsiaTheme="minorEastAsia"/>
      <w:lang w:eastAsia="en-GB"/>
    </w:rPr>
  </w:style>
  <w:style w:type="character" w:customStyle="1" w:styleId="HeaderChar">
    <w:name w:val="Header Char"/>
    <w:basedOn w:val="DefaultParagraphFont"/>
    <w:link w:val="Header"/>
    <w:rsid w:val="009025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700">
      <w:bodyDiv w:val="1"/>
      <w:marLeft w:val="0"/>
      <w:marRight w:val="0"/>
      <w:marTop w:val="0"/>
      <w:marBottom w:val="0"/>
      <w:divBdr>
        <w:top w:val="none" w:sz="0" w:space="0" w:color="auto"/>
        <w:left w:val="none" w:sz="0" w:space="0" w:color="auto"/>
        <w:bottom w:val="none" w:sz="0" w:space="0" w:color="auto"/>
        <w:right w:val="none" w:sz="0" w:space="0" w:color="auto"/>
      </w:divBdr>
    </w:div>
    <w:div w:id="89470958">
      <w:bodyDiv w:val="1"/>
      <w:marLeft w:val="0"/>
      <w:marRight w:val="0"/>
      <w:marTop w:val="0"/>
      <w:marBottom w:val="0"/>
      <w:divBdr>
        <w:top w:val="none" w:sz="0" w:space="0" w:color="auto"/>
        <w:left w:val="none" w:sz="0" w:space="0" w:color="auto"/>
        <w:bottom w:val="none" w:sz="0" w:space="0" w:color="auto"/>
        <w:right w:val="none" w:sz="0" w:space="0" w:color="auto"/>
      </w:divBdr>
    </w:div>
    <w:div w:id="124811180">
      <w:bodyDiv w:val="1"/>
      <w:marLeft w:val="0"/>
      <w:marRight w:val="0"/>
      <w:marTop w:val="0"/>
      <w:marBottom w:val="0"/>
      <w:divBdr>
        <w:top w:val="none" w:sz="0" w:space="0" w:color="auto"/>
        <w:left w:val="none" w:sz="0" w:space="0" w:color="auto"/>
        <w:bottom w:val="none" w:sz="0" w:space="0" w:color="auto"/>
        <w:right w:val="none" w:sz="0" w:space="0" w:color="auto"/>
      </w:divBdr>
    </w:div>
    <w:div w:id="173690959">
      <w:bodyDiv w:val="1"/>
      <w:marLeft w:val="0"/>
      <w:marRight w:val="0"/>
      <w:marTop w:val="0"/>
      <w:marBottom w:val="0"/>
      <w:divBdr>
        <w:top w:val="none" w:sz="0" w:space="0" w:color="auto"/>
        <w:left w:val="none" w:sz="0" w:space="0" w:color="auto"/>
        <w:bottom w:val="none" w:sz="0" w:space="0" w:color="auto"/>
        <w:right w:val="none" w:sz="0" w:space="0" w:color="auto"/>
      </w:divBdr>
    </w:div>
    <w:div w:id="212935473">
      <w:bodyDiv w:val="1"/>
      <w:marLeft w:val="0"/>
      <w:marRight w:val="0"/>
      <w:marTop w:val="0"/>
      <w:marBottom w:val="0"/>
      <w:divBdr>
        <w:top w:val="none" w:sz="0" w:space="0" w:color="auto"/>
        <w:left w:val="none" w:sz="0" w:space="0" w:color="auto"/>
        <w:bottom w:val="none" w:sz="0" w:space="0" w:color="auto"/>
        <w:right w:val="none" w:sz="0" w:space="0" w:color="auto"/>
      </w:divBdr>
    </w:div>
    <w:div w:id="221016747">
      <w:bodyDiv w:val="1"/>
      <w:marLeft w:val="0"/>
      <w:marRight w:val="0"/>
      <w:marTop w:val="0"/>
      <w:marBottom w:val="0"/>
      <w:divBdr>
        <w:top w:val="none" w:sz="0" w:space="0" w:color="auto"/>
        <w:left w:val="none" w:sz="0" w:space="0" w:color="auto"/>
        <w:bottom w:val="none" w:sz="0" w:space="0" w:color="auto"/>
        <w:right w:val="none" w:sz="0" w:space="0" w:color="auto"/>
      </w:divBdr>
    </w:div>
    <w:div w:id="310058901">
      <w:bodyDiv w:val="1"/>
      <w:marLeft w:val="0"/>
      <w:marRight w:val="0"/>
      <w:marTop w:val="0"/>
      <w:marBottom w:val="0"/>
      <w:divBdr>
        <w:top w:val="none" w:sz="0" w:space="0" w:color="auto"/>
        <w:left w:val="none" w:sz="0" w:space="0" w:color="auto"/>
        <w:bottom w:val="none" w:sz="0" w:space="0" w:color="auto"/>
        <w:right w:val="none" w:sz="0" w:space="0" w:color="auto"/>
      </w:divBdr>
    </w:div>
    <w:div w:id="329404864">
      <w:bodyDiv w:val="1"/>
      <w:marLeft w:val="0"/>
      <w:marRight w:val="0"/>
      <w:marTop w:val="0"/>
      <w:marBottom w:val="0"/>
      <w:divBdr>
        <w:top w:val="none" w:sz="0" w:space="0" w:color="auto"/>
        <w:left w:val="none" w:sz="0" w:space="0" w:color="auto"/>
        <w:bottom w:val="none" w:sz="0" w:space="0" w:color="auto"/>
        <w:right w:val="none" w:sz="0" w:space="0" w:color="auto"/>
      </w:divBdr>
    </w:div>
    <w:div w:id="338697491">
      <w:bodyDiv w:val="1"/>
      <w:marLeft w:val="0"/>
      <w:marRight w:val="0"/>
      <w:marTop w:val="0"/>
      <w:marBottom w:val="0"/>
      <w:divBdr>
        <w:top w:val="none" w:sz="0" w:space="0" w:color="auto"/>
        <w:left w:val="none" w:sz="0" w:space="0" w:color="auto"/>
        <w:bottom w:val="none" w:sz="0" w:space="0" w:color="auto"/>
        <w:right w:val="none" w:sz="0" w:space="0" w:color="auto"/>
      </w:divBdr>
    </w:div>
    <w:div w:id="392433836">
      <w:bodyDiv w:val="1"/>
      <w:marLeft w:val="0"/>
      <w:marRight w:val="0"/>
      <w:marTop w:val="0"/>
      <w:marBottom w:val="0"/>
      <w:divBdr>
        <w:top w:val="none" w:sz="0" w:space="0" w:color="auto"/>
        <w:left w:val="none" w:sz="0" w:space="0" w:color="auto"/>
        <w:bottom w:val="none" w:sz="0" w:space="0" w:color="auto"/>
        <w:right w:val="none" w:sz="0" w:space="0" w:color="auto"/>
      </w:divBdr>
    </w:div>
    <w:div w:id="406532754">
      <w:bodyDiv w:val="1"/>
      <w:marLeft w:val="0"/>
      <w:marRight w:val="0"/>
      <w:marTop w:val="0"/>
      <w:marBottom w:val="0"/>
      <w:divBdr>
        <w:top w:val="none" w:sz="0" w:space="0" w:color="auto"/>
        <w:left w:val="none" w:sz="0" w:space="0" w:color="auto"/>
        <w:bottom w:val="none" w:sz="0" w:space="0" w:color="auto"/>
        <w:right w:val="none" w:sz="0" w:space="0" w:color="auto"/>
      </w:divBdr>
    </w:div>
    <w:div w:id="455879077">
      <w:bodyDiv w:val="1"/>
      <w:marLeft w:val="0"/>
      <w:marRight w:val="0"/>
      <w:marTop w:val="0"/>
      <w:marBottom w:val="0"/>
      <w:divBdr>
        <w:top w:val="none" w:sz="0" w:space="0" w:color="auto"/>
        <w:left w:val="none" w:sz="0" w:space="0" w:color="auto"/>
        <w:bottom w:val="none" w:sz="0" w:space="0" w:color="auto"/>
        <w:right w:val="none" w:sz="0" w:space="0" w:color="auto"/>
      </w:divBdr>
    </w:div>
    <w:div w:id="497119473">
      <w:bodyDiv w:val="1"/>
      <w:marLeft w:val="0"/>
      <w:marRight w:val="0"/>
      <w:marTop w:val="0"/>
      <w:marBottom w:val="0"/>
      <w:divBdr>
        <w:top w:val="none" w:sz="0" w:space="0" w:color="auto"/>
        <w:left w:val="none" w:sz="0" w:space="0" w:color="auto"/>
        <w:bottom w:val="none" w:sz="0" w:space="0" w:color="auto"/>
        <w:right w:val="none" w:sz="0" w:space="0" w:color="auto"/>
      </w:divBdr>
    </w:div>
    <w:div w:id="506558996">
      <w:bodyDiv w:val="1"/>
      <w:marLeft w:val="0"/>
      <w:marRight w:val="0"/>
      <w:marTop w:val="0"/>
      <w:marBottom w:val="0"/>
      <w:divBdr>
        <w:top w:val="none" w:sz="0" w:space="0" w:color="auto"/>
        <w:left w:val="none" w:sz="0" w:space="0" w:color="auto"/>
        <w:bottom w:val="none" w:sz="0" w:space="0" w:color="auto"/>
        <w:right w:val="none" w:sz="0" w:space="0" w:color="auto"/>
      </w:divBdr>
    </w:div>
    <w:div w:id="542401338">
      <w:bodyDiv w:val="1"/>
      <w:marLeft w:val="0"/>
      <w:marRight w:val="0"/>
      <w:marTop w:val="0"/>
      <w:marBottom w:val="0"/>
      <w:divBdr>
        <w:top w:val="none" w:sz="0" w:space="0" w:color="auto"/>
        <w:left w:val="none" w:sz="0" w:space="0" w:color="auto"/>
        <w:bottom w:val="none" w:sz="0" w:space="0" w:color="auto"/>
        <w:right w:val="none" w:sz="0" w:space="0" w:color="auto"/>
      </w:divBdr>
    </w:div>
    <w:div w:id="574706320">
      <w:bodyDiv w:val="1"/>
      <w:marLeft w:val="0"/>
      <w:marRight w:val="0"/>
      <w:marTop w:val="0"/>
      <w:marBottom w:val="0"/>
      <w:divBdr>
        <w:top w:val="none" w:sz="0" w:space="0" w:color="auto"/>
        <w:left w:val="none" w:sz="0" w:space="0" w:color="auto"/>
        <w:bottom w:val="none" w:sz="0" w:space="0" w:color="auto"/>
        <w:right w:val="none" w:sz="0" w:space="0" w:color="auto"/>
      </w:divBdr>
    </w:div>
    <w:div w:id="576940601">
      <w:bodyDiv w:val="1"/>
      <w:marLeft w:val="0"/>
      <w:marRight w:val="0"/>
      <w:marTop w:val="0"/>
      <w:marBottom w:val="0"/>
      <w:divBdr>
        <w:top w:val="none" w:sz="0" w:space="0" w:color="auto"/>
        <w:left w:val="none" w:sz="0" w:space="0" w:color="auto"/>
        <w:bottom w:val="none" w:sz="0" w:space="0" w:color="auto"/>
        <w:right w:val="none" w:sz="0" w:space="0" w:color="auto"/>
      </w:divBdr>
    </w:div>
    <w:div w:id="593363420">
      <w:bodyDiv w:val="1"/>
      <w:marLeft w:val="0"/>
      <w:marRight w:val="0"/>
      <w:marTop w:val="0"/>
      <w:marBottom w:val="0"/>
      <w:divBdr>
        <w:top w:val="none" w:sz="0" w:space="0" w:color="auto"/>
        <w:left w:val="none" w:sz="0" w:space="0" w:color="auto"/>
        <w:bottom w:val="none" w:sz="0" w:space="0" w:color="auto"/>
        <w:right w:val="none" w:sz="0" w:space="0" w:color="auto"/>
      </w:divBdr>
    </w:div>
    <w:div w:id="613635821">
      <w:bodyDiv w:val="1"/>
      <w:marLeft w:val="0"/>
      <w:marRight w:val="0"/>
      <w:marTop w:val="0"/>
      <w:marBottom w:val="0"/>
      <w:divBdr>
        <w:top w:val="none" w:sz="0" w:space="0" w:color="auto"/>
        <w:left w:val="none" w:sz="0" w:space="0" w:color="auto"/>
        <w:bottom w:val="none" w:sz="0" w:space="0" w:color="auto"/>
        <w:right w:val="none" w:sz="0" w:space="0" w:color="auto"/>
      </w:divBdr>
    </w:div>
    <w:div w:id="621956755">
      <w:bodyDiv w:val="1"/>
      <w:marLeft w:val="0"/>
      <w:marRight w:val="0"/>
      <w:marTop w:val="0"/>
      <w:marBottom w:val="0"/>
      <w:divBdr>
        <w:top w:val="none" w:sz="0" w:space="0" w:color="auto"/>
        <w:left w:val="none" w:sz="0" w:space="0" w:color="auto"/>
        <w:bottom w:val="none" w:sz="0" w:space="0" w:color="auto"/>
        <w:right w:val="none" w:sz="0" w:space="0" w:color="auto"/>
      </w:divBdr>
    </w:div>
    <w:div w:id="689793137">
      <w:bodyDiv w:val="1"/>
      <w:marLeft w:val="0"/>
      <w:marRight w:val="0"/>
      <w:marTop w:val="0"/>
      <w:marBottom w:val="0"/>
      <w:divBdr>
        <w:top w:val="none" w:sz="0" w:space="0" w:color="auto"/>
        <w:left w:val="none" w:sz="0" w:space="0" w:color="auto"/>
        <w:bottom w:val="none" w:sz="0" w:space="0" w:color="auto"/>
        <w:right w:val="none" w:sz="0" w:space="0" w:color="auto"/>
      </w:divBdr>
    </w:div>
    <w:div w:id="720834404">
      <w:bodyDiv w:val="1"/>
      <w:marLeft w:val="0"/>
      <w:marRight w:val="0"/>
      <w:marTop w:val="0"/>
      <w:marBottom w:val="0"/>
      <w:divBdr>
        <w:top w:val="none" w:sz="0" w:space="0" w:color="auto"/>
        <w:left w:val="none" w:sz="0" w:space="0" w:color="auto"/>
        <w:bottom w:val="none" w:sz="0" w:space="0" w:color="auto"/>
        <w:right w:val="none" w:sz="0" w:space="0" w:color="auto"/>
      </w:divBdr>
    </w:div>
    <w:div w:id="744491011">
      <w:bodyDiv w:val="1"/>
      <w:marLeft w:val="0"/>
      <w:marRight w:val="0"/>
      <w:marTop w:val="0"/>
      <w:marBottom w:val="0"/>
      <w:divBdr>
        <w:top w:val="none" w:sz="0" w:space="0" w:color="auto"/>
        <w:left w:val="none" w:sz="0" w:space="0" w:color="auto"/>
        <w:bottom w:val="none" w:sz="0" w:space="0" w:color="auto"/>
        <w:right w:val="none" w:sz="0" w:space="0" w:color="auto"/>
      </w:divBdr>
    </w:div>
    <w:div w:id="800000771">
      <w:bodyDiv w:val="1"/>
      <w:marLeft w:val="0"/>
      <w:marRight w:val="0"/>
      <w:marTop w:val="0"/>
      <w:marBottom w:val="0"/>
      <w:divBdr>
        <w:top w:val="none" w:sz="0" w:space="0" w:color="auto"/>
        <w:left w:val="none" w:sz="0" w:space="0" w:color="auto"/>
        <w:bottom w:val="none" w:sz="0" w:space="0" w:color="auto"/>
        <w:right w:val="none" w:sz="0" w:space="0" w:color="auto"/>
      </w:divBdr>
    </w:div>
    <w:div w:id="842234579">
      <w:bodyDiv w:val="1"/>
      <w:marLeft w:val="0"/>
      <w:marRight w:val="0"/>
      <w:marTop w:val="0"/>
      <w:marBottom w:val="0"/>
      <w:divBdr>
        <w:top w:val="none" w:sz="0" w:space="0" w:color="auto"/>
        <w:left w:val="none" w:sz="0" w:space="0" w:color="auto"/>
        <w:bottom w:val="none" w:sz="0" w:space="0" w:color="auto"/>
        <w:right w:val="none" w:sz="0" w:space="0" w:color="auto"/>
      </w:divBdr>
    </w:div>
    <w:div w:id="845484852">
      <w:bodyDiv w:val="1"/>
      <w:marLeft w:val="0"/>
      <w:marRight w:val="0"/>
      <w:marTop w:val="0"/>
      <w:marBottom w:val="0"/>
      <w:divBdr>
        <w:top w:val="none" w:sz="0" w:space="0" w:color="auto"/>
        <w:left w:val="none" w:sz="0" w:space="0" w:color="auto"/>
        <w:bottom w:val="none" w:sz="0" w:space="0" w:color="auto"/>
        <w:right w:val="none" w:sz="0" w:space="0" w:color="auto"/>
      </w:divBdr>
    </w:div>
    <w:div w:id="847603594">
      <w:bodyDiv w:val="1"/>
      <w:marLeft w:val="0"/>
      <w:marRight w:val="0"/>
      <w:marTop w:val="0"/>
      <w:marBottom w:val="0"/>
      <w:divBdr>
        <w:top w:val="none" w:sz="0" w:space="0" w:color="auto"/>
        <w:left w:val="none" w:sz="0" w:space="0" w:color="auto"/>
        <w:bottom w:val="none" w:sz="0" w:space="0" w:color="auto"/>
        <w:right w:val="none" w:sz="0" w:space="0" w:color="auto"/>
      </w:divBdr>
    </w:div>
    <w:div w:id="885489055">
      <w:bodyDiv w:val="1"/>
      <w:marLeft w:val="0"/>
      <w:marRight w:val="0"/>
      <w:marTop w:val="0"/>
      <w:marBottom w:val="0"/>
      <w:divBdr>
        <w:top w:val="none" w:sz="0" w:space="0" w:color="auto"/>
        <w:left w:val="none" w:sz="0" w:space="0" w:color="auto"/>
        <w:bottom w:val="none" w:sz="0" w:space="0" w:color="auto"/>
        <w:right w:val="none" w:sz="0" w:space="0" w:color="auto"/>
      </w:divBdr>
    </w:div>
    <w:div w:id="967665308">
      <w:bodyDiv w:val="1"/>
      <w:marLeft w:val="0"/>
      <w:marRight w:val="0"/>
      <w:marTop w:val="0"/>
      <w:marBottom w:val="0"/>
      <w:divBdr>
        <w:top w:val="none" w:sz="0" w:space="0" w:color="auto"/>
        <w:left w:val="none" w:sz="0" w:space="0" w:color="auto"/>
        <w:bottom w:val="none" w:sz="0" w:space="0" w:color="auto"/>
        <w:right w:val="none" w:sz="0" w:space="0" w:color="auto"/>
      </w:divBdr>
    </w:div>
    <w:div w:id="1019696370">
      <w:bodyDiv w:val="1"/>
      <w:marLeft w:val="0"/>
      <w:marRight w:val="0"/>
      <w:marTop w:val="0"/>
      <w:marBottom w:val="0"/>
      <w:divBdr>
        <w:top w:val="none" w:sz="0" w:space="0" w:color="auto"/>
        <w:left w:val="none" w:sz="0" w:space="0" w:color="auto"/>
        <w:bottom w:val="none" w:sz="0" w:space="0" w:color="auto"/>
        <w:right w:val="none" w:sz="0" w:space="0" w:color="auto"/>
      </w:divBdr>
    </w:div>
    <w:div w:id="1110588540">
      <w:bodyDiv w:val="1"/>
      <w:marLeft w:val="0"/>
      <w:marRight w:val="0"/>
      <w:marTop w:val="0"/>
      <w:marBottom w:val="0"/>
      <w:divBdr>
        <w:top w:val="none" w:sz="0" w:space="0" w:color="auto"/>
        <w:left w:val="none" w:sz="0" w:space="0" w:color="auto"/>
        <w:bottom w:val="none" w:sz="0" w:space="0" w:color="auto"/>
        <w:right w:val="none" w:sz="0" w:space="0" w:color="auto"/>
      </w:divBdr>
    </w:div>
    <w:div w:id="1144009691">
      <w:bodyDiv w:val="1"/>
      <w:marLeft w:val="0"/>
      <w:marRight w:val="0"/>
      <w:marTop w:val="0"/>
      <w:marBottom w:val="0"/>
      <w:divBdr>
        <w:top w:val="none" w:sz="0" w:space="0" w:color="auto"/>
        <w:left w:val="none" w:sz="0" w:space="0" w:color="auto"/>
        <w:bottom w:val="none" w:sz="0" w:space="0" w:color="auto"/>
        <w:right w:val="none" w:sz="0" w:space="0" w:color="auto"/>
      </w:divBdr>
    </w:div>
    <w:div w:id="1242182382">
      <w:bodyDiv w:val="1"/>
      <w:marLeft w:val="0"/>
      <w:marRight w:val="0"/>
      <w:marTop w:val="0"/>
      <w:marBottom w:val="0"/>
      <w:divBdr>
        <w:top w:val="none" w:sz="0" w:space="0" w:color="auto"/>
        <w:left w:val="none" w:sz="0" w:space="0" w:color="auto"/>
        <w:bottom w:val="none" w:sz="0" w:space="0" w:color="auto"/>
        <w:right w:val="none" w:sz="0" w:space="0" w:color="auto"/>
      </w:divBdr>
    </w:div>
    <w:div w:id="1272282524">
      <w:bodyDiv w:val="1"/>
      <w:marLeft w:val="0"/>
      <w:marRight w:val="0"/>
      <w:marTop w:val="0"/>
      <w:marBottom w:val="0"/>
      <w:divBdr>
        <w:top w:val="none" w:sz="0" w:space="0" w:color="auto"/>
        <w:left w:val="none" w:sz="0" w:space="0" w:color="auto"/>
        <w:bottom w:val="none" w:sz="0" w:space="0" w:color="auto"/>
        <w:right w:val="none" w:sz="0" w:space="0" w:color="auto"/>
      </w:divBdr>
    </w:div>
    <w:div w:id="1328289214">
      <w:bodyDiv w:val="1"/>
      <w:marLeft w:val="0"/>
      <w:marRight w:val="0"/>
      <w:marTop w:val="0"/>
      <w:marBottom w:val="0"/>
      <w:divBdr>
        <w:top w:val="none" w:sz="0" w:space="0" w:color="auto"/>
        <w:left w:val="none" w:sz="0" w:space="0" w:color="auto"/>
        <w:bottom w:val="none" w:sz="0" w:space="0" w:color="auto"/>
        <w:right w:val="none" w:sz="0" w:space="0" w:color="auto"/>
      </w:divBdr>
    </w:div>
    <w:div w:id="1334450720">
      <w:bodyDiv w:val="1"/>
      <w:marLeft w:val="0"/>
      <w:marRight w:val="0"/>
      <w:marTop w:val="0"/>
      <w:marBottom w:val="0"/>
      <w:divBdr>
        <w:top w:val="none" w:sz="0" w:space="0" w:color="auto"/>
        <w:left w:val="none" w:sz="0" w:space="0" w:color="auto"/>
        <w:bottom w:val="none" w:sz="0" w:space="0" w:color="auto"/>
        <w:right w:val="none" w:sz="0" w:space="0" w:color="auto"/>
      </w:divBdr>
    </w:div>
    <w:div w:id="1378773760">
      <w:bodyDiv w:val="1"/>
      <w:marLeft w:val="0"/>
      <w:marRight w:val="0"/>
      <w:marTop w:val="0"/>
      <w:marBottom w:val="0"/>
      <w:divBdr>
        <w:top w:val="none" w:sz="0" w:space="0" w:color="auto"/>
        <w:left w:val="none" w:sz="0" w:space="0" w:color="auto"/>
        <w:bottom w:val="none" w:sz="0" w:space="0" w:color="auto"/>
        <w:right w:val="none" w:sz="0" w:space="0" w:color="auto"/>
      </w:divBdr>
    </w:div>
    <w:div w:id="1427922141">
      <w:bodyDiv w:val="1"/>
      <w:marLeft w:val="0"/>
      <w:marRight w:val="0"/>
      <w:marTop w:val="0"/>
      <w:marBottom w:val="0"/>
      <w:divBdr>
        <w:top w:val="none" w:sz="0" w:space="0" w:color="auto"/>
        <w:left w:val="none" w:sz="0" w:space="0" w:color="auto"/>
        <w:bottom w:val="none" w:sz="0" w:space="0" w:color="auto"/>
        <w:right w:val="none" w:sz="0" w:space="0" w:color="auto"/>
      </w:divBdr>
    </w:div>
    <w:div w:id="1462918084">
      <w:bodyDiv w:val="1"/>
      <w:marLeft w:val="0"/>
      <w:marRight w:val="0"/>
      <w:marTop w:val="0"/>
      <w:marBottom w:val="0"/>
      <w:divBdr>
        <w:top w:val="none" w:sz="0" w:space="0" w:color="auto"/>
        <w:left w:val="none" w:sz="0" w:space="0" w:color="auto"/>
        <w:bottom w:val="none" w:sz="0" w:space="0" w:color="auto"/>
        <w:right w:val="none" w:sz="0" w:space="0" w:color="auto"/>
      </w:divBdr>
    </w:div>
    <w:div w:id="1464956868">
      <w:bodyDiv w:val="1"/>
      <w:marLeft w:val="0"/>
      <w:marRight w:val="0"/>
      <w:marTop w:val="0"/>
      <w:marBottom w:val="0"/>
      <w:divBdr>
        <w:top w:val="none" w:sz="0" w:space="0" w:color="auto"/>
        <w:left w:val="none" w:sz="0" w:space="0" w:color="auto"/>
        <w:bottom w:val="none" w:sz="0" w:space="0" w:color="auto"/>
        <w:right w:val="none" w:sz="0" w:space="0" w:color="auto"/>
      </w:divBdr>
    </w:div>
    <w:div w:id="1495872617">
      <w:bodyDiv w:val="1"/>
      <w:marLeft w:val="0"/>
      <w:marRight w:val="0"/>
      <w:marTop w:val="0"/>
      <w:marBottom w:val="0"/>
      <w:divBdr>
        <w:top w:val="none" w:sz="0" w:space="0" w:color="auto"/>
        <w:left w:val="none" w:sz="0" w:space="0" w:color="auto"/>
        <w:bottom w:val="none" w:sz="0" w:space="0" w:color="auto"/>
        <w:right w:val="none" w:sz="0" w:space="0" w:color="auto"/>
      </w:divBdr>
    </w:div>
    <w:div w:id="1524782011">
      <w:bodyDiv w:val="1"/>
      <w:marLeft w:val="0"/>
      <w:marRight w:val="0"/>
      <w:marTop w:val="0"/>
      <w:marBottom w:val="0"/>
      <w:divBdr>
        <w:top w:val="none" w:sz="0" w:space="0" w:color="auto"/>
        <w:left w:val="none" w:sz="0" w:space="0" w:color="auto"/>
        <w:bottom w:val="none" w:sz="0" w:space="0" w:color="auto"/>
        <w:right w:val="none" w:sz="0" w:space="0" w:color="auto"/>
      </w:divBdr>
    </w:div>
    <w:div w:id="1540433632">
      <w:bodyDiv w:val="1"/>
      <w:marLeft w:val="0"/>
      <w:marRight w:val="0"/>
      <w:marTop w:val="0"/>
      <w:marBottom w:val="0"/>
      <w:divBdr>
        <w:top w:val="none" w:sz="0" w:space="0" w:color="auto"/>
        <w:left w:val="none" w:sz="0" w:space="0" w:color="auto"/>
        <w:bottom w:val="none" w:sz="0" w:space="0" w:color="auto"/>
        <w:right w:val="none" w:sz="0" w:space="0" w:color="auto"/>
      </w:divBdr>
    </w:div>
    <w:div w:id="1671180990">
      <w:bodyDiv w:val="1"/>
      <w:marLeft w:val="0"/>
      <w:marRight w:val="0"/>
      <w:marTop w:val="0"/>
      <w:marBottom w:val="0"/>
      <w:divBdr>
        <w:top w:val="none" w:sz="0" w:space="0" w:color="auto"/>
        <w:left w:val="none" w:sz="0" w:space="0" w:color="auto"/>
        <w:bottom w:val="none" w:sz="0" w:space="0" w:color="auto"/>
        <w:right w:val="none" w:sz="0" w:space="0" w:color="auto"/>
      </w:divBdr>
    </w:div>
    <w:div w:id="1693260977">
      <w:bodyDiv w:val="1"/>
      <w:marLeft w:val="0"/>
      <w:marRight w:val="0"/>
      <w:marTop w:val="0"/>
      <w:marBottom w:val="0"/>
      <w:divBdr>
        <w:top w:val="none" w:sz="0" w:space="0" w:color="auto"/>
        <w:left w:val="none" w:sz="0" w:space="0" w:color="auto"/>
        <w:bottom w:val="none" w:sz="0" w:space="0" w:color="auto"/>
        <w:right w:val="none" w:sz="0" w:space="0" w:color="auto"/>
      </w:divBdr>
    </w:div>
    <w:div w:id="1761674752">
      <w:bodyDiv w:val="1"/>
      <w:marLeft w:val="0"/>
      <w:marRight w:val="0"/>
      <w:marTop w:val="0"/>
      <w:marBottom w:val="0"/>
      <w:divBdr>
        <w:top w:val="none" w:sz="0" w:space="0" w:color="auto"/>
        <w:left w:val="none" w:sz="0" w:space="0" w:color="auto"/>
        <w:bottom w:val="none" w:sz="0" w:space="0" w:color="auto"/>
        <w:right w:val="none" w:sz="0" w:space="0" w:color="auto"/>
      </w:divBdr>
    </w:div>
    <w:div w:id="1788695207">
      <w:bodyDiv w:val="1"/>
      <w:marLeft w:val="0"/>
      <w:marRight w:val="0"/>
      <w:marTop w:val="0"/>
      <w:marBottom w:val="0"/>
      <w:divBdr>
        <w:top w:val="none" w:sz="0" w:space="0" w:color="auto"/>
        <w:left w:val="none" w:sz="0" w:space="0" w:color="auto"/>
        <w:bottom w:val="none" w:sz="0" w:space="0" w:color="auto"/>
        <w:right w:val="none" w:sz="0" w:space="0" w:color="auto"/>
      </w:divBdr>
    </w:div>
    <w:div w:id="1845240706">
      <w:bodyDiv w:val="1"/>
      <w:marLeft w:val="0"/>
      <w:marRight w:val="0"/>
      <w:marTop w:val="0"/>
      <w:marBottom w:val="0"/>
      <w:divBdr>
        <w:top w:val="none" w:sz="0" w:space="0" w:color="auto"/>
        <w:left w:val="none" w:sz="0" w:space="0" w:color="auto"/>
        <w:bottom w:val="none" w:sz="0" w:space="0" w:color="auto"/>
        <w:right w:val="none" w:sz="0" w:space="0" w:color="auto"/>
      </w:divBdr>
    </w:div>
    <w:div w:id="1889150513">
      <w:bodyDiv w:val="1"/>
      <w:marLeft w:val="0"/>
      <w:marRight w:val="0"/>
      <w:marTop w:val="0"/>
      <w:marBottom w:val="0"/>
      <w:divBdr>
        <w:top w:val="none" w:sz="0" w:space="0" w:color="auto"/>
        <w:left w:val="none" w:sz="0" w:space="0" w:color="auto"/>
        <w:bottom w:val="none" w:sz="0" w:space="0" w:color="auto"/>
        <w:right w:val="none" w:sz="0" w:space="0" w:color="auto"/>
      </w:divBdr>
    </w:div>
    <w:div w:id="1893537382">
      <w:bodyDiv w:val="1"/>
      <w:marLeft w:val="0"/>
      <w:marRight w:val="0"/>
      <w:marTop w:val="0"/>
      <w:marBottom w:val="0"/>
      <w:divBdr>
        <w:top w:val="none" w:sz="0" w:space="0" w:color="auto"/>
        <w:left w:val="none" w:sz="0" w:space="0" w:color="auto"/>
        <w:bottom w:val="none" w:sz="0" w:space="0" w:color="auto"/>
        <w:right w:val="none" w:sz="0" w:space="0" w:color="auto"/>
      </w:divBdr>
    </w:div>
    <w:div w:id="1946185844">
      <w:bodyDiv w:val="1"/>
      <w:marLeft w:val="0"/>
      <w:marRight w:val="0"/>
      <w:marTop w:val="0"/>
      <w:marBottom w:val="0"/>
      <w:divBdr>
        <w:top w:val="none" w:sz="0" w:space="0" w:color="auto"/>
        <w:left w:val="none" w:sz="0" w:space="0" w:color="auto"/>
        <w:bottom w:val="none" w:sz="0" w:space="0" w:color="auto"/>
        <w:right w:val="none" w:sz="0" w:space="0" w:color="auto"/>
      </w:divBdr>
    </w:div>
    <w:div w:id="2017921952">
      <w:bodyDiv w:val="1"/>
      <w:marLeft w:val="0"/>
      <w:marRight w:val="0"/>
      <w:marTop w:val="0"/>
      <w:marBottom w:val="0"/>
      <w:divBdr>
        <w:top w:val="none" w:sz="0" w:space="0" w:color="auto"/>
        <w:left w:val="none" w:sz="0" w:space="0" w:color="auto"/>
        <w:bottom w:val="none" w:sz="0" w:space="0" w:color="auto"/>
        <w:right w:val="none" w:sz="0" w:space="0" w:color="auto"/>
      </w:divBdr>
    </w:div>
    <w:div w:id="2037080857">
      <w:bodyDiv w:val="1"/>
      <w:marLeft w:val="0"/>
      <w:marRight w:val="0"/>
      <w:marTop w:val="0"/>
      <w:marBottom w:val="0"/>
      <w:divBdr>
        <w:top w:val="none" w:sz="0" w:space="0" w:color="auto"/>
        <w:left w:val="none" w:sz="0" w:space="0" w:color="auto"/>
        <w:bottom w:val="none" w:sz="0" w:space="0" w:color="auto"/>
        <w:right w:val="none" w:sz="0" w:space="0" w:color="auto"/>
      </w:divBdr>
    </w:div>
    <w:div w:id="2056659806">
      <w:bodyDiv w:val="1"/>
      <w:marLeft w:val="0"/>
      <w:marRight w:val="0"/>
      <w:marTop w:val="0"/>
      <w:marBottom w:val="0"/>
      <w:divBdr>
        <w:top w:val="none" w:sz="0" w:space="0" w:color="auto"/>
        <w:left w:val="none" w:sz="0" w:space="0" w:color="auto"/>
        <w:bottom w:val="none" w:sz="0" w:space="0" w:color="auto"/>
        <w:right w:val="none" w:sz="0" w:space="0" w:color="auto"/>
      </w:divBdr>
    </w:div>
    <w:div w:id="2057193139">
      <w:bodyDiv w:val="1"/>
      <w:marLeft w:val="0"/>
      <w:marRight w:val="0"/>
      <w:marTop w:val="0"/>
      <w:marBottom w:val="0"/>
      <w:divBdr>
        <w:top w:val="none" w:sz="0" w:space="0" w:color="auto"/>
        <w:left w:val="none" w:sz="0" w:space="0" w:color="auto"/>
        <w:bottom w:val="none" w:sz="0" w:space="0" w:color="auto"/>
        <w:right w:val="none" w:sz="0" w:space="0" w:color="auto"/>
      </w:divBdr>
    </w:div>
    <w:div w:id="2059353826">
      <w:bodyDiv w:val="1"/>
      <w:marLeft w:val="0"/>
      <w:marRight w:val="0"/>
      <w:marTop w:val="0"/>
      <w:marBottom w:val="0"/>
      <w:divBdr>
        <w:top w:val="none" w:sz="0" w:space="0" w:color="auto"/>
        <w:left w:val="none" w:sz="0" w:space="0" w:color="auto"/>
        <w:bottom w:val="none" w:sz="0" w:space="0" w:color="auto"/>
        <w:right w:val="none" w:sz="0" w:space="0" w:color="auto"/>
      </w:divBdr>
    </w:div>
    <w:div w:id="2070110736">
      <w:bodyDiv w:val="1"/>
      <w:marLeft w:val="0"/>
      <w:marRight w:val="0"/>
      <w:marTop w:val="0"/>
      <w:marBottom w:val="0"/>
      <w:divBdr>
        <w:top w:val="none" w:sz="0" w:space="0" w:color="auto"/>
        <w:left w:val="none" w:sz="0" w:space="0" w:color="auto"/>
        <w:bottom w:val="none" w:sz="0" w:space="0" w:color="auto"/>
        <w:right w:val="none" w:sz="0" w:space="0" w:color="auto"/>
      </w:divBdr>
    </w:div>
    <w:div w:id="2083792351">
      <w:bodyDiv w:val="1"/>
      <w:marLeft w:val="0"/>
      <w:marRight w:val="0"/>
      <w:marTop w:val="0"/>
      <w:marBottom w:val="0"/>
      <w:divBdr>
        <w:top w:val="none" w:sz="0" w:space="0" w:color="auto"/>
        <w:left w:val="none" w:sz="0" w:space="0" w:color="auto"/>
        <w:bottom w:val="none" w:sz="0" w:space="0" w:color="auto"/>
        <w:right w:val="none" w:sz="0" w:space="0" w:color="auto"/>
      </w:divBdr>
    </w:div>
    <w:div w:id="2094037911">
      <w:bodyDiv w:val="1"/>
      <w:marLeft w:val="0"/>
      <w:marRight w:val="0"/>
      <w:marTop w:val="0"/>
      <w:marBottom w:val="0"/>
      <w:divBdr>
        <w:top w:val="none" w:sz="0" w:space="0" w:color="auto"/>
        <w:left w:val="none" w:sz="0" w:space="0" w:color="auto"/>
        <w:bottom w:val="none" w:sz="0" w:space="0" w:color="auto"/>
        <w:right w:val="none" w:sz="0" w:space="0" w:color="auto"/>
      </w:divBdr>
    </w:div>
    <w:div w:id="21356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hyperlink" Target="https://www.gov.uk/search-bankruptcy-insolvency-register" TargetMode="External"/><Relationship Id="rId39" Type="http://schemas.openxmlformats.org/officeDocument/2006/relationships/hyperlink" Target="https://www.gov.uk/government/publications/insolvency-statistics-policy-and-procedures" TargetMode="External"/><Relationship Id="rId21" Type="http://schemas.openxmlformats.org/officeDocument/2006/relationships/image" Target="media/image7.emf"/><Relationship Id="rId34" Type="http://schemas.openxmlformats.org/officeDocument/2006/relationships/image" Target="media/image15.emf"/><Relationship Id="rId42" Type="http://schemas.openxmlformats.org/officeDocument/2006/relationships/hyperlink" Target="https://www.gov.uk/government/publications/insolvency-statistics-january-to-march-2014" TargetMode="External"/><Relationship Id="rId47" Type="http://schemas.openxmlformats.org/officeDocument/2006/relationships/hyperlink" Target="http://www.companieshouse.gov.uk/about/businessRegisterStat.shtml" TargetMode="External"/><Relationship Id="rId50" Type="http://schemas.openxmlformats.org/officeDocument/2006/relationships/hyperlink" Target="http://www.ons.gov.uk/ons/rel/bus-register/business-demography/index.html" TargetMode="External"/><Relationship Id="rId55" Type="http://schemas.openxmlformats.org/officeDocument/2006/relationships/hyperlink" Target="http://www.detini.gov.uk/deti-insolvency-index.htm"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companieshouse.gov.uk/about/businessRegisterStat.shtml" TargetMode="External"/><Relationship Id="rId29" Type="http://schemas.openxmlformats.org/officeDocument/2006/relationships/hyperlink" Target="https://www.gov.uk/government/collections/court-statistics-quarterly" TargetMode="External"/><Relationship Id="rId41" Type="http://schemas.openxmlformats.org/officeDocument/2006/relationships/hyperlink" Target="http://www.ons.gov.uk/ons/taxonomy/index.html?nscl=Population+Estimates" TargetMode="External"/><Relationship Id="rId54" Type="http://schemas.openxmlformats.org/officeDocument/2006/relationships/hyperlink" Target="http://www.aib.gov.u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tistics@insolvency.gsi.gov.uk" TargetMode="External"/><Relationship Id="rId24" Type="http://schemas.openxmlformats.org/officeDocument/2006/relationships/image" Target="media/image8.emf"/><Relationship Id="rId32" Type="http://schemas.openxmlformats.org/officeDocument/2006/relationships/image" Target="media/image14.emf"/><Relationship Id="rId37" Type="http://schemas.openxmlformats.org/officeDocument/2006/relationships/image" Target="media/image17.emf"/><Relationship Id="rId40" Type="http://schemas.openxmlformats.org/officeDocument/2006/relationships/hyperlink" Target="https://www.gov.uk/government/publications/insolvency-statistics-policy-and-procedures" TargetMode="External"/><Relationship Id="rId45" Type="http://schemas.openxmlformats.org/officeDocument/2006/relationships/hyperlink" Target="https://www.gov.uk/government/publications/insolvency-statistics-policy-and-procedures" TargetMode="External"/><Relationship Id="rId53" Type="http://schemas.openxmlformats.org/officeDocument/2006/relationships/hyperlink" Target="http://www.bis.gov.uk/insolvency/personal-insolvency/bankruptcy-what-is-bankruptcy/what-alternatives-bankruptcy" TargetMode="External"/><Relationship Id="rId58" Type="http://schemas.openxmlformats.org/officeDocument/2006/relationships/hyperlink" Target="mailto:psi@nationalarchives.gsi.gov.uk"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anieshouse.gov.uk/about/businessRegisterStat.shtml" TargetMode="External"/><Relationship Id="rId23" Type="http://schemas.openxmlformats.org/officeDocument/2006/relationships/hyperlink" Target="mailto:statistics@insolvency.gsi.gov.uk" TargetMode="External"/><Relationship Id="rId28" Type="http://schemas.openxmlformats.org/officeDocument/2006/relationships/image" Target="media/image11.emf"/><Relationship Id="rId36" Type="http://schemas.openxmlformats.org/officeDocument/2006/relationships/image" Target="media/image16.emf"/><Relationship Id="rId49" Type="http://schemas.openxmlformats.org/officeDocument/2006/relationships/hyperlink" Target="http://www.ons.gov.uk/ons/index.html" TargetMode="External"/><Relationship Id="rId57" Type="http://schemas.openxmlformats.org/officeDocument/2006/relationships/hyperlink" Target="http://www.nationalarchives.gov.uk/doc/open-government-licence" TargetMode="External"/><Relationship Id="rId61" Type="http://schemas.openxmlformats.org/officeDocument/2006/relationships/header" Target="header1.xml"/><Relationship Id="rId10" Type="http://schemas.openxmlformats.org/officeDocument/2006/relationships/hyperlink" Target="https://www.gov.uk/government/collections/insolvency-service-official-statistics" TargetMode="External"/><Relationship Id="rId19" Type="http://schemas.openxmlformats.org/officeDocument/2006/relationships/image" Target="media/image6.emf"/><Relationship Id="rId31" Type="http://schemas.openxmlformats.org/officeDocument/2006/relationships/image" Target="media/image13.emf"/><Relationship Id="rId44" Type="http://schemas.openxmlformats.org/officeDocument/2006/relationships/hyperlink" Target="http://www.statistics.gr/portal/page/portal/ESYE/BUCKET/General/code_of_practice_en.pdf" TargetMode="External"/><Relationship Id="rId52" Type="http://schemas.openxmlformats.org/officeDocument/2006/relationships/hyperlink" Target="http://webarchive.nationalarchives.gov.uk/20140311023846/http:/bis.gov.uk/insolvency/About-us/our-performance-statistics/insolvency-statistics" TargetMode="External"/><Relationship Id="rId60" Type="http://schemas.openxmlformats.org/officeDocument/2006/relationships/hyperlink" Target="mailto:statistics@insolvencyservice.gsi.gov.uk"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atistics@insolvency.gsi.gov.uk" TargetMode="External"/><Relationship Id="rId14" Type="http://schemas.openxmlformats.org/officeDocument/2006/relationships/image" Target="media/image3.emf"/><Relationship Id="rId22" Type="http://schemas.openxmlformats.org/officeDocument/2006/relationships/hyperlink" Target="http://www.statisticsauthority.gov.uk/assessment/code-of-practice/" TargetMode="External"/><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hyperlink" Target="http://www.aib.gov.uk/scottish-insolvency-statistics-2014-15-quarter-1-release" TargetMode="External"/><Relationship Id="rId43" Type="http://schemas.openxmlformats.org/officeDocument/2006/relationships/hyperlink" Target="https://www.gov.uk/government/publications/insolvency-statistics-policy-and-procedures" TargetMode="External"/><Relationship Id="rId48" Type="http://schemas.openxmlformats.org/officeDocument/2006/relationships/hyperlink" Target="http://www.aib.gov.uk/" TargetMode="External"/><Relationship Id="rId56" Type="http://schemas.openxmlformats.org/officeDocument/2006/relationships/image" Target="media/image18.png"/><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gov.uk/government/collections/insolvency-service-official-statistics"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companieshouse.gov.uk/about/businessRegisterStat.shtml" TargetMode="External"/><Relationship Id="rId25" Type="http://schemas.openxmlformats.org/officeDocument/2006/relationships/image" Target="media/image9.emf"/><Relationship Id="rId33" Type="http://schemas.openxmlformats.org/officeDocument/2006/relationships/hyperlink" Target="http://www.aib.gov.uk/" TargetMode="External"/><Relationship Id="rId38" Type="http://schemas.openxmlformats.org/officeDocument/2006/relationships/hyperlink" Target="https://www.gov.uk/government/publications/insolvency-statistics-policy-and-procedures" TargetMode="External"/><Relationship Id="rId46" Type="http://schemas.openxmlformats.org/officeDocument/2006/relationships/hyperlink" Target="https://www.gov.uk/government/publications/insolvency-statistics-user-engagement" TargetMode="External"/><Relationship Id="rId59" Type="http://schemas.openxmlformats.org/officeDocument/2006/relationships/hyperlink" Target="https://www.gov.uk/government/collections/insolvency-service-official-statistic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4F74-FC34-4E8C-88D6-304B3C1B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4221</TotalTime>
  <Pages>26</Pages>
  <Words>9400</Words>
  <Characters>55241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Reference ins/com</vt:lpstr>
    </vt:vector>
  </TitlesOfParts>
  <Company>Insolvency Service</Company>
  <LinksUpToDate>false</LinksUpToDate>
  <CharactersWithSpaces>64512</CharactersWithSpaces>
  <SharedDoc>false</SharedDoc>
  <HLinks>
    <vt:vector size="114" baseType="variant">
      <vt:variant>
        <vt:i4>5111825</vt:i4>
      </vt:variant>
      <vt:variant>
        <vt:i4>81</vt:i4>
      </vt:variant>
      <vt:variant>
        <vt:i4>0</vt:i4>
      </vt:variant>
      <vt:variant>
        <vt:i4>5</vt:i4>
      </vt:variant>
      <vt:variant>
        <vt:lpwstr>http://www.insolvencydirect.bis.gov.uk/otherinformation/statistics/201311/uksa/index.htm</vt:lpwstr>
      </vt:variant>
      <vt:variant>
        <vt:lpwstr/>
      </vt:variant>
      <vt:variant>
        <vt:i4>6750234</vt:i4>
      </vt:variant>
      <vt:variant>
        <vt:i4>78</vt:i4>
      </vt:variant>
      <vt:variant>
        <vt:i4>0</vt:i4>
      </vt:variant>
      <vt:variant>
        <vt:i4>5</vt:i4>
      </vt:variant>
      <vt:variant>
        <vt:lpwstr>mailto:john.perrett@insolvency.gsi.gov.uk</vt:lpwstr>
      </vt:variant>
      <vt:variant>
        <vt:lpwstr/>
      </vt:variant>
      <vt:variant>
        <vt:i4>6422640</vt:i4>
      </vt:variant>
      <vt:variant>
        <vt:i4>75</vt:i4>
      </vt:variant>
      <vt:variant>
        <vt:i4>0</vt:i4>
      </vt:variant>
      <vt:variant>
        <vt:i4>5</vt:i4>
      </vt:variant>
      <vt:variant>
        <vt:lpwstr>mailto:</vt:lpwstr>
      </vt:variant>
      <vt:variant>
        <vt:lpwstr/>
      </vt:variant>
      <vt:variant>
        <vt:i4>7077954</vt:i4>
      </vt:variant>
      <vt:variant>
        <vt:i4>72</vt:i4>
      </vt:variant>
      <vt:variant>
        <vt:i4>0</vt:i4>
      </vt:variant>
      <vt:variant>
        <vt:i4>5</vt:i4>
      </vt:variant>
      <vt:variant>
        <vt:lpwstr>mailto:rebekah.paul1@insolvency.gsi.gov.uk</vt:lpwstr>
      </vt:variant>
      <vt:variant>
        <vt:lpwstr/>
      </vt:variant>
      <vt:variant>
        <vt:i4>3604607</vt:i4>
      </vt:variant>
      <vt:variant>
        <vt:i4>69</vt:i4>
      </vt:variant>
      <vt:variant>
        <vt:i4>0</vt:i4>
      </vt:variant>
      <vt:variant>
        <vt:i4>5</vt:i4>
      </vt:variant>
      <vt:variant>
        <vt:lpwstr>http://www.ons.gov.uk/ons/taxonomy/index.html?nscl=Population+Estimates</vt:lpwstr>
      </vt:variant>
      <vt:variant>
        <vt:lpwstr/>
      </vt:variant>
      <vt:variant>
        <vt:i4>1900625</vt:i4>
      </vt:variant>
      <vt:variant>
        <vt:i4>66</vt:i4>
      </vt:variant>
      <vt:variant>
        <vt:i4>0</vt:i4>
      </vt:variant>
      <vt:variant>
        <vt:i4>5</vt:i4>
      </vt:variant>
      <vt:variant>
        <vt:lpwstr>http://www.bis.gov.uk/insolvency/insolvency-profession/Policy-changes</vt:lpwstr>
      </vt:variant>
      <vt:variant>
        <vt:lpwstr/>
      </vt:variant>
      <vt:variant>
        <vt:i4>8126590</vt:i4>
      </vt:variant>
      <vt:variant>
        <vt:i4>63</vt:i4>
      </vt:variant>
      <vt:variant>
        <vt:i4>0</vt:i4>
      </vt:variant>
      <vt:variant>
        <vt:i4>5</vt:i4>
      </vt:variant>
      <vt:variant>
        <vt:lpwstr>http://www.detini.gov.uk/deti-insolvency-index.htm</vt:lpwstr>
      </vt:variant>
      <vt:variant>
        <vt:lpwstr/>
      </vt:variant>
      <vt:variant>
        <vt:i4>6488125</vt:i4>
      </vt:variant>
      <vt:variant>
        <vt:i4>60</vt:i4>
      </vt:variant>
      <vt:variant>
        <vt:i4>0</vt:i4>
      </vt:variant>
      <vt:variant>
        <vt:i4>5</vt:i4>
      </vt:variant>
      <vt:variant>
        <vt:lpwstr>http://www.aib.gov.uk/</vt:lpwstr>
      </vt:variant>
      <vt:variant>
        <vt:lpwstr/>
      </vt:variant>
      <vt:variant>
        <vt:i4>7209086</vt:i4>
      </vt:variant>
      <vt:variant>
        <vt:i4>57</vt:i4>
      </vt:variant>
      <vt:variant>
        <vt:i4>0</vt:i4>
      </vt:variant>
      <vt:variant>
        <vt:i4>5</vt:i4>
      </vt:variant>
      <vt:variant>
        <vt:lpwstr>http://www.bis.gov.uk/insolvency/personal-insolvency/income-payments-orders-and-agreements</vt:lpwstr>
      </vt:variant>
      <vt:variant>
        <vt:lpwstr/>
      </vt:variant>
      <vt:variant>
        <vt:i4>7995489</vt:i4>
      </vt:variant>
      <vt:variant>
        <vt:i4>54</vt:i4>
      </vt:variant>
      <vt:variant>
        <vt:i4>0</vt:i4>
      </vt:variant>
      <vt:variant>
        <vt:i4>5</vt:i4>
      </vt:variant>
      <vt:variant>
        <vt:lpwstr>http://www.bis.gov.uk/insolvency/personal-insolvency/bankruptcy-what-is-bankruptcy/what-alternatives-bankruptcy</vt:lpwstr>
      </vt:variant>
      <vt:variant>
        <vt:lpwstr/>
      </vt:variant>
      <vt:variant>
        <vt:i4>7798898</vt:i4>
      </vt:variant>
      <vt:variant>
        <vt:i4>51</vt:i4>
      </vt:variant>
      <vt:variant>
        <vt:i4>0</vt:i4>
      </vt:variant>
      <vt:variant>
        <vt:i4>5</vt:i4>
      </vt:variant>
      <vt:variant>
        <vt:lpwstr>http://www.insolvencydirect.bis.gov.uk/otherinformation/statistics/revisions-policy.pdf</vt:lpwstr>
      </vt:variant>
      <vt:variant>
        <vt:lpwstr/>
      </vt:variant>
      <vt:variant>
        <vt:i4>3145843</vt:i4>
      </vt:variant>
      <vt:variant>
        <vt:i4>48</vt:i4>
      </vt:variant>
      <vt:variant>
        <vt:i4>0</vt:i4>
      </vt:variant>
      <vt:variant>
        <vt:i4>5</vt:i4>
      </vt:variant>
      <vt:variant>
        <vt:lpwstr>http://www.insolvencydirect.bis.gov.uk/otherinformation/statistics/methodology.pdf</vt:lpwstr>
      </vt:variant>
      <vt:variant>
        <vt:lpwstr/>
      </vt:variant>
      <vt:variant>
        <vt:i4>6094863</vt:i4>
      </vt:variant>
      <vt:variant>
        <vt:i4>45</vt:i4>
      </vt:variant>
      <vt:variant>
        <vt:i4>0</vt:i4>
      </vt:variant>
      <vt:variant>
        <vt:i4>5</vt:i4>
      </vt:variant>
      <vt:variant>
        <vt:lpwstr>http://www.insolvencydirect.bis.gov.uk/otherinformation/statistics/insolvency-stats-info.htm</vt:lpwstr>
      </vt:variant>
      <vt:variant>
        <vt:lpwstr/>
      </vt:variant>
      <vt:variant>
        <vt:i4>8061055</vt:i4>
      </vt:variant>
      <vt:variant>
        <vt:i4>42</vt:i4>
      </vt:variant>
      <vt:variant>
        <vt:i4>0</vt:i4>
      </vt:variant>
      <vt:variant>
        <vt:i4>5</vt:i4>
      </vt:variant>
      <vt:variant>
        <vt:lpwstr>http://www.insolvencydirect.bis.gov.uk/otherinformation/statistics/statistics-consultation.htm</vt:lpwstr>
      </vt:variant>
      <vt:variant>
        <vt:lpwstr/>
      </vt:variant>
      <vt:variant>
        <vt:i4>4128892</vt:i4>
      </vt:variant>
      <vt:variant>
        <vt:i4>39</vt:i4>
      </vt:variant>
      <vt:variant>
        <vt:i4>0</vt:i4>
      </vt:variant>
      <vt:variant>
        <vt:i4>5</vt:i4>
      </vt:variant>
      <vt:variant>
        <vt:lpwstr>http://www.insolvencydirect.bis.gov.uk/otherinformation/statistics/quality.pdf</vt:lpwstr>
      </vt:variant>
      <vt:variant>
        <vt:lpwstr/>
      </vt:variant>
      <vt:variant>
        <vt:i4>458781</vt:i4>
      </vt:variant>
      <vt:variant>
        <vt:i4>36</vt:i4>
      </vt:variant>
      <vt:variant>
        <vt:i4>0</vt:i4>
      </vt:variant>
      <vt:variant>
        <vt:i4>5</vt:i4>
      </vt:variant>
      <vt:variant>
        <vt:lpwstr>http://www.insolvencydirect.bis.gov.uk/otherinformation/statistics/InsS-administrative-sources-final.pdf</vt:lpwstr>
      </vt:variant>
      <vt:variant>
        <vt:lpwstr/>
      </vt:variant>
      <vt:variant>
        <vt:i4>8257658</vt:i4>
      </vt:variant>
      <vt:variant>
        <vt:i4>33</vt:i4>
      </vt:variant>
      <vt:variant>
        <vt:i4>0</vt:i4>
      </vt:variant>
      <vt:variant>
        <vt:i4>5</vt:i4>
      </vt:variant>
      <vt:variant>
        <vt:lpwstr>http://www.aib.gov.uk/scottish-insolvency-statistics-2013-14-quarter-3</vt:lpwstr>
      </vt:variant>
      <vt:variant>
        <vt:lpwstr/>
      </vt:variant>
      <vt:variant>
        <vt:i4>7077954</vt:i4>
      </vt:variant>
      <vt:variant>
        <vt:i4>30</vt:i4>
      </vt:variant>
      <vt:variant>
        <vt:i4>0</vt:i4>
      </vt:variant>
      <vt:variant>
        <vt:i4>5</vt:i4>
      </vt:variant>
      <vt:variant>
        <vt:lpwstr>mailto:rebekah.paul1@insolvency.gsi.gov.uk</vt:lpwstr>
      </vt:variant>
      <vt:variant>
        <vt:lpwstr/>
      </vt:variant>
      <vt:variant>
        <vt:i4>7798846</vt:i4>
      </vt:variant>
      <vt:variant>
        <vt:i4>27</vt:i4>
      </vt:variant>
      <vt:variant>
        <vt:i4>0</vt:i4>
      </vt:variant>
      <vt:variant>
        <vt:i4>5</vt:i4>
      </vt:variant>
      <vt:variant>
        <vt:lpwstr>http://www.statisticsauthority.gov.uk/assessment/code-of-practice/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ins/com</dc:title>
  <dc:creator>MARTIN.KENCHATT</dc:creator>
  <cp:lastModifiedBy>John.Perrett</cp:lastModifiedBy>
  <cp:revision>183</cp:revision>
  <cp:lastPrinted>2014-07-24T07:15:00Z</cp:lastPrinted>
  <dcterms:created xsi:type="dcterms:W3CDTF">2014-06-17T10:50:00Z</dcterms:created>
  <dcterms:modified xsi:type="dcterms:W3CDTF">2014-07-24T09:44:00Z</dcterms:modified>
</cp:coreProperties>
</file>