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38" w:rsidRPr="00501F1F" w:rsidRDefault="00B80138" w:rsidP="00B80138">
      <w:pPr>
        <w:pStyle w:val="Header"/>
      </w:pPr>
      <w:r w:rsidRPr="00501F1F">
        <w:rPr>
          <w:noProof/>
          <w:lang w:val="nl-NL" w:eastAsia="nl-NL"/>
        </w:rPr>
        <w:drawing>
          <wp:inline distT="0" distB="0" distL="0" distR="0">
            <wp:extent cx="2220595" cy="979805"/>
            <wp:effectExtent l="0" t="0" r="8255" b="0"/>
            <wp:docPr id="2" name="Picture 2"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595" cy="979805"/>
                    </a:xfrm>
                    <a:prstGeom prst="rect">
                      <a:avLst/>
                    </a:prstGeom>
                    <a:noFill/>
                    <a:ln>
                      <a:noFill/>
                    </a:ln>
                  </pic:spPr>
                </pic:pic>
              </a:graphicData>
            </a:graphic>
          </wp:inline>
        </w:drawing>
      </w:r>
      <w:r w:rsidRPr="00501F1F">
        <w:tab/>
      </w:r>
      <w:r w:rsidRPr="00501F1F">
        <w:tab/>
        <w:t xml:space="preserve">                   </w:t>
      </w:r>
      <w:r w:rsidRPr="00501F1F">
        <w:rPr>
          <w:noProof/>
          <w:lang w:val="nl-NL" w:eastAsia="nl-NL"/>
        </w:rPr>
        <w:drawing>
          <wp:inline distT="0" distB="0" distL="0" distR="0">
            <wp:extent cx="2724785" cy="914400"/>
            <wp:effectExtent l="0" t="0" r="0" b="0"/>
            <wp:docPr id="1" name="Picture 1" descr="HRL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C Logo Blu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785" cy="914400"/>
                    </a:xfrm>
                    <a:prstGeom prst="rect">
                      <a:avLst/>
                    </a:prstGeom>
                    <a:noFill/>
                    <a:ln>
                      <a:noFill/>
                    </a:ln>
                  </pic:spPr>
                </pic:pic>
              </a:graphicData>
            </a:graphic>
          </wp:inline>
        </w:drawing>
      </w:r>
    </w:p>
    <w:p w:rsidR="00B80138" w:rsidRPr="00501F1F" w:rsidRDefault="00B80138" w:rsidP="00B80138">
      <w:pPr>
        <w:jc w:val="center"/>
        <w:outlineLvl w:val="0"/>
        <w:rPr>
          <w:rFonts w:ascii="Times New Roman" w:hAnsi="Times New Roman"/>
          <w:b/>
          <w:sz w:val="28"/>
          <w:szCs w:val="28"/>
        </w:rPr>
      </w:pPr>
    </w:p>
    <w:p w:rsidR="00B80138" w:rsidRPr="00501F1F" w:rsidRDefault="00B80138" w:rsidP="00B80138">
      <w:pPr>
        <w:jc w:val="center"/>
        <w:outlineLvl w:val="0"/>
        <w:rPr>
          <w:rFonts w:ascii="Times New Roman" w:hAnsi="Times New Roman"/>
          <w:b/>
          <w:sz w:val="28"/>
          <w:szCs w:val="28"/>
        </w:rPr>
      </w:pPr>
    </w:p>
    <w:p w:rsidR="00B80138" w:rsidRPr="00501F1F" w:rsidRDefault="00B80138" w:rsidP="00B80138">
      <w:pPr>
        <w:jc w:val="center"/>
        <w:outlineLvl w:val="0"/>
        <w:rPr>
          <w:rFonts w:ascii="Times New Roman" w:hAnsi="Times New Roman"/>
          <w:b/>
          <w:sz w:val="28"/>
          <w:szCs w:val="28"/>
        </w:rPr>
      </w:pPr>
    </w:p>
    <w:p w:rsidR="00B80138" w:rsidRPr="00501F1F" w:rsidRDefault="00B80138" w:rsidP="00B80138">
      <w:pPr>
        <w:jc w:val="center"/>
        <w:outlineLvl w:val="0"/>
        <w:rPr>
          <w:rFonts w:ascii="Times New Roman" w:hAnsi="Times New Roman"/>
          <w:b/>
          <w:sz w:val="52"/>
          <w:szCs w:val="28"/>
        </w:rPr>
      </w:pPr>
    </w:p>
    <w:p w:rsidR="00B80138" w:rsidRPr="00501F1F" w:rsidRDefault="00B80138" w:rsidP="00B80138">
      <w:pPr>
        <w:jc w:val="center"/>
        <w:outlineLvl w:val="0"/>
        <w:rPr>
          <w:rFonts w:ascii="Times New Roman" w:hAnsi="Times New Roman"/>
          <w:b/>
          <w:sz w:val="52"/>
          <w:szCs w:val="28"/>
        </w:rPr>
      </w:pPr>
    </w:p>
    <w:p w:rsidR="00B80138" w:rsidRPr="00501F1F" w:rsidRDefault="00B80138" w:rsidP="00B80138">
      <w:pPr>
        <w:jc w:val="center"/>
        <w:outlineLvl w:val="0"/>
        <w:rPr>
          <w:rFonts w:ascii="Times New Roman" w:hAnsi="Times New Roman"/>
          <w:b/>
          <w:sz w:val="52"/>
          <w:szCs w:val="28"/>
        </w:rPr>
      </w:pPr>
    </w:p>
    <w:p w:rsidR="00B80138" w:rsidRPr="00501F1F" w:rsidRDefault="00B80138" w:rsidP="00B80138">
      <w:pPr>
        <w:jc w:val="center"/>
        <w:outlineLvl w:val="0"/>
        <w:rPr>
          <w:rFonts w:ascii="Times New Roman" w:hAnsi="Times New Roman"/>
          <w:b/>
          <w:sz w:val="52"/>
          <w:szCs w:val="28"/>
        </w:rPr>
      </w:pPr>
    </w:p>
    <w:p w:rsidR="00B80138" w:rsidRPr="00501F1F" w:rsidRDefault="00B80138" w:rsidP="00B80138">
      <w:pPr>
        <w:jc w:val="center"/>
        <w:outlineLvl w:val="0"/>
        <w:rPr>
          <w:rFonts w:ascii="Times New Roman" w:hAnsi="Times New Roman"/>
          <w:b/>
          <w:sz w:val="52"/>
          <w:szCs w:val="28"/>
        </w:rPr>
      </w:pPr>
    </w:p>
    <w:p w:rsidR="00B80138" w:rsidRPr="004409DF" w:rsidRDefault="00B80138" w:rsidP="00B80138">
      <w:pPr>
        <w:jc w:val="center"/>
        <w:outlineLvl w:val="0"/>
        <w:rPr>
          <w:rFonts w:ascii="Times New Roman" w:hAnsi="Times New Roman"/>
          <w:b/>
          <w:sz w:val="56"/>
          <w:szCs w:val="28"/>
        </w:rPr>
      </w:pPr>
      <w:r w:rsidRPr="004409DF">
        <w:rPr>
          <w:rFonts w:ascii="Times New Roman" w:hAnsi="Times New Roman"/>
          <w:b/>
          <w:sz w:val="56"/>
          <w:szCs w:val="28"/>
        </w:rPr>
        <w:t>FCO Seminar on ICC Procedures</w:t>
      </w:r>
    </w:p>
    <w:p w:rsidR="00B80138" w:rsidRPr="004409DF" w:rsidRDefault="00B80138" w:rsidP="00B80138">
      <w:pPr>
        <w:jc w:val="center"/>
        <w:outlineLvl w:val="0"/>
        <w:rPr>
          <w:rFonts w:ascii="Times New Roman" w:hAnsi="Times New Roman"/>
          <w:b/>
          <w:sz w:val="48"/>
          <w:szCs w:val="28"/>
        </w:rPr>
      </w:pPr>
      <w:r w:rsidRPr="004409DF">
        <w:rPr>
          <w:rFonts w:ascii="Times New Roman" w:hAnsi="Times New Roman"/>
          <w:b/>
          <w:sz w:val="48"/>
          <w:szCs w:val="28"/>
        </w:rPr>
        <w:t xml:space="preserve">Executive Summary </w:t>
      </w:r>
    </w:p>
    <w:p w:rsidR="00B80138" w:rsidRPr="004409DF" w:rsidRDefault="00B80138" w:rsidP="00B80138">
      <w:pPr>
        <w:jc w:val="center"/>
        <w:outlineLvl w:val="0"/>
        <w:rPr>
          <w:rFonts w:ascii="Times New Roman" w:hAnsi="Times New Roman"/>
          <w:b/>
          <w:sz w:val="48"/>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r w:rsidRPr="00501F1F">
        <w:rPr>
          <w:rFonts w:cstheme="minorHAnsi"/>
          <w:b/>
          <w:noProof/>
          <w:lang w:val="nl-NL" w:eastAsia="nl-NL"/>
        </w:rPr>
        <w:drawing>
          <wp:inline distT="0" distB="0" distL="0" distR="0">
            <wp:extent cx="1705574" cy="1224000"/>
            <wp:effectExtent l="0" t="0" r="9525" b="0"/>
            <wp:docPr id="3" name="Picture 2" descr="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f"/>
                    <pic:cNvPicPr/>
                  </pic:nvPicPr>
                  <pic:blipFill>
                    <a:blip r:embed="rId10" cstate="print">
                      <a:grayscl/>
                    </a:blip>
                    <a:stretch>
                      <a:fillRect/>
                    </a:stretch>
                  </pic:blipFill>
                  <pic:spPr>
                    <a:xfrm>
                      <a:off x="0" y="0"/>
                      <a:ext cx="1705574" cy="1224000"/>
                    </a:xfrm>
                    <a:prstGeom prst="rect">
                      <a:avLst/>
                    </a:prstGeom>
                  </pic:spPr>
                </pic:pic>
              </a:graphicData>
            </a:graphic>
          </wp:inline>
        </w:drawing>
      </w:r>
    </w:p>
    <w:p w:rsidR="00B80138" w:rsidRPr="00501F1F" w:rsidRDefault="00B80138" w:rsidP="00B80138">
      <w:pPr>
        <w:outlineLvl w:val="0"/>
        <w:rPr>
          <w:rFonts w:ascii="Times New Roman" w:hAnsi="Times New Roman"/>
          <w:b/>
          <w:sz w:val="22"/>
          <w:szCs w:val="28"/>
        </w:rPr>
      </w:pPr>
    </w:p>
    <w:p w:rsidR="00B80138" w:rsidRPr="00501F1F" w:rsidRDefault="00B80138" w:rsidP="00B80138">
      <w:pPr>
        <w:jc w:val="center"/>
        <w:outlineLvl w:val="0"/>
        <w:rPr>
          <w:rFonts w:ascii="Times New Roman" w:hAnsi="Times New Roman"/>
          <w:b/>
          <w:sz w:val="22"/>
          <w:szCs w:val="28"/>
        </w:rPr>
      </w:pPr>
    </w:p>
    <w:p w:rsidR="00B80138" w:rsidRPr="00501F1F" w:rsidRDefault="00B80138" w:rsidP="00B80138">
      <w:pPr>
        <w:outlineLvl w:val="0"/>
        <w:rPr>
          <w:rFonts w:ascii="Times New Roman" w:hAnsi="Times New Roman"/>
          <w:b/>
          <w:sz w:val="22"/>
          <w:szCs w:val="28"/>
        </w:rPr>
      </w:pPr>
      <w:r w:rsidRPr="00501F1F">
        <w:rPr>
          <w:rFonts w:ascii="Times New Roman" w:hAnsi="Times New Roman"/>
          <w:b/>
          <w:sz w:val="22"/>
          <w:szCs w:val="28"/>
        </w:rPr>
        <w:t xml:space="preserve">Compiled by International Criminal Justice Unit, </w:t>
      </w:r>
    </w:p>
    <w:p w:rsidR="00B80138" w:rsidRPr="00501F1F" w:rsidRDefault="00B80138" w:rsidP="00B80138">
      <w:pPr>
        <w:outlineLvl w:val="0"/>
        <w:rPr>
          <w:rFonts w:ascii="Times New Roman" w:hAnsi="Times New Roman"/>
          <w:b/>
          <w:sz w:val="22"/>
          <w:szCs w:val="28"/>
        </w:rPr>
      </w:pPr>
      <w:r w:rsidRPr="00501F1F">
        <w:rPr>
          <w:rFonts w:ascii="Times New Roman" w:hAnsi="Times New Roman"/>
          <w:b/>
          <w:sz w:val="22"/>
          <w:szCs w:val="28"/>
        </w:rPr>
        <w:t xml:space="preserve">Human Rights Law Centre, University of Nottingham </w:t>
      </w:r>
    </w:p>
    <w:p w:rsidR="00B80138" w:rsidRDefault="00B80138" w:rsidP="00B80138">
      <w:pPr>
        <w:outlineLvl w:val="0"/>
        <w:rPr>
          <w:rFonts w:ascii="Times New Roman" w:hAnsi="Times New Roman"/>
          <w:b/>
          <w:sz w:val="22"/>
          <w:szCs w:val="28"/>
        </w:rPr>
      </w:pPr>
      <w:r w:rsidRPr="00501F1F">
        <w:rPr>
          <w:rFonts w:ascii="Times New Roman" w:hAnsi="Times New Roman"/>
          <w:b/>
          <w:sz w:val="22"/>
          <w:szCs w:val="28"/>
        </w:rPr>
        <w:t>On behalf of the United Kingdom Foreign and Commonwealth Office</w:t>
      </w:r>
      <w:r w:rsidR="00D11FE4">
        <w:rPr>
          <w:rFonts w:ascii="Times New Roman" w:hAnsi="Times New Roman"/>
          <w:b/>
          <w:sz w:val="22"/>
          <w:szCs w:val="28"/>
        </w:rPr>
        <w:t>.</w:t>
      </w:r>
    </w:p>
    <w:p w:rsidR="00AF5C99" w:rsidRDefault="00AF5C99" w:rsidP="00853BA2">
      <w:pPr>
        <w:outlineLvl w:val="0"/>
        <w:rPr>
          <w:rFonts w:ascii="Times New Roman" w:hAnsi="Times New Roman"/>
          <w:b/>
          <w:sz w:val="22"/>
          <w:szCs w:val="28"/>
        </w:rPr>
      </w:pPr>
    </w:p>
    <w:p w:rsidR="00B80138" w:rsidRPr="00501F1F" w:rsidRDefault="00D11FE4" w:rsidP="00853BA2">
      <w:pPr>
        <w:outlineLvl w:val="0"/>
        <w:rPr>
          <w:rFonts w:ascii="Times New Roman" w:hAnsi="Times New Roman"/>
          <w:b/>
          <w:sz w:val="28"/>
          <w:szCs w:val="28"/>
        </w:rPr>
        <w:sectPr w:rsidR="00B80138" w:rsidRPr="00501F1F" w:rsidSect="00B8013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pgNumType w:start="1"/>
          <w:cols w:space="708"/>
          <w:docGrid w:linePitch="360"/>
        </w:sectPr>
      </w:pPr>
      <w:r>
        <w:rPr>
          <w:rFonts w:ascii="Times New Roman" w:hAnsi="Times New Roman"/>
          <w:b/>
          <w:sz w:val="22"/>
          <w:szCs w:val="28"/>
        </w:rPr>
        <w:t xml:space="preserve">Any questions or comments, please contact Shehzad Charania, Assistant Legal Adviser at the Foreign and Commonwealth Office, on </w:t>
      </w:r>
      <w:hyperlink r:id="rId17" w:history="1">
        <w:r w:rsidR="00AF5C99" w:rsidRPr="00874636">
          <w:rPr>
            <w:rStyle w:val="Hyperlink"/>
            <w:rFonts w:ascii="Times New Roman" w:hAnsi="Times New Roman"/>
            <w:b/>
            <w:sz w:val="22"/>
            <w:szCs w:val="28"/>
          </w:rPr>
          <w:t>shehzad.charania@fco.gov.uk</w:t>
        </w:r>
      </w:hyperlink>
      <w:r w:rsidR="00AF5C99">
        <w:rPr>
          <w:rFonts w:ascii="Times New Roman" w:hAnsi="Times New Roman"/>
          <w:b/>
          <w:sz w:val="22"/>
          <w:szCs w:val="28"/>
        </w:rPr>
        <w:t xml:space="preserve"> </w:t>
      </w:r>
      <w:r w:rsidR="00B80138" w:rsidRPr="00501F1F">
        <w:rPr>
          <w:rFonts w:ascii="Times New Roman" w:hAnsi="Times New Roman"/>
          <w:b/>
          <w:sz w:val="28"/>
          <w:szCs w:val="28"/>
        </w:rPr>
        <w:br w:type="page"/>
      </w:r>
    </w:p>
    <w:p w:rsidR="00154DA8" w:rsidRPr="00501F1F" w:rsidRDefault="00154DA8" w:rsidP="00B80138">
      <w:pPr>
        <w:rPr>
          <w:rFonts w:ascii="Times New Roman" w:hAnsi="Times New Roman"/>
          <w:b/>
          <w:sz w:val="28"/>
          <w:szCs w:val="28"/>
        </w:rPr>
      </w:pPr>
      <w:r w:rsidRPr="00501F1F">
        <w:rPr>
          <w:rFonts w:ascii="Times New Roman" w:hAnsi="Times New Roman"/>
          <w:b/>
          <w:sz w:val="28"/>
          <w:szCs w:val="28"/>
        </w:rPr>
        <w:lastRenderedPageBreak/>
        <w:t xml:space="preserve">Background </w:t>
      </w:r>
    </w:p>
    <w:p w:rsidR="00154DA8" w:rsidRPr="00501F1F" w:rsidRDefault="00154DA8" w:rsidP="005A0415">
      <w:pPr>
        <w:jc w:val="both"/>
        <w:rPr>
          <w:rFonts w:ascii="Times New Roman" w:hAnsi="Times New Roman"/>
          <w:sz w:val="28"/>
          <w:szCs w:val="28"/>
        </w:rPr>
      </w:pPr>
    </w:p>
    <w:p w:rsidR="00A9586B" w:rsidRDefault="00154DA8" w:rsidP="005A0415">
      <w:pPr>
        <w:jc w:val="both"/>
        <w:rPr>
          <w:rFonts w:ascii="Times New Roman" w:hAnsi="Times New Roman"/>
        </w:rPr>
      </w:pPr>
      <w:r w:rsidRPr="00501F1F">
        <w:rPr>
          <w:rFonts w:ascii="Times New Roman" w:hAnsi="Times New Roman"/>
        </w:rPr>
        <w:t xml:space="preserve">On Friday 26 October 2012, the United Kingdom Foreign and Commonwealth Office (FCO) convened a seminar on the procedures of the International Criminal Court (ICC). </w:t>
      </w:r>
      <w:r w:rsidR="00A9586B">
        <w:rPr>
          <w:rFonts w:ascii="Times New Roman" w:hAnsi="Times New Roman"/>
        </w:rPr>
        <w:t>The seminar was chaired by Sir Adrian Fulford, former ICC Judge (2003-2012).</w:t>
      </w:r>
    </w:p>
    <w:p w:rsidR="00A9586B" w:rsidRDefault="00A9586B" w:rsidP="005A0415">
      <w:pPr>
        <w:jc w:val="both"/>
        <w:rPr>
          <w:rFonts w:ascii="Times New Roman" w:hAnsi="Times New Roman"/>
        </w:rPr>
      </w:pPr>
    </w:p>
    <w:p w:rsidR="00154DA8" w:rsidRPr="00501F1F" w:rsidRDefault="00154DA8" w:rsidP="005A0415">
      <w:pPr>
        <w:jc w:val="both"/>
        <w:rPr>
          <w:rFonts w:ascii="Times New Roman" w:hAnsi="Times New Roman"/>
        </w:rPr>
      </w:pPr>
      <w:r w:rsidRPr="00501F1F">
        <w:rPr>
          <w:rFonts w:ascii="Times New Roman" w:hAnsi="Times New Roman"/>
        </w:rPr>
        <w:t xml:space="preserve">The seminar </w:t>
      </w:r>
      <w:r w:rsidR="00467D1B" w:rsidRPr="00501F1F">
        <w:rPr>
          <w:rFonts w:ascii="Times New Roman" w:hAnsi="Times New Roman"/>
        </w:rPr>
        <w:t xml:space="preserve">focused on the necessity </w:t>
      </w:r>
      <w:r w:rsidR="00C70310" w:rsidRPr="00501F1F">
        <w:rPr>
          <w:rFonts w:ascii="Times New Roman" w:hAnsi="Times New Roman"/>
        </w:rPr>
        <w:t xml:space="preserve">of </w:t>
      </w:r>
      <w:r w:rsidR="00467D1B" w:rsidRPr="00501F1F">
        <w:rPr>
          <w:rFonts w:ascii="Times New Roman" w:hAnsi="Times New Roman"/>
        </w:rPr>
        <w:t>reconsider</w:t>
      </w:r>
      <w:r w:rsidR="00C70310" w:rsidRPr="00501F1F">
        <w:rPr>
          <w:rFonts w:ascii="Times New Roman" w:hAnsi="Times New Roman"/>
        </w:rPr>
        <w:t>ing</w:t>
      </w:r>
      <w:r w:rsidRPr="00501F1F">
        <w:rPr>
          <w:rFonts w:ascii="Times New Roman" w:hAnsi="Times New Roman"/>
        </w:rPr>
        <w:t xml:space="preserve"> ICC procedures </w:t>
      </w:r>
      <w:r w:rsidR="00A84EEE" w:rsidRPr="00501F1F">
        <w:rPr>
          <w:rFonts w:ascii="Times New Roman" w:hAnsi="Times New Roman"/>
        </w:rPr>
        <w:t xml:space="preserve">with a view to maximising efficiency whilst adhering to the </w:t>
      </w:r>
      <w:r w:rsidRPr="00501F1F">
        <w:rPr>
          <w:rFonts w:ascii="Times New Roman" w:hAnsi="Times New Roman"/>
        </w:rPr>
        <w:t xml:space="preserve">fundamental criterion of fair trial </w:t>
      </w:r>
      <w:r w:rsidR="00605A74" w:rsidRPr="00501F1F">
        <w:rPr>
          <w:rFonts w:ascii="Times New Roman" w:hAnsi="Times New Roman"/>
        </w:rPr>
        <w:t>as well as</w:t>
      </w:r>
      <w:r w:rsidR="00A84EEE" w:rsidRPr="00501F1F">
        <w:rPr>
          <w:rFonts w:ascii="Times New Roman" w:hAnsi="Times New Roman"/>
        </w:rPr>
        <w:t xml:space="preserve"> recognising</w:t>
      </w:r>
      <w:r w:rsidRPr="00501F1F">
        <w:rPr>
          <w:rFonts w:ascii="Times New Roman" w:hAnsi="Times New Roman"/>
        </w:rPr>
        <w:t xml:space="preserve"> the importance of understanding the procedural issues faced by the ICC.  </w:t>
      </w:r>
    </w:p>
    <w:p w:rsidR="00154DA8" w:rsidRPr="00501F1F" w:rsidRDefault="00154DA8" w:rsidP="005A0415">
      <w:pPr>
        <w:jc w:val="both"/>
        <w:rPr>
          <w:rFonts w:ascii="Times New Roman" w:hAnsi="Times New Roman"/>
        </w:rPr>
      </w:pPr>
    </w:p>
    <w:p w:rsidR="00154DA8" w:rsidRPr="00501F1F" w:rsidRDefault="00154DA8" w:rsidP="00DA677A">
      <w:pPr>
        <w:jc w:val="both"/>
        <w:rPr>
          <w:rFonts w:ascii="Times New Roman" w:hAnsi="Times New Roman"/>
        </w:rPr>
      </w:pPr>
      <w:r w:rsidRPr="00501F1F">
        <w:rPr>
          <w:rFonts w:ascii="Times New Roman" w:hAnsi="Times New Roman"/>
        </w:rPr>
        <w:t xml:space="preserve">The seminar was attended by representatives from academia, the ICC and other </w:t>
      </w:r>
      <w:r w:rsidRPr="00501F1F">
        <w:rPr>
          <w:rFonts w:ascii="Times New Roman" w:hAnsi="Times New Roman"/>
          <w:i/>
        </w:rPr>
        <w:t xml:space="preserve">ad hoc </w:t>
      </w:r>
      <w:r w:rsidRPr="00501F1F">
        <w:rPr>
          <w:rFonts w:ascii="Times New Roman" w:hAnsi="Times New Roman"/>
        </w:rPr>
        <w:t xml:space="preserve">international criminal tribunals. The significance of facilitating discussion among </w:t>
      </w:r>
      <w:r w:rsidR="00501F1F">
        <w:rPr>
          <w:rFonts w:ascii="Times New Roman" w:hAnsi="Times New Roman"/>
        </w:rPr>
        <w:t>the</w:t>
      </w:r>
      <w:r w:rsidRPr="00501F1F">
        <w:rPr>
          <w:rFonts w:ascii="Times New Roman" w:hAnsi="Times New Roman"/>
        </w:rPr>
        <w:t xml:space="preserve"> representatives will be important when setting out proposals and recommendations for moving forward. </w:t>
      </w:r>
      <w:r w:rsidR="00501F1F">
        <w:rPr>
          <w:rFonts w:ascii="Times New Roman" w:hAnsi="Times New Roman"/>
        </w:rPr>
        <w:t>The</w:t>
      </w:r>
      <w:r w:rsidRPr="00501F1F">
        <w:rPr>
          <w:rFonts w:ascii="Times New Roman" w:hAnsi="Times New Roman"/>
        </w:rPr>
        <w:t xml:space="preserve"> recommendations will </w:t>
      </w:r>
      <w:r w:rsidR="00C70310" w:rsidRPr="00501F1F">
        <w:rPr>
          <w:rFonts w:ascii="Times New Roman" w:hAnsi="Times New Roman"/>
        </w:rPr>
        <w:t xml:space="preserve">improve current inefficiencies such as the length of proceedings and will be </w:t>
      </w:r>
      <w:r w:rsidRPr="00501F1F">
        <w:rPr>
          <w:rFonts w:ascii="Times New Roman" w:hAnsi="Times New Roman"/>
        </w:rPr>
        <w:t xml:space="preserve">vital to the ICC’s future </w:t>
      </w:r>
      <w:r w:rsidR="00C70310" w:rsidRPr="00501F1F">
        <w:rPr>
          <w:rFonts w:ascii="Times New Roman" w:hAnsi="Times New Roman"/>
        </w:rPr>
        <w:t>reputation and standing within the international community.</w:t>
      </w:r>
      <w:r w:rsidRPr="00501F1F">
        <w:rPr>
          <w:rFonts w:ascii="Times New Roman" w:hAnsi="Times New Roman"/>
        </w:rPr>
        <w:t xml:space="preserve"> </w:t>
      </w:r>
    </w:p>
    <w:p w:rsidR="009D6EA5" w:rsidRPr="00501F1F" w:rsidRDefault="009D6EA5" w:rsidP="00605A74">
      <w:pPr>
        <w:jc w:val="both"/>
        <w:outlineLvl w:val="0"/>
        <w:rPr>
          <w:rFonts w:ascii="Times New Roman" w:hAnsi="Times New Roman"/>
          <w:b/>
        </w:rPr>
      </w:pPr>
    </w:p>
    <w:p w:rsidR="00154DA8" w:rsidRPr="00501F1F" w:rsidRDefault="00154DA8" w:rsidP="00605A74">
      <w:pPr>
        <w:jc w:val="both"/>
        <w:outlineLvl w:val="0"/>
        <w:rPr>
          <w:rFonts w:ascii="Times New Roman" w:hAnsi="Times New Roman"/>
          <w:b/>
        </w:rPr>
      </w:pPr>
      <w:r w:rsidRPr="00501F1F">
        <w:rPr>
          <w:rFonts w:ascii="Times New Roman" w:hAnsi="Times New Roman"/>
          <w:b/>
        </w:rPr>
        <w:t xml:space="preserve">Summary of Discussions </w:t>
      </w:r>
    </w:p>
    <w:p w:rsidR="00154DA8" w:rsidRPr="00501F1F" w:rsidRDefault="00154DA8" w:rsidP="00DA677A">
      <w:pPr>
        <w:jc w:val="both"/>
        <w:rPr>
          <w:rFonts w:ascii="Times New Roman" w:hAnsi="Times New Roman"/>
        </w:rPr>
      </w:pPr>
    </w:p>
    <w:p w:rsidR="00154DA8" w:rsidRPr="00501F1F" w:rsidRDefault="00154DA8" w:rsidP="00605A74">
      <w:pPr>
        <w:jc w:val="both"/>
        <w:outlineLvl w:val="0"/>
        <w:rPr>
          <w:rFonts w:ascii="Times New Roman" w:hAnsi="Times New Roman"/>
          <w:b/>
          <w:i/>
        </w:rPr>
      </w:pPr>
      <w:r w:rsidRPr="00501F1F">
        <w:rPr>
          <w:rFonts w:ascii="Times New Roman" w:hAnsi="Times New Roman"/>
          <w:b/>
        </w:rPr>
        <w:t>1.1 Paper 1 –</w:t>
      </w:r>
      <w:r w:rsidRPr="00501F1F">
        <w:rPr>
          <w:rFonts w:ascii="Times New Roman" w:hAnsi="Times New Roman"/>
          <w:b/>
          <w:i/>
        </w:rPr>
        <w:t>Towards a more effective and efficient International Criminal Court: improvements t</w:t>
      </w:r>
      <w:r w:rsidR="00233A26" w:rsidRPr="00501F1F">
        <w:rPr>
          <w:rFonts w:ascii="Times New Roman" w:hAnsi="Times New Roman"/>
          <w:b/>
        </w:rPr>
        <w:t>o</w:t>
      </w:r>
      <w:r w:rsidRPr="00501F1F">
        <w:rPr>
          <w:rFonts w:ascii="Times New Roman" w:hAnsi="Times New Roman"/>
          <w:b/>
          <w:i/>
        </w:rPr>
        <w:t xml:space="preserve"> legal procedures </w:t>
      </w:r>
    </w:p>
    <w:p w:rsidR="00154DA8" w:rsidRPr="00501F1F" w:rsidRDefault="00154DA8" w:rsidP="005A0415">
      <w:pPr>
        <w:jc w:val="both"/>
        <w:rPr>
          <w:rFonts w:ascii="Times New Roman" w:hAnsi="Times New Roman"/>
        </w:rPr>
      </w:pPr>
    </w:p>
    <w:p w:rsidR="00154DA8" w:rsidRPr="00501F1F" w:rsidRDefault="00C70310" w:rsidP="005A0415">
      <w:pPr>
        <w:jc w:val="both"/>
        <w:rPr>
          <w:rFonts w:ascii="Times New Roman" w:hAnsi="Times New Roman"/>
        </w:rPr>
      </w:pPr>
      <w:r w:rsidRPr="00501F1F">
        <w:rPr>
          <w:rFonts w:ascii="Times New Roman" w:hAnsi="Times New Roman"/>
        </w:rPr>
        <w:t xml:space="preserve">The first paper </w:t>
      </w:r>
      <w:r w:rsidR="006C1E59" w:rsidRPr="00501F1F">
        <w:rPr>
          <w:rFonts w:ascii="Times New Roman" w:hAnsi="Times New Roman"/>
        </w:rPr>
        <w:t>noted that</w:t>
      </w:r>
      <w:r w:rsidRPr="00501F1F">
        <w:rPr>
          <w:rFonts w:ascii="Times New Roman" w:hAnsi="Times New Roman"/>
        </w:rPr>
        <w:t xml:space="preserve"> the</w:t>
      </w:r>
      <w:r w:rsidR="00D01D5A" w:rsidRPr="00501F1F">
        <w:rPr>
          <w:rFonts w:ascii="Times New Roman" w:hAnsi="Times New Roman"/>
        </w:rPr>
        <w:t xml:space="preserve"> </w:t>
      </w:r>
      <w:r w:rsidR="00154DA8" w:rsidRPr="00501F1F">
        <w:rPr>
          <w:rFonts w:ascii="Times New Roman" w:hAnsi="Times New Roman"/>
        </w:rPr>
        <w:t>existing</w:t>
      </w:r>
      <w:r w:rsidR="00604777" w:rsidRPr="00501F1F">
        <w:rPr>
          <w:rFonts w:ascii="Times New Roman" w:hAnsi="Times New Roman"/>
        </w:rPr>
        <w:t xml:space="preserve"> </w:t>
      </w:r>
      <w:r w:rsidR="006C1E59" w:rsidRPr="00501F1F">
        <w:rPr>
          <w:rFonts w:ascii="Times New Roman" w:hAnsi="Times New Roman"/>
        </w:rPr>
        <w:t xml:space="preserve">procedural </w:t>
      </w:r>
      <w:r w:rsidR="00154DA8" w:rsidRPr="00501F1F">
        <w:rPr>
          <w:rFonts w:ascii="Times New Roman" w:hAnsi="Times New Roman"/>
        </w:rPr>
        <w:t>model upon which the ICC is founded</w:t>
      </w:r>
      <w:r w:rsidRPr="00501F1F">
        <w:rPr>
          <w:rFonts w:ascii="Times New Roman" w:hAnsi="Times New Roman"/>
        </w:rPr>
        <w:t xml:space="preserve"> requires </w:t>
      </w:r>
      <w:r w:rsidR="00CB395C" w:rsidRPr="00501F1F">
        <w:rPr>
          <w:rFonts w:ascii="Times New Roman" w:hAnsi="Times New Roman"/>
        </w:rPr>
        <w:t>review</w:t>
      </w:r>
      <w:r w:rsidR="006C1E59" w:rsidRPr="00501F1F">
        <w:rPr>
          <w:rFonts w:ascii="Times New Roman" w:hAnsi="Times New Roman"/>
        </w:rPr>
        <w:t xml:space="preserve"> however any changes must adhere to the principles </w:t>
      </w:r>
      <w:r w:rsidR="00154DA8" w:rsidRPr="00501F1F">
        <w:rPr>
          <w:rFonts w:ascii="Times New Roman" w:hAnsi="Times New Roman"/>
        </w:rPr>
        <w:t>upon which it rests.</w:t>
      </w:r>
    </w:p>
    <w:p w:rsidR="00154DA8" w:rsidRPr="00501F1F" w:rsidRDefault="00154DA8" w:rsidP="005A0415">
      <w:pPr>
        <w:jc w:val="both"/>
        <w:rPr>
          <w:rFonts w:ascii="Times New Roman" w:hAnsi="Times New Roman"/>
        </w:rPr>
      </w:pPr>
    </w:p>
    <w:p w:rsidR="00154DA8" w:rsidRPr="00501F1F" w:rsidRDefault="00154DA8" w:rsidP="005A0415">
      <w:pPr>
        <w:jc w:val="both"/>
        <w:rPr>
          <w:rFonts w:ascii="Times New Roman" w:hAnsi="Times New Roman"/>
        </w:rPr>
      </w:pPr>
      <w:r w:rsidRPr="00501F1F">
        <w:rPr>
          <w:rFonts w:ascii="Times New Roman" w:hAnsi="Times New Roman"/>
        </w:rPr>
        <w:t>A number of issues have arisen that are relevant to both pre-trial and trial stages. In particular, the application of the current disclosure proceedings require</w:t>
      </w:r>
      <w:r w:rsidR="006759B8" w:rsidRPr="00501F1F">
        <w:rPr>
          <w:rFonts w:ascii="Times New Roman" w:hAnsi="Times New Roman"/>
        </w:rPr>
        <w:t>s</w:t>
      </w:r>
      <w:r w:rsidRPr="00501F1F">
        <w:rPr>
          <w:rFonts w:ascii="Times New Roman" w:hAnsi="Times New Roman"/>
        </w:rPr>
        <w:t xml:space="preserve"> revision and input from the Office of the Prosecutor (OTP) and the </w:t>
      </w:r>
      <w:r w:rsidR="00A928F0" w:rsidRPr="00501F1F">
        <w:rPr>
          <w:rFonts w:ascii="Times New Roman" w:hAnsi="Times New Roman"/>
        </w:rPr>
        <w:t>Judges</w:t>
      </w:r>
      <w:r w:rsidRPr="00501F1F">
        <w:rPr>
          <w:rFonts w:ascii="Times New Roman" w:hAnsi="Times New Roman"/>
        </w:rPr>
        <w:t xml:space="preserve"> who are central to the implementation of the existing procedure.  Currently, </w:t>
      </w:r>
      <w:r w:rsidR="00501F1F">
        <w:rPr>
          <w:rFonts w:ascii="Times New Roman" w:hAnsi="Times New Roman"/>
        </w:rPr>
        <w:t>Rule</w:t>
      </w:r>
      <w:r w:rsidRPr="00501F1F">
        <w:rPr>
          <w:rFonts w:ascii="Times New Roman" w:hAnsi="Times New Roman"/>
        </w:rPr>
        <w:t xml:space="preserve"> 121(3) provides for </w:t>
      </w:r>
      <w:r w:rsidR="0056613B" w:rsidRPr="00501F1F">
        <w:rPr>
          <w:rFonts w:ascii="Times New Roman" w:hAnsi="Times New Roman"/>
        </w:rPr>
        <w:t xml:space="preserve">a </w:t>
      </w:r>
      <w:r w:rsidRPr="00501F1F">
        <w:rPr>
          <w:rFonts w:ascii="Times New Roman" w:hAnsi="Times New Roman"/>
        </w:rPr>
        <w:t>final OTP disclosure deadline for the Decision on Confirmation of Charges</w:t>
      </w:r>
      <w:r w:rsidR="00A75EA7" w:rsidRPr="00501F1F">
        <w:rPr>
          <w:rFonts w:ascii="Times New Roman" w:hAnsi="Times New Roman"/>
        </w:rPr>
        <w:t xml:space="preserve">. In practice, </w:t>
      </w:r>
      <w:r w:rsidRPr="00501F1F">
        <w:rPr>
          <w:rFonts w:ascii="Times New Roman" w:hAnsi="Times New Roman"/>
        </w:rPr>
        <w:t xml:space="preserve">the OTP has </w:t>
      </w:r>
      <w:r w:rsidR="00A75EA7" w:rsidRPr="00501F1F">
        <w:rPr>
          <w:rFonts w:ascii="Times New Roman" w:hAnsi="Times New Roman"/>
        </w:rPr>
        <w:t>used</w:t>
      </w:r>
      <w:r w:rsidRPr="00501F1F">
        <w:rPr>
          <w:rFonts w:ascii="Times New Roman" w:hAnsi="Times New Roman"/>
        </w:rPr>
        <w:t xml:space="preserve"> the deadline </w:t>
      </w:r>
      <w:r w:rsidR="00A75EA7" w:rsidRPr="00501F1F">
        <w:rPr>
          <w:rFonts w:ascii="Times New Roman" w:hAnsi="Times New Roman"/>
        </w:rPr>
        <w:t>for the purposes of</w:t>
      </w:r>
      <w:r w:rsidRPr="00501F1F">
        <w:rPr>
          <w:rFonts w:ascii="Times New Roman" w:hAnsi="Times New Roman"/>
        </w:rPr>
        <w:t xml:space="preserve"> substantive disclosure. </w:t>
      </w:r>
      <w:r w:rsidR="006C1E59" w:rsidRPr="00501F1F">
        <w:rPr>
          <w:rFonts w:ascii="Times New Roman" w:hAnsi="Times New Roman"/>
        </w:rPr>
        <w:t xml:space="preserve">The </w:t>
      </w:r>
      <w:r w:rsidR="00CB395C" w:rsidRPr="00501F1F">
        <w:rPr>
          <w:rFonts w:ascii="Times New Roman" w:hAnsi="Times New Roman"/>
        </w:rPr>
        <w:t>paper</w:t>
      </w:r>
      <w:r w:rsidR="006C1E59" w:rsidRPr="00501F1F">
        <w:rPr>
          <w:rFonts w:ascii="Times New Roman" w:hAnsi="Times New Roman"/>
        </w:rPr>
        <w:t xml:space="preserve"> suggested</w:t>
      </w:r>
      <w:r w:rsidR="00CB395C" w:rsidRPr="00501F1F">
        <w:rPr>
          <w:rFonts w:ascii="Times New Roman" w:hAnsi="Times New Roman"/>
        </w:rPr>
        <w:t xml:space="preserve"> adopting an alternative approach based upon the</w:t>
      </w:r>
      <w:r w:rsidR="00A75EA7" w:rsidRPr="00501F1F">
        <w:rPr>
          <w:rFonts w:ascii="Times New Roman" w:hAnsi="Times New Roman"/>
        </w:rPr>
        <w:t xml:space="preserve"> </w:t>
      </w:r>
      <w:r w:rsidR="00501F1F">
        <w:rPr>
          <w:rFonts w:ascii="Times New Roman" w:hAnsi="Times New Roman"/>
        </w:rPr>
        <w:t>Rule</w:t>
      </w:r>
      <w:r w:rsidR="00A928F0" w:rsidRPr="00501F1F">
        <w:rPr>
          <w:rFonts w:ascii="Times New Roman" w:hAnsi="Times New Roman"/>
        </w:rPr>
        <w:t>s</w:t>
      </w:r>
      <w:r w:rsidRPr="00501F1F">
        <w:rPr>
          <w:rFonts w:ascii="Times New Roman" w:hAnsi="Times New Roman"/>
        </w:rPr>
        <w:t xml:space="preserve"> of Procedure and Evidence (RPE) of the ICTY</w:t>
      </w:r>
      <w:r w:rsidR="006C1E59" w:rsidRPr="00501F1F">
        <w:rPr>
          <w:rFonts w:ascii="Times New Roman" w:hAnsi="Times New Roman"/>
        </w:rPr>
        <w:t xml:space="preserve"> </w:t>
      </w:r>
      <w:r w:rsidR="00A75EA7" w:rsidRPr="00501F1F">
        <w:rPr>
          <w:rFonts w:ascii="Times New Roman" w:hAnsi="Times New Roman"/>
        </w:rPr>
        <w:t>such as</w:t>
      </w:r>
      <w:r w:rsidRPr="00501F1F">
        <w:rPr>
          <w:rFonts w:ascii="Times New Roman" w:hAnsi="Times New Roman"/>
        </w:rPr>
        <w:t xml:space="preserve"> </w:t>
      </w:r>
      <w:r w:rsidR="00501F1F">
        <w:rPr>
          <w:rFonts w:ascii="Times New Roman" w:hAnsi="Times New Roman"/>
        </w:rPr>
        <w:t>Rule</w:t>
      </w:r>
      <w:r w:rsidRPr="00501F1F">
        <w:rPr>
          <w:rFonts w:ascii="Times New Roman" w:hAnsi="Times New Roman"/>
        </w:rPr>
        <w:t xml:space="preserve"> 66, which provides for 30 days disclosure following the initial appearance of the defendant. </w:t>
      </w:r>
      <w:r w:rsidR="00CB395C" w:rsidRPr="00501F1F">
        <w:rPr>
          <w:rFonts w:ascii="Times New Roman" w:hAnsi="Times New Roman"/>
        </w:rPr>
        <w:t xml:space="preserve">It </w:t>
      </w:r>
      <w:r w:rsidRPr="00501F1F">
        <w:rPr>
          <w:rFonts w:ascii="Times New Roman" w:hAnsi="Times New Roman"/>
        </w:rPr>
        <w:t xml:space="preserve">was suggested that the ICC should allow the </w:t>
      </w:r>
      <w:r w:rsidR="00CB395C" w:rsidRPr="00501F1F">
        <w:rPr>
          <w:rFonts w:ascii="Times New Roman" w:hAnsi="Times New Roman"/>
        </w:rPr>
        <w:t>Defence</w:t>
      </w:r>
      <w:r w:rsidRPr="00501F1F">
        <w:rPr>
          <w:rFonts w:ascii="Times New Roman" w:hAnsi="Times New Roman"/>
        </w:rPr>
        <w:t xml:space="preserve"> at least a month after the final OTP disclosure and not the current 15 days. </w:t>
      </w:r>
      <w:r w:rsidR="0056613B" w:rsidRPr="00501F1F">
        <w:rPr>
          <w:rFonts w:ascii="Times New Roman" w:hAnsi="Times New Roman"/>
        </w:rPr>
        <w:t>Thus</w:t>
      </w:r>
      <w:r w:rsidR="009D6EA5" w:rsidRPr="00501F1F">
        <w:rPr>
          <w:rFonts w:ascii="Times New Roman" w:hAnsi="Times New Roman"/>
        </w:rPr>
        <w:t>,</w:t>
      </w:r>
      <w:r w:rsidRPr="00501F1F">
        <w:rPr>
          <w:rFonts w:ascii="Times New Roman" w:hAnsi="Times New Roman"/>
        </w:rPr>
        <w:t xml:space="preserve"> permit</w:t>
      </w:r>
      <w:r w:rsidR="0056613B" w:rsidRPr="00501F1F">
        <w:rPr>
          <w:rFonts w:ascii="Times New Roman" w:hAnsi="Times New Roman"/>
        </w:rPr>
        <w:t>ting</w:t>
      </w:r>
      <w:r w:rsidRPr="00501F1F">
        <w:rPr>
          <w:rFonts w:ascii="Times New Roman" w:hAnsi="Times New Roman"/>
        </w:rPr>
        <w:t xml:space="preserve"> the </w:t>
      </w:r>
      <w:r w:rsidR="00CB395C" w:rsidRPr="00501F1F">
        <w:rPr>
          <w:rFonts w:ascii="Times New Roman" w:hAnsi="Times New Roman"/>
        </w:rPr>
        <w:t>Defence</w:t>
      </w:r>
      <w:r w:rsidRPr="00501F1F">
        <w:rPr>
          <w:rFonts w:ascii="Times New Roman" w:hAnsi="Times New Roman"/>
        </w:rPr>
        <w:t xml:space="preserve"> proper time to analyse and conduct any final investigations, and to prepare their</w:t>
      </w:r>
      <w:r w:rsidR="00501F1F">
        <w:rPr>
          <w:rFonts w:ascii="Times New Roman" w:hAnsi="Times New Roman"/>
        </w:rPr>
        <w:t xml:space="preserve"> final submissions to the Court. I</w:t>
      </w:r>
      <w:r w:rsidRPr="00501F1F">
        <w:rPr>
          <w:rFonts w:ascii="Times New Roman" w:hAnsi="Times New Roman"/>
        </w:rPr>
        <w:t xml:space="preserve">t would also enable the </w:t>
      </w:r>
      <w:r w:rsidR="00CB395C" w:rsidRPr="00501F1F">
        <w:rPr>
          <w:rFonts w:ascii="Times New Roman" w:hAnsi="Times New Roman"/>
        </w:rPr>
        <w:t>Prosecution</w:t>
      </w:r>
      <w:r w:rsidRPr="00501F1F">
        <w:rPr>
          <w:rFonts w:ascii="Times New Roman" w:hAnsi="Times New Roman"/>
        </w:rPr>
        <w:t xml:space="preserve"> t</w:t>
      </w:r>
      <w:r w:rsidR="00D01D5A" w:rsidRPr="00501F1F">
        <w:rPr>
          <w:rFonts w:ascii="Times New Roman" w:hAnsi="Times New Roman"/>
        </w:rPr>
        <w:t>o</w:t>
      </w:r>
      <w:r w:rsidRPr="00501F1F">
        <w:rPr>
          <w:rFonts w:ascii="Times New Roman" w:hAnsi="Times New Roman"/>
        </w:rPr>
        <w:t xml:space="preserve"> focus on the a</w:t>
      </w:r>
      <w:r w:rsidR="00D01D5A" w:rsidRPr="00501F1F">
        <w:rPr>
          <w:rFonts w:ascii="Times New Roman" w:hAnsi="Times New Roman"/>
        </w:rPr>
        <w:t xml:space="preserve">pplications that they have received. </w:t>
      </w:r>
      <w:r w:rsidRPr="00501F1F">
        <w:rPr>
          <w:rFonts w:ascii="Times New Roman" w:hAnsi="Times New Roman"/>
        </w:rPr>
        <w:t xml:space="preserve">A </w:t>
      </w:r>
      <w:r w:rsidR="00501F1F">
        <w:rPr>
          <w:rFonts w:ascii="Times New Roman" w:hAnsi="Times New Roman"/>
        </w:rPr>
        <w:t>Rule</w:t>
      </w:r>
      <w:r w:rsidRPr="00501F1F">
        <w:rPr>
          <w:rFonts w:ascii="Times New Roman" w:hAnsi="Times New Roman"/>
        </w:rPr>
        <w:t xml:space="preserve"> change can be easily made, especially given that </w:t>
      </w:r>
      <w:r w:rsidR="00A928F0" w:rsidRPr="00501F1F">
        <w:rPr>
          <w:rFonts w:ascii="Times New Roman" w:hAnsi="Times New Roman"/>
        </w:rPr>
        <w:t>Judges</w:t>
      </w:r>
      <w:r w:rsidRPr="00501F1F">
        <w:rPr>
          <w:rFonts w:ascii="Times New Roman" w:hAnsi="Times New Roman"/>
        </w:rPr>
        <w:t xml:space="preserve"> are required to set a trial date within three months. </w:t>
      </w:r>
    </w:p>
    <w:p w:rsidR="00154DA8" w:rsidRPr="00501F1F" w:rsidRDefault="00154DA8" w:rsidP="005A0415">
      <w:pPr>
        <w:jc w:val="both"/>
        <w:rPr>
          <w:rFonts w:ascii="Times New Roman" w:hAnsi="Times New Roman"/>
        </w:rPr>
      </w:pPr>
    </w:p>
    <w:p w:rsidR="00154DA8" w:rsidRPr="00501F1F" w:rsidRDefault="009D6EA5" w:rsidP="005A0415">
      <w:pPr>
        <w:jc w:val="both"/>
        <w:rPr>
          <w:rFonts w:ascii="Times New Roman" w:hAnsi="Times New Roman"/>
        </w:rPr>
      </w:pPr>
      <w:r w:rsidRPr="00501F1F">
        <w:rPr>
          <w:rFonts w:ascii="Times New Roman" w:hAnsi="Times New Roman"/>
        </w:rPr>
        <w:t>It was argued that t</w:t>
      </w:r>
      <w:r w:rsidR="00154DA8" w:rsidRPr="00501F1F">
        <w:rPr>
          <w:rFonts w:ascii="Times New Roman" w:hAnsi="Times New Roman"/>
        </w:rPr>
        <w:t xml:space="preserve">he role of the Confirmation Hearing can be illustrated by the way it has been applied to date. In the </w:t>
      </w:r>
      <w:proofErr w:type="spellStart"/>
      <w:r w:rsidR="00154DA8" w:rsidRPr="00501F1F">
        <w:rPr>
          <w:rFonts w:ascii="Times New Roman" w:hAnsi="Times New Roman"/>
          <w:i/>
        </w:rPr>
        <w:t>Callixte</w:t>
      </w:r>
      <w:proofErr w:type="spellEnd"/>
      <w:r w:rsidR="00154DA8" w:rsidRPr="00501F1F">
        <w:rPr>
          <w:rFonts w:ascii="Times New Roman" w:hAnsi="Times New Roman"/>
          <w:i/>
        </w:rPr>
        <w:t xml:space="preserve"> </w:t>
      </w:r>
      <w:proofErr w:type="spellStart"/>
      <w:r w:rsidR="00136983" w:rsidRPr="00501F1F">
        <w:rPr>
          <w:rFonts w:ascii="Times New Roman" w:hAnsi="Times New Roman"/>
          <w:i/>
        </w:rPr>
        <w:t>Mbarushimana</w:t>
      </w:r>
      <w:proofErr w:type="spellEnd"/>
      <w:r w:rsidR="00154DA8" w:rsidRPr="00501F1F">
        <w:rPr>
          <w:rFonts w:ascii="Times New Roman" w:hAnsi="Times New Roman"/>
        </w:rPr>
        <w:t xml:space="preserve"> </w:t>
      </w:r>
      <w:r w:rsidR="00B63A11" w:rsidRPr="00501F1F">
        <w:rPr>
          <w:rFonts w:ascii="Times New Roman" w:hAnsi="Times New Roman"/>
        </w:rPr>
        <w:t xml:space="preserve">and the </w:t>
      </w:r>
      <w:r w:rsidR="00B63A11" w:rsidRPr="00501F1F">
        <w:rPr>
          <w:rFonts w:ascii="Times New Roman" w:hAnsi="Times New Roman"/>
          <w:i/>
        </w:rPr>
        <w:t>Abu Garda</w:t>
      </w:r>
      <w:r w:rsidR="00B63A11" w:rsidRPr="00501F1F">
        <w:rPr>
          <w:rFonts w:ascii="Times New Roman" w:hAnsi="Times New Roman"/>
        </w:rPr>
        <w:t xml:space="preserve"> </w:t>
      </w:r>
      <w:r w:rsidR="00154DA8" w:rsidRPr="00501F1F">
        <w:rPr>
          <w:rFonts w:ascii="Times New Roman" w:hAnsi="Times New Roman"/>
        </w:rPr>
        <w:t>case</w:t>
      </w:r>
      <w:r w:rsidR="00B63A11" w:rsidRPr="00501F1F">
        <w:rPr>
          <w:rFonts w:ascii="Times New Roman" w:hAnsi="Times New Roman"/>
        </w:rPr>
        <w:t>s</w:t>
      </w:r>
      <w:r w:rsidR="00154DA8" w:rsidRPr="00501F1F">
        <w:rPr>
          <w:rFonts w:ascii="Times New Roman" w:hAnsi="Times New Roman"/>
        </w:rPr>
        <w:t xml:space="preserve"> the charges were not confirmed at the </w:t>
      </w:r>
      <w:r w:rsidR="00A9012E" w:rsidRPr="00501F1F">
        <w:rPr>
          <w:rFonts w:ascii="Times New Roman" w:hAnsi="Times New Roman"/>
        </w:rPr>
        <w:t>Confirmation Hearing</w:t>
      </w:r>
      <w:r w:rsidR="00154DA8" w:rsidRPr="00501F1F">
        <w:rPr>
          <w:rFonts w:ascii="Times New Roman" w:hAnsi="Times New Roman"/>
        </w:rPr>
        <w:t xml:space="preserve">. Moreover, </w:t>
      </w:r>
      <w:r w:rsidR="00B63A11" w:rsidRPr="00501F1F">
        <w:rPr>
          <w:rFonts w:ascii="Times New Roman" w:hAnsi="Times New Roman"/>
        </w:rPr>
        <w:t xml:space="preserve">in the </w:t>
      </w:r>
      <w:r w:rsidR="00B63A11" w:rsidRPr="00501F1F">
        <w:rPr>
          <w:rFonts w:ascii="Times New Roman" w:hAnsi="Times New Roman"/>
          <w:i/>
        </w:rPr>
        <w:t>Banda</w:t>
      </w:r>
      <w:r w:rsidR="00B63A11" w:rsidRPr="00501F1F">
        <w:rPr>
          <w:rFonts w:ascii="Times New Roman" w:hAnsi="Times New Roman"/>
        </w:rPr>
        <w:t xml:space="preserve"> and </w:t>
      </w:r>
      <w:proofErr w:type="spellStart"/>
      <w:r w:rsidR="00B63A11" w:rsidRPr="00501F1F">
        <w:rPr>
          <w:rFonts w:ascii="Times New Roman" w:hAnsi="Times New Roman"/>
          <w:i/>
        </w:rPr>
        <w:t>Jerbo</w:t>
      </w:r>
      <w:proofErr w:type="spellEnd"/>
      <w:r w:rsidR="00B63A11" w:rsidRPr="00501F1F">
        <w:rPr>
          <w:rFonts w:ascii="Times New Roman" w:hAnsi="Times New Roman"/>
        </w:rPr>
        <w:t xml:space="preserve"> case, the </w:t>
      </w:r>
      <w:r w:rsidR="00CB395C" w:rsidRPr="00501F1F">
        <w:rPr>
          <w:rFonts w:ascii="Times New Roman" w:hAnsi="Times New Roman"/>
        </w:rPr>
        <w:t>Defence</w:t>
      </w:r>
      <w:r w:rsidR="00B63A11" w:rsidRPr="00501F1F">
        <w:rPr>
          <w:rFonts w:ascii="Times New Roman" w:hAnsi="Times New Roman"/>
        </w:rPr>
        <w:t xml:space="preserve"> agreed to go straight to trial.</w:t>
      </w:r>
    </w:p>
    <w:p w:rsidR="00154DA8" w:rsidRPr="00501F1F" w:rsidRDefault="00154DA8" w:rsidP="005A0415">
      <w:pPr>
        <w:jc w:val="both"/>
        <w:rPr>
          <w:rFonts w:ascii="Times New Roman" w:hAnsi="Times New Roman"/>
        </w:rPr>
      </w:pPr>
    </w:p>
    <w:p w:rsidR="00154DA8" w:rsidRPr="00501F1F" w:rsidRDefault="00154DA8" w:rsidP="005A0415">
      <w:pPr>
        <w:jc w:val="both"/>
        <w:rPr>
          <w:rFonts w:ascii="Times New Roman" w:hAnsi="Times New Roman"/>
        </w:rPr>
      </w:pPr>
      <w:r w:rsidRPr="00501F1F">
        <w:rPr>
          <w:rFonts w:ascii="Times New Roman" w:hAnsi="Times New Roman"/>
        </w:rPr>
        <w:t xml:space="preserve">In the case of </w:t>
      </w:r>
      <w:r w:rsidRPr="00501F1F">
        <w:rPr>
          <w:rFonts w:ascii="Times New Roman" w:hAnsi="Times New Roman"/>
          <w:i/>
        </w:rPr>
        <w:t xml:space="preserve">Abu Garda </w:t>
      </w:r>
      <w:r w:rsidRPr="00501F1F">
        <w:rPr>
          <w:rFonts w:ascii="Times New Roman" w:hAnsi="Times New Roman"/>
        </w:rPr>
        <w:t xml:space="preserve">there was delay in disclosure at the beginning of the </w:t>
      </w:r>
      <w:r w:rsidR="00A9012E" w:rsidRPr="00501F1F">
        <w:rPr>
          <w:rFonts w:ascii="Times New Roman" w:hAnsi="Times New Roman"/>
        </w:rPr>
        <w:t>Confirmation Hearing</w:t>
      </w:r>
      <w:r w:rsidRPr="00501F1F">
        <w:rPr>
          <w:rFonts w:ascii="Times New Roman" w:hAnsi="Times New Roman"/>
        </w:rPr>
        <w:t xml:space="preserve">. Mr. Abu Garda initially appeared on 18 May 2009 but the </w:t>
      </w:r>
      <w:r w:rsidR="00CB395C" w:rsidRPr="00501F1F">
        <w:rPr>
          <w:rFonts w:ascii="Times New Roman" w:hAnsi="Times New Roman"/>
        </w:rPr>
        <w:t>Defence</w:t>
      </w:r>
      <w:r w:rsidRPr="00501F1F">
        <w:rPr>
          <w:rFonts w:ascii="Times New Roman" w:hAnsi="Times New Roman"/>
        </w:rPr>
        <w:t xml:space="preserve"> did not receive a single item of disclosure from the </w:t>
      </w:r>
      <w:r w:rsidR="00CB395C" w:rsidRPr="00501F1F">
        <w:rPr>
          <w:rFonts w:ascii="Times New Roman" w:hAnsi="Times New Roman"/>
        </w:rPr>
        <w:t>Prosecution</w:t>
      </w:r>
      <w:r w:rsidRPr="00501F1F">
        <w:rPr>
          <w:rFonts w:ascii="Times New Roman" w:hAnsi="Times New Roman"/>
        </w:rPr>
        <w:t xml:space="preserve"> until more than three months later. This example demonstrates that cases are taking too long to be confirmed which is indicative of bureaucracy and </w:t>
      </w:r>
      <w:r w:rsidR="00D01D5A" w:rsidRPr="00501F1F">
        <w:rPr>
          <w:rFonts w:ascii="Times New Roman" w:hAnsi="Times New Roman"/>
        </w:rPr>
        <w:t>prevarication.</w:t>
      </w:r>
    </w:p>
    <w:p w:rsidR="00154DA8" w:rsidRPr="00501F1F" w:rsidRDefault="00154DA8" w:rsidP="005A0415">
      <w:pPr>
        <w:jc w:val="both"/>
        <w:rPr>
          <w:rFonts w:ascii="Times New Roman" w:hAnsi="Times New Roman"/>
        </w:rPr>
      </w:pPr>
    </w:p>
    <w:p w:rsidR="00154DA8" w:rsidRPr="00501F1F" w:rsidRDefault="004B0935" w:rsidP="005A0415">
      <w:pPr>
        <w:jc w:val="both"/>
        <w:rPr>
          <w:rFonts w:ascii="Times New Roman" w:hAnsi="Times New Roman"/>
        </w:rPr>
      </w:pPr>
      <w:r w:rsidRPr="00501F1F">
        <w:rPr>
          <w:rFonts w:ascii="Times New Roman" w:hAnsi="Times New Roman"/>
        </w:rPr>
        <w:t>T</w:t>
      </w:r>
      <w:r w:rsidR="00154DA8" w:rsidRPr="00501F1F">
        <w:rPr>
          <w:rFonts w:ascii="Times New Roman" w:hAnsi="Times New Roman"/>
        </w:rPr>
        <w:t xml:space="preserve">he discretionary case management duties are functions of the </w:t>
      </w:r>
      <w:r w:rsidR="009D6EA5" w:rsidRPr="00501F1F">
        <w:rPr>
          <w:rFonts w:ascii="Times New Roman" w:hAnsi="Times New Roman"/>
        </w:rPr>
        <w:t>Chambers</w:t>
      </w:r>
      <w:r w:rsidRPr="00501F1F">
        <w:rPr>
          <w:rFonts w:ascii="Times New Roman" w:hAnsi="Times New Roman"/>
        </w:rPr>
        <w:t xml:space="preserve"> and where a case is </w:t>
      </w:r>
      <w:r w:rsidR="00154DA8" w:rsidRPr="00501F1F">
        <w:rPr>
          <w:rFonts w:ascii="Times New Roman" w:hAnsi="Times New Roman"/>
        </w:rPr>
        <w:t>not rigorously managed</w:t>
      </w:r>
      <w:r w:rsidRPr="00501F1F">
        <w:rPr>
          <w:rFonts w:ascii="Times New Roman" w:hAnsi="Times New Roman"/>
        </w:rPr>
        <w:t xml:space="preserve"> </w:t>
      </w:r>
      <w:r w:rsidR="00154DA8" w:rsidRPr="00501F1F">
        <w:rPr>
          <w:rFonts w:ascii="Times New Roman" w:hAnsi="Times New Roman"/>
        </w:rPr>
        <w:t xml:space="preserve">this can lead to drift and delay. In the </w:t>
      </w:r>
      <w:r w:rsidR="00154DA8" w:rsidRPr="00501F1F">
        <w:rPr>
          <w:rFonts w:ascii="Times New Roman" w:hAnsi="Times New Roman"/>
          <w:i/>
        </w:rPr>
        <w:t xml:space="preserve">Banda &amp; </w:t>
      </w:r>
      <w:proofErr w:type="spellStart"/>
      <w:r w:rsidR="00154DA8" w:rsidRPr="00501F1F">
        <w:rPr>
          <w:rFonts w:ascii="Times New Roman" w:hAnsi="Times New Roman"/>
          <w:i/>
        </w:rPr>
        <w:t>Jerbo</w:t>
      </w:r>
      <w:proofErr w:type="spellEnd"/>
      <w:r w:rsidR="00154DA8" w:rsidRPr="00501F1F">
        <w:rPr>
          <w:rFonts w:ascii="Times New Roman" w:hAnsi="Times New Roman"/>
          <w:i/>
        </w:rPr>
        <w:t xml:space="preserve"> </w:t>
      </w:r>
      <w:r w:rsidR="00154DA8" w:rsidRPr="00501F1F">
        <w:rPr>
          <w:rFonts w:ascii="Times New Roman" w:hAnsi="Times New Roman"/>
        </w:rPr>
        <w:t xml:space="preserve">case, no status conference was held for a year and decisions have been outstanding for a considerable length of time. Consideration must be given to </w:t>
      </w:r>
      <w:r w:rsidR="00501F1F">
        <w:rPr>
          <w:rFonts w:ascii="Times New Roman" w:hAnsi="Times New Roman"/>
        </w:rPr>
        <w:t>Rule</w:t>
      </w:r>
      <w:r w:rsidR="009D6EA5" w:rsidRPr="00501F1F">
        <w:rPr>
          <w:rFonts w:ascii="Times New Roman" w:hAnsi="Times New Roman"/>
        </w:rPr>
        <w:t xml:space="preserve"> </w:t>
      </w:r>
      <w:r w:rsidR="00154DA8" w:rsidRPr="00501F1F">
        <w:rPr>
          <w:rFonts w:ascii="Times New Roman" w:hAnsi="Times New Roman"/>
        </w:rPr>
        <w:t xml:space="preserve">changes that require greater rigour in </w:t>
      </w:r>
      <w:r w:rsidR="00CB395C" w:rsidRPr="00501F1F">
        <w:rPr>
          <w:rFonts w:ascii="Times New Roman" w:hAnsi="Times New Roman"/>
        </w:rPr>
        <w:t xml:space="preserve">the </w:t>
      </w:r>
      <w:r w:rsidR="00154DA8" w:rsidRPr="00501F1F">
        <w:rPr>
          <w:rFonts w:ascii="Times New Roman" w:hAnsi="Times New Roman"/>
        </w:rPr>
        <w:t>Chamber’s case management functions.</w:t>
      </w:r>
      <w:r w:rsidR="00CB395C" w:rsidRPr="00501F1F">
        <w:rPr>
          <w:rFonts w:ascii="Times New Roman" w:hAnsi="Times New Roman"/>
        </w:rPr>
        <w:t xml:space="preserve"> The paper noted that</w:t>
      </w:r>
      <w:r w:rsidR="00154DA8" w:rsidRPr="00501F1F">
        <w:rPr>
          <w:rFonts w:ascii="Times New Roman" w:hAnsi="Times New Roman"/>
        </w:rPr>
        <w:t xml:space="preserve"> </w:t>
      </w:r>
      <w:r w:rsidR="00A928F0" w:rsidRPr="00501F1F">
        <w:rPr>
          <w:rFonts w:ascii="Times New Roman" w:hAnsi="Times New Roman"/>
        </w:rPr>
        <w:t>Judges</w:t>
      </w:r>
      <w:r w:rsidR="00154DA8" w:rsidRPr="00501F1F">
        <w:rPr>
          <w:rFonts w:ascii="Times New Roman" w:hAnsi="Times New Roman"/>
        </w:rPr>
        <w:t xml:space="preserve"> must set a date within reasonable time frames e.g. 90 days from the final submission of </w:t>
      </w:r>
      <w:r w:rsidRPr="00501F1F">
        <w:rPr>
          <w:rFonts w:ascii="Times New Roman" w:hAnsi="Times New Roman"/>
        </w:rPr>
        <w:t>the</w:t>
      </w:r>
      <w:r w:rsidR="009D6EA5" w:rsidRPr="00501F1F">
        <w:rPr>
          <w:rFonts w:ascii="Times New Roman" w:hAnsi="Times New Roman"/>
        </w:rPr>
        <w:t xml:space="preserve"> </w:t>
      </w:r>
      <w:r w:rsidR="00154DA8" w:rsidRPr="00501F1F">
        <w:rPr>
          <w:rFonts w:ascii="Times New Roman" w:hAnsi="Times New Roman"/>
        </w:rPr>
        <w:t xml:space="preserve">parties. </w:t>
      </w:r>
    </w:p>
    <w:p w:rsidR="00154DA8" w:rsidRPr="00501F1F" w:rsidRDefault="00154DA8" w:rsidP="005A0415">
      <w:pPr>
        <w:jc w:val="both"/>
        <w:rPr>
          <w:rFonts w:ascii="Times New Roman" w:hAnsi="Times New Roman"/>
        </w:rPr>
      </w:pPr>
    </w:p>
    <w:p w:rsidR="00154DA8" w:rsidRPr="00501F1F" w:rsidRDefault="00CB395C" w:rsidP="005A0415">
      <w:pPr>
        <w:jc w:val="both"/>
        <w:rPr>
          <w:rFonts w:ascii="Times New Roman" w:hAnsi="Times New Roman"/>
        </w:rPr>
      </w:pPr>
      <w:r w:rsidRPr="00501F1F">
        <w:rPr>
          <w:rFonts w:ascii="Times New Roman" w:hAnsi="Times New Roman"/>
        </w:rPr>
        <w:t xml:space="preserve">The paper </w:t>
      </w:r>
      <w:r w:rsidR="004B0935" w:rsidRPr="00501F1F">
        <w:rPr>
          <w:rFonts w:ascii="Times New Roman" w:hAnsi="Times New Roman"/>
        </w:rPr>
        <w:t xml:space="preserve">suggested that despite the </w:t>
      </w:r>
      <w:r w:rsidRPr="00501F1F">
        <w:rPr>
          <w:rFonts w:ascii="Times New Roman" w:hAnsi="Times New Roman"/>
        </w:rPr>
        <w:t>lack of</w:t>
      </w:r>
      <w:r w:rsidR="00A928F0" w:rsidRPr="00501F1F">
        <w:rPr>
          <w:rFonts w:ascii="Times New Roman" w:hAnsi="Times New Roman"/>
        </w:rPr>
        <w:t xml:space="preserve"> a</w:t>
      </w:r>
      <w:r w:rsidR="00154DA8" w:rsidRPr="00501F1F">
        <w:rPr>
          <w:rFonts w:ascii="Times New Roman" w:hAnsi="Times New Roman"/>
        </w:rPr>
        <w:t xml:space="preserve"> hierarchy of evidence in the Sta</w:t>
      </w:r>
      <w:r w:rsidR="004B0935" w:rsidRPr="00501F1F">
        <w:rPr>
          <w:rFonts w:ascii="Times New Roman" w:hAnsi="Times New Roman"/>
        </w:rPr>
        <w:t xml:space="preserve">tute, </w:t>
      </w:r>
      <w:r w:rsidR="00154DA8" w:rsidRPr="00501F1F">
        <w:rPr>
          <w:rFonts w:ascii="Times New Roman" w:hAnsi="Times New Roman"/>
          <w:i/>
        </w:rPr>
        <w:t>viva voce</w:t>
      </w:r>
      <w:r w:rsidR="00154DA8" w:rsidRPr="00501F1F">
        <w:rPr>
          <w:rFonts w:ascii="Times New Roman" w:hAnsi="Times New Roman"/>
        </w:rPr>
        <w:t xml:space="preserve"> evidence carries the most weight, as it is evidence that can be tested. </w:t>
      </w:r>
      <w:r w:rsidR="009D6EA5" w:rsidRPr="00501F1F">
        <w:rPr>
          <w:rFonts w:ascii="Times New Roman" w:hAnsi="Times New Roman"/>
        </w:rPr>
        <w:t>It was argued that t</w:t>
      </w:r>
      <w:r w:rsidR="00154DA8" w:rsidRPr="00501F1F">
        <w:rPr>
          <w:rFonts w:ascii="Times New Roman" w:hAnsi="Times New Roman"/>
        </w:rPr>
        <w:t xml:space="preserve">he </w:t>
      </w:r>
      <w:r w:rsidR="00154DA8" w:rsidRPr="00501F1F">
        <w:rPr>
          <w:rFonts w:ascii="Times New Roman" w:hAnsi="Times New Roman"/>
          <w:i/>
        </w:rPr>
        <w:t xml:space="preserve">Kenya II </w:t>
      </w:r>
      <w:r w:rsidR="00154DA8" w:rsidRPr="00501F1F">
        <w:rPr>
          <w:rFonts w:ascii="Times New Roman" w:hAnsi="Times New Roman"/>
        </w:rPr>
        <w:t xml:space="preserve">case sacrificed this without good cause. The single </w:t>
      </w:r>
      <w:r w:rsidR="00382B6E">
        <w:rPr>
          <w:rFonts w:ascii="Times New Roman" w:hAnsi="Times New Roman"/>
        </w:rPr>
        <w:t>Judge</w:t>
      </w:r>
      <w:r w:rsidR="00154DA8" w:rsidRPr="00501F1F">
        <w:rPr>
          <w:rFonts w:ascii="Times New Roman" w:hAnsi="Times New Roman"/>
        </w:rPr>
        <w:t xml:space="preserve"> held that the number of witnesses was disproportionate and in view of the limited scope of the Confirmation Hearing and in order to protect the </w:t>
      </w:r>
      <w:r w:rsidR="009D6EA5" w:rsidRPr="00501F1F">
        <w:rPr>
          <w:rFonts w:ascii="Times New Roman" w:hAnsi="Times New Roman"/>
        </w:rPr>
        <w:t xml:space="preserve">Defendant </w:t>
      </w:r>
      <w:r w:rsidR="00154DA8" w:rsidRPr="00501F1F">
        <w:rPr>
          <w:rFonts w:ascii="Times New Roman" w:hAnsi="Times New Roman"/>
        </w:rPr>
        <w:t>f</w:t>
      </w:r>
      <w:r w:rsidRPr="00501F1F">
        <w:rPr>
          <w:rFonts w:ascii="Times New Roman" w:hAnsi="Times New Roman"/>
        </w:rPr>
        <w:t>r</w:t>
      </w:r>
      <w:r w:rsidR="00154DA8" w:rsidRPr="00501F1F">
        <w:rPr>
          <w:rFonts w:ascii="Times New Roman" w:hAnsi="Times New Roman"/>
        </w:rPr>
        <w:t xml:space="preserve">om unfounded charges reduced the number of witnesses for live testimony to two for each suspect. This was considered </w:t>
      </w:r>
      <w:r w:rsidR="00A928F0" w:rsidRPr="00501F1F">
        <w:rPr>
          <w:rFonts w:ascii="Times New Roman" w:hAnsi="Times New Roman"/>
        </w:rPr>
        <w:t xml:space="preserve">to be </w:t>
      </w:r>
      <w:r w:rsidR="00154DA8" w:rsidRPr="00501F1F">
        <w:rPr>
          <w:rFonts w:ascii="Times New Roman" w:hAnsi="Times New Roman"/>
        </w:rPr>
        <w:t>just.</w:t>
      </w:r>
    </w:p>
    <w:p w:rsidR="00154DA8" w:rsidRPr="00501F1F" w:rsidRDefault="00154DA8" w:rsidP="005A0415">
      <w:pPr>
        <w:jc w:val="both"/>
        <w:rPr>
          <w:rFonts w:ascii="Times New Roman" w:hAnsi="Times New Roman"/>
        </w:rPr>
      </w:pPr>
    </w:p>
    <w:p w:rsidR="00154DA8" w:rsidRPr="00501F1F" w:rsidRDefault="00BF1C7D" w:rsidP="005A0415">
      <w:pPr>
        <w:jc w:val="both"/>
        <w:rPr>
          <w:rFonts w:ascii="Times New Roman" w:hAnsi="Times New Roman"/>
        </w:rPr>
      </w:pPr>
      <w:r w:rsidRPr="00501F1F">
        <w:rPr>
          <w:rFonts w:ascii="Times New Roman" w:hAnsi="Times New Roman"/>
        </w:rPr>
        <w:t xml:space="preserve">The final concern raised by the paper regarding delay was the </w:t>
      </w:r>
      <w:r w:rsidR="00154DA8" w:rsidRPr="00501F1F">
        <w:rPr>
          <w:rFonts w:ascii="Times New Roman" w:hAnsi="Times New Roman"/>
        </w:rPr>
        <w:t>over</w:t>
      </w:r>
      <w:r w:rsidR="009D6EA5" w:rsidRPr="00501F1F">
        <w:rPr>
          <w:rFonts w:ascii="Times New Roman" w:hAnsi="Times New Roman"/>
        </w:rPr>
        <w:t>-</w:t>
      </w:r>
      <w:r w:rsidR="00154DA8" w:rsidRPr="00501F1F">
        <w:rPr>
          <w:rFonts w:ascii="Times New Roman" w:hAnsi="Times New Roman"/>
        </w:rPr>
        <w:t xml:space="preserve">emphasis on conducting legal and procedural argument via written arguments even for relatively straightforward matters. There have been refusals of Chambers to issue oral decisions on matters that the </w:t>
      </w:r>
      <w:r w:rsidR="00CB395C" w:rsidRPr="00501F1F">
        <w:rPr>
          <w:rFonts w:ascii="Times New Roman" w:hAnsi="Times New Roman"/>
        </w:rPr>
        <w:t>Defence</w:t>
      </w:r>
      <w:r w:rsidR="00154DA8" w:rsidRPr="00501F1F">
        <w:rPr>
          <w:rFonts w:ascii="Times New Roman" w:hAnsi="Times New Roman"/>
        </w:rPr>
        <w:t xml:space="preserve"> has deemed very pressing and which can impact on witness security. There is too great a reluctance on the part of many </w:t>
      </w:r>
      <w:r w:rsidR="00A928F0" w:rsidRPr="00501F1F">
        <w:rPr>
          <w:rFonts w:ascii="Times New Roman" w:hAnsi="Times New Roman"/>
        </w:rPr>
        <w:t>Judges</w:t>
      </w:r>
      <w:r w:rsidR="00154DA8" w:rsidRPr="00501F1F">
        <w:rPr>
          <w:rFonts w:ascii="Times New Roman" w:hAnsi="Times New Roman"/>
        </w:rPr>
        <w:t xml:space="preserve"> to give extemporaneous decisions. Chambers and the </w:t>
      </w:r>
      <w:r w:rsidR="00CB395C" w:rsidRPr="00501F1F">
        <w:rPr>
          <w:rFonts w:ascii="Times New Roman" w:hAnsi="Times New Roman"/>
        </w:rPr>
        <w:t>Prosecution</w:t>
      </w:r>
      <w:r w:rsidR="00154DA8" w:rsidRPr="00501F1F">
        <w:rPr>
          <w:rFonts w:ascii="Times New Roman" w:hAnsi="Times New Roman"/>
        </w:rPr>
        <w:t xml:space="preserve"> are denuding the importance of oral hearings in favour of written submissions that take longer and in many cases are less effective. One suggestion to limit the time spent on this practice could be to allocate a block of time to both</w:t>
      </w:r>
      <w:r w:rsidR="00A928F0" w:rsidRPr="00501F1F">
        <w:rPr>
          <w:rFonts w:ascii="Times New Roman" w:hAnsi="Times New Roman"/>
        </w:rPr>
        <w:t xml:space="preserve"> </w:t>
      </w:r>
      <w:r w:rsidR="00CB395C" w:rsidRPr="00501F1F">
        <w:rPr>
          <w:rFonts w:ascii="Times New Roman" w:hAnsi="Times New Roman"/>
        </w:rPr>
        <w:t>Defence</w:t>
      </w:r>
      <w:r w:rsidR="00154DA8" w:rsidRPr="00501F1F">
        <w:rPr>
          <w:rFonts w:ascii="Times New Roman" w:hAnsi="Times New Roman"/>
        </w:rPr>
        <w:t xml:space="preserve"> and </w:t>
      </w:r>
      <w:r w:rsidR="00CB395C" w:rsidRPr="00501F1F">
        <w:rPr>
          <w:rFonts w:ascii="Times New Roman" w:hAnsi="Times New Roman"/>
        </w:rPr>
        <w:t>Prosecution</w:t>
      </w:r>
      <w:r w:rsidR="00154DA8" w:rsidRPr="00501F1F">
        <w:rPr>
          <w:rFonts w:ascii="Times New Roman" w:hAnsi="Times New Roman"/>
        </w:rPr>
        <w:t xml:space="preserve"> rather than the current practice of specifying a number of witnesses. Alternatively, Special Counsel could be instructed to deal with these issues. </w:t>
      </w:r>
    </w:p>
    <w:p w:rsidR="00154DA8" w:rsidRPr="00501F1F" w:rsidRDefault="00154DA8" w:rsidP="005A0415">
      <w:pPr>
        <w:jc w:val="both"/>
        <w:rPr>
          <w:rFonts w:ascii="Times New Roman" w:hAnsi="Times New Roman"/>
        </w:rPr>
      </w:pPr>
    </w:p>
    <w:p w:rsidR="00154DA8" w:rsidRPr="00501F1F" w:rsidRDefault="00154DA8" w:rsidP="00605A74">
      <w:pPr>
        <w:jc w:val="both"/>
        <w:outlineLvl w:val="0"/>
        <w:rPr>
          <w:rFonts w:ascii="Times New Roman" w:hAnsi="Times New Roman"/>
          <w:b/>
        </w:rPr>
      </w:pPr>
      <w:r w:rsidRPr="00501F1F">
        <w:rPr>
          <w:rFonts w:ascii="Times New Roman" w:hAnsi="Times New Roman"/>
          <w:b/>
        </w:rPr>
        <w:t>1.2 Discussion</w:t>
      </w:r>
    </w:p>
    <w:p w:rsidR="00154DA8" w:rsidRPr="00501F1F" w:rsidRDefault="00154DA8" w:rsidP="005A0415">
      <w:pPr>
        <w:ind w:left="360"/>
        <w:jc w:val="both"/>
        <w:rPr>
          <w:rFonts w:ascii="Times New Roman" w:hAnsi="Times New Roman"/>
          <w:b/>
        </w:rPr>
      </w:pPr>
    </w:p>
    <w:p w:rsidR="00154DA8" w:rsidRPr="00501F1F" w:rsidRDefault="00154DA8" w:rsidP="00C13986">
      <w:pPr>
        <w:jc w:val="both"/>
        <w:rPr>
          <w:rFonts w:ascii="Times New Roman" w:hAnsi="Times New Roman"/>
        </w:rPr>
      </w:pPr>
      <w:r w:rsidRPr="00501F1F">
        <w:rPr>
          <w:rFonts w:ascii="Times New Roman" w:hAnsi="Times New Roman"/>
        </w:rPr>
        <w:t xml:space="preserve">The group noted the three main proposals that arose from the first presentation: </w:t>
      </w:r>
    </w:p>
    <w:p w:rsidR="00154DA8" w:rsidRPr="00501F1F" w:rsidRDefault="00154DA8" w:rsidP="00C13986">
      <w:pPr>
        <w:jc w:val="both"/>
        <w:rPr>
          <w:rFonts w:ascii="Times New Roman" w:hAnsi="Times New Roman"/>
        </w:rPr>
      </w:pPr>
    </w:p>
    <w:p w:rsidR="004B0935" w:rsidRPr="00501F1F" w:rsidRDefault="00154DA8" w:rsidP="00BF1C7D">
      <w:pPr>
        <w:pStyle w:val="ListParagraph"/>
        <w:numPr>
          <w:ilvl w:val="0"/>
          <w:numId w:val="7"/>
        </w:numPr>
        <w:jc w:val="both"/>
        <w:rPr>
          <w:rFonts w:ascii="Times New Roman" w:hAnsi="Times New Roman"/>
        </w:rPr>
      </w:pPr>
      <w:r w:rsidRPr="00501F1F">
        <w:rPr>
          <w:rFonts w:ascii="Times New Roman" w:hAnsi="Times New Roman"/>
        </w:rPr>
        <w:t>All disclosure must be submitted 30 days prior to the beginning of the trial</w:t>
      </w:r>
      <w:r w:rsidR="00BF1C7D" w:rsidRPr="00501F1F">
        <w:rPr>
          <w:rFonts w:ascii="Times New Roman" w:hAnsi="Times New Roman"/>
        </w:rPr>
        <w:t>;</w:t>
      </w:r>
      <w:r w:rsidRPr="00501F1F">
        <w:rPr>
          <w:rFonts w:ascii="Times New Roman" w:hAnsi="Times New Roman"/>
        </w:rPr>
        <w:t xml:space="preserve"> </w:t>
      </w:r>
    </w:p>
    <w:p w:rsidR="004B0935" w:rsidRPr="00501F1F" w:rsidRDefault="00BF1C7D" w:rsidP="00BD04BB">
      <w:pPr>
        <w:pStyle w:val="ListParagraph"/>
        <w:numPr>
          <w:ilvl w:val="0"/>
          <w:numId w:val="7"/>
        </w:numPr>
        <w:jc w:val="both"/>
        <w:rPr>
          <w:rFonts w:ascii="Times New Roman" w:hAnsi="Times New Roman"/>
          <w:u w:val="single"/>
        </w:rPr>
      </w:pPr>
      <w:r w:rsidRPr="00501F1F">
        <w:rPr>
          <w:rFonts w:ascii="Times New Roman" w:hAnsi="Times New Roman"/>
        </w:rPr>
        <w:t xml:space="preserve">The need for more rigorous case management duties of the Chambers; </w:t>
      </w:r>
    </w:p>
    <w:p w:rsidR="004B0935" w:rsidRPr="00501F1F" w:rsidRDefault="00BF1C7D" w:rsidP="00605A74">
      <w:pPr>
        <w:pStyle w:val="ListParagraph"/>
        <w:numPr>
          <w:ilvl w:val="0"/>
          <w:numId w:val="7"/>
        </w:numPr>
        <w:jc w:val="both"/>
        <w:outlineLvl w:val="0"/>
        <w:rPr>
          <w:rFonts w:ascii="Times New Roman" w:hAnsi="Times New Roman"/>
          <w:u w:val="single"/>
        </w:rPr>
      </w:pPr>
      <w:r w:rsidRPr="00501F1F">
        <w:rPr>
          <w:rFonts w:ascii="Times New Roman" w:hAnsi="Times New Roman"/>
        </w:rPr>
        <w:t xml:space="preserve">Greater emphasis </w:t>
      </w:r>
      <w:r w:rsidR="00A928F0" w:rsidRPr="00501F1F">
        <w:rPr>
          <w:rFonts w:ascii="Times New Roman" w:hAnsi="Times New Roman"/>
        </w:rPr>
        <w:t>to</w:t>
      </w:r>
      <w:r w:rsidRPr="00501F1F">
        <w:rPr>
          <w:rFonts w:ascii="Times New Roman" w:hAnsi="Times New Roman"/>
        </w:rPr>
        <w:t xml:space="preserve"> be placed on oral advocacy and relevant judicial training should be implemented.</w:t>
      </w:r>
      <w:r w:rsidR="00A928F0" w:rsidRPr="00501F1F">
        <w:rPr>
          <w:rFonts w:ascii="Times New Roman" w:hAnsi="Times New Roman"/>
        </w:rPr>
        <w:t xml:space="preserve"> </w:t>
      </w:r>
    </w:p>
    <w:p w:rsidR="004B0935" w:rsidRPr="00501F1F" w:rsidRDefault="004B0935" w:rsidP="004B0935">
      <w:pPr>
        <w:jc w:val="both"/>
        <w:outlineLvl w:val="0"/>
        <w:rPr>
          <w:rFonts w:ascii="Times New Roman" w:hAnsi="Times New Roman"/>
          <w:u w:val="single"/>
        </w:rPr>
      </w:pPr>
    </w:p>
    <w:p w:rsidR="00154DA8" w:rsidRPr="00501F1F" w:rsidRDefault="00154DA8" w:rsidP="004B0935">
      <w:pPr>
        <w:jc w:val="both"/>
        <w:outlineLvl w:val="0"/>
        <w:rPr>
          <w:rFonts w:ascii="Times New Roman" w:hAnsi="Times New Roman"/>
          <w:u w:val="single"/>
        </w:rPr>
      </w:pPr>
      <w:r w:rsidRPr="00501F1F">
        <w:rPr>
          <w:rFonts w:ascii="Times New Roman" w:hAnsi="Times New Roman"/>
          <w:u w:val="single"/>
        </w:rPr>
        <w:t xml:space="preserve">1.2.1 </w:t>
      </w:r>
      <w:r w:rsidR="00501F1F">
        <w:rPr>
          <w:rFonts w:ascii="Times New Roman" w:hAnsi="Times New Roman"/>
          <w:u w:val="single"/>
        </w:rPr>
        <w:t>Rule</w:t>
      </w:r>
      <w:r w:rsidRPr="00501F1F">
        <w:rPr>
          <w:rFonts w:ascii="Times New Roman" w:hAnsi="Times New Roman"/>
          <w:u w:val="single"/>
        </w:rPr>
        <w:t xml:space="preserve"> </w:t>
      </w:r>
      <w:r w:rsidR="00FB147D" w:rsidRPr="00501F1F">
        <w:rPr>
          <w:rFonts w:ascii="Times New Roman" w:hAnsi="Times New Roman"/>
          <w:u w:val="single"/>
        </w:rPr>
        <w:t xml:space="preserve">Change </w:t>
      </w:r>
      <w:r w:rsidRPr="00501F1F">
        <w:rPr>
          <w:rFonts w:ascii="Times New Roman" w:hAnsi="Times New Roman"/>
          <w:u w:val="single"/>
        </w:rPr>
        <w:t xml:space="preserve">v </w:t>
      </w:r>
      <w:r w:rsidR="00FB147D" w:rsidRPr="00501F1F">
        <w:rPr>
          <w:rFonts w:ascii="Times New Roman" w:hAnsi="Times New Roman"/>
          <w:u w:val="single"/>
        </w:rPr>
        <w:t xml:space="preserve">Change </w:t>
      </w:r>
      <w:r w:rsidRPr="00501F1F">
        <w:rPr>
          <w:rFonts w:ascii="Times New Roman" w:hAnsi="Times New Roman"/>
          <w:u w:val="single"/>
        </w:rPr>
        <w:t xml:space="preserve">in </w:t>
      </w:r>
      <w:r w:rsidR="00FB147D" w:rsidRPr="00501F1F">
        <w:rPr>
          <w:rFonts w:ascii="Times New Roman" w:hAnsi="Times New Roman"/>
          <w:u w:val="single"/>
        </w:rPr>
        <w:t xml:space="preserve">Practice </w:t>
      </w:r>
    </w:p>
    <w:p w:rsidR="00154DA8" w:rsidRPr="00501F1F" w:rsidRDefault="00154DA8" w:rsidP="00BD04BB">
      <w:pPr>
        <w:jc w:val="both"/>
        <w:rPr>
          <w:rFonts w:ascii="Times New Roman" w:hAnsi="Times New Roman"/>
        </w:rPr>
      </w:pPr>
    </w:p>
    <w:p w:rsidR="00154DA8" w:rsidRPr="00501F1F" w:rsidRDefault="00154DA8" w:rsidP="00720D91">
      <w:pPr>
        <w:jc w:val="both"/>
        <w:rPr>
          <w:rFonts w:ascii="Times New Roman" w:hAnsi="Times New Roman"/>
        </w:rPr>
      </w:pPr>
      <w:r w:rsidRPr="00501F1F">
        <w:rPr>
          <w:rFonts w:ascii="Times New Roman" w:hAnsi="Times New Roman"/>
        </w:rPr>
        <w:t xml:space="preserve">The main focus of the </w:t>
      </w:r>
      <w:r w:rsidR="00BF1C7D" w:rsidRPr="00501F1F">
        <w:rPr>
          <w:rFonts w:ascii="Times New Roman" w:hAnsi="Times New Roman"/>
        </w:rPr>
        <w:t xml:space="preserve">group </w:t>
      </w:r>
      <w:r w:rsidRPr="00501F1F">
        <w:rPr>
          <w:rFonts w:ascii="Times New Roman" w:hAnsi="Times New Roman"/>
        </w:rPr>
        <w:t xml:space="preserve">discussion emphasised that the current procedures for disclosure of evidence must be changed as they are not in the interests of justice. It was suggested that current practice was to ‘play’ the </w:t>
      </w:r>
      <w:r w:rsidR="00501F1F">
        <w:rPr>
          <w:rFonts w:ascii="Times New Roman" w:hAnsi="Times New Roman"/>
        </w:rPr>
        <w:t>Rule</w:t>
      </w:r>
      <w:r w:rsidR="006C1E59" w:rsidRPr="00501F1F">
        <w:rPr>
          <w:rFonts w:ascii="Times New Roman" w:hAnsi="Times New Roman"/>
        </w:rPr>
        <w:t>s;</w:t>
      </w:r>
      <w:r w:rsidRPr="00501F1F">
        <w:rPr>
          <w:rFonts w:ascii="Times New Roman" w:hAnsi="Times New Roman"/>
        </w:rPr>
        <w:t xml:space="preserve"> as such it is common for </w:t>
      </w:r>
      <w:r w:rsidR="00CB395C" w:rsidRPr="00501F1F">
        <w:rPr>
          <w:rFonts w:ascii="Times New Roman" w:hAnsi="Times New Roman"/>
        </w:rPr>
        <w:t>Defence</w:t>
      </w:r>
      <w:r w:rsidRPr="00501F1F">
        <w:rPr>
          <w:rFonts w:ascii="Times New Roman" w:hAnsi="Times New Roman"/>
        </w:rPr>
        <w:t xml:space="preserve"> Counsel to </w:t>
      </w:r>
      <w:r w:rsidR="004B0935" w:rsidRPr="00501F1F">
        <w:rPr>
          <w:rFonts w:ascii="Times New Roman" w:hAnsi="Times New Roman"/>
        </w:rPr>
        <w:t xml:space="preserve">receive large amounts of paper </w:t>
      </w:r>
      <w:r w:rsidR="0056613B" w:rsidRPr="00501F1F">
        <w:rPr>
          <w:rFonts w:ascii="Times New Roman" w:hAnsi="Times New Roman"/>
        </w:rPr>
        <w:t>shortly</w:t>
      </w:r>
      <w:r w:rsidRPr="00501F1F">
        <w:rPr>
          <w:rFonts w:ascii="Times New Roman" w:hAnsi="Times New Roman"/>
        </w:rPr>
        <w:t xml:space="preserve"> before the trial. The main implications of this current approach are that there is limited time to respond to witness statements and other information</w:t>
      </w:r>
      <w:r w:rsidR="00BF1C7D" w:rsidRPr="00501F1F">
        <w:rPr>
          <w:rFonts w:ascii="Times New Roman" w:hAnsi="Times New Roman"/>
        </w:rPr>
        <w:t xml:space="preserve"> and </w:t>
      </w:r>
      <w:r w:rsidRPr="00501F1F">
        <w:rPr>
          <w:rFonts w:ascii="Times New Roman" w:hAnsi="Times New Roman"/>
        </w:rPr>
        <w:t>to identify witnesses increas</w:t>
      </w:r>
      <w:r w:rsidR="00BF1C7D" w:rsidRPr="00501F1F">
        <w:rPr>
          <w:rFonts w:ascii="Times New Roman" w:hAnsi="Times New Roman"/>
        </w:rPr>
        <w:t>ing</w:t>
      </w:r>
      <w:r w:rsidRPr="00501F1F">
        <w:rPr>
          <w:rFonts w:ascii="Times New Roman" w:hAnsi="Times New Roman"/>
        </w:rPr>
        <w:t xml:space="preserve"> the possibility blackmail</w:t>
      </w:r>
      <w:r w:rsidR="00BF1C7D" w:rsidRPr="00501F1F">
        <w:rPr>
          <w:rFonts w:ascii="Times New Roman" w:hAnsi="Times New Roman"/>
        </w:rPr>
        <w:t xml:space="preserve"> attempts</w:t>
      </w:r>
      <w:r w:rsidRPr="00501F1F">
        <w:rPr>
          <w:rFonts w:ascii="Times New Roman" w:hAnsi="Times New Roman"/>
        </w:rPr>
        <w:t xml:space="preserve">. </w:t>
      </w:r>
    </w:p>
    <w:p w:rsidR="00154DA8" w:rsidRPr="00501F1F" w:rsidRDefault="00154DA8" w:rsidP="00BD04BB">
      <w:pPr>
        <w:jc w:val="both"/>
        <w:rPr>
          <w:rFonts w:ascii="Times New Roman" w:hAnsi="Times New Roman"/>
        </w:rPr>
      </w:pPr>
    </w:p>
    <w:p w:rsidR="00154DA8" w:rsidRPr="00501F1F" w:rsidRDefault="00154DA8" w:rsidP="00BD04BB">
      <w:pPr>
        <w:jc w:val="both"/>
        <w:rPr>
          <w:rFonts w:ascii="Times New Roman" w:hAnsi="Times New Roman"/>
        </w:rPr>
      </w:pPr>
      <w:r w:rsidRPr="00501F1F">
        <w:rPr>
          <w:rFonts w:ascii="Times New Roman" w:hAnsi="Times New Roman"/>
        </w:rPr>
        <w:t xml:space="preserve">It was considered that reform can be achieved either through </w:t>
      </w:r>
      <w:proofErr w:type="spellStart"/>
      <w:r w:rsidRPr="00501F1F">
        <w:rPr>
          <w:rFonts w:ascii="Times New Roman" w:hAnsi="Times New Roman"/>
        </w:rPr>
        <w:t>i</w:t>
      </w:r>
      <w:proofErr w:type="spellEnd"/>
      <w:r w:rsidRPr="00501F1F">
        <w:rPr>
          <w:rFonts w:ascii="Times New Roman" w:hAnsi="Times New Roman"/>
        </w:rPr>
        <w:t xml:space="preserve">) an amendment to the </w:t>
      </w:r>
      <w:r w:rsidR="00501F1F">
        <w:rPr>
          <w:rFonts w:ascii="Times New Roman" w:hAnsi="Times New Roman"/>
        </w:rPr>
        <w:t>Rule</w:t>
      </w:r>
      <w:r w:rsidRPr="00501F1F">
        <w:rPr>
          <w:rFonts w:ascii="Times New Roman" w:hAnsi="Times New Roman"/>
        </w:rPr>
        <w:t xml:space="preserve">s or by ii) encouraging practitioners to amend their behaviour and practice within the current regulatory framework. </w:t>
      </w:r>
    </w:p>
    <w:p w:rsidR="00154DA8" w:rsidRPr="00501F1F" w:rsidRDefault="00154DA8" w:rsidP="00BD04BB">
      <w:pPr>
        <w:jc w:val="both"/>
        <w:rPr>
          <w:rFonts w:ascii="Times New Roman" w:hAnsi="Times New Roman"/>
        </w:rPr>
      </w:pPr>
    </w:p>
    <w:p w:rsidR="00154DA8" w:rsidRPr="00501F1F" w:rsidRDefault="00154DA8" w:rsidP="001C2CDE">
      <w:pPr>
        <w:pStyle w:val="ListParagraph"/>
        <w:numPr>
          <w:ilvl w:val="0"/>
          <w:numId w:val="10"/>
        </w:numPr>
        <w:jc w:val="both"/>
        <w:rPr>
          <w:rFonts w:ascii="Times New Roman" w:hAnsi="Times New Roman"/>
          <w:i/>
        </w:rPr>
      </w:pPr>
      <w:r w:rsidRPr="00501F1F">
        <w:rPr>
          <w:rFonts w:ascii="Times New Roman" w:hAnsi="Times New Roman"/>
          <w:i/>
        </w:rPr>
        <w:t xml:space="preserve">Changing the </w:t>
      </w:r>
      <w:r w:rsidR="00501F1F">
        <w:rPr>
          <w:rFonts w:ascii="Times New Roman" w:hAnsi="Times New Roman"/>
          <w:i/>
        </w:rPr>
        <w:t>Rule</w:t>
      </w:r>
      <w:r w:rsidR="00A928F0" w:rsidRPr="00501F1F">
        <w:rPr>
          <w:rFonts w:ascii="Times New Roman" w:hAnsi="Times New Roman"/>
          <w:i/>
        </w:rPr>
        <w:t>s</w:t>
      </w:r>
      <w:r w:rsidRPr="00501F1F">
        <w:rPr>
          <w:rFonts w:ascii="Times New Roman" w:hAnsi="Times New Roman"/>
          <w:i/>
        </w:rPr>
        <w:t xml:space="preserve"> </w:t>
      </w:r>
    </w:p>
    <w:p w:rsidR="00154DA8" w:rsidRPr="00501F1F" w:rsidRDefault="00154DA8" w:rsidP="00BD04BB">
      <w:pPr>
        <w:jc w:val="both"/>
        <w:rPr>
          <w:rFonts w:ascii="Times New Roman" w:hAnsi="Times New Roman"/>
          <w:i/>
        </w:rPr>
      </w:pPr>
    </w:p>
    <w:p w:rsidR="00154DA8" w:rsidRPr="00501F1F" w:rsidRDefault="00350D0A" w:rsidP="00350D0A">
      <w:pPr>
        <w:jc w:val="both"/>
        <w:rPr>
          <w:rFonts w:ascii="Times New Roman" w:hAnsi="Times New Roman"/>
        </w:rPr>
      </w:pPr>
      <w:r>
        <w:rPr>
          <w:rFonts w:ascii="Times New Roman" w:hAnsi="Times New Roman"/>
        </w:rPr>
        <w:lastRenderedPageBreak/>
        <w:t>Some members of the</w:t>
      </w:r>
      <w:r w:rsidRPr="00501F1F">
        <w:rPr>
          <w:rFonts w:ascii="Times New Roman" w:hAnsi="Times New Roman"/>
        </w:rPr>
        <w:t xml:space="preserve"> </w:t>
      </w:r>
      <w:r w:rsidR="00BF1C7D" w:rsidRPr="00501F1F">
        <w:rPr>
          <w:rFonts w:ascii="Times New Roman" w:hAnsi="Times New Roman"/>
        </w:rPr>
        <w:t>group</w:t>
      </w:r>
      <w:r w:rsidR="00154DA8" w:rsidRPr="00501F1F">
        <w:rPr>
          <w:rFonts w:ascii="Times New Roman" w:hAnsi="Times New Roman"/>
        </w:rPr>
        <w:t xml:space="preserve"> noted that the current system </w:t>
      </w:r>
      <w:r>
        <w:rPr>
          <w:rFonts w:ascii="Times New Roman" w:hAnsi="Times New Roman"/>
        </w:rPr>
        <w:t>was</w:t>
      </w:r>
      <w:r w:rsidRPr="00501F1F">
        <w:rPr>
          <w:rFonts w:ascii="Times New Roman" w:hAnsi="Times New Roman"/>
        </w:rPr>
        <w:t xml:space="preserve"> </w:t>
      </w:r>
      <w:r w:rsidR="00154DA8" w:rsidRPr="00501F1F">
        <w:rPr>
          <w:rFonts w:ascii="Times New Roman" w:hAnsi="Times New Roman"/>
        </w:rPr>
        <w:t xml:space="preserve">not effective and as such there should be a change to </w:t>
      </w:r>
      <w:r w:rsidR="00501F1F">
        <w:rPr>
          <w:rFonts w:ascii="Times New Roman" w:hAnsi="Times New Roman"/>
        </w:rPr>
        <w:t>Rule</w:t>
      </w:r>
      <w:r w:rsidR="00154DA8" w:rsidRPr="00501F1F">
        <w:rPr>
          <w:rFonts w:ascii="Times New Roman" w:hAnsi="Times New Roman"/>
        </w:rPr>
        <w:t xml:space="preserve"> 121. It was observed that the </w:t>
      </w:r>
      <w:r w:rsidR="00501F1F">
        <w:rPr>
          <w:rFonts w:ascii="Times New Roman" w:hAnsi="Times New Roman"/>
        </w:rPr>
        <w:t>Rule</w:t>
      </w:r>
      <w:r w:rsidR="00154DA8" w:rsidRPr="00501F1F">
        <w:rPr>
          <w:rFonts w:ascii="Times New Roman" w:hAnsi="Times New Roman"/>
        </w:rPr>
        <w:t xml:space="preserve">s </w:t>
      </w:r>
      <w:r w:rsidR="00FB147D" w:rsidRPr="00501F1F">
        <w:rPr>
          <w:rFonts w:ascii="Times New Roman" w:hAnsi="Times New Roman"/>
        </w:rPr>
        <w:t>o</w:t>
      </w:r>
      <w:r w:rsidR="004B0935" w:rsidRPr="00501F1F">
        <w:rPr>
          <w:rFonts w:ascii="Times New Roman" w:hAnsi="Times New Roman"/>
        </w:rPr>
        <w:t>n</w:t>
      </w:r>
      <w:r w:rsidR="00FB147D" w:rsidRPr="00501F1F">
        <w:rPr>
          <w:rFonts w:ascii="Times New Roman" w:hAnsi="Times New Roman"/>
        </w:rPr>
        <w:t xml:space="preserve"> </w:t>
      </w:r>
      <w:r w:rsidR="00154DA8" w:rsidRPr="00501F1F">
        <w:rPr>
          <w:rFonts w:ascii="Times New Roman" w:hAnsi="Times New Roman"/>
        </w:rPr>
        <w:t xml:space="preserve">disclosure must be consistent with the Statute and so in the first </w:t>
      </w:r>
      <w:r w:rsidR="00BF1C7D" w:rsidRPr="00501F1F">
        <w:rPr>
          <w:rFonts w:ascii="Times New Roman" w:hAnsi="Times New Roman"/>
        </w:rPr>
        <w:t>instance</w:t>
      </w:r>
      <w:r w:rsidR="00347CD9" w:rsidRPr="00501F1F">
        <w:rPr>
          <w:rFonts w:ascii="Times New Roman" w:hAnsi="Times New Roman"/>
        </w:rPr>
        <w:t xml:space="preserve"> it </w:t>
      </w:r>
      <w:r>
        <w:rPr>
          <w:rFonts w:ascii="Times New Roman" w:hAnsi="Times New Roman"/>
        </w:rPr>
        <w:t>was the Rules</w:t>
      </w:r>
      <w:r w:rsidR="00347CD9" w:rsidRPr="00501F1F">
        <w:rPr>
          <w:rFonts w:ascii="Times New Roman" w:hAnsi="Times New Roman"/>
        </w:rPr>
        <w:t xml:space="preserve"> that</w:t>
      </w:r>
      <w:r w:rsidR="00154DA8" w:rsidRPr="00501F1F">
        <w:rPr>
          <w:rFonts w:ascii="Times New Roman" w:hAnsi="Times New Roman"/>
        </w:rPr>
        <w:t xml:space="preserve"> should be amended. If the </w:t>
      </w:r>
      <w:r w:rsidR="00501F1F">
        <w:rPr>
          <w:rFonts w:ascii="Times New Roman" w:hAnsi="Times New Roman"/>
        </w:rPr>
        <w:t>Rule</w:t>
      </w:r>
      <w:r w:rsidR="00FB147D" w:rsidRPr="00501F1F">
        <w:rPr>
          <w:rFonts w:ascii="Times New Roman" w:hAnsi="Times New Roman"/>
        </w:rPr>
        <w:t xml:space="preserve">s </w:t>
      </w:r>
      <w:r w:rsidR="00154DA8" w:rsidRPr="00501F1F">
        <w:rPr>
          <w:rFonts w:ascii="Times New Roman" w:hAnsi="Times New Roman"/>
        </w:rPr>
        <w:t xml:space="preserve">were to be changed, </w:t>
      </w:r>
      <w:r w:rsidR="00BF1C7D" w:rsidRPr="00501F1F">
        <w:rPr>
          <w:rFonts w:ascii="Times New Roman" w:hAnsi="Times New Roman"/>
        </w:rPr>
        <w:t xml:space="preserve">any </w:t>
      </w:r>
      <w:r w:rsidR="004B0935" w:rsidRPr="00501F1F">
        <w:rPr>
          <w:rFonts w:ascii="Times New Roman" w:hAnsi="Times New Roman"/>
        </w:rPr>
        <w:t>amendments</w:t>
      </w:r>
      <w:r w:rsidR="00BF1C7D" w:rsidRPr="00501F1F">
        <w:rPr>
          <w:rFonts w:ascii="Times New Roman" w:hAnsi="Times New Roman"/>
        </w:rPr>
        <w:t xml:space="preserve"> would need to take into account the inherent difficulties in obtaining approval for amendments to the </w:t>
      </w:r>
      <w:r w:rsidR="00501F1F">
        <w:rPr>
          <w:rFonts w:ascii="Times New Roman" w:hAnsi="Times New Roman"/>
        </w:rPr>
        <w:t>Rule</w:t>
      </w:r>
      <w:r w:rsidR="00BF1C7D" w:rsidRPr="00501F1F">
        <w:rPr>
          <w:rFonts w:ascii="Times New Roman" w:hAnsi="Times New Roman"/>
        </w:rPr>
        <w:t>s. To this end, the group outlined two a</w:t>
      </w:r>
      <w:r w:rsidR="00A928F0" w:rsidRPr="00501F1F">
        <w:rPr>
          <w:rFonts w:ascii="Times New Roman" w:hAnsi="Times New Roman"/>
        </w:rPr>
        <w:t xml:space="preserve">pproaches that could be adopted </w:t>
      </w:r>
      <w:proofErr w:type="spellStart"/>
      <w:r w:rsidR="00A928F0" w:rsidRPr="00501F1F">
        <w:rPr>
          <w:rFonts w:ascii="Times New Roman" w:hAnsi="Times New Roman"/>
        </w:rPr>
        <w:t>i</w:t>
      </w:r>
      <w:proofErr w:type="spellEnd"/>
      <w:r w:rsidR="00A928F0" w:rsidRPr="00501F1F">
        <w:rPr>
          <w:rFonts w:ascii="Times New Roman" w:hAnsi="Times New Roman"/>
        </w:rPr>
        <w:t xml:space="preserve">) </w:t>
      </w:r>
      <w:r w:rsidR="00BF1C7D" w:rsidRPr="00501F1F">
        <w:rPr>
          <w:rFonts w:ascii="Times New Roman" w:hAnsi="Times New Roman"/>
        </w:rPr>
        <w:t xml:space="preserve">revision of the current </w:t>
      </w:r>
      <w:r w:rsidR="00501F1F">
        <w:rPr>
          <w:rFonts w:ascii="Times New Roman" w:hAnsi="Times New Roman"/>
        </w:rPr>
        <w:t>Rule</w:t>
      </w:r>
      <w:r w:rsidR="00BF1C7D" w:rsidRPr="00501F1F">
        <w:rPr>
          <w:rFonts w:ascii="Times New Roman" w:hAnsi="Times New Roman"/>
        </w:rPr>
        <w:t xml:space="preserve">s or </w:t>
      </w:r>
      <w:r w:rsidR="00A928F0" w:rsidRPr="00501F1F">
        <w:rPr>
          <w:rFonts w:ascii="Times New Roman" w:hAnsi="Times New Roman"/>
        </w:rPr>
        <w:t xml:space="preserve">ii) </w:t>
      </w:r>
      <w:r w:rsidR="00BF1C7D" w:rsidRPr="00501F1F">
        <w:rPr>
          <w:rFonts w:ascii="Times New Roman" w:hAnsi="Times New Roman"/>
        </w:rPr>
        <w:t xml:space="preserve">new </w:t>
      </w:r>
      <w:r w:rsidR="00501F1F">
        <w:rPr>
          <w:rFonts w:ascii="Times New Roman" w:hAnsi="Times New Roman"/>
        </w:rPr>
        <w:t>Rule</w:t>
      </w:r>
      <w:r w:rsidR="00BF1C7D" w:rsidRPr="00501F1F">
        <w:rPr>
          <w:rFonts w:ascii="Times New Roman" w:hAnsi="Times New Roman"/>
        </w:rPr>
        <w:t>s to replace the existing one</w:t>
      </w:r>
      <w:r w:rsidR="00A928F0" w:rsidRPr="00501F1F">
        <w:rPr>
          <w:rFonts w:ascii="Times New Roman" w:hAnsi="Times New Roman"/>
        </w:rPr>
        <w:t>s</w:t>
      </w:r>
      <w:r w:rsidR="00BF1C7D" w:rsidRPr="00501F1F">
        <w:rPr>
          <w:rFonts w:ascii="Times New Roman" w:hAnsi="Times New Roman"/>
        </w:rPr>
        <w:t>.</w:t>
      </w:r>
    </w:p>
    <w:p w:rsidR="004B0935" w:rsidRPr="00501F1F" w:rsidRDefault="004B0935" w:rsidP="00BD04BB">
      <w:pPr>
        <w:jc w:val="both"/>
        <w:rPr>
          <w:rFonts w:ascii="Times New Roman" w:hAnsi="Times New Roman"/>
        </w:rPr>
      </w:pPr>
    </w:p>
    <w:p w:rsidR="00154DA8" w:rsidRPr="00501F1F" w:rsidRDefault="00154DA8" w:rsidP="00265449">
      <w:pPr>
        <w:jc w:val="both"/>
        <w:rPr>
          <w:rFonts w:ascii="Times New Roman" w:hAnsi="Times New Roman"/>
        </w:rPr>
      </w:pPr>
      <w:r w:rsidRPr="00501F1F">
        <w:rPr>
          <w:rFonts w:ascii="Times New Roman" w:hAnsi="Times New Roman"/>
        </w:rPr>
        <w:t xml:space="preserve">From the perspective of the </w:t>
      </w:r>
      <w:r w:rsidR="00CB395C" w:rsidRPr="00501F1F">
        <w:rPr>
          <w:rFonts w:ascii="Times New Roman" w:hAnsi="Times New Roman"/>
        </w:rPr>
        <w:t>Defence</w:t>
      </w:r>
      <w:r w:rsidR="004313B2" w:rsidRPr="00501F1F">
        <w:rPr>
          <w:rFonts w:ascii="Times New Roman" w:hAnsi="Times New Roman"/>
        </w:rPr>
        <w:t>,</w:t>
      </w:r>
      <w:r w:rsidRPr="00501F1F">
        <w:rPr>
          <w:rFonts w:ascii="Times New Roman" w:hAnsi="Times New Roman"/>
        </w:rPr>
        <w:t xml:space="preserve"> regulatory change </w:t>
      </w:r>
      <w:r w:rsidR="004313B2" w:rsidRPr="00501F1F">
        <w:rPr>
          <w:rFonts w:ascii="Times New Roman" w:hAnsi="Times New Roman"/>
        </w:rPr>
        <w:t>would be</w:t>
      </w:r>
      <w:r w:rsidRPr="00501F1F">
        <w:rPr>
          <w:rFonts w:ascii="Times New Roman" w:hAnsi="Times New Roman"/>
        </w:rPr>
        <w:t xml:space="preserve"> required as the</w:t>
      </w:r>
      <w:r w:rsidR="00C474A9" w:rsidRPr="00501F1F">
        <w:rPr>
          <w:rFonts w:ascii="Times New Roman" w:hAnsi="Times New Roman"/>
        </w:rPr>
        <w:t xml:space="preserve"> judiciary’s role is limited</w:t>
      </w:r>
      <w:r w:rsidR="004B0935" w:rsidRPr="00501F1F">
        <w:rPr>
          <w:rFonts w:ascii="Times New Roman" w:hAnsi="Times New Roman"/>
        </w:rPr>
        <w:t xml:space="preserve"> where procedure is</w:t>
      </w:r>
      <w:r w:rsidRPr="00501F1F">
        <w:rPr>
          <w:rFonts w:ascii="Times New Roman" w:hAnsi="Times New Roman"/>
        </w:rPr>
        <w:t xml:space="preserve"> not prescribed by the </w:t>
      </w:r>
      <w:r w:rsidR="00501F1F">
        <w:rPr>
          <w:rFonts w:ascii="Times New Roman" w:hAnsi="Times New Roman"/>
        </w:rPr>
        <w:t>Rule</w:t>
      </w:r>
      <w:r w:rsidRPr="00501F1F">
        <w:rPr>
          <w:rFonts w:ascii="Times New Roman" w:hAnsi="Times New Roman"/>
        </w:rPr>
        <w:t xml:space="preserve">s. Further to this, the role of the judiciary in managing the process and encouraging change in practice cannot always be relied upon due to the wide variation in different jurisdictions. </w:t>
      </w:r>
      <w:r w:rsidR="00A9012E" w:rsidRPr="00501F1F">
        <w:rPr>
          <w:rFonts w:ascii="Times New Roman" w:hAnsi="Times New Roman"/>
        </w:rPr>
        <w:t xml:space="preserve">The group noted that this can be evidenced by the </w:t>
      </w:r>
      <w:r w:rsidRPr="00501F1F">
        <w:rPr>
          <w:rFonts w:ascii="Times New Roman" w:hAnsi="Times New Roman"/>
        </w:rPr>
        <w:t>existence of a divergent jurisprudence between Chambers</w:t>
      </w:r>
      <w:r w:rsidR="00A9012E" w:rsidRPr="00501F1F">
        <w:rPr>
          <w:rFonts w:ascii="Times New Roman" w:hAnsi="Times New Roman"/>
        </w:rPr>
        <w:t>, which</w:t>
      </w:r>
      <w:r w:rsidRPr="00501F1F">
        <w:rPr>
          <w:rFonts w:ascii="Times New Roman" w:hAnsi="Times New Roman"/>
        </w:rPr>
        <w:t xml:space="preserve"> suggests that there needs to be tighter </w:t>
      </w:r>
      <w:r w:rsidR="00C474A9" w:rsidRPr="00501F1F">
        <w:rPr>
          <w:rFonts w:ascii="Times New Roman" w:hAnsi="Times New Roman"/>
        </w:rPr>
        <w:t xml:space="preserve">regulation and enforcement </w:t>
      </w:r>
      <w:r w:rsidRPr="00501F1F">
        <w:rPr>
          <w:rFonts w:ascii="Times New Roman" w:hAnsi="Times New Roman"/>
        </w:rPr>
        <w:t xml:space="preserve">in the OTP. This regulation should set out time limits on </w:t>
      </w:r>
      <w:r w:rsidR="00A9012E" w:rsidRPr="00501F1F">
        <w:rPr>
          <w:rFonts w:ascii="Times New Roman" w:hAnsi="Times New Roman"/>
        </w:rPr>
        <w:t xml:space="preserve">the </w:t>
      </w:r>
      <w:r w:rsidRPr="00501F1F">
        <w:rPr>
          <w:rFonts w:ascii="Times New Roman" w:hAnsi="Times New Roman"/>
        </w:rPr>
        <w:t>information</w:t>
      </w:r>
      <w:r w:rsidR="00A9012E" w:rsidRPr="00501F1F">
        <w:rPr>
          <w:rFonts w:ascii="Times New Roman" w:hAnsi="Times New Roman"/>
        </w:rPr>
        <w:t xml:space="preserve"> that</w:t>
      </w:r>
      <w:r w:rsidRPr="00501F1F">
        <w:rPr>
          <w:rFonts w:ascii="Times New Roman" w:hAnsi="Times New Roman"/>
        </w:rPr>
        <w:t xml:space="preserve"> is intended for use before trial. If the </w:t>
      </w:r>
      <w:r w:rsidR="00CB395C" w:rsidRPr="00501F1F">
        <w:rPr>
          <w:rFonts w:ascii="Times New Roman" w:hAnsi="Times New Roman"/>
        </w:rPr>
        <w:t>Prosecution</w:t>
      </w:r>
      <w:r w:rsidRPr="00501F1F">
        <w:rPr>
          <w:rFonts w:ascii="Times New Roman" w:hAnsi="Times New Roman"/>
        </w:rPr>
        <w:t xml:space="preserve"> wants to add to disclosure then there should be a</w:t>
      </w:r>
      <w:r w:rsidR="00A9012E" w:rsidRPr="00501F1F">
        <w:rPr>
          <w:rFonts w:ascii="Times New Roman" w:hAnsi="Times New Roman"/>
        </w:rPr>
        <w:t xml:space="preserve"> process that exists within the current regulatory</w:t>
      </w:r>
      <w:r w:rsidRPr="00501F1F">
        <w:rPr>
          <w:rFonts w:ascii="Times New Roman" w:hAnsi="Times New Roman"/>
        </w:rPr>
        <w:t xml:space="preserve"> framework. </w:t>
      </w:r>
    </w:p>
    <w:p w:rsidR="00154DA8" w:rsidRPr="00501F1F" w:rsidRDefault="00154DA8" w:rsidP="00BD04BB">
      <w:pPr>
        <w:jc w:val="both"/>
        <w:rPr>
          <w:rFonts w:ascii="Times New Roman" w:hAnsi="Times New Roman"/>
        </w:rPr>
      </w:pPr>
    </w:p>
    <w:p w:rsidR="00154DA8" w:rsidRPr="00501F1F" w:rsidRDefault="00154DA8" w:rsidP="00BD04BB">
      <w:pPr>
        <w:jc w:val="both"/>
        <w:rPr>
          <w:rFonts w:ascii="Times New Roman" w:hAnsi="Times New Roman"/>
        </w:rPr>
      </w:pPr>
      <w:r w:rsidRPr="00501F1F">
        <w:rPr>
          <w:rFonts w:ascii="Times New Roman" w:hAnsi="Times New Roman"/>
        </w:rPr>
        <w:t xml:space="preserve">It was suggested that a recommendation for a new provision for a 30-day </w:t>
      </w:r>
      <w:r w:rsidR="00501F1F">
        <w:rPr>
          <w:rFonts w:ascii="Times New Roman" w:hAnsi="Times New Roman"/>
        </w:rPr>
        <w:t>Rule</w:t>
      </w:r>
      <w:r w:rsidRPr="00501F1F">
        <w:rPr>
          <w:rFonts w:ascii="Times New Roman" w:hAnsi="Times New Roman"/>
        </w:rPr>
        <w:t xml:space="preserve"> is similar to the</w:t>
      </w:r>
      <w:r w:rsidR="004B0935" w:rsidRPr="00501F1F">
        <w:rPr>
          <w:rFonts w:ascii="Times New Roman" w:hAnsi="Times New Roman"/>
        </w:rPr>
        <w:t xml:space="preserve"> obligation on the </w:t>
      </w:r>
      <w:r w:rsidR="00CB395C" w:rsidRPr="00501F1F">
        <w:rPr>
          <w:rFonts w:ascii="Times New Roman" w:hAnsi="Times New Roman"/>
        </w:rPr>
        <w:t>Prosecution</w:t>
      </w:r>
      <w:r w:rsidRPr="00501F1F">
        <w:rPr>
          <w:rFonts w:ascii="Times New Roman" w:hAnsi="Times New Roman"/>
        </w:rPr>
        <w:t xml:space="preserve"> </w:t>
      </w:r>
      <w:r w:rsidR="00C474A9" w:rsidRPr="00501F1F">
        <w:rPr>
          <w:rFonts w:ascii="Times New Roman" w:hAnsi="Times New Roman"/>
        </w:rPr>
        <w:t xml:space="preserve">to </w:t>
      </w:r>
      <w:r w:rsidRPr="00501F1F">
        <w:rPr>
          <w:rFonts w:ascii="Times New Roman" w:hAnsi="Times New Roman"/>
        </w:rPr>
        <w:t xml:space="preserve">disclose if someone is in custody. </w:t>
      </w:r>
    </w:p>
    <w:p w:rsidR="00154DA8" w:rsidRPr="00501F1F" w:rsidRDefault="00154DA8" w:rsidP="00BD04BB">
      <w:pPr>
        <w:jc w:val="both"/>
        <w:rPr>
          <w:rFonts w:ascii="Times New Roman" w:hAnsi="Times New Roman"/>
        </w:rPr>
      </w:pPr>
    </w:p>
    <w:p w:rsidR="00154DA8" w:rsidRPr="00501F1F" w:rsidRDefault="00501F1F" w:rsidP="00BD04BB">
      <w:pPr>
        <w:jc w:val="both"/>
        <w:rPr>
          <w:rFonts w:ascii="Times New Roman" w:hAnsi="Times New Roman"/>
        </w:rPr>
      </w:pPr>
      <w:r>
        <w:rPr>
          <w:rFonts w:ascii="Times New Roman" w:hAnsi="Times New Roman"/>
        </w:rPr>
        <w:t>O</w:t>
      </w:r>
      <w:r w:rsidR="00A9012E" w:rsidRPr="00501F1F">
        <w:rPr>
          <w:rFonts w:ascii="Times New Roman" w:hAnsi="Times New Roman"/>
        </w:rPr>
        <w:t>ne overarching p</w:t>
      </w:r>
      <w:r w:rsidR="00A928F0" w:rsidRPr="00501F1F">
        <w:rPr>
          <w:rFonts w:ascii="Times New Roman" w:hAnsi="Times New Roman"/>
        </w:rPr>
        <w:t>rinciple to be adhered to</w:t>
      </w:r>
      <w:r>
        <w:rPr>
          <w:rFonts w:ascii="Times New Roman" w:hAnsi="Times New Roman"/>
        </w:rPr>
        <w:t xml:space="preserve"> when drafting new Rules </w:t>
      </w:r>
      <w:r w:rsidR="00A9012E" w:rsidRPr="00501F1F">
        <w:rPr>
          <w:rFonts w:ascii="Times New Roman" w:hAnsi="Times New Roman"/>
        </w:rPr>
        <w:t>is the preservation of judicial independence</w:t>
      </w:r>
      <w:r w:rsidR="00C474A9" w:rsidRPr="00501F1F">
        <w:rPr>
          <w:rFonts w:ascii="Times New Roman" w:hAnsi="Times New Roman"/>
        </w:rPr>
        <w:t xml:space="preserve">. </w:t>
      </w:r>
      <w:r w:rsidR="00154DA8" w:rsidRPr="00501F1F">
        <w:rPr>
          <w:rFonts w:ascii="Times New Roman" w:hAnsi="Times New Roman"/>
        </w:rPr>
        <w:t>This should be a common thread that will give power to the Court and an element of judicial discretion</w:t>
      </w:r>
      <w:r>
        <w:rPr>
          <w:rFonts w:ascii="Times New Roman" w:hAnsi="Times New Roman"/>
        </w:rPr>
        <w:t xml:space="preserve"> to</w:t>
      </w:r>
      <w:r w:rsidR="007B05F8" w:rsidRPr="00501F1F">
        <w:rPr>
          <w:rFonts w:ascii="Times New Roman" w:hAnsi="Times New Roman"/>
        </w:rPr>
        <w:t xml:space="preserve"> </w:t>
      </w:r>
      <w:r w:rsidR="00154DA8" w:rsidRPr="00501F1F">
        <w:rPr>
          <w:rFonts w:ascii="Times New Roman" w:hAnsi="Times New Roman"/>
        </w:rPr>
        <w:t xml:space="preserve">consider the Statute when developing jurisprudence. </w:t>
      </w:r>
    </w:p>
    <w:p w:rsidR="00C76BC7" w:rsidRPr="00501F1F" w:rsidRDefault="00C76BC7" w:rsidP="00BD04BB">
      <w:pPr>
        <w:jc w:val="both"/>
        <w:rPr>
          <w:rFonts w:ascii="Times New Roman" w:hAnsi="Times New Roman"/>
        </w:rPr>
      </w:pPr>
    </w:p>
    <w:p w:rsidR="00154DA8" w:rsidRPr="00501F1F" w:rsidRDefault="00C76BC7" w:rsidP="00BD04BB">
      <w:pPr>
        <w:jc w:val="both"/>
        <w:rPr>
          <w:rFonts w:ascii="Times New Roman" w:hAnsi="Times New Roman"/>
        </w:rPr>
      </w:pPr>
      <w:r w:rsidRPr="00501F1F">
        <w:rPr>
          <w:rFonts w:ascii="Times New Roman" w:hAnsi="Times New Roman"/>
        </w:rPr>
        <w:t xml:space="preserve">The current </w:t>
      </w:r>
      <w:r w:rsidR="00501F1F">
        <w:rPr>
          <w:rFonts w:ascii="Times New Roman" w:hAnsi="Times New Roman"/>
        </w:rPr>
        <w:t>Rule</w:t>
      </w:r>
      <w:r w:rsidRPr="00501F1F">
        <w:rPr>
          <w:rFonts w:ascii="Times New Roman" w:hAnsi="Times New Roman"/>
        </w:rPr>
        <w:t>s were negotiated by the A</w:t>
      </w:r>
      <w:r w:rsidR="00A9012E" w:rsidRPr="00501F1F">
        <w:rPr>
          <w:rFonts w:ascii="Times New Roman" w:hAnsi="Times New Roman"/>
        </w:rPr>
        <w:t xml:space="preserve">ssembly of </w:t>
      </w:r>
      <w:r w:rsidRPr="00501F1F">
        <w:rPr>
          <w:rFonts w:ascii="Times New Roman" w:hAnsi="Times New Roman"/>
        </w:rPr>
        <w:t>S</w:t>
      </w:r>
      <w:r w:rsidR="00A9012E" w:rsidRPr="00501F1F">
        <w:rPr>
          <w:rFonts w:ascii="Times New Roman" w:hAnsi="Times New Roman"/>
        </w:rPr>
        <w:t xml:space="preserve">tate </w:t>
      </w:r>
      <w:r w:rsidRPr="00501F1F">
        <w:rPr>
          <w:rFonts w:ascii="Times New Roman" w:hAnsi="Times New Roman"/>
        </w:rPr>
        <w:t>P</w:t>
      </w:r>
      <w:r w:rsidR="00A9012E" w:rsidRPr="00501F1F">
        <w:rPr>
          <w:rFonts w:ascii="Times New Roman" w:hAnsi="Times New Roman"/>
        </w:rPr>
        <w:t>arties (ASP)</w:t>
      </w:r>
      <w:r w:rsidRPr="00501F1F">
        <w:rPr>
          <w:rFonts w:ascii="Times New Roman" w:hAnsi="Times New Roman"/>
        </w:rPr>
        <w:t xml:space="preserve"> and the</w:t>
      </w:r>
      <w:r w:rsidR="00A9012E" w:rsidRPr="00501F1F">
        <w:rPr>
          <w:rFonts w:ascii="Times New Roman" w:hAnsi="Times New Roman"/>
        </w:rPr>
        <w:t xml:space="preserve"> need to renegotiate amendments may be problematic.</w:t>
      </w:r>
      <w:r w:rsidR="00154DA8" w:rsidRPr="00501F1F">
        <w:rPr>
          <w:rFonts w:ascii="Times New Roman" w:hAnsi="Times New Roman"/>
        </w:rPr>
        <w:t xml:space="preserve"> Therefore, it is important to consider alternative methods, such as encouraging a change in practice. Domestic experience [in </w:t>
      </w:r>
      <w:smartTag w:uri="urn:schemas-microsoft-com:office:smarttags" w:element="place">
        <w:smartTag w:uri="urn:schemas-microsoft-com:office:smarttags" w:element="country-region">
          <w:r w:rsidR="00154DA8" w:rsidRPr="00501F1F">
            <w:rPr>
              <w:rFonts w:ascii="Times New Roman" w:hAnsi="Times New Roman"/>
            </w:rPr>
            <w:t>Sweden</w:t>
          </w:r>
        </w:smartTag>
      </w:smartTag>
      <w:r w:rsidR="00154DA8" w:rsidRPr="00501F1F">
        <w:rPr>
          <w:rFonts w:ascii="Times New Roman" w:hAnsi="Times New Roman"/>
        </w:rPr>
        <w:t>] of implementing procedural reform favours the encouragement of change in practice. Th</w:t>
      </w:r>
      <w:r w:rsidR="00A9012E" w:rsidRPr="00501F1F">
        <w:rPr>
          <w:rFonts w:ascii="Times New Roman" w:hAnsi="Times New Roman"/>
        </w:rPr>
        <w:t xml:space="preserve">e group considered this approach to be </w:t>
      </w:r>
      <w:r w:rsidR="004B0935" w:rsidRPr="00501F1F">
        <w:rPr>
          <w:rFonts w:ascii="Times New Roman" w:hAnsi="Times New Roman"/>
        </w:rPr>
        <w:t xml:space="preserve">preferable </w:t>
      </w:r>
      <w:r w:rsidR="00154DA8" w:rsidRPr="00501F1F">
        <w:rPr>
          <w:rFonts w:ascii="Times New Roman" w:hAnsi="Times New Roman"/>
        </w:rPr>
        <w:t xml:space="preserve">to changing the </w:t>
      </w:r>
      <w:r w:rsidR="00501F1F">
        <w:rPr>
          <w:rFonts w:ascii="Times New Roman" w:hAnsi="Times New Roman"/>
        </w:rPr>
        <w:t>Rule</w:t>
      </w:r>
      <w:r w:rsidR="00735637" w:rsidRPr="00501F1F">
        <w:rPr>
          <w:rFonts w:ascii="Times New Roman" w:hAnsi="Times New Roman"/>
        </w:rPr>
        <w:t xml:space="preserve">s </w:t>
      </w:r>
      <w:r w:rsidR="00154DA8" w:rsidRPr="00501F1F">
        <w:rPr>
          <w:rFonts w:ascii="Times New Roman" w:hAnsi="Times New Roman"/>
        </w:rPr>
        <w:t xml:space="preserve">as that process can often be too complicated.  </w:t>
      </w:r>
    </w:p>
    <w:p w:rsidR="00C76BC7" w:rsidRPr="00501F1F" w:rsidRDefault="00C76BC7" w:rsidP="00BD04BB">
      <w:pPr>
        <w:jc w:val="both"/>
        <w:rPr>
          <w:rFonts w:ascii="Times New Roman" w:hAnsi="Times New Roman"/>
          <w:i/>
        </w:rPr>
      </w:pPr>
    </w:p>
    <w:p w:rsidR="00233A26" w:rsidRPr="00501F1F" w:rsidRDefault="00233A26" w:rsidP="00467D1B">
      <w:pPr>
        <w:pStyle w:val="ListParagraph"/>
        <w:numPr>
          <w:ilvl w:val="0"/>
          <w:numId w:val="10"/>
        </w:numPr>
        <w:jc w:val="both"/>
        <w:rPr>
          <w:rFonts w:ascii="Times New Roman" w:hAnsi="Times New Roman"/>
          <w:i/>
        </w:rPr>
      </w:pPr>
      <w:r w:rsidRPr="00501F1F">
        <w:rPr>
          <w:rFonts w:ascii="Times New Roman" w:hAnsi="Times New Roman"/>
          <w:i/>
        </w:rPr>
        <w:t xml:space="preserve">Changing Practice </w:t>
      </w:r>
    </w:p>
    <w:p w:rsidR="00154DA8" w:rsidRPr="00501F1F" w:rsidRDefault="00154DA8" w:rsidP="00BD04BB">
      <w:pPr>
        <w:jc w:val="both"/>
        <w:rPr>
          <w:rFonts w:ascii="Times New Roman" w:hAnsi="Times New Roman"/>
          <w:i/>
        </w:rPr>
      </w:pPr>
    </w:p>
    <w:p w:rsidR="00154DA8" w:rsidRPr="00501F1F" w:rsidRDefault="00154DA8" w:rsidP="00987A7C">
      <w:pPr>
        <w:jc w:val="both"/>
        <w:rPr>
          <w:rFonts w:ascii="Times New Roman" w:hAnsi="Times New Roman"/>
        </w:rPr>
      </w:pPr>
      <w:r w:rsidRPr="00501F1F">
        <w:rPr>
          <w:rFonts w:ascii="Times New Roman" w:hAnsi="Times New Roman"/>
        </w:rPr>
        <w:t>The</w:t>
      </w:r>
      <w:r w:rsidR="00A9012E" w:rsidRPr="00501F1F">
        <w:rPr>
          <w:rFonts w:ascii="Times New Roman" w:hAnsi="Times New Roman"/>
        </w:rPr>
        <w:t xml:space="preserve"> group commented upon the</w:t>
      </w:r>
      <w:r w:rsidRPr="00501F1F">
        <w:rPr>
          <w:rFonts w:ascii="Times New Roman" w:hAnsi="Times New Roman"/>
        </w:rPr>
        <w:t xml:space="preserve"> main change to be encouraged in practice</w:t>
      </w:r>
      <w:r w:rsidR="00A9012E" w:rsidRPr="00501F1F">
        <w:rPr>
          <w:rFonts w:ascii="Times New Roman" w:hAnsi="Times New Roman"/>
        </w:rPr>
        <w:t xml:space="preserve">; </w:t>
      </w:r>
      <w:r w:rsidR="004141CF" w:rsidRPr="00501F1F">
        <w:rPr>
          <w:rFonts w:ascii="Times New Roman" w:hAnsi="Times New Roman"/>
        </w:rPr>
        <w:t>t</w:t>
      </w:r>
      <w:r w:rsidRPr="00501F1F">
        <w:rPr>
          <w:rFonts w:ascii="Times New Roman" w:hAnsi="Times New Roman"/>
        </w:rPr>
        <w:t xml:space="preserve">he timely disclosure of all exculpatory evidence prior to the </w:t>
      </w:r>
      <w:r w:rsidR="00A9012E" w:rsidRPr="00501F1F">
        <w:rPr>
          <w:rFonts w:ascii="Times New Roman" w:hAnsi="Times New Roman"/>
        </w:rPr>
        <w:t>Confirmation Hearing</w:t>
      </w:r>
      <w:r w:rsidRPr="00501F1F">
        <w:rPr>
          <w:rFonts w:ascii="Times New Roman" w:hAnsi="Times New Roman"/>
        </w:rPr>
        <w:t>. An example was given of the S</w:t>
      </w:r>
      <w:r w:rsidR="00131F32" w:rsidRPr="00501F1F">
        <w:rPr>
          <w:rFonts w:ascii="Times New Roman" w:hAnsi="Times New Roman"/>
        </w:rPr>
        <w:t xml:space="preserve">pecial </w:t>
      </w:r>
      <w:r w:rsidRPr="00501F1F">
        <w:rPr>
          <w:rFonts w:ascii="Times New Roman" w:hAnsi="Times New Roman"/>
        </w:rPr>
        <w:t>C</w:t>
      </w:r>
      <w:r w:rsidR="00131F32" w:rsidRPr="00501F1F">
        <w:rPr>
          <w:rFonts w:ascii="Times New Roman" w:hAnsi="Times New Roman"/>
        </w:rPr>
        <w:t xml:space="preserve">ourt for </w:t>
      </w:r>
      <w:r w:rsidRPr="00501F1F">
        <w:rPr>
          <w:rFonts w:ascii="Times New Roman" w:hAnsi="Times New Roman"/>
        </w:rPr>
        <w:t>S</w:t>
      </w:r>
      <w:r w:rsidR="00131F32" w:rsidRPr="00501F1F">
        <w:rPr>
          <w:rFonts w:ascii="Times New Roman" w:hAnsi="Times New Roman"/>
        </w:rPr>
        <w:t xml:space="preserve">ierra </w:t>
      </w:r>
      <w:r w:rsidRPr="00501F1F">
        <w:rPr>
          <w:rFonts w:ascii="Times New Roman" w:hAnsi="Times New Roman"/>
        </w:rPr>
        <w:t>L</w:t>
      </w:r>
      <w:r w:rsidR="00131F32" w:rsidRPr="00501F1F">
        <w:rPr>
          <w:rFonts w:ascii="Times New Roman" w:hAnsi="Times New Roman"/>
        </w:rPr>
        <w:t>eone</w:t>
      </w:r>
      <w:r w:rsidRPr="00501F1F">
        <w:rPr>
          <w:rFonts w:ascii="Times New Roman" w:hAnsi="Times New Roman"/>
        </w:rPr>
        <w:t xml:space="preserve"> where there are 30 days to list all exculpatory evidence to start the </w:t>
      </w:r>
      <w:r w:rsidR="00CB395C" w:rsidRPr="00501F1F">
        <w:rPr>
          <w:rFonts w:ascii="Times New Roman" w:hAnsi="Times New Roman"/>
        </w:rPr>
        <w:t>Defence</w:t>
      </w:r>
      <w:r w:rsidRPr="00501F1F">
        <w:rPr>
          <w:rFonts w:ascii="Times New Roman" w:hAnsi="Times New Roman"/>
        </w:rPr>
        <w:t xml:space="preserve"> preparation. Cases are slowed unnecessarily if time limits are exceeded</w:t>
      </w:r>
      <w:r w:rsidR="004B0935" w:rsidRPr="00501F1F">
        <w:rPr>
          <w:rFonts w:ascii="Times New Roman" w:hAnsi="Times New Roman"/>
        </w:rPr>
        <w:t>.</w:t>
      </w:r>
      <w:r w:rsidRPr="00501F1F">
        <w:rPr>
          <w:rFonts w:ascii="Times New Roman" w:hAnsi="Times New Roman"/>
        </w:rPr>
        <w:t xml:space="preserve"> </w:t>
      </w:r>
      <w:r w:rsidR="00C76BC7" w:rsidRPr="00501F1F">
        <w:rPr>
          <w:rFonts w:ascii="Times New Roman" w:hAnsi="Times New Roman"/>
        </w:rPr>
        <w:t xml:space="preserve">To avoid </w:t>
      </w:r>
      <w:r w:rsidR="00A9012E" w:rsidRPr="00501F1F">
        <w:rPr>
          <w:rFonts w:ascii="Times New Roman" w:hAnsi="Times New Roman"/>
        </w:rPr>
        <w:t>this, the</w:t>
      </w:r>
      <w:r w:rsidR="00C76BC7" w:rsidRPr="00501F1F">
        <w:rPr>
          <w:rFonts w:ascii="Times New Roman" w:hAnsi="Times New Roman"/>
        </w:rPr>
        <w:t xml:space="preserve"> core of the evidence should be outlined in two or three critical documents and early disclosure must be assured</w:t>
      </w:r>
      <w:r w:rsidR="004B0935" w:rsidRPr="00501F1F">
        <w:rPr>
          <w:rFonts w:ascii="Times New Roman" w:hAnsi="Times New Roman"/>
        </w:rPr>
        <w:t xml:space="preserve"> </w:t>
      </w:r>
      <w:r w:rsidRPr="00501F1F">
        <w:rPr>
          <w:rFonts w:ascii="Times New Roman" w:hAnsi="Times New Roman"/>
        </w:rPr>
        <w:t xml:space="preserve">so that the </w:t>
      </w:r>
      <w:r w:rsidR="00CB395C" w:rsidRPr="00501F1F">
        <w:rPr>
          <w:rFonts w:ascii="Times New Roman" w:hAnsi="Times New Roman"/>
        </w:rPr>
        <w:t>Defence</w:t>
      </w:r>
      <w:r w:rsidR="00ED439E" w:rsidRPr="00501F1F">
        <w:rPr>
          <w:rFonts w:ascii="Times New Roman" w:hAnsi="Times New Roman"/>
        </w:rPr>
        <w:t xml:space="preserve"> </w:t>
      </w:r>
      <w:r w:rsidRPr="00501F1F">
        <w:rPr>
          <w:rFonts w:ascii="Times New Roman" w:hAnsi="Times New Roman"/>
        </w:rPr>
        <w:t xml:space="preserve">may be informed and know </w:t>
      </w:r>
      <w:r w:rsidR="00C76BC7" w:rsidRPr="00501F1F">
        <w:rPr>
          <w:rFonts w:ascii="Times New Roman" w:hAnsi="Times New Roman"/>
        </w:rPr>
        <w:t>the content of the</w:t>
      </w:r>
      <w:r w:rsidRPr="00501F1F">
        <w:rPr>
          <w:rFonts w:ascii="Times New Roman" w:hAnsi="Times New Roman"/>
        </w:rPr>
        <w:t xml:space="preserve"> </w:t>
      </w:r>
      <w:r w:rsidR="00C76BC7" w:rsidRPr="00501F1F">
        <w:rPr>
          <w:rFonts w:ascii="Times New Roman" w:hAnsi="Times New Roman"/>
        </w:rPr>
        <w:t>evidence</w:t>
      </w:r>
      <w:r w:rsidRPr="00501F1F">
        <w:rPr>
          <w:rFonts w:ascii="Times New Roman" w:hAnsi="Times New Roman"/>
        </w:rPr>
        <w:t xml:space="preserve">. </w:t>
      </w:r>
    </w:p>
    <w:p w:rsidR="00154DA8" w:rsidRPr="00501F1F" w:rsidRDefault="00154DA8" w:rsidP="00987A7C">
      <w:pPr>
        <w:jc w:val="both"/>
        <w:rPr>
          <w:rFonts w:ascii="Times New Roman" w:hAnsi="Times New Roman"/>
          <w:u w:val="single"/>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 xml:space="preserve">1.2.2 The Role of the Confirmation Hearing </w:t>
      </w:r>
    </w:p>
    <w:p w:rsidR="00154DA8" w:rsidRPr="00501F1F" w:rsidRDefault="00154DA8" w:rsidP="00BD04BB">
      <w:pPr>
        <w:jc w:val="both"/>
        <w:rPr>
          <w:rFonts w:ascii="Times New Roman" w:hAnsi="Times New Roman"/>
        </w:rPr>
      </w:pPr>
    </w:p>
    <w:p w:rsidR="00154DA8" w:rsidRPr="00501F1F" w:rsidRDefault="00C76BC7" w:rsidP="00350D0A">
      <w:pPr>
        <w:jc w:val="both"/>
        <w:rPr>
          <w:rFonts w:ascii="Times New Roman" w:hAnsi="Times New Roman"/>
        </w:rPr>
      </w:pPr>
      <w:r w:rsidRPr="00501F1F">
        <w:rPr>
          <w:rFonts w:ascii="Times New Roman" w:hAnsi="Times New Roman"/>
        </w:rPr>
        <w:t>The purpose of the Confirmation Hearing would be reviewed were a</w:t>
      </w:r>
      <w:r w:rsidR="00154DA8" w:rsidRPr="00501F1F">
        <w:rPr>
          <w:rFonts w:ascii="Times New Roman" w:hAnsi="Times New Roman"/>
        </w:rPr>
        <w:t>ny recommendations to change the disclosure procedure</w:t>
      </w:r>
      <w:r w:rsidR="00A9012E" w:rsidRPr="00501F1F">
        <w:rPr>
          <w:rFonts w:ascii="Times New Roman" w:hAnsi="Times New Roman"/>
        </w:rPr>
        <w:t xml:space="preserve"> to be </w:t>
      </w:r>
      <w:r w:rsidRPr="00501F1F">
        <w:rPr>
          <w:rFonts w:ascii="Times New Roman" w:hAnsi="Times New Roman"/>
        </w:rPr>
        <w:t xml:space="preserve">implemented. </w:t>
      </w:r>
      <w:r w:rsidR="00A9012E" w:rsidRPr="00501F1F">
        <w:rPr>
          <w:rFonts w:ascii="Times New Roman" w:hAnsi="Times New Roman"/>
        </w:rPr>
        <w:t>The group</w:t>
      </w:r>
      <w:r w:rsidR="00154DA8" w:rsidRPr="00501F1F">
        <w:rPr>
          <w:rFonts w:ascii="Times New Roman" w:hAnsi="Times New Roman"/>
        </w:rPr>
        <w:t xml:space="preserve"> observed that the Confirmation Hearing is not a trial and as such the evidentiary nature of the hearing should always be considered in conjunction with the philosophy and goals of disclosure.  It was </w:t>
      </w:r>
      <w:r w:rsidR="00A9012E" w:rsidRPr="00501F1F">
        <w:rPr>
          <w:rFonts w:ascii="Times New Roman" w:hAnsi="Times New Roman"/>
        </w:rPr>
        <w:t xml:space="preserve">noted </w:t>
      </w:r>
      <w:r w:rsidR="00154DA8" w:rsidRPr="00501F1F">
        <w:rPr>
          <w:rFonts w:ascii="Times New Roman" w:hAnsi="Times New Roman"/>
        </w:rPr>
        <w:t xml:space="preserve">that there is always a great deal of uneasiness relating to Confirmation Hearings. There is limited disclosure for confirmation purposes and it is a long process for all parties. The </w:t>
      </w:r>
      <w:r w:rsidR="00154DA8" w:rsidRPr="00501F1F">
        <w:rPr>
          <w:rFonts w:ascii="Times New Roman" w:hAnsi="Times New Roman"/>
        </w:rPr>
        <w:lastRenderedPageBreak/>
        <w:t xml:space="preserve">ICC has </w:t>
      </w:r>
      <w:r w:rsidR="00350D0A">
        <w:rPr>
          <w:rFonts w:ascii="Times New Roman" w:hAnsi="Times New Roman"/>
        </w:rPr>
        <w:t>in one case</w:t>
      </w:r>
      <w:r w:rsidR="00350D0A" w:rsidRPr="00501F1F">
        <w:rPr>
          <w:rFonts w:ascii="Times New Roman" w:hAnsi="Times New Roman"/>
        </w:rPr>
        <w:t xml:space="preserve"> </w:t>
      </w:r>
      <w:r w:rsidR="00154DA8" w:rsidRPr="00501F1F">
        <w:rPr>
          <w:rFonts w:ascii="Times New Roman" w:hAnsi="Times New Roman"/>
        </w:rPr>
        <w:t xml:space="preserve">ended up </w:t>
      </w:r>
      <w:r w:rsidR="00350D0A">
        <w:rPr>
          <w:rFonts w:ascii="Times New Roman" w:hAnsi="Times New Roman"/>
        </w:rPr>
        <w:t>disclosing in two batches.</w:t>
      </w:r>
      <w:r w:rsidR="00154DA8" w:rsidRPr="00501F1F">
        <w:rPr>
          <w:rFonts w:ascii="Times New Roman" w:hAnsi="Times New Roman"/>
        </w:rPr>
        <w:t xml:space="preserve"> The </w:t>
      </w:r>
      <w:r w:rsidR="001E14BB" w:rsidRPr="00501F1F">
        <w:rPr>
          <w:rFonts w:ascii="Times New Roman" w:hAnsi="Times New Roman"/>
        </w:rPr>
        <w:t xml:space="preserve">role of the </w:t>
      </w:r>
      <w:r w:rsidRPr="00501F1F">
        <w:rPr>
          <w:rFonts w:ascii="Times New Roman" w:hAnsi="Times New Roman"/>
        </w:rPr>
        <w:t xml:space="preserve">Confirmation Hearing was established </w:t>
      </w:r>
      <w:r w:rsidR="009F4CF7" w:rsidRPr="00501F1F">
        <w:rPr>
          <w:rFonts w:ascii="Times New Roman" w:hAnsi="Times New Roman"/>
        </w:rPr>
        <w:t xml:space="preserve">by Statute </w:t>
      </w:r>
      <w:r w:rsidR="001E14BB" w:rsidRPr="00501F1F">
        <w:rPr>
          <w:rFonts w:ascii="Times New Roman" w:hAnsi="Times New Roman"/>
        </w:rPr>
        <w:t>and needs to be limited to the purpose it is meant to serve.</w:t>
      </w:r>
      <w:r w:rsidRPr="00501F1F">
        <w:rPr>
          <w:rFonts w:ascii="Times New Roman" w:hAnsi="Times New Roman"/>
        </w:rPr>
        <w:t xml:space="preserve"> </w:t>
      </w:r>
    </w:p>
    <w:p w:rsidR="008B45E0" w:rsidRPr="00501F1F" w:rsidRDefault="008B45E0" w:rsidP="00987A7C">
      <w:pPr>
        <w:jc w:val="both"/>
        <w:rPr>
          <w:rFonts w:ascii="Times New Roman" w:hAnsi="Times New Roman"/>
        </w:rPr>
      </w:pPr>
    </w:p>
    <w:p w:rsidR="00154DA8" w:rsidRPr="00501F1F" w:rsidRDefault="00154DA8" w:rsidP="0066110F">
      <w:pPr>
        <w:jc w:val="both"/>
        <w:rPr>
          <w:rFonts w:ascii="Times New Roman" w:hAnsi="Times New Roman"/>
        </w:rPr>
      </w:pPr>
      <w:r w:rsidRPr="00501F1F">
        <w:rPr>
          <w:rFonts w:ascii="Times New Roman" w:hAnsi="Times New Roman"/>
        </w:rPr>
        <w:t xml:space="preserve">The Confirmation Hearing should essentially be a filtering process of </w:t>
      </w:r>
      <w:r w:rsidR="001E14BB" w:rsidRPr="00501F1F">
        <w:rPr>
          <w:rFonts w:ascii="Times New Roman" w:hAnsi="Times New Roman"/>
        </w:rPr>
        <w:t xml:space="preserve">cases that </w:t>
      </w:r>
      <w:r w:rsidRPr="00501F1F">
        <w:rPr>
          <w:rFonts w:ascii="Times New Roman" w:hAnsi="Times New Roman"/>
        </w:rPr>
        <w:t xml:space="preserve">should </w:t>
      </w:r>
      <w:r w:rsidR="001E14BB" w:rsidRPr="00501F1F">
        <w:rPr>
          <w:rFonts w:ascii="Times New Roman" w:hAnsi="Times New Roman"/>
        </w:rPr>
        <w:t>proceed to trial</w:t>
      </w:r>
      <w:r w:rsidRPr="00501F1F">
        <w:rPr>
          <w:rFonts w:ascii="Times New Roman" w:hAnsi="Times New Roman"/>
        </w:rPr>
        <w:t xml:space="preserve">. </w:t>
      </w:r>
      <w:r w:rsidR="001E14BB" w:rsidRPr="00501F1F">
        <w:rPr>
          <w:rFonts w:ascii="Times New Roman" w:hAnsi="Times New Roman"/>
        </w:rPr>
        <w:t>Therefore, it was suggested that a</w:t>
      </w:r>
      <w:r w:rsidRPr="00501F1F">
        <w:rPr>
          <w:rFonts w:ascii="Times New Roman" w:hAnsi="Times New Roman"/>
        </w:rPr>
        <w:t xml:space="preserve">ny evidence should be brought on timely, speedily and precisely. It was noted that the filtering function of the hearing is the most important thing. For Article 58 applications the hearing is the first opportunity for a defendant to </w:t>
      </w:r>
      <w:r w:rsidR="004141CF" w:rsidRPr="00501F1F">
        <w:rPr>
          <w:rFonts w:ascii="Times New Roman" w:hAnsi="Times New Roman"/>
        </w:rPr>
        <w:t xml:space="preserve">raise any objections regarding the charges brought against them. </w:t>
      </w:r>
    </w:p>
    <w:p w:rsidR="00154DA8" w:rsidRPr="00501F1F" w:rsidRDefault="00154DA8" w:rsidP="0066110F">
      <w:pPr>
        <w:jc w:val="both"/>
        <w:rPr>
          <w:rFonts w:ascii="Times New Roman" w:hAnsi="Times New Roman"/>
        </w:rPr>
      </w:pPr>
    </w:p>
    <w:p w:rsidR="00154DA8" w:rsidRPr="00501F1F" w:rsidRDefault="00154DA8" w:rsidP="0066110F">
      <w:pPr>
        <w:jc w:val="both"/>
        <w:rPr>
          <w:rFonts w:ascii="Times New Roman" w:hAnsi="Times New Roman"/>
        </w:rPr>
      </w:pPr>
      <w:r w:rsidRPr="00501F1F">
        <w:rPr>
          <w:rFonts w:ascii="Times New Roman" w:hAnsi="Times New Roman"/>
        </w:rPr>
        <w:t>In addition to this filtering function, the Confirmation Hearing should have a regulatory function wherein it should question the non-disclosure of evidence</w:t>
      </w:r>
      <w:r w:rsidR="001E14BB" w:rsidRPr="00501F1F">
        <w:rPr>
          <w:rFonts w:ascii="Times New Roman" w:hAnsi="Times New Roman"/>
        </w:rPr>
        <w:t xml:space="preserve"> and any compelling reasons against complete disclosure, such as the need for the </w:t>
      </w:r>
      <w:r w:rsidR="00CB395C" w:rsidRPr="00501F1F">
        <w:rPr>
          <w:rFonts w:ascii="Times New Roman" w:hAnsi="Times New Roman"/>
        </w:rPr>
        <w:t>Prosecution</w:t>
      </w:r>
      <w:r w:rsidR="001E14BB" w:rsidRPr="00501F1F">
        <w:rPr>
          <w:rFonts w:ascii="Times New Roman" w:hAnsi="Times New Roman"/>
        </w:rPr>
        <w:t xml:space="preserve"> to withhold evidence from the </w:t>
      </w:r>
      <w:r w:rsidR="00CB395C" w:rsidRPr="00501F1F">
        <w:rPr>
          <w:rFonts w:ascii="Times New Roman" w:hAnsi="Times New Roman"/>
        </w:rPr>
        <w:t>Defence</w:t>
      </w:r>
      <w:r w:rsidR="008B45E0" w:rsidRPr="00501F1F">
        <w:rPr>
          <w:rFonts w:ascii="Times New Roman" w:hAnsi="Times New Roman"/>
        </w:rPr>
        <w:t>.</w:t>
      </w:r>
    </w:p>
    <w:p w:rsidR="008B45E0" w:rsidRPr="00501F1F" w:rsidRDefault="008B45E0" w:rsidP="0066110F">
      <w:pPr>
        <w:jc w:val="both"/>
        <w:rPr>
          <w:rFonts w:ascii="Times New Roman" w:hAnsi="Times New Roman"/>
        </w:rPr>
      </w:pPr>
    </w:p>
    <w:p w:rsidR="00154DA8" w:rsidRPr="00501F1F" w:rsidRDefault="00154DA8" w:rsidP="00815A6D">
      <w:pPr>
        <w:jc w:val="both"/>
        <w:rPr>
          <w:rFonts w:ascii="Times New Roman" w:hAnsi="Times New Roman"/>
        </w:rPr>
      </w:pPr>
      <w:r w:rsidRPr="00501F1F">
        <w:rPr>
          <w:rFonts w:ascii="Times New Roman" w:hAnsi="Times New Roman"/>
        </w:rPr>
        <w:t xml:space="preserve">From the point of view of </w:t>
      </w:r>
      <w:r w:rsidR="00A928F0" w:rsidRPr="00501F1F">
        <w:rPr>
          <w:rFonts w:ascii="Times New Roman" w:hAnsi="Times New Roman"/>
        </w:rPr>
        <w:t>Judges</w:t>
      </w:r>
      <w:r w:rsidR="004141CF" w:rsidRPr="00501F1F">
        <w:rPr>
          <w:rFonts w:ascii="Times New Roman" w:hAnsi="Times New Roman"/>
        </w:rPr>
        <w:t>,</w:t>
      </w:r>
      <w:r w:rsidRPr="00501F1F">
        <w:rPr>
          <w:rFonts w:ascii="Times New Roman" w:hAnsi="Times New Roman"/>
        </w:rPr>
        <w:t xml:space="preserve"> the</w:t>
      </w:r>
      <w:r w:rsidR="004141CF" w:rsidRPr="00501F1F">
        <w:rPr>
          <w:rFonts w:ascii="Times New Roman" w:hAnsi="Times New Roman"/>
        </w:rPr>
        <w:t>y</w:t>
      </w:r>
      <w:r w:rsidRPr="00501F1F">
        <w:rPr>
          <w:rFonts w:ascii="Times New Roman" w:hAnsi="Times New Roman"/>
        </w:rPr>
        <w:t xml:space="preserve"> must </w:t>
      </w:r>
      <w:r w:rsidR="00A9012E" w:rsidRPr="00501F1F">
        <w:rPr>
          <w:rFonts w:ascii="Times New Roman" w:hAnsi="Times New Roman"/>
        </w:rPr>
        <w:t xml:space="preserve">achieve </w:t>
      </w:r>
      <w:r w:rsidRPr="00501F1F">
        <w:rPr>
          <w:rFonts w:ascii="Times New Roman" w:hAnsi="Times New Roman"/>
        </w:rPr>
        <w:t>greater clarity at the confirmation stage</w:t>
      </w:r>
      <w:r w:rsidR="00A9012E" w:rsidRPr="00501F1F">
        <w:rPr>
          <w:rFonts w:ascii="Times New Roman" w:hAnsi="Times New Roman"/>
        </w:rPr>
        <w:t xml:space="preserve"> by</w:t>
      </w:r>
      <w:r w:rsidR="001E14BB" w:rsidRPr="00501F1F">
        <w:rPr>
          <w:rFonts w:ascii="Times New Roman" w:hAnsi="Times New Roman"/>
        </w:rPr>
        <w:t xml:space="preserve"> addressing reasons for proceeding with the </w:t>
      </w:r>
      <w:r w:rsidR="00A9012E" w:rsidRPr="00501F1F">
        <w:rPr>
          <w:rFonts w:ascii="Times New Roman" w:hAnsi="Times New Roman"/>
        </w:rPr>
        <w:t>trial. Essentially</w:t>
      </w:r>
      <w:r w:rsidRPr="00501F1F">
        <w:rPr>
          <w:rFonts w:ascii="Times New Roman" w:hAnsi="Times New Roman"/>
        </w:rPr>
        <w:t xml:space="preserve">, disclosure is dependent on confirmation. </w:t>
      </w:r>
    </w:p>
    <w:p w:rsidR="00154DA8" w:rsidRPr="00501F1F" w:rsidRDefault="00154DA8" w:rsidP="00815A6D">
      <w:pPr>
        <w:jc w:val="both"/>
        <w:rPr>
          <w:rFonts w:ascii="Times New Roman" w:hAnsi="Times New Roman"/>
        </w:rPr>
      </w:pPr>
    </w:p>
    <w:p w:rsidR="008B45E0" w:rsidRPr="00501F1F" w:rsidRDefault="00154DA8" w:rsidP="00605A74">
      <w:pPr>
        <w:jc w:val="both"/>
        <w:outlineLvl w:val="0"/>
        <w:rPr>
          <w:rFonts w:ascii="Times New Roman" w:hAnsi="Times New Roman"/>
        </w:rPr>
      </w:pPr>
      <w:r w:rsidRPr="00501F1F">
        <w:rPr>
          <w:rFonts w:ascii="Times New Roman" w:hAnsi="Times New Roman"/>
        </w:rPr>
        <w:t>It was suggested that the purpose of the Confirmation Hearing</w:t>
      </w:r>
      <w:r w:rsidR="00382B6E">
        <w:rPr>
          <w:rFonts w:ascii="Times New Roman" w:hAnsi="Times New Roman"/>
        </w:rPr>
        <w:t xml:space="preserve"> is</w:t>
      </w:r>
      <w:r w:rsidRPr="00501F1F">
        <w:rPr>
          <w:rFonts w:ascii="Times New Roman" w:hAnsi="Times New Roman"/>
        </w:rPr>
        <w:t xml:space="preserve"> </w:t>
      </w:r>
      <w:r w:rsidR="005B3A8F" w:rsidRPr="00501F1F">
        <w:rPr>
          <w:rFonts w:ascii="Times New Roman" w:hAnsi="Times New Roman"/>
        </w:rPr>
        <w:t xml:space="preserve">to determine the rationale for proceeding to trial and should necessitate full disclosure. </w:t>
      </w:r>
      <w:r w:rsidRPr="00501F1F">
        <w:rPr>
          <w:rFonts w:ascii="Times New Roman" w:hAnsi="Times New Roman"/>
        </w:rPr>
        <w:t xml:space="preserve">It was noted that there is a duty to investigate the full evidence, both </w:t>
      </w:r>
      <w:proofErr w:type="spellStart"/>
      <w:r w:rsidRPr="00501F1F">
        <w:rPr>
          <w:rFonts w:ascii="Times New Roman" w:hAnsi="Times New Roman"/>
        </w:rPr>
        <w:t>inculpatory</w:t>
      </w:r>
      <w:proofErr w:type="spellEnd"/>
      <w:r w:rsidRPr="00501F1F">
        <w:rPr>
          <w:rFonts w:ascii="Times New Roman" w:hAnsi="Times New Roman"/>
        </w:rPr>
        <w:t xml:space="preserve"> and exculpatory. The latter should be stringently disclosed. It is also important to link the end of the confirmation process to the beginning of the trial</w:t>
      </w:r>
      <w:r w:rsidR="004141CF" w:rsidRPr="00501F1F">
        <w:rPr>
          <w:rFonts w:ascii="Times New Roman" w:hAnsi="Times New Roman"/>
        </w:rPr>
        <w:t xml:space="preserve"> so that the process of disclosure is clear. </w:t>
      </w:r>
    </w:p>
    <w:p w:rsidR="008B45E0" w:rsidRPr="00501F1F" w:rsidRDefault="008B45E0" w:rsidP="00605A74">
      <w:pPr>
        <w:jc w:val="both"/>
        <w:outlineLvl w:val="0"/>
        <w:rPr>
          <w:rFonts w:ascii="Times New Roman" w:hAnsi="Times New Roman"/>
        </w:rPr>
      </w:pPr>
    </w:p>
    <w:p w:rsidR="00154DA8" w:rsidRPr="00501F1F" w:rsidRDefault="00154DA8" w:rsidP="00605A74">
      <w:pPr>
        <w:jc w:val="both"/>
        <w:outlineLvl w:val="0"/>
        <w:rPr>
          <w:rFonts w:ascii="Times New Roman" w:hAnsi="Times New Roman"/>
          <w:i/>
        </w:rPr>
      </w:pPr>
      <w:r w:rsidRPr="00501F1F">
        <w:rPr>
          <w:rFonts w:ascii="Times New Roman" w:hAnsi="Times New Roman"/>
          <w:i/>
        </w:rPr>
        <w:t xml:space="preserve">What is meant by disclosure? </w:t>
      </w:r>
    </w:p>
    <w:p w:rsidR="00154DA8" w:rsidRPr="00501F1F" w:rsidRDefault="00154DA8" w:rsidP="00987A7C">
      <w:pPr>
        <w:jc w:val="both"/>
        <w:rPr>
          <w:rFonts w:ascii="Times New Roman" w:hAnsi="Times New Roman"/>
          <w:i/>
        </w:rPr>
      </w:pPr>
    </w:p>
    <w:p w:rsidR="00154DA8" w:rsidRPr="00501F1F" w:rsidRDefault="007B05F8" w:rsidP="00BD04BB">
      <w:pPr>
        <w:jc w:val="both"/>
        <w:rPr>
          <w:rFonts w:ascii="Times New Roman" w:hAnsi="Times New Roman"/>
        </w:rPr>
      </w:pPr>
      <w:r w:rsidRPr="00501F1F">
        <w:rPr>
          <w:rFonts w:ascii="Times New Roman" w:hAnsi="Times New Roman"/>
        </w:rPr>
        <w:t xml:space="preserve">The group discussion regarding the Confirmation Hearing focused heavily upon the definition of disclosure. </w:t>
      </w:r>
      <w:r w:rsidR="00154DA8" w:rsidRPr="00501F1F">
        <w:rPr>
          <w:rFonts w:ascii="Times New Roman" w:hAnsi="Times New Roman"/>
        </w:rPr>
        <w:t>Clarification of the purpose of the Confirmation Hearing can be achieved by clarifying what is meant by disclosure</w:t>
      </w:r>
      <w:r w:rsidR="005B3A8F" w:rsidRPr="00501F1F">
        <w:rPr>
          <w:rFonts w:ascii="Times New Roman" w:hAnsi="Times New Roman"/>
        </w:rPr>
        <w:t xml:space="preserve">. This does not necessarily require the Statute to be amended. </w:t>
      </w:r>
      <w:r w:rsidR="00154DA8" w:rsidRPr="00501F1F">
        <w:rPr>
          <w:rFonts w:ascii="Times New Roman" w:hAnsi="Times New Roman"/>
        </w:rPr>
        <w:t xml:space="preserve">The principal consideration at the Confirmation Hearing </w:t>
      </w:r>
      <w:r w:rsidR="00427F3A" w:rsidRPr="00501F1F">
        <w:rPr>
          <w:rFonts w:ascii="Times New Roman" w:hAnsi="Times New Roman"/>
        </w:rPr>
        <w:t>is to</w:t>
      </w:r>
      <w:r w:rsidR="005B3A8F" w:rsidRPr="00501F1F">
        <w:rPr>
          <w:rFonts w:ascii="Times New Roman" w:hAnsi="Times New Roman"/>
        </w:rPr>
        <w:t xml:space="preserve"> ensur</w:t>
      </w:r>
      <w:r w:rsidR="00427F3A" w:rsidRPr="00501F1F">
        <w:rPr>
          <w:rFonts w:ascii="Times New Roman" w:hAnsi="Times New Roman"/>
        </w:rPr>
        <w:t>e</w:t>
      </w:r>
      <w:r w:rsidR="005B3A8F" w:rsidRPr="00501F1F">
        <w:rPr>
          <w:rFonts w:ascii="Times New Roman" w:hAnsi="Times New Roman"/>
        </w:rPr>
        <w:t xml:space="preserve"> that the </w:t>
      </w:r>
      <w:r w:rsidR="00CB395C" w:rsidRPr="00501F1F">
        <w:rPr>
          <w:rFonts w:ascii="Times New Roman" w:hAnsi="Times New Roman"/>
        </w:rPr>
        <w:t>Prosecution</w:t>
      </w:r>
      <w:r w:rsidR="005B3A8F" w:rsidRPr="00501F1F">
        <w:rPr>
          <w:rFonts w:ascii="Times New Roman" w:hAnsi="Times New Roman"/>
        </w:rPr>
        <w:t xml:space="preserve"> has met its obligations by attaining the required threshold of evidence. This places pressure on the </w:t>
      </w:r>
      <w:r w:rsidR="00CB395C" w:rsidRPr="00501F1F">
        <w:rPr>
          <w:rFonts w:ascii="Times New Roman" w:hAnsi="Times New Roman"/>
        </w:rPr>
        <w:t>Prosecution</w:t>
      </w:r>
      <w:r w:rsidR="005B3A8F" w:rsidRPr="00501F1F">
        <w:rPr>
          <w:rFonts w:ascii="Times New Roman" w:hAnsi="Times New Roman"/>
        </w:rPr>
        <w:t xml:space="preserve"> and </w:t>
      </w:r>
      <w:r w:rsidR="00CB395C" w:rsidRPr="00501F1F">
        <w:rPr>
          <w:rFonts w:ascii="Times New Roman" w:hAnsi="Times New Roman"/>
        </w:rPr>
        <w:t>Defence</w:t>
      </w:r>
      <w:r w:rsidR="005B3A8F" w:rsidRPr="00501F1F">
        <w:rPr>
          <w:rFonts w:ascii="Times New Roman" w:hAnsi="Times New Roman"/>
        </w:rPr>
        <w:t xml:space="preserve"> to be ready for trial and avoids any duplicity of disclosure. </w:t>
      </w:r>
    </w:p>
    <w:p w:rsidR="007B05F8" w:rsidRPr="00501F1F" w:rsidRDefault="007B05F8" w:rsidP="00BD04BB">
      <w:pPr>
        <w:jc w:val="both"/>
        <w:rPr>
          <w:rFonts w:ascii="Times New Roman" w:hAnsi="Times New Roman"/>
        </w:rPr>
      </w:pPr>
    </w:p>
    <w:p w:rsidR="008B45E0" w:rsidRPr="00350D0A" w:rsidRDefault="00154DA8" w:rsidP="0066110F">
      <w:pPr>
        <w:jc w:val="both"/>
        <w:rPr>
          <w:rFonts w:asciiTheme="majorBidi" w:hAnsiTheme="majorBidi" w:cstheme="majorBidi"/>
        </w:rPr>
      </w:pPr>
      <w:r w:rsidRPr="00501F1F">
        <w:rPr>
          <w:rFonts w:ascii="Times New Roman" w:hAnsi="Times New Roman"/>
        </w:rPr>
        <w:t>Overall, the</w:t>
      </w:r>
      <w:r w:rsidR="00427F3A" w:rsidRPr="00501F1F">
        <w:rPr>
          <w:rFonts w:ascii="Times New Roman" w:hAnsi="Times New Roman"/>
        </w:rPr>
        <w:t xml:space="preserve"> group maintained that there</w:t>
      </w:r>
      <w:r w:rsidRPr="00501F1F">
        <w:rPr>
          <w:rFonts w:ascii="Times New Roman" w:hAnsi="Times New Roman"/>
        </w:rPr>
        <w:t xml:space="preserve"> should be maximum disclosure at an early stage, although it was noted that the</w:t>
      </w:r>
      <w:r w:rsidR="004141CF" w:rsidRPr="00501F1F">
        <w:rPr>
          <w:rFonts w:ascii="Times New Roman" w:hAnsi="Times New Roman"/>
        </w:rPr>
        <w:t xml:space="preserve"> process of</w:t>
      </w:r>
      <w:r w:rsidRPr="00501F1F">
        <w:rPr>
          <w:rFonts w:ascii="Times New Roman" w:hAnsi="Times New Roman"/>
        </w:rPr>
        <w:t xml:space="preserve"> disclosure of </w:t>
      </w:r>
      <w:proofErr w:type="spellStart"/>
      <w:r w:rsidRPr="00501F1F">
        <w:rPr>
          <w:rFonts w:ascii="Times New Roman" w:hAnsi="Times New Roman"/>
        </w:rPr>
        <w:t>inculpatory</w:t>
      </w:r>
      <w:proofErr w:type="spellEnd"/>
      <w:r w:rsidRPr="00501F1F">
        <w:rPr>
          <w:rFonts w:ascii="Times New Roman" w:hAnsi="Times New Roman"/>
        </w:rPr>
        <w:t xml:space="preserve"> and exculpatory evidence may vary. Therefore it is necessary for the </w:t>
      </w:r>
      <w:r w:rsidR="00CB395C" w:rsidRPr="00501F1F">
        <w:rPr>
          <w:rFonts w:ascii="Times New Roman" w:hAnsi="Times New Roman"/>
        </w:rPr>
        <w:t>Prosecution</w:t>
      </w:r>
      <w:r w:rsidRPr="00501F1F">
        <w:rPr>
          <w:rFonts w:ascii="Times New Roman" w:hAnsi="Times New Roman"/>
        </w:rPr>
        <w:t xml:space="preserve"> to have a very clear timetable of when this information should be handed over. </w:t>
      </w:r>
      <w:r w:rsidRPr="00350D0A">
        <w:rPr>
          <w:rFonts w:asciiTheme="majorBidi" w:hAnsiTheme="majorBidi" w:cstheme="majorBidi"/>
        </w:rPr>
        <w:t>This timetable may be determined by ensuring that there is a clearly defined relationship between the hearing and the trial</w:t>
      </w:r>
      <w:r w:rsidR="004141CF" w:rsidRPr="00350D0A">
        <w:rPr>
          <w:rFonts w:asciiTheme="majorBidi" w:hAnsiTheme="majorBidi" w:cstheme="majorBidi"/>
        </w:rPr>
        <w:t>.</w:t>
      </w:r>
      <w:r w:rsidRPr="00350D0A">
        <w:rPr>
          <w:rFonts w:asciiTheme="majorBidi" w:hAnsiTheme="majorBidi" w:cstheme="majorBidi"/>
        </w:rPr>
        <w:t xml:space="preserve"> Ultimately, the </w:t>
      </w:r>
      <w:r w:rsidR="00CB395C" w:rsidRPr="00350D0A">
        <w:rPr>
          <w:rFonts w:asciiTheme="majorBidi" w:hAnsiTheme="majorBidi" w:cstheme="majorBidi"/>
        </w:rPr>
        <w:t>Defence</w:t>
      </w:r>
      <w:r w:rsidRPr="00350D0A">
        <w:rPr>
          <w:rFonts w:asciiTheme="majorBidi" w:hAnsiTheme="majorBidi" w:cstheme="majorBidi"/>
        </w:rPr>
        <w:t xml:space="preserve"> must </w:t>
      </w:r>
      <w:r w:rsidR="004141CF" w:rsidRPr="00350D0A">
        <w:rPr>
          <w:rFonts w:asciiTheme="majorBidi" w:hAnsiTheme="majorBidi" w:cstheme="majorBidi"/>
        </w:rPr>
        <w:t xml:space="preserve">receive </w:t>
      </w:r>
      <w:r w:rsidRPr="00350D0A">
        <w:rPr>
          <w:rFonts w:asciiTheme="majorBidi" w:hAnsiTheme="majorBidi" w:cstheme="majorBidi"/>
        </w:rPr>
        <w:t>full information before the Confirmation Hearing.</w:t>
      </w:r>
    </w:p>
    <w:p w:rsidR="008B45E0" w:rsidRPr="00350D0A" w:rsidRDefault="008B45E0" w:rsidP="0066110F">
      <w:pPr>
        <w:jc w:val="both"/>
        <w:rPr>
          <w:rFonts w:asciiTheme="majorBidi" w:hAnsiTheme="majorBidi" w:cstheme="majorBidi"/>
        </w:rPr>
      </w:pPr>
    </w:p>
    <w:p w:rsidR="00350D0A" w:rsidRPr="00350D0A" w:rsidRDefault="00154DA8" w:rsidP="00350D0A">
      <w:pPr>
        <w:pStyle w:val="CommentText"/>
        <w:rPr>
          <w:rFonts w:asciiTheme="majorBidi" w:hAnsiTheme="majorBidi" w:cstheme="majorBidi"/>
          <w:sz w:val="24"/>
          <w:szCs w:val="24"/>
        </w:rPr>
      </w:pPr>
      <w:r w:rsidRPr="00350D0A">
        <w:rPr>
          <w:rFonts w:asciiTheme="majorBidi" w:hAnsiTheme="majorBidi" w:cstheme="majorBidi"/>
          <w:sz w:val="24"/>
          <w:szCs w:val="24"/>
        </w:rPr>
        <w:t xml:space="preserve">This means that the </w:t>
      </w:r>
      <w:r w:rsidR="00CB395C" w:rsidRPr="00350D0A">
        <w:rPr>
          <w:rFonts w:asciiTheme="majorBidi" w:hAnsiTheme="majorBidi" w:cstheme="majorBidi"/>
          <w:sz w:val="24"/>
          <w:szCs w:val="24"/>
        </w:rPr>
        <w:t>Prosecution</w:t>
      </w:r>
      <w:r w:rsidRPr="00350D0A">
        <w:rPr>
          <w:rFonts w:asciiTheme="majorBidi" w:hAnsiTheme="majorBidi" w:cstheme="majorBidi"/>
          <w:sz w:val="24"/>
          <w:szCs w:val="24"/>
        </w:rPr>
        <w:t xml:space="preserve"> must be trial</w:t>
      </w:r>
      <w:r w:rsidR="00FA7B04" w:rsidRPr="00350D0A">
        <w:rPr>
          <w:rFonts w:asciiTheme="majorBidi" w:hAnsiTheme="majorBidi" w:cstheme="majorBidi"/>
          <w:sz w:val="24"/>
          <w:szCs w:val="24"/>
        </w:rPr>
        <w:t>-</w:t>
      </w:r>
      <w:r w:rsidRPr="00350D0A">
        <w:rPr>
          <w:rFonts w:asciiTheme="majorBidi" w:hAnsiTheme="majorBidi" w:cstheme="majorBidi"/>
          <w:sz w:val="24"/>
          <w:szCs w:val="24"/>
        </w:rPr>
        <w:t>ready before</w:t>
      </w:r>
      <w:r w:rsidR="00FA7B04" w:rsidRPr="00350D0A">
        <w:rPr>
          <w:rFonts w:asciiTheme="majorBidi" w:hAnsiTheme="majorBidi" w:cstheme="majorBidi"/>
          <w:sz w:val="24"/>
          <w:szCs w:val="24"/>
        </w:rPr>
        <w:t xml:space="preserve"> the</w:t>
      </w:r>
      <w:r w:rsidRPr="00350D0A">
        <w:rPr>
          <w:rFonts w:asciiTheme="majorBidi" w:hAnsiTheme="majorBidi" w:cstheme="majorBidi"/>
          <w:sz w:val="24"/>
          <w:szCs w:val="24"/>
        </w:rPr>
        <w:t xml:space="preserve"> Confirmation</w:t>
      </w:r>
      <w:r w:rsidR="00FA7B04" w:rsidRPr="00350D0A">
        <w:rPr>
          <w:rFonts w:asciiTheme="majorBidi" w:hAnsiTheme="majorBidi" w:cstheme="majorBidi"/>
          <w:sz w:val="24"/>
          <w:szCs w:val="24"/>
        </w:rPr>
        <w:t xml:space="preserve"> Hearing</w:t>
      </w:r>
      <w:r w:rsidRPr="00350D0A">
        <w:rPr>
          <w:rFonts w:asciiTheme="majorBidi" w:hAnsiTheme="majorBidi" w:cstheme="majorBidi"/>
          <w:sz w:val="24"/>
          <w:szCs w:val="24"/>
        </w:rPr>
        <w:t xml:space="preserve"> and disclosure is </w:t>
      </w:r>
      <w:r w:rsidR="004141CF" w:rsidRPr="00350D0A">
        <w:rPr>
          <w:rFonts w:asciiTheme="majorBidi" w:hAnsiTheme="majorBidi" w:cstheme="majorBidi"/>
          <w:sz w:val="24"/>
          <w:szCs w:val="24"/>
        </w:rPr>
        <w:t xml:space="preserve">necessary </w:t>
      </w:r>
      <w:r w:rsidRPr="00350D0A">
        <w:rPr>
          <w:rFonts w:asciiTheme="majorBidi" w:hAnsiTheme="majorBidi" w:cstheme="majorBidi"/>
          <w:sz w:val="24"/>
          <w:szCs w:val="24"/>
        </w:rPr>
        <w:t xml:space="preserve">for the filtering process (during the Confirmation Hearing) to occur. </w:t>
      </w:r>
      <w:r w:rsidR="00350D0A" w:rsidRPr="00350D0A">
        <w:rPr>
          <w:rFonts w:asciiTheme="majorBidi" w:hAnsiTheme="majorBidi" w:cstheme="majorBidi"/>
          <w:sz w:val="24"/>
          <w:szCs w:val="24"/>
        </w:rPr>
        <w:t>Some members considered that a</w:t>
      </w:r>
      <w:r w:rsidRPr="00350D0A">
        <w:rPr>
          <w:rFonts w:asciiTheme="majorBidi" w:hAnsiTheme="majorBidi" w:cstheme="majorBidi"/>
          <w:sz w:val="24"/>
          <w:szCs w:val="24"/>
        </w:rPr>
        <w:t xml:space="preserve">ll </w:t>
      </w:r>
      <w:proofErr w:type="spellStart"/>
      <w:r w:rsidRPr="00350D0A">
        <w:rPr>
          <w:rFonts w:asciiTheme="majorBidi" w:hAnsiTheme="majorBidi" w:cstheme="majorBidi"/>
          <w:sz w:val="24"/>
          <w:szCs w:val="24"/>
        </w:rPr>
        <w:t>inculpatory</w:t>
      </w:r>
      <w:proofErr w:type="spellEnd"/>
      <w:r w:rsidRPr="00350D0A">
        <w:rPr>
          <w:rFonts w:asciiTheme="majorBidi" w:hAnsiTheme="majorBidi" w:cstheme="majorBidi"/>
          <w:sz w:val="24"/>
          <w:szCs w:val="24"/>
        </w:rPr>
        <w:t xml:space="preserve"> and exculpatory evidence should be disclosed by the time the </w:t>
      </w:r>
      <w:r w:rsidR="005B3A8F" w:rsidRPr="00350D0A">
        <w:rPr>
          <w:rFonts w:asciiTheme="majorBidi" w:hAnsiTheme="majorBidi" w:cstheme="majorBidi"/>
          <w:sz w:val="24"/>
          <w:szCs w:val="24"/>
        </w:rPr>
        <w:t>A</w:t>
      </w:r>
      <w:r w:rsidRPr="00350D0A">
        <w:rPr>
          <w:rFonts w:asciiTheme="majorBidi" w:hAnsiTheme="majorBidi" w:cstheme="majorBidi"/>
          <w:sz w:val="24"/>
          <w:szCs w:val="24"/>
        </w:rPr>
        <w:t>ccused comes to trial. Essentially, the case must go to trial with all information disclosed. There must be full disclosure before confirmation and then a short period before the trial.</w:t>
      </w:r>
      <w:r w:rsidR="00350D0A" w:rsidRPr="00350D0A">
        <w:rPr>
          <w:rFonts w:asciiTheme="majorBidi" w:hAnsiTheme="majorBidi" w:cstheme="majorBidi"/>
          <w:sz w:val="24"/>
          <w:szCs w:val="24"/>
        </w:rPr>
        <w:t xml:space="preserve">  Others considered that, bearing in mind the confined nature of the confirmation hearing, disclosure should take place in a progressive manner. First, the material that will be relied at the hearing is disclosed together with any exculpatory material. If and when charges are confirmed, there should be full disclosure at the earliest available </w:t>
      </w:r>
      <w:r w:rsidR="00350D0A" w:rsidRPr="00350D0A">
        <w:rPr>
          <w:rFonts w:asciiTheme="majorBidi" w:hAnsiTheme="majorBidi" w:cstheme="majorBidi"/>
          <w:sz w:val="24"/>
          <w:szCs w:val="24"/>
        </w:rPr>
        <w:lastRenderedPageBreak/>
        <w:t>opportunity, with the proviso that specific delays may be authorized for witness protection purposes.</w:t>
      </w:r>
    </w:p>
    <w:p w:rsidR="00154DA8" w:rsidRPr="00350D0A" w:rsidRDefault="00154DA8" w:rsidP="00350D0A">
      <w:pPr>
        <w:jc w:val="both"/>
        <w:rPr>
          <w:rFonts w:asciiTheme="majorBidi" w:hAnsiTheme="majorBidi" w:cstheme="majorBidi"/>
        </w:rPr>
      </w:pPr>
      <w:r w:rsidRPr="00350D0A">
        <w:rPr>
          <w:rFonts w:asciiTheme="majorBidi" w:hAnsiTheme="majorBidi" w:cstheme="majorBidi"/>
        </w:rPr>
        <w:t xml:space="preserve"> </w:t>
      </w:r>
    </w:p>
    <w:p w:rsidR="00154DA8" w:rsidRPr="00501F1F" w:rsidRDefault="00154DA8" w:rsidP="00350D0A">
      <w:pPr>
        <w:jc w:val="both"/>
        <w:rPr>
          <w:rFonts w:ascii="Times New Roman" w:hAnsi="Times New Roman"/>
        </w:rPr>
      </w:pPr>
      <w:r w:rsidRPr="00350D0A">
        <w:rPr>
          <w:rFonts w:asciiTheme="majorBidi" w:hAnsiTheme="majorBidi" w:cstheme="majorBidi"/>
        </w:rPr>
        <w:t xml:space="preserve">The relevance of the need to ensure that the </w:t>
      </w:r>
      <w:r w:rsidR="00CB395C" w:rsidRPr="00350D0A">
        <w:rPr>
          <w:rFonts w:asciiTheme="majorBidi" w:hAnsiTheme="majorBidi" w:cstheme="majorBidi"/>
        </w:rPr>
        <w:t>Prosecution</w:t>
      </w:r>
      <w:r w:rsidRPr="00350D0A">
        <w:rPr>
          <w:rFonts w:asciiTheme="majorBidi" w:hAnsiTheme="majorBidi" w:cstheme="majorBidi"/>
        </w:rPr>
        <w:t xml:space="preserve"> be trial</w:t>
      </w:r>
      <w:r w:rsidR="00C87C06" w:rsidRPr="00350D0A">
        <w:rPr>
          <w:rFonts w:asciiTheme="majorBidi" w:hAnsiTheme="majorBidi" w:cstheme="majorBidi"/>
        </w:rPr>
        <w:t>-</w:t>
      </w:r>
      <w:r w:rsidRPr="00350D0A">
        <w:rPr>
          <w:rFonts w:asciiTheme="majorBidi" w:hAnsiTheme="majorBidi" w:cstheme="majorBidi"/>
        </w:rPr>
        <w:t xml:space="preserve">ready was queried as the </w:t>
      </w:r>
      <w:r w:rsidR="00CB395C" w:rsidRPr="00350D0A">
        <w:rPr>
          <w:rFonts w:asciiTheme="majorBidi" w:hAnsiTheme="majorBidi" w:cstheme="majorBidi"/>
        </w:rPr>
        <w:t>Prosecution</w:t>
      </w:r>
      <w:r w:rsidRPr="00350D0A">
        <w:rPr>
          <w:rFonts w:asciiTheme="majorBidi" w:hAnsiTheme="majorBidi" w:cstheme="majorBidi"/>
        </w:rPr>
        <w:t xml:space="preserve"> should always be </w:t>
      </w:r>
      <w:r w:rsidR="00427F3A" w:rsidRPr="00350D0A">
        <w:rPr>
          <w:rFonts w:asciiTheme="majorBidi" w:hAnsiTheme="majorBidi" w:cstheme="majorBidi"/>
        </w:rPr>
        <w:t>so</w:t>
      </w:r>
      <w:r w:rsidRPr="00350D0A">
        <w:rPr>
          <w:rFonts w:asciiTheme="majorBidi" w:hAnsiTheme="majorBidi" w:cstheme="majorBidi"/>
        </w:rPr>
        <w:t xml:space="preserve">. It was suggested that there may however be reasons why the </w:t>
      </w:r>
      <w:r w:rsidR="00CB395C" w:rsidRPr="00350D0A">
        <w:rPr>
          <w:rFonts w:asciiTheme="majorBidi" w:hAnsiTheme="majorBidi" w:cstheme="majorBidi"/>
        </w:rPr>
        <w:t>Prosecution</w:t>
      </w:r>
      <w:r w:rsidRPr="00350D0A">
        <w:rPr>
          <w:rFonts w:asciiTheme="majorBidi" w:hAnsiTheme="majorBidi" w:cstheme="majorBidi"/>
        </w:rPr>
        <w:t xml:space="preserve"> might not want to give full disclosure before C</w:t>
      </w:r>
      <w:r w:rsidR="00382B6E" w:rsidRPr="00350D0A">
        <w:rPr>
          <w:rFonts w:asciiTheme="majorBidi" w:hAnsiTheme="majorBidi" w:cstheme="majorBidi"/>
        </w:rPr>
        <w:t>onfirmation:</w:t>
      </w:r>
      <w:r w:rsidRPr="00350D0A">
        <w:rPr>
          <w:rFonts w:asciiTheme="majorBidi" w:hAnsiTheme="majorBidi" w:cstheme="majorBidi"/>
        </w:rPr>
        <w:t xml:space="preserve"> for example issues of witness protection and redactions </w:t>
      </w:r>
      <w:r w:rsidR="00FA7B04" w:rsidRPr="00350D0A">
        <w:rPr>
          <w:rFonts w:asciiTheme="majorBidi" w:hAnsiTheme="majorBidi" w:cstheme="majorBidi"/>
        </w:rPr>
        <w:t xml:space="preserve">must be </w:t>
      </w:r>
      <w:r w:rsidRPr="00350D0A">
        <w:rPr>
          <w:rFonts w:asciiTheme="majorBidi" w:hAnsiTheme="majorBidi" w:cstheme="majorBidi"/>
        </w:rPr>
        <w:t>consider</w:t>
      </w:r>
      <w:r w:rsidR="00FA7B04" w:rsidRPr="00350D0A">
        <w:rPr>
          <w:rFonts w:asciiTheme="majorBidi" w:hAnsiTheme="majorBidi" w:cstheme="majorBidi"/>
        </w:rPr>
        <w:t>ed</w:t>
      </w:r>
      <w:r w:rsidRPr="00350D0A">
        <w:rPr>
          <w:rFonts w:asciiTheme="majorBidi" w:hAnsiTheme="majorBidi" w:cstheme="majorBidi"/>
        </w:rPr>
        <w:t xml:space="preserve">. </w:t>
      </w:r>
      <w:r w:rsidR="00350D0A" w:rsidRPr="00350D0A">
        <w:rPr>
          <w:rFonts w:asciiTheme="majorBidi" w:hAnsiTheme="majorBidi" w:cstheme="majorBidi"/>
        </w:rPr>
        <w:t xml:space="preserve">In other words, full disclosure before confirmation hearing would necessarily mean increasing the danger to victims and witnesses when it is not even clear whether there will be a trial at all. </w:t>
      </w:r>
      <w:r w:rsidRPr="00350D0A">
        <w:rPr>
          <w:rFonts w:asciiTheme="majorBidi" w:hAnsiTheme="majorBidi" w:cstheme="majorBidi"/>
        </w:rPr>
        <w:t xml:space="preserve">Consequently, disclosure </w:t>
      </w:r>
      <w:r w:rsidR="00350D0A" w:rsidRPr="00350D0A">
        <w:rPr>
          <w:rFonts w:asciiTheme="majorBidi" w:hAnsiTheme="majorBidi" w:cstheme="majorBidi"/>
        </w:rPr>
        <w:t xml:space="preserve">should </w:t>
      </w:r>
      <w:r w:rsidRPr="00350D0A">
        <w:rPr>
          <w:rFonts w:asciiTheme="majorBidi" w:hAnsiTheme="majorBidi" w:cstheme="majorBidi"/>
        </w:rPr>
        <w:t>increase as the trial approaches. Additionally, it was noted that there is a proportionality argument in relation to the</w:t>
      </w:r>
      <w:r w:rsidRPr="00501F1F">
        <w:rPr>
          <w:rFonts w:ascii="Times New Roman" w:hAnsi="Times New Roman"/>
        </w:rPr>
        <w:t xml:space="preserve"> OTP being trial</w:t>
      </w:r>
      <w:r w:rsidR="00FA7B04" w:rsidRPr="00501F1F">
        <w:rPr>
          <w:rFonts w:ascii="Times New Roman" w:hAnsi="Times New Roman"/>
        </w:rPr>
        <w:t>-</w:t>
      </w:r>
      <w:r w:rsidR="008B45E0" w:rsidRPr="00501F1F">
        <w:rPr>
          <w:rFonts w:ascii="Times New Roman" w:hAnsi="Times New Roman"/>
        </w:rPr>
        <w:t xml:space="preserve">ready. </w:t>
      </w:r>
      <w:r w:rsidRPr="00501F1F">
        <w:rPr>
          <w:rFonts w:ascii="Times New Roman" w:hAnsi="Times New Roman"/>
        </w:rPr>
        <w:t>The practical question to be considered is</w:t>
      </w:r>
      <w:r w:rsidR="005B3A8F" w:rsidRPr="00501F1F">
        <w:rPr>
          <w:rFonts w:ascii="Times New Roman" w:hAnsi="Times New Roman"/>
        </w:rPr>
        <w:t xml:space="preserve"> the amount of time that should </w:t>
      </w:r>
      <w:r w:rsidR="00382B6E">
        <w:rPr>
          <w:rFonts w:ascii="Times New Roman" w:hAnsi="Times New Roman"/>
        </w:rPr>
        <w:t>reasonabl</w:t>
      </w:r>
      <w:r w:rsidR="008E7D4C">
        <w:rPr>
          <w:rFonts w:ascii="Times New Roman" w:hAnsi="Times New Roman"/>
        </w:rPr>
        <w:t>y</w:t>
      </w:r>
      <w:r w:rsidR="00382B6E">
        <w:rPr>
          <w:rFonts w:ascii="Times New Roman" w:hAnsi="Times New Roman"/>
        </w:rPr>
        <w:t xml:space="preserve"> </w:t>
      </w:r>
      <w:r w:rsidR="005B3A8F" w:rsidRPr="00501F1F">
        <w:rPr>
          <w:rFonts w:ascii="Times New Roman" w:hAnsi="Times New Roman"/>
        </w:rPr>
        <w:t xml:space="preserve">be given to the </w:t>
      </w:r>
      <w:r w:rsidR="00CB395C" w:rsidRPr="00501F1F">
        <w:rPr>
          <w:rFonts w:ascii="Times New Roman" w:hAnsi="Times New Roman"/>
        </w:rPr>
        <w:t>Def</w:t>
      </w:r>
      <w:r w:rsidR="008B45E0" w:rsidRPr="00501F1F">
        <w:rPr>
          <w:rFonts w:ascii="Times New Roman" w:hAnsi="Times New Roman"/>
        </w:rPr>
        <w:t>e</w:t>
      </w:r>
      <w:r w:rsidR="00CB395C" w:rsidRPr="00501F1F">
        <w:rPr>
          <w:rFonts w:ascii="Times New Roman" w:hAnsi="Times New Roman"/>
        </w:rPr>
        <w:t>nce</w:t>
      </w:r>
      <w:r w:rsidR="005B3A8F" w:rsidRPr="00501F1F">
        <w:rPr>
          <w:rFonts w:ascii="Times New Roman" w:hAnsi="Times New Roman"/>
        </w:rPr>
        <w:t xml:space="preserve"> but does not cause undue delay.</w:t>
      </w:r>
      <w:r w:rsidRPr="00501F1F">
        <w:rPr>
          <w:rFonts w:ascii="Times New Roman" w:hAnsi="Times New Roman"/>
        </w:rPr>
        <w:t xml:space="preserve"> In addition, the modality of disclosure must be co</w:t>
      </w:r>
      <w:r w:rsidR="00382B6E">
        <w:rPr>
          <w:rFonts w:ascii="Times New Roman" w:hAnsi="Times New Roman"/>
        </w:rPr>
        <w:t>nsidered as well as the use of I</w:t>
      </w:r>
      <w:r w:rsidRPr="00501F1F">
        <w:rPr>
          <w:rFonts w:ascii="Times New Roman" w:hAnsi="Times New Roman"/>
        </w:rPr>
        <w:t>n</w:t>
      </w:r>
      <w:r w:rsidR="00FA7B04" w:rsidRPr="00501F1F">
        <w:rPr>
          <w:rFonts w:ascii="Times New Roman" w:hAnsi="Times New Roman"/>
        </w:rPr>
        <w:t>-</w:t>
      </w:r>
      <w:r w:rsidR="00382B6E">
        <w:rPr>
          <w:rFonts w:ascii="Times New Roman" w:hAnsi="Times New Roman"/>
        </w:rPr>
        <w:t>D</w:t>
      </w:r>
      <w:r w:rsidRPr="00501F1F">
        <w:rPr>
          <w:rFonts w:ascii="Times New Roman" w:hAnsi="Times New Roman"/>
        </w:rPr>
        <w:t xml:space="preserve">epth </w:t>
      </w:r>
      <w:r w:rsidR="00382B6E">
        <w:rPr>
          <w:rFonts w:ascii="Times New Roman" w:hAnsi="Times New Roman"/>
        </w:rPr>
        <w:t>Analysis C</w:t>
      </w:r>
      <w:r w:rsidRPr="00501F1F">
        <w:rPr>
          <w:rFonts w:ascii="Times New Roman" w:hAnsi="Times New Roman"/>
        </w:rPr>
        <w:t>harts</w:t>
      </w:r>
      <w:r w:rsidR="00382B6E">
        <w:rPr>
          <w:rFonts w:ascii="Times New Roman" w:hAnsi="Times New Roman"/>
        </w:rPr>
        <w:t xml:space="preserve"> (IDACs)</w:t>
      </w:r>
      <w:r w:rsidRPr="00501F1F">
        <w:rPr>
          <w:rFonts w:ascii="Times New Roman" w:hAnsi="Times New Roman"/>
        </w:rPr>
        <w:t xml:space="preserve">. </w:t>
      </w:r>
    </w:p>
    <w:p w:rsidR="00154DA8" w:rsidRPr="00501F1F" w:rsidRDefault="00154DA8" w:rsidP="0066110F">
      <w:pPr>
        <w:jc w:val="both"/>
        <w:rPr>
          <w:rFonts w:ascii="Times New Roman" w:hAnsi="Times New Roman"/>
        </w:rPr>
      </w:pPr>
    </w:p>
    <w:p w:rsidR="00154DA8" w:rsidRPr="00350D0A" w:rsidRDefault="00427F3A" w:rsidP="0066110F">
      <w:pPr>
        <w:jc w:val="both"/>
        <w:rPr>
          <w:rFonts w:asciiTheme="majorBidi" w:hAnsiTheme="majorBidi" w:cstheme="majorBidi"/>
        </w:rPr>
      </w:pPr>
      <w:r w:rsidRPr="00501F1F">
        <w:rPr>
          <w:rFonts w:ascii="Times New Roman" w:hAnsi="Times New Roman"/>
        </w:rPr>
        <w:t>The group noted that there is a sentiment of dissatisfaction</w:t>
      </w:r>
      <w:r w:rsidR="00B63825" w:rsidRPr="00501F1F">
        <w:rPr>
          <w:rFonts w:ascii="Times New Roman" w:hAnsi="Times New Roman"/>
        </w:rPr>
        <w:t xml:space="preserve"> with the system and the lack of enforcement by the </w:t>
      </w:r>
      <w:r w:rsidR="00561580" w:rsidRPr="00501F1F">
        <w:rPr>
          <w:rFonts w:ascii="Times New Roman" w:hAnsi="Times New Roman"/>
        </w:rPr>
        <w:t>Court</w:t>
      </w:r>
      <w:r w:rsidR="00B63825" w:rsidRPr="00501F1F">
        <w:rPr>
          <w:rFonts w:ascii="Times New Roman" w:hAnsi="Times New Roman"/>
        </w:rPr>
        <w:t>, leading to too much complacency</w:t>
      </w:r>
      <w:r w:rsidR="004141CF" w:rsidRPr="00501F1F">
        <w:rPr>
          <w:rFonts w:ascii="Times New Roman" w:hAnsi="Times New Roman"/>
        </w:rPr>
        <w:t xml:space="preserve"> and delay in disclosure by the Prosecution</w:t>
      </w:r>
      <w:r w:rsidR="00B63825" w:rsidRPr="00501F1F">
        <w:rPr>
          <w:rFonts w:ascii="Times New Roman" w:hAnsi="Times New Roman"/>
        </w:rPr>
        <w:t xml:space="preserve">. </w:t>
      </w:r>
      <w:r w:rsidR="005B3A8F" w:rsidRPr="00501F1F">
        <w:rPr>
          <w:rFonts w:ascii="Times New Roman" w:hAnsi="Times New Roman"/>
        </w:rPr>
        <w:t>Legal aid was available in</w:t>
      </w:r>
      <w:r w:rsidR="00154DA8" w:rsidRPr="00501F1F">
        <w:rPr>
          <w:rFonts w:ascii="Times New Roman" w:hAnsi="Times New Roman"/>
        </w:rPr>
        <w:t xml:space="preserve"> the </w:t>
      </w:r>
      <w:r w:rsidR="00154DA8" w:rsidRPr="00501F1F">
        <w:rPr>
          <w:rFonts w:ascii="Times New Roman" w:hAnsi="Times New Roman"/>
          <w:i/>
        </w:rPr>
        <w:t>Abu Garda</w:t>
      </w:r>
      <w:r w:rsidR="00154DA8" w:rsidRPr="00501F1F">
        <w:rPr>
          <w:rFonts w:ascii="Times New Roman" w:hAnsi="Times New Roman"/>
        </w:rPr>
        <w:t xml:space="preserve"> case </w:t>
      </w:r>
      <w:r w:rsidR="00B63825" w:rsidRPr="00501F1F">
        <w:rPr>
          <w:rFonts w:ascii="Times New Roman" w:hAnsi="Times New Roman"/>
        </w:rPr>
        <w:t>however</w:t>
      </w:r>
      <w:r w:rsidR="00154DA8" w:rsidRPr="00501F1F">
        <w:rPr>
          <w:rFonts w:ascii="Times New Roman" w:hAnsi="Times New Roman"/>
        </w:rPr>
        <w:t xml:space="preserve"> </w:t>
      </w:r>
      <w:r w:rsidR="005B3A8F" w:rsidRPr="00501F1F">
        <w:rPr>
          <w:rFonts w:ascii="Times New Roman" w:hAnsi="Times New Roman"/>
        </w:rPr>
        <w:t xml:space="preserve">following </w:t>
      </w:r>
      <w:r w:rsidR="00154DA8" w:rsidRPr="00501F1F">
        <w:rPr>
          <w:rFonts w:ascii="Times New Roman" w:hAnsi="Times New Roman"/>
        </w:rPr>
        <w:t xml:space="preserve">the initial appearance </w:t>
      </w:r>
      <w:r w:rsidR="004141CF" w:rsidRPr="00501F1F">
        <w:rPr>
          <w:rFonts w:ascii="Times New Roman" w:hAnsi="Times New Roman"/>
        </w:rPr>
        <w:t xml:space="preserve">nothing was </w:t>
      </w:r>
      <w:r w:rsidR="00154DA8" w:rsidRPr="00350D0A">
        <w:rPr>
          <w:rFonts w:asciiTheme="majorBidi" w:hAnsiTheme="majorBidi" w:cstheme="majorBidi"/>
        </w:rPr>
        <w:t>disclosed</w:t>
      </w:r>
      <w:r w:rsidR="004141CF" w:rsidRPr="00350D0A">
        <w:rPr>
          <w:rFonts w:asciiTheme="majorBidi" w:hAnsiTheme="majorBidi" w:cstheme="majorBidi"/>
        </w:rPr>
        <w:t xml:space="preserve"> by the Prosecution </w:t>
      </w:r>
      <w:r w:rsidR="00154DA8" w:rsidRPr="00350D0A">
        <w:rPr>
          <w:rFonts w:asciiTheme="majorBidi" w:hAnsiTheme="majorBidi" w:cstheme="majorBidi"/>
        </w:rPr>
        <w:t xml:space="preserve">to the </w:t>
      </w:r>
      <w:r w:rsidR="00CB395C" w:rsidRPr="00350D0A">
        <w:rPr>
          <w:rFonts w:asciiTheme="majorBidi" w:hAnsiTheme="majorBidi" w:cstheme="majorBidi"/>
        </w:rPr>
        <w:t>Defence</w:t>
      </w:r>
      <w:r w:rsidR="00154DA8" w:rsidRPr="00350D0A">
        <w:rPr>
          <w:rFonts w:asciiTheme="majorBidi" w:hAnsiTheme="majorBidi" w:cstheme="majorBidi"/>
        </w:rPr>
        <w:t xml:space="preserve"> for three months.</w:t>
      </w:r>
      <w:r w:rsidRPr="00350D0A">
        <w:rPr>
          <w:rFonts w:asciiTheme="majorBidi" w:hAnsiTheme="majorBidi" w:cstheme="majorBidi"/>
        </w:rPr>
        <w:t xml:space="preserve"> </w:t>
      </w:r>
      <w:r w:rsidR="00B63825" w:rsidRPr="00350D0A">
        <w:rPr>
          <w:rFonts w:asciiTheme="majorBidi" w:hAnsiTheme="majorBidi" w:cstheme="majorBidi"/>
        </w:rPr>
        <w:t xml:space="preserve">The system should police both sides and should ensure that the </w:t>
      </w:r>
      <w:r w:rsidR="00CB395C" w:rsidRPr="00350D0A">
        <w:rPr>
          <w:rFonts w:asciiTheme="majorBidi" w:hAnsiTheme="majorBidi" w:cstheme="majorBidi"/>
        </w:rPr>
        <w:t>Prosecution</w:t>
      </w:r>
      <w:r w:rsidR="00B63825" w:rsidRPr="00350D0A">
        <w:rPr>
          <w:rFonts w:asciiTheme="majorBidi" w:hAnsiTheme="majorBidi" w:cstheme="majorBidi"/>
        </w:rPr>
        <w:t xml:space="preserve"> disclose in a timely manner.  </w:t>
      </w:r>
    </w:p>
    <w:p w:rsidR="00154DA8" w:rsidRPr="00350D0A" w:rsidRDefault="00154DA8" w:rsidP="00BD04BB">
      <w:pPr>
        <w:jc w:val="both"/>
        <w:rPr>
          <w:rFonts w:asciiTheme="majorBidi" w:hAnsiTheme="majorBidi" w:cstheme="majorBidi"/>
        </w:rPr>
      </w:pPr>
    </w:p>
    <w:p w:rsidR="00154DA8" w:rsidRPr="00350D0A" w:rsidRDefault="00B63825" w:rsidP="00350D0A">
      <w:pPr>
        <w:jc w:val="both"/>
        <w:rPr>
          <w:rFonts w:asciiTheme="majorBidi" w:hAnsiTheme="majorBidi" w:cstheme="majorBidi"/>
        </w:rPr>
      </w:pPr>
      <w:r w:rsidRPr="00350D0A">
        <w:rPr>
          <w:rFonts w:asciiTheme="majorBidi" w:hAnsiTheme="majorBidi" w:cstheme="majorBidi"/>
        </w:rPr>
        <w:t>It was accepted that</w:t>
      </w:r>
      <w:r w:rsidR="00154DA8" w:rsidRPr="00350D0A">
        <w:rPr>
          <w:rFonts w:asciiTheme="majorBidi" w:hAnsiTheme="majorBidi" w:cstheme="majorBidi"/>
        </w:rPr>
        <w:t xml:space="preserve"> the </w:t>
      </w:r>
      <w:r w:rsidR="00CB395C" w:rsidRPr="00350D0A">
        <w:rPr>
          <w:rFonts w:asciiTheme="majorBidi" w:hAnsiTheme="majorBidi" w:cstheme="majorBidi"/>
        </w:rPr>
        <w:t>Defence</w:t>
      </w:r>
      <w:r w:rsidRPr="00350D0A">
        <w:rPr>
          <w:rFonts w:asciiTheme="majorBidi" w:hAnsiTheme="majorBidi" w:cstheme="majorBidi"/>
        </w:rPr>
        <w:t xml:space="preserve"> should be afforded more </w:t>
      </w:r>
      <w:r w:rsidR="00154DA8" w:rsidRPr="00350D0A">
        <w:rPr>
          <w:rFonts w:asciiTheme="majorBidi" w:hAnsiTheme="majorBidi" w:cstheme="majorBidi"/>
        </w:rPr>
        <w:t>time to prepare the case</w:t>
      </w:r>
      <w:r w:rsidR="00382B6E" w:rsidRPr="00350D0A">
        <w:rPr>
          <w:rFonts w:asciiTheme="majorBidi" w:hAnsiTheme="majorBidi" w:cstheme="majorBidi"/>
        </w:rPr>
        <w:t>. I</w:t>
      </w:r>
      <w:r w:rsidR="00154DA8" w:rsidRPr="00350D0A">
        <w:rPr>
          <w:rFonts w:asciiTheme="majorBidi" w:hAnsiTheme="majorBidi" w:cstheme="majorBidi"/>
        </w:rPr>
        <w:t xml:space="preserve">t was suggested that there should also be </w:t>
      </w:r>
      <w:r w:rsidRPr="00350D0A">
        <w:rPr>
          <w:rFonts w:asciiTheme="majorBidi" w:hAnsiTheme="majorBidi" w:cstheme="majorBidi"/>
        </w:rPr>
        <w:t xml:space="preserve">a procedure for </w:t>
      </w:r>
      <w:r w:rsidR="00154DA8" w:rsidRPr="00350D0A">
        <w:rPr>
          <w:rFonts w:asciiTheme="majorBidi" w:hAnsiTheme="majorBidi" w:cstheme="majorBidi"/>
        </w:rPr>
        <w:t>proportional disclosure, similar to that of the ICTY</w:t>
      </w:r>
      <w:r w:rsidR="002A590D" w:rsidRPr="00350D0A">
        <w:rPr>
          <w:rFonts w:asciiTheme="majorBidi" w:hAnsiTheme="majorBidi" w:cstheme="majorBidi"/>
        </w:rPr>
        <w:t>,</w:t>
      </w:r>
      <w:r w:rsidR="00154DA8" w:rsidRPr="00350D0A">
        <w:rPr>
          <w:rFonts w:asciiTheme="majorBidi" w:hAnsiTheme="majorBidi" w:cstheme="majorBidi"/>
        </w:rPr>
        <w:t xml:space="preserve"> where there is rolling disclosure throughout the trial process. </w:t>
      </w:r>
      <w:r w:rsidR="00350D0A" w:rsidRPr="00350D0A">
        <w:rPr>
          <w:rFonts w:asciiTheme="majorBidi" w:hAnsiTheme="majorBidi" w:cstheme="majorBidi"/>
        </w:rPr>
        <w:t xml:space="preserve">It was noted also that the reliance on ICTY rules, which govern pre-trial, and not pre-confirmation disclosure, was misplaced. In this context it was noted that the ICTY has allowed for rolling disclosure of voluminous amounts of evidence.  </w:t>
      </w:r>
      <w:r w:rsidR="00154DA8" w:rsidRPr="00350D0A">
        <w:rPr>
          <w:rFonts w:asciiTheme="majorBidi" w:hAnsiTheme="majorBidi" w:cstheme="majorBidi"/>
        </w:rPr>
        <w:t>.</w:t>
      </w:r>
    </w:p>
    <w:p w:rsidR="00154DA8" w:rsidRPr="00350D0A" w:rsidRDefault="00154DA8" w:rsidP="00BD04BB">
      <w:pPr>
        <w:jc w:val="both"/>
        <w:rPr>
          <w:rFonts w:asciiTheme="majorBidi" w:hAnsiTheme="majorBidi" w:cstheme="majorBidi"/>
          <w:b/>
        </w:rPr>
      </w:pPr>
    </w:p>
    <w:p w:rsidR="00154DA8" w:rsidRPr="00501F1F" w:rsidRDefault="00427F3A" w:rsidP="004F4863">
      <w:pPr>
        <w:jc w:val="both"/>
        <w:rPr>
          <w:rFonts w:ascii="Times New Roman" w:hAnsi="Times New Roman"/>
        </w:rPr>
      </w:pPr>
      <w:r w:rsidRPr="00350D0A">
        <w:rPr>
          <w:rFonts w:asciiTheme="majorBidi" w:hAnsiTheme="majorBidi" w:cstheme="majorBidi"/>
        </w:rPr>
        <w:t xml:space="preserve">Members of the group </w:t>
      </w:r>
      <w:r w:rsidR="00620D08" w:rsidRPr="00350D0A">
        <w:rPr>
          <w:rFonts w:asciiTheme="majorBidi" w:hAnsiTheme="majorBidi" w:cstheme="majorBidi"/>
        </w:rPr>
        <w:t>highlighted</w:t>
      </w:r>
      <w:r w:rsidRPr="00350D0A">
        <w:rPr>
          <w:rFonts w:asciiTheme="majorBidi" w:hAnsiTheme="majorBidi" w:cstheme="majorBidi"/>
        </w:rPr>
        <w:t xml:space="preserve"> that t</w:t>
      </w:r>
      <w:r w:rsidR="00154DA8" w:rsidRPr="00350D0A">
        <w:rPr>
          <w:rFonts w:asciiTheme="majorBidi" w:hAnsiTheme="majorBidi" w:cstheme="majorBidi"/>
        </w:rPr>
        <w:t>he ICTY has had problems with disclosure in that there have been too many exculpatory evidence</w:t>
      </w:r>
      <w:r w:rsidR="00154DA8" w:rsidRPr="00501F1F">
        <w:rPr>
          <w:rFonts w:ascii="Times New Roman" w:hAnsi="Times New Roman"/>
        </w:rPr>
        <w:t xml:space="preserve"> documents</w:t>
      </w:r>
      <w:r w:rsidRPr="00501F1F">
        <w:rPr>
          <w:rFonts w:ascii="Times New Roman" w:hAnsi="Times New Roman"/>
        </w:rPr>
        <w:t xml:space="preserve"> however</w:t>
      </w:r>
      <w:r w:rsidR="00382B6E">
        <w:rPr>
          <w:rFonts w:ascii="Times New Roman" w:hAnsi="Times New Roman"/>
        </w:rPr>
        <w:t>,</w:t>
      </w:r>
      <w:r w:rsidRPr="00501F1F">
        <w:rPr>
          <w:rFonts w:ascii="Times New Roman" w:hAnsi="Times New Roman"/>
        </w:rPr>
        <w:t xml:space="preserve"> </w:t>
      </w:r>
      <w:proofErr w:type="spellStart"/>
      <w:r w:rsidRPr="00501F1F">
        <w:rPr>
          <w:rFonts w:ascii="Times New Roman" w:hAnsi="Times New Roman"/>
        </w:rPr>
        <w:t>inculpatory</w:t>
      </w:r>
      <w:proofErr w:type="spellEnd"/>
      <w:r w:rsidRPr="00501F1F">
        <w:rPr>
          <w:rFonts w:ascii="Times New Roman" w:hAnsi="Times New Roman"/>
        </w:rPr>
        <w:t xml:space="preserve"> evidence can be progressively disclosed so that within 60</w:t>
      </w:r>
      <w:r w:rsidR="00382B6E">
        <w:rPr>
          <w:rFonts w:ascii="Times New Roman" w:hAnsi="Times New Roman"/>
        </w:rPr>
        <w:t xml:space="preserve"> </w:t>
      </w:r>
      <w:r w:rsidR="00154DA8" w:rsidRPr="00501F1F">
        <w:rPr>
          <w:rFonts w:ascii="Times New Roman" w:hAnsi="Times New Roman"/>
        </w:rPr>
        <w:t xml:space="preserve">days all supporting material should be received. However, it was noted that the price of progressive disclosure is delay and disputes. </w:t>
      </w:r>
      <w:r w:rsidR="002A590D" w:rsidRPr="00501F1F">
        <w:rPr>
          <w:rFonts w:ascii="Times New Roman" w:hAnsi="Times New Roman"/>
        </w:rPr>
        <w:t>It was felt that disclosing all evidence in its t</w:t>
      </w:r>
      <w:r w:rsidR="00154DA8" w:rsidRPr="00501F1F">
        <w:rPr>
          <w:rFonts w:ascii="Times New Roman" w:hAnsi="Times New Roman"/>
        </w:rPr>
        <w:t>otality is the best way forward to avoid re-trials</w:t>
      </w:r>
      <w:r w:rsidRPr="00501F1F">
        <w:rPr>
          <w:rFonts w:ascii="Times New Roman" w:hAnsi="Times New Roman"/>
        </w:rPr>
        <w:t xml:space="preserve"> and avoids delays.</w:t>
      </w:r>
      <w:r w:rsidR="00350D0A">
        <w:rPr>
          <w:rFonts w:ascii="Times New Roman" w:hAnsi="Times New Roman"/>
        </w:rPr>
        <w:t xml:space="preserve">  It was, however, noted that the ICTY does not have a confirmation hearing stage.</w:t>
      </w:r>
      <w:r w:rsidRPr="00501F1F">
        <w:rPr>
          <w:rFonts w:ascii="Times New Roman" w:hAnsi="Times New Roman"/>
        </w:rPr>
        <w:t xml:space="preserve"> </w:t>
      </w:r>
    </w:p>
    <w:p w:rsidR="008B45E0" w:rsidRPr="00501F1F" w:rsidRDefault="008B45E0" w:rsidP="004F4863">
      <w:pPr>
        <w:jc w:val="both"/>
        <w:rPr>
          <w:rFonts w:ascii="Times New Roman" w:hAnsi="Times New Roman"/>
          <w:b/>
        </w:rPr>
      </w:pPr>
    </w:p>
    <w:p w:rsidR="00154DA8" w:rsidRPr="00501F1F" w:rsidRDefault="00154DA8" w:rsidP="004F4863">
      <w:pPr>
        <w:jc w:val="both"/>
        <w:rPr>
          <w:rFonts w:ascii="Times New Roman" w:hAnsi="Times New Roman"/>
        </w:rPr>
      </w:pPr>
      <w:r w:rsidRPr="00501F1F">
        <w:rPr>
          <w:rFonts w:ascii="Times New Roman" w:hAnsi="Times New Roman"/>
        </w:rPr>
        <w:t>The broad concerns</w:t>
      </w:r>
      <w:r w:rsidR="00620D08" w:rsidRPr="00501F1F">
        <w:rPr>
          <w:rFonts w:ascii="Times New Roman" w:hAnsi="Times New Roman"/>
        </w:rPr>
        <w:t xml:space="preserve"> raised by the group</w:t>
      </w:r>
      <w:r w:rsidRPr="00501F1F">
        <w:rPr>
          <w:rFonts w:ascii="Times New Roman" w:hAnsi="Times New Roman"/>
        </w:rPr>
        <w:t xml:space="preserve"> following the first paper </w:t>
      </w:r>
      <w:r w:rsidR="00B63825" w:rsidRPr="00501F1F">
        <w:rPr>
          <w:rFonts w:ascii="Times New Roman" w:hAnsi="Times New Roman"/>
        </w:rPr>
        <w:t>we</w:t>
      </w:r>
      <w:r w:rsidRPr="00501F1F">
        <w:rPr>
          <w:rFonts w:ascii="Times New Roman" w:hAnsi="Times New Roman"/>
        </w:rPr>
        <w:t>re:</w:t>
      </w:r>
    </w:p>
    <w:p w:rsidR="00154DA8" w:rsidRPr="00501F1F" w:rsidRDefault="00620D08" w:rsidP="007B6F16">
      <w:pPr>
        <w:numPr>
          <w:ilvl w:val="0"/>
          <w:numId w:val="3"/>
        </w:numPr>
        <w:jc w:val="both"/>
        <w:rPr>
          <w:rFonts w:ascii="Times New Roman" w:hAnsi="Times New Roman"/>
        </w:rPr>
      </w:pPr>
      <w:r w:rsidRPr="00501F1F">
        <w:rPr>
          <w:rFonts w:ascii="Times New Roman" w:hAnsi="Times New Roman"/>
        </w:rPr>
        <w:t>T</w:t>
      </w:r>
      <w:r w:rsidR="00154DA8" w:rsidRPr="00501F1F">
        <w:rPr>
          <w:rFonts w:ascii="Times New Roman" w:hAnsi="Times New Roman"/>
        </w:rPr>
        <w:t xml:space="preserve">he </w:t>
      </w:r>
      <w:r w:rsidRPr="00501F1F">
        <w:rPr>
          <w:rFonts w:ascii="Times New Roman" w:hAnsi="Times New Roman"/>
        </w:rPr>
        <w:t xml:space="preserve">obligation on the </w:t>
      </w:r>
      <w:r w:rsidR="00CB395C" w:rsidRPr="00501F1F">
        <w:rPr>
          <w:rFonts w:ascii="Times New Roman" w:hAnsi="Times New Roman"/>
        </w:rPr>
        <w:t>Prosecution</w:t>
      </w:r>
      <w:r w:rsidR="00154DA8" w:rsidRPr="00501F1F">
        <w:rPr>
          <w:rFonts w:ascii="Times New Roman" w:hAnsi="Times New Roman"/>
        </w:rPr>
        <w:t xml:space="preserve"> </w:t>
      </w:r>
      <w:r w:rsidRPr="00501F1F">
        <w:rPr>
          <w:rFonts w:ascii="Times New Roman" w:hAnsi="Times New Roman"/>
        </w:rPr>
        <w:t xml:space="preserve">to be </w:t>
      </w:r>
      <w:r w:rsidR="00154DA8" w:rsidRPr="00501F1F">
        <w:rPr>
          <w:rFonts w:ascii="Times New Roman" w:hAnsi="Times New Roman"/>
        </w:rPr>
        <w:t>trial</w:t>
      </w:r>
      <w:r w:rsidR="00C87C06" w:rsidRPr="00501F1F">
        <w:rPr>
          <w:rFonts w:ascii="Times New Roman" w:hAnsi="Times New Roman"/>
        </w:rPr>
        <w:t>-</w:t>
      </w:r>
      <w:r w:rsidR="00154DA8" w:rsidRPr="00501F1F">
        <w:rPr>
          <w:rFonts w:ascii="Times New Roman" w:hAnsi="Times New Roman"/>
        </w:rPr>
        <w:t>ready before the Confirmation Hearing;</w:t>
      </w:r>
    </w:p>
    <w:p w:rsidR="00154DA8" w:rsidRPr="00501F1F" w:rsidRDefault="00154DA8" w:rsidP="007B6F16">
      <w:pPr>
        <w:numPr>
          <w:ilvl w:val="0"/>
          <w:numId w:val="3"/>
        </w:numPr>
        <w:jc w:val="both"/>
        <w:rPr>
          <w:rFonts w:ascii="Times New Roman" w:hAnsi="Times New Roman"/>
        </w:rPr>
      </w:pPr>
      <w:r w:rsidRPr="00501F1F">
        <w:rPr>
          <w:rFonts w:ascii="Times New Roman" w:hAnsi="Times New Roman"/>
        </w:rPr>
        <w:t>Disclosure must be early, rather than late;</w:t>
      </w:r>
    </w:p>
    <w:p w:rsidR="00154DA8" w:rsidRPr="00501F1F" w:rsidRDefault="00154DA8" w:rsidP="008B45E0">
      <w:pPr>
        <w:numPr>
          <w:ilvl w:val="0"/>
          <w:numId w:val="3"/>
        </w:numPr>
        <w:jc w:val="both"/>
        <w:rPr>
          <w:rFonts w:ascii="Times New Roman" w:hAnsi="Times New Roman"/>
        </w:rPr>
      </w:pPr>
      <w:r w:rsidRPr="00501F1F">
        <w:rPr>
          <w:rFonts w:ascii="Times New Roman" w:hAnsi="Times New Roman"/>
        </w:rPr>
        <w:t xml:space="preserve">The </w:t>
      </w:r>
      <w:r w:rsidR="00620D08" w:rsidRPr="00501F1F">
        <w:rPr>
          <w:rFonts w:ascii="Times New Roman" w:hAnsi="Times New Roman"/>
        </w:rPr>
        <w:t xml:space="preserve">group </w:t>
      </w:r>
      <w:r w:rsidRPr="00501F1F">
        <w:rPr>
          <w:rFonts w:ascii="Times New Roman" w:hAnsi="Times New Roman"/>
        </w:rPr>
        <w:t xml:space="preserve">were divided on whether full disclosure </w:t>
      </w:r>
      <w:r w:rsidR="00B63825" w:rsidRPr="00501F1F">
        <w:rPr>
          <w:rFonts w:ascii="Times New Roman" w:hAnsi="Times New Roman"/>
        </w:rPr>
        <w:t>should be made</w:t>
      </w:r>
      <w:r w:rsidRPr="00501F1F">
        <w:rPr>
          <w:rFonts w:ascii="Times New Roman" w:hAnsi="Times New Roman"/>
        </w:rPr>
        <w:t xml:space="preserve"> before or after the confirmation stage. </w:t>
      </w:r>
      <w:r w:rsidR="00B63825" w:rsidRPr="00501F1F">
        <w:rPr>
          <w:rFonts w:ascii="Times New Roman" w:hAnsi="Times New Roman"/>
        </w:rPr>
        <w:t>Where disclosure occurs immediately after the Confirmation Stage it should be made in full.</w:t>
      </w:r>
    </w:p>
    <w:p w:rsidR="008B45E0" w:rsidRPr="00501F1F" w:rsidRDefault="008B45E0" w:rsidP="008B45E0">
      <w:pPr>
        <w:ind w:left="720"/>
        <w:jc w:val="both"/>
        <w:rPr>
          <w:rFonts w:ascii="Times New Roman" w:hAnsi="Times New Roman"/>
        </w:rPr>
      </w:pPr>
    </w:p>
    <w:p w:rsidR="00154DA8" w:rsidRPr="00501F1F" w:rsidRDefault="00154DA8" w:rsidP="00605A74">
      <w:pPr>
        <w:jc w:val="both"/>
        <w:outlineLvl w:val="0"/>
        <w:rPr>
          <w:rFonts w:ascii="Times New Roman" w:hAnsi="Times New Roman"/>
          <w:b/>
          <w:i/>
        </w:rPr>
      </w:pPr>
      <w:r w:rsidRPr="00501F1F">
        <w:rPr>
          <w:rFonts w:ascii="Times New Roman" w:hAnsi="Times New Roman"/>
          <w:b/>
        </w:rPr>
        <w:t xml:space="preserve">2.1 Paper 2 - </w:t>
      </w:r>
      <w:r w:rsidRPr="00501F1F">
        <w:rPr>
          <w:rFonts w:ascii="Times New Roman" w:hAnsi="Times New Roman"/>
          <w:b/>
          <w:i/>
        </w:rPr>
        <w:t>ICC Trial Issues</w:t>
      </w:r>
    </w:p>
    <w:p w:rsidR="00154DA8" w:rsidRPr="00501F1F" w:rsidRDefault="00154DA8" w:rsidP="007B6F16">
      <w:pPr>
        <w:jc w:val="both"/>
        <w:rPr>
          <w:rFonts w:ascii="Times New Roman" w:hAnsi="Times New Roman"/>
          <w:b/>
          <w:i/>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2.1.1 Relationship between pre-trial process and trial process</w:t>
      </w:r>
    </w:p>
    <w:p w:rsidR="00154DA8" w:rsidRPr="00501F1F" w:rsidRDefault="00154DA8" w:rsidP="007B6F16">
      <w:pPr>
        <w:jc w:val="both"/>
        <w:rPr>
          <w:rFonts w:ascii="Times New Roman" w:hAnsi="Times New Roman"/>
          <w:b/>
          <w:i/>
        </w:rPr>
      </w:pPr>
    </w:p>
    <w:p w:rsidR="00154DA8" w:rsidRPr="00501F1F" w:rsidRDefault="00B63825" w:rsidP="007B6F16">
      <w:pPr>
        <w:jc w:val="both"/>
        <w:rPr>
          <w:rFonts w:ascii="Times New Roman" w:hAnsi="Times New Roman"/>
        </w:rPr>
      </w:pPr>
      <w:r w:rsidRPr="00501F1F">
        <w:rPr>
          <w:rFonts w:ascii="Times New Roman" w:hAnsi="Times New Roman"/>
        </w:rPr>
        <w:t xml:space="preserve">The second paper presented maintained that the </w:t>
      </w:r>
      <w:r w:rsidR="00154DA8" w:rsidRPr="00501F1F">
        <w:rPr>
          <w:rFonts w:ascii="Times New Roman" w:hAnsi="Times New Roman"/>
        </w:rPr>
        <w:t xml:space="preserve">relationship between the Confirmation Hearing and the </w:t>
      </w:r>
      <w:r w:rsidRPr="00501F1F">
        <w:rPr>
          <w:rFonts w:ascii="Times New Roman" w:hAnsi="Times New Roman"/>
        </w:rPr>
        <w:t>T</w:t>
      </w:r>
      <w:r w:rsidR="00154DA8" w:rsidRPr="00501F1F">
        <w:rPr>
          <w:rFonts w:ascii="Times New Roman" w:hAnsi="Times New Roman"/>
        </w:rPr>
        <w:t>rial is complicated</w:t>
      </w:r>
      <w:r w:rsidRPr="00501F1F">
        <w:rPr>
          <w:rFonts w:ascii="Times New Roman" w:hAnsi="Times New Roman"/>
        </w:rPr>
        <w:t>.</w:t>
      </w:r>
      <w:r w:rsidR="00154DA8" w:rsidRPr="00501F1F">
        <w:rPr>
          <w:rFonts w:ascii="Times New Roman" w:hAnsi="Times New Roman"/>
        </w:rPr>
        <w:t xml:space="preserve"> </w:t>
      </w:r>
      <w:r w:rsidR="008B45E0" w:rsidRPr="00501F1F">
        <w:rPr>
          <w:rFonts w:ascii="Times New Roman" w:hAnsi="Times New Roman"/>
        </w:rPr>
        <w:t>T</w:t>
      </w:r>
      <w:r w:rsidR="00154DA8" w:rsidRPr="00501F1F">
        <w:rPr>
          <w:rFonts w:ascii="Times New Roman" w:hAnsi="Times New Roman"/>
        </w:rPr>
        <w:t xml:space="preserve">he current system means that there is little synergy </w:t>
      </w:r>
      <w:r w:rsidR="00154DA8" w:rsidRPr="00501F1F">
        <w:rPr>
          <w:rFonts w:ascii="Times New Roman" w:hAnsi="Times New Roman"/>
        </w:rPr>
        <w:lastRenderedPageBreak/>
        <w:t xml:space="preserve">between the procedural stages and many questions are resolved twice. Art. 61 of the Statute </w:t>
      </w:r>
      <w:r w:rsidR="00427F3A" w:rsidRPr="00501F1F">
        <w:rPr>
          <w:rFonts w:ascii="Times New Roman" w:hAnsi="Times New Roman"/>
        </w:rPr>
        <w:t>outlines</w:t>
      </w:r>
      <w:r w:rsidR="00B62DF0" w:rsidRPr="00501F1F">
        <w:rPr>
          <w:rFonts w:ascii="Times New Roman" w:hAnsi="Times New Roman"/>
        </w:rPr>
        <w:t xml:space="preserve"> </w:t>
      </w:r>
      <w:r w:rsidR="00427F3A" w:rsidRPr="00501F1F">
        <w:rPr>
          <w:rFonts w:ascii="Times New Roman" w:hAnsi="Times New Roman"/>
        </w:rPr>
        <w:t>the evidence which must be disclosed</w:t>
      </w:r>
      <w:r w:rsidR="00154DA8" w:rsidRPr="00501F1F">
        <w:rPr>
          <w:rFonts w:ascii="Times New Roman" w:hAnsi="Times New Roman"/>
        </w:rPr>
        <w:t xml:space="preserve"> for the purpose of confirmation. The current scheme for disclosure with respect to the</w:t>
      </w:r>
      <w:r w:rsidR="00620D08" w:rsidRPr="00501F1F">
        <w:rPr>
          <w:rFonts w:ascii="Times New Roman" w:hAnsi="Times New Roman"/>
        </w:rPr>
        <w:t xml:space="preserve"> </w:t>
      </w:r>
      <w:r w:rsidR="00CB395C" w:rsidRPr="00501F1F">
        <w:rPr>
          <w:rFonts w:ascii="Times New Roman" w:hAnsi="Times New Roman"/>
        </w:rPr>
        <w:t>Prosecution</w:t>
      </w:r>
      <w:r w:rsidR="00154DA8" w:rsidRPr="00501F1F">
        <w:rPr>
          <w:rFonts w:ascii="Times New Roman" w:hAnsi="Times New Roman"/>
        </w:rPr>
        <w:t xml:space="preserve"> and exculpatory evidence has given rise to problems</w:t>
      </w:r>
      <w:r w:rsidR="00382B6E">
        <w:rPr>
          <w:rFonts w:ascii="Times New Roman" w:hAnsi="Times New Roman"/>
        </w:rPr>
        <w:t>,</w:t>
      </w:r>
      <w:r w:rsidR="00154DA8" w:rsidRPr="00501F1F">
        <w:rPr>
          <w:rFonts w:ascii="Times New Roman" w:hAnsi="Times New Roman"/>
        </w:rPr>
        <w:t xml:space="preserve"> such as multiple decisions and delays</w:t>
      </w:r>
      <w:r w:rsidR="00B62DF0" w:rsidRPr="00501F1F">
        <w:rPr>
          <w:rFonts w:ascii="Times New Roman" w:hAnsi="Times New Roman"/>
        </w:rPr>
        <w:t xml:space="preserve"> which is exacerbated by the ICC’s dual disclosure scheme</w:t>
      </w:r>
      <w:r w:rsidR="00154DA8" w:rsidRPr="00501F1F">
        <w:rPr>
          <w:rFonts w:ascii="Times New Roman" w:hAnsi="Times New Roman"/>
        </w:rPr>
        <w:t>. Nevertheless, it is unrealistic to consider statutory amendments at this time. Amendments should be confined to the RPE and ICC Regulations.</w:t>
      </w:r>
    </w:p>
    <w:p w:rsidR="008B45E0" w:rsidRPr="00501F1F" w:rsidRDefault="008B45E0" w:rsidP="007B6F16">
      <w:pPr>
        <w:jc w:val="both"/>
        <w:rPr>
          <w:rFonts w:ascii="Times New Roman" w:hAnsi="Times New Roman"/>
        </w:rPr>
      </w:pPr>
    </w:p>
    <w:p w:rsidR="00154DA8" w:rsidRPr="00501F1F" w:rsidRDefault="00B62DF0" w:rsidP="007B6F16">
      <w:pPr>
        <w:jc w:val="both"/>
        <w:rPr>
          <w:rFonts w:ascii="Times New Roman" w:hAnsi="Times New Roman"/>
        </w:rPr>
      </w:pPr>
      <w:r w:rsidRPr="00501F1F">
        <w:rPr>
          <w:rFonts w:ascii="Times New Roman" w:hAnsi="Times New Roman"/>
        </w:rPr>
        <w:t>The second paper outlined two</w:t>
      </w:r>
      <w:r w:rsidR="00154DA8" w:rsidRPr="00501F1F">
        <w:rPr>
          <w:rFonts w:ascii="Times New Roman" w:hAnsi="Times New Roman"/>
        </w:rPr>
        <w:t xml:space="preserve"> main questions: </w:t>
      </w:r>
    </w:p>
    <w:p w:rsidR="00154DA8" w:rsidRPr="00501F1F" w:rsidRDefault="00154DA8" w:rsidP="007B6F16">
      <w:pPr>
        <w:jc w:val="both"/>
        <w:rPr>
          <w:rFonts w:ascii="Times New Roman" w:hAnsi="Times New Roman"/>
        </w:rPr>
      </w:pPr>
    </w:p>
    <w:p w:rsidR="00154DA8" w:rsidRPr="00501F1F" w:rsidRDefault="00154DA8" w:rsidP="00B21222">
      <w:pPr>
        <w:pStyle w:val="ListParagraph"/>
        <w:numPr>
          <w:ilvl w:val="0"/>
          <w:numId w:val="8"/>
        </w:numPr>
        <w:jc w:val="both"/>
        <w:rPr>
          <w:rFonts w:ascii="Times New Roman" w:hAnsi="Times New Roman"/>
        </w:rPr>
      </w:pPr>
      <w:r w:rsidRPr="00501F1F">
        <w:rPr>
          <w:rFonts w:ascii="Times New Roman" w:hAnsi="Times New Roman"/>
        </w:rPr>
        <w:t xml:space="preserve">What is the purpose of the </w:t>
      </w:r>
      <w:r w:rsidR="00B63825" w:rsidRPr="00501F1F">
        <w:rPr>
          <w:rFonts w:ascii="Times New Roman" w:hAnsi="Times New Roman"/>
        </w:rPr>
        <w:t>C</w:t>
      </w:r>
      <w:r w:rsidRPr="00501F1F">
        <w:rPr>
          <w:rFonts w:ascii="Times New Roman" w:hAnsi="Times New Roman"/>
        </w:rPr>
        <w:t xml:space="preserve">onfirmation </w:t>
      </w:r>
      <w:r w:rsidR="00B63825" w:rsidRPr="00501F1F">
        <w:rPr>
          <w:rFonts w:ascii="Times New Roman" w:hAnsi="Times New Roman"/>
        </w:rPr>
        <w:t>H</w:t>
      </w:r>
      <w:r w:rsidRPr="00501F1F">
        <w:rPr>
          <w:rFonts w:ascii="Times New Roman" w:hAnsi="Times New Roman"/>
        </w:rPr>
        <w:t xml:space="preserve">earing? </w:t>
      </w:r>
    </w:p>
    <w:p w:rsidR="00154DA8" w:rsidRPr="00501F1F" w:rsidRDefault="00154DA8" w:rsidP="00B21222">
      <w:pPr>
        <w:pStyle w:val="ListParagraph"/>
        <w:numPr>
          <w:ilvl w:val="0"/>
          <w:numId w:val="8"/>
        </w:numPr>
        <w:jc w:val="both"/>
        <w:rPr>
          <w:rFonts w:ascii="Times New Roman" w:hAnsi="Times New Roman"/>
        </w:rPr>
      </w:pPr>
      <w:r w:rsidRPr="00501F1F">
        <w:rPr>
          <w:rFonts w:ascii="Times New Roman" w:hAnsi="Times New Roman"/>
        </w:rPr>
        <w:t xml:space="preserve">What is the Trial </w:t>
      </w:r>
      <w:r w:rsidR="005B29C3" w:rsidRPr="00501F1F">
        <w:rPr>
          <w:rFonts w:ascii="Times New Roman" w:hAnsi="Times New Roman"/>
        </w:rPr>
        <w:t xml:space="preserve">Chamber </w:t>
      </w:r>
      <w:r w:rsidRPr="00501F1F">
        <w:rPr>
          <w:rFonts w:ascii="Times New Roman" w:hAnsi="Times New Roman"/>
        </w:rPr>
        <w:t>supposed to do with the findings of the Pre-Trial Chamber?</w:t>
      </w:r>
    </w:p>
    <w:p w:rsidR="00154DA8" w:rsidRPr="00501F1F" w:rsidRDefault="00154DA8" w:rsidP="007B6F16">
      <w:pPr>
        <w:jc w:val="both"/>
        <w:rPr>
          <w:rFonts w:ascii="Times New Roman" w:hAnsi="Times New Roman"/>
        </w:rPr>
      </w:pPr>
    </w:p>
    <w:p w:rsidR="00154DA8" w:rsidRPr="00501F1F" w:rsidRDefault="00154DA8" w:rsidP="008B45E0">
      <w:pPr>
        <w:rPr>
          <w:rFonts w:ascii="Times New Roman" w:hAnsi="Times New Roman"/>
        </w:rPr>
      </w:pPr>
      <w:r w:rsidRPr="00501F1F">
        <w:rPr>
          <w:rFonts w:ascii="Times New Roman" w:hAnsi="Times New Roman"/>
        </w:rPr>
        <w:t xml:space="preserve">The Confirmation Hearing is a pre-trial hearing and allows for disclosure. </w:t>
      </w:r>
      <w:r w:rsidR="00377488" w:rsidRPr="00501F1F">
        <w:rPr>
          <w:rFonts w:ascii="Times New Roman" w:hAnsi="Times New Roman"/>
        </w:rPr>
        <w:t xml:space="preserve">The application of Regulation 55 by the PTC in </w:t>
      </w:r>
      <w:proofErr w:type="spellStart"/>
      <w:r w:rsidR="00377488" w:rsidRPr="00501F1F">
        <w:rPr>
          <w:rFonts w:ascii="Times New Roman" w:hAnsi="Times New Roman"/>
          <w:i/>
        </w:rPr>
        <w:t>Lubanga</w:t>
      </w:r>
      <w:proofErr w:type="spellEnd"/>
      <w:r w:rsidR="00377488" w:rsidRPr="00501F1F">
        <w:rPr>
          <w:rFonts w:ascii="Times New Roman" w:hAnsi="Times New Roman"/>
          <w:i/>
        </w:rPr>
        <w:t xml:space="preserve"> </w:t>
      </w:r>
      <w:r w:rsidR="00377488" w:rsidRPr="00501F1F">
        <w:rPr>
          <w:rFonts w:ascii="Times New Roman" w:hAnsi="Times New Roman"/>
        </w:rPr>
        <w:t xml:space="preserve">in the confirmation decision has led to procedural uncertainty regarding the extent to which the </w:t>
      </w:r>
      <w:r w:rsidRPr="00501F1F">
        <w:rPr>
          <w:rFonts w:ascii="Times New Roman" w:hAnsi="Times New Roman"/>
        </w:rPr>
        <w:t>confirmation decision bind</w:t>
      </w:r>
      <w:r w:rsidR="00377488" w:rsidRPr="00501F1F">
        <w:rPr>
          <w:rFonts w:ascii="Times New Roman" w:hAnsi="Times New Roman"/>
        </w:rPr>
        <w:t>s</w:t>
      </w:r>
      <w:r w:rsidRPr="00501F1F">
        <w:rPr>
          <w:rFonts w:ascii="Times New Roman" w:hAnsi="Times New Roman"/>
        </w:rPr>
        <w:t xml:space="preserve"> the </w:t>
      </w:r>
      <w:r w:rsidR="00620D08" w:rsidRPr="00501F1F">
        <w:rPr>
          <w:rFonts w:ascii="Times New Roman" w:hAnsi="Times New Roman"/>
        </w:rPr>
        <w:t>Trial Chamber</w:t>
      </w:r>
      <w:r w:rsidRPr="00501F1F">
        <w:rPr>
          <w:rFonts w:ascii="Times New Roman" w:hAnsi="Times New Roman"/>
        </w:rPr>
        <w:t xml:space="preserve"> in its determination of the charges</w:t>
      </w:r>
      <w:r w:rsidR="00377488" w:rsidRPr="00501F1F">
        <w:rPr>
          <w:rFonts w:ascii="Times New Roman" w:hAnsi="Times New Roman"/>
        </w:rPr>
        <w:t>.</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rPr>
      </w:pPr>
      <w:r w:rsidRPr="00501F1F">
        <w:rPr>
          <w:rFonts w:ascii="Times New Roman" w:hAnsi="Times New Roman"/>
          <w:u w:val="single"/>
        </w:rPr>
        <w:t>2.1.2 Trial Preparation</w:t>
      </w:r>
    </w:p>
    <w:p w:rsidR="00154DA8" w:rsidRPr="00501F1F" w:rsidRDefault="00154DA8" w:rsidP="007B6F16">
      <w:pPr>
        <w:jc w:val="both"/>
        <w:rPr>
          <w:rFonts w:ascii="Times New Roman" w:hAnsi="Times New Roman"/>
        </w:rPr>
      </w:pPr>
    </w:p>
    <w:p w:rsidR="00154DA8" w:rsidRPr="00501F1F" w:rsidRDefault="00377488" w:rsidP="007B05F8">
      <w:pPr>
        <w:rPr>
          <w:rFonts w:ascii="Times New Roman" w:hAnsi="Times New Roman"/>
        </w:rPr>
      </w:pPr>
      <w:r w:rsidRPr="00501F1F">
        <w:rPr>
          <w:rFonts w:ascii="Times New Roman" w:hAnsi="Times New Roman"/>
        </w:rPr>
        <w:t>The second paper raised o</w:t>
      </w:r>
      <w:r w:rsidR="00154DA8" w:rsidRPr="00501F1F">
        <w:rPr>
          <w:rFonts w:ascii="Times New Roman" w:hAnsi="Times New Roman"/>
        </w:rPr>
        <w:t>ne central issue in respect of trial preparation relat</w:t>
      </w:r>
      <w:r w:rsidRPr="00501F1F">
        <w:rPr>
          <w:rFonts w:ascii="Times New Roman" w:hAnsi="Times New Roman"/>
        </w:rPr>
        <w:t>ing</w:t>
      </w:r>
      <w:r w:rsidR="00154DA8" w:rsidRPr="00501F1F">
        <w:rPr>
          <w:rFonts w:ascii="Times New Roman" w:hAnsi="Times New Roman"/>
        </w:rPr>
        <w:t xml:space="preserve"> to the composition of the Trial Chamber</w:t>
      </w:r>
      <w:r w:rsidR="00B55B48" w:rsidRPr="00501F1F">
        <w:rPr>
          <w:rFonts w:ascii="Times New Roman" w:hAnsi="Times New Roman"/>
        </w:rPr>
        <w:t>. One proposal has been to empower</w:t>
      </w:r>
      <w:r w:rsidR="00154DA8" w:rsidRPr="00501F1F">
        <w:rPr>
          <w:rFonts w:ascii="Times New Roman" w:hAnsi="Times New Roman"/>
        </w:rPr>
        <w:t xml:space="preserve"> a single </w:t>
      </w:r>
      <w:r w:rsidR="00382B6E">
        <w:rPr>
          <w:rFonts w:ascii="Times New Roman" w:hAnsi="Times New Roman"/>
        </w:rPr>
        <w:t>Judge</w:t>
      </w:r>
      <w:r w:rsidR="00154DA8" w:rsidRPr="00501F1F">
        <w:rPr>
          <w:rFonts w:ascii="Times New Roman" w:hAnsi="Times New Roman"/>
        </w:rPr>
        <w:t xml:space="preserve"> of the Chamber to prepare the case for trial, similar to Articles 39(2)(b)(iii) and 57(2)(b) ICC Statute. This was proposed in </w:t>
      </w:r>
      <w:r w:rsidR="007B05F8" w:rsidRPr="00501F1F">
        <w:rPr>
          <w:rFonts w:ascii="Times New Roman" w:hAnsi="Times New Roman"/>
        </w:rPr>
        <w:t>the report by the Study Group on Governance</w:t>
      </w:r>
      <w:r w:rsidR="004E3865" w:rsidRPr="00501F1F">
        <w:rPr>
          <w:rFonts w:ascii="Times New Roman" w:hAnsi="Times New Roman"/>
        </w:rPr>
        <w:t xml:space="preserve"> (SGG)</w:t>
      </w:r>
      <w:r w:rsidR="007B05F8" w:rsidRPr="00501F1F">
        <w:rPr>
          <w:rFonts w:ascii="Times New Roman" w:hAnsi="Times New Roman"/>
        </w:rPr>
        <w:t xml:space="preserve"> entitled </w:t>
      </w:r>
      <w:r w:rsidR="007B05F8" w:rsidRPr="00501F1F">
        <w:rPr>
          <w:rFonts w:ascii="Times New Roman" w:hAnsi="Times New Roman"/>
          <w:i/>
        </w:rPr>
        <w:t>Lessons Learnt: First Report to the Assembly of State Parties</w:t>
      </w:r>
      <w:r w:rsidR="007B05F8" w:rsidRPr="00501F1F">
        <w:rPr>
          <w:rFonts w:ascii="Times New Roman" w:hAnsi="Times New Roman"/>
        </w:rPr>
        <w:t xml:space="preserve"> a</w:t>
      </w:r>
      <w:r w:rsidR="00154DA8" w:rsidRPr="00501F1F">
        <w:rPr>
          <w:rFonts w:ascii="Times New Roman" w:hAnsi="Times New Roman"/>
        </w:rPr>
        <w:t>nd would be a reasonable resource saving solution.</w:t>
      </w:r>
    </w:p>
    <w:p w:rsidR="00154DA8" w:rsidRPr="00501F1F" w:rsidRDefault="00154DA8" w:rsidP="007B05F8">
      <w:pPr>
        <w:rPr>
          <w:rFonts w:ascii="Times New Roman" w:hAnsi="Times New Roman"/>
        </w:rPr>
      </w:pPr>
    </w:p>
    <w:p w:rsidR="00154DA8" w:rsidRPr="00501F1F" w:rsidRDefault="00154DA8" w:rsidP="007B6F16">
      <w:pPr>
        <w:jc w:val="both"/>
        <w:rPr>
          <w:rFonts w:ascii="Times New Roman" w:hAnsi="Times New Roman"/>
        </w:rPr>
      </w:pPr>
      <w:r w:rsidRPr="00501F1F">
        <w:rPr>
          <w:rFonts w:ascii="Times New Roman" w:hAnsi="Times New Roman"/>
        </w:rPr>
        <w:t>The Trial Chamber has multiple functions that may well enhance the efficiency of the trial preparations and of the trial itself</w:t>
      </w:r>
      <w:r w:rsidR="00406A3C" w:rsidRPr="00501F1F">
        <w:rPr>
          <w:rFonts w:ascii="Times New Roman" w:hAnsi="Times New Roman"/>
        </w:rPr>
        <w:t>. It was noted that</w:t>
      </w:r>
      <w:r w:rsidRPr="00501F1F">
        <w:rPr>
          <w:rFonts w:ascii="Times New Roman" w:hAnsi="Times New Roman"/>
        </w:rPr>
        <w:t xml:space="preserve"> the Trial Chamber does not only deal with disclosure but </w:t>
      </w:r>
      <w:r w:rsidR="00406A3C" w:rsidRPr="00501F1F">
        <w:rPr>
          <w:rFonts w:ascii="Times New Roman" w:hAnsi="Times New Roman"/>
        </w:rPr>
        <w:t xml:space="preserve">also with </w:t>
      </w:r>
      <w:r w:rsidRPr="00501F1F">
        <w:rPr>
          <w:rFonts w:ascii="Times New Roman" w:hAnsi="Times New Roman"/>
        </w:rPr>
        <w:t xml:space="preserve">the </w:t>
      </w:r>
      <w:r w:rsidR="00406A3C" w:rsidRPr="00501F1F">
        <w:rPr>
          <w:rFonts w:ascii="Times New Roman" w:hAnsi="Times New Roman"/>
        </w:rPr>
        <w:t xml:space="preserve">schemas </w:t>
      </w:r>
      <w:r w:rsidRPr="00501F1F">
        <w:rPr>
          <w:rFonts w:ascii="Times New Roman" w:hAnsi="Times New Roman"/>
        </w:rPr>
        <w:t xml:space="preserve">or formats for the trial. The parties may be required to link their evidence to an evidentiary theme. </w:t>
      </w:r>
      <w:r w:rsidR="00406A3C" w:rsidRPr="00501F1F">
        <w:rPr>
          <w:rFonts w:ascii="Times New Roman" w:hAnsi="Times New Roman"/>
        </w:rPr>
        <w:t xml:space="preserve">A question arises as to how </w:t>
      </w:r>
      <w:r w:rsidRPr="00501F1F">
        <w:rPr>
          <w:rFonts w:ascii="Times New Roman" w:hAnsi="Times New Roman"/>
        </w:rPr>
        <w:t>each piece of evidence relate</w:t>
      </w:r>
      <w:r w:rsidR="00406A3C" w:rsidRPr="00501F1F">
        <w:rPr>
          <w:rFonts w:ascii="Times New Roman" w:hAnsi="Times New Roman"/>
        </w:rPr>
        <w:t>s</w:t>
      </w:r>
      <w:r w:rsidRPr="00501F1F">
        <w:rPr>
          <w:rFonts w:ascii="Times New Roman" w:hAnsi="Times New Roman"/>
        </w:rPr>
        <w:t xml:space="preserve"> to what the </w:t>
      </w:r>
      <w:r w:rsidR="00CB395C" w:rsidRPr="00501F1F">
        <w:rPr>
          <w:rFonts w:ascii="Times New Roman" w:hAnsi="Times New Roman"/>
        </w:rPr>
        <w:t>Defence</w:t>
      </w:r>
      <w:r w:rsidRPr="00501F1F">
        <w:rPr>
          <w:rFonts w:ascii="Times New Roman" w:hAnsi="Times New Roman"/>
        </w:rPr>
        <w:t xml:space="preserve"> and </w:t>
      </w:r>
      <w:r w:rsidR="00CB395C" w:rsidRPr="00501F1F">
        <w:rPr>
          <w:rFonts w:ascii="Times New Roman" w:hAnsi="Times New Roman"/>
        </w:rPr>
        <w:t>Prosecution</w:t>
      </w:r>
      <w:r w:rsidRPr="00501F1F">
        <w:rPr>
          <w:rFonts w:ascii="Times New Roman" w:hAnsi="Times New Roman"/>
        </w:rPr>
        <w:t xml:space="preserve"> want to prove</w:t>
      </w:r>
      <w:r w:rsidR="00406A3C" w:rsidRPr="00501F1F">
        <w:rPr>
          <w:rFonts w:ascii="Times New Roman" w:hAnsi="Times New Roman"/>
        </w:rPr>
        <w:t xml:space="preserve">. </w:t>
      </w:r>
      <w:r w:rsidRPr="00501F1F">
        <w:rPr>
          <w:rFonts w:ascii="Times New Roman" w:hAnsi="Times New Roman"/>
        </w:rPr>
        <w:t xml:space="preserve">Some Chambers have </w:t>
      </w:r>
      <w:r w:rsidR="00406A3C" w:rsidRPr="00501F1F">
        <w:rPr>
          <w:rFonts w:ascii="Times New Roman" w:hAnsi="Times New Roman"/>
        </w:rPr>
        <w:t xml:space="preserve">therefore </w:t>
      </w:r>
      <w:r w:rsidRPr="00501F1F">
        <w:rPr>
          <w:rFonts w:ascii="Times New Roman" w:hAnsi="Times New Roman"/>
        </w:rPr>
        <w:t xml:space="preserve">established requirements such as the </w:t>
      </w:r>
      <w:r w:rsidR="00EA3E20" w:rsidRPr="00501F1F">
        <w:rPr>
          <w:rFonts w:ascii="Times New Roman" w:hAnsi="Times New Roman"/>
        </w:rPr>
        <w:t>In-depth Analysis Chart</w:t>
      </w:r>
      <w:r w:rsidR="002F1B7A" w:rsidRPr="00501F1F">
        <w:rPr>
          <w:rFonts w:ascii="Times New Roman" w:hAnsi="Times New Roman"/>
        </w:rPr>
        <w:t>s</w:t>
      </w:r>
      <w:r w:rsidR="00EA3E20" w:rsidRPr="00501F1F">
        <w:rPr>
          <w:rFonts w:ascii="Times New Roman" w:hAnsi="Times New Roman"/>
        </w:rPr>
        <w:t xml:space="preserve"> (IDAC</w:t>
      </w:r>
      <w:r w:rsidR="00CC2B4D" w:rsidRPr="00501F1F">
        <w:rPr>
          <w:rFonts w:ascii="Times New Roman" w:hAnsi="Times New Roman"/>
        </w:rPr>
        <w:t>s</w:t>
      </w:r>
      <w:r w:rsidR="00EA3E20" w:rsidRPr="00501F1F">
        <w:rPr>
          <w:rFonts w:ascii="Times New Roman" w:hAnsi="Times New Roman"/>
        </w:rPr>
        <w:t>)</w:t>
      </w:r>
      <w:r w:rsidRPr="00501F1F">
        <w:rPr>
          <w:rFonts w:ascii="Times New Roman" w:hAnsi="Times New Roman"/>
        </w:rPr>
        <w:t>.</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2.1.3 Reconsideration of Decisions</w:t>
      </w:r>
    </w:p>
    <w:p w:rsidR="00154DA8" w:rsidRPr="00501F1F" w:rsidRDefault="00154DA8" w:rsidP="007B6F16">
      <w:pPr>
        <w:jc w:val="both"/>
        <w:rPr>
          <w:rFonts w:ascii="Times New Roman" w:hAnsi="Times New Roman"/>
          <w:u w:val="single"/>
        </w:rPr>
      </w:pPr>
    </w:p>
    <w:p w:rsidR="00154DA8" w:rsidRPr="00501F1F" w:rsidRDefault="00B55B48" w:rsidP="007B6F16">
      <w:pPr>
        <w:jc w:val="both"/>
        <w:rPr>
          <w:rFonts w:ascii="Times New Roman" w:hAnsi="Times New Roman"/>
        </w:rPr>
      </w:pPr>
      <w:r w:rsidRPr="00501F1F">
        <w:rPr>
          <w:rFonts w:ascii="Times New Roman" w:hAnsi="Times New Roman"/>
        </w:rPr>
        <w:t>The</w:t>
      </w:r>
      <w:r w:rsidR="00377488" w:rsidRPr="00501F1F">
        <w:rPr>
          <w:rFonts w:ascii="Times New Roman" w:hAnsi="Times New Roman"/>
        </w:rPr>
        <w:t xml:space="preserve"> second paper noted the</w:t>
      </w:r>
      <w:r w:rsidRPr="00501F1F">
        <w:rPr>
          <w:rFonts w:ascii="Times New Roman" w:hAnsi="Times New Roman"/>
        </w:rPr>
        <w:t xml:space="preserve"> powers of the Chamber to reconsider an earlier decision on administrative </w:t>
      </w:r>
      <w:r w:rsidR="00154DA8" w:rsidRPr="00501F1F">
        <w:rPr>
          <w:rFonts w:ascii="Times New Roman" w:hAnsi="Times New Roman"/>
        </w:rPr>
        <w:t xml:space="preserve">or substantive and contentious matters </w:t>
      </w:r>
      <w:r w:rsidR="00CC2B4D" w:rsidRPr="00501F1F">
        <w:rPr>
          <w:rFonts w:ascii="Times New Roman" w:hAnsi="Times New Roman"/>
        </w:rPr>
        <w:t xml:space="preserve">is </w:t>
      </w:r>
      <w:r w:rsidR="00154DA8" w:rsidRPr="00501F1F">
        <w:rPr>
          <w:rFonts w:ascii="Times New Roman" w:hAnsi="Times New Roman"/>
        </w:rPr>
        <w:t>a question that has been answered differently by different Chambers</w:t>
      </w:r>
      <w:r w:rsidRPr="00501F1F">
        <w:rPr>
          <w:rFonts w:ascii="Times New Roman" w:hAnsi="Times New Roman"/>
        </w:rPr>
        <w:t>. T</w:t>
      </w:r>
      <w:r w:rsidR="007B05F8" w:rsidRPr="00501F1F">
        <w:rPr>
          <w:rFonts w:ascii="Times New Roman" w:hAnsi="Times New Roman"/>
        </w:rPr>
        <w:t xml:space="preserve">he resulting case law does not </w:t>
      </w:r>
      <w:r w:rsidRPr="00501F1F">
        <w:rPr>
          <w:rFonts w:ascii="Times New Roman" w:hAnsi="Times New Roman"/>
        </w:rPr>
        <w:t>correspond to</w:t>
      </w:r>
      <w:r w:rsidR="00154DA8" w:rsidRPr="00501F1F">
        <w:rPr>
          <w:rFonts w:ascii="Times New Roman" w:hAnsi="Times New Roman"/>
        </w:rPr>
        <w:t xml:space="preserve"> the Statute. The ICC Statute framework does not explicitly provide for a procedure for general reconsideration of decisions once deadlines for appeals have </w:t>
      </w:r>
      <w:r w:rsidR="00382B6E">
        <w:rPr>
          <w:rFonts w:ascii="Times New Roman" w:hAnsi="Times New Roman"/>
        </w:rPr>
        <w:t>passed. H</w:t>
      </w:r>
      <w:r w:rsidRPr="00501F1F">
        <w:rPr>
          <w:rFonts w:ascii="Times New Roman" w:hAnsi="Times New Roman"/>
        </w:rPr>
        <w:t>owever</w:t>
      </w:r>
      <w:r w:rsidR="00382B6E">
        <w:rPr>
          <w:rFonts w:ascii="Times New Roman" w:hAnsi="Times New Roman"/>
        </w:rPr>
        <w:t>,</w:t>
      </w:r>
      <w:r w:rsidRPr="00501F1F">
        <w:rPr>
          <w:rFonts w:ascii="Times New Roman" w:hAnsi="Times New Roman"/>
        </w:rPr>
        <w:t xml:space="preserve"> </w:t>
      </w:r>
      <w:r w:rsidR="00154DA8" w:rsidRPr="00501F1F">
        <w:rPr>
          <w:rFonts w:ascii="Times New Roman" w:hAnsi="Times New Roman"/>
        </w:rPr>
        <w:t xml:space="preserve">Chambers have considered that on different facts it might be persuaded to consider </w:t>
      </w:r>
      <w:r w:rsidR="00833013" w:rsidRPr="00501F1F">
        <w:rPr>
          <w:rFonts w:ascii="Times New Roman" w:hAnsi="Times New Roman"/>
        </w:rPr>
        <w:t>earlier precedent. The paper suggested that t</w:t>
      </w:r>
      <w:r w:rsidR="00154DA8" w:rsidRPr="00501F1F">
        <w:rPr>
          <w:rFonts w:ascii="Times New Roman" w:hAnsi="Times New Roman"/>
        </w:rPr>
        <w:t>he relationship between reconsideration and interlocutory appeals should be defined.</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2.1.4 Evidence at Trial</w:t>
      </w:r>
    </w:p>
    <w:p w:rsidR="00154DA8" w:rsidRPr="00501F1F" w:rsidRDefault="00154DA8" w:rsidP="007B6F16">
      <w:pPr>
        <w:jc w:val="both"/>
        <w:rPr>
          <w:rFonts w:ascii="Times New Roman" w:hAnsi="Times New Roman"/>
        </w:rPr>
      </w:pPr>
    </w:p>
    <w:p w:rsidR="00154DA8" w:rsidRPr="00501F1F" w:rsidRDefault="00CC2B4D" w:rsidP="007B6F16">
      <w:pPr>
        <w:jc w:val="both"/>
        <w:rPr>
          <w:rFonts w:ascii="Times New Roman" w:hAnsi="Times New Roman"/>
        </w:rPr>
      </w:pPr>
      <w:r w:rsidRPr="00501F1F">
        <w:rPr>
          <w:rFonts w:ascii="Times New Roman" w:hAnsi="Times New Roman"/>
        </w:rPr>
        <w:t>A</w:t>
      </w:r>
      <w:r w:rsidR="00B62DF0" w:rsidRPr="00501F1F">
        <w:rPr>
          <w:rFonts w:ascii="Times New Roman" w:hAnsi="Times New Roman"/>
        </w:rPr>
        <w:t xml:space="preserve"> number of areas</w:t>
      </w:r>
      <w:r w:rsidR="00154DA8" w:rsidRPr="00501F1F">
        <w:rPr>
          <w:rFonts w:ascii="Times New Roman" w:hAnsi="Times New Roman"/>
        </w:rPr>
        <w:t xml:space="preserve"> for possible change</w:t>
      </w:r>
      <w:r w:rsidR="00B62DF0" w:rsidRPr="00501F1F">
        <w:rPr>
          <w:rFonts w:ascii="Times New Roman" w:hAnsi="Times New Roman"/>
        </w:rPr>
        <w:t xml:space="preserve"> to the procedure relating to evidence at trial</w:t>
      </w:r>
      <w:r w:rsidRPr="00501F1F">
        <w:rPr>
          <w:rFonts w:ascii="Times New Roman" w:hAnsi="Times New Roman"/>
        </w:rPr>
        <w:t xml:space="preserve"> were highlighted</w:t>
      </w:r>
      <w:r w:rsidR="00B62DF0" w:rsidRPr="00501F1F">
        <w:rPr>
          <w:rFonts w:ascii="Times New Roman" w:hAnsi="Times New Roman"/>
        </w:rPr>
        <w:t>, including:</w:t>
      </w:r>
      <w:r w:rsidR="00154DA8" w:rsidRPr="00501F1F">
        <w:rPr>
          <w:rFonts w:ascii="Times New Roman" w:hAnsi="Times New Roman"/>
        </w:rPr>
        <w:t xml:space="preserve"> </w:t>
      </w:r>
    </w:p>
    <w:p w:rsidR="00154DA8" w:rsidRPr="00501F1F" w:rsidRDefault="00154DA8" w:rsidP="007B6F16">
      <w:pPr>
        <w:jc w:val="both"/>
        <w:rPr>
          <w:rFonts w:ascii="Times New Roman" w:hAnsi="Times New Roman"/>
        </w:rPr>
      </w:pPr>
    </w:p>
    <w:p w:rsidR="00FF7B55" w:rsidRDefault="00233A26" w:rsidP="00467D1B">
      <w:pPr>
        <w:pStyle w:val="ListParagraph"/>
        <w:numPr>
          <w:ilvl w:val="0"/>
          <w:numId w:val="11"/>
        </w:numPr>
        <w:jc w:val="both"/>
        <w:rPr>
          <w:rFonts w:ascii="Times New Roman" w:hAnsi="Times New Roman"/>
        </w:rPr>
      </w:pPr>
      <w:r w:rsidRPr="00FF7B55">
        <w:rPr>
          <w:rFonts w:ascii="Times New Roman" w:hAnsi="Times New Roman"/>
        </w:rPr>
        <w:lastRenderedPageBreak/>
        <w:t xml:space="preserve">Documentary Evidence - The simplification </w:t>
      </w:r>
      <w:r w:rsidR="00B62DF0" w:rsidRPr="00FF7B55">
        <w:rPr>
          <w:rFonts w:ascii="Times New Roman" w:hAnsi="Times New Roman"/>
        </w:rPr>
        <w:t xml:space="preserve">of the administration of </w:t>
      </w:r>
      <w:r w:rsidRPr="00FF7B55">
        <w:rPr>
          <w:rFonts w:ascii="Times New Roman" w:hAnsi="Times New Roman"/>
        </w:rPr>
        <w:t>documentary evidence</w:t>
      </w:r>
      <w:r w:rsidR="00B62DF0" w:rsidRPr="00FF7B55">
        <w:rPr>
          <w:rFonts w:ascii="Times New Roman" w:hAnsi="Times New Roman"/>
        </w:rPr>
        <w:t>.</w:t>
      </w:r>
      <w:r w:rsidRPr="00FF7B55">
        <w:rPr>
          <w:rFonts w:ascii="Times New Roman" w:hAnsi="Times New Roman"/>
        </w:rPr>
        <w:t xml:space="preserve"> </w:t>
      </w:r>
    </w:p>
    <w:p w:rsidR="00233A26" w:rsidRPr="00FF7B55" w:rsidRDefault="00233A26" w:rsidP="00467D1B">
      <w:pPr>
        <w:pStyle w:val="ListParagraph"/>
        <w:numPr>
          <w:ilvl w:val="0"/>
          <w:numId w:val="11"/>
        </w:numPr>
        <w:jc w:val="both"/>
        <w:rPr>
          <w:rFonts w:ascii="Times New Roman" w:hAnsi="Times New Roman"/>
        </w:rPr>
      </w:pPr>
      <w:r w:rsidRPr="00FF7B55">
        <w:rPr>
          <w:rFonts w:ascii="Times New Roman" w:hAnsi="Times New Roman"/>
        </w:rPr>
        <w:t xml:space="preserve">Witnesses and Experts </w:t>
      </w:r>
      <w:r w:rsidR="00154DA8" w:rsidRPr="00FF7B55">
        <w:rPr>
          <w:rFonts w:ascii="Times New Roman" w:hAnsi="Times New Roman"/>
        </w:rPr>
        <w:t>–</w:t>
      </w:r>
      <w:r w:rsidRPr="00FF7B55">
        <w:rPr>
          <w:rFonts w:ascii="Times New Roman" w:hAnsi="Times New Roman"/>
        </w:rPr>
        <w:t xml:space="preserve"> </w:t>
      </w:r>
      <w:r w:rsidR="00B62DF0" w:rsidRPr="00FF7B55">
        <w:rPr>
          <w:rFonts w:ascii="Times New Roman" w:hAnsi="Times New Roman"/>
        </w:rPr>
        <w:t xml:space="preserve">The further restriction of live evidence before the </w:t>
      </w:r>
      <w:r w:rsidR="00561580" w:rsidRPr="00FF7B55">
        <w:rPr>
          <w:rFonts w:ascii="Times New Roman" w:hAnsi="Times New Roman"/>
        </w:rPr>
        <w:t>Court</w:t>
      </w:r>
      <w:r w:rsidR="00B62DF0" w:rsidRPr="00FF7B55">
        <w:rPr>
          <w:rFonts w:ascii="Times New Roman" w:hAnsi="Times New Roman"/>
        </w:rPr>
        <w:t>, including submission of written testimonies, the use of expert witnesses and</w:t>
      </w:r>
      <w:r w:rsidR="004E3865" w:rsidRPr="00FF7B55">
        <w:rPr>
          <w:rFonts w:ascii="Times New Roman" w:hAnsi="Times New Roman"/>
        </w:rPr>
        <w:t xml:space="preserve"> the use of video conference appearances.</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2.1.5 Strengthening the System to Sanction Parties</w:t>
      </w:r>
    </w:p>
    <w:p w:rsidR="00154DA8" w:rsidRPr="00501F1F" w:rsidRDefault="00154DA8" w:rsidP="007B6F16">
      <w:pPr>
        <w:jc w:val="both"/>
        <w:rPr>
          <w:rFonts w:ascii="Times New Roman" w:hAnsi="Times New Roman"/>
          <w:u w:val="single"/>
        </w:rPr>
      </w:pPr>
    </w:p>
    <w:p w:rsidR="00154DA8" w:rsidRPr="00501F1F" w:rsidRDefault="00B62DF0" w:rsidP="007B6F16">
      <w:pPr>
        <w:jc w:val="both"/>
        <w:rPr>
          <w:rFonts w:ascii="Times New Roman" w:hAnsi="Times New Roman"/>
        </w:rPr>
      </w:pPr>
      <w:r w:rsidRPr="00501F1F">
        <w:rPr>
          <w:rFonts w:ascii="Times New Roman" w:hAnsi="Times New Roman"/>
        </w:rPr>
        <w:t xml:space="preserve">The </w:t>
      </w:r>
      <w:r w:rsidR="00833013" w:rsidRPr="00501F1F">
        <w:rPr>
          <w:rFonts w:ascii="Times New Roman" w:hAnsi="Times New Roman"/>
        </w:rPr>
        <w:t xml:space="preserve">second </w:t>
      </w:r>
      <w:r w:rsidRPr="00501F1F">
        <w:rPr>
          <w:rFonts w:ascii="Times New Roman" w:hAnsi="Times New Roman"/>
        </w:rPr>
        <w:t>paper noted v</w:t>
      </w:r>
      <w:r w:rsidR="00154DA8" w:rsidRPr="00501F1F">
        <w:rPr>
          <w:rFonts w:ascii="Times New Roman" w:hAnsi="Times New Roman"/>
        </w:rPr>
        <w:t>arious forms of misconduct by parties</w:t>
      </w:r>
      <w:r w:rsidRPr="00501F1F">
        <w:rPr>
          <w:rFonts w:ascii="Times New Roman" w:hAnsi="Times New Roman"/>
        </w:rPr>
        <w:t xml:space="preserve"> aim</w:t>
      </w:r>
      <w:r w:rsidR="00382B6E">
        <w:rPr>
          <w:rFonts w:ascii="Times New Roman" w:hAnsi="Times New Roman"/>
        </w:rPr>
        <w:t>ing</w:t>
      </w:r>
      <w:r w:rsidRPr="00501F1F">
        <w:rPr>
          <w:rFonts w:ascii="Times New Roman" w:hAnsi="Times New Roman"/>
        </w:rPr>
        <w:t xml:space="preserve"> to implement delaying tactics. </w:t>
      </w:r>
      <w:r w:rsidR="00833013" w:rsidRPr="00501F1F">
        <w:rPr>
          <w:rFonts w:ascii="Times New Roman" w:hAnsi="Times New Roman"/>
        </w:rPr>
        <w:t xml:space="preserve">The legal basis for sanctioning parties who partake in such misconduct lies in </w:t>
      </w:r>
      <w:r w:rsidR="00154DA8" w:rsidRPr="00501F1F">
        <w:rPr>
          <w:rFonts w:ascii="Times New Roman" w:hAnsi="Times New Roman"/>
        </w:rPr>
        <w:t>Art. 71 ICC</w:t>
      </w:r>
      <w:r w:rsidR="00833013" w:rsidRPr="00501F1F">
        <w:rPr>
          <w:rFonts w:ascii="Times New Roman" w:hAnsi="Times New Roman"/>
        </w:rPr>
        <w:t xml:space="preserve">, more detailed provisions exist under the RPE (170-172), however practice suggests that these could be further developed to ensure proper enforcement. </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b/>
        </w:rPr>
      </w:pPr>
      <w:r w:rsidRPr="00501F1F">
        <w:rPr>
          <w:rFonts w:ascii="Times New Roman" w:hAnsi="Times New Roman"/>
          <w:b/>
        </w:rPr>
        <w:t>2.2 Discussion</w:t>
      </w:r>
    </w:p>
    <w:p w:rsidR="00154DA8" w:rsidRPr="00501F1F" w:rsidRDefault="00154DA8" w:rsidP="007B6F16">
      <w:pPr>
        <w:jc w:val="both"/>
        <w:rPr>
          <w:rFonts w:ascii="Times New Roman" w:hAnsi="Times New Roman"/>
          <w:u w:val="single"/>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 xml:space="preserve">2.2.1 The Pre-Trial and Trial Chamber </w:t>
      </w:r>
    </w:p>
    <w:p w:rsidR="00154DA8" w:rsidRPr="00501F1F" w:rsidRDefault="00154DA8" w:rsidP="007B6F16">
      <w:pPr>
        <w:jc w:val="both"/>
        <w:rPr>
          <w:rFonts w:ascii="Times New Roman" w:hAnsi="Times New Roman"/>
          <w:b/>
        </w:rPr>
      </w:pPr>
    </w:p>
    <w:p w:rsidR="00233A26" w:rsidRPr="00501F1F" w:rsidRDefault="00233A26" w:rsidP="004E3865">
      <w:pPr>
        <w:jc w:val="both"/>
        <w:rPr>
          <w:rFonts w:ascii="Times New Roman" w:hAnsi="Times New Roman"/>
          <w:i/>
        </w:rPr>
      </w:pPr>
      <w:r w:rsidRPr="00501F1F">
        <w:rPr>
          <w:rFonts w:ascii="Times New Roman" w:hAnsi="Times New Roman"/>
          <w:i/>
        </w:rPr>
        <w:t>Clarification of the purpose of the Pre-Trial Chamber</w:t>
      </w:r>
      <w:r w:rsidRPr="00501F1F">
        <w:rPr>
          <w:rFonts w:ascii="Times New Roman" w:hAnsi="Times New Roman"/>
        </w:rPr>
        <w:t xml:space="preserve"> (</w:t>
      </w:r>
      <w:r w:rsidRPr="00501F1F">
        <w:rPr>
          <w:rFonts w:ascii="Times New Roman" w:hAnsi="Times New Roman"/>
          <w:i/>
        </w:rPr>
        <w:t xml:space="preserve">PTC) </w:t>
      </w:r>
    </w:p>
    <w:p w:rsidR="00154DA8" w:rsidRPr="00501F1F" w:rsidRDefault="00154DA8" w:rsidP="007B6F16">
      <w:pPr>
        <w:jc w:val="both"/>
        <w:rPr>
          <w:rFonts w:ascii="Times New Roman" w:hAnsi="Times New Roman"/>
          <w:b/>
          <w:i/>
        </w:rPr>
      </w:pPr>
    </w:p>
    <w:p w:rsidR="008B45E0" w:rsidRPr="00501F1F" w:rsidRDefault="00154DA8" w:rsidP="007B6F16">
      <w:pPr>
        <w:jc w:val="both"/>
        <w:rPr>
          <w:rFonts w:ascii="Times New Roman" w:hAnsi="Times New Roman"/>
        </w:rPr>
      </w:pPr>
      <w:r w:rsidRPr="00501F1F">
        <w:rPr>
          <w:rFonts w:ascii="Times New Roman" w:hAnsi="Times New Roman"/>
        </w:rPr>
        <w:t>It was noted that there is a need to determine a mechanism to work out the function/definition of the PTC</w:t>
      </w:r>
      <w:r w:rsidR="00833013" w:rsidRPr="00501F1F">
        <w:rPr>
          <w:rFonts w:ascii="Times New Roman" w:hAnsi="Times New Roman"/>
        </w:rPr>
        <w:t xml:space="preserve">. Such clarification must consider whether the PTC is a filter or a mini-trial and how best to regulate it. The group put forward two possible ways of </w:t>
      </w:r>
      <w:r w:rsidR="00E755CD" w:rsidRPr="00501F1F">
        <w:rPr>
          <w:rFonts w:ascii="Times New Roman" w:hAnsi="Times New Roman"/>
        </w:rPr>
        <w:t>clarifying</w:t>
      </w:r>
      <w:r w:rsidR="00833013" w:rsidRPr="00501F1F">
        <w:rPr>
          <w:rFonts w:ascii="Times New Roman" w:hAnsi="Times New Roman"/>
        </w:rPr>
        <w:t xml:space="preserve"> the function of the PTC, either by implementing pre-existing </w:t>
      </w:r>
      <w:r w:rsidR="00E755CD" w:rsidRPr="00501F1F">
        <w:rPr>
          <w:rFonts w:ascii="Times New Roman" w:hAnsi="Times New Roman"/>
        </w:rPr>
        <w:t>Statute</w:t>
      </w:r>
      <w:r w:rsidR="00833013" w:rsidRPr="00501F1F">
        <w:rPr>
          <w:rFonts w:ascii="Times New Roman" w:hAnsi="Times New Roman"/>
        </w:rPr>
        <w:t xml:space="preserve"> provisions e.g. Art. 61 or by making a request to the ASP. </w:t>
      </w:r>
    </w:p>
    <w:p w:rsidR="008B45E0" w:rsidRPr="00501F1F" w:rsidRDefault="008B45E0" w:rsidP="007B6F16">
      <w:pPr>
        <w:jc w:val="both"/>
        <w:rPr>
          <w:rFonts w:ascii="Times New Roman" w:hAnsi="Times New Roman"/>
        </w:rPr>
      </w:pPr>
    </w:p>
    <w:p w:rsidR="00154DA8" w:rsidRPr="00501F1F" w:rsidRDefault="00154DA8" w:rsidP="007B6F16">
      <w:pPr>
        <w:jc w:val="both"/>
        <w:rPr>
          <w:rFonts w:ascii="Times New Roman" w:hAnsi="Times New Roman"/>
        </w:rPr>
      </w:pPr>
      <w:r w:rsidRPr="00501F1F">
        <w:rPr>
          <w:rFonts w:ascii="Times New Roman" w:hAnsi="Times New Roman"/>
        </w:rPr>
        <w:t xml:space="preserve">It was noted that any change, either by </w:t>
      </w:r>
      <w:r w:rsidR="008B45E0" w:rsidRPr="00501F1F">
        <w:rPr>
          <w:rFonts w:ascii="Times New Roman" w:hAnsi="Times New Roman"/>
        </w:rPr>
        <w:t>amending the</w:t>
      </w:r>
      <w:r w:rsidR="00E755CD" w:rsidRPr="00501F1F">
        <w:rPr>
          <w:rFonts w:ascii="Times New Roman" w:hAnsi="Times New Roman"/>
        </w:rPr>
        <w:t xml:space="preserve"> Statute </w:t>
      </w:r>
      <w:r w:rsidRPr="00501F1F">
        <w:rPr>
          <w:rFonts w:ascii="Times New Roman" w:hAnsi="Times New Roman"/>
        </w:rPr>
        <w:t xml:space="preserve">or otherwise needed to emphasise long-term change. Amending the </w:t>
      </w:r>
      <w:r w:rsidR="00E755CD" w:rsidRPr="00501F1F">
        <w:rPr>
          <w:rFonts w:ascii="Times New Roman" w:hAnsi="Times New Roman"/>
        </w:rPr>
        <w:t xml:space="preserve">Statute </w:t>
      </w:r>
      <w:r w:rsidRPr="00501F1F">
        <w:rPr>
          <w:rFonts w:ascii="Times New Roman" w:hAnsi="Times New Roman"/>
        </w:rPr>
        <w:t xml:space="preserve">would not be a practical solution as this would be a time-consuming exercise. Any developments should be considered through the experience of the </w:t>
      </w:r>
      <w:r w:rsidR="00561580" w:rsidRPr="00501F1F">
        <w:rPr>
          <w:rFonts w:ascii="Times New Roman" w:hAnsi="Times New Roman"/>
        </w:rPr>
        <w:t>Court</w:t>
      </w:r>
      <w:r w:rsidRPr="00501F1F">
        <w:rPr>
          <w:rFonts w:ascii="Times New Roman" w:hAnsi="Times New Roman"/>
        </w:rPr>
        <w:t xml:space="preserve"> in pre-trial proceedings. The same could be said for the </w:t>
      </w:r>
      <w:r w:rsidR="00561580" w:rsidRPr="00501F1F">
        <w:rPr>
          <w:rFonts w:ascii="Times New Roman" w:hAnsi="Times New Roman"/>
        </w:rPr>
        <w:t>Court</w:t>
      </w:r>
      <w:r w:rsidR="00E755CD" w:rsidRPr="00501F1F">
        <w:rPr>
          <w:rFonts w:ascii="Times New Roman" w:hAnsi="Times New Roman"/>
        </w:rPr>
        <w:t>’</w:t>
      </w:r>
      <w:r w:rsidRPr="00501F1F">
        <w:rPr>
          <w:rFonts w:ascii="Times New Roman" w:hAnsi="Times New Roman"/>
        </w:rPr>
        <w:t>s trial experience, although this is still in its infancy and drawing upon any experience may not be possible for another 10 years.</w:t>
      </w:r>
      <w:r w:rsidR="00833013" w:rsidRPr="00501F1F">
        <w:rPr>
          <w:rFonts w:ascii="Times New Roman" w:hAnsi="Times New Roman"/>
        </w:rPr>
        <w:t xml:space="preserve"> Members of the group noted that </w:t>
      </w:r>
      <w:r w:rsidR="00D91B5B" w:rsidRPr="00501F1F">
        <w:rPr>
          <w:rFonts w:ascii="Times New Roman" w:hAnsi="Times New Roman"/>
        </w:rPr>
        <w:t>i</w:t>
      </w:r>
      <w:r w:rsidRPr="00501F1F">
        <w:rPr>
          <w:rFonts w:ascii="Times New Roman" w:hAnsi="Times New Roman"/>
        </w:rPr>
        <w:t>n the interim, a Lessons Learn</w:t>
      </w:r>
      <w:r w:rsidR="007B05F8" w:rsidRPr="00501F1F">
        <w:rPr>
          <w:rFonts w:ascii="Times New Roman" w:hAnsi="Times New Roman"/>
        </w:rPr>
        <w:t>t</w:t>
      </w:r>
      <w:r w:rsidRPr="00501F1F">
        <w:rPr>
          <w:rFonts w:ascii="Times New Roman" w:hAnsi="Times New Roman"/>
        </w:rPr>
        <w:t xml:space="preserve"> approach has been adopted by the S</w:t>
      </w:r>
      <w:r w:rsidR="007B05F8" w:rsidRPr="00501F1F">
        <w:rPr>
          <w:rFonts w:ascii="Times New Roman" w:hAnsi="Times New Roman"/>
        </w:rPr>
        <w:t>G</w:t>
      </w:r>
      <w:r w:rsidRPr="00501F1F">
        <w:rPr>
          <w:rFonts w:ascii="Times New Roman" w:hAnsi="Times New Roman"/>
        </w:rPr>
        <w:t xml:space="preserve">G working group which has considered the areas of </w:t>
      </w:r>
      <w:r w:rsidR="00501F1F">
        <w:rPr>
          <w:rFonts w:ascii="Times New Roman" w:hAnsi="Times New Roman"/>
        </w:rPr>
        <w:t>Rule</w:t>
      </w:r>
      <w:r w:rsidR="00E755CD" w:rsidRPr="00501F1F">
        <w:rPr>
          <w:rFonts w:ascii="Times New Roman" w:hAnsi="Times New Roman"/>
        </w:rPr>
        <w:t xml:space="preserve">s </w:t>
      </w:r>
      <w:r w:rsidRPr="00501F1F">
        <w:rPr>
          <w:rFonts w:ascii="Times New Roman" w:hAnsi="Times New Roman"/>
        </w:rPr>
        <w:t>of evidence. The S</w:t>
      </w:r>
      <w:r w:rsidR="007B05F8" w:rsidRPr="00501F1F">
        <w:rPr>
          <w:rFonts w:ascii="Times New Roman" w:hAnsi="Times New Roman"/>
        </w:rPr>
        <w:t>G</w:t>
      </w:r>
      <w:r w:rsidRPr="00501F1F">
        <w:rPr>
          <w:rFonts w:ascii="Times New Roman" w:hAnsi="Times New Roman"/>
        </w:rPr>
        <w:t xml:space="preserve">G has consulted with the </w:t>
      </w:r>
      <w:r w:rsidR="00CB395C" w:rsidRPr="00501F1F">
        <w:rPr>
          <w:rFonts w:ascii="Times New Roman" w:hAnsi="Times New Roman"/>
        </w:rPr>
        <w:t>Defence</w:t>
      </w:r>
      <w:r w:rsidRPr="00501F1F">
        <w:rPr>
          <w:rFonts w:ascii="Times New Roman" w:hAnsi="Times New Roman"/>
        </w:rPr>
        <w:t xml:space="preserve"> </w:t>
      </w:r>
      <w:r w:rsidR="00CB395C" w:rsidRPr="00501F1F">
        <w:rPr>
          <w:rFonts w:ascii="Times New Roman" w:hAnsi="Times New Roman"/>
        </w:rPr>
        <w:t>Prosecution</w:t>
      </w:r>
      <w:r w:rsidR="00833013" w:rsidRPr="00501F1F">
        <w:rPr>
          <w:rFonts w:ascii="Times New Roman" w:hAnsi="Times New Roman"/>
        </w:rPr>
        <w:t xml:space="preserve"> and all actors in </w:t>
      </w:r>
      <w:r w:rsidR="00561580" w:rsidRPr="00501F1F">
        <w:rPr>
          <w:rFonts w:ascii="Times New Roman" w:hAnsi="Times New Roman"/>
        </w:rPr>
        <w:t>Court</w:t>
      </w:r>
      <w:r w:rsidR="00833013" w:rsidRPr="00501F1F">
        <w:rPr>
          <w:rFonts w:ascii="Times New Roman" w:hAnsi="Times New Roman"/>
        </w:rPr>
        <w:t>room proceedings. A</w:t>
      </w:r>
      <w:r w:rsidRPr="00501F1F">
        <w:rPr>
          <w:rFonts w:ascii="Times New Roman" w:hAnsi="Times New Roman"/>
        </w:rPr>
        <w:t xml:space="preserve"> document has been produced by the judiciary concerning pre-trial charges which has been shared with all states. </w:t>
      </w:r>
    </w:p>
    <w:p w:rsidR="008B45E0" w:rsidRPr="00501F1F" w:rsidRDefault="008B45E0" w:rsidP="007B6F16">
      <w:pPr>
        <w:jc w:val="both"/>
        <w:rPr>
          <w:rFonts w:ascii="Times New Roman" w:hAnsi="Times New Roman"/>
        </w:rPr>
      </w:pPr>
    </w:p>
    <w:p w:rsidR="00154DA8" w:rsidRPr="00501F1F" w:rsidRDefault="00833013" w:rsidP="00B359BC">
      <w:pPr>
        <w:jc w:val="both"/>
        <w:rPr>
          <w:rFonts w:ascii="Times New Roman" w:hAnsi="Times New Roman"/>
        </w:rPr>
      </w:pPr>
      <w:r w:rsidRPr="00501F1F">
        <w:rPr>
          <w:rFonts w:ascii="Times New Roman" w:hAnsi="Times New Roman"/>
        </w:rPr>
        <w:t xml:space="preserve">The group noted </w:t>
      </w:r>
      <w:r w:rsidR="00154DA8" w:rsidRPr="00501F1F">
        <w:rPr>
          <w:rFonts w:ascii="Times New Roman" w:hAnsi="Times New Roman"/>
        </w:rPr>
        <w:t xml:space="preserve">that an essential function of the </w:t>
      </w:r>
      <w:smartTag w:uri="urn:schemas-microsoft-com:office:smarttags" w:element="stockticker">
        <w:r w:rsidR="00154DA8" w:rsidRPr="00501F1F">
          <w:rPr>
            <w:rFonts w:ascii="Times New Roman" w:hAnsi="Times New Roman"/>
          </w:rPr>
          <w:t>PTC</w:t>
        </w:r>
      </w:smartTag>
      <w:r w:rsidR="00154DA8" w:rsidRPr="00501F1F">
        <w:rPr>
          <w:rFonts w:ascii="Times New Roman" w:hAnsi="Times New Roman"/>
        </w:rPr>
        <w:t xml:space="preserve"> is witness protection and its centrality should be taken into consideration when clarifying the function of the </w:t>
      </w:r>
      <w:smartTag w:uri="urn:schemas-microsoft-com:office:smarttags" w:element="stockticker">
        <w:r w:rsidR="00154DA8" w:rsidRPr="00501F1F">
          <w:rPr>
            <w:rFonts w:ascii="Times New Roman" w:hAnsi="Times New Roman"/>
          </w:rPr>
          <w:t>PTC</w:t>
        </w:r>
      </w:smartTag>
      <w:r w:rsidR="00154DA8" w:rsidRPr="00501F1F">
        <w:rPr>
          <w:rFonts w:ascii="Times New Roman" w:hAnsi="Times New Roman"/>
        </w:rPr>
        <w:t xml:space="preserve">. </w:t>
      </w:r>
      <w:r w:rsidR="00F43EE9" w:rsidRPr="00501F1F">
        <w:rPr>
          <w:rFonts w:ascii="Times New Roman" w:hAnsi="Times New Roman"/>
        </w:rPr>
        <w:t>W</w:t>
      </w:r>
      <w:r w:rsidR="00154DA8" w:rsidRPr="00501F1F">
        <w:rPr>
          <w:rFonts w:ascii="Times New Roman" w:hAnsi="Times New Roman"/>
        </w:rPr>
        <w:t xml:space="preserve">itness protection </w:t>
      </w:r>
      <w:r w:rsidR="00F43EE9" w:rsidRPr="00501F1F">
        <w:rPr>
          <w:rFonts w:ascii="Times New Roman" w:hAnsi="Times New Roman"/>
        </w:rPr>
        <w:t xml:space="preserve">requires </w:t>
      </w:r>
      <w:r w:rsidR="00154DA8" w:rsidRPr="00501F1F">
        <w:rPr>
          <w:rFonts w:ascii="Times New Roman" w:hAnsi="Times New Roman"/>
        </w:rPr>
        <w:t xml:space="preserve">judicial control and management as problems </w:t>
      </w:r>
      <w:r w:rsidR="00F43EE9" w:rsidRPr="00501F1F">
        <w:rPr>
          <w:rFonts w:ascii="Times New Roman" w:hAnsi="Times New Roman"/>
        </w:rPr>
        <w:t xml:space="preserve">can </w:t>
      </w:r>
      <w:r w:rsidR="00154DA8" w:rsidRPr="00501F1F">
        <w:rPr>
          <w:rFonts w:ascii="Times New Roman" w:hAnsi="Times New Roman"/>
        </w:rPr>
        <w:t xml:space="preserve">emerge from both the </w:t>
      </w:r>
      <w:r w:rsidR="00CB395C" w:rsidRPr="00501F1F">
        <w:rPr>
          <w:rFonts w:ascii="Times New Roman" w:hAnsi="Times New Roman"/>
        </w:rPr>
        <w:t>Defence</w:t>
      </w:r>
      <w:r w:rsidR="00154DA8" w:rsidRPr="00501F1F">
        <w:rPr>
          <w:rFonts w:ascii="Times New Roman" w:hAnsi="Times New Roman"/>
        </w:rPr>
        <w:t xml:space="preserve"> and </w:t>
      </w:r>
      <w:r w:rsidR="00CB395C" w:rsidRPr="00501F1F">
        <w:rPr>
          <w:rFonts w:ascii="Times New Roman" w:hAnsi="Times New Roman"/>
        </w:rPr>
        <w:t>Prosecution</w:t>
      </w:r>
      <w:r w:rsidR="00154DA8" w:rsidRPr="00501F1F">
        <w:rPr>
          <w:rFonts w:ascii="Times New Roman" w:hAnsi="Times New Roman"/>
        </w:rPr>
        <w:t xml:space="preserve">. </w:t>
      </w:r>
      <w:r w:rsidR="00F43EE9" w:rsidRPr="00501F1F">
        <w:rPr>
          <w:rFonts w:ascii="Times New Roman" w:hAnsi="Times New Roman"/>
        </w:rPr>
        <w:t xml:space="preserve">To avoid problems such as corruption, </w:t>
      </w:r>
      <w:r w:rsidR="00E755CD" w:rsidRPr="00501F1F">
        <w:rPr>
          <w:rFonts w:ascii="Times New Roman" w:hAnsi="Times New Roman"/>
        </w:rPr>
        <w:t xml:space="preserve">a member of </w:t>
      </w:r>
      <w:r w:rsidR="00F43EE9" w:rsidRPr="00501F1F">
        <w:rPr>
          <w:rFonts w:ascii="Times New Roman" w:hAnsi="Times New Roman"/>
        </w:rPr>
        <w:t>the group suggeste</w:t>
      </w:r>
      <w:r w:rsidR="00E755CD" w:rsidRPr="00501F1F">
        <w:rPr>
          <w:rFonts w:ascii="Times New Roman" w:hAnsi="Times New Roman"/>
        </w:rPr>
        <w:t>d</w:t>
      </w:r>
      <w:r w:rsidR="00F43EE9" w:rsidRPr="00501F1F">
        <w:rPr>
          <w:rFonts w:ascii="Times New Roman" w:hAnsi="Times New Roman"/>
        </w:rPr>
        <w:t xml:space="preserve"> the </w:t>
      </w:r>
      <w:r w:rsidR="00154DA8" w:rsidRPr="00501F1F">
        <w:rPr>
          <w:rFonts w:ascii="Times New Roman" w:hAnsi="Times New Roman"/>
        </w:rPr>
        <w:t>use of special advocates or independent counsel</w:t>
      </w:r>
      <w:r w:rsidR="00382B6E">
        <w:rPr>
          <w:rFonts w:ascii="Times New Roman" w:hAnsi="Times New Roman"/>
        </w:rPr>
        <w:t>.</w:t>
      </w:r>
      <w:r w:rsidR="00154DA8" w:rsidRPr="00501F1F">
        <w:rPr>
          <w:rFonts w:ascii="Times New Roman" w:hAnsi="Times New Roman"/>
        </w:rPr>
        <w:t xml:space="preserve"> </w:t>
      </w:r>
      <w:r w:rsidR="00382B6E">
        <w:rPr>
          <w:rFonts w:ascii="Times New Roman" w:hAnsi="Times New Roman"/>
        </w:rPr>
        <w:t>I</w:t>
      </w:r>
      <w:r w:rsidR="00154DA8" w:rsidRPr="00501F1F">
        <w:rPr>
          <w:rFonts w:ascii="Times New Roman" w:hAnsi="Times New Roman"/>
        </w:rPr>
        <w:t>t was noted that in the history of the ICC</w:t>
      </w:r>
      <w:r w:rsidR="00371A37" w:rsidRPr="00501F1F">
        <w:rPr>
          <w:rFonts w:ascii="Times New Roman" w:hAnsi="Times New Roman"/>
        </w:rPr>
        <w:t xml:space="preserve"> there have been no incidents where victims or witnesses have been harmed. </w:t>
      </w:r>
      <w:r w:rsidR="00F43EE9" w:rsidRPr="00501F1F">
        <w:rPr>
          <w:rFonts w:ascii="Times New Roman" w:hAnsi="Times New Roman"/>
        </w:rPr>
        <w:t>Members of the group agreed</w:t>
      </w:r>
      <w:r w:rsidR="00154DA8" w:rsidRPr="00501F1F">
        <w:rPr>
          <w:rFonts w:ascii="Times New Roman" w:hAnsi="Times New Roman"/>
        </w:rPr>
        <w:t xml:space="preserve"> that asylum claims associated </w:t>
      </w:r>
      <w:r w:rsidR="00F43EE9" w:rsidRPr="00501F1F">
        <w:rPr>
          <w:rFonts w:ascii="Times New Roman" w:hAnsi="Times New Roman"/>
        </w:rPr>
        <w:t xml:space="preserve">with </w:t>
      </w:r>
      <w:r w:rsidR="00154DA8" w:rsidRPr="00501F1F">
        <w:rPr>
          <w:rFonts w:ascii="Times New Roman" w:hAnsi="Times New Roman"/>
        </w:rPr>
        <w:t xml:space="preserve">witness participation is not problematic, as it adds an additional level of protection and </w:t>
      </w:r>
      <w:r w:rsidR="00F43EE9" w:rsidRPr="00501F1F">
        <w:rPr>
          <w:rFonts w:ascii="Times New Roman" w:hAnsi="Times New Roman"/>
        </w:rPr>
        <w:t>the majority of witnesses are not detained upon arrival in the country</w:t>
      </w:r>
      <w:r w:rsidR="00154DA8" w:rsidRPr="00501F1F">
        <w:rPr>
          <w:rFonts w:ascii="Times New Roman" w:hAnsi="Times New Roman"/>
        </w:rPr>
        <w:t>.</w:t>
      </w:r>
    </w:p>
    <w:p w:rsidR="00154DA8" w:rsidRPr="00501F1F" w:rsidRDefault="00154DA8" w:rsidP="008334DC">
      <w:pPr>
        <w:jc w:val="both"/>
        <w:rPr>
          <w:rFonts w:ascii="Times New Roman" w:hAnsi="Times New Roman"/>
        </w:rPr>
      </w:pPr>
    </w:p>
    <w:p w:rsidR="00154DA8" w:rsidRPr="00350D0A" w:rsidRDefault="00F43EE9" w:rsidP="00350D0A">
      <w:pPr>
        <w:jc w:val="both"/>
        <w:rPr>
          <w:rFonts w:asciiTheme="majorBidi" w:hAnsiTheme="majorBidi" w:cstheme="majorBidi"/>
        </w:rPr>
      </w:pPr>
      <w:r w:rsidRPr="00501F1F">
        <w:rPr>
          <w:rFonts w:ascii="Times New Roman" w:hAnsi="Times New Roman"/>
        </w:rPr>
        <w:t>Members of the group</w:t>
      </w:r>
      <w:r w:rsidR="00154DA8" w:rsidRPr="00501F1F">
        <w:rPr>
          <w:rFonts w:ascii="Times New Roman" w:hAnsi="Times New Roman"/>
        </w:rPr>
        <w:t xml:space="preserve"> suggested that another problematic issue at the PTC stage is a lack of respect for the </w:t>
      </w:r>
      <w:r w:rsidR="00CB395C" w:rsidRPr="00501F1F">
        <w:rPr>
          <w:rFonts w:ascii="Times New Roman" w:hAnsi="Times New Roman"/>
        </w:rPr>
        <w:t>Defence</w:t>
      </w:r>
      <w:r w:rsidR="00154DA8" w:rsidRPr="00501F1F">
        <w:rPr>
          <w:rFonts w:ascii="Times New Roman" w:hAnsi="Times New Roman"/>
        </w:rPr>
        <w:t xml:space="preserve"> Bar</w:t>
      </w:r>
      <w:r w:rsidRPr="00501F1F">
        <w:rPr>
          <w:rFonts w:ascii="Times New Roman" w:hAnsi="Times New Roman"/>
        </w:rPr>
        <w:t xml:space="preserve">. </w:t>
      </w:r>
      <w:r w:rsidR="00154DA8" w:rsidRPr="00501F1F">
        <w:rPr>
          <w:rFonts w:ascii="Times New Roman" w:hAnsi="Times New Roman"/>
        </w:rPr>
        <w:t xml:space="preserve"> </w:t>
      </w:r>
      <w:r w:rsidRPr="00501F1F">
        <w:rPr>
          <w:rFonts w:ascii="Times New Roman" w:hAnsi="Times New Roman"/>
        </w:rPr>
        <w:t>Over-</w:t>
      </w:r>
      <w:r w:rsidRPr="00350D0A">
        <w:rPr>
          <w:rFonts w:asciiTheme="majorBidi" w:hAnsiTheme="majorBidi" w:cstheme="majorBidi"/>
        </w:rPr>
        <w:t>emphasis on</w:t>
      </w:r>
      <w:r w:rsidR="00154DA8" w:rsidRPr="00350D0A">
        <w:rPr>
          <w:rFonts w:asciiTheme="majorBidi" w:hAnsiTheme="majorBidi" w:cstheme="majorBidi"/>
        </w:rPr>
        <w:t xml:space="preserve"> Witness protection can impact on the</w:t>
      </w:r>
      <w:r w:rsidRPr="00350D0A">
        <w:rPr>
          <w:rFonts w:asciiTheme="majorBidi" w:hAnsiTheme="majorBidi" w:cstheme="majorBidi"/>
        </w:rPr>
        <w:t xml:space="preserve"> amount of evidence that is disclosed to the</w:t>
      </w:r>
      <w:r w:rsidR="00154DA8" w:rsidRPr="00350D0A">
        <w:rPr>
          <w:rFonts w:asciiTheme="majorBidi" w:hAnsiTheme="majorBidi" w:cstheme="majorBidi"/>
        </w:rPr>
        <w:t xml:space="preserve"> </w:t>
      </w:r>
      <w:r w:rsidR="00CB395C" w:rsidRPr="00350D0A">
        <w:rPr>
          <w:rFonts w:asciiTheme="majorBidi" w:hAnsiTheme="majorBidi" w:cstheme="majorBidi"/>
        </w:rPr>
        <w:t>Defence</w:t>
      </w:r>
      <w:r w:rsidRPr="00350D0A">
        <w:rPr>
          <w:rFonts w:asciiTheme="majorBidi" w:hAnsiTheme="majorBidi" w:cstheme="majorBidi"/>
        </w:rPr>
        <w:t xml:space="preserve"> leading to an inefficient hearing. </w:t>
      </w:r>
      <w:r w:rsidR="00154DA8" w:rsidRPr="00350D0A">
        <w:rPr>
          <w:rFonts w:asciiTheme="majorBidi" w:hAnsiTheme="majorBidi" w:cstheme="majorBidi"/>
        </w:rPr>
        <w:t xml:space="preserve"> An example given was in </w:t>
      </w:r>
      <w:r w:rsidR="00154DA8" w:rsidRPr="00350D0A">
        <w:rPr>
          <w:rFonts w:asciiTheme="majorBidi" w:hAnsiTheme="majorBidi" w:cstheme="majorBidi"/>
          <w:i/>
        </w:rPr>
        <w:t xml:space="preserve">Banda &amp; </w:t>
      </w:r>
      <w:proofErr w:type="spellStart"/>
      <w:r w:rsidR="00154DA8" w:rsidRPr="00350D0A">
        <w:rPr>
          <w:rFonts w:asciiTheme="majorBidi" w:hAnsiTheme="majorBidi" w:cstheme="majorBidi"/>
          <w:i/>
        </w:rPr>
        <w:t>Jerbo</w:t>
      </w:r>
      <w:proofErr w:type="spellEnd"/>
      <w:r w:rsidR="00154DA8" w:rsidRPr="00350D0A">
        <w:rPr>
          <w:rFonts w:asciiTheme="majorBidi" w:hAnsiTheme="majorBidi" w:cstheme="majorBidi"/>
        </w:rPr>
        <w:t xml:space="preserve"> where too wide a margin was given for redaction to the </w:t>
      </w:r>
      <w:r w:rsidR="00CB395C" w:rsidRPr="00350D0A">
        <w:rPr>
          <w:rFonts w:asciiTheme="majorBidi" w:hAnsiTheme="majorBidi" w:cstheme="majorBidi"/>
        </w:rPr>
        <w:lastRenderedPageBreak/>
        <w:t>Defence</w:t>
      </w:r>
      <w:r w:rsidR="00154DA8" w:rsidRPr="00350D0A">
        <w:rPr>
          <w:rFonts w:asciiTheme="majorBidi" w:hAnsiTheme="majorBidi" w:cstheme="majorBidi"/>
        </w:rPr>
        <w:t>.</w:t>
      </w:r>
      <w:r w:rsidR="00350D0A" w:rsidRPr="00350D0A">
        <w:rPr>
          <w:rFonts w:asciiTheme="majorBidi" w:hAnsiTheme="majorBidi" w:cstheme="majorBidi"/>
        </w:rPr>
        <w:t xml:space="preserve">  Against this it was pointed out that it was important to note that (a) there had been a number of instances of defence team members colluding with the accused and groups related to him; (b) defence counsel did not control the accused; and (c) at times, defence counsel relied on resource persons linked to the accused who engaged in illicit conduct</w:t>
      </w:r>
      <w:r w:rsidR="00154DA8" w:rsidRPr="00350D0A">
        <w:rPr>
          <w:rFonts w:asciiTheme="majorBidi" w:hAnsiTheme="majorBidi" w:cstheme="majorBidi"/>
        </w:rPr>
        <w:t xml:space="preserve"> </w:t>
      </w:r>
    </w:p>
    <w:p w:rsidR="00154DA8" w:rsidRPr="00350D0A" w:rsidRDefault="00154DA8" w:rsidP="008334DC">
      <w:pPr>
        <w:jc w:val="both"/>
        <w:rPr>
          <w:rFonts w:asciiTheme="majorBidi" w:hAnsiTheme="majorBidi" w:cstheme="majorBidi"/>
        </w:rPr>
      </w:pPr>
    </w:p>
    <w:p w:rsidR="00154DA8" w:rsidRPr="00350D0A" w:rsidRDefault="00154DA8" w:rsidP="00605A74">
      <w:pPr>
        <w:jc w:val="both"/>
        <w:outlineLvl w:val="0"/>
        <w:rPr>
          <w:rFonts w:asciiTheme="majorBidi" w:hAnsiTheme="majorBidi" w:cstheme="majorBidi"/>
          <w:u w:val="single"/>
        </w:rPr>
      </w:pPr>
      <w:r w:rsidRPr="00350D0A">
        <w:rPr>
          <w:rFonts w:asciiTheme="majorBidi" w:hAnsiTheme="majorBidi" w:cstheme="majorBidi"/>
          <w:u w:val="single"/>
        </w:rPr>
        <w:t xml:space="preserve">2.2.2 </w:t>
      </w:r>
      <w:r w:rsidR="00233A26" w:rsidRPr="00350D0A">
        <w:rPr>
          <w:rFonts w:asciiTheme="majorBidi" w:hAnsiTheme="majorBidi" w:cstheme="majorBidi"/>
          <w:u w:val="single"/>
        </w:rPr>
        <w:t xml:space="preserve">Trial Preparation </w:t>
      </w:r>
    </w:p>
    <w:p w:rsidR="00154DA8" w:rsidRPr="00350D0A" w:rsidRDefault="00154DA8" w:rsidP="008334DC">
      <w:pPr>
        <w:jc w:val="both"/>
        <w:rPr>
          <w:rFonts w:asciiTheme="majorBidi" w:hAnsiTheme="majorBidi" w:cstheme="majorBidi"/>
          <w:b/>
          <w:i/>
        </w:rPr>
      </w:pPr>
    </w:p>
    <w:p w:rsidR="00154DA8" w:rsidRPr="00501F1F" w:rsidRDefault="00154DA8" w:rsidP="008334DC">
      <w:pPr>
        <w:jc w:val="both"/>
        <w:rPr>
          <w:rFonts w:ascii="Times New Roman" w:hAnsi="Times New Roman"/>
        </w:rPr>
      </w:pPr>
      <w:r w:rsidRPr="00350D0A">
        <w:rPr>
          <w:rFonts w:asciiTheme="majorBidi" w:hAnsiTheme="majorBidi" w:cstheme="majorBidi"/>
        </w:rPr>
        <w:t xml:space="preserve">The main </w:t>
      </w:r>
      <w:r w:rsidR="00C653CA" w:rsidRPr="00350D0A">
        <w:rPr>
          <w:rFonts w:asciiTheme="majorBidi" w:hAnsiTheme="majorBidi" w:cstheme="majorBidi"/>
        </w:rPr>
        <w:t xml:space="preserve">focus of </w:t>
      </w:r>
      <w:r w:rsidRPr="00350D0A">
        <w:rPr>
          <w:rFonts w:asciiTheme="majorBidi" w:hAnsiTheme="majorBidi" w:cstheme="majorBidi"/>
        </w:rPr>
        <w:t>discuss</w:t>
      </w:r>
      <w:r w:rsidR="00C653CA" w:rsidRPr="00350D0A">
        <w:rPr>
          <w:rFonts w:asciiTheme="majorBidi" w:hAnsiTheme="majorBidi" w:cstheme="majorBidi"/>
        </w:rPr>
        <w:t xml:space="preserve">ion </w:t>
      </w:r>
      <w:r w:rsidRPr="00350D0A">
        <w:rPr>
          <w:rFonts w:asciiTheme="majorBidi" w:hAnsiTheme="majorBidi" w:cstheme="majorBidi"/>
        </w:rPr>
        <w:t xml:space="preserve">in relation to trial preparation was the composition of the bench and the judicial management of </w:t>
      </w:r>
      <w:r w:rsidR="002F353A" w:rsidRPr="00350D0A">
        <w:rPr>
          <w:rFonts w:asciiTheme="majorBidi" w:hAnsiTheme="majorBidi" w:cstheme="majorBidi"/>
        </w:rPr>
        <w:t xml:space="preserve">the </w:t>
      </w:r>
      <w:r w:rsidRPr="00350D0A">
        <w:rPr>
          <w:rFonts w:asciiTheme="majorBidi" w:hAnsiTheme="majorBidi" w:cstheme="majorBidi"/>
        </w:rPr>
        <w:t>pre-trial</w:t>
      </w:r>
      <w:r w:rsidR="002F353A" w:rsidRPr="00350D0A">
        <w:rPr>
          <w:rFonts w:asciiTheme="majorBidi" w:hAnsiTheme="majorBidi" w:cstheme="majorBidi"/>
        </w:rPr>
        <w:t xml:space="preserve"> process</w:t>
      </w:r>
      <w:r w:rsidR="00C653CA" w:rsidRPr="00350D0A">
        <w:rPr>
          <w:rFonts w:asciiTheme="majorBidi" w:hAnsiTheme="majorBidi" w:cstheme="majorBidi"/>
        </w:rPr>
        <w:t>.</w:t>
      </w:r>
      <w:r w:rsidRPr="00350D0A">
        <w:rPr>
          <w:rFonts w:asciiTheme="majorBidi" w:hAnsiTheme="majorBidi" w:cstheme="majorBidi"/>
        </w:rPr>
        <w:t xml:space="preserve"> Th</w:t>
      </w:r>
      <w:r w:rsidR="00C653CA" w:rsidRPr="00350D0A">
        <w:rPr>
          <w:rFonts w:asciiTheme="majorBidi" w:hAnsiTheme="majorBidi" w:cstheme="majorBidi"/>
        </w:rPr>
        <w:t>e group felt that there</w:t>
      </w:r>
      <w:r w:rsidRPr="00350D0A">
        <w:rPr>
          <w:rFonts w:asciiTheme="majorBidi" w:hAnsiTheme="majorBidi" w:cstheme="majorBidi"/>
        </w:rPr>
        <w:t xml:space="preserve"> must be trust in the process that </w:t>
      </w:r>
      <w:r w:rsidR="00A928F0" w:rsidRPr="00350D0A">
        <w:rPr>
          <w:rFonts w:asciiTheme="majorBidi" w:hAnsiTheme="majorBidi" w:cstheme="majorBidi"/>
        </w:rPr>
        <w:t>Judges</w:t>
      </w:r>
      <w:r w:rsidRPr="00350D0A">
        <w:rPr>
          <w:rFonts w:asciiTheme="majorBidi" w:hAnsiTheme="majorBidi" w:cstheme="majorBidi"/>
        </w:rPr>
        <w:t xml:space="preserve"> put forward</w:t>
      </w:r>
      <w:r w:rsidR="002F353A" w:rsidRPr="00350D0A">
        <w:rPr>
          <w:rFonts w:asciiTheme="majorBidi" w:hAnsiTheme="majorBidi" w:cstheme="majorBidi"/>
        </w:rPr>
        <w:t>,</w:t>
      </w:r>
      <w:r w:rsidRPr="00350D0A">
        <w:rPr>
          <w:rFonts w:asciiTheme="majorBidi" w:hAnsiTheme="majorBidi" w:cstheme="majorBidi"/>
        </w:rPr>
        <w:t xml:space="preserve"> as</w:t>
      </w:r>
      <w:r w:rsidRPr="00501F1F">
        <w:rPr>
          <w:rFonts w:ascii="Times New Roman" w:hAnsi="Times New Roman"/>
        </w:rPr>
        <w:t xml:space="preserve"> their experience facilitates future procedural amendments.</w:t>
      </w:r>
      <w:r w:rsidR="004E3865" w:rsidRPr="00501F1F">
        <w:rPr>
          <w:rFonts w:ascii="Times New Roman" w:hAnsi="Times New Roman"/>
        </w:rPr>
        <w:t xml:space="preserve"> </w:t>
      </w:r>
      <w:r w:rsidRPr="00501F1F">
        <w:rPr>
          <w:rFonts w:ascii="Times New Roman" w:hAnsi="Times New Roman"/>
        </w:rPr>
        <w:t xml:space="preserve">On the one hand, it was suggested that a single </w:t>
      </w:r>
      <w:r w:rsidR="00382B6E">
        <w:rPr>
          <w:rFonts w:ascii="Times New Roman" w:hAnsi="Times New Roman"/>
        </w:rPr>
        <w:t>Judge</w:t>
      </w:r>
      <w:r w:rsidRPr="00501F1F">
        <w:rPr>
          <w:rFonts w:ascii="Times New Roman" w:hAnsi="Times New Roman"/>
        </w:rPr>
        <w:t xml:space="preserve"> </w:t>
      </w:r>
      <w:r w:rsidR="00501F1F">
        <w:rPr>
          <w:rFonts w:ascii="Times New Roman" w:hAnsi="Times New Roman"/>
        </w:rPr>
        <w:t>Rule</w:t>
      </w:r>
      <w:r w:rsidRPr="00501F1F">
        <w:rPr>
          <w:rFonts w:ascii="Times New Roman" w:hAnsi="Times New Roman"/>
        </w:rPr>
        <w:t xml:space="preserve"> could be applied with one </w:t>
      </w:r>
      <w:r w:rsidR="00382B6E">
        <w:rPr>
          <w:rFonts w:ascii="Times New Roman" w:hAnsi="Times New Roman"/>
        </w:rPr>
        <w:t>Judge</w:t>
      </w:r>
      <w:r w:rsidRPr="00501F1F">
        <w:rPr>
          <w:rFonts w:ascii="Times New Roman" w:hAnsi="Times New Roman"/>
        </w:rPr>
        <w:t xml:space="preserve"> being responsible for preparatory functions. If the case were to be opened </w:t>
      </w:r>
      <w:proofErr w:type="spellStart"/>
      <w:r w:rsidRPr="00501F1F">
        <w:rPr>
          <w:rFonts w:ascii="Times New Roman" w:hAnsi="Times New Roman"/>
          <w:i/>
        </w:rPr>
        <w:t>proprio</w:t>
      </w:r>
      <w:proofErr w:type="spellEnd"/>
      <w:r w:rsidRPr="00501F1F">
        <w:rPr>
          <w:rFonts w:ascii="Times New Roman" w:hAnsi="Times New Roman"/>
          <w:i/>
        </w:rPr>
        <w:t xml:space="preserve"> </w:t>
      </w:r>
      <w:proofErr w:type="spellStart"/>
      <w:r w:rsidRPr="00501F1F">
        <w:rPr>
          <w:rFonts w:ascii="Times New Roman" w:hAnsi="Times New Roman"/>
          <w:i/>
        </w:rPr>
        <w:t>motu</w:t>
      </w:r>
      <w:proofErr w:type="spellEnd"/>
      <w:r w:rsidRPr="00501F1F">
        <w:rPr>
          <w:rFonts w:ascii="Times New Roman" w:hAnsi="Times New Roman"/>
        </w:rPr>
        <w:t xml:space="preserve"> the parties might be seized of the matter. On the other hand, it was suggested that the use of one </w:t>
      </w:r>
      <w:r w:rsidR="00382B6E">
        <w:rPr>
          <w:rFonts w:ascii="Times New Roman" w:hAnsi="Times New Roman"/>
        </w:rPr>
        <w:t>Judge</w:t>
      </w:r>
      <w:r w:rsidRPr="00501F1F">
        <w:rPr>
          <w:rFonts w:ascii="Times New Roman" w:hAnsi="Times New Roman"/>
        </w:rPr>
        <w:t xml:space="preserve"> to deal with all the issues was not the best model to use e.g. the Kenya case where the PTC lasted two weeks</w:t>
      </w:r>
      <w:r w:rsidR="00C653CA" w:rsidRPr="00501F1F">
        <w:rPr>
          <w:rFonts w:ascii="Times New Roman" w:hAnsi="Times New Roman"/>
        </w:rPr>
        <w:t xml:space="preserve">. Another suggestion was a panel of </w:t>
      </w:r>
      <w:r w:rsidR="004E3865" w:rsidRPr="00501F1F">
        <w:rPr>
          <w:rFonts w:ascii="Times New Roman" w:hAnsi="Times New Roman"/>
        </w:rPr>
        <w:t xml:space="preserve">Judges </w:t>
      </w:r>
      <w:r w:rsidR="00C653CA" w:rsidRPr="00501F1F">
        <w:rPr>
          <w:rFonts w:ascii="Times New Roman" w:hAnsi="Times New Roman"/>
        </w:rPr>
        <w:t>whose</w:t>
      </w:r>
      <w:r w:rsidRPr="00501F1F">
        <w:rPr>
          <w:rFonts w:ascii="Times New Roman" w:hAnsi="Times New Roman"/>
        </w:rPr>
        <w:t xml:space="preserve"> functions </w:t>
      </w:r>
      <w:r w:rsidR="00371A37" w:rsidRPr="00501F1F">
        <w:rPr>
          <w:rFonts w:ascii="Times New Roman" w:hAnsi="Times New Roman"/>
        </w:rPr>
        <w:t>would be</w:t>
      </w:r>
      <w:r w:rsidR="001F3649" w:rsidRPr="00501F1F">
        <w:rPr>
          <w:rFonts w:ascii="Times New Roman" w:hAnsi="Times New Roman"/>
        </w:rPr>
        <w:t xml:space="preserve"> </w:t>
      </w:r>
      <w:r w:rsidRPr="00501F1F">
        <w:rPr>
          <w:rFonts w:ascii="Times New Roman" w:hAnsi="Times New Roman"/>
        </w:rPr>
        <w:t xml:space="preserve">clearly defined. One proposed change was that there could be three </w:t>
      </w:r>
      <w:r w:rsidR="00A928F0" w:rsidRPr="00501F1F">
        <w:rPr>
          <w:rFonts w:ascii="Times New Roman" w:hAnsi="Times New Roman"/>
        </w:rPr>
        <w:t>Judges</w:t>
      </w:r>
      <w:r w:rsidRPr="00501F1F">
        <w:rPr>
          <w:rFonts w:ascii="Times New Roman" w:hAnsi="Times New Roman"/>
        </w:rPr>
        <w:t xml:space="preserve">, one dealing with disclosure, another with victim applications and another with miscellaneous issues. Another counter-argument to the single </w:t>
      </w:r>
      <w:r w:rsidR="00382B6E">
        <w:rPr>
          <w:rFonts w:ascii="Times New Roman" w:hAnsi="Times New Roman"/>
        </w:rPr>
        <w:t>J</w:t>
      </w:r>
      <w:r w:rsidRPr="00501F1F">
        <w:rPr>
          <w:rFonts w:ascii="Times New Roman" w:hAnsi="Times New Roman"/>
        </w:rPr>
        <w:t xml:space="preserve">udge concept was that the chosen </w:t>
      </w:r>
      <w:r w:rsidR="00382B6E">
        <w:rPr>
          <w:rFonts w:ascii="Times New Roman" w:hAnsi="Times New Roman"/>
        </w:rPr>
        <w:t>Judge</w:t>
      </w:r>
      <w:r w:rsidRPr="00501F1F">
        <w:rPr>
          <w:rFonts w:ascii="Times New Roman" w:hAnsi="Times New Roman"/>
        </w:rPr>
        <w:t xml:space="preserve"> may not have the correct experience or skills to deal with the particular nuances of the case at the PTC stage. Furthermore, it was suggested that </w:t>
      </w:r>
      <w:r w:rsidR="004E3865" w:rsidRPr="00501F1F">
        <w:rPr>
          <w:rFonts w:ascii="Times New Roman" w:hAnsi="Times New Roman"/>
        </w:rPr>
        <w:t xml:space="preserve">the </w:t>
      </w:r>
      <w:r w:rsidRPr="00501F1F">
        <w:rPr>
          <w:rFonts w:ascii="Times New Roman" w:hAnsi="Times New Roman"/>
        </w:rPr>
        <w:t xml:space="preserve">clarification </w:t>
      </w:r>
      <w:r w:rsidR="004E3865" w:rsidRPr="00501F1F">
        <w:rPr>
          <w:rFonts w:ascii="Times New Roman" w:hAnsi="Times New Roman"/>
        </w:rPr>
        <w:t xml:space="preserve">of </w:t>
      </w:r>
      <w:r w:rsidRPr="00501F1F">
        <w:rPr>
          <w:rFonts w:ascii="Times New Roman" w:hAnsi="Times New Roman"/>
        </w:rPr>
        <w:t xml:space="preserve">trial preparation could be a matter for judicial training. </w:t>
      </w:r>
    </w:p>
    <w:p w:rsidR="00154DA8" w:rsidRPr="00501F1F" w:rsidRDefault="00154DA8" w:rsidP="008334DC">
      <w:pPr>
        <w:jc w:val="both"/>
        <w:rPr>
          <w:rFonts w:ascii="Times New Roman" w:hAnsi="Times New Roman"/>
        </w:rPr>
      </w:pPr>
    </w:p>
    <w:p w:rsidR="00154DA8" w:rsidRPr="00501F1F" w:rsidRDefault="00D91B5B" w:rsidP="008334DC">
      <w:pPr>
        <w:jc w:val="both"/>
        <w:rPr>
          <w:rFonts w:ascii="Times New Roman" w:hAnsi="Times New Roman"/>
        </w:rPr>
      </w:pPr>
      <w:r w:rsidRPr="00501F1F">
        <w:rPr>
          <w:rFonts w:ascii="Times New Roman" w:hAnsi="Times New Roman"/>
        </w:rPr>
        <w:t xml:space="preserve">An additional </w:t>
      </w:r>
      <w:r w:rsidR="00154DA8" w:rsidRPr="00501F1F">
        <w:rPr>
          <w:rFonts w:ascii="Times New Roman" w:hAnsi="Times New Roman"/>
        </w:rPr>
        <w:t xml:space="preserve">mechanism for reducing the delay in proceedings could be the application of time limits throughout the trial process, including during trial preparation and not just at the </w:t>
      </w:r>
      <w:r w:rsidR="007B05F8" w:rsidRPr="00501F1F">
        <w:rPr>
          <w:rFonts w:ascii="Times New Roman" w:hAnsi="Times New Roman"/>
        </w:rPr>
        <w:t>pre-trial stage. However, the SG</w:t>
      </w:r>
      <w:r w:rsidR="00154DA8" w:rsidRPr="00501F1F">
        <w:rPr>
          <w:rFonts w:ascii="Times New Roman" w:hAnsi="Times New Roman"/>
        </w:rPr>
        <w:t xml:space="preserve">G working group </w:t>
      </w:r>
      <w:r w:rsidR="00032380" w:rsidRPr="00501F1F">
        <w:rPr>
          <w:rFonts w:ascii="Times New Roman" w:hAnsi="Times New Roman"/>
        </w:rPr>
        <w:t xml:space="preserve">did </w:t>
      </w:r>
      <w:r w:rsidR="00154DA8" w:rsidRPr="00501F1F">
        <w:rPr>
          <w:rFonts w:ascii="Times New Roman" w:hAnsi="Times New Roman"/>
        </w:rPr>
        <w:t xml:space="preserve">not think it </w:t>
      </w:r>
      <w:r w:rsidR="00032380" w:rsidRPr="00501F1F">
        <w:rPr>
          <w:rFonts w:ascii="Times New Roman" w:hAnsi="Times New Roman"/>
        </w:rPr>
        <w:t xml:space="preserve">was </w:t>
      </w:r>
      <w:r w:rsidR="00154DA8" w:rsidRPr="00501F1F">
        <w:rPr>
          <w:rFonts w:ascii="Times New Roman" w:hAnsi="Times New Roman"/>
        </w:rPr>
        <w:t xml:space="preserve">appropriate to oblige </w:t>
      </w:r>
      <w:r w:rsidR="00A928F0" w:rsidRPr="00501F1F">
        <w:rPr>
          <w:rFonts w:ascii="Times New Roman" w:hAnsi="Times New Roman"/>
        </w:rPr>
        <w:t>Judges</w:t>
      </w:r>
      <w:r w:rsidR="00154DA8" w:rsidRPr="00501F1F">
        <w:rPr>
          <w:rFonts w:ascii="Times New Roman" w:hAnsi="Times New Roman"/>
        </w:rPr>
        <w:t xml:space="preserve"> to give guidance on time limits. </w:t>
      </w:r>
    </w:p>
    <w:p w:rsidR="00154DA8" w:rsidRPr="00501F1F" w:rsidRDefault="00154DA8" w:rsidP="008334DC">
      <w:pPr>
        <w:jc w:val="both"/>
        <w:rPr>
          <w:rFonts w:ascii="Times New Roman" w:hAnsi="Times New Roman"/>
        </w:rPr>
      </w:pPr>
    </w:p>
    <w:p w:rsidR="00154DA8" w:rsidRPr="00501F1F" w:rsidRDefault="008F4C10" w:rsidP="008334DC">
      <w:pPr>
        <w:jc w:val="both"/>
        <w:rPr>
          <w:rFonts w:ascii="Times New Roman" w:hAnsi="Times New Roman"/>
        </w:rPr>
      </w:pPr>
      <w:r w:rsidRPr="00501F1F">
        <w:rPr>
          <w:rFonts w:ascii="Times New Roman" w:hAnsi="Times New Roman"/>
        </w:rPr>
        <w:t>The group discussion made r</w:t>
      </w:r>
      <w:r w:rsidR="00154DA8" w:rsidRPr="00501F1F">
        <w:rPr>
          <w:rFonts w:ascii="Times New Roman" w:hAnsi="Times New Roman"/>
        </w:rPr>
        <w:t xml:space="preserve">eference to the application of Regulation 55 in the </w:t>
      </w:r>
      <w:proofErr w:type="spellStart"/>
      <w:r w:rsidR="00154DA8" w:rsidRPr="00501F1F">
        <w:rPr>
          <w:rFonts w:ascii="Times New Roman" w:hAnsi="Times New Roman"/>
          <w:i/>
        </w:rPr>
        <w:t>Lubanga</w:t>
      </w:r>
      <w:proofErr w:type="spellEnd"/>
      <w:r w:rsidR="00154DA8" w:rsidRPr="00501F1F">
        <w:rPr>
          <w:rFonts w:ascii="Times New Roman" w:hAnsi="Times New Roman"/>
          <w:i/>
        </w:rPr>
        <w:t xml:space="preserve"> case</w:t>
      </w:r>
      <w:r w:rsidR="00154DA8" w:rsidRPr="00501F1F">
        <w:rPr>
          <w:rFonts w:ascii="Times New Roman" w:hAnsi="Times New Roman"/>
        </w:rPr>
        <w:t xml:space="preserve">, it was considered that this did not </w:t>
      </w:r>
      <w:r w:rsidRPr="00501F1F">
        <w:rPr>
          <w:rFonts w:ascii="Times New Roman" w:hAnsi="Times New Roman"/>
        </w:rPr>
        <w:t>facilitate the overall case</w:t>
      </w:r>
      <w:r w:rsidR="00154DA8" w:rsidRPr="00501F1F">
        <w:rPr>
          <w:rFonts w:ascii="Times New Roman" w:hAnsi="Times New Roman"/>
        </w:rPr>
        <w:t>, especially as decisions are often convoluted and there is often no explanation for such lengthy decisions. It was suggested that recommendations should be ma</w:t>
      </w:r>
      <w:r w:rsidR="009820FA" w:rsidRPr="00501F1F">
        <w:rPr>
          <w:rFonts w:ascii="Times New Roman" w:hAnsi="Times New Roman"/>
        </w:rPr>
        <w:t>de for encouraging shorter judg</w:t>
      </w:r>
      <w:r w:rsidR="00154DA8" w:rsidRPr="00501F1F">
        <w:rPr>
          <w:rFonts w:ascii="Times New Roman" w:hAnsi="Times New Roman"/>
        </w:rPr>
        <w:t>ments</w:t>
      </w:r>
      <w:r w:rsidRPr="00501F1F">
        <w:rPr>
          <w:rFonts w:ascii="Times New Roman" w:hAnsi="Times New Roman"/>
        </w:rPr>
        <w:t>.</w:t>
      </w:r>
      <w:r w:rsidR="00154DA8" w:rsidRPr="00501F1F">
        <w:rPr>
          <w:rFonts w:ascii="Times New Roman" w:hAnsi="Times New Roman"/>
        </w:rPr>
        <w:t xml:space="preserve"> </w:t>
      </w:r>
      <w:r w:rsidRPr="00501F1F">
        <w:rPr>
          <w:rFonts w:ascii="Times New Roman" w:hAnsi="Times New Roman"/>
        </w:rPr>
        <w:t>However, i</w:t>
      </w:r>
      <w:r w:rsidR="00154DA8" w:rsidRPr="00501F1F">
        <w:rPr>
          <w:rFonts w:ascii="Times New Roman" w:hAnsi="Times New Roman"/>
        </w:rPr>
        <w:t xml:space="preserve">t was noted that it is not always possible to make a ruling concise as the case may involve many complicated aspects that simply cannot be summed up in a short judgment. </w:t>
      </w:r>
    </w:p>
    <w:p w:rsidR="00154DA8" w:rsidRPr="00501F1F" w:rsidRDefault="00154DA8" w:rsidP="008334DC">
      <w:pPr>
        <w:jc w:val="both"/>
        <w:rPr>
          <w:rFonts w:ascii="Times New Roman" w:hAnsi="Times New Roman"/>
        </w:rPr>
      </w:pPr>
    </w:p>
    <w:p w:rsidR="00154DA8" w:rsidRPr="00501F1F" w:rsidRDefault="00371A37" w:rsidP="007B6F16">
      <w:pPr>
        <w:jc w:val="both"/>
        <w:rPr>
          <w:rFonts w:ascii="Times New Roman" w:hAnsi="Times New Roman"/>
        </w:rPr>
      </w:pPr>
      <w:r w:rsidRPr="00501F1F">
        <w:rPr>
          <w:rFonts w:ascii="Times New Roman" w:hAnsi="Times New Roman"/>
        </w:rPr>
        <w:t>The group suggested that</w:t>
      </w:r>
      <w:r w:rsidR="00154DA8" w:rsidRPr="00501F1F">
        <w:rPr>
          <w:rFonts w:ascii="Times New Roman" w:hAnsi="Times New Roman"/>
        </w:rPr>
        <w:t xml:space="preserve"> the production of a model practice direction</w:t>
      </w:r>
      <w:r w:rsidR="008F4C10" w:rsidRPr="00501F1F">
        <w:rPr>
          <w:rFonts w:ascii="Times New Roman" w:hAnsi="Times New Roman"/>
        </w:rPr>
        <w:t xml:space="preserve"> would be a useful tool </w:t>
      </w:r>
      <w:r w:rsidR="00154DA8" w:rsidRPr="00501F1F">
        <w:rPr>
          <w:rFonts w:ascii="Times New Roman" w:hAnsi="Times New Roman"/>
        </w:rPr>
        <w:t xml:space="preserve">as no guidance currently exists. If it were to achieve academic support it could become a powerful tool for the </w:t>
      </w:r>
      <w:r w:rsidR="00A928F0" w:rsidRPr="00501F1F">
        <w:rPr>
          <w:rFonts w:ascii="Times New Roman" w:hAnsi="Times New Roman"/>
        </w:rPr>
        <w:t>Judges</w:t>
      </w:r>
      <w:r w:rsidR="00154DA8" w:rsidRPr="00501F1F">
        <w:rPr>
          <w:rFonts w:ascii="Times New Roman" w:hAnsi="Times New Roman"/>
        </w:rPr>
        <w:t xml:space="preserve"> to apply. </w:t>
      </w:r>
      <w:r w:rsidR="008F4C10" w:rsidRPr="00501F1F">
        <w:rPr>
          <w:rFonts w:ascii="Times New Roman" w:hAnsi="Times New Roman"/>
        </w:rPr>
        <w:t>However, i</w:t>
      </w:r>
      <w:r w:rsidR="00154DA8" w:rsidRPr="00501F1F">
        <w:rPr>
          <w:rFonts w:ascii="Times New Roman" w:hAnsi="Times New Roman"/>
        </w:rPr>
        <w:t xml:space="preserve">t was noted that the length of a decision is irrelevant </w:t>
      </w:r>
      <w:r w:rsidR="00154DA8" w:rsidRPr="00501F1F">
        <w:rPr>
          <w:rFonts w:ascii="Times New Roman" w:hAnsi="Times New Roman"/>
          <w:i/>
        </w:rPr>
        <w:t>per se</w:t>
      </w:r>
      <w:r w:rsidR="008F4C10" w:rsidRPr="00501F1F">
        <w:rPr>
          <w:rFonts w:ascii="Times New Roman" w:hAnsi="Times New Roman"/>
        </w:rPr>
        <w:t xml:space="preserve"> except for where it leads to a delay. </w:t>
      </w:r>
    </w:p>
    <w:p w:rsidR="00371A37" w:rsidRPr="00501F1F" w:rsidRDefault="00371A37" w:rsidP="007B6F16">
      <w:pPr>
        <w:jc w:val="both"/>
        <w:rPr>
          <w:rFonts w:ascii="Times New Roman" w:hAnsi="Times New Roman"/>
        </w:rPr>
      </w:pPr>
    </w:p>
    <w:p w:rsidR="00154DA8" w:rsidRPr="00501F1F" w:rsidRDefault="00154DA8" w:rsidP="008334DC">
      <w:pPr>
        <w:jc w:val="both"/>
        <w:rPr>
          <w:rFonts w:ascii="Times New Roman" w:hAnsi="Times New Roman"/>
        </w:rPr>
      </w:pPr>
      <w:r w:rsidRPr="00501F1F">
        <w:rPr>
          <w:rFonts w:ascii="Times New Roman" w:hAnsi="Times New Roman"/>
        </w:rPr>
        <w:t xml:space="preserve">The </w:t>
      </w:r>
      <w:r w:rsidR="008F4C10" w:rsidRPr="00501F1F">
        <w:rPr>
          <w:rFonts w:ascii="Times New Roman" w:hAnsi="Times New Roman"/>
        </w:rPr>
        <w:t>Confirmation Hearing</w:t>
      </w:r>
      <w:r w:rsidRPr="00501F1F">
        <w:rPr>
          <w:rFonts w:ascii="Times New Roman" w:hAnsi="Times New Roman"/>
        </w:rPr>
        <w:t xml:space="preserve"> should be a wide berth of disclosure and there should be a clear set of issues.</w:t>
      </w:r>
    </w:p>
    <w:p w:rsidR="00154DA8" w:rsidRPr="00501F1F" w:rsidRDefault="00154DA8" w:rsidP="007B6F16">
      <w:pPr>
        <w:jc w:val="both"/>
        <w:rPr>
          <w:rFonts w:ascii="Times New Roman" w:hAnsi="Times New Roman"/>
        </w:rPr>
      </w:pPr>
    </w:p>
    <w:p w:rsidR="004E3865" w:rsidRPr="00501F1F" w:rsidRDefault="004E3865" w:rsidP="004E3865">
      <w:pPr>
        <w:jc w:val="both"/>
        <w:rPr>
          <w:rFonts w:ascii="Times New Roman" w:hAnsi="Times New Roman"/>
        </w:rPr>
      </w:pPr>
      <w:r w:rsidRPr="00501F1F">
        <w:rPr>
          <w:rFonts w:ascii="Times New Roman" w:hAnsi="Times New Roman"/>
        </w:rPr>
        <w:t>The main issues raised by the group following the second paper were:</w:t>
      </w:r>
    </w:p>
    <w:p w:rsidR="004E3865" w:rsidRPr="00501F1F" w:rsidRDefault="004E3865" w:rsidP="007B6F16">
      <w:pPr>
        <w:jc w:val="both"/>
        <w:rPr>
          <w:rFonts w:ascii="Times New Roman" w:hAnsi="Times New Roman"/>
        </w:rPr>
      </w:pPr>
    </w:p>
    <w:p w:rsidR="004E3865" w:rsidRPr="00501F1F" w:rsidRDefault="004E3865" w:rsidP="007B6F16">
      <w:pPr>
        <w:pStyle w:val="ListParagraph"/>
        <w:numPr>
          <w:ilvl w:val="0"/>
          <w:numId w:val="14"/>
        </w:numPr>
        <w:jc w:val="both"/>
        <w:rPr>
          <w:rFonts w:ascii="Times New Roman" w:hAnsi="Times New Roman"/>
        </w:rPr>
      </w:pPr>
      <w:r w:rsidRPr="00501F1F">
        <w:rPr>
          <w:rFonts w:ascii="Times New Roman" w:hAnsi="Times New Roman"/>
        </w:rPr>
        <w:t>T</w:t>
      </w:r>
      <w:r w:rsidR="00154DA8" w:rsidRPr="00501F1F">
        <w:rPr>
          <w:rFonts w:ascii="Times New Roman" w:hAnsi="Times New Roman"/>
        </w:rPr>
        <w:t xml:space="preserve">he filter mechanism of the PTC </w:t>
      </w:r>
      <w:r w:rsidRPr="00501F1F">
        <w:rPr>
          <w:rFonts w:ascii="Times New Roman" w:hAnsi="Times New Roman"/>
        </w:rPr>
        <w:t xml:space="preserve">must </w:t>
      </w:r>
      <w:r w:rsidR="00154DA8" w:rsidRPr="00501F1F">
        <w:rPr>
          <w:rFonts w:ascii="Times New Roman" w:hAnsi="Times New Roman"/>
        </w:rPr>
        <w:t>be emphasised</w:t>
      </w:r>
      <w:r w:rsidRPr="00501F1F">
        <w:rPr>
          <w:rFonts w:ascii="Times New Roman" w:hAnsi="Times New Roman"/>
        </w:rPr>
        <w:t>;</w:t>
      </w:r>
    </w:p>
    <w:p w:rsidR="004E3865" w:rsidRPr="00501F1F" w:rsidRDefault="00154DA8" w:rsidP="007B6F16">
      <w:pPr>
        <w:pStyle w:val="ListParagraph"/>
        <w:numPr>
          <w:ilvl w:val="0"/>
          <w:numId w:val="14"/>
        </w:numPr>
        <w:jc w:val="both"/>
        <w:rPr>
          <w:rFonts w:ascii="Times New Roman" w:hAnsi="Times New Roman"/>
        </w:rPr>
      </w:pPr>
      <w:r w:rsidRPr="00501F1F">
        <w:rPr>
          <w:rFonts w:ascii="Times New Roman" w:hAnsi="Times New Roman"/>
        </w:rPr>
        <w:t>The charges cannot be re-written; the wrong decision at confirmation impacts on the trial.</w:t>
      </w:r>
    </w:p>
    <w:p w:rsidR="00154DA8" w:rsidRPr="00501F1F" w:rsidRDefault="00154DA8" w:rsidP="007B6F16">
      <w:pPr>
        <w:pStyle w:val="ListParagraph"/>
        <w:numPr>
          <w:ilvl w:val="0"/>
          <w:numId w:val="14"/>
        </w:numPr>
        <w:jc w:val="both"/>
        <w:rPr>
          <w:rFonts w:ascii="Times New Roman" w:hAnsi="Times New Roman"/>
        </w:rPr>
      </w:pPr>
      <w:r w:rsidRPr="00501F1F">
        <w:rPr>
          <w:rFonts w:ascii="Times New Roman" w:hAnsi="Times New Roman"/>
        </w:rPr>
        <w:t xml:space="preserve">Measures to clarify Article 61 are clear – there should be a process to clarify the </w:t>
      </w:r>
      <w:r w:rsidR="00A9012E" w:rsidRPr="00501F1F">
        <w:rPr>
          <w:rFonts w:ascii="Times New Roman" w:hAnsi="Times New Roman"/>
        </w:rPr>
        <w:t>Confirmation Hearing</w:t>
      </w:r>
      <w:r w:rsidRPr="00501F1F">
        <w:rPr>
          <w:rFonts w:ascii="Times New Roman" w:hAnsi="Times New Roman"/>
        </w:rPr>
        <w:t>.  The scope of time limits also should be clarified, the associated problems cannot be regulated away.</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 xml:space="preserve">2.2.3 Reconsideration of Decisions </w:t>
      </w:r>
    </w:p>
    <w:p w:rsidR="00154DA8" w:rsidRPr="00501F1F" w:rsidRDefault="00154DA8" w:rsidP="007B6F16">
      <w:pPr>
        <w:jc w:val="both"/>
        <w:rPr>
          <w:rFonts w:ascii="Times New Roman" w:hAnsi="Times New Roman"/>
        </w:rPr>
      </w:pPr>
    </w:p>
    <w:p w:rsidR="00154DA8" w:rsidRPr="00501F1F" w:rsidRDefault="008F4C10" w:rsidP="007B6F16">
      <w:pPr>
        <w:jc w:val="both"/>
        <w:rPr>
          <w:rFonts w:ascii="Times New Roman" w:hAnsi="Times New Roman"/>
        </w:rPr>
      </w:pPr>
      <w:r w:rsidRPr="00501F1F">
        <w:rPr>
          <w:rFonts w:ascii="Times New Roman" w:hAnsi="Times New Roman"/>
        </w:rPr>
        <w:t>The group</w:t>
      </w:r>
      <w:r w:rsidR="00154DA8" w:rsidRPr="00501F1F">
        <w:rPr>
          <w:rFonts w:ascii="Times New Roman" w:hAnsi="Times New Roman"/>
        </w:rPr>
        <w:t xml:space="preserve"> noted that the issue of whether a Chamber may reconsider its decisions absolutely requires clarification due to the level of hostility on the subject. </w:t>
      </w:r>
    </w:p>
    <w:p w:rsidR="00154DA8" w:rsidRPr="00501F1F" w:rsidRDefault="00154DA8" w:rsidP="007B6F16">
      <w:pPr>
        <w:jc w:val="both"/>
        <w:rPr>
          <w:rFonts w:ascii="Times New Roman" w:hAnsi="Times New Roman"/>
        </w:rPr>
      </w:pPr>
    </w:p>
    <w:p w:rsidR="00154DA8" w:rsidRPr="00501F1F" w:rsidRDefault="00154DA8" w:rsidP="00605A74">
      <w:pPr>
        <w:jc w:val="both"/>
        <w:outlineLvl w:val="0"/>
        <w:rPr>
          <w:rFonts w:ascii="Times New Roman" w:hAnsi="Times New Roman"/>
          <w:u w:val="single"/>
        </w:rPr>
      </w:pPr>
      <w:r w:rsidRPr="00501F1F">
        <w:rPr>
          <w:rFonts w:ascii="Times New Roman" w:hAnsi="Times New Roman"/>
          <w:u w:val="single"/>
        </w:rPr>
        <w:t xml:space="preserve">2.2.4 Oral and Written Evidence at Trial </w:t>
      </w:r>
    </w:p>
    <w:p w:rsidR="00154DA8" w:rsidRPr="00501F1F" w:rsidRDefault="00154DA8" w:rsidP="007B6F16">
      <w:pPr>
        <w:jc w:val="both"/>
        <w:rPr>
          <w:rFonts w:ascii="Times New Roman" w:hAnsi="Times New Roman"/>
        </w:rPr>
      </w:pPr>
    </w:p>
    <w:p w:rsidR="00154DA8" w:rsidRPr="00501F1F" w:rsidRDefault="00154DA8" w:rsidP="00657D4B">
      <w:pPr>
        <w:jc w:val="both"/>
        <w:rPr>
          <w:rFonts w:ascii="Times New Roman" w:hAnsi="Times New Roman"/>
        </w:rPr>
      </w:pPr>
      <w:r w:rsidRPr="00501F1F">
        <w:rPr>
          <w:rFonts w:ascii="Times New Roman" w:hAnsi="Times New Roman"/>
        </w:rPr>
        <w:t xml:space="preserve">In relation to evidence at trial, it was noted that there are gaps in </w:t>
      </w:r>
      <w:r w:rsidR="00501F1F">
        <w:rPr>
          <w:rFonts w:ascii="Times New Roman" w:hAnsi="Times New Roman"/>
        </w:rPr>
        <w:t>Rule</w:t>
      </w:r>
      <w:r w:rsidRPr="00501F1F">
        <w:rPr>
          <w:rFonts w:ascii="Times New Roman" w:hAnsi="Times New Roman"/>
        </w:rPr>
        <w:t xml:space="preserve"> 68 of the RPE. The introduction of </w:t>
      </w:r>
      <w:r w:rsidR="00501F1F">
        <w:rPr>
          <w:rFonts w:ascii="Times New Roman" w:hAnsi="Times New Roman"/>
        </w:rPr>
        <w:t>Rule</w:t>
      </w:r>
      <w:r w:rsidRPr="00501F1F">
        <w:rPr>
          <w:rFonts w:ascii="Times New Roman" w:hAnsi="Times New Roman"/>
        </w:rPr>
        <w:t xml:space="preserve"> 92bis and 92ter of the ICTY to </w:t>
      </w:r>
      <w:r w:rsidR="005A013F" w:rsidRPr="00501F1F">
        <w:rPr>
          <w:rFonts w:ascii="Times New Roman" w:hAnsi="Times New Roman"/>
        </w:rPr>
        <w:t>prevent</w:t>
      </w:r>
      <w:r w:rsidRPr="00501F1F">
        <w:rPr>
          <w:rFonts w:ascii="Times New Roman" w:hAnsi="Times New Roman"/>
        </w:rPr>
        <w:t xml:space="preserve"> the submission of written evidence in lieu of oral testimony that does not go to the core of the matter could enable the proceedings to be expedited as experienced by the ICTY. However, it was </w:t>
      </w:r>
      <w:r w:rsidR="008F4C10" w:rsidRPr="00501F1F">
        <w:rPr>
          <w:rFonts w:ascii="Times New Roman" w:hAnsi="Times New Roman"/>
        </w:rPr>
        <w:t xml:space="preserve">suggested </w:t>
      </w:r>
      <w:r w:rsidRPr="00501F1F">
        <w:rPr>
          <w:rFonts w:ascii="Times New Roman" w:hAnsi="Times New Roman"/>
        </w:rPr>
        <w:t xml:space="preserve">that the admission of written statements could be subject to abuse and that convictions should be based on the cross-examination of witnesses. </w:t>
      </w:r>
      <w:r w:rsidR="008F4C10" w:rsidRPr="00501F1F">
        <w:rPr>
          <w:rFonts w:ascii="Times New Roman" w:hAnsi="Times New Roman"/>
        </w:rPr>
        <w:t>C</w:t>
      </w:r>
      <w:r w:rsidRPr="00501F1F">
        <w:rPr>
          <w:rFonts w:ascii="Times New Roman" w:hAnsi="Times New Roman"/>
        </w:rPr>
        <w:t xml:space="preserve">larification of rulings taking place in absentia must be assured at Confirmation as the absence of a witness does not provide an opportunity </w:t>
      </w:r>
      <w:r w:rsidR="00382B6E">
        <w:rPr>
          <w:rFonts w:ascii="Times New Roman" w:hAnsi="Times New Roman"/>
        </w:rPr>
        <w:t xml:space="preserve">for the Defence </w:t>
      </w:r>
      <w:r w:rsidRPr="00501F1F">
        <w:rPr>
          <w:rFonts w:ascii="Times New Roman" w:hAnsi="Times New Roman"/>
        </w:rPr>
        <w:t xml:space="preserve">to dispute what they are saying and for </w:t>
      </w:r>
      <w:r w:rsidR="00A928F0" w:rsidRPr="00501F1F">
        <w:rPr>
          <w:rFonts w:ascii="Times New Roman" w:hAnsi="Times New Roman"/>
        </w:rPr>
        <w:t>Judges</w:t>
      </w:r>
      <w:r w:rsidRPr="00501F1F">
        <w:rPr>
          <w:rFonts w:ascii="Times New Roman" w:hAnsi="Times New Roman"/>
        </w:rPr>
        <w:t xml:space="preserve"> to assess their </w:t>
      </w:r>
      <w:r w:rsidR="00382B6E">
        <w:rPr>
          <w:rFonts w:ascii="Times New Roman" w:hAnsi="Times New Roman"/>
        </w:rPr>
        <w:t>demeanour.</w:t>
      </w:r>
      <w:r w:rsidR="00FF7B55">
        <w:rPr>
          <w:rFonts w:ascii="Times New Roman" w:hAnsi="Times New Roman"/>
        </w:rPr>
        <w:t xml:space="preserve"> </w:t>
      </w:r>
      <w:r w:rsidR="00382B6E">
        <w:rPr>
          <w:rFonts w:ascii="Times New Roman" w:hAnsi="Times New Roman"/>
        </w:rPr>
        <w:t>Th</w:t>
      </w:r>
      <w:r w:rsidRPr="00501F1F">
        <w:rPr>
          <w:rFonts w:ascii="Times New Roman" w:hAnsi="Times New Roman"/>
        </w:rPr>
        <w:t xml:space="preserve">is could have negative implications on justice. Nevertheless, the use of written statements could be used in peripheral areas as long as the appropriate safeguards are implemented, although it may </w:t>
      </w:r>
      <w:r w:rsidR="008F4C10" w:rsidRPr="00501F1F">
        <w:rPr>
          <w:rFonts w:ascii="Times New Roman" w:hAnsi="Times New Roman"/>
        </w:rPr>
        <w:t xml:space="preserve">be </w:t>
      </w:r>
      <w:r w:rsidRPr="00501F1F">
        <w:rPr>
          <w:rFonts w:ascii="Times New Roman" w:hAnsi="Times New Roman"/>
        </w:rPr>
        <w:t xml:space="preserve">difficult to distinguish between central and peripheral areas. </w:t>
      </w:r>
      <w:r w:rsidR="008F4C10" w:rsidRPr="00501F1F">
        <w:rPr>
          <w:rFonts w:ascii="Times New Roman" w:hAnsi="Times New Roman"/>
        </w:rPr>
        <w:t>Members of the group</w:t>
      </w:r>
      <w:r w:rsidRPr="00501F1F">
        <w:rPr>
          <w:rFonts w:ascii="Times New Roman" w:hAnsi="Times New Roman"/>
        </w:rPr>
        <w:t xml:space="preserve"> noted that the ICTY has admitted written statements in cases of witness intimidation. </w:t>
      </w:r>
    </w:p>
    <w:p w:rsidR="00154DA8" w:rsidRPr="00501F1F" w:rsidRDefault="00154DA8" w:rsidP="007B6F16">
      <w:pPr>
        <w:jc w:val="both"/>
        <w:rPr>
          <w:rFonts w:ascii="Times New Roman" w:hAnsi="Times New Roman"/>
        </w:rPr>
      </w:pPr>
    </w:p>
    <w:p w:rsidR="00154DA8" w:rsidRPr="00501F1F" w:rsidRDefault="008F4C10" w:rsidP="000426D5">
      <w:pPr>
        <w:jc w:val="both"/>
        <w:rPr>
          <w:rFonts w:ascii="Times New Roman" w:hAnsi="Times New Roman"/>
        </w:rPr>
      </w:pPr>
      <w:r w:rsidRPr="00501F1F">
        <w:rPr>
          <w:rFonts w:ascii="Times New Roman" w:hAnsi="Times New Roman"/>
        </w:rPr>
        <w:t>The group suggested using</w:t>
      </w:r>
      <w:r w:rsidR="00154DA8" w:rsidRPr="00501F1F">
        <w:rPr>
          <w:rFonts w:ascii="Times New Roman" w:hAnsi="Times New Roman"/>
        </w:rPr>
        <w:t xml:space="preserve"> </w:t>
      </w:r>
      <w:r w:rsidRPr="00501F1F">
        <w:rPr>
          <w:rFonts w:ascii="Times New Roman" w:hAnsi="Times New Roman"/>
        </w:rPr>
        <w:t xml:space="preserve">alternative </w:t>
      </w:r>
      <w:r w:rsidR="00154DA8" w:rsidRPr="00501F1F">
        <w:rPr>
          <w:rFonts w:ascii="Times New Roman" w:hAnsi="Times New Roman"/>
        </w:rPr>
        <w:t>techniques, rather than the physical presence of the witness, e.g. a video link</w:t>
      </w:r>
      <w:r w:rsidR="00382B6E">
        <w:rPr>
          <w:rFonts w:ascii="Times New Roman" w:hAnsi="Times New Roman"/>
        </w:rPr>
        <w:t>. This</w:t>
      </w:r>
      <w:r w:rsidR="00154DA8" w:rsidRPr="00501F1F">
        <w:rPr>
          <w:rFonts w:ascii="Times New Roman" w:hAnsi="Times New Roman"/>
        </w:rPr>
        <w:t xml:space="preserve"> could be implemented</w:t>
      </w:r>
      <w:r w:rsidRPr="00501F1F">
        <w:rPr>
          <w:rFonts w:ascii="Times New Roman" w:hAnsi="Times New Roman"/>
        </w:rPr>
        <w:t xml:space="preserve"> whereby the presence of the witness in the </w:t>
      </w:r>
      <w:r w:rsidR="00561580" w:rsidRPr="00501F1F">
        <w:rPr>
          <w:rFonts w:ascii="Times New Roman" w:hAnsi="Times New Roman"/>
        </w:rPr>
        <w:t>Court</w:t>
      </w:r>
      <w:r w:rsidRPr="00501F1F">
        <w:rPr>
          <w:rFonts w:ascii="Times New Roman" w:hAnsi="Times New Roman"/>
        </w:rPr>
        <w:t xml:space="preserve">room is assimilated. </w:t>
      </w:r>
      <w:r w:rsidR="00371A37" w:rsidRPr="00501F1F">
        <w:rPr>
          <w:rFonts w:ascii="Times New Roman" w:hAnsi="Times New Roman"/>
        </w:rPr>
        <w:t xml:space="preserve">Some </w:t>
      </w:r>
      <w:r w:rsidR="00154DA8" w:rsidRPr="00501F1F">
        <w:rPr>
          <w:rFonts w:ascii="Times New Roman" w:hAnsi="Times New Roman"/>
        </w:rPr>
        <w:t>witnesses are critical to the case and there should be a margin of deference to appropriate forms of evidence</w:t>
      </w:r>
      <w:r w:rsidRPr="00501F1F">
        <w:rPr>
          <w:rFonts w:ascii="Times New Roman" w:hAnsi="Times New Roman"/>
        </w:rPr>
        <w:t xml:space="preserve">. </w:t>
      </w:r>
      <w:r w:rsidR="00561580" w:rsidRPr="00501F1F">
        <w:rPr>
          <w:rFonts w:ascii="Times New Roman" w:hAnsi="Times New Roman"/>
        </w:rPr>
        <w:t>It may be necessary</w:t>
      </w:r>
      <w:r w:rsidR="00154DA8" w:rsidRPr="00501F1F">
        <w:rPr>
          <w:rFonts w:ascii="Times New Roman" w:hAnsi="Times New Roman"/>
        </w:rPr>
        <w:t xml:space="preserve"> for the witness to be </w:t>
      </w:r>
      <w:r w:rsidRPr="00501F1F">
        <w:rPr>
          <w:rFonts w:ascii="Times New Roman" w:hAnsi="Times New Roman"/>
        </w:rPr>
        <w:t>present</w:t>
      </w:r>
      <w:r w:rsidR="00561580" w:rsidRPr="00501F1F">
        <w:rPr>
          <w:rFonts w:ascii="Times New Roman" w:hAnsi="Times New Roman"/>
        </w:rPr>
        <w:t>.</w:t>
      </w:r>
      <w:r w:rsidR="00154DA8" w:rsidRPr="00501F1F">
        <w:rPr>
          <w:rFonts w:ascii="Times New Roman" w:hAnsi="Times New Roman"/>
        </w:rPr>
        <w:t xml:space="preserve"> This distinguishes between categories of witness and </w:t>
      </w:r>
      <w:r w:rsidR="00561580" w:rsidRPr="00501F1F">
        <w:rPr>
          <w:rFonts w:ascii="Times New Roman" w:hAnsi="Times New Roman"/>
        </w:rPr>
        <w:t>their role in and contribution to proceedings.</w:t>
      </w:r>
      <w:r w:rsidR="00154DA8" w:rsidRPr="00501F1F">
        <w:rPr>
          <w:rFonts w:ascii="Times New Roman" w:hAnsi="Times New Roman"/>
        </w:rPr>
        <w:t xml:space="preserve"> A suggestion was made for multiple </w:t>
      </w:r>
      <w:r w:rsidR="00A928F0" w:rsidRPr="00501F1F">
        <w:rPr>
          <w:rFonts w:ascii="Times New Roman" w:hAnsi="Times New Roman"/>
        </w:rPr>
        <w:t>Judges</w:t>
      </w:r>
      <w:r w:rsidR="00154DA8" w:rsidRPr="00501F1F">
        <w:rPr>
          <w:rFonts w:ascii="Times New Roman" w:hAnsi="Times New Roman"/>
        </w:rPr>
        <w:t xml:space="preserve"> to be used according to the different method</w:t>
      </w:r>
      <w:r w:rsidR="00561580" w:rsidRPr="00501F1F">
        <w:rPr>
          <w:rFonts w:ascii="Times New Roman" w:hAnsi="Times New Roman"/>
        </w:rPr>
        <w:t>s</w:t>
      </w:r>
      <w:r w:rsidR="00154DA8" w:rsidRPr="00501F1F">
        <w:rPr>
          <w:rFonts w:ascii="Times New Roman" w:hAnsi="Times New Roman"/>
        </w:rPr>
        <w:t xml:space="preserve"> of giving evidence.</w:t>
      </w:r>
      <w:r w:rsidR="00561580" w:rsidRPr="00501F1F">
        <w:rPr>
          <w:rFonts w:ascii="Times New Roman" w:hAnsi="Times New Roman"/>
        </w:rPr>
        <w:t xml:space="preserve"> For example,</w:t>
      </w:r>
      <w:r w:rsidR="00154DA8" w:rsidRPr="00501F1F">
        <w:rPr>
          <w:rFonts w:ascii="Times New Roman" w:hAnsi="Times New Roman"/>
        </w:rPr>
        <w:t xml:space="preserve"> one </w:t>
      </w:r>
      <w:r w:rsidR="00382B6E">
        <w:rPr>
          <w:rFonts w:ascii="Times New Roman" w:hAnsi="Times New Roman"/>
        </w:rPr>
        <w:t>Judge</w:t>
      </w:r>
      <w:r w:rsidR="00561580" w:rsidRPr="00501F1F">
        <w:rPr>
          <w:rFonts w:ascii="Times New Roman" w:hAnsi="Times New Roman"/>
        </w:rPr>
        <w:t xml:space="preserve"> </w:t>
      </w:r>
      <w:r w:rsidR="00154DA8" w:rsidRPr="00501F1F">
        <w:rPr>
          <w:rFonts w:ascii="Times New Roman" w:hAnsi="Times New Roman"/>
        </w:rPr>
        <w:t xml:space="preserve">to </w:t>
      </w:r>
      <w:r w:rsidR="00561580" w:rsidRPr="00501F1F">
        <w:rPr>
          <w:rFonts w:ascii="Times New Roman" w:hAnsi="Times New Roman"/>
        </w:rPr>
        <w:t>over</w:t>
      </w:r>
      <w:r w:rsidR="00154DA8" w:rsidRPr="00501F1F">
        <w:rPr>
          <w:rFonts w:ascii="Times New Roman" w:hAnsi="Times New Roman"/>
        </w:rPr>
        <w:t xml:space="preserve">see witnesses </w:t>
      </w:r>
      <w:r w:rsidR="00382B6E">
        <w:rPr>
          <w:rFonts w:ascii="Times New Roman" w:hAnsi="Times New Roman"/>
        </w:rPr>
        <w:t>and another J</w:t>
      </w:r>
      <w:r w:rsidR="00561580" w:rsidRPr="00501F1F">
        <w:rPr>
          <w:rFonts w:ascii="Times New Roman" w:hAnsi="Times New Roman"/>
        </w:rPr>
        <w:t>udge to review</w:t>
      </w:r>
      <w:r w:rsidR="00154DA8" w:rsidRPr="00501F1F">
        <w:rPr>
          <w:rFonts w:ascii="Times New Roman" w:hAnsi="Times New Roman"/>
        </w:rPr>
        <w:t xml:space="preserve"> recorded statements, however </w:t>
      </w:r>
      <w:r w:rsidR="00561580" w:rsidRPr="00501F1F">
        <w:rPr>
          <w:rFonts w:ascii="Times New Roman" w:hAnsi="Times New Roman"/>
        </w:rPr>
        <w:t>the group stressed that it is</w:t>
      </w:r>
      <w:r w:rsidR="00154DA8" w:rsidRPr="00501F1F">
        <w:rPr>
          <w:rFonts w:ascii="Times New Roman" w:hAnsi="Times New Roman"/>
        </w:rPr>
        <w:t xml:space="preserve"> appropriate to have a separate bench. </w:t>
      </w:r>
    </w:p>
    <w:p w:rsidR="00154DA8" w:rsidRPr="00501F1F" w:rsidRDefault="00154DA8" w:rsidP="007B6F16">
      <w:pPr>
        <w:jc w:val="both"/>
        <w:rPr>
          <w:rFonts w:ascii="Times New Roman" w:hAnsi="Times New Roman"/>
        </w:rPr>
      </w:pPr>
    </w:p>
    <w:p w:rsidR="00154DA8" w:rsidRPr="00501F1F" w:rsidRDefault="00154DA8" w:rsidP="007B6F16">
      <w:pPr>
        <w:jc w:val="both"/>
        <w:rPr>
          <w:rFonts w:ascii="Times New Roman" w:hAnsi="Times New Roman"/>
        </w:rPr>
      </w:pPr>
      <w:r w:rsidRPr="00501F1F">
        <w:rPr>
          <w:rFonts w:ascii="Times New Roman" w:hAnsi="Times New Roman"/>
        </w:rPr>
        <w:t>The core issues that were discussed regarding the pre-trial and trial iss</w:t>
      </w:r>
      <w:r w:rsidR="005A013F" w:rsidRPr="00501F1F">
        <w:rPr>
          <w:rFonts w:ascii="Times New Roman" w:hAnsi="Times New Roman"/>
        </w:rPr>
        <w:t>ues are the reconsideration of o</w:t>
      </w:r>
      <w:r w:rsidRPr="00501F1F">
        <w:rPr>
          <w:rFonts w:ascii="Times New Roman" w:hAnsi="Times New Roman"/>
        </w:rPr>
        <w:t xml:space="preserve">rder and evidence at trial. On the latter it was noted that: </w:t>
      </w:r>
    </w:p>
    <w:p w:rsidR="00154DA8" w:rsidRPr="00501F1F" w:rsidRDefault="00561580" w:rsidP="00150FAD">
      <w:pPr>
        <w:numPr>
          <w:ilvl w:val="0"/>
          <w:numId w:val="4"/>
        </w:numPr>
        <w:jc w:val="both"/>
        <w:rPr>
          <w:rFonts w:ascii="Times New Roman" w:hAnsi="Times New Roman"/>
        </w:rPr>
      </w:pPr>
      <w:r w:rsidRPr="00501F1F">
        <w:rPr>
          <w:rFonts w:ascii="Times New Roman" w:hAnsi="Times New Roman"/>
        </w:rPr>
        <w:t>I</w:t>
      </w:r>
      <w:r w:rsidR="00154DA8" w:rsidRPr="00501F1F">
        <w:rPr>
          <w:rFonts w:ascii="Times New Roman" w:hAnsi="Times New Roman"/>
        </w:rPr>
        <w:t>maginative use of methods and options for giving evidence should be adopted;</w:t>
      </w:r>
    </w:p>
    <w:p w:rsidR="00154DA8" w:rsidRPr="00501F1F" w:rsidRDefault="00154DA8" w:rsidP="00150FAD">
      <w:pPr>
        <w:numPr>
          <w:ilvl w:val="0"/>
          <w:numId w:val="4"/>
        </w:numPr>
        <w:jc w:val="both"/>
        <w:rPr>
          <w:rFonts w:ascii="Times New Roman" w:hAnsi="Times New Roman"/>
        </w:rPr>
      </w:pPr>
      <w:r w:rsidRPr="00501F1F">
        <w:rPr>
          <w:rFonts w:ascii="Times New Roman" w:hAnsi="Times New Roman"/>
        </w:rPr>
        <w:t>Critical witnesses must be called</w:t>
      </w:r>
      <w:r w:rsidR="00561580" w:rsidRPr="00501F1F">
        <w:rPr>
          <w:rFonts w:ascii="Times New Roman" w:hAnsi="Times New Roman"/>
        </w:rPr>
        <w:t xml:space="preserve"> to be present in Court</w:t>
      </w:r>
      <w:r w:rsidRPr="00501F1F">
        <w:rPr>
          <w:rFonts w:ascii="Times New Roman" w:hAnsi="Times New Roman"/>
        </w:rPr>
        <w:t>;</w:t>
      </w:r>
    </w:p>
    <w:p w:rsidR="009820FA" w:rsidRPr="00501F1F" w:rsidRDefault="00561580" w:rsidP="009820FA">
      <w:pPr>
        <w:numPr>
          <w:ilvl w:val="0"/>
          <w:numId w:val="4"/>
        </w:numPr>
        <w:jc w:val="both"/>
        <w:rPr>
          <w:rFonts w:ascii="Times New Roman" w:hAnsi="Times New Roman"/>
        </w:rPr>
      </w:pPr>
      <w:r w:rsidRPr="00501F1F">
        <w:rPr>
          <w:rFonts w:ascii="Times New Roman" w:hAnsi="Times New Roman"/>
        </w:rPr>
        <w:t xml:space="preserve">The group were reticent to permit the hearing of evidence where witnesses are in </w:t>
      </w:r>
      <w:proofErr w:type="spellStart"/>
      <w:r w:rsidRPr="00501F1F">
        <w:rPr>
          <w:rFonts w:ascii="Times New Roman" w:hAnsi="Times New Roman"/>
        </w:rPr>
        <w:t>abstentia</w:t>
      </w:r>
      <w:proofErr w:type="spellEnd"/>
      <w:r w:rsidR="00154DA8" w:rsidRPr="00501F1F">
        <w:rPr>
          <w:rFonts w:ascii="Times New Roman" w:hAnsi="Times New Roman"/>
        </w:rPr>
        <w:t>;</w:t>
      </w:r>
    </w:p>
    <w:p w:rsidR="00154DA8" w:rsidRPr="00501F1F" w:rsidRDefault="00154DA8" w:rsidP="009820FA">
      <w:pPr>
        <w:numPr>
          <w:ilvl w:val="0"/>
          <w:numId w:val="4"/>
        </w:numPr>
        <w:jc w:val="both"/>
        <w:rPr>
          <w:rFonts w:ascii="Times New Roman" w:hAnsi="Times New Roman"/>
        </w:rPr>
      </w:pPr>
      <w:r w:rsidRPr="00501F1F">
        <w:rPr>
          <w:rFonts w:ascii="Times New Roman" w:hAnsi="Times New Roman"/>
        </w:rPr>
        <w:t xml:space="preserve">Two schools of thought </w:t>
      </w:r>
      <w:r w:rsidR="00561580" w:rsidRPr="00501F1F">
        <w:rPr>
          <w:rFonts w:ascii="Times New Roman" w:hAnsi="Times New Roman"/>
        </w:rPr>
        <w:t xml:space="preserve">emerged in the group </w:t>
      </w:r>
      <w:r w:rsidRPr="00501F1F">
        <w:rPr>
          <w:rFonts w:ascii="Times New Roman" w:hAnsi="Times New Roman"/>
        </w:rPr>
        <w:t>on the subject of written statement</w:t>
      </w:r>
      <w:r w:rsidR="008E7D4C">
        <w:rPr>
          <w:rFonts w:ascii="Times New Roman" w:hAnsi="Times New Roman"/>
        </w:rPr>
        <w:t>s</w:t>
      </w:r>
      <w:r w:rsidR="00561580" w:rsidRPr="00501F1F">
        <w:rPr>
          <w:rFonts w:ascii="Times New Roman" w:hAnsi="Times New Roman"/>
        </w:rPr>
        <w:t>.</w:t>
      </w:r>
      <w:r w:rsidRPr="00501F1F">
        <w:rPr>
          <w:rFonts w:ascii="Times New Roman" w:hAnsi="Times New Roman"/>
        </w:rPr>
        <w:t xml:space="preserve"> </w:t>
      </w:r>
    </w:p>
    <w:p w:rsidR="00371A37" w:rsidRPr="00501F1F" w:rsidRDefault="00371A37" w:rsidP="007B6F16">
      <w:pPr>
        <w:jc w:val="both"/>
        <w:rPr>
          <w:rFonts w:ascii="Times New Roman" w:hAnsi="Times New Roman"/>
        </w:rPr>
      </w:pPr>
    </w:p>
    <w:p w:rsidR="00154DA8" w:rsidRPr="00501F1F" w:rsidRDefault="00CF3775" w:rsidP="007B6F16">
      <w:pPr>
        <w:jc w:val="both"/>
        <w:rPr>
          <w:rFonts w:ascii="Times New Roman" w:hAnsi="Times New Roman"/>
        </w:rPr>
      </w:pPr>
      <w:r w:rsidRPr="00501F1F">
        <w:rPr>
          <w:rFonts w:ascii="Times New Roman" w:hAnsi="Times New Roman"/>
        </w:rPr>
        <w:t xml:space="preserve">A short discussion followed on the merits of using In-Depth Analysis Charts (IDACs). It was felt that although the principle behind IDACs is a good one, their current format ought to be amended. </w:t>
      </w:r>
    </w:p>
    <w:p w:rsidR="00154DA8" w:rsidRPr="00501F1F" w:rsidRDefault="00154DA8" w:rsidP="007B6F16">
      <w:pPr>
        <w:jc w:val="both"/>
        <w:rPr>
          <w:rFonts w:ascii="Times New Roman" w:hAnsi="Times New Roman"/>
        </w:rPr>
      </w:pPr>
    </w:p>
    <w:p w:rsidR="009820FA" w:rsidRPr="00501F1F" w:rsidRDefault="009820FA" w:rsidP="009820FA">
      <w:pPr>
        <w:jc w:val="both"/>
        <w:outlineLvl w:val="0"/>
        <w:rPr>
          <w:rFonts w:ascii="Times New Roman" w:hAnsi="Times New Roman"/>
          <w:b/>
          <w:i/>
        </w:rPr>
      </w:pPr>
      <w:r w:rsidRPr="00501F1F">
        <w:rPr>
          <w:rFonts w:ascii="Times New Roman" w:hAnsi="Times New Roman"/>
          <w:b/>
        </w:rPr>
        <w:t>3.1 Paper 3 –</w:t>
      </w:r>
      <w:r w:rsidRPr="00501F1F">
        <w:rPr>
          <w:rFonts w:ascii="Times New Roman" w:hAnsi="Times New Roman"/>
          <w:b/>
          <w:i/>
        </w:rPr>
        <w:t>Victim Participation, appeals and interim release in ICC proceedings.</w:t>
      </w:r>
    </w:p>
    <w:p w:rsidR="009820FA" w:rsidRPr="00501F1F" w:rsidRDefault="009820FA" w:rsidP="007B6F16">
      <w:pPr>
        <w:jc w:val="both"/>
        <w:rPr>
          <w:rFonts w:ascii="Times New Roman" w:hAnsi="Times New Roman"/>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3.1.1 Victim Participation</w:t>
      </w:r>
    </w:p>
    <w:p w:rsidR="009820FA" w:rsidRPr="00501F1F" w:rsidRDefault="009820FA" w:rsidP="009820FA">
      <w:pPr>
        <w:jc w:val="both"/>
        <w:rPr>
          <w:rFonts w:ascii="Times New Roman" w:hAnsi="Times New Roman"/>
          <w:u w:val="single"/>
        </w:rPr>
      </w:pPr>
    </w:p>
    <w:p w:rsidR="009820FA" w:rsidRPr="00350D0A" w:rsidRDefault="009820FA" w:rsidP="009820FA">
      <w:pPr>
        <w:jc w:val="both"/>
        <w:rPr>
          <w:rFonts w:asciiTheme="majorBidi" w:hAnsiTheme="majorBidi" w:cstheme="majorBidi"/>
        </w:rPr>
      </w:pPr>
      <w:r w:rsidRPr="00501F1F">
        <w:rPr>
          <w:rFonts w:ascii="Times New Roman" w:hAnsi="Times New Roman"/>
        </w:rPr>
        <w:t xml:space="preserve">The third paper maintained that the Court has turned a corner on the subject of the scope of participation of victims in proceedings and </w:t>
      </w:r>
      <w:r w:rsidRPr="00350D0A">
        <w:rPr>
          <w:rFonts w:asciiTheme="majorBidi" w:hAnsiTheme="majorBidi" w:cstheme="majorBidi"/>
        </w:rPr>
        <w:t xml:space="preserve">whether victims qualify as parties. It is clearer </w:t>
      </w:r>
      <w:r w:rsidRPr="00350D0A">
        <w:rPr>
          <w:rFonts w:asciiTheme="majorBidi" w:hAnsiTheme="majorBidi" w:cstheme="majorBidi"/>
        </w:rPr>
        <w:lastRenderedPageBreak/>
        <w:t>today that victims are not equal to parties except in reparation procedures and have no right to appeal other than in reparation orders.</w:t>
      </w:r>
    </w:p>
    <w:p w:rsidR="009820FA" w:rsidRPr="00350D0A" w:rsidRDefault="009820FA" w:rsidP="009820FA">
      <w:pPr>
        <w:jc w:val="both"/>
        <w:rPr>
          <w:rFonts w:asciiTheme="majorBidi" w:hAnsiTheme="majorBidi" w:cstheme="majorBidi"/>
        </w:rPr>
      </w:pPr>
    </w:p>
    <w:p w:rsidR="009820FA" w:rsidRPr="00501F1F" w:rsidRDefault="009820FA" w:rsidP="00350D0A">
      <w:pPr>
        <w:jc w:val="both"/>
        <w:rPr>
          <w:rFonts w:ascii="Times New Roman" w:hAnsi="Times New Roman"/>
        </w:rPr>
      </w:pPr>
      <w:r w:rsidRPr="00350D0A">
        <w:rPr>
          <w:rFonts w:asciiTheme="majorBidi" w:hAnsiTheme="majorBidi" w:cstheme="majorBidi"/>
        </w:rPr>
        <w:t xml:space="preserve">The third paper considered victim participation to be a success but highlighted that it can be </w:t>
      </w:r>
      <w:r w:rsidR="00350D0A" w:rsidRPr="00350D0A">
        <w:rPr>
          <w:rFonts w:asciiTheme="majorBidi" w:hAnsiTheme="majorBidi" w:cstheme="majorBidi"/>
        </w:rPr>
        <w:t>fair and expeditious conduct of the proceedings if not properly handled</w:t>
      </w:r>
      <w:r w:rsidRPr="00350D0A">
        <w:rPr>
          <w:rFonts w:asciiTheme="majorBidi" w:hAnsiTheme="majorBidi" w:cstheme="majorBidi"/>
        </w:rPr>
        <w:t xml:space="preserve">. Procedural complications exist and the Court is experimenting with ways of optimising the system. In </w:t>
      </w:r>
      <w:proofErr w:type="spellStart"/>
      <w:r w:rsidRPr="00350D0A">
        <w:rPr>
          <w:rFonts w:asciiTheme="majorBidi" w:hAnsiTheme="majorBidi" w:cstheme="majorBidi"/>
          <w:i/>
        </w:rPr>
        <w:t>Gbagbo</w:t>
      </w:r>
      <w:proofErr w:type="spellEnd"/>
      <w:r w:rsidRPr="00350D0A">
        <w:rPr>
          <w:rFonts w:asciiTheme="majorBidi" w:hAnsiTheme="majorBidi" w:cstheme="majorBidi"/>
          <w:i/>
        </w:rPr>
        <w:t xml:space="preserve"> </w:t>
      </w:r>
      <w:r w:rsidRPr="00350D0A">
        <w:rPr>
          <w:rFonts w:asciiTheme="majorBidi" w:hAnsiTheme="majorBidi" w:cstheme="majorBidi"/>
        </w:rPr>
        <w:t>a ‘partly collective’</w:t>
      </w:r>
      <w:r w:rsidRPr="00501F1F">
        <w:rPr>
          <w:rFonts w:ascii="Times New Roman" w:hAnsi="Times New Roman"/>
        </w:rPr>
        <w:t xml:space="preserve"> system was developed where individual applications were made but, information relating to crimes and other common elements were recorded in a collective form. This is an expeditious way of conducting proceedings, but the problem lies with the lack of cut-off date for applications. The ICC is the only Court with a ‘rolling system’ of applications which is an ineffective procedure as the Chamber and parties are continually distracted from critical issues at trial and forced to devote time and resources to considering new applications. The paper suggested that this procedure should no longer be implemented. </w:t>
      </w:r>
      <w:r w:rsidR="00350D0A">
        <w:rPr>
          <w:rFonts w:ascii="Times New Roman" w:hAnsi="Times New Roman"/>
        </w:rPr>
        <w:t>There was a</w:t>
      </w:r>
      <w:r w:rsidRPr="00501F1F">
        <w:rPr>
          <w:rFonts w:ascii="Times New Roman" w:hAnsi="Times New Roman"/>
        </w:rPr>
        <w:t xml:space="preserve"> strong risk of political considerations pushing trials in one direction or another. Parties may have an interest in fabricating large numbers of victims in order to influence or disrupt proceedings. There must be no disturbances during the trial.</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The </w:t>
      </w:r>
      <w:r w:rsidRPr="00501F1F">
        <w:rPr>
          <w:rFonts w:ascii="Times New Roman" w:hAnsi="Times New Roman"/>
          <w:i/>
        </w:rPr>
        <w:t>Kenya</w:t>
      </w:r>
      <w:r w:rsidRPr="00501F1F">
        <w:rPr>
          <w:rFonts w:ascii="Times New Roman" w:hAnsi="Times New Roman"/>
        </w:rPr>
        <w:t xml:space="preserve"> case was a drastic departure from case-law on victim participation and establishes a new dual system of ‘class participation without application’ in the hands of common legal representatives and a system of individual applications to express views and concerns in person to the chamber. However, it was felt that this dual system of victim participation lacks clarity with regard to the compatibility of this model with the Statute and the RPE and its practical functioning. </w:t>
      </w:r>
    </w:p>
    <w:p w:rsidR="009820FA" w:rsidRPr="00501F1F" w:rsidRDefault="009820FA" w:rsidP="009820FA">
      <w:pPr>
        <w:jc w:val="both"/>
        <w:rPr>
          <w:rFonts w:ascii="Times New Roman" w:hAnsi="Times New Roman"/>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3.1.2 Reparations</w:t>
      </w:r>
    </w:p>
    <w:p w:rsidR="009820FA" w:rsidRPr="00501F1F" w:rsidRDefault="009820FA" w:rsidP="009820FA">
      <w:pPr>
        <w:jc w:val="both"/>
        <w:rPr>
          <w:rFonts w:ascii="Times New Roman" w:hAnsi="Times New Roman"/>
          <w:u w:val="single"/>
        </w:rPr>
      </w:pPr>
    </w:p>
    <w:p w:rsidR="009820FA" w:rsidRPr="00501F1F" w:rsidRDefault="009820FA" w:rsidP="009820FA">
      <w:pPr>
        <w:rPr>
          <w:rFonts w:ascii="Times New Roman" w:hAnsi="Times New Roman"/>
        </w:rPr>
      </w:pPr>
      <w:r w:rsidRPr="00501F1F">
        <w:rPr>
          <w:rFonts w:ascii="Times New Roman" w:hAnsi="Times New Roman"/>
        </w:rPr>
        <w:t xml:space="preserve">In the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case, the first decision on reparation principles was delivered. However, the judiciary was not willing to develop principles outside of the framework of cases brought before them. The paper questioned whether the Trial Chamber made full use of the trial record to facilitate the reparations process. For example, in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no specific findings or reparations were made in the judgment. The paper suggested that a definitive judgment would have been more effective as there is now an assumption that the reparations process will be led by the Trust Fund for Victims who will have to look into the judgment to ascertain the most critical facts in order to make reparation orders. </w:t>
      </w:r>
    </w:p>
    <w:p w:rsidR="009820FA" w:rsidRPr="00501F1F" w:rsidRDefault="009820FA" w:rsidP="009820FA">
      <w:pPr>
        <w:jc w:val="both"/>
        <w:rPr>
          <w:rFonts w:ascii="Times New Roman" w:hAnsi="Times New Roman"/>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3.1.3 Appeals</w:t>
      </w:r>
    </w:p>
    <w:p w:rsidR="009820FA" w:rsidRPr="00501F1F" w:rsidRDefault="009820FA" w:rsidP="009820FA">
      <w:pPr>
        <w:jc w:val="both"/>
        <w:rPr>
          <w:rFonts w:ascii="Times New Roman" w:hAnsi="Times New Roman"/>
          <w:u w:val="single"/>
        </w:rPr>
      </w:pPr>
    </w:p>
    <w:p w:rsidR="009820FA" w:rsidRPr="00501F1F" w:rsidRDefault="009820FA" w:rsidP="009820FA">
      <w:pPr>
        <w:jc w:val="both"/>
        <w:rPr>
          <w:rFonts w:ascii="Times New Roman" w:hAnsi="Times New Roman"/>
        </w:rPr>
      </w:pPr>
      <w:r w:rsidRPr="00501F1F">
        <w:rPr>
          <w:rFonts w:ascii="Times New Roman" w:hAnsi="Times New Roman"/>
        </w:rPr>
        <w:t>The paper noted that leave to appeal in the initial stages of the Court’s existence was unsatisfactory due to the overly restrictive approach to the requirements of ART. 82(1)(d) by PTCs. This adversely affected the functioning of the Court by prolonging the uncertainty of whether victims had the right to participate at the investigation stage.</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Even if the current process is working more efficiently, there are still concerns whether it is still adequate to protect the rights of parties and advance proceedings. To this end, the paper suggested that </w:t>
      </w:r>
      <w:r w:rsidR="00382B6E">
        <w:rPr>
          <w:rFonts w:ascii="Times New Roman" w:hAnsi="Times New Roman"/>
        </w:rPr>
        <w:t xml:space="preserve">the </w:t>
      </w:r>
      <w:r w:rsidRPr="00501F1F">
        <w:rPr>
          <w:rFonts w:ascii="Times New Roman" w:hAnsi="Times New Roman"/>
        </w:rPr>
        <w:t xml:space="preserve">appeals system is still wholly unsatisfactory and should be amended. In particular, the paper affirmed that there is no doubt in the quality and importance of decisions of the Appeals Chamber but improvement </w:t>
      </w:r>
      <w:r w:rsidR="00382B6E">
        <w:rPr>
          <w:rFonts w:ascii="Times New Roman" w:hAnsi="Times New Roman"/>
        </w:rPr>
        <w:t xml:space="preserve">of case management </w:t>
      </w:r>
      <w:r w:rsidRPr="00501F1F">
        <w:rPr>
          <w:rFonts w:ascii="Times New Roman" w:hAnsi="Times New Roman"/>
        </w:rPr>
        <w:t xml:space="preserve">could be achieved in terms of case management. An easy change would be to abandon the system of rotating Judges for a more stable process with a presiding Judge for a reasonable period. The length of time for the </w:t>
      </w:r>
      <w:r w:rsidRPr="00501F1F">
        <w:rPr>
          <w:rFonts w:ascii="Times New Roman" w:hAnsi="Times New Roman"/>
        </w:rPr>
        <w:lastRenderedPageBreak/>
        <w:t>Chamber to make a decision has discouraged lower Chambers from certifying matters for appeal.</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The paper suggested that the manner in which the Chamber regulates victim participation in interlocutory appeals could be revisited. Victims granted participant status must re-apply for this on appeal and demonstrate that underlying issues affect their ‘personal interests’. This requires additional submissions and responses before the Chamber as well as a decision.</w:t>
      </w:r>
    </w:p>
    <w:p w:rsidR="009820FA" w:rsidRPr="00501F1F" w:rsidRDefault="009820FA" w:rsidP="009820FA">
      <w:pPr>
        <w:jc w:val="both"/>
        <w:rPr>
          <w:rFonts w:ascii="Times New Roman" w:hAnsi="Times New Roman"/>
        </w:rPr>
      </w:pPr>
    </w:p>
    <w:p w:rsidR="009820FA" w:rsidRPr="00501F1F" w:rsidRDefault="009820FA" w:rsidP="009820FA">
      <w:pPr>
        <w:jc w:val="both"/>
        <w:outlineLvl w:val="0"/>
        <w:rPr>
          <w:rFonts w:ascii="Times New Roman" w:hAnsi="Times New Roman"/>
          <w:b/>
        </w:rPr>
      </w:pPr>
      <w:r w:rsidRPr="00501F1F">
        <w:rPr>
          <w:rFonts w:ascii="Times New Roman" w:hAnsi="Times New Roman"/>
          <w:b/>
        </w:rPr>
        <w:t>3.2 Discussion</w:t>
      </w:r>
    </w:p>
    <w:p w:rsidR="009820FA" w:rsidRPr="00501F1F" w:rsidRDefault="009820FA" w:rsidP="009820FA">
      <w:pPr>
        <w:jc w:val="both"/>
        <w:rPr>
          <w:rFonts w:ascii="Times New Roman" w:hAnsi="Times New Roman"/>
          <w:b/>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 xml:space="preserve">3.2.1 ICC Experience of Victim Participation </w:t>
      </w:r>
    </w:p>
    <w:p w:rsidR="009820FA" w:rsidRPr="00501F1F" w:rsidRDefault="009820FA" w:rsidP="009820FA">
      <w:pPr>
        <w:jc w:val="both"/>
        <w:rPr>
          <w:rFonts w:ascii="Times New Roman" w:hAnsi="Times New Roman"/>
        </w:rPr>
      </w:pPr>
    </w:p>
    <w:p w:rsidR="009820FA" w:rsidRPr="00501F1F" w:rsidRDefault="009820FA" w:rsidP="009820FA">
      <w:pPr>
        <w:rPr>
          <w:rFonts w:ascii="Times New Roman" w:hAnsi="Times New Roman"/>
        </w:rPr>
      </w:pPr>
      <w:r w:rsidRPr="00501F1F">
        <w:rPr>
          <w:rFonts w:ascii="Times New Roman" w:hAnsi="Times New Roman"/>
        </w:rPr>
        <w:t xml:space="preserve">Victim participation was discussed by the group in the context of two cases;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and the Kenya decision. The participation of victims in the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case proved to be valuable, despite concerns that their involvement would slow proceedings. The contribution made by the victims was concise, helpful and added to the witness statement. In contrast, it was felt that the Kenya decision devalues victims. In </w:t>
      </w:r>
      <w:proofErr w:type="spellStart"/>
      <w:r w:rsidRPr="00501F1F">
        <w:rPr>
          <w:rFonts w:ascii="Times New Roman" w:hAnsi="Times New Roman"/>
          <w:i/>
        </w:rPr>
        <w:t>Lubanga</w:t>
      </w:r>
      <w:proofErr w:type="spellEnd"/>
      <w:r w:rsidRPr="00501F1F">
        <w:rPr>
          <w:rFonts w:ascii="Times New Roman" w:hAnsi="Times New Roman"/>
          <w:i/>
        </w:rPr>
        <w:t>,</w:t>
      </w:r>
      <w:r w:rsidRPr="00501F1F">
        <w:rPr>
          <w:rFonts w:ascii="Times New Roman" w:hAnsi="Times New Roman"/>
        </w:rPr>
        <w:t xml:space="preserve"> it was properly recognised that there is a threshold for participation but this was undermined in the Kenya case. The distinction between the recognition of victims in the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case in comparison to the Kenya case was queried. It was noted that the most important element of victim participation is that they are recognised. However, this recognition must be distinguished from any economic considerations, especially as the ICC does not have the funds to contribute to reparations. This key distinction was made in </w:t>
      </w:r>
      <w:proofErr w:type="spellStart"/>
      <w:r w:rsidRPr="00501F1F">
        <w:rPr>
          <w:rFonts w:ascii="Times New Roman" w:hAnsi="Times New Roman"/>
          <w:i/>
        </w:rPr>
        <w:t>Lubanga</w:t>
      </w:r>
      <w:proofErr w:type="spellEnd"/>
      <w:r w:rsidRPr="00501F1F">
        <w:rPr>
          <w:rFonts w:ascii="Times New Roman" w:hAnsi="Times New Roman"/>
          <w:i/>
        </w:rPr>
        <w:t>.</w:t>
      </w:r>
      <w:r w:rsidRPr="00501F1F">
        <w:rPr>
          <w:rFonts w:ascii="Times New Roman" w:hAnsi="Times New Roman"/>
        </w:rPr>
        <w:t xml:space="preserve"> The Kenya decision does not place as much emphasis on recognising victims and subsequently devalues their involvement. </w:t>
      </w:r>
    </w:p>
    <w:p w:rsidR="009820FA" w:rsidRPr="00501F1F" w:rsidRDefault="009820FA" w:rsidP="009820FA">
      <w:pPr>
        <w:jc w:val="both"/>
        <w:rPr>
          <w:rFonts w:ascii="Times New Roman" w:hAnsi="Times New Roman"/>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3.2.2 Impact of Victim Participation on Procedure</w:t>
      </w:r>
    </w:p>
    <w:p w:rsidR="009820FA" w:rsidRPr="00501F1F" w:rsidRDefault="009820FA" w:rsidP="009820FA">
      <w:pPr>
        <w:jc w:val="both"/>
        <w:rPr>
          <w:rFonts w:ascii="Times New Roman" w:hAnsi="Times New Roman"/>
          <w:b/>
        </w:rPr>
      </w:pPr>
    </w:p>
    <w:p w:rsidR="009820FA" w:rsidRPr="00501F1F" w:rsidRDefault="009820FA" w:rsidP="009820FA">
      <w:pPr>
        <w:jc w:val="both"/>
        <w:rPr>
          <w:rFonts w:ascii="Times New Roman" w:hAnsi="Times New Roman"/>
        </w:rPr>
      </w:pPr>
      <w:r w:rsidRPr="00501F1F">
        <w:rPr>
          <w:rFonts w:ascii="Times New Roman" w:hAnsi="Times New Roman"/>
        </w:rPr>
        <w:t xml:space="preserve">The group maintained that the main issue to consider when moving forward is how to deal with multiple applications. The principal concern is how the Court would manage thousands of victim applications, in particular with regards to how realistic it will be to provide legal representation. In real terms, where there are multiple applications, they must be considered to be a class action; although this would lead to a departure from </w:t>
      </w:r>
      <w:r w:rsidR="00501F1F">
        <w:rPr>
          <w:rFonts w:ascii="Times New Roman" w:hAnsi="Times New Roman"/>
        </w:rPr>
        <w:t>Rule</w:t>
      </w:r>
      <w:r w:rsidRPr="00501F1F">
        <w:rPr>
          <w:rFonts w:ascii="Times New Roman" w:hAnsi="Times New Roman"/>
        </w:rPr>
        <w:t xml:space="preserve"> 89. One way of limiting the number of victims participatin</w:t>
      </w:r>
      <w:r w:rsidR="00382B6E">
        <w:rPr>
          <w:rFonts w:ascii="Times New Roman" w:hAnsi="Times New Roman"/>
        </w:rPr>
        <w:t>g</w:t>
      </w:r>
      <w:r w:rsidRPr="00501F1F">
        <w:rPr>
          <w:rFonts w:ascii="Times New Roman" w:hAnsi="Times New Roman"/>
        </w:rPr>
        <w:t xml:space="preserve"> is to impose a deadline for victim applications however this may have implications on how </w:t>
      </w:r>
      <w:proofErr w:type="spellStart"/>
      <w:r w:rsidRPr="00501F1F">
        <w:rPr>
          <w:rFonts w:ascii="Times New Roman" w:hAnsi="Times New Roman"/>
        </w:rPr>
        <w:t>fair</w:t>
      </w:r>
      <w:proofErr w:type="spellEnd"/>
      <w:r w:rsidRPr="00501F1F">
        <w:rPr>
          <w:rFonts w:ascii="Times New Roman" w:hAnsi="Times New Roman"/>
        </w:rPr>
        <w:t xml:space="preserve"> the process is and the expectations of the victims to </w:t>
      </w:r>
      <w:r w:rsidR="00382B6E">
        <w:rPr>
          <w:rFonts w:ascii="Times New Roman" w:hAnsi="Times New Roman"/>
        </w:rPr>
        <w:t xml:space="preserve">be able to </w:t>
      </w:r>
      <w:r w:rsidRPr="00501F1F">
        <w:rPr>
          <w:rFonts w:ascii="Times New Roman" w:hAnsi="Times New Roman"/>
        </w:rPr>
        <w:t xml:space="preserve">participate. </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Where victims are to participate, the group outlined a number of procedural considerations that must be clarified in the first instance: </w:t>
      </w:r>
    </w:p>
    <w:p w:rsidR="009820FA" w:rsidRPr="00501F1F" w:rsidRDefault="009820FA" w:rsidP="009820FA">
      <w:pPr>
        <w:jc w:val="both"/>
        <w:rPr>
          <w:rFonts w:ascii="Times New Roman" w:hAnsi="Times New Roman"/>
        </w:rPr>
      </w:pPr>
    </w:p>
    <w:p w:rsidR="009820FA" w:rsidRPr="00501F1F" w:rsidRDefault="009820FA" w:rsidP="009820FA">
      <w:pPr>
        <w:pStyle w:val="ListParagraph"/>
        <w:numPr>
          <w:ilvl w:val="0"/>
          <w:numId w:val="13"/>
        </w:numPr>
        <w:jc w:val="both"/>
        <w:rPr>
          <w:rFonts w:ascii="Times New Roman" w:hAnsi="Times New Roman"/>
        </w:rPr>
      </w:pPr>
      <w:r w:rsidRPr="00501F1F">
        <w:rPr>
          <w:rFonts w:ascii="Times New Roman" w:hAnsi="Times New Roman"/>
        </w:rPr>
        <w:t>What level of detail should the victim screening include? Can it be individualised?</w:t>
      </w:r>
    </w:p>
    <w:p w:rsidR="009820FA" w:rsidRPr="00501F1F" w:rsidRDefault="009820FA" w:rsidP="009820FA">
      <w:pPr>
        <w:pStyle w:val="ListParagraph"/>
        <w:numPr>
          <w:ilvl w:val="0"/>
          <w:numId w:val="13"/>
        </w:numPr>
        <w:jc w:val="both"/>
        <w:rPr>
          <w:rFonts w:ascii="Times New Roman" w:hAnsi="Times New Roman"/>
        </w:rPr>
      </w:pPr>
      <w:r w:rsidRPr="00501F1F">
        <w:rPr>
          <w:rFonts w:ascii="Times New Roman" w:hAnsi="Times New Roman"/>
        </w:rPr>
        <w:t xml:space="preserve">Could the screening process be outsourced to a specially appointed counsel to decide on who is a victim? If </w:t>
      </w:r>
      <w:r w:rsidR="00382B6E">
        <w:rPr>
          <w:rFonts w:ascii="Times New Roman" w:hAnsi="Times New Roman"/>
        </w:rPr>
        <w:t>an organisation, perhaps an NGO</w:t>
      </w:r>
      <w:r w:rsidRPr="00501F1F">
        <w:rPr>
          <w:rFonts w:ascii="Times New Roman" w:hAnsi="Times New Roman"/>
        </w:rPr>
        <w:t xml:space="preserve"> was willing to do it, it would reduce the Court’s workload.</w:t>
      </w:r>
    </w:p>
    <w:p w:rsidR="009820FA" w:rsidRPr="00501F1F" w:rsidRDefault="009820FA" w:rsidP="009820FA">
      <w:pPr>
        <w:pStyle w:val="ListParagraph"/>
        <w:numPr>
          <w:ilvl w:val="0"/>
          <w:numId w:val="13"/>
        </w:numPr>
        <w:jc w:val="both"/>
        <w:rPr>
          <w:rFonts w:ascii="Times New Roman" w:hAnsi="Times New Roman"/>
        </w:rPr>
      </w:pPr>
      <w:r w:rsidRPr="00501F1F">
        <w:rPr>
          <w:rFonts w:ascii="Times New Roman" w:hAnsi="Times New Roman"/>
        </w:rPr>
        <w:t xml:space="preserve">Who is to decide on the process, Chambers, the OTP or the Registry? </w:t>
      </w:r>
    </w:p>
    <w:p w:rsidR="009820FA" w:rsidRPr="00501F1F" w:rsidRDefault="009820FA" w:rsidP="009820FA">
      <w:pPr>
        <w:pStyle w:val="ListParagraph"/>
        <w:numPr>
          <w:ilvl w:val="0"/>
          <w:numId w:val="13"/>
        </w:numPr>
        <w:jc w:val="both"/>
        <w:rPr>
          <w:rFonts w:ascii="Times New Roman" w:hAnsi="Times New Roman"/>
        </w:rPr>
      </w:pPr>
      <w:r w:rsidRPr="00501F1F">
        <w:rPr>
          <w:rFonts w:ascii="Times New Roman" w:hAnsi="Times New Roman"/>
        </w:rPr>
        <w:t xml:space="preserve">At what stage of the proceedings will this be carried out? </w:t>
      </w:r>
    </w:p>
    <w:p w:rsidR="009820FA" w:rsidRPr="00501F1F" w:rsidRDefault="009820FA" w:rsidP="009820FA">
      <w:pPr>
        <w:pStyle w:val="ListParagraph"/>
        <w:numPr>
          <w:ilvl w:val="0"/>
          <w:numId w:val="13"/>
        </w:numPr>
        <w:jc w:val="both"/>
        <w:rPr>
          <w:rFonts w:ascii="Times New Roman" w:hAnsi="Times New Roman"/>
        </w:rPr>
      </w:pPr>
      <w:r w:rsidRPr="00501F1F">
        <w:rPr>
          <w:rFonts w:ascii="Times New Roman" w:hAnsi="Times New Roman"/>
        </w:rPr>
        <w:t xml:space="preserve">What deadlines are to be imposed to ensure effective case management? For example, if the confirmation stage was used to determine the participation of victims, where the situation is clear, then it could impact on the contours of the case. </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lastRenderedPageBreak/>
        <w:t xml:space="preserve">The case of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was used as an example and the experiences of victim participation in this case were drawn upon to determine how to better implement the involvement of victims. </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The current mechanism by which witnesses are selected is managed by the Victim Participation and Reparations Section </w:t>
      </w:r>
      <w:r w:rsidR="00382B6E">
        <w:rPr>
          <w:rFonts w:ascii="Times New Roman" w:hAnsi="Times New Roman"/>
        </w:rPr>
        <w:t xml:space="preserve">which </w:t>
      </w:r>
      <w:r w:rsidRPr="00501F1F">
        <w:rPr>
          <w:rFonts w:ascii="Times New Roman" w:hAnsi="Times New Roman"/>
        </w:rPr>
        <w:t xml:space="preserve">screened the victims by placing all the victim statements into a logical order. Outsourcing this task to an external provider would lead to increased costs. Once the victims have been screened, the final decision </w:t>
      </w:r>
      <w:r w:rsidR="00382B6E">
        <w:rPr>
          <w:rFonts w:ascii="Times New Roman" w:hAnsi="Times New Roman"/>
        </w:rPr>
        <w:t>on</w:t>
      </w:r>
      <w:r w:rsidRPr="00501F1F">
        <w:rPr>
          <w:rFonts w:ascii="Times New Roman" w:hAnsi="Times New Roman"/>
        </w:rPr>
        <w:t xml:space="preserve"> who should participate in the trial should ultimately be made by the Judges. </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The </w:t>
      </w:r>
      <w:proofErr w:type="spellStart"/>
      <w:r w:rsidRPr="00501F1F">
        <w:rPr>
          <w:rFonts w:ascii="Times New Roman" w:hAnsi="Times New Roman"/>
          <w:i/>
        </w:rPr>
        <w:t>Lubanga</w:t>
      </w:r>
      <w:proofErr w:type="spellEnd"/>
      <w:r w:rsidRPr="00501F1F">
        <w:rPr>
          <w:rFonts w:ascii="Times New Roman" w:hAnsi="Times New Roman"/>
        </w:rPr>
        <w:t xml:space="preserve"> case implemented a cut-off point for the screening of witnesses, which proved to be effective. The group considered the process to be more effective where victims are managed as a class and al</w:t>
      </w:r>
      <w:r w:rsidR="00382B6E">
        <w:rPr>
          <w:rFonts w:ascii="Times New Roman" w:hAnsi="Times New Roman"/>
        </w:rPr>
        <w:t>lows for multiple applications.</w:t>
      </w:r>
      <w:r w:rsidRPr="00501F1F">
        <w:rPr>
          <w:rFonts w:ascii="Times New Roman" w:hAnsi="Times New Roman"/>
        </w:rPr>
        <w:t xml:space="preserve"> The group agreed that there must be a cut-off point for the participation of victims; </w:t>
      </w:r>
      <w:r w:rsidR="00382B6E">
        <w:rPr>
          <w:rFonts w:ascii="Times New Roman" w:hAnsi="Times New Roman"/>
        </w:rPr>
        <w:t xml:space="preserve">which </w:t>
      </w:r>
      <w:r w:rsidRPr="00501F1F">
        <w:rPr>
          <w:rFonts w:ascii="Times New Roman" w:hAnsi="Times New Roman"/>
        </w:rPr>
        <w:t xml:space="preserve">should be during pre-trial </w:t>
      </w:r>
      <w:r w:rsidR="005A013F" w:rsidRPr="00501F1F">
        <w:rPr>
          <w:rFonts w:ascii="Times New Roman" w:hAnsi="Times New Roman"/>
        </w:rPr>
        <w:t xml:space="preserve">stage prior to </w:t>
      </w:r>
      <w:r w:rsidRPr="00501F1F">
        <w:rPr>
          <w:rFonts w:ascii="Times New Roman" w:hAnsi="Times New Roman"/>
        </w:rPr>
        <w:t>the beginning of the trial.</w:t>
      </w:r>
    </w:p>
    <w:p w:rsidR="009820FA" w:rsidRPr="00501F1F" w:rsidRDefault="009820FA" w:rsidP="009820FA">
      <w:pPr>
        <w:jc w:val="both"/>
        <w:rPr>
          <w:rFonts w:ascii="Times New Roman" w:hAnsi="Times New Roman"/>
        </w:rPr>
      </w:pPr>
    </w:p>
    <w:p w:rsidR="009820FA" w:rsidRPr="00501F1F" w:rsidRDefault="007B05F8" w:rsidP="009820FA">
      <w:pPr>
        <w:jc w:val="both"/>
        <w:rPr>
          <w:rFonts w:ascii="Times New Roman" w:hAnsi="Times New Roman"/>
        </w:rPr>
      </w:pPr>
      <w:r w:rsidRPr="00501F1F">
        <w:rPr>
          <w:rFonts w:ascii="Times New Roman" w:hAnsi="Times New Roman"/>
        </w:rPr>
        <w:t>The SG</w:t>
      </w:r>
      <w:r w:rsidR="009820FA" w:rsidRPr="00501F1F">
        <w:rPr>
          <w:rFonts w:ascii="Times New Roman" w:hAnsi="Times New Roman"/>
        </w:rPr>
        <w:t xml:space="preserve">G working group has conducted experiments into victim participation and has noted that under resourcing has led to the duplication of victims’ forms and details. Again, clarification of the judicial process would enable victim participation to be more clearly categorised and defined.  </w:t>
      </w:r>
    </w:p>
    <w:p w:rsidR="009820FA" w:rsidRPr="00501F1F" w:rsidRDefault="009820FA" w:rsidP="009820FA">
      <w:pPr>
        <w:jc w:val="both"/>
        <w:rPr>
          <w:rFonts w:ascii="Times New Roman" w:hAnsi="Times New Roman"/>
        </w:rPr>
      </w:pPr>
    </w:p>
    <w:p w:rsidR="009820FA" w:rsidRPr="00501F1F" w:rsidRDefault="009820FA" w:rsidP="009820FA">
      <w:pPr>
        <w:jc w:val="both"/>
        <w:outlineLvl w:val="0"/>
        <w:rPr>
          <w:rFonts w:ascii="Times New Roman" w:hAnsi="Times New Roman"/>
          <w:u w:val="single"/>
        </w:rPr>
      </w:pPr>
      <w:r w:rsidRPr="00501F1F">
        <w:rPr>
          <w:rFonts w:ascii="Times New Roman" w:hAnsi="Times New Roman"/>
          <w:u w:val="single"/>
        </w:rPr>
        <w:t>3.2.2 Victim Reparation</w:t>
      </w:r>
    </w:p>
    <w:p w:rsidR="009820FA" w:rsidRPr="00501F1F" w:rsidRDefault="009820FA" w:rsidP="009820FA">
      <w:pPr>
        <w:jc w:val="both"/>
        <w:rPr>
          <w:rFonts w:ascii="Times New Roman" w:hAnsi="Times New Roman"/>
        </w:rPr>
      </w:pPr>
    </w:p>
    <w:p w:rsidR="009820FA" w:rsidRPr="00501F1F" w:rsidRDefault="009820FA" w:rsidP="009820FA">
      <w:pPr>
        <w:rPr>
          <w:rFonts w:ascii="Times New Roman" w:hAnsi="Times New Roman"/>
        </w:rPr>
      </w:pPr>
      <w:r w:rsidRPr="00501F1F">
        <w:rPr>
          <w:rFonts w:ascii="Times New Roman" w:hAnsi="Times New Roman"/>
        </w:rPr>
        <w:t xml:space="preserve">Where victim participation is permitted, the group maintained that it is also important to emphasise that there might not be any possibility of reparation. The recognition of this will minimise any lack of certainty, as experienced in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where</w:t>
      </w:r>
      <w:r w:rsidRPr="00501F1F">
        <w:rPr>
          <w:rFonts w:ascii="Times New Roman" w:hAnsi="Times New Roman"/>
          <w:i/>
        </w:rPr>
        <w:t xml:space="preserve"> </w:t>
      </w:r>
      <w:r w:rsidRPr="00501F1F">
        <w:rPr>
          <w:rFonts w:ascii="Times New Roman" w:hAnsi="Times New Roman"/>
        </w:rPr>
        <w:t xml:space="preserve">it was unclear where reparations should be directed in the event of a conviction. It was noted that </w:t>
      </w:r>
      <w:proofErr w:type="spellStart"/>
      <w:r w:rsidRPr="00501F1F">
        <w:rPr>
          <w:rFonts w:ascii="Times New Roman" w:hAnsi="Times New Roman"/>
          <w:i/>
        </w:rPr>
        <w:t>Lubanga</w:t>
      </w:r>
      <w:proofErr w:type="spellEnd"/>
      <w:r w:rsidRPr="00501F1F">
        <w:rPr>
          <w:rFonts w:ascii="Times New Roman" w:hAnsi="Times New Roman"/>
        </w:rPr>
        <w:t xml:space="preserve"> should have included an independent reparations decision. It was observed that in </w:t>
      </w:r>
      <w:proofErr w:type="spellStart"/>
      <w:r w:rsidRPr="00501F1F">
        <w:rPr>
          <w:rFonts w:ascii="Times New Roman" w:hAnsi="Times New Roman"/>
          <w:i/>
        </w:rPr>
        <w:t>Lubanga</w:t>
      </w:r>
      <w:proofErr w:type="spellEnd"/>
      <w:r w:rsidRPr="00501F1F">
        <w:rPr>
          <w:rFonts w:ascii="Times New Roman" w:hAnsi="Times New Roman"/>
        </w:rPr>
        <w:t xml:space="preserve"> most of those who gave evidence were disbelieved and those making applications to the trust fund were not present. For example, the lack of certainty around the reparations to an amorphous group of child soldiers could have been resolved by the judiciary in the </w:t>
      </w:r>
      <w:proofErr w:type="spellStart"/>
      <w:r w:rsidRPr="00501F1F">
        <w:rPr>
          <w:rFonts w:ascii="Times New Roman" w:hAnsi="Times New Roman"/>
          <w:i/>
        </w:rPr>
        <w:t>Lubanga</w:t>
      </w:r>
      <w:proofErr w:type="spellEnd"/>
      <w:r w:rsidRPr="00501F1F">
        <w:rPr>
          <w:rFonts w:ascii="Times New Roman" w:hAnsi="Times New Roman"/>
        </w:rPr>
        <w:t xml:space="preserve"> case</w:t>
      </w:r>
      <w:r w:rsidR="00382B6E">
        <w:rPr>
          <w:rFonts w:ascii="Times New Roman" w:hAnsi="Times New Roman"/>
        </w:rPr>
        <w:t>. I</w:t>
      </w:r>
      <w:r w:rsidRPr="00501F1F">
        <w:rPr>
          <w:rFonts w:ascii="Times New Roman" w:hAnsi="Times New Roman"/>
        </w:rPr>
        <w:t xml:space="preserve">t would have in fact been an appropriate moment for the judiciary to have outlined clearer direction as to where reparations should </w:t>
      </w:r>
      <w:r w:rsidR="00FF7B55" w:rsidRPr="00501F1F">
        <w:rPr>
          <w:rFonts w:ascii="Times New Roman" w:hAnsi="Times New Roman"/>
        </w:rPr>
        <w:t>go</w:t>
      </w:r>
      <w:r w:rsidR="00FF7B55">
        <w:rPr>
          <w:rFonts w:ascii="Times New Roman" w:hAnsi="Times New Roman"/>
        </w:rPr>
        <w:t>:</w:t>
      </w:r>
      <w:r w:rsidRPr="00501F1F">
        <w:rPr>
          <w:rFonts w:ascii="Times New Roman" w:hAnsi="Times New Roman"/>
        </w:rPr>
        <w:t xml:space="preserve"> a roadmap for future reparations. It was noted that any future endorsement of proposals for collective reparation should also consider the more complex aspect of</w:t>
      </w:r>
      <w:r w:rsidR="00FF7B55">
        <w:rPr>
          <w:rFonts w:ascii="Times New Roman" w:hAnsi="Times New Roman"/>
        </w:rPr>
        <w:t xml:space="preserve"> multiple single reparations.  </w:t>
      </w:r>
    </w:p>
    <w:p w:rsidR="009820FA" w:rsidRPr="00501F1F" w:rsidRDefault="009820FA" w:rsidP="009820FA">
      <w:pPr>
        <w:jc w:val="both"/>
        <w:rPr>
          <w:rFonts w:ascii="Times New Roman" w:hAnsi="Times New Roman"/>
        </w:rPr>
      </w:pPr>
    </w:p>
    <w:p w:rsidR="009820FA" w:rsidRPr="00501F1F" w:rsidRDefault="009820FA" w:rsidP="009820FA">
      <w:pPr>
        <w:jc w:val="both"/>
        <w:rPr>
          <w:rFonts w:ascii="Times New Roman" w:hAnsi="Times New Roman"/>
        </w:rPr>
      </w:pPr>
      <w:r w:rsidRPr="00501F1F">
        <w:rPr>
          <w:rFonts w:ascii="Times New Roman" w:hAnsi="Times New Roman"/>
        </w:rPr>
        <w:t xml:space="preserve">The role of freezing of the </w:t>
      </w:r>
      <w:proofErr w:type="spellStart"/>
      <w:r w:rsidRPr="00501F1F">
        <w:rPr>
          <w:rFonts w:ascii="Times New Roman" w:hAnsi="Times New Roman"/>
        </w:rPr>
        <w:t>Accused’s</w:t>
      </w:r>
      <w:proofErr w:type="spellEnd"/>
      <w:r w:rsidRPr="00501F1F">
        <w:rPr>
          <w:rFonts w:ascii="Times New Roman" w:hAnsi="Times New Roman"/>
        </w:rPr>
        <w:t xml:space="preserve"> assets was also discussed. It was noted that in the Case of </w:t>
      </w:r>
      <w:r w:rsidRPr="00382B6E">
        <w:rPr>
          <w:rFonts w:ascii="Times New Roman" w:hAnsi="Times New Roman"/>
          <w:i/>
        </w:rPr>
        <w:t>Bemba</w:t>
      </w:r>
      <w:r w:rsidRPr="00501F1F">
        <w:rPr>
          <w:rFonts w:ascii="Times New Roman" w:hAnsi="Times New Roman"/>
        </w:rPr>
        <w:t xml:space="preserve">, the ICC has been quite successful in freezing some of his assets which could eventually be used for reparations. However, it was also noted that most other Accused have been declared indigent. </w:t>
      </w:r>
    </w:p>
    <w:p w:rsidR="009820FA" w:rsidRPr="00501F1F" w:rsidRDefault="009820FA" w:rsidP="009820FA">
      <w:pPr>
        <w:rPr>
          <w:rFonts w:ascii="Times New Roman" w:hAnsi="Times New Roman"/>
        </w:rPr>
      </w:pPr>
    </w:p>
    <w:p w:rsidR="009820FA" w:rsidRPr="00501F1F" w:rsidRDefault="009820FA" w:rsidP="009820FA">
      <w:pPr>
        <w:outlineLvl w:val="0"/>
        <w:rPr>
          <w:rFonts w:ascii="Times New Roman" w:hAnsi="Times New Roman"/>
          <w:u w:val="single"/>
        </w:rPr>
      </w:pPr>
      <w:r w:rsidRPr="00501F1F">
        <w:rPr>
          <w:rFonts w:ascii="Times New Roman" w:hAnsi="Times New Roman"/>
          <w:u w:val="single"/>
        </w:rPr>
        <w:t xml:space="preserve">3.2.3 The Role of Victims </w:t>
      </w:r>
    </w:p>
    <w:p w:rsidR="009820FA" w:rsidRPr="00501F1F" w:rsidRDefault="009820FA" w:rsidP="009820FA">
      <w:pPr>
        <w:rPr>
          <w:rFonts w:ascii="Times New Roman" w:hAnsi="Times New Roman"/>
        </w:rPr>
      </w:pPr>
    </w:p>
    <w:p w:rsidR="009820FA" w:rsidRPr="00501F1F" w:rsidRDefault="009820FA" w:rsidP="009820FA">
      <w:pPr>
        <w:rPr>
          <w:rFonts w:ascii="Times New Roman" w:hAnsi="Times New Roman"/>
        </w:rPr>
      </w:pPr>
      <w:r w:rsidRPr="00501F1F">
        <w:rPr>
          <w:rFonts w:ascii="Times New Roman" w:hAnsi="Times New Roman"/>
        </w:rPr>
        <w:t>The group maintained that the provision of reparations and the participation of victims is central to the legitimacy of the Court. Therefore</w:t>
      </w:r>
      <w:r w:rsidR="00382B6E">
        <w:rPr>
          <w:rFonts w:ascii="Times New Roman" w:hAnsi="Times New Roman"/>
        </w:rPr>
        <w:t>,</w:t>
      </w:r>
      <w:r w:rsidRPr="00501F1F">
        <w:rPr>
          <w:rFonts w:ascii="Times New Roman" w:hAnsi="Times New Roman"/>
        </w:rPr>
        <w:t xml:space="preserve"> the importance of clarifying and ensuring that there is a concrete approach for future victims is central. It is not sufficient to decide on matters of participation on a case by case basis.</w:t>
      </w:r>
    </w:p>
    <w:p w:rsidR="009820FA" w:rsidRPr="00501F1F" w:rsidRDefault="009820FA" w:rsidP="009820FA">
      <w:pPr>
        <w:rPr>
          <w:rFonts w:ascii="Times New Roman" w:hAnsi="Times New Roman"/>
        </w:rPr>
      </w:pPr>
    </w:p>
    <w:p w:rsidR="009820FA" w:rsidRPr="00501F1F" w:rsidRDefault="009820FA" w:rsidP="009820FA">
      <w:pPr>
        <w:rPr>
          <w:rFonts w:ascii="Times New Roman" w:hAnsi="Times New Roman"/>
        </w:rPr>
      </w:pPr>
      <w:r w:rsidRPr="00501F1F">
        <w:rPr>
          <w:rFonts w:ascii="Times New Roman" w:hAnsi="Times New Roman"/>
        </w:rPr>
        <w:t xml:space="preserve">The importance to be attached to victim recognition was qualified by the consideration that some victims can be unreliable and that errors will be made in attempts at large-scale recognition. This will not be a positive development for reconciliation. Participation requires </w:t>
      </w:r>
      <w:r w:rsidRPr="00501F1F">
        <w:rPr>
          <w:rFonts w:ascii="Times New Roman" w:hAnsi="Times New Roman"/>
        </w:rPr>
        <w:lastRenderedPageBreak/>
        <w:t xml:space="preserve">greater involvement which will subsequently impose a greater administrative burden. It was also noted that there is no reporting mechanism for victims. </w:t>
      </w:r>
    </w:p>
    <w:p w:rsidR="009820FA" w:rsidRPr="00501F1F" w:rsidRDefault="009820FA" w:rsidP="009820FA">
      <w:pPr>
        <w:jc w:val="both"/>
        <w:rPr>
          <w:rFonts w:ascii="Times New Roman" w:hAnsi="Times New Roman"/>
        </w:rPr>
      </w:pPr>
    </w:p>
    <w:p w:rsidR="009820FA" w:rsidRPr="00501F1F" w:rsidRDefault="009820FA" w:rsidP="00350D0A">
      <w:pPr>
        <w:jc w:val="both"/>
        <w:rPr>
          <w:rFonts w:ascii="Times New Roman" w:hAnsi="Times New Roman"/>
        </w:rPr>
      </w:pPr>
      <w:r w:rsidRPr="00501F1F">
        <w:rPr>
          <w:rFonts w:ascii="Times New Roman" w:hAnsi="Times New Roman"/>
        </w:rPr>
        <w:t xml:space="preserve">With regards to lessons learned from the </w:t>
      </w:r>
      <w:proofErr w:type="spellStart"/>
      <w:r w:rsidRPr="00501F1F">
        <w:rPr>
          <w:rFonts w:ascii="Times New Roman" w:hAnsi="Times New Roman"/>
          <w:i/>
        </w:rPr>
        <w:t>Lubanga</w:t>
      </w:r>
      <w:proofErr w:type="spellEnd"/>
      <w:r w:rsidRPr="00501F1F">
        <w:rPr>
          <w:rFonts w:ascii="Times New Roman" w:hAnsi="Times New Roman"/>
          <w:i/>
        </w:rPr>
        <w:t xml:space="preserve"> </w:t>
      </w:r>
      <w:r w:rsidRPr="00501F1F">
        <w:rPr>
          <w:rFonts w:ascii="Times New Roman" w:hAnsi="Times New Roman"/>
        </w:rPr>
        <w:t xml:space="preserve">case, reflection was made upon the large amount of evidence that was not necessarily relevant to the most pertinent issues and that greater judicial intervention at the time would have led to proceedings being shorter. To avoid this occurring in future cases, the group suggested that there must be an emphasis on funding for advocacy training to ensure the ability to focus witnesses, particularly when there are language difficulties. It was noted that it is very difficult to formulate a series of questions using an interpreter </w:t>
      </w:r>
      <w:r w:rsidR="00382B6E">
        <w:rPr>
          <w:rFonts w:ascii="Times New Roman" w:hAnsi="Times New Roman"/>
        </w:rPr>
        <w:t>when Counsel must often ask questions prior to receiving an answer to the previous question</w:t>
      </w:r>
      <w:r w:rsidRPr="00501F1F">
        <w:rPr>
          <w:rFonts w:ascii="Times New Roman" w:hAnsi="Times New Roman"/>
        </w:rPr>
        <w:t>. In addition to this, the OTP should ensure that the witnesse</w:t>
      </w:r>
      <w:r w:rsidR="00382B6E">
        <w:rPr>
          <w:rFonts w:ascii="Times New Roman" w:hAnsi="Times New Roman"/>
        </w:rPr>
        <w:t xml:space="preserve">s are </w:t>
      </w:r>
      <w:r w:rsidR="00350D0A">
        <w:rPr>
          <w:rFonts w:ascii="Times New Roman" w:hAnsi="Times New Roman"/>
        </w:rPr>
        <w:t xml:space="preserve">questions </w:t>
      </w:r>
      <w:r w:rsidR="00382B6E">
        <w:rPr>
          <w:rFonts w:ascii="Times New Roman" w:hAnsi="Times New Roman"/>
        </w:rPr>
        <w:t xml:space="preserve">by experienced </w:t>
      </w:r>
      <w:r w:rsidR="00350D0A">
        <w:rPr>
          <w:rFonts w:ascii="Times New Roman" w:hAnsi="Times New Roman"/>
        </w:rPr>
        <w:t>s</w:t>
      </w:r>
      <w:r w:rsidR="00350D0A" w:rsidRPr="00501F1F">
        <w:rPr>
          <w:rFonts w:ascii="Times New Roman" w:hAnsi="Times New Roman"/>
        </w:rPr>
        <w:t>enior</w:t>
      </w:r>
      <w:r w:rsidR="00350D0A">
        <w:rPr>
          <w:rFonts w:ascii="Times New Roman" w:hAnsi="Times New Roman"/>
        </w:rPr>
        <w:t xml:space="preserve"> prosecutors</w:t>
      </w:r>
      <w:r w:rsidRPr="00501F1F">
        <w:rPr>
          <w:rFonts w:ascii="Times New Roman" w:hAnsi="Times New Roman"/>
        </w:rPr>
        <w:t xml:space="preserve">. </w:t>
      </w:r>
    </w:p>
    <w:sectPr w:rsidR="009820FA" w:rsidRPr="00501F1F" w:rsidSect="00B80138">
      <w:footerReference w:type="default" r:id="rId18"/>
      <w:pgSz w:w="11900" w:h="16840"/>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F1" w:rsidRDefault="00BD57F1" w:rsidP="007822A7">
      <w:r>
        <w:separator/>
      </w:r>
    </w:p>
  </w:endnote>
  <w:endnote w:type="continuationSeparator" w:id="0">
    <w:p w:rsidR="00BD57F1" w:rsidRDefault="00BD57F1" w:rsidP="0078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1F" w:rsidRDefault="00900EC2" w:rsidP="00AD678D">
    <w:pPr>
      <w:pStyle w:val="Footer"/>
      <w:framePr w:wrap="around" w:vAnchor="text" w:hAnchor="margin" w:xAlign="right" w:y="1"/>
      <w:rPr>
        <w:rStyle w:val="PageNumber"/>
      </w:rPr>
    </w:pPr>
    <w:r>
      <w:rPr>
        <w:rStyle w:val="PageNumber"/>
      </w:rPr>
      <w:fldChar w:fldCharType="begin"/>
    </w:r>
    <w:r w:rsidR="00501F1F">
      <w:rPr>
        <w:rStyle w:val="PageNumber"/>
      </w:rPr>
      <w:instrText xml:space="preserve">PAGE  </w:instrText>
    </w:r>
    <w:r>
      <w:rPr>
        <w:rStyle w:val="PageNumber"/>
      </w:rPr>
      <w:fldChar w:fldCharType="separate"/>
    </w:r>
    <w:r w:rsidR="00A9586B">
      <w:rPr>
        <w:rStyle w:val="PageNumber"/>
        <w:noProof/>
      </w:rPr>
      <w:t>1</w:t>
    </w:r>
    <w:r>
      <w:rPr>
        <w:rStyle w:val="PageNumber"/>
      </w:rPr>
      <w:fldChar w:fldCharType="end"/>
    </w:r>
  </w:p>
  <w:p w:rsidR="008E7D4C" w:rsidRDefault="008E7D4C" w:rsidP="007822A7">
    <w:pPr>
      <w:pStyle w:val="Footer"/>
      <w:ind w:right="360"/>
    </w:pPr>
  </w:p>
  <w:p w:rsidR="008E7D4C" w:rsidRDefault="00900EC2" w:rsidP="008E7D4C">
    <w:pPr>
      <w:pStyle w:val="Footer"/>
      <w:ind w:right="360"/>
      <w:jc w:val="center"/>
      <w:rPr>
        <w:rFonts w:ascii="Arial" w:hAnsi="Arial" w:cs="Arial"/>
        <w:b/>
        <w:sz w:val="20"/>
      </w:rPr>
    </w:pPr>
    <w:fldSimple w:instr=" DOCPROPERTY CLASSIFICATION \* MERGEFORMAT ">
      <w:r w:rsidR="00A9586B" w:rsidRPr="00A9586B">
        <w:rPr>
          <w:rFonts w:ascii="Arial" w:hAnsi="Arial" w:cs="Arial"/>
          <w:b/>
          <w:sz w:val="20"/>
        </w:rPr>
        <w:t>UNCLASSIFIED</w:t>
      </w:r>
    </w:fldSimple>
    <w:r w:rsidR="008E7D4C" w:rsidRPr="008E7D4C">
      <w:rPr>
        <w:rFonts w:ascii="Arial" w:hAnsi="Arial" w:cs="Arial"/>
        <w:b/>
        <w:sz w:val="20"/>
      </w:rPr>
      <w:t xml:space="preserve"> </w:t>
    </w:r>
  </w:p>
  <w:p w:rsidR="00501F1F" w:rsidRPr="008E7D4C" w:rsidRDefault="00900EC2" w:rsidP="008E7D4C">
    <w:pPr>
      <w:pStyle w:val="Footer"/>
      <w:spacing w:before="120"/>
      <w:ind w:right="360"/>
      <w:jc w:val="right"/>
      <w:rPr>
        <w:rFonts w:ascii="Arial" w:hAnsi="Arial" w:cs="Arial"/>
        <w:sz w:val="12"/>
      </w:rPr>
    </w:pPr>
    <w:fldSimple w:instr=" FILENAME \p \* MERGEFORMAT ">
      <w:r w:rsidR="00A9586B" w:rsidRPr="00A9586B">
        <w:rPr>
          <w:rFonts w:ascii="Arial" w:hAnsi="Arial" w:cs="Arial"/>
          <w:noProof/>
          <w:sz w:val="12"/>
        </w:rPr>
        <w:t>C:\Users\scharania\AppData\Local\Microsoft\Windows\Temporary Internet Files\Outlook Temp\FCO Seminar on ICC Procedures_Executive Summary_SC</w:t>
      </w:r>
      <w:r w:rsidR="00A9586B">
        <w:rPr>
          <w:noProof/>
        </w:rPr>
        <w:t xml:space="preserve"> docx.docx</w:t>
      </w:r>
    </w:fldSimple>
    <w:r w:rsidRPr="008E7D4C">
      <w:rPr>
        <w:rFonts w:ascii="Arial" w:hAnsi="Arial" w:cs="Arial"/>
        <w:sz w:val="12"/>
      </w:rPr>
      <w:fldChar w:fldCharType="begin"/>
    </w:r>
    <w:r w:rsidR="008E7D4C" w:rsidRPr="008E7D4C">
      <w:rPr>
        <w:rFonts w:ascii="Arial" w:hAnsi="Arial" w:cs="Arial"/>
        <w:sz w:val="12"/>
      </w:rPr>
      <w:instrText xml:space="preserve"> DOCPROPERTY PRIVACY  \* MERGEFORMAT </w:instrText>
    </w:r>
    <w:r w:rsidRPr="008E7D4C">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1F" w:rsidRDefault="00501F1F">
    <w:pPr>
      <w:pStyle w:val="Footer"/>
      <w:jc w:val="right"/>
    </w:pPr>
  </w:p>
  <w:p w:rsidR="008E7D4C" w:rsidRDefault="008E7D4C" w:rsidP="007822A7">
    <w:pPr>
      <w:pStyle w:val="Footer"/>
      <w:ind w:right="360"/>
    </w:pPr>
  </w:p>
  <w:p w:rsidR="00501F1F" w:rsidRPr="008E7D4C" w:rsidRDefault="00501F1F" w:rsidP="008E7D4C">
    <w:pPr>
      <w:pStyle w:val="Footer"/>
      <w:spacing w:before="120"/>
      <w:ind w:right="36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4C" w:rsidRDefault="008E7D4C">
    <w:pPr>
      <w:pStyle w:val="Footer"/>
    </w:pPr>
  </w:p>
  <w:p w:rsidR="008E7D4C" w:rsidRDefault="00900EC2" w:rsidP="008E7D4C">
    <w:pPr>
      <w:pStyle w:val="Footer"/>
      <w:jc w:val="center"/>
      <w:rPr>
        <w:rFonts w:ascii="Arial" w:hAnsi="Arial" w:cs="Arial"/>
        <w:b/>
        <w:sz w:val="20"/>
      </w:rPr>
    </w:pPr>
    <w:fldSimple w:instr=" DOCPROPERTY CLASSIFICATION \* MERGEFORMAT ">
      <w:r w:rsidR="00A9586B" w:rsidRPr="00A9586B">
        <w:rPr>
          <w:rFonts w:ascii="Arial" w:hAnsi="Arial" w:cs="Arial"/>
          <w:b/>
          <w:sz w:val="20"/>
        </w:rPr>
        <w:t>UNCLASSIFIED</w:t>
      </w:r>
    </w:fldSimple>
    <w:r w:rsidR="008E7D4C" w:rsidRPr="008E7D4C">
      <w:rPr>
        <w:rFonts w:ascii="Arial" w:hAnsi="Arial" w:cs="Arial"/>
        <w:b/>
        <w:sz w:val="20"/>
      </w:rPr>
      <w:t xml:space="preserve"> </w:t>
    </w:r>
  </w:p>
  <w:p w:rsidR="008E7D4C" w:rsidRPr="008E7D4C" w:rsidRDefault="00900EC2" w:rsidP="008E7D4C">
    <w:pPr>
      <w:pStyle w:val="Footer"/>
      <w:spacing w:before="120"/>
      <w:jc w:val="right"/>
      <w:rPr>
        <w:rFonts w:ascii="Arial" w:hAnsi="Arial" w:cs="Arial"/>
        <w:sz w:val="12"/>
      </w:rPr>
    </w:pPr>
    <w:fldSimple w:instr=" FILENAME \p \* MERGEFORMAT ">
      <w:r w:rsidR="00A9586B" w:rsidRPr="00A9586B">
        <w:rPr>
          <w:rFonts w:ascii="Arial" w:hAnsi="Arial" w:cs="Arial"/>
          <w:noProof/>
          <w:sz w:val="12"/>
        </w:rPr>
        <w:t>C:\Users\scharania\AppData\Local\Microsoft\Windows\Temporary Internet Files\Outlook Temp\FCO Seminar on ICC Procedures_Executive Summary_SC</w:t>
      </w:r>
      <w:r w:rsidR="00A9586B">
        <w:rPr>
          <w:noProof/>
        </w:rPr>
        <w:t xml:space="preserve"> docx.docx</w:t>
      </w:r>
    </w:fldSimple>
    <w:r w:rsidRPr="008E7D4C">
      <w:rPr>
        <w:rFonts w:ascii="Arial" w:hAnsi="Arial" w:cs="Arial"/>
        <w:sz w:val="12"/>
      </w:rPr>
      <w:fldChar w:fldCharType="begin"/>
    </w:r>
    <w:r w:rsidR="008E7D4C" w:rsidRPr="008E7D4C">
      <w:rPr>
        <w:rFonts w:ascii="Arial" w:hAnsi="Arial" w:cs="Arial"/>
        <w:sz w:val="12"/>
      </w:rPr>
      <w:instrText xml:space="preserve"> DOCPROPERTY PRIVACY  \* MERGEFORMAT </w:instrText>
    </w:r>
    <w:r w:rsidRPr="008E7D4C">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67313"/>
      <w:docPartObj>
        <w:docPartGallery w:val="Page Numbers (Bottom of Page)"/>
        <w:docPartUnique/>
      </w:docPartObj>
    </w:sdtPr>
    <w:sdtEndPr>
      <w:rPr>
        <w:noProof/>
      </w:rPr>
    </w:sdtEndPr>
    <w:sdtContent>
      <w:p w:rsidR="008E7D4C" w:rsidRDefault="00900EC2">
        <w:pPr>
          <w:pStyle w:val="Footer"/>
          <w:jc w:val="right"/>
          <w:rPr>
            <w:noProof/>
          </w:rPr>
        </w:pPr>
        <w:r>
          <w:fldChar w:fldCharType="begin"/>
        </w:r>
        <w:r w:rsidR="00501F1F">
          <w:instrText xml:space="preserve"> PAGE   \* MERGEFORMAT </w:instrText>
        </w:r>
        <w:r>
          <w:fldChar w:fldCharType="separate"/>
        </w:r>
        <w:r w:rsidR="00305910">
          <w:rPr>
            <w:noProof/>
          </w:rPr>
          <w:t>1</w:t>
        </w:r>
        <w:r>
          <w:rPr>
            <w:noProof/>
          </w:rPr>
          <w:fldChar w:fldCharType="end"/>
        </w:r>
      </w:p>
    </w:sdtContent>
  </w:sdt>
  <w:p w:rsidR="00501F1F" w:rsidRDefault="00501F1F" w:rsidP="007822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F1" w:rsidRDefault="00BD57F1" w:rsidP="007822A7">
      <w:r>
        <w:separator/>
      </w:r>
    </w:p>
  </w:footnote>
  <w:footnote w:type="continuationSeparator" w:id="0">
    <w:p w:rsidR="00BD57F1" w:rsidRDefault="00BD57F1" w:rsidP="0078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4C" w:rsidRPr="008E7D4C" w:rsidRDefault="00900EC2" w:rsidP="008E7D4C">
    <w:pPr>
      <w:pStyle w:val="Header"/>
      <w:jc w:val="center"/>
      <w:rPr>
        <w:rFonts w:ascii="Arial" w:hAnsi="Arial" w:cs="Arial"/>
        <w:b/>
        <w:sz w:val="20"/>
      </w:rPr>
    </w:pPr>
    <w:fldSimple w:instr=" DOCPROPERTY CLASSIFICATION \* MERGEFORMAT ">
      <w:r w:rsidR="00A9586B" w:rsidRPr="00A9586B">
        <w:rPr>
          <w:rFonts w:ascii="Arial" w:hAnsi="Arial" w:cs="Arial"/>
          <w:b/>
          <w:sz w:val="20"/>
        </w:rPr>
        <w:t>UNCLASSIFIED</w:t>
      </w:r>
    </w:fldSimple>
    <w:r w:rsidR="008E7D4C" w:rsidRPr="008E7D4C">
      <w:rPr>
        <w:rFonts w:ascii="Arial" w:hAnsi="Arial" w:cs="Arial"/>
        <w:b/>
        <w:sz w:val="20"/>
      </w:rPr>
      <w:t xml:space="preserve"> </w:t>
    </w:r>
    <w:r w:rsidRPr="008E7D4C">
      <w:rPr>
        <w:rFonts w:ascii="Arial" w:hAnsi="Arial" w:cs="Arial"/>
        <w:b/>
        <w:sz w:val="20"/>
      </w:rPr>
      <w:fldChar w:fldCharType="begin"/>
    </w:r>
    <w:r w:rsidR="008E7D4C" w:rsidRPr="008E7D4C">
      <w:rPr>
        <w:rFonts w:ascii="Arial" w:hAnsi="Arial" w:cs="Arial"/>
        <w:b/>
        <w:sz w:val="20"/>
      </w:rPr>
      <w:instrText xml:space="preserve"> DOCPROPERTY PRIVACY  \* MERGEFORMAT </w:instrText>
    </w:r>
    <w:r w:rsidRPr="008E7D4C">
      <w:rPr>
        <w:rFonts w:ascii="Arial" w:hAnsi="Arial" w:cs="Arial"/>
        <w:b/>
        <w:sz w:val="20"/>
      </w:rPr>
      <w:fldChar w:fldCharType="end"/>
    </w:r>
  </w:p>
  <w:p w:rsidR="008E7D4C" w:rsidRDefault="008E7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4C" w:rsidRPr="008E7D4C" w:rsidRDefault="00900EC2" w:rsidP="00AF5C99">
    <w:pPr>
      <w:pStyle w:val="Header"/>
      <w:jc w:val="center"/>
      <w:rPr>
        <w:rFonts w:ascii="Arial" w:hAnsi="Arial" w:cs="Arial"/>
        <w:b/>
        <w:sz w:val="20"/>
      </w:rPr>
    </w:pPr>
    <w:fldSimple w:instr=" DOCPROPERTY CLASSIFICATION \* MERGEFORMAT ">
      <w:r w:rsidR="00A9586B">
        <w:t>UNCLASSIFIED</w:t>
      </w:r>
    </w:fldSimple>
    <w:r w:rsidR="008E7D4C" w:rsidRPr="008E7D4C">
      <w:rPr>
        <w:rFonts w:ascii="Arial" w:hAnsi="Arial" w:cs="Arial"/>
        <w:b/>
        <w:sz w:val="20"/>
      </w:rPr>
      <w:t xml:space="preserve"> </w:t>
    </w:r>
    <w:r w:rsidRPr="008E7D4C">
      <w:rPr>
        <w:rFonts w:ascii="Arial" w:hAnsi="Arial" w:cs="Arial"/>
        <w:b/>
        <w:sz w:val="20"/>
      </w:rPr>
      <w:fldChar w:fldCharType="begin"/>
    </w:r>
    <w:r w:rsidR="008E7D4C" w:rsidRPr="008E7D4C">
      <w:rPr>
        <w:rFonts w:ascii="Arial" w:hAnsi="Arial" w:cs="Arial"/>
        <w:b/>
        <w:sz w:val="20"/>
      </w:rPr>
      <w:instrText xml:space="preserve"> DOCPROPERTY PRIVACY  \* MERGEFORMAT </w:instrText>
    </w:r>
    <w:r w:rsidRPr="008E7D4C">
      <w:rPr>
        <w:rFonts w:ascii="Arial" w:hAnsi="Arial" w:cs="Arial"/>
        <w:b/>
        <w:sz w:val="20"/>
      </w:rPr>
      <w:fldChar w:fldCharType="end"/>
    </w:r>
  </w:p>
  <w:p w:rsidR="008E7D4C" w:rsidRDefault="008E7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4C" w:rsidRPr="008E7D4C" w:rsidRDefault="00900EC2" w:rsidP="008E7D4C">
    <w:pPr>
      <w:pStyle w:val="Header"/>
      <w:jc w:val="center"/>
      <w:rPr>
        <w:rFonts w:ascii="Arial" w:hAnsi="Arial" w:cs="Arial"/>
        <w:b/>
        <w:sz w:val="20"/>
      </w:rPr>
    </w:pPr>
    <w:fldSimple w:instr=" DOCPROPERTY CLASSIFICATION \* MERGEFORMAT ">
      <w:r w:rsidR="00A9586B" w:rsidRPr="00A9586B">
        <w:rPr>
          <w:rFonts w:ascii="Arial" w:hAnsi="Arial" w:cs="Arial"/>
          <w:b/>
          <w:sz w:val="20"/>
        </w:rPr>
        <w:t>UNCLASSIFIED</w:t>
      </w:r>
    </w:fldSimple>
    <w:r w:rsidR="008E7D4C" w:rsidRPr="008E7D4C">
      <w:rPr>
        <w:rFonts w:ascii="Arial" w:hAnsi="Arial" w:cs="Arial"/>
        <w:b/>
        <w:sz w:val="20"/>
      </w:rPr>
      <w:t xml:space="preserve"> </w:t>
    </w:r>
    <w:r w:rsidRPr="008E7D4C">
      <w:rPr>
        <w:rFonts w:ascii="Arial" w:hAnsi="Arial" w:cs="Arial"/>
        <w:b/>
        <w:sz w:val="20"/>
      </w:rPr>
      <w:fldChar w:fldCharType="begin"/>
    </w:r>
    <w:r w:rsidR="008E7D4C" w:rsidRPr="008E7D4C">
      <w:rPr>
        <w:rFonts w:ascii="Arial" w:hAnsi="Arial" w:cs="Arial"/>
        <w:b/>
        <w:sz w:val="20"/>
      </w:rPr>
      <w:instrText xml:space="preserve"> DOCPROPERTY PRIVACY  \* MERGEFORMAT </w:instrText>
    </w:r>
    <w:r w:rsidRPr="008E7D4C">
      <w:rPr>
        <w:rFonts w:ascii="Arial" w:hAnsi="Arial" w:cs="Arial"/>
        <w:b/>
        <w:sz w:val="20"/>
      </w:rPr>
      <w:fldChar w:fldCharType="end"/>
    </w:r>
  </w:p>
  <w:p w:rsidR="008E7D4C" w:rsidRDefault="008E7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5F"/>
    <w:multiLevelType w:val="hybridMultilevel"/>
    <w:tmpl w:val="4502E9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9D7985"/>
    <w:multiLevelType w:val="hybridMultilevel"/>
    <w:tmpl w:val="B89A98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3C584B"/>
    <w:multiLevelType w:val="multilevel"/>
    <w:tmpl w:val="3B7C7F2A"/>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81353D7"/>
    <w:multiLevelType w:val="multilevel"/>
    <w:tmpl w:val="61603D7E"/>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3B33C86"/>
    <w:multiLevelType w:val="hybridMultilevel"/>
    <w:tmpl w:val="B58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64550"/>
    <w:multiLevelType w:val="hybridMultilevel"/>
    <w:tmpl w:val="CD70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70D9A"/>
    <w:multiLevelType w:val="hybridMultilevel"/>
    <w:tmpl w:val="04C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91C1E"/>
    <w:multiLevelType w:val="hybridMultilevel"/>
    <w:tmpl w:val="B89A98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9D2A4E"/>
    <w:multiLevelType w:val="hybridMultilevel"/>
    <w:tmpl w:val="5B62490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4FC330F1"/>
    <w:multiLevelType w:val="hybridMultilevel"/>
    <w:tmpl w:val="092C46BE"/>
    <w:lvl w:ilvl="0" w:tplc="B73880A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99137C7"/>
    <w:multiLevelType w:val="hybridMultilevel"/>
    <w:tmpl w:val="1CD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33373"/>
    <w:multiLevelType w:val="hybridMultilevel"/>
    <w:tmpl w:val="7A74197C"/>
    <w:lvl w:ilvl="0" w:tplc="D9B6CE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B000347"/>
    <w:multiLevelType w:val="hybridMultilevel"/>
    <w:tmpl w:val="E3B8B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6"/>
  </w:num>
  <w:num w:numId="6">
    <w:abstractNumId w:val="7"/>
  </w:num>
  <w:num w:numId="7">
    <w:abstractNumId w:val="3"/>
  </w:num>
  <w:num w:numId="8">
    <w:abstractNumId w:val="0"/>
  </w:num>
  <w:num w:numId="9">
    <w:abstractNumId w:val="5"/>
  </w:num>
  <w:num w:numId="10">
    <w:abstractNumId w:val="11"/>
  </w:num>
  <w:num w:numId="11">
    <w:abstractNumId w:val="4"/>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useFELayout/>
  </w:compat>
  <w:docVars>
    <w:docVar w:name="PDAbbrAddr" w:val=" "/>
    <w:docVar w:name="PDAbbrDept" w:val=" "/>
    <w:docVar w:name="PDAddr1" w:val="King Charles Street"/>
    <w:docVar w:name="PDAddr2" w:val=" "/>
    <w:docVar w:name="PDAddr3" w:val=" "/>
    <w:docVar w:name="PDAddr4" w:val=" "/>
    <w:docVar w:name="PDDepartment" w:val=" "/>
    <w:docVar w:name="PDEmail" w:val=" "/>
    <w:docVar w:name="PDFaxNo" w:val=" "/>
    <w:docVar w:name="PDFormalName" w:val=" "/>
    <w:docVar w:name="PDFullName" w:val="Shehzad Charania"/>
    <w:docVar w:name="PDMaintainMarking" w:val="-1"/>
    <w:docVar w:name="PDMaintainPath" w:val="-1"/>
    <w:docVar w:name="PDPhoneNo" w:val=" "/>
    <w:docVar w:name="PDSection" w:val="FCO Legal Advisers"/>
  </w:docVars>
  <w:rsids>
    <w:rsidRoot w:val="001B6BA3"/>
    <w:rsid w:val="000007E8"/>
    <w:rsid w:val="0000689C"/>
    <w:rsid w:val="0001605B"/>
    <w:rsid w:val="00023F9A"/>
    <w:rsid w:val="000243EA"/>
    <w:rsid w:val="00027A91"/>
    <w:rsid w:val="00032380"/>
    <w:rsid w:val="000426D5"/>
    <w:rsid w:val="00045F13"/>
    <w:rsid w:val="00054D06"/>
    <w:rsid w:val="000566A7"/>
    <w:rsid w:val="0008305D"/>
    <w:rsid w:val="0008700A"/>
    <w:rsid w:val="00093C45"/>
    <w:rsid w:val="000A0B55"/>
    <w:rsid w:val="000A7562"/>
    <w:rsid w:val="000C7A37"/>
    <w:rsid w:val="000D3485"/>
    <w:rsid w:val="000D4936"/>
    <w:rsid w:val="000E30C8"/>
    <w:rsid w:val="000E3799"/>
    <w:rsid w:val="000E75C4"/>
    <w:rsid w:val="000E7B71"/>
    <w:rsid w:val="000F183D"/>
    <w:rsid w:val="00117F83"/>
    <w:rsid w:val="00120F52"/>
    <w:rsid w:val="00131F32"/>
    <w:rsid w:val="00136983"/>
    <w:rsid w:val="001418A8"/>
    <w:rsid w:val="00150FAD"/>
    <w:rsid w:val="0015284B"/>
    <w:rsid w:val="00154DA8"/>
    <w:rsid w:val="00157383"/>
    <w:rsid w:val="0017441A"/>
    <w:rsid w:val="0019337E"/>
    <w:rsid w:val="001A096A"/>
    <w:rsid w:val="001B6BA3"/>
    <w:rsid w:val="001C2CDE"/>
    <w:rsid w:val="001E14BB"/>
    <w:rsid w:val="001E2335"/>
    <w:rsid w:val="001F3649"/>
    <w:rsid w:val="00231068"/>
    <w:rsid w:val="00233A26"/>
    <w:rsid w:val="002366A4"/>
    <w:rsid w:val="00253CA7"/>
    <w:rsid w:val="002568FB"/>
    <w:rsid w:val="00265449"/>
    <w:rsid w:val="002906A8"/>
    <w:rsid w:val="002A590D"/>
    <w:rsid w:val="002B4617"/>
    <w:rsid w:val="002C5ABE"/>
    <w:rsid w:val="002D774B"/>
    <w:rsid w:val="002F0151"/>
    <w:rsid w:val="002F1B7A"/>
    <w:rsid w:val="002F353A"/>
    <w:rsid w:val="002F51C0"/>
    <w:rsid w:val="00305910"/>
    <w:rsid w:val="00327EAF"/>
    <w:rsid w:val="0033167E"/>
    <w:rsid w:val="00342AFB"/>
    <w:rsid w:val="003442F3"/>
    <w:rsid w:val="00347CD9"/>
    <w:rsid w:val="00350D0A"/>
    <w:rsid w:val="00357099"/>
    <w:rsid w:val="00371A37"/>
    <w:rsid w:val="00377488"/>
    <w:rsid w:val="00382B6E"/>
    <w:rsid w:val="003875D3"/>
    <w:rsid w:val="00391BD2"/>
    <w:rsid w:val="003B3931"/>
    <w:rsid w:val="003C13F7"/>
    <w:rsid w:val="003D4C94"/>
    <w:rsid w:val="00406A3C"/>
    <w:rsid w:val="0041365F"/>
    <w:rsid w:val="004141CF"/>
    <w:rsid w:val="00421BE6"/>
    <w:rsid w:val="004252A7"/>
    <w:rsid w:val="004254EA"/>
    <w:rsid w:val="0042762F"/>
    <w:rsid w:val="00427F3A"/>
    <w:rsid w:val="00430C24"/>
    <w:rsid w:val="004313B2"/>
    <w:rsid w:val="00433BA1"/>
    <w:rsid w:val="004409DF"/>
    <w:rsid w:val="004468B3"/>
    <w:rsid w:val="004527CA"/>
    <w:rsid w:val="00453299"/>
    <w:rsid w:val="00462090"/>
    <w:rsid w:val="0046317A"/>
    <w:rsid w:val="00463E93"/>
    <w:rsid w:val="00467D1B"/>
    <w:rsid w:val="004724FC"/>
    <w:rsid w:val="00490EBC"/>
    <w:rsid w:val="004B0935"/>
    <w:rsid w:val="004C4B91"/>
    <w:rsid w:val="004E3865"/>
    <w:rsid w:val="004E481A"/>
    <w:rsid w:val="004F4863"/>
    <w:rsid w:val="00501F1F"/>
    <w:rsid w:val="00504DAB"/>
    <w:rsid w:val="00512820"/>
    <w:rsid w:val="00534222"/>
    <w:rsid w:val="005432A5"/>
    <w:rsid w:val="00547333"/>
    <w:rsid w:val="00561580"/>
    <w:rsid w:val="0056613B"/>
    <w:rsid w:val="00573703"/>
    <w:rsid w:val="0057380D"/>
    <w:rsid w:val="005757BA"/>
    <w:rsid w:val="005A013F"/>
    <w:rsid w:val="005A0415"/>
    <w:rsid w:val="005A71DA"/>
    <w:rsid w:val="005B29C3"/>
    <w:rsid w:val="005B3A8F"/>
    <w:rsid w:val="005C6289"/>
    <w:rsid w:val="005D048A"/>
    <w:rsid w:val="005F6E2D"/>
    <w:rsid w:val="00604777"/>
    <w:rsid w:val="00605A74"/>
    <w:rsid w:val="00620D08"/>
    <w:rsid w:val="0062542B"/>
    <w:rsid w:val="00630D88"/>
    <w:rsid w:val="0063792D"/>
    <w:rsid w:val="00647949"/>
    <w:rsid w:val="006523EE"/>
    <w:rsid w:val="00655E57"/>
    <w:rsid w:val="00657D4B"/>
    <w:rsid w:val="0066006F"/>
    <w:rsid w:val="0066110F"/>
    <w:rsid w:val="006759B8"/>
    <w:rsid w:val="00675DD7"/>
    <w:rsid w:val="006B5DC6"/>
    <w:rsid w:val="006C1E59"/>
    <w:rsid w:val="006C2AA1"/>
    <w:rsid w:val="006D2189"/>
    <w:rsid w:val="006E1689"/>
    <w:rsid w:val="00704140"/>
    <w:rsid w:val="00716D98"/>
    <w:rsid w:val="00720D91"/>
    <w:rsid w:val="00730CFA"/>
    <w:rsid w:val="00735637"/>
    <w:rsid w:val="00752803"/>
    <w:rsid w:val="0076258C"/>
    <w:rsid w:val="007822A7"/>
    <w:rsid w:val="007A49AE"/>
    <w:rsid w:val="007B05F8"/>
    <w:rsid w:val="007B2B9D"/>
    <w:rsid w:val="007B2E27"/>
    <w:rsid w:val="007B6F16"/>
    <w:rsid w:val="008016C7"/>
    <w:rsid w:val="00815A6D"/>
    <w:rsid w:val="0082573F"/>
    <w:rsid w:val="00833013"/>
    <w:rsid w:val="008334DC"/>
    <w:rsid w:val="0083377F"/>
    <w:rsid w:val="00846A06"/>
    <w:rsid w:val="00853BA2"/>
    <w:rsid w:val="0087126D"/>
    <w:rsid w:val="0087258A"/>
    <w:rsid w:val="0087500D"/>
    <w:rsid w:val="0088478A"/>
    <w:rsid w:val="00897355"/>
    <w:rsid w:val="008A6398"/>
    <w:rsid w:val="008B45E0"/>
    <w:rsid w:val="008C1259"/>
    <w:rsid w:val="008C4A69"/>
    <w:rsid w:val="008C7EF6"/>
    <w:rsid w:val="008D0089"/>
    <w:rsid w:val="008E7D4C"/>
    <w:rsid w:val="008F4C10"/>
    <w:rsid w:val="00900EC2"/>
    <w:rsid w:val="00914C48"/>
    <w:rsid w:val="00916474"/>
    <w:rsid w:val="009329AA"/>
    <w:rsid w:val="00933092"/>
    <w:rsid w:val="00950ACA"/>
    <w:rsid w:val="009537EF"/>
    <w:rsid w:val="00956C20"/>
    <w:rsid w:val="00957FA3"/>
    <w:rsid w:val="00962061"/>
    <w:rsid w:val="009820FA"/>
    <w:rsid w:val="00987A7C"/>
    <w:rsid w:val="009D6EA5"/>
    <w:rsid w:val="009E6CEC"/>
    <w:rsid w:val="009F4CF7"/>
    <w:rsid w:val="009F78ED"/>
    <w:rsid w:val="00A07BB9"/>
    <w:rsid w:val="00A12C88"/>
    <w:rsid w:val="00A268E2"/>
    <w:rsid w:val="00A32736"/>
    <w:rsid w:val="00A43881"/>
    <w:rsid w:val="00A472DD"/>
    <w:rsid w:val="00A53018"/>
    <w:rsid w:val="00A6248A"/>
    <w:rsid w:val="00A75EA7"/>
    <w:rsid w:val="00A82A71"/>
    <w:rsid w:val="00A84779"/>
    <w:rsid w:val="00A84EEE"/>
    <w:rsid w:val="00A9012E"/>
    <w:rsid w:val="00A92571"/>
    <w:rsid w:val="00A928F0"/>
    <w:rsid w:val="00A9586B"/>
    <w:rsid w:val="00AB1E64"/>
    <w:rsid w:val="00AD486C"/>
    <w:rsid w:val="00AD678D"/>
    <w:rsid w:val="00AE2BE8"/>
    <w:rsid w:val="00AF2ABC"/>
    <w:rsid w:val="00AF5C99"/>
    <w:rsid w:val="00B03CB8"/>
    <w:rsid w:val="00B211A3"/>
    <w:rsid w:val="00B21222"/>
    <w:rsid w:val="00B34607"/>
    <w:rsid w:val="00B359BC"/>
    <w:rsid w:val="00B55B48"/>
    <w:rsid w:val="00B6028B"/>
    <w:rsid w:val="00B62B46"/>
    <w:rsid w:val="00B62DF0"/>
    <w:rsid w:val="00B63825"/>
    <w:rsid w:val="00B63A11"/>
    <w:rsid w:val="00B80138"/>
    <w:rsid w:val="00B87D1A"/>
    <w:rsid w:val="00BA5921"/>
    <w:rsid w:val="00BB24AE"/>
    <w:rsid w:val="00BC083A"/>
    <w:rsid w:val="00BD04BB"/>
    <w:rsid w:val="00BD1636"/>
    <w:rsid w:val="00BD57F1"/>
    <w:rsid w:val="00BE33A8"/>
    <w:rsid w:val="00BE570B"/>
    <w:rsid w:val="00BF1C7D"/>
    <w:rsid w:val="00C13986"/>
    <w:rsid w:val="00C474A9"/>
    <w:rsid w:val="00C476D1"/>
    <w:rsid w:val="00C513C7"/>
    <w:rsid w:val="00C653CA"/>
    <w:rsid w:val="00C70310"/>
    <w:rsid w:val="00C71AF7"/>
    <w:rsid w:val="00C76BC7"/>
    <w:rsid w:val="00C80362"/>
    <w:rsid w:val="00C83664"/>
    <w:rsid w:val="00C87C06"/>
    <w:rsid w:val="00C909AF"/>
    <w:rsid w:val="00C924AB"/>
    <w:rsid w:val="00C92B25"/>
    <w:rsid w:val="00CB060B"/>
    <w:rsid w:val="00CB2623"/>
    <w:rsid w:val="00CB395C"/>
    <w:rsid w:val="00CC0234"/>
    <w:rsid w:val="00CC2B4D"/>
    <w:rsid w:val="00CE3254"/>
    <w:rsid w:val="00CF3775"/>
    <w:rsid w:val="00D00C3E"/>
    <w:rsid w:val="00D01D5A"/>
    <w:rsid w:val="00D05436"/>
    <w:rsid w:val="00D11FE4"/>
    <w:rsid w:val="00D45E48"/>
    <w:rsid w:val="00D57D4F"/>
    <w:rsid w:val="00D63186"/>
    <w:rsid w:val="00D64E40"/>
    <w:rsid w:val="00D91B5B"/>
    <w:rsid w:val="00DA1639"/>
    <w:rsid w:val="00DA677A"/>
    <w:rsid w:val="00DC0149"/>
    <w:rsid w:val="00DF5A31"/>
    <w:rsid w:val="00DF73D0"/>
    <w:rsid w:val="00E24E33"/>
    <w:rsid w:val="00E274E1"/>
    <w:rsid w:val="00E53B09"/>
    <w:rsid w:val="00E668D8"/>
    <w:rsid w:val="00E755CD"/>
    <w:rsid w:val="00E96421"/>
    <w:rsid w:val="00EA3C21"/>
    <w:rsid w:val="00EA3E20"/>
    <w:rsid w:val="00EB033E"/>
    <w:rsid w:val="00EB188D"/>
    <w:rsid w:val="00ED439E"/>
    <w:rsid w:val="00ED61A4"/>
    <w:rsid w:val="00EF02B6"/>
    <w:rsid w:val="00EF2829"/>
    <w:rsid w:val="00F25AAD"/>
    <w:rsid w:val="00F43EE9"/>
    <w:rsid w:val="00F57A60"/>
    <w:rsid w:val="00F60745"/>
    <w:rsid w:val="00F7798C"/>
    <w:rsid w:val="00F806EE"/>
    <w:rsid w:val="00F836F3"/>
    <w:rsid w:val="00F84BDD"/>
    <w:rsid w:val="00FA7B04"/>
    <w:rsid w:val="00FB00D7"/>
    <w:rsid w:val="00FB147D"/>
    <w:rsid w:val="00FE1D91"/>
    <w:rsid w:val="00FF7B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8C4A69"/>
    <w:pPr>
      <w:ind w:left="720"/>
      <w:contextualSpacing/>
    </w:pPr>
  </w:style>
  <w:style w:type="paragraph" w:styleId="Footer">
    <w:name w:val="footer"/>
    <w:basedOn w:val="Normal"/>
    <w:link w:val="FooterChar"/>
    <w:uiPriority w:val="99"/>
    <w:rsid w:val="007822A7"/>
    <w:pPr>
      <w:tabs>
        <w:tab w:val="center" w:pos="4320"/>
        <w:tab w:val="right" w:pos="8640"/>
      </w:tabs>
    </w:pPr>
  </w:style>
  <w:style w:type="character" w:customStyle="1" w:styleId="FooterChar">
    <w:name w:val="Footer Char"/>
    <w:basedOn w:val="DefaultParagraphFont"/>
    <w:link w:val="Footer"/>
    <w:uiPriority w:val="99"/>
    <w:locked/>
    <w:rsid w:val="007822A7"/>
    <w:rPr>
      <w:rFonts w:cs="Times New Roman"/>
      <w:sz w:val="24"/>
      <w:lang w:val="en-GB"/>
    </w:rPr>
  </w:style>
  <w:style w:type="character" w:styleId="PageNumber">
    <w:name w:val="page number"/>
    <w:basedOn w:val="DefaultParagraphFont"/>
    <w:uiPriority w:val="99"/>
    <w:semiHidden/>
    <w:rsid w:val="007822A7"/>
    <w:rPr>
      <w:rFonts w:cs="Times New Roman"/>
    </w:rPr>
  </w:style>
  <w:style w:type="paragraph" w:styleId="BalloonText">
    <w:name w:val="Balloon Text"/>
    <w:basedOn w:val="Normal"/>
    <w:link w:val="BalloonTextChar"/>
    <w:uiPriority w:val="99"/>
    <w:semiHidden/>
    <w:rsid w:val="008337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77F"/>
    <w:rPr>
      <w:rFonts w:ascii="Tahoma" w:hAnsi="Tahoma" w:cs="Tahoma"/>
      <w:sz w:val="16"/>
      <w:szCs w:val="16"/>
      <w:lang w:eastAsia="en-US"/>
    </w:rPr>
  </w:style>
  <w:style w:type="paragraph" w:styleId="ListParagraph">
    <w:name w:val="List Paragraph"/>
    <w:basedOn w:val="Normal"/>
    <w:uiPriority w:val="99"/>
    <w:qFormat/>
    <w:rsid w:val="0083377F"/>
    <w:pPr>
      <w:ind w:left="720"/>
      <w:contextualSpacing/>
    </w:pPr>
  </w:style>
  <w:style w:type="character" w:styleId="CommentReference">
    <w:name w:val="annotation reference"/>
    <w:basedOn w:val="DefaultParagraphFont"/>
    <w:uiPriority w:val="99"/>
    <w:semiHidden/>
    <w:rsid w:val="00655E57"/>
    <w:rPr>
      <w:rFonts w:cs="Times New Roman"/>
      <w:sz w:val="16"/>
      <w:szCs w:val="16"/>
    </w:rPr>
  </w:style>
  <w:style w:type="paragraph" w:styleId="CommentText">
    <w:name w:val="annotation text"/>
    <w:basedOn w:val="Normal"/>
    <w:link w:val="CommentTextChar"/>
    <w:uiPriority w:val="99"/>
    <w:semiHidden/>
    <w:rsid w:val="00655E57"/>
    <w:rPr>
      <w:sz w:val="20"/>
      <w:szCs w:val="20"/>
    </w:rPr>
  </w:style>
  <w:style w:type="character" w:customStyle="1" w:styleId="CommentTextChar">
    <w:name w:val="Comment Text Char"/>
    <w:basedOn w:val="DefaultParagraphFont"/>
    <w:link w:val="CommentText"/>
    <w:uiPriority w:val="99"/>
    <w:semiHidden/>
    <w:locked/>
    <w:rsid w:val="0091647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55E57"/>
    <w:rPr>
      <w:b/>
      <w:bCs/>
    </w:rPr>
  </w:style>
  <w:style w:type="character" w:customStyle="1" w:styleId="CommentSubjectChar">
    <w:name w:val="Comment Subject Char"/>
    <w:basedOn w:val="CommentTextChar"/>
    <w:link w:val="CommentSubject"/>
    <w:uiPriority w:val="99"/>
    <w:semiHidden/>
    <w:locked/>
    <w:rsid w:val="00916474"/>
    <w:rPr>
      <w:rFonts w:cs="Times New Roman"/>
      <w:b/>
      <w:bCs/>
      <w:sz w:val="20"/>
      <w:szCs w:val="20"/>
      <w:lang w:eastAsia="en-US"/>
    </w:rPr>
  </w:style>
  <w:style w:type="paragraph" w:styleId="DocumentMap">
    <w:name w:val="Document Map"/>
    <w:basedOn w:val="Normal"/>
    <w:link w:val="DocumentMapChar"/>
    <w:uiPriority w:val="99"/>
    <w:semiHidden/>
    <w:unhideWhenUsed/>
    <w:rsid w:val="00605A74"/>
    <w:rPr>
      <w:rFonts w:ascii="Tahoma" w:hAnsi="Tahoma" w:cs="Tahoma"/>
      <w:sz w:val="16"/>
      <w:szCs w:val="16"/>
    </w:rPr>
  </w:style>
  <w:style w:type="character" w:customStyle="1" w:styleId="DocumentMapChar">
    <w:name w:val="Document Map Char"/>
    <w:basedOn w:val="DefaultParagraphFont"/>
    <w:link w:val="DocumentMap"/>
    <w:uiPriority w:val="99"/>
    <w:semiHidden/>
    <w:rsid w:val="00605A74"/>
    <w:rPr>
      <w:rFonts w:ascii="Tahoma" w:hAnsi="Tahoma" w:cs="Tahoma"/>
      <w:sz w:val="16"/>
      <w:szCs w:val="16"/>
      <w:lang w:eastAsia="en-US"/>
    </w:rPr>
  </w:style>
  <w:style w:type="paragraph" w:styleId="Header">
    <w:name w:val="header"/>
    <w:basedOn w:val="Normal"/>
    <w:link w:val="HeaderChar"/>
    <w:uiPriority w:val="99"/>
    <w:unhideWhenUsed/>
    <w:rsid w:val="00B80138"/>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B80138"/>
    <w:rPr>
      <w:rFonts w:ascii="Calibri" w:eastAsia="Calibri" w:hAnsi="Calibri"/>
      <w:sz w:val="22"/>
      <w:szCs w:val="22"/>
      <w:lang w:eastAsia="en-US"/>
    </w:rPr>
  </w:style>
  <w:style w:type="character" w:styleId="Hyperlink">
    <w:name w:val="Hyperlink"/>
    <w:basedOn w:val="DefaultParagraphFont"/>
    <w:uiPriority w:val="99"/>
    <w:unhideWhenUsed/>
    <w:rsid w:val="00AF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8C4A69"/>
    <w:pPr>
      <w:ind w:left="720"/>
      <w:contextualSpacing/>
    </w:pPr>
  </w:style>
  <w:style w:type="paragraph" w:styleId="Footer">
    <w:name w:val="footer"/>
    <w:basedOn w:val="Normal"/>
    <w:link w:val="FooterChar"/>
    <w:uiPriority w:val="99"/>
    <w:rsid w:val="007822A7"/>
    <w:pPr>
      <w:tabs>
        <w:tab w:val="center" w:pos="4320"/>
        <w:tab w:val="right" w:pos="8640"/>
      </w:tabs>
    </w:pPr>
  </w:style>
  <w:style w:type="character" w:customStyle="1" w:styleId="FooterChar">
    <w:name w:val="Footer Char"/>
    <w:basedOn w:val="DefaultParagraphFont"/>
    <w:link w:val="Footer"/>
    <w:uiPriority w:val="99"/>
    <w:locked/>
    <w:rsid w:val="007822A7"/>
    <w:rPr>
      <w:rFonts w:cs="Times New Roman"/>
      <w:sz w:val="24"/>
      <w:lang w:val="en-GB"/>
    </w:rPr>
  </w:style>
  <w:style w:type="character" w:styleId="PageNumber">
    <w:name w:val="page number"/>
    <w:basedOn w:val="DefaultParagraphFont"/>
    <w:uiPriority w:val="99"/>
    <w:semiHidden/>
    <w:rsid w:val="007822A7"/>
    <w:rPr>
      <w:rFonts w:cs="Times New Roman"/>
    </w:rPr>
  </w:style>
  <w:style w:type="paragraph" w:styleId="BalloonText">
    <w:name w:val="Balloon Text"/>
    <w:basedOn w:val="Normal"/>
    <w:link w:val="BalloonTextChar"/>
    <w:uiPriority w:val="99"/>
    <w:semiHidden/>
    <w:rsid w:val="008337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77F"/>
    <w:rPr>
      <w:rFonts w:ascii="Tahoma" w:hAnsi="Tahoma" w:cs="Tahoma"/>
      <w:sz w:val="16"/>
      <w:szCs w:val="16"/>
      <w:lang w:eastAsia="en-US"/>
    </w:rPr>
  </w:style>
  <w:style w:type="paragraph" w:styleId="ListParagraph">
    <w:name w:val="List Paragraph"/>
    <w:basedOn w:val="Normal"/>
    <w:uiPriority w:val="99"/>
    <w:qFormat/>
    <w:rsid w:val="0083377F"/>
    <w:pPr>
      <w:ind w:left="720"/>
      <w:contextualSpacing/>
    </w:pPr>
  </w:style>
  <w:style w:type="character" w:styleId="CommentReference">
    <w:name w:val="annotation reference"/>
    <w:basedOn w:val="DefaultParagraphFont"/>
    <w:uiPriority w:val="99"/>
    <w:semiHidden/>
    <w:rsid w:val="00655E57"/>
    <w:rPr>
      <w:rFonts w:cs="Times New Roman"/>
      <w:sz w:val="16"/>
      <w:szCs w:val="16"/>
    </w:rPr>
  </w:style>
  <w:style w:type="paragraph" w:styleId="CommentText">
    <w:name w:val="annotation text"/>
    <w:basedOn w:val="Normal"/>
    <w:link w:val="CommentTextChar"/>
    <w:uiPriority w:val="99"/>
    <w:semiHidden/>
    <w:rsid w:val="00655E57"/>
    <w:rPr>
      <w:sz w:val="20"/>
      <w:szCs w:val="20"/>
    </w:rPr>
  </w:style>
  <w:style w:type="character" w:customStyle="1" w:styleId="CommentTextChar">
    <w:name w:val="Comment Text Char"/>
    <w:basedOn w:val="DefaultParagraphFont"/>
    <w:link w:val="CommentText"/>
    <w:uiPriority w:val="99"/>
    <w:semiHidden/>
    <w:locked/>
    <w:rsid w:val="0091647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55E57"/>
    <w:rPr>
      <w:b/>
      <w:bCs/>
    </w:rPr>
  </w:style>
  <w:style w:type="character" w:customStyle="1" w:styleId="CommentSubjectChar">
    <w:name w:val="Comment Subject Char"/>
    <w:basedOn w:val="CommentTextChar"/>
    <w:link w:val="CommentSubject"/>
    <w:uiPriority w:val="99"/>
    <w:semiHidden/>
    <w:locked/>
    <w:rsid w:val="00916474"/>
    <w:rPr>
      <w:rFonts w:cs="Times New Roman"/>
      <w:b/>
      <w:bCs/>
      <w:sz w:val="20"/>
      <w:szCs w:val="20"/>
      <w:lang w:eastAsia="en-US"/>
    </w:rPr>
  </w:style>
  <w:style w:type="paragraph" w:styleId="DocumentMap">
    <w:name w:val="Document Map"/>
    <w:basedOn w:val="Normal"/>
    <w:link w:val="DocumentMapChar"/>
    <w:uiPriority w:val="99"/>
    <w:semiHidden/>
    <w:unhideWhenUsed/>
    <w:rsid w:val="00605A74"/>
    <w:rPr>
      <w:rFonts w:ascii="Tahoma" w:hAnsi="Tahoma" w:cs="Tahoma"/>
      <w:sz w:val="16"/>
      <w:szCs w:val="16"/>
    </w:rPr>
  </w:style>
  <w:style w:type="character" w:customStyle="1" w:styleId="DocumentMapChar">
    <w:name w:val="Document Map Char"/>
    <w:basedOn w:val="DefaultParagraphFont"/>
    <w:link w:val="DocumentMap"/>
    <w:uiPriority w:val="99"/>
    <w:semiHidden/>
    <w:rsid w:val="00605A74"/>
    <w:rPr>
      <w:rFonts w:ascii="Tahoma" w:hAnsi="Tahoma" w:cs="Tahoma"/>
      <w:sz w:val="16"/>
      <w:szCs w:val="16"/>
      <w:lang w:eastAsia="en-US"/>
    </w:rPr>
  </w:style>
  <w:style w:type="paragraph" w:styleId="Header">
    <w:name w:val="header"/>
    <w:basedOn w:val="Normal"/>
    <w:link w:val="HeaderChar"/>
    <w:uiPriority w:val="99"/>
    <w:unhideWhenUsed/>
    <w:rsid w:val="00B80138"/>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B8013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6120166">
      <w:bodyDiv w:val="1"/>
      <w:marLeft w:val="0"/>
      <w:marRight w:val="0"/>
      <w:marTop w:val="0"/>
      <w:marBottom w:val="0"/>
      <w:divBdr>
        <w:top w:val="none" w:sz="0" w:space="0" w:color="auto"/>
        <w:left w:val="none" w:sz="0" w:space="0" w:color="auto"/>
        <w:bottom w:val="none" w:sz="0" w:space="0" w:color="auto"/>
        <w:right w:val="none" w:sz="0" w:space="0" w:color="auto"/>
      </w:divBdr>
    </w:div>
    <w:div w:id="1628315655">
      <w:bodyDiv w:val="1"/>
      <w:marLeft w:val="0"/>
      <w:marRight w:val="0"/>
      <w:marTop w:val="0"/>
      <w:marBottom w:val="0"/>
      <w:divBdr>
        <w:top w:val="none" w:sz="0" w:space="0" w:color="auto"/>
        <w:left w:val="none" w:sz="0" w:space="0" w:color="auto"/>
        <w:bottom w:val="none" w:sz="0" w:space="0" w:color="auto"/>
        <w:right w:val="none" w:sz="0" w:space="0" w:color="auto"/>
      </w:divBdr>
    </w:div>
    <w:div w:id="2109230908">
      <w:bodyDiv w:val="1"/>
      <w:marLeft w:val="0"/>
      <w:marRight w:val="0"/>
      <w:marTop w:val="0"/>
      <w:marBottom w:val="0"/>
      <w:divBdr>
        <w:top w:val="none" w:sz="0" w:space="0" w:color="auto"/>
        <w:left w:val="none" w:sz="0" w:space="0" w:color="auto"/>
        <w:bottom w:val="none" w:sz="0" w:space="0" w:color="auto"/>
        <w:right w:val="none" w:sz="0" w:space="0" w:color="auto"/>
      </w:divBdr>
    </w:div>
    <w:div w:id="21144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hehzad.charania@fco.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829AE4-BFB0-4625-B824-35E267A3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6209</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FCO Seminar on ICC Procedures</vt:lpstr>
    </vt:vector>
  </TitlesOfParts>
  <Company>University Of Nottingham</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FCO Seminar on ICC Procedures</dc:title>
  <dc:creator>Jeremy Marks</dc:creator>
  <cp:lastModifiedBy>Cat</cp:lastModifiedBy>
  <cp:revision>2</cp:revision>
  <cp:lastPrinted>2012-12-05T15:23:00Z</cp:lastPrinted>
  <dcterms:created xsi:type="dcterms:W3CDTF">2014-07-16T10:49:00Z</dcterms:created>
  <dcterms:modified xsi:type="dcterms:W3CDTF">2014-07-16T10:49:00Z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2012-12-05T00:00:00Z</vt:filetime>
  </property>
</Properties>
</file>