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18"/>
        <w:gridCol w:w="4098"/>
      </w:tblGrid>
      <w:tr w:rsidR="00B50649" w14:paraId="1C18AF72" w14:textId="77777777" w:rsidTr="006E446A">
        <w:trPr>
          <w:trHeight w:hRule="exact" w:val="2890"/>
        </w:trPr>
        <w:tc>
          <w:tcPr>
            <w:tcW w:w="6118" w:type="dxa"/>
            <w:tcBorders>
              <w:top w:val="single" w:sz="4" w:space="0" w:color="auto"/>
              <w:bottom w:val="single" w:sz="4" w:space="0" w:color="auto"/>
            </w:tcBorders>
            <w:shd w:val="clear" w:color="auto" w:fill="auto"/>
          </w:tcPr>
          <w:p w14:paraId="1C18AF4E" w14:textId="77777777" w:rsidR="00463490" w:rsidRDefault="00495404" w:rsidP="006E446A">
            <w:pPr>
              <w:pStyle w:val="IAHeadLabel0"/>
              <w:spacing w:before="50"/>
              <w:ind w:left="113"/>
            </w:pPr>
            <w:r w:rsidRPr="003E0510">
              <w:t>Title</w:t>
            </w:r>
            <w:r w:rsidR="00463490">
              <w:t>:</w:t>
            </w:r>
          </w:p>
          <w:bookmarkStart w:id="0" w:name="IATitle"/>
          <w:p w14:paraId="1C18AF4F" w14:textId="77777777" w:rsidR="00E70C9F" w:rsidRDefault="004C1BBB" w:rsidP="005F32E7">
            <w:pPr>
              <w:pStyle w:val="IATitle"/>
              <w:rPr>
                <w:rFonts w:eastAsia="Arial Unicode MS"/>
              </w:rPr>
            </w:pPr>
            <w:r w:rsidRPr="00102870">
              <w:fldChar w:fldCharType="begin">
                <w:ffData>
                  <w:name w:val="IATitle"/>
                  <w:enabled/>
                  <w:calcOnExit w:val="0"/>
                  <w:textInput>
                    <w:maxLength w:val="800"/>
                  </w:textInput>
                </w:ffData>
              </w:fldChar>
            </w:r>
            <w:r w:rsidRPr="005F32E7">
              <w:instrText xml:space="preserve"> FORMTEXT </w:instrText>
            </w:r>
            <w:r w:rsidRPr="00102870">
              <w:fldChar w:fldCharType="separate"/>
            </w:r>
            <w:bookmarkStart w:id="1" w:name="_GoBack"/>
            <w:r w:rsidR="00E70C9F">
              <w:rPr>
                <w:rFonts w:eastAsia="Arial Unicode MS"/>
              </w:rPr>
              <w:t>Incidental Non-Commercial, Private Society, Work and Residents' Lotteries: L</w:t>
            </w:r>
            <w:r w:rsidR="003E4533">
              <w:rPr>
                <w:rFonts w:eastAsia="Arial Unicode MS"/>
              </w:rPr>
              <w:t>i</w:t>
            </w:r>
            <w:r w:rsidR="00E70C9F">
              <w:rPr>
                <w:rFonts w:eastAsia="Arial Unicode MS"/>
              </w:rPr>
              <w:t>fting Restrictions</w:t>
            </w:r>
          </w:p>
          <w:bookmarkEnd w:id="1"/>
          <w:p w14:paraId="1C18AF50" w14:textId="77777777" w:rsidR="007F0ED9" w:rsidRPr="00102870" w:rsidRDefault="004C1BBB" w:rsidP="005F32E7">
            <w:pPr>
              <w:pStyle w:val="IATitle"/>
            </w:pPr>
            <w:r w:rsidRPr="00102870">
              <w:fldChar w:fldCharType="end"/>
            </w:r>
            <w:bookmarkEnd w:id="0"/>
          </w:p>
          <w:p w14:paraId="1C18AF51" w14:textId="77777777" w:rsidR="00E14792" w:rsidRPr="008031EC" w:rsidRDefault="00D50283" w:rsidP="006E446A">
            <w:pPr>
              <w:pStyle w:val="IAHeadTitle"/>
              <w:ind w:left="113"/>
              <w:rPr>
                <w:rStyle w:val="IANoChar"/>
              </w:rPr>
            </w:pPr>
            <w:r w:rsidRPr="006E446A">
              <w:rPr>
                <w:sz w:val="20"/>
                <w:szCs w:val="20"/>
              </w:rPr>
              <w:t xml:space="preserve">IA No: </w:t>
            </w:r>
            <w:bookmarkStart w:id="2" w:name="IANo"/>
            <w:r w:rsidR="00290335" w:rsidRPr="006E446A">
              <w:rPr>
                <w:rStyle w:val="IANoChar"/>
                <w:rFonts w:cs="Arial"/>
                <w:sz w:val="20"/>
                <w:szCs w:val="20"/>
              </w:rPr>
              <w:fldChar w:fldCharType="begin">
                <w:ffData>
                  <w:name w:val="IANo"/>
                  <w:enabled/>
                  <w:calcOnExit w:val="0"/>
                  <w:textInput>
                    <w:maxLength w:val="20"/>
                  </w:textInput>
                </w:ffData>
              </w:fldChar>
            </w:r>
            <w:r w:rsidR="00290335" w:rsidRPr="006E446A">
              <w:rPr>
                <w:rStyle w:val="IANoChar"/>
                <w:rFonts w:cs="Arial"/>
                <w:sz w:val="20"/>
                <w:szCs w:val="20"/>
              </w:rPr>
              <w:instrText xml:space="preserve"> FORMTEXT </w:instrText>
            </w:r>
            <w:r w:rsidR="00290335" w:rsidRPr="006E446A">
              <w:rPr>
                <w:rStyle w:val="IANoChar"/>
                <w:rFonts w:cs="Arial"/>
                <w:sz w:val="20"/>
                <w:szCs w:val="20"/>
              </w:rPr>
            </w:r>
            <w:r w:rsidR="00290335" w:rsidRPr="006E446A">
              <w:rPr>
                <w:rStyle w:val="IANoChar"/>
                <w:rFonts w:cs="Arial"/>
                <w:sz w:val="20"/>
                <w:szCs w:val="20"/>
              </w:rPr>
              <w:fldChar w:fldCharType="separate"/>
            </w:r>
            <w:r w:rsidR="00C97A25">
              <w:rPr>
                <w:rStyle w:val="IANoChar"/>
                <w:rFonts w:cs="Arial"/>
                <w:sz w:val="20"/>
                <w:szCs w:val="20"/>
              </w:rPr>
              <w:t>DCMS</w:t>
            </w:r>
            <w:r w:rsidR="00242160">
              <w:rPr>
                <w:rStyle w:val="IANoChar"/>
                <w:rFonts w:cs="Arial"/>
                <w:sz w:val="20"/>
                <w:szCs w:val="20"/>
              </w:rPr>
              <w:t>101</w:t>
            </w:r>
            <w:r w:rsidR="00290335" w:rsidRPr="006E446A">
              <w:rPr>
                <w:rStyle w:val="IANoChar"/>
                <w:rFonts w:cs="Arial"/>
                <w:sz w:val="20"/>
                <w:szCs w:val="20"/>
              </w:rPr>
              <w:fldChar w:fldCharType="end"/>
            </w:r>
            <w:bookmarkEnd w:id="2"/>
          </w:p>
          <w:p w14:paraId="1C18AF52" w14:textId="77777777" w:rsidR="00495404" w:rsidRDefault="00495404" w:rsidP="006E446A">
            <w:pPr>
              <w:pStyle w:val="IAHeadLabel"/>
              <w:ind w:left="113"/>
            </w:pPr>
            <w:r w:rsidRPr="003E0510">
              <w:t>Lead department or agency</w:t>
            </w:r>
            <w:r>
              <w:t>:</w:t>
            </w:r>
          </w:p>
          <w:bookmarkStart w:id="3" w:name="IALeadDept"/>
          <w:p w14:paraId="1C18AF53" w14:textId="77777777" w:rsidR="00E70C9F" w:rsidRDefault="00290335" w:rsidP="005F32E7">
            <w:pPr>
              <w:pStyle w:val="IALeadDept"/>
            </w:pPr>
            <w:r w:rsidRPr="005F32E7">
              <w:fldChar w:fldCharType="begin">
                <w:ffData>
                  <w:name w:val="IALeadDept"/>
                  <w:enabled/>
                  <w:calcOnExit w:val="0"/>
                  <w:textInput>
                    <w:maxLength w:val="100"/>
                  </w:textInput>
                </w:ffData>
              </w:fldChar>
            </w:r>
            <w:r w:rsidRPr="005F32E7">
              <w:instrText xml:space="preserve"> FORMTEXT </w:instrText>
            </w:r>
            <w:r w:rsidRPr="005F32E7">
              <w:fldChar w:fldCharType="separate"/>
            </w:r>
            <w:r w:rsidR="00E70C9F">
              <w:t>Department for Culture, Media and Sport</w:t>
            </w:r>
          </w:p>
          <w:p w14:paraId="1C18AF54" w14:textId="77777777" w:rsidR="001D5EC9" w:rsidRPr="005F32E7" w:rsidRDefault="00290335" w:rsidP="005F32E7">
            <w:pPr>
              <w:pStyle w:val="IALeadDept"/>
            </w:pPr>
            <w:r w:rsidRPr="005F32E7">
              <w:fldChar w:fldCharType="end"/>
            </w:r>
            <w:bookmarkEnd w:id="3"/>
          </w:p>
          <w:p w14:paraId="1C18AF55" w14:textId="77777777" w:rsidR="00DF2F4B" w:rsidRDefault="00495404" w:rsidP="006E446A">
            <w:pPr>
              <w:pStyle w:val="IATableLabel"/>
              <w:spacing w:after="0"/>
            </w:pPr>
            <w:r w:rsidRPr="003E0510">
              <w:t>Other dep</w:t>
            </w:r>
            <w:r w:rsidRPr="00E217A2">
              <w:t>a</w:t>
            </w:r>
            <w:r w:rsidRPr="003E0510">
              <w:t>rtments or agencies:</w:t>
            </w:r>
            <w:r w:rsidR="00DF2F4B">
              <w:t xml:space="preserve"> </w:t>
            </w:r>
          </w:p>
          <w:bookmarkStart w:id="4" w:name="IAOtherDepts"/>
          <w:p w14:paraId="1C18AF56" w14:textId="77777777" w:rsidR="00B93466" w:rsidRDefault="000239A7" w:rsidP="00C97A25">
            <w:pPr>
              <w:pStyle w:val="IAOtherDepts"/>
            </w:pPr>
            <w:r>
              <w:fldChar w:fldCharType="begin">
                <w:ffData>
                  <w:name w:val="IAOtherDepts"/>
                  <w:enabled/>
                  <w:calcOnExit w:val="0"/>
                  <w:textInput>
                    <w:maxLength w:val="200"/>
                  </w:textInput>
                </w:ffData>
              </w:fldChar>
            </w:r>
            <w:r>
              <w:instrText xml:space="preserve"> FORMTEXT </w:instrText>
            </w:r>
            <w:r>
              <w:fldChar w:fldCharType="separate"/>
            </w:r>
            <w:r w:rsidR="00C97A25">
              <w:rPr>
                <w:noProof/>
              </w:rPr>
              <w:t>Gambling Commission</w:t>
            </w:r>
            <w:r>
              <w:fldChar w:fldCharType="end"/>
            </w:r>
            <w:bookmarkEnd w:id="4"/>
          </w:p>
        </w:tc>
        <w:tc>
          <w:tcPr>
            <w:tcW w:w="4098" w:type="dxa"/>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383295" w14:paraId="1C18AF58" w14:textId="77777777" w:rsidTr="006E446A">
              <w:trPr>
                <w:trHeight w:hRule="exact" w:val="539"/>
              </w:trPr>
              <w:tc>
                <w:tcPr>
                  <w:tcW w:w="4088" w:type="dxa"/>
                  <w:shd w:val="clear" w:color="auto" w:fill="333333"/>
                  <w:vAlign w:val="center"/>
                </w:tcPr>
                <w:p w14:paraId="1C18AF57" w14:textId="77777777" w:rsidR="00B50649" w:rsidRPr="00383295" w:rsidRDefault="00B50649" w:rsidP="00E90731">
                  <w:pPr>
                    <w:pStyle w:val="Title"/>
                  </w:pPr>
                  <w:r w:rsidRPr="00383295">
                    <w:t>Impact Assessment (IA)</w:t>
                  </w:r>
                </w:p>
              </w:tc>
            </w:tr>
            <w:tr w:rsidR="00B50649" w:rsidRPr="00966271" w14:paraId="1C18AF5A" w14:textId="77777777" w:rsidTr="006E446A">
              <w:tc>
                <w:tcPr>
                  <w:tcW w:w="4088" w:type="dxa"/>
                  <w:shd w:val="clear" w:color="auto" w:fill="auto"/>
                </w:tcPr>
                <w:p w14:paraId="1C18AF59" w14:textId="07A009D8" w:rsidR="001F69E9" w:rsidRPr="00631B4C" w:rsidRDefault="00B50649" w:rsidP="004833F8">
                  <w:pPr>
                    <w:pStyle w:val="IATableLabel"/>
                  </w:pPr>
                  <w:r w:rsidRPr="00631B4C">
                    <w:t>Date:</w:t>
                  </w:r>
                  <w:r w:rsidR="0071686F">
                    <w:t xml:space="preserve"> </w:t>
                  </w:r>
                  <w:bookmarkStart w:id="5" w:name="IADate"/>
                  <w:r w:rsidR="001F5423" w:rsidRPr="006E446A">
                    <w:rPr>
                      <w:rStyle w:val="IADateChar"/>
                      <w:sz w:val="20"/>
                      <w:szCs w:val="20"/>
                    </w:rPr>
                    <w:fldChar w:fldCharType="begin">
                      <w:ffData>
                        <w:name w:val="IADate"/>
                        <w:enabled/>
                        <w:calcOnExit w:val="0"/>
                        <w:textInput>
                          <w:type w:val="date"/>
                          <w:default w:val="01/01/2011"/>
                          <w:format w:val="DD/MM/YYYY"/>
                        </w:textInput>
                      </w:ffData>
                    </w:fldChar>
                  </w:r>
                  <w:r w:rsidR="001F5423" w:rsidRPr="006E446A">
                    <w:rPr>
                      <w:rStyle w:val="IADateChar"/>
                      <w:sz w:val="20"/>
                      <w:szCs w:val="20"/>
                    </w:rPr>
                    <w:instrText xml:space="preserve"> FORMTEXT </w:instrText>
                  </w:r>
                  <w:r w:rsidR="001F5423" w:rsidRPr="006E446A">
                    <w:rPr>
                      <w:rStyle w:val="IADateChar"/>
                      <w:sz w:val="20"/>
                      <w:szCs w:val="20"/>
                    </w:rPr>
                  </w:r>
                  <w:r w:rsidR="001F5423" w:rsidRPr="006E446A">
                    <w:rPr>
                      <w:rStyle w:val="IADateChar"/>
                      <w:sz w:val="20"/>
                      <w:szCs w:val="20"/>
                    </w:rPr>
                    <w:fldChar w:fldCharType="separate"/>
                  </w:r>
                  <w:r w:rsidR="004833F8">
                    <w:rPr>
                      <w:rStyle w:val="IADateChar"/>
                      <w:sz w:val="20"/>
                      <w:szCs w:val="20"/>
                    </w:rPr>
                    <w:t>22</w:t>
                  </w:r>
                  <w:r w:rsidR="001F5423" w:rsidRPr="006E446A">
                    <w:rPr>
                      <w:rStyle w:val="IADateChar"/>
                      <w:sz w:val="20"/>
                      <w:szCs w:val="20"/>
                    </w:rPr>
                    <w:t>/0</w:t>
                  </w:r>
                  <w:r w:rsidR="00E70C9F">
                    <w:rPr>
                      <w:rStyle w:val="IADateChar"/>
                      <w:sz w:val="20"/>
                      <w:szCs w:val="20"/>
                    </w:rPr>
                    <w:t>4</w:t>
                  </w:r>
                  <w:r w:rsidR="001F5423" w:rsidRPr="006E446A">
                    <w:rPr>
                      <w:rStyle w:val="IADateChar"/>
                      <w:sz w:val="20"/>
                      <w:szCs w:val="20"/>
                    </w:rPr>
                    <w:t>/201</w:t>
                  </w:r>
                  <w:r w:rsidR="00E70C9F">
                    <w:rPr>
                      <w:rStyle w:val="IADateChar"/>
                      <w:sz w:val="20"/>
                      <w:szCs w:val="20"/>
                    </w:rPr>
                    <w:t>4</w:t>
                  </w:r>
                  <w:r w:rsidR="001F5423" w:rsidRPr="006E446A">
                    <w:rPr>
                      <w:rStyle w:val="IADateChar"/>
                      <w:sz w:val="20"/>
                      <w:szCs w:val="20"/>
                    </w:rPr>
                    <w:fldChar w:fldCharType="end"/>
                  </w:r>
                  <w:bookmarkEnd w:id="5"/>
                </w:p>
              </w:tc>
            </w:tr>
            <w:tr w:rsidR="00B50649" w:rsidRPr="00966271" w14:paraId="1C18AF5C" w14:textId="77777777" w:rsidTr="006E446A">
              <w:tc>
                <w:tcPr>
                  <w:tcW w:w="4088" w:type="dxa"/>
                  <w:shd w:val="clear" w:color="auto" w:fill="auto"/>
                </w:tcPr>
                <w:p w14:paraId="1C18AF5B" w14:textId="77777777" w:rsidR="00B50649" w:rsidRPr="007F0ED9" w:rsidRDefault="00941D69" w:rsidP="00E90731">
                  <w:pPr>
                    <w:pStyle w:val="IATableLabel"/>
                  </w:pPr>
                  <w:bookmarkStart w:id="6" w:name="Stage"/>
                  <w:r w:rsidRPr="007F0ED9">
                    <w:t xml:space="preserve">Stage: </w:t>
                  </w:r>
                  <w:r w:rsidRPr="006E446A">
                    <w:rPr>
                      <w:rStyle w:val="IAStageChar"/>
                      <w:sz w:val="20"/>
                    </w:rPr>
                    <w:fldChar w:fldCharType="begin"/>
                  </w:r>
                  <w:r w:rsidRPr="006E446A">
                    <w:rPr>
                      <w:rStyle w:val="IAStageChar"/>
                      <w:sz w:val="20"/>
                    </w:rPr>
                    <w:instrText xml:space="preserve"> DOCPROPERTY  Stage </w:instrText>
                  </w:r>
                  <w:r w:rsidRPr="006E446A">
                    <w:rPr>
                      <w:rStyle w:val="IAStageChar"/>
                      <w:sz w:val="20"/>
                    </w:rPr>
                    <w:fldChar w:fldCharType="separate"/>
                  </w:r>
                  <w:r w:rsidR="004965F2" w:rsidRPr="006E446A">
                    <w:rPr>
                      <w:rStyle w:val="IAStageChar"/>
                      <w:sz w:val="20"/>
                    </w:rPr>
                    <w:t>Development/Options</w:t>
                  </w:r>
                  <w:r w:rsidRPr="006E446A">
                    <w:rPr>
                      <w:rStyle w:val="IAStageChar"/>
                      <w:sz w:val="20"/>
                    </w:rPr>
                    <w:fldChar w:fldCharType="end"/>
                  </w:r>
                  <w:bookmarkEnd w:id="6"/>
                </w:p>
              </w:tc>
            </w:tr>
            <w:tr w:rsidR="00B50649" w:rsidRPr="00966271" w14:paraId="1C18AF5E" w14:textId="77777777" w:rsidTr="006E446A">
              <w:tc>
                <w:tcPr>
                  <w:tcW w:w="4088" w:type="dxa"/>
                  <w:shd w:val="clear" w:color="auto" w:fill="auto"/>
                </w:tcPr>
                <w:p w14:paraId="1C18AF5D" w14:textId="77777777"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bookmarkStart w:id="7" w:name="IAInterSource"/>
                  <w:r w:rsidR="00290335" w:rsidRPr="006E446A">
                    <w:rPr>
                      <w:rStyle w:val="IASOIChar"/>
                      <w:sz w:val="20"/>
                    </w:rPr>
                    <w:fldChar w:fldCharType="begin">
                      <w:ffData>
                        <w:name w:val="IAInterSource"/>
                        <w:enabled/>
                        <w:calcOnExit w:val="0"/>
                        <w:ddList>
                          <w:listEntry w:val="Domestic"/>
                          <w:listEntry w:val="EU"/>
                          <w:listEntry w:val="International"/>
                        </w:ddList>
                      </w:ffData>
                    </w:fldChar>
                  </w:r>
                  <w:r w:rsidR="00290335" w:rsidRPr="006E446A">
                    <w:rPr>
                      <w:rStyle w:val="IASOIChar"/>
                      <w:sz w:val="20"/>
                    </w:rPr>
                    <w:instrText xml:space="preserve"> FORMDROPDOWN </w:instrText>
                  </w:r>
                  <w:r w:rsidR="00915A56">
                    <w:rPr>
                      <w:rStyle w:val="IASOIChar"/>
                      <w:sz w:val="20"/>
                    </w:rPr>
                  </w:r>
                  <w:r w:rsidR="00915A56">
                    <w:rPr>
                      <w:rStyle w:val="IASOIChar"/>
                      <w:sz w:val="20"/>
                    </w:rPr>
                    <w:fldChar w:fldCharType="separate"/>
                  </w:r>
                  <w:r w:rsidR="00290335" w:rsidRPr="006E446A">
                    <w:rPr>
                      <w:rStyle w:val="IASOIChar"/>
                      <w:sz w:val="20"/>
                    </w:rPr>
                    <w:fldChar w:fldCharType="end"/>
                  </w:r>
                  <w:bookmarkEnd w:id="7"/>
                </w:p>
              </w:tc>
            </w:tr>
            <w:tr w:rsidR="00052F44" w:rsidRPr="006E446A" w14:paraId="1C18AF60" w14:textId="77777777" w:rsidTr="006E446A">
              <w:tc>
                <w:tcPr>
                  <w:tcW w:w="4088" w:type="dxa"/>
                  <w:shd w:val="clear" w:color="auto" w:fill="auto"/>
                </w:tcPr>
                <w:p w14:paraId="1C18AF5F" w14:textId="77777777" w:rsidR="00052F44" w:rsidRPr="006E446A" w:rsidRDefault="00052F44" w:rsidP="00E90731">
                  <w:pPr>
                    <w:pStyle w:val="IATableLabel"/>
                    <w:rPr>
                      <w:b w:val="0"/>
                    </w:rPr>
                  </w:pPr>
                  <w:r w:rsidRPr="007F0ED9">
                    <w:t xml:space="preserve">Type of measure: </w:t>
                  </w:r>
                  <w:bookmarkStart w:id="8" w:name="IAMeasureType"/>
                  <w:r w:rsidR="00290335" w:rsidRPr="006E446A">
                    <w:rPr>
                      <w:rStyle w:val="IATOMChar"/>
                      <w:sz w:val="20"/>
                    </w:rPr>
                    <w:fldChar w:fldCharType="begin">
                      <w:ffData>
                        <w:name w:val="IAMeasureType"/>
                        <w:enabled/>
                        <w:calcOnExit w:val="0"/>
                        <w:ddList>
                          <w:listEntry w:val="Primary legislation"/>
                          <w:listEntry w:val="Secondary legislation"/>
                          <w:listEntry w:val="Other"/>
                        </w:ddList>
                      </w:ffData>
                    </w:fldChar>
                  </w:r>
                  <w:r w:rsidR="00290335" w:rsidRPr="006E446A">
                    <w:rPr>
                      <w:rStyle w:val="IATOMChar"/>
                      <w:sz w:val="20"/>
                    </w:rPr>
                    <w:instrText xml:space="preserve"> FORMDROPDOWN </w:instrText>
                  </w:r>
                  <w:r w:rsidR="00915A56">
                    <w:rPr>
                      <w:rStyle w:val="IATOMChar"/>
                      <w:sz w:val="20"/>
                    </w:rPr>
                  </w:r>
                  <w:r w:rsidR="00915A56">
                    <w:rPr>
                      <w:rStyle w:val="IATOMChar"/>
                      <w:sz w:val="20"/>
                    </w:rPr>
                    <w:fldChar w:fldCharType="separate"/>
                  </w:r>
                  <w:r w:rsidR="00290335" w:rsidRPr="006E446A">
                    <w:rPr>
                      <w:rStyle w:val="IATOMChar"/>
                      <w:sz w:val="20"/>
                    </w:rPr>
                    <w:fldChar w:fldCharType="end"/>
                  </w:r>
                  <w:bookmarkEnd w:id="8"/>
                </w:p>
              </w:tc>
            </w:tr>
            <w:tr w:rsidR="00B50649" w:rsidRPr="006E446A" w14:paraId="1C18AF64" w14:textId="77777777" w:rsidTr="006E446A">
              <w:trPr>
                <w:trHeight w:val="1115"/>
              </w:trPr>
              <w:tc>
                <w:tcPr>
                  <w:tcW w:w="4088" w:type="dxa"/>
                  <w:shd w:val="clear" w:color="auto" w:fill="auto"/>
                </w:tcPr>
                <w:p w14:paraId="1C18AF61" w14:textId="77777777" w:rsidR="00E70C9F" w:rsidRDefault="00773719" w:rsidP="00E70C9F">
                  <w:pPr>
                    <w:ind w:left="113" w:right="113"/>
                    <w:rPr>
                      <w:rStyle w:val="IACOEChar"/>
                      <w:b w:val="0"/>
                      <w:sz w:val="20"/>
                    </w:rPr>
                  </w:pPr>
                  <w:r w:rsidRPr="006E446A">
                    <w:rPr>
                      <w:rStyle w:val="IATableLabelCharChar"/>
                      <w:sz w:val="20"/>
                      <w:szCs w:val="20"/>
                    </w:rPr>
                    <w:t>Contact for enquiries:</w:t>
                  </w:r>
                  <w:r w:rsidRPr="00D337D1">
                    <w:t xml:space="preserve"> </w:t>
                  </w:r>
                  <w:bookmarkStart w:id="9" w:name="IAEnquiryContacts"/>
                  <w:r w:rsidRPr="006E446A">
                    <w:rPr>
                      <w:rStyle w:val="IACOEChar"/>
                      <w:b w:val="0"/>
                      <w:sz w:val="20"/>
                    </w:rPr>
                    <w:fldChar w:fldCharType="begin">
                      <w:ffData>
                        <w:name w:val="IAEnquiryContacts"/>
                        <w:enabled/>
                        <w:calcOnExit w:val="0"/>
                        <w:textInput>
                          <w:maxLength w:val="200"/>
                        </w:textInput>
                      </w:ffData>
                    </w:fldChar>
                  </w:r>
                  <w:r w:rsidRPr="006E446A">
                    <w:rPr>
                      <w:rStyle w:val="IACOEChar"/>
                      <w:b w:val="0"/>
                      <w:sz w:val="20"/>
                    </w:rPr>
                    <w:instrText xml:space="preserve"> FORMTEXT </w:instrText>
                  </w:r>
                  <w:r w:rsidRPr="006E446A">
                    <w:rPr>
                      <w:rStyle w:val="IACOEChar"/>
                      <w:b w:val="0"/>
                      <w:sz w:val="20"/>
                    </w:rPr>
                  </w:r>
                  <w:r w:rsidRPr="006E446A">
                    <w:rPr>
                      <w:rStyle w:val="IACOEChar"/>
                      <w:b w:val="0"/>
                      <w:sz w:val="20"/>
                    </w:rPr>
                    <w:fldChar w:fldCharType="separate"/>
                  </w:r>
                </w:p>
                <w:p w14:paraId="1C18AF62" w14:textId="77777777" w:rsidR="00C97A25" w:rsidRDefault="00E70C9F" w:rsidP="00E70C9F">
                  <w:pPr>
                    <w:ind w:left="113" w:right="113"/>
                    <w:rPr>
                      <w:rStyle w:val="IACOEChar"/>
                      <w:b w:val="0"/>
                      <w:sz w:val="20"/>
                    </w:rPr>
                  </w:pPr>
                  <w:r>
                    <w:rPr>
                      <w:rStyle w:val="IACOEChar"/>
                      <w:b w:val="0"/>
                      <w:sz w:val="20"/>
                    </w:rPr>
                    <w:t xml:space="preserve">Caity Marsh </w:t>
                  </w:r>
                </w:p>
                <w:p w14:paraId="1C18AF63" w14:textId="77777777" w:rsidR="00023080" w:rsidRPr="000F004E" w:rsidRDefault="00E70C9F" w:rsidP="00E70C9F">
                  <w:pPr>
                    <w:ind w:left="113" w:right="113"/>
                  </w:pPr>
                  <w:r>
                    <w:rPr>
                      <w:rStyle w:val="IACOEChar"/>
                      <w:b w:val="0"/>
                      <w:sz w:val="20"/>
                    </w:rPr>
                    <w:t>020 7 211 2343</w:t>
                  </w:r>
                  <w:r w:rsidR="00773719" w:rsidRPr="006E446A">
                    <w:rPr>
                      <w:rStyle w:val="IACOEChar"/>
                      <w:b w:val="0"/>
                      <w:sz w:val="20"/>
                    </w:rPr>
                    <w:fldChar w:fldCharType="end"/>
                  </w:r>
                  <w:bookmarkEnd w:id="9"/>
                </w:p>
              </w:tc>
            </w:tr>
            <w:tr w:rsidR="000C1D45" w:rsidRPr="006E446A" w14:paraId="1C18AF66" w14:textId="77777777" w:rsidTr="006E446A">
              <w:trPr>
                <w:trHeight w:val="1115"/>
              </w:trPr>
              <w:tc>
                <w:tcPr>
                  <w:tcW w:w="4088" w:type="dxa"/>
                  <w:shd w:val="clear" w:color="auto" w:fill="auto"/>
                </w:tcPr>
                <w:p w14:paraId="1C18AF65" w14:textId="77777777" w:rsidR="000C1D45" w:rsidRPr="006E446A" w:rsidRDefault="000C1D45" w:rsidP="00A32793">
                  <w:pPr>
                    <w:pStyle w:val="IATableLines"/>
                    <w:rPr>
                      <w:b/>
                      <w:color w:val="000000"/>
                      <w:sz w:val="20"/>
                    </w:rPr>
                  </w:pPr>
                </w:p>
              </w:tc>
            </w:tr>
            <w:tr w:rsidR="000C1D45" w:rsidRPr="006E446A" w14:paraId="1C18AF68" w14:textId="77777777" w:rsidTr="006E446A">
              <w:trPr>
                <w:trHeight w:val="1115"/>
              </w:trPr>
              <w:tc>
                <w:tcPr>
                  <w:tcW w:w="4088" w:type="dxa"/>
                  <w:shd w:val="clear" w:color="auto" w:fill="auto"/>
                </w:tcPr>
                <w:p w14:paraId="1C18AF67" w14:textId="77777777" w:rsidR="000C1D45" w:rsidRPr="006E446A" w:rsidRDefault="000C1D45" w:rsidP="00A32793">
                  <w:pPr>
                    <w:pStyle w:val="IATableLines"/>
                    <w:rPr>
                      <w:b/>
                      <w:color w:val="000000"/>
                      <w:sz w:val="20"/>
                    </w:rPr>
                  </w:pPr>
                </w:p>
              </w:tc>
            </w:tr>
            <w:tr w:rsidR="000C1D45" w:rsidRPr="006E446A" w14:paraId="1C18AF6A" w14:textId="77777777" w:rsidTr="006E446A">
              <w:trPr>
                <w:trHeight w:val="1115"/>
              </w:trPr>
              <w:tc>
                <w:tcPr>
                  <w:tcW w:w="4088" w:type="dxa"/>
                  <w:shd w:val="clear" w:color="auto" w:fill="auto"/>
                </w:tcPr>
                <w:p w14:paraId="1C18AF69" w14:textId="77777777" w:rsidR="000C1D45" w:rsidRPr="006E446A" w:rsidRDefault="000C1D45" w:rsidP="00A32793">
                  <w:pPr>
                    <w:pStyle w:val="IATableLines"/>
                    <w:rPr>
                      <w:b/>
                      <w:color w:val="000000"/>
                      <w:sz w:val="20"/>
                    </w:rPr>
                  </w:pPr>
                </w:p>
              </w:tc>
            </w:tr>
            <w:tr w:rsidR="000C1D45" w:rsidRPr="006E446A" w14:paraId="1C18AF6C" w14:textId="77777777" w:rsidTr="006E446A">
              <w:trPr>
                <w:trHeight w:val="1115"/>
              </w:trPr>
              <w:tc>
                <w:tcPr>
                  <w:tcW w:w="4088" w:type="dxa"/>
                  <w:shd w:val="clear" w:color="auto" w:fill="auto"/>
                </w:tcPr>
                <w:p w14:paraId="1C18AF6B" w14:textId="77777777" w:rsidR="000C1D45" w:rsidRPr="006E446A" w:rsidRDefault="000C1D45" w:rsidP="00A32793">
                  <w:pPr>
                    <w:pStyle w:val="IATableLines"/>
                    <w:rPr>
                      <w:b/>
                      <w:color w:val="000000"/>
                      <w:sz w:val="20"/>
                    </w:rPr>
                  </w:pPr>
                </w:p>
              </w:tc>
            </w:tr>
            <w:tr w:rsidR="000C1D45" w:rsidRPr="006E446A" w14:paraId="1C18AF6E" w14:textId="77777777" w:rsidTr="006E446A">
              <w:trPr>
                <w:trHeight w:val="1115"/>
              </w:trPr>
              <w:tc>
                <w:tcPr>
                  <w:tcW w:w="4088" w:type="dxa"/>
                  <w:shd w:val="clear" w:color="auto" w:fill="auto"/>
                </w:tcPr>
                <w:p w14:paraId="1C18AF6D" w14:textId="77777777" w:rsidR="000C1D45" w:rsidRPr="006E446A" w:rsidRDefault="000C1D45" w:rsidP="00A32793">
                  <w:pPr>
                    <w:pStyle w:val="IATableLines"/>
                    <w:rPr>
                      <w:b/>
                      <w:color w:val="000000"/>
                      <w:sz w:val="20"/>
                    </w:rPr>
                  </w:pPr>
                </w:p>
              </w:tc>
            </w:tr>
            <w:tr w:rsidR="000C1D45" w:rsidRPr="006E446A" w14:paraId="1C18AF70" w14:textId="77777777" w:rsidTr="006E446A">
              <w:trPr>
                <w:trHeight w:val="1115"/>
              </w:trPr>
              <w:tc>
                <w:tcPr>
                  <w:tcW w:w="4088" w:type="dxa"/>
                  <w:shd w:val="clear" w:color="auto" w:fill="auto"/>
                </w:tcPr>
                <w:p w14:paraId="1C18AF6F" w14:textId="77777777" w:rsidR="000C1D45" w:rsidRPr="006E446A" w:rsidRDefault="000C1D45" w:rsidP="00A32793">
                  <w:pPr>
                    <w:pStyle w:val="IATableLines"/>
                    <w:rPr>
                      <w:b/>
                      <w:color w:val="000000"/>
                      <w:sz w:val="20"/>
                    </w:rPr>
                  </w:pPr>
                </w:p>
              </w:tc>
            </w:tr>
          </w:tbl>
          <w:p w14:paraId="1C18AF71" w14:textId="77777777" w:rsidR="00B50649" w:rsidRPr="006E446A" w:rsidRDefault="00B50649">
            <w:pPr>
              <w:rPr>
                <w:rFonts w:eastAsia="SimSun"/>
              </w:rPr>
            </w:pPr>
          </w:p>
        </w:tc>
      </w:tr>
      <w:tr w:rsidR="000C1D45" w:rsidRPr="006E446A" w14:paraId="1C18AF76" w14:textId="77777777" w:rsidTr="006E446A">
        <w:trPr>
          <w:trHeight w:hRule="exact" w:val="410"/>
        </w:trPr>
        <w:tc>
          <w:tcPr>
            <w:tcW w:w="6118" w:type="dxa"/>
            <w:tcBorders>
              <w:top w:val="single" w:sz="4" w:space="0" w:color="auto"/>
              <w:left w:val="nil"/>
              <w:bottom w:val="single" w:sz="4" w:space="0" w:color="auto"/>
              <w:right w:val="single" w:sz="4" w:space="0" w:color="auto"/>
            </w:tcBorders>
            <w:shd w:val="clear" w:color="auto" w:fill="auto"/>
          </w:tcPr>
          <w:p w14:paraId="1C18AF73" w14:textId="77777777" w:rsidR="000C1D45" w:rsidRPr="006E446A" w:rsidRDefault="000C1D45" w:rsidP="006E446A">
            <w:pPr>
              <w:pStyle w:val="Heading1"/>
              <w:spacing w:before="60"/>
              <w:rPr>
                <w:rFonts w:eastAsia="SimSun" w:hint="eastAsia"/>
                <w:sz w:val="28"/>
                <w:szCs w:val="28"/>
              </w:rPr>
            </w:pPr>
            <w:r w:rsidRPr="006E446A">
              <w:rPr>
                <w:rFonts w:eastAsia="SimSun"/>
                <w:sz w:val="28"/>
                <w:szCs w:val="28"/>
              </w:rPr>
              <w:t xml:space="preserve">Summary: Intervention and Options </w:t>
            </w:r>
          </w:p>
          <w:p w14:paraId="1C18AF74" w14:textId="77777777" w:rsidR="000C1D45" w:rsidRPr="006E446A" w:rsidRDefault="000C1D45" w:rsidP="006E446A">
            <w:pPr>
              <w:pStyle w:val="IAHeadLabel0"/>
              <w:spacing w:before="50"/>
              <w:ind w:left="113"/>
              <w:rPr>
                <w:sz w:val="28"/>
                <w:szCs w:val="28"/>
              </w:rPr>
            </w:pPr>
          </w:p>
        </w:tc>
        <w:tc>
          <w:tcPr>
            <w:tcW w:w="4098" w:type="dxa"/>
            <w:tcBorders>
              <w:top w:val="single" w:sz="4" w:space="0" w:color="auto"/>
              <w:left w:val="single" w:sz="4" w:space="0" w:color="auto"/>
              <w:bottom w:val="single" w:sz="4" w:space="0" w:color="auto"/>
              <w:right w:val="single" w:sz="4" w:space="0" w:color="auto"/>
            </w:tcBorders>
            <w:shd w:val="clear" w:color="auto" w:fill="E0E0E0"/>
            <w:vAlign w:val="center"/>
          </w:tcPr>
          <w:p w14:paraId="1C18AF75" w14:textId="683F238B" w:rsidR="000C1D45" w:rsidRPr="006E446A" w:rsidRDefault="000C1D45" w:rsidP="000C1D45">
            <w:pPr>
              <w:pStyle w:val="Title"/>
              <w:rPr>
                <w:rFonts w:eastAsia="SimSun"/>
                <w:b/>
                <w:color w:val="auto"/>
                <w:sz w:val="24"/>
                <w:szCs w:val="24"/>
              </w:rPr>
            </w:pPr>
            <w:r w:rsidRPr="006E446A">
              <w:rPr>
                <w:rFonts w:eastAsia="SimSun"/>
                <w:b/>
                <w:color w:val="auto"/>
                <w:sz w:val="24"/>
                <w:szCs w:val="24"/>
              </w:rPr>
              <w:t>RPC</w:t>
            </w:r>
            <w:r w:rsidR="00EC6B93" w:rsidRPr="006E446A">
              <w:rPr>
                <w:rFonts w:eastAsia="SimSun"/>
                <w:b/>
                <w:color w:val="auto"/>
                <w:sz w:val="24"/>
                <w:szCs w:val="24"/>
              </w:rPr>
              <w:t xml:space="preserve"> Opinion</w:t>
            </w:r>
            <w:r w:rsidRPr="006E446A">
              <w:rPr>
                <w:rFonts w:eastAsia="SimSun"/>
                <w:b/>
                <w:color w:val="auto"/>
                <w:sz w:val="24"/>
                <w:szCs w:val="24"/>
              </w:rPr>
              <w:t xml:space="preserve">: </w:t>
            </w:r>
            <w:bookmarkStart w:id="10" w:name="IARPC"/>
            <w:r w:rsidR="00EC6B93">
              <w:rPr>
                <w:rStyle w:val="IARPCChar"/>
              </w:rPr>
              <w:fldChar w:fldCharType="begin">
                <w:ffData>
                  <w:name w:val="IARPC"/>
                  <w:enabled/>
                  <w:calcOnExit w:val="0"/>
                  <w:ddList>
                    <w:result w:val="4"/>
                    <w:listEntry w:val="RPC Opinion Status"/>
                    <w:listEntry w:val="Awaiting Scrutiny"/>
                    <w:listEntry w:val="RED"/>
                    <w:listEntry w:val="AMBER"/>
                    <w:listEntry w:val="GREEN"/>
                  </w:ddList>
                </w:ffData>
              </w:fldChar>
            </w:r>
            <w:r w:rsidR="00EC6B93">
              <w:rPr>
                <w:rStyle w:val="IARPCChar"/>
              </w:rPr>
              <w:instrText xml:space="preserve"> FORMDROPDOWN </w:instrText>
            </w:r>
            <w:r w:rsidR="00915A56">
              <w:rPr>
                <w:rStyle w:val="IARPCChar"/>
              </w:rPr>
            </w:r>
            <w:r w:rsidR="00915A56">
              <w:rPr>
                <w:rStyle w:val="IARPCChar"/>
              </w:rPr>
              <w:fldChar w:fldCharType="separate"/>
            </w:r>
            <w:r w:rsidR="00EC6B93">
              <w:rPr>
                <w:rStyle w:val="IARPCChar"/>
              </w:rPr>
              <w:fldChar w:fldCharType="end"/>
            </w:r>
            <w:bookmarkEnd w:id="10"/>
          </w:p>
        </w:tc>
      </w:tr>
      <w:tr w:rsidR="00372A69" w:rsidRPr="006E446A" w14:paraId="1C18AF78" w14:textId="77777777" w:rsidTr="006E446A">
        <w:trPr>
          <w:trHeight w:hRule="exact" w:val="90"/>
        </w:trPr>
        <w:tc>
          <w:tcPr>
            <w:tcW w:w="10216" w:type="dxa"/>
            <w:gridSpan w:val="2"/>
            <w:tcBorders>
              <w:top w:val="single" w:sz="4" w:space="0" w:color="auto"/>
              <w:left w:val="nil"/>
              <w:bottom w:val="nil"/>
              <w:right w:val="single" w:sz="4" w:space="0" w:color="auto"/>
            </w:tcBorders>
            <w:shd w:val="clear" w:color="auto" w:fill="auto"/>
          </w:tcPr>
          <w:p w14:paraId="1C18AF77" w14:textId="77777777" w:rsidR="00372A69" w:rsidRPr="006E446A" w:rsidRDefault="00372A69" w:rsidP="00372A69">
            <w:pPr>
              <w:rPr>
                <w:rFonts w:eastAsia="SimSun"/>
              </w:rPr>
            </w:pPr>
          </w:p>
        </w:tc>
      </w:tr>
    </w:tbl>
    <w:p w14:paraId="1C18AF79" w14:textId="77777777" w:rsidR="006E446A" w:rsidRPr="006E446A" w:rsidRDefault="006E446A" w:rsidP="006E446A">
      <w:pPr>
        <w:rPr>
          <w:vanish/>
        </w:rPr>
      </w:pPr>
      <w:bookmarkStart w:id="11" w:name="CostText"/>
    </w:p>
    <w:tbl>
      <w:tblPr>
        <w:tblW w:w="0" w:type="auto"/>
        <w:tblBorders>
          <w:top w:val="single" w:sz="4" w:space="0" w:color="auto"/>
          <w:left w:val="single" w:sz="4" w:space="0" w:color="auto"/>
          <w:bottom w:val="single" w:sz="4" w:space="0" w:color="auto"/>
          <w:right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1986"/>
        <w:gridCol w:w="1619"/>
        <w:gridCol w:w="2516"/>
        <w:gridCol w:w="1980"/>
        <w:gridCol w:w="2106"/>
      </w:tblGrid>
      <w:tr w:rsidR="00372A69" w:rsidRPr="000E02BE" w14:paraId="1C18AF7B" w14:textId="77777777" w:rsidTr="000E452D">
        <w:trPr>
          <w:trHeight w:hRule="exact" w:val="312"/>
        </w:trPr>
        <w:tc>
          <w:tcPr>
            <w:tcW w:w="10207" w:type="dxa"/>
            <w:gridSpan w:val="5"/>
            <w:tcBorders>
              <w:top w:val="single" w:sz="4" w:space="0" w:color="auto"/>
              <w:bottom w:val="nil"/>
              <w:right w:val="single" w:sz="4" w:space="0" w:color="auto"/>
            </w:tcBorders>
            <w:shd w:val="clear" w:color="auto" w:fill="E0E0E0"/>
          </w:tcPr>
          <w:p w14:paraId="1C18AF7A" w14:textId="77777777" w:rsidR="00372A69" w:rsidRPr="000E02BE" w:rsidRDefault="00372A69" w:rsidP="006A0557">
            <w:pPr>
              <w:pStyle w:val="IATableLabel"/>
              <w:ind w:left="0"/>
              <w:jc w:val="center"/>
            </w:pPr>
            <w:r>
              <w:t>Cost of Preferred (or more likely) Option</w:t>
            </w:r>
            <w:bookmarkEnd w:id="11"/>
          </w:p>
        </w:tc>
      </w:tr>
      <w:tr w:rsidR="00372A69" w:rsidRPr="000E02BE" w14:paraId="1C18AF82" w14:textId="77777777" w:rsidTr="000E452D">
        <w:trPr>
          <w:trHeight w:hRule="exact" w:val="571"/>
        </w:trPr>
        <w:tc>
          <w:tcPr>
            <w:tcW w:w="1986" w:type="dxa"/>
            <w:tcBorders>
              <w:top w:val="single" w:sz="4" w:space="0" w:color="auto"/>
              <w:bottom w:val="nil"/>
              <w:right w:val="single" w:sz="4" w:space="0" w:color="auto"/>
            </w:tcBorders>
            <w:shd w:val="clear" w:color="auto" w:fill="E0E0E0"/>
            <w:vAlign w:val="center"/>
          </w:tcPr>
          <w:p w14:paraId="1C18AF7C" w14:textId="77777777" w:rsidR="00372A69" w:rsidRPr="000E02BE" w:rsidRDefault="00372A69" w:rsidP="006A0557">
            <w:pPr>
              <w:pStyle w:val="IATableLabel"/>
              <w:spacing w:before="0" w:after="0"/>
            </w:pPr>
            <w:r>
              <w:t>Total Net Present Value</w:t>
            </w:r>
          </w:p>
        </w:tc>
        <w:tc>
          <w:tcPr>
            <w:tcW w:w="1619" w:type="dxa"/>
            <w:tcBorders>
              <w:top w:val="single" w:sz="4" w:space="0" w:color="auto"/>
              <w:bottom w:val="nil"/>
              <w:right w:val="single" w:sz="4" w:space="0" w:color="auto"/>
            </w:tcBorders>
            <w:shd w:val="clear" w:color="auto" w:fill="E0E0E0"/>
            <w:vAlign w:val="center"/>
          </w:tcPr>
          <w:p w14:paraId="1C18AF7D" w14:textId="77777777" w:rsidR="00372A69" w:rsidRPr="000E02BE" w:rsidRDefault="00372A69" w:rsidP="006A0557">
            <w:pPr>
              <w:pStyle w:val="IATableLabel"/>
              <w:spacing w:before="0" w:after="0"/>
            </w:pPr>
            <w:r>
              <w:t>Business Net Present Value</w:t>
            </w:r>
          </w:p>
        </w:tc>
        <w:tc>
          <w:tcPr>
            <w:tcW w:w="2516" w:type="dxa"/>
            <w:tcBorders>
              <w:top w:val="single" w:sz="4" w:space="0" w:color="auto"/>
              <w:bottom w:val="nil"/>
              <w:right w:val="single" w:sz="4" w:space="0" w:color="auto"/>
            </w:tcBorders>
            <w:shd w:val="clear" w:color="auto" w:fill="E0E0E0"/>
            <w:vAlign w:val="center"/>
          </w:tcPr>
          <w:p w14:paraId="1C18AF7E" w14:textId="77777777" w:rsidR="00372A69" w:rsidRPr="000E02BE" w:rsidRDefault="00372A69" w:rsidP="006A0557">
            <w:pPr>
              <w:pStyle w:val="IATableLabel"/>
              <w:spacing w:before="0" w:after="0"/>
            </w:pPr>
            <w:r>
              <w:t xml:space="preserve">Net cost </w:t>
            </w:r>
            <w:r w:rsidR="00332B05">
              <w:t xml:space="preserve">to business </w:t>
            </w:r>
            <w:r>
              <w:t>per year</w:t>
            </w:r>
            <w:r w:rsidR="006656EC">
              <w:t xml:space="preserve"> </w:t>
            </w:r>
            <w:r w:rsidR="006656EC" w:rsidRPr="006656EC">
              <w:rPr>
                <w:b w:val="0"/>
              </w:rPr>
              <w:t>(</w:t>
            </w:r>
            <w:r w:rsidR="00332B05" w:rsidRPr="00332B05">
              <w:rPr>
                <w:b w:val="0"/>
                <w:sz w:val="16"/>
                <w:szCs w:val="16"/>
              </w:rPr>
              <w:t>EANCB</w:t>
            </w:r>
            <w:r w:rsidR="00332B05">
              <w:rPr>
                <w:b w:val="0"/>
              </w:rPr>
              <w:t xml:space="preserve"> </w:t>
            </w:r>
            <w:r w:rsidR="006656EC" w:rsidRPr="006656EC">
              <w:rPr>
                <w:b w:val="0"/>
                <w:sz w:val="16"/>
                <w:szCs w:val="16"/>
              </w:rPr>
              <w:t xml:space="preserve">on 2009 </w:t>
            </w:r>
            <w:r w:rsidR="006656EC">
              <w:rPr>
                <w:b w:val="0"/>
                <w:sz w:val="16"/>
                <w:szCs w:val="16"/>
              </w:rPr>
              <w:t>prices</w:t>
            </w:r>
            <w:r w:rsidR="006656EC" w:rsidRPr="006656EC">
              <w:rPr>
                <w:b w:val="0"/>
                <w:sz w:val="16"/>
                <w:szCs w:val="16"/>
              </w:rPr>
              <w:t>)</w:t>
            </w:r>
          </w:p>
        </w:tc>
        <w:tc>
          <w:tcPr>
            <w:tcW w:w="1980" w:type="dxa"/>
            <w:tcBorders>
              <w:top w:val="single" w:sz="4" w:space="0" w:color="auto"/>
              <w:left w:val="single" w:sz="4" w:space="0" w:color="auto"/>
              <w:bottom w:val="nil"/>
              <w:right w:val="nil"/>
            </w:tcBorders>
            <w:shd w:val="clear" w:color="auto" w:fill="E0E0E0"/>
            <w:vAlign w:val="center"/>
          </w:tcPr>
          <w:p w14:paraId="1C18AF7F" w14:textId="77777777" w:rsidR="00372A69" w:rsidRPr="000E02BE" w:rsidRDefault="00372A69" w:rsidP="006A0557">
            <w:pPr>
              <w:pStyle w:val="IATableLabel"/>
              <w:spacing w:before="0" w:after="0"/>
            </w:pPr>
            <w:r w:rsidRPr="000E02BE">
              <w:t xml:space="preserve">In scope of </w:t>
            </w:r>
            <w:r>
              <w:t>On</w:t>
            </w:r>
            <w:r w:rsidR="00290335">
              <w:t>e</w:t>
            </w:r>
            <w:r>
              <w:t>-In, One-Out</w:t>
            </w:r>
            <w:r w:rsidRPr="000E02BE">
              <w:t>?</w:t>
            </w:r>
          </w:p>
        </w:tc>
        <w:tc>
          <w:tcPr>
            <w:tcW w:w="2106" w:type="dxa"/>
            <w:tcBorders>
              <w:top w:val="single" w:sz="4" w:space="0" w:color="auto"/>
              <w:left w:val="nil"/>
              <w:bottom w:val="nil"/>
              <w:right w:val="single" w:sz="4" w:space="0" w:color="auto"/>
            </w:tcBorders>
            <w:shd w:val="clear" w:color="auto" w:fill="E0E0E0"/>
            <w:vAlign w:val="center"/>
          </w:tcPr>
          <w:p w14:paraId="1C18AF80" w14:textId="77777777" w:rsidR="00372A69" w:rsidRDefault="00372A69" w:rsidP="006A0557">
            <w:pPr>
              <w:pStyle w:val="IATableLabel"/>
              <w:spacing w:before="0" w:after="0"/>
              <w:ind w:left="0"/>
            </w:pPr>
            <w:r w:rsidRPr="000E02BE">
              <w:t>Measure qualifies as</w:t>
            </w:r>
          </w:p>
          <w:p w14:paraId="1C18AF81" w14:textId="77777777" w:rsidR="00463490" w:rsidRPr="000E02BE" w:rsidRDefault="00463490" w:rsidP="006A0557">
            <w:pPr>
              <w:pStyle w:val="IATableLabel"/>
              <w:spacing w:before="0" w:after="0"/>
              <w:ind w:left="0"/>
            </w:pPr>
          </w:p>
        </w:tc>
      </w:tr>
      <w:bookmarkStart w:id="12" w:name="IATNPV"/>
      <w:tr w:rsidR="00372A69" w:rsidRPr="0061761A" w14:paraId="1C18AF88" w14:textId="77777777" w:rsidTr="000E452D">
        <w:trPr>
          <w:trHeight w:hRule="exact" w:val="340"/>
        </w:trPr>
        <w:tc>
          <w:tcPr>
            <w:tcW w:w="1986" w:type="dxa"/>
            <w:tcBorders>
              <w:top w:val="nil"/>
              <w:bottom w:val="single" w:sz="4" w:space="0" w:color="auto"/>
              <w:right w:val="single" w:sz="4" w:space="0" w:color="auto"/>
            </w:tcBorders>
            <w:shd w:val="clear" w:color="auto" w:fill="E0E0E0"/>
            <w:vAlign w:val="center"/>
          </w:tcPr>
          <w:p w14:paraId="1C18AF83" w14:textId="77777777" w:rsidR="00372A69" w:rsidRPr="000E02BE" w:rsidRDefault="005A0B86" w:rsidP="008369A3">
            <w:pPr>
              <w:pStyle w:val="IAIIOTNPV"/>
            </w:pPr>
            <w:r>
              <w:fldChar w:fldCharType="begin">
                <w:ffData>
                  <w:name w:val="IATNPV"/>
                  <w:enabled/>
                  <w:calcOnExit w:val="0"/>
                  <w:textInput>
                    <w:default w:val="£m"/>
                    <w:maxLength w:val="9"/>
                  </w:textInput>
                </w:ffData>
              </w:fldChar>
            </w:r>
            <w:r>
              <w:instrText xml:space="preserve"> FORMTEXT </w:instrText>
            </w:r>
            <w:r>
              <w:fldChar w:fldCharType="separate"/>
            </w:r>
            <w:r>
              <w:rPr>
                <w:noProof/>
              </w:rPr>
              <w:t>£</w:t>
            </w:r>
            <w:r w:rsidR="00C97A25">
              <w:rPr>
                <w:noProof/>
              </w:rPr>
              <w:t>N</w:t>
            </w:r>
            <w:r w:rsidR="00E12C40">
              <w:rPr>
                <w:noProof/>
              </w:rPr>
              <w:t>/</w:t>
            </w:r>
            <w:r w:rsidR="00C97A25">
              <w:rPr>
                <w:noProof/>
              </w:rPr>
              <w:t>A</w:t>
            </w:r>
            <w:r>
              <w:rPr>
                <w:noProof/>
              </w:rPr>
              <w:t>m</w:t>
            </w:r>
            <w:r>
              <w:fldChar w:fldCharType="end"/>
            </w:r>
            <w:bookmarkEnd w:id="12"/>
          </w:p>
        </w:tc>
        <w:bookmarkStart w:id="13" w:name="IABNPV"/>
        <w:tc>
          <w:tcPr>
            <w:tcW w:w="1619" w:type="dxa"/>
            <w:tcBorders>
              <w:top w:val="nil"/>
              <w:bottom w:val="single" w:sz="4" w:space="0" w:color="auto"/>
              <w:right w:val="single" w:sz="4" w:space="0" w:color="auto"/>
            </w:tcBorders>
            <w:shd w:val="clear" w:color="auto" w:fill="E0E0E0"/>
            <w:vAlign w:val="center"/>
          </w:tcPr>
          <w:p w14:paraId="1C18AF84" w14:textId="77777777" w:rsidR="00372A69" w:rsidRPr="000E02BE" w:rsidRDefault="005A0B86" w:rsidP="008369A3">
            <w:pPr>
              <w:pStyle w:val="IAIOBNPV"/>
            </w:pPr>
            <w:r>
              <w:fldChar w:fldCharType="begin">
                <w:ffData>
                  <w:name w:val="IABNPV"/>
                  <w:enabled/>
                  <w:calcOnExit w:val="0"/>
                  <w:textInput>
                    <w:default w:val="£m"/>
                    <w:maxLength w:val="9"/>
                  </w:textInput>
                </w:ffData>
              </w:fldChar>
            </w:r>
            <w:r>
              <w:instrText xml:space="preserve"> FORMTEXT </w:instrText>
            </w:r>
            <w:r>
              <w:fldChar w:fldCharType="separate"/>
            </w:r>
            <w:r>
              <w:rPr>
                <w:noProof/>
              </w:rPr>
              <w:t>£</w:t>
            </w:r>
            <w:r w:rsidR="00C97A25">
              <w:rPr>
                <w:noProof/>
              </w:rPr>
              <w:t>N</w:t>
            </w:r>
            <w:r w:rsidR="00E12C40">
              <w:rPr>
                <w:noProof/>
              </w:rPr>
              <w:t>/</w:t>
            </w:r>
            <w:r w:rsidR="00C97A25">
              <w:rPr>
                <w:noProof/>
              </w:rPr>
              <w:t>A</w:t>
            </w:r>
            <w:r>
              <w:rPr>
                <w:noProof/>
              </w:rPr>
              <w:t>m</w:t>
            </w:r>
            <w:r>
              <w:fldChar w:fldCharType="end"/>
            </w:r>
            <w:bookmarkEnd w:id="13"/>
          </w:p>
        </w:tc>
        <w:bookmarkStart w:id="14" w:name="IANCTBPY"/>
        <w:tc>
          <w:tcPr>
            <w:tcW w:w="2516" w:type="dxa"/>
            <w:tcBorders>
              <w:top w:val="nil"/>
              <w:bottom w:val="single" w:sz="4" w:space="0" w:color="auto"/>
              <w:right w:val="single" w:sz="4" w:space="0" w:color="auto"/>
            </w:tcBorders>
            <w:shd w:val="clear" w:color="auto" w:fill="E0E0E0"/>
            <w:vAlign w:val="center"/>
          </w:tcPr>
          <w:p w14:paraId="1C18AF85" w14:textId="77777777" w:rsidR="00372A69" w:rsidRPr="000E02BE" w:rsidRDefault="005A0B86" w:rsidP="008369A3">
            <w:pPr>
              <w:pStyle w:val="IAIONCTBPY"/>
            </w:pPr>
            <w:r>
              <w:fldChar w:fldCharType="begin">
                <w:ffData>
                  <w:name w:val="IANCTBPY"/>
                  <w:enabled/>
                  <w:calcOnExit w:val="0"/>
                  <w:textInput>
                    <w:default w:val="£m"/>
                    <w:maxLength w:val="9"/>
                  </w:textInput>
                </w:ffData>
              </w:fldChar>
            </w:r>
            <w:r>
              <w:instrText xml:space="preserve"> FORMTEXT </w:instrText>
            </w:r>
            <w:r>
              <w:fldChar w:fldCharType="separate"/>
            </w:r>
            <w:r>
              <w:rPr>
                <w:noProof/>
              </w:rPr>
              <w:t>£</w:t>
            </w:r>
            <w:r w:rsidR="00C97A25">
              <w:rPr>
                <w:noProof/>
              </w:rPr>
              <w:t>N</w:t>
            </w:r>
            <w:r w:rsidR="00E12C40">
              <w:rPr>
                <w:noProof/>
              </w:rPr>
              <w:t>/</w:t>
            </w:r>
            <w:r w:rsidR="00C97A25">
              <w:rPr>
                <w:noProof/>
              </w:rPr>
              <w:t>A</w:t>
            </w:r>
            <w:r>
              <w:rPr>
                <w:noProof/>
              </w:rPr>
              <w:t>m</w:t>
            </w:r>
            <w:r>
              <w:fldChar w:fldCharType="end"/>
            </w:r>
            <w:bookmarkEnd w:id="14"/>
          </w:p>
        </w:tc>
        <w:bookmarkStart w:id="15" w:name="IAInScopeInOut"/>
        <w:tc>
          <w:tcPr>
            <w:tcW w:w="1980" w:type="dxa"/>
            <w:tcBorders>
              <w:top w:val="nil"/>
              <w:left w:val="single" w:sz="4" w:space="0" w:color="auto"/>
              <w:bottom w:val="single" w:sz="4" w:space="0" w:color="auto"/>
              <w:right w:val="single" w:sz="4" w:space="0" w:color="auto"/>
            </w:tcBorders>
            <w:shd w:val="clear" w:color="auto" w:fill="E0E0E0"/>
            <w:vAlign w:val="center"/>
          </w:tcPr>
          <w:p w14:paraId="1C18AF86" w14:textId="77777777" w:rsidR="00372A69" w:rsidRPr="000E02BE" w:rsidRDefault="003B1336" w:rsidP="008369A3">
            <w:pPr>
              <w:pStyle w:val="IAIOInScopeInOut"/>
            </w:pPr>
            <w:r>
              <w:fldChar w:fldCharType="begin">
                <w:ffData>
                  <w:name w:val="IAInScopeInOut"/>
                  <w:enabled/>
                  <w:calcOnExit w:val="0"/>
                  <w:ddList>
                    <w:result w:val="1"/>
                    <w:listEntry w:val="Yes/No"/>
                    <w:listEntry w:val="Yes"/>
                    <w:listEntry w:val="No"/>
                  </w:ddList>
                </w:ffData>
              </w:fldChar>
            </w:r>
            <w:r>
              <w:instrText xml:space="preserve"> FORMDROPDOWN </w:instrText>
            </w:r>
            <w:r w:rsidR="00915A56">
              <w:fldChar w:fldCharType="separate"/>
            </w:r>
            <w:r>
              <w:fldChar w:fldCharType="end"/>
            </w:r>
            <w:bookmarkEnd w:id="15"/>
          </w:p>
        </w:tc>
        <w:bookmarkStart w:id="16" w:name="IAPrefMQ"/>
        <w:tc>
          <w:tcPr>
            <w:tcW w:w="2106" w:type="dxa"/>
            <w:tcBorders>
              <w:top w:val="nil"/>
              <w:left w:val="single" w:sz="4" w:space="0" w:color="auto"/>
              <w:bottom w:val="single" w:sz="4" w:space="0" w:color="auto"/>
              <w:right w:val="single" w:sz="4" w:space="0" w:color="auto"/>
            </w:tcBorders>
            <w:shd w:val="clear" w:color="auto" w:fill="E0E0E0"/>
            <w:vAlign w:val="center"/>
          </w:tcPr>
          <w:p w14:paraId="1C18AF87" w14:textId="77777777" w:rsidR="00372A69" w:rsidRPr="000E02BE" w:rsidRDefault="003B1336" w:rsidP="008369A3">
            <w:pPr>
              <w:pStyle w:val="IAIOPrefMQ"/>
            </w:pPr>
            <w:r>
              <w:fldChar w:fldCharType="begin">
                <w:ffData>
                  <w:name w:val="IAPrefMQ"/>
                  <w:enabled/>
                  <w:calcOnExit w:val="0"/>
                  <w:ddList>
                    <w:result w:val="3"/>
                    <w:listEntry w:val="In/Out/zero net cost"/>
                    <w:listEntry w:val="IN"/>
                    <w:listEntry w:val="OUT"/>
                    <w:listEntry w:val="Zero Net Cost"/>
                    <w:listEntry w:val="NA"/>
                  </w:ddList>
                </w:ffData>
              </w:fldChar>
            </w:r>
            <w:r>
              <w:instrText xml:space="preserve"> FORMDROPDOWN </w:instrText>
            </w:r>
            <w:r w:rsidR="00915A56">
              <w:fldChar w:fldCharType="separate"/>
            </w:r>
            <w:r>
              <w:fldChar w:fldCharType="end"/>
            </w:r>
            <w:bookmarkEnd w:id="16"/>
          </w:p>
        </w:tc>
      </w:tr>
      <w:tr w:rsidR="007208D9" w:rsidRPr="00826F71" w14:paraId="1C18AF8B" w14:textId="77777777" w:rsidTr="000E452D">
        <w:tblPrEx>
          <w:shd w:val="clear" w:color="auto" w:fill="auto"/>
        </w:tblPrEx>
        <w:trPr>
          <w:trHeight w:hRule="exact" w:val="2262"/>
        </w:trPr>
        <w:tc>
          <w:tcPr>
            <w:tcW w:w="10207" w:type="dxa"/>
            <w:gridSpan w:val="5"/>
            <w:tcBorders>
              <w:top w:val="single" w:sz="4" w:space="0" w:color="auto"/>
              <w:left w:val="single" w:sz="4" w:space="0" w:color="auto"/>
              <w:bottom w:val="single" w:sz="4" w:space="0" w:color="auto"/>
              <w:right w:val="single" w:sz="4" w:space="0" w:color="auto"/>
            </w:tcBorders>
          </w:tcPr>
          <w:p w14:paraId="1C18AF89" w14:textId="77777777" w:rsidR="007208D9" w:rsidRPr="00EA0B74" w:rsidRDefault="00686F5E" w:rsidP="008369A3">
            <w:pPr>
              <w:pStyle w:val="IAIOQ1"/>
            </w:pPr>
            <w:bookmarkStart w:id="17" w:name="Summary1"/>
            <w:r>
              <w:t>What is the problem under consideration? Why is government intervention necessary?</w:t>
            </w:r>
            <w:bookmarkEnd w:id="17"/>
          </w:p>
          <w:bookmarkStart w:id="18" w:name="IAIOA1"/>
          <w:p w14:paraId="1C18AF8A" w14:textId="77777777" w:rsidR="00E75380" w:rsidRPr="00C120C0" w:rsidRDefault="008369A3" w:rsidP="00242160">
            <w:pPr>
              <w:pStyle w:val="IATableLines"/>
            </w:pPr>
            <w:r>
              <w:fldChar w:fldCharType="begin">
                <w:ffData>
                  <w:name w:val="IAIOA1"/>
                  <w:enabled/>
                  <w:calcOnExit w:val="0"/>
                  <w:textInput>
                    <w:default w:val="Maximum of 7 lines"/>
                    <w:maxLength w:val="800"/>
                  </w:textInput>
                </w:ffData>
              </w:fldChar>
            </w:r>
            <w:r>
              <w:instrText xml:space="preserve"> FORMTEXT </w:instrText>
            </w:r>
            <w:r>
              <w:fldChar w:fldCharType="separate"/>
            </w:r>
            <w:r w:rsidR="00E70C9F">
              <w:t>As part of the Red Tape Challenge</w:t>
            </w:r>
            <w:r w:rsidR="006D3A1B">
              <w:t>,</w:t>
            </w:r>
            <w:r w:rsidR="003E4533">
              <w:t xml:space="preserve"> </w:t>
            </w:r>
            <w:r w:rsidR="00E70C9F">
              <w:t xml:space="preserve"> the Department agreed to consider lifting</w:t>
            </w:r>
            <w:r w:rsidR="006D3A1B">
              <w:t xml:space="preserve"> </w:t>
            </w:r>
            <w:r w:rsidR="00E70C9F">
              <w:t>restrictions on some</w:t>
            </w:r>
            <w:r w:rsidR="00242160">
              <w:t xml:space="preserve"> small scale</w:t>
            </w:r>
            <w:r w:rsidR="00E70C9F">
              <w:t xml:space="preserve"> lotteries</w:t>
            </w:r>
            <w:r w:rsidR="00265456">
              <w:t xml:space="preserve"> (raffles)</w:t>
            </w:r>
            <w:r w:rsidR="00E70C9F">
              <w:t xml:space="preserve"> to</w:t>
            </w:r>
            <w:r w:rsidR="006D3A1B">
              <w:t xml:space="preserve"> enable charities to raise money from a </w:t>
            </w:r>
            <w:r w:rsidR="00F0126F">
              <w:t>greater</w:t>
            </w:r>
            <w:r w:rsidR="006D3A1B">
              <w:t xml:space="preserve"> range of businesses, organisations and individuals. Intervention is required by Government to amend the Gambling Act 2005 to lift the identified restrictions.</w:t>
            </w:r>
            <w:r>
              <w:fldChar w:fldCharType="end"/>
            </w:r>
            <w:bookmarkEnd w:id="18"/>
          </w:p>
        </w:tc>
      </w:tr>
    </w:tbl>
    <w:p w14:paraId="1C18AF8C" w14:textId="77777777" w:rsidR="007208D9"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7208D9" w:rsidRPr="00826F71" w14:paraId="1C18AF8F" w14:textId="77777777" w:rsidTr="00E75380">
        <w:trPr>
          <w:trHeight w:hRule="exact" w:val="2182"/>
        </w:trPr>
        <w:tc>
          <w:tcPr>
            <w:tcW w:w="10214" w:type="dxa"/>
          </w:tcPr>
          <w:p w14:paraId="1C18AF8D" w14:textId="77777777" w:rsidR="007208D9" w:rsidRPr="00EA0B74" w:rsidRDefault="00686F5E" w:rsidP="008369A3">
            <w:pPr>
              <w:pStyle w:val="IAIOQ2"/>
            </w:pPr>
            <w:bookmarkStart w:id="19" w:name="Summary2"/>
            <w:r>
              <w:t>What are the policy objectives and the intended effects?</w:t>
            </w:r>
            <w:bookmarkEnd w:id="19"/>
          </w:p>
          <w:bookmarkStart w:id="20" w:name="IAIOA2"/>
          <w:p w14:paraId="1C18AF8E" w14:textId="77777777" w:rsidR="00E75380" w:rsidRPr="00C120C0" w:rsidRDefault="008369A3" w:rsidP="00F0126F">
            <w:pPr>
              <w:pStyle w:val="IATableLines"/>
            </w:pPr>
            <w:r>
              <w:fldChar w:fldCharType="begin">
                <w:ffData>
                  <w:name w:val="IAIOA2"/>
                  <w:enabled/>
                  <w:calcOnExit w:val="0"/>
                  <w:textInput>
                    <w:default w:val="Maximum of 7 lines"/>
                    <w:maxLength w:val="800"/>
                  </w:textInput>
                </w:ffData>
              </w:fldChar>
            </w:r>
            <w:r>
              <w:instrText xml:space="preserve"> FORMTEXT </w:instrText>
            </w:r>
            <w:r>
              <w:fldChar w:fldCharType="separate"/>
            </w:r>
            <w:r w:rsidR="00C16B23">
              <w:t xml:space="preserve">The policy objectives are to lift restrictions on fund-raising for charities using </w:t>
            </w:r>
            <w:r w:rsidR="00242160">
              <w:t xml:space="preserve">incidental </w:t>
            </w:r>
            <w:r w:rsidR="00C16B23">
              <w:t xml:space="preserve">non-commercial, private society, work and residents' lotteries. Currently restrictions on these types of lottery limit or ban raising money for charities. The intended effects </w:t>
            </w:r>
            <w:r w:rsidR="00F0126F">
              <w:t>are</w:t>
            </w:r>
            <w:r w:rsidR="00C16B23">
              <w:t xml:space="preserve"> to allow business, organisations and </w:t>
            </w:r>
            <w:r w:rsidR="00F0126F">
              <w:t>individuals to use these type of lotteries to raise money for charities and therefore</w:t>
            </w:r>
            <w:r w:rsidR="00242160">
              <w:t xml:space="preserve"> the</w:t>
            </w:r>
            <w:r w:rsidR="00F0126F">
              <w:t xml:space="preserve"> benefit</w:t>
            </w:r>
            <w:r w:rsidR="00242160">
              <w:t xml:space="preserve"> of wider</w:t>
            </w:r>
            <w:r w:rsidR="00F0126F">
              <w:t xml:space="preserve"> society. </w:t>
            </w:r>
            <w:r w:rsidR="00C16B23">
              <w:t xml:space="preserve"> </w:t>
            </w:r>
            <w:r>
              <w:fldChar w:fldCharType="end"/>
            </w:r>
            <w:bookmarkEnd w:id="20"/>
          </w:p>
        </w:tc>
      </w:tr>
    </w:tbl>
    <w:p w14:paraId="1C18AF90" w14:textId="77777777" w:rsidR="007208D9" w:rsidRPr="00826F71"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686F5E" w:rsidRPr="00826F71" w14:paraId="1C18AF97" w14:textId="77777777" w:rsidTr="00E75380">
        <w:trPr>
          <w:trHeight w:hRule="exact" w:val="3179"/>
        </w:trPr>
        <w:tc>
          <w:tcPr>
            <w:tcW w:w="9648" w:type="dxa"/>
          </w:tcPr>
          <w:p w14:paraId="1C18AF91" w14:textId="77777777" w:rsidR="00686F5E" w:rsidRPr="00826F71" w:rsidRDefault="00686F5E" w:rsidP="008369A3">
            <w:pPr>
              <w:pStyle w:val="IAIOQ3"/>
            </w:pPr>
            <w:bookmarkStart w:id="21" w:name="IAIOQ3"/>
            <w:bookmarkStart w:id="22" w:name="Summary3"/>
            <w:r>
              <w:t>What policy options have been considered</w:t>
            </w:r>
            <w:r w:rsidR="005D6EA8">
              <w:t>, including any alternatives to regulation</w:t>
            </w:r>
            <w:r>
              <w:t>? Please justify preferred option (further details in Evidence Base)</w:t>
            </w:r>
            <w:bookmarkEnd w:id="21"/>
          </w:p>
          <w:bookmarkStart w:id="23" w:name="IAIOA3"/>
          <w:p w14:paraId="1C18AF92" w14:textId="77777777" w:rsidR="00F0126F" w:rsidRDefault="008369A3" w:rsidP="00F0126F">
            <w:pPr>
              <w:pStyle w:val="IATableLines"/>
            </w:pPr>
            <w:r>
              <w:fldChar w:fldCharType="begin">
                <w:ffData>
                  <w:name w:val="IAIOA3"/>
                  <w:enabled/>
                  <w:calcOnExit w:val="0"/>
                  <w:textInput>
                    <w:default w:val="Maximum of 10 lines"/>
                    <w:maxLength w:val="1100"/>
                  </w:textInput>
                </w:ffData>
              </w:fldChar>
            </w:r>
            <w:r>
              <w:instrText xml:space="preserve"> FORMTEXT </w:instrText>
            </w:r>
            <w:r>
              <w:fldChar w:fldCharType="separate"/>
            </w:r>
            <w:r w:rsidR="00F0126F">
              <w:t>Policy Option 0: Do nothing</w:t>
            </w:r>
            <w:r w:rsidR="00F50764">
              <w:t>.</w:t>
            </w:r>
          </w:p>
          <w:p w14:paraId="1C18AF93" w14:textId="77777777" w:rsidR="00F0126F" w:rsidRDefault="00F0126F" w:rsidP="00F0126F">
            <w:pPr>
              <w:pStyle w:val="IATableLines"/>
            </w:pPr>
          </w:p>
          <w:p w14:paraId="1C18AF94" w14:textId="77777777" w:rsidR="00F0126F" w:rsidRDefault="00F0126F" w:rsidP="00F0126F">
            <w:pPr>
              <w:pStyle w:val="IATableLines"/>
            </w:pPr>
            <w:r>
              <w:t xml:space="preserve">Policy Option 1: Lift </w:t>
            </w:r>
            <w:r w:rsidR="00F50764">
              <w:t>existingr</w:t>
            </w:r>
            <w:r>
              <w:t xml:space="preserve">estrictions </w:t>
            </w:r>
            <w:r w:rsidR="00F50764">
              <w:t xml:space="preserve">on certain small scale lotteries (raffles) </w:t>
            </w:r>
            <w:r>
              <w:t>by amending the Gambling Act 2005</w:t>
            </w:r>
            <w:r w:rsidR="00F50764">
              <w:t>.</w:t>
            </w:r>
          </w:p>
          <w:p w14:paraId="1C18AF95" w14:textId="77777777" w:rsidR="00F0126F" w:rsidRDefault="00F0126F" w:rsidP="00F0126F">
            <w:pPr>
              <w:pStyle w:val="IATableLines"/>
            </w:pPr>
          </w:p>
          <w:p w14:paraId="1C18AF96" w14:textId="77777777" w:rsidR="00D50283" w:rsidRPr="00C120C0" w:rsidRDefault="00F0126F" w:rsidP="00E12C40">
            <w:pPr>
              <w:pStyle w:val="IATableLines"/>
            </w:pPr>
            <w:r>
              <w:t>Policy Option 1 is the preferred option. Under this option charities will benefit from a greater ability to fund-raise.</w:t>
            </w:r>
            <w:r w:rsidR="00A56D87">
              <w:t xml:space="preserve"> There was strong support for this option </w:t>
            </w:r>
            <w:r w:rsidR="00E12C40">
              <w:t>in the consultation.</w:t>
            </w:r>
            <w:r w:rsidR="008369A3">
              <w:fldChar w:fldCharType="end"/>
            </w:r>
            <w:bookmarkEnd w:id="23"/>
          </w:p>
        </w:tc>
      </w:tr>
    </w:tbl>
    <w:p w14:paraId="1C18AF98" w14:textId="77777777" w:rsidR="00686F5E" w:rsidRDefault="00686F5E">
      <w:pPr>
        <w:pStyle w:val="IASpacer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15"/>
      </w:tblGrid>
      <w:tr w:rsidR="00720FFE" w14:paraId="1C18AF9A" w14:textId="77777777" w:rsidTr="006E446A">
        <w:tc>
          <w:tcPr>
            <w:tcW w:w="5000" w:type="pct"/>
            <w:shd w:val="clear" w:color="auto" w:fill="auto"/>
          </w:tcPr>
          <w:p w14:paraId="1C18AF99" w14:textId="77777777" w:rsidR="00720FFE" w:rsidRPr="006E446A" w:rsidRDefault="00720FFE" w:rsidP="00332B05">
            <w:pPr>
              <w:pStyle w:val="IATableLabel"/>
              <w:rPr>
                <w:b w:val="0"/>
                <w:sz w:val="22"/>
                <w:szCs w:val="22"/>
              </w:rPr>
            </w:pPr>
            <w:r w:rsidRPr="00D02C89">
              <w:t xml:space="preserve">Will the policy be reviewed?  </w:t>
            </w:r>
            <w:r w:rsidRPr="006E446A">
              <w:rPr>
                <w:b w:val="0"/>
                <w:sz w:val="22"/>
                <w:szCs w:val="22"/>
              </w:rPr>
              <w:t xml:space="preserve">It </w:t>
            </w:r>
            <w:bookmarkStart w:id="24" w:name="IAPolicyReview"/>
            <w:r w:rsidR="00BB249D" w:rsidRPr="006E446A">
              <w:rPr>
                <w:rStyle w:val="IAIOPolicyReviewChar"/>
              </w:rPr>
              <w:fldChar w:fldCharType="begin">
                <w:ffData>
                  <w:name w:val="IAPolicyReview"/>
                  <w:enabled/>
                  <w:calcOnExit w:val="0"/>
                  <w:ddList>
                    <w:result w:val="2"/>
                    <w:listEntry w:val="will/will not"/>
                    <w:listEntry w:val="will"/>
                    <w:listEntry w:val="will not"/>
                  </w:ddList>
                </w:ffData>
              </w:fldChar>
            </w:r>
            <w:r w:rsidR="00BB249D" w:rsidRPr="006E446A">
              <w:rPr>
                <w:rStyle w:val="IAIOPolicyReviewChar"/>
              </w:rPr>
              <w:instrText xml:space="preserve"> FORMDROPDOWN </w:instrText>
            </w:r>
            <w:r w:rsidR="00915A56">
              <w:rPr>
                <w:rStyle w:val="IAIOPolicyReviewChar"/>
              </w:rPr>
            </w:r>
            <w:r w:rsidR="00915A56">
              <w:rPr>
                <w:rStyle w:val="IAIOPolicyReviewChar"/>
              </w:rPr>
              <w:fldChar w:fldCharType="separate"/>
            </w:r>
            <w:r w:rsidR="00BB249D" w:rsidRPr="006E446A">
              <w:rPr>
                <w:rStyle w:val="IAIOPolicyReviewChar"/>
              </w:rPr>
              <w:fldChar w:fldCharType="end"/>
            </w:r>
            <w:bookmarkEnd w:id="24"/>
            <w:r w:rsidRPr="006E446A">
              <w:rPr>
                <w:b w:val="0"/>
                <w:sz w:val="22"/>
                <w:szCs w:val="22"/>
              </w:rPr>
              <w:t xml:space="preserve"> be reviewed.</w:t>
            </w:r>
            <w:r w:rsidRPr="006E446A">
              <w:rPr>
                <w:sz w:val="22"/>
                <w:szCs w:val="22"/>
              </w:rPr>
              <w:t xml:space="preserve"> </w:t>
            </w:r>
            <w:r w:rsidRPr="00D02C89">
              <w:t xml:space="preserve"> If applicable, set review date:  </w:t>
            </w:r>
            <w:bookmarkStart w:id="25" w:name="IAReviewMonth"/>
            <w:r w:rsidR="00BB249D" w:rsidRPr="006E446A">
              <w:rPr>
                <w:rStyle w:val="IAIOReviewMonthChar"/>
              </w:rPr>
              <w:fldChar w:fldCharType="begin">
                <w:ffData>
                  <w:name w:val="IAReviewMonth"/>
                  <w:enabled/>
                  <w:calcOnExit w:val="0"/>
                  <w:ddList>
                    <w:listEntry w:val="Month"/>
                    <w:listEntry w:val="01"/>
                    <w:listEntry w:val="02"/>
                    <w:listEntry w:val="03"/>
                    <w:listEntry w:val="04"/>
                    <w:listEntry w:val="05"/>
                    <w:listEntry w:val="06"/>
                    <w:listEntry w:val="07"/>
                    <w:listEntry w:val="08"/>
                    <w:listEntry w:val="09"/>
                    <w:listEntry w:val="10"/>
                    <w:listEntry w:val="11"/>
                    <w:listEntry w:val="12"/>
                  </w:ddList>
                </w:ffData>
              </w:fldChar>
            </w:r>
            <w:r w:rsidR="00BB249D" w:rsidRPr="006E446A">
              <w:rPr>
                <w:rStyle w:val="IAIOReviewMonthChar"/>
              </w:rPr>
              <w:instrText xml:space="preserve"> FORMDROPDOWN </w:instrText>
            </w:r>
            <w:r w:rsidR="00915A56">
              <w:rPr>
                <w:rStyle w:val="IAIOReviewMonthChar"/>
              </w:rPr>
            </w:r>
            <w:r w:rsidR="00915A56">
              <w:rPr>
                <w:rStyle w:val="IAIOReviewMonthChar"/>
              </w:rPr>
              <w:fldChar w:fldCharType="separate"/>
            </w:r>
            <w:r w:rsidR="00BB249D" w:rsidRPr="006E446A">
              <w:rPr>
                <w:rStyle w:val="IAIOReviewMonthChar"/>
              </w:rPr>
              <w:fldChar w:fldCharType="end"/>
            </w:r>
            <w:bookmarkEnd w:id="25"/>
            <w:r w:rsidRPr="006E446A">
              <w:rPr>
                <w:b w:val="0"/>
                <w:sz w:val="22"/>
                <w:szCs w:val="22"/>
              </w:rPr>
              <w:t>/</w:t>
            </w:r>
            <w:bookmarkStart w:id="26" w:name="IAReviewYear"/>
            <w:r w:rsidR="00BB249D" w:rsidRPr="006E446A">
              <w:rPr>
                <w:rStyle w:val="IAIOReviewYearChar"/>
              </w:rPr>
              <w:fldChar w:fldCharType="begin">
                <w:ffData>
                  <w:name w:val="IAReviewYear"/>
                  <w:enabled/>
                  <w:calcOnExit w:val="0"/>
                  <w:ddList>
                    <w:listEntry w:val="Year"/>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00BB249D" w:rsidRPr="006E446A">
              <w:rPr>
                <w:rStyle w:val="IAIOReviewYearChar"/>
              </w:rPr>
              <w:instrText xml:space="preserve"> FORMDROPDOWN </w:instrText>
            </w:r>
            <w:r w:rsidR="00915A56">
              <w:rPr>
                <w:rStyle w:val="IAIOReviewYearChar"/>
              </w:rPr>
            </w:r>
            <w:r w:rsidR="00915A56">
              <w:rPr>
                <w:rStyle w:val="IAIOReviewYearChar"/>
              </w:rPr>
              <w:fldChar w:fldCharType="separate"/>
            </w:r>
            <w:r w:rsidR="00BB249D" w:rsidRPr="006E446A">
              <w:rPr>
                <w:rStyle w:val="IAIOReviewYearChar"/>
              </w:rPr>
              <w:fldChar w:fldCharType="end"/>
            </w:r>
            <w:bookmarkEnd w:id="26"/>
          </w:p>
        </w:tc>
      </w:tr>
    </w:tbl>
    <w:p w14:paraId="1C18AF9B" w14:textId="77777777" w:rsidR="006E446A" w:rsidRPr="006E446A" w:rsidRDefault="006E446A" w:rsidP="006E446A">
      <w:pPr>
        <w:rPr>
          <w:vanish/>
        </w:rPr>
      </w:pPr>
      <w:bookmarkStart w:id="27" w:name="Summary4"/>
      <w:bookmarkEnd w:id="22"/>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0" w:type="dxa"/>
          <w:right w:w="0" w:type="dxa"/>
        </w:tblCellMar>
        <w:tblLook w:val="01E0" w:firstRow="1" w:lastRow="1" w:firstColumn="1" w:lastColumn="1" w:noHBand="0" w:noVBand="0"/>
      </w:tblPr>
      <w:tblGrid>
        <w:gridCol w:w="5286"/>
        <w:gridCol w:w="983"/>
        <w:gridCol w:w="983"/>
        <w:gridCol w:w="983"/>
        <w:gridCol w:w="348"/>
        <w:gridCol w:w="635"/>
        <w:gridCol w:w="983"/>
      </w:tblGrid>
      <w:tr w:rsidR="006656EC" w:rsidRPr="00D50283" w14:paraId="1C18AF9E" w14:textId="77777777" w:rsidTr="006656EC">
        <w:trPr>
          <w:trHeight w:hRule="exact" w:val="340"/>
        </w:trPr>
        <w:tc>
          <w:tcPr>
            <w:tcW w:w="7252" w:type="dxa"/>
            <w:gridSpan w:val="3"/>
            <w:shd w:val="clear" w:color="auto" w:fill="E0E0E0"/>
            <w:vAlign w:val="center"/>
          </w:tcPr>
          <w:p w14:paraId="1C18AF9C" w14:textId="77777777" w:rsidR="006656EC" w:rsidRPr="00D50283" w:rsidRDefault="006656EC" w:rsidP="006A0557">
            <w:pPr>
              <w:pStyle w:val="IATableText"/>
              <w:spacing w:before="0" w:after="0"/>
              <w:rPr>
                <w:sz w:val="20"/>
              </w:rPr>
            </w:pPr>
            <w:r w:rsidRPr="00D50283">
              <w:rPr>
                <w:iCs/>
                <w:sz w:val="20"/>
              </w:rPr>
              <w:t>Does implementation go beyond minimum EU requirements?</w:t>
            </w:r>
          </w:p>
        </w:tc>
        <w:bookmarkStart w:id="28" w:name="IACheckEU"/>
        <w:tc>
          <w:tcPr>
            <w:tcW w:w="2949" w:type="dxa"/>
            <w:gridSpan w:val="4"/>
            <w:tcBorders>
              <w:bottom w:val="single" w:sz="4" w:space="0" w:color="auto"/>
            </w:tcBorders>
            <w:shd w:val="clear" w:color="auto" w:fill="E0E0E0"/>
            <w:vAlign w:val="center"/>
          </w:tcPr>
          <w:p w14:paraId="1C18AF9D" w14:textId="77777777" w:rsidR="006656EC" w:rsidRPr="00D50283" w:rsidRDefault="00BB249D" w:rsidP="00F91F5A">
            <w:pPr>
              <w:pStyle w:val="IAIOCheckEU"/>
            </w:pPr>
            <w:r>
              <w:fldChar w:fldCharType="begin">
                <w:ffData>
                  <w:name w:val="IACheckEU"/>
                  <w:enabled/>
                  <w:calcOnExit w:val="0"/>
                  <w:ddList>
                    <w:result w:val="3"/>
                    <w:listEntry w:val="Yes / No / N/A"/>
                    <w:listEntry w:val="Yes"/>
                    <w:listEntry w:val="No"/>
                    <w:listEntry w:val="N/A"/>
                  </w:ddList>
                </w:ffData>
              </w:fldChar>
            </w:r>
            <w:r>
              <w:instrText xml:space="preserve"> FORMDROPDOWN </w:instrText>
            </w:r>
            <w:r w:rsidR="00915A56">
              <w:fldChar w:fldCharType="separate"/>
            </w:r>
            <w:r>
              <w:fldChar w:fldCharType="end"/>
            </w:r>
            <w:bookmarkEnd w:id="28"/>
          </w:p>
        </w:tc>
      </w:tr>
      <w:tr w:rsidR="006656EC" w:rsidRPr="00D50283" w14:paraId="1C18AFA6" w14:textId="77777777" w:rsidTr="006656EC">
        <w:trPr>
          <w:trHeight w:val="460"/>
        </w:trPr>
        <w:tc>
          <w:tcPr>
            <w:tcW w:w="5286" w:type="dxa"/>
            <w:shd w:val="clear" w:color="auto" w:fill="E0E0E0"/>
            <w:vAlign w:val="center"/>
          </w:tcPr>
          <w:p w14:paraId="1C18AF9F" w14:textId="77777777" w:rsidR="006656EC" w:rsidRPr="00D50283" w:rsidRDefault="006656EC" w:rsidP="006A0557">
            <w:pPr>
              <w:pStyle w:val="IATableText"/>
              <w:spacing w:before="0" w:after="0"/>
              <w:rPr>
                <w:sz w:val="20"/>
              </w:rPr>
            </w:pPr>
            <w:r w:rsidRPr="00D50283">
              <w:rPr>
                <w:rFonts w:cs="Arial"/>
                <w:sz w:val="20"/>
              </w:rPr>
              <w:t>Are a</w:t>
            </w:r>
            <w:r>
              <w:rPr>
                <w:rFonts w:cs="Arial"/>
                <w:sz w:val="20"/>
              </w:rPr>
              <w:t>ny of these organisations in scope</w:t>
            </w:r>
            <w:r w:rsidRPr="00D50283">
              <w:rPr>
                <w:rFonts w:cs="Arial"/>
                <w:sz w:val="20"/>
              </w:rPr>
              <w:t>?</w:t>
            </w:r>
            <w:r>
              <w:rPr>
                <w:rFonts w:cs="Arial"/>
                <w:sz w:val="20"/>
              </w:rPr>
              <w:t xml:space="preserve"> If Micros not exempted set out reason in Evidence Base.</w:t>
            </w:r>
          </w:p>
        </w:tc>
        <w:tc>
          <w:tcPr>
            <w:tcW w:w="983" w:type="dxa"/>
            <w:shd w:val="clear" w:color="auto" w:fill="E0E0E0"/>
            <w:vAlign w:val="center"/>
          </w:tcPr>
          <w:p w14:paraId="1C18AFA0" w14:textId="77777777" w:rsidR="006656EC" w:rsidRPr="00720FFE" w:rsidRDefault="006656EC" w:rsidP="006A0557">
            <w:pPr>
              <w:pStyle w:val="IATableLines"/>
              <w:rPr>
                <w:b/>
                <w:color w:val="000000"/>
                <w:sz w:val="20"/>
              </w:rPr>
            </w:pPr>
            <w:r w:rsidRPr="00720FFE">
              <w:rPr>
                <w:b/>
                <w:color w:val="000000"/>
                <w:sz w:val="20"/>
              </w:rPr>
              <w:t>Micro</w:t>
            </w:r>
            <w:bookmarkStart w:id="29" w:name="IACheckMicro"/>
            <w:r w:rsidR="00586D82" w:rsidRPr="00817638">
              <w:rPr>
                <w:rStyle w:val="IAIOCheckMicroChar"/>
                <w:b w:val="0"/>
                <w:sz w:val="20"/>
              </w:rPr>
              <w:fldChar w:fldCharType="begin">
                <w:ffData>
                  <w:name w:val="IACheckMicro"/>
                  <w:enabled/>
                  <w:calcOnExit w:val="0"/>
                  <w:ddList>
                    <w:result w:val="1"/>
                    <w:listEntry w:val="Yes/No"/>
                    <w:listEntry w:val="Yes"/>
                    <w:listEntry w:val="No"/>
                  </w:ddList>
                </w:ffData>
              </w:fldChar>
            </w:r>
            <w:r w:rsidR="00586D82" w:rsidRPr="00817638">
              <w:rPr>
                <w:rStyle w:val="IAIOCheckMicroChar"/>
                <w:b w:val="0"/>
                <w:sz w:val="20"/>
              </w:rPr>
              <w:instrText xml:space="preserve"> FORMDROPDOWN </w:instrText>
            </w:r>
            <w:r w:rsidR="00915A56">
              <w:rPr>
                <w:rStyle w:val="IAIOCheckMicroChar"/>
                <w:b w:val="0"/>
                <w:sz w:val="20"/>
              </w:rPr>
            </w:r>
            <w:r w:rsidR="00915A56">
              <w:rPr>
                <w:rStyle w:val="IAIOCheckMicroChar"/>
                <w:b w:val="0"/>
                <w:sz w:val="20"/>
              </w:rPr>
              <w:fldChar w:fldCharType="separate"/>
            </w:r>
            <w:r w:rsidR="00586D82" w:rsidRPr="00817638">
              <w:rPr>
                <w:rStyle w:val="IAIOCheckMicroChar"/>
                <w:b w:val="0"/>
                <w:sz w:val="20"/>
              </w:rPr>
              <w:fldChar w:fldCharType="end"/>
            </w:r>
            <w:bookmarkEnd w:id="29"/>
          </w:p>
        </w:tc>
        <w:tc>
          <w:tcPr>
            <w:tcW w:w="983" w:type="dxa"/>
            <w:shd w:val="clear" w:color="auto" w:fill="E0E0E0"/>
            <w:vAlign w:val="center"/>
          </w:tcPr>
          <w:p w14:paraId="1C18AFA1" w14:textId="77777777" w:rsidR="00586D82" w:rsidRDefault="006656EC" w:rsidP="006A0557">
            <w:pPr>
              <w:pStyle w:val="IATableLines"/>
              <w:rPr>
                <w:b/>
                <w:color w:val="000000"/>
                <w:sz w:val="20"/>
              </w:rPr>
            </w:pPr>
            <w:r w:rsidRPr="00720FFE">
              <w:rPr>
                <w:b/>
                <w:color w:val="000000"/>
                <w:sz w:val="20"/>
              </w:rPr>
              <w:t>&lt; 20</w:t>
            </w:r>
          </w:p>
          <w:p w14:paraId="1C18AFA2" w14:textId="77777777" w:rsidR="006656EC" w:rsidRPr="00720FFE" w:rsidRDefault="00BB249D" w:rsidP="00D478C9">
            <w:pPr>
              <w:pStyle w:val="IAIOCheck20"/>
              <w:rPr>
                <w:b/>
                <w:color w:val="000000"/>
              </w:rPr>
            </w:pPr>
            <w:r>
              <w:rPr>
                <w:b/>
                <w:color w:val="000000"/>
              </w:rPr>
              <w:t xml:space="preserve"> </w:t>
            </w:r>
            <w:bookmarkStart w:id="30" w:name="IACheck20"/>
            <w:r w:rsidR="00072272">
              <w:fldChar w:fldCharType="begin">
                <w:ffData>
                  <w:name w:val="IACheck20"/>
                  <w:enabled/>
                  <w:calcOnExit w:val="0"/>
                  <w:ddList>
                    <w:result w:val="1"/>
                    <w:listEntry w:val="Yes/No"/>
                    <w:listEntry w:val="Yes"/>
                    <w:listEntry w:val="No"/>
                  </w:ddList>
                </w:ffData>
              </w:fldChar>
            </w:r>
            <w:r w:rsidR="00072272">
              <w:instrText xml:space="preserve"> FORMDROPDOWN </w:instrText>
            </w:r>
            <w:r w:rsidR="00915A56">
              <w:fldChar w:fldCharType="separate"/>
            </w:r>
            <w:r w:rsidR="00072272">
              <w:fldChar w:fldCharType="end"/>
            </w:r>
            <w:bookmarkEnd w:id="30"/>
          </w:p>
        </w:tc>
        <w:tc>
          <w:tcPr>
            <w:tcW w:w="983" w:type="dxa"/>
            <w:shd w:val="clear" w:color="auto" w:fill="E0E0E0"/>
            <w:vAlign w:val="center"/>
          </w:tcPr>
          <w:p w14:paraId="1C18AFA3" w14:textId="77777777" w:rsidR="006656EC" w:rsidRPr="00720FFE" w:rsidRDefault="006656EC" w:rsidP="006A0557">
            <w:pPr>
              <w:pStyle w:val="IATableLines"/>
              <w:rPr>
                <w:b/>
                <w:color w:val="000000"/>
                <w:sz w:val="20"/>
              </w:rPr>
            </w:pPr>
            <w:r w:rsidRPr="00720FFE">
              <w:rPr>
                <w:b/>
                <w:color w:val="000000"/>
                <w:sz w:val="20"/>
              </w:rPr>
              <w:t>Small</w:t>
            </w:r>
            <w:bookmarkStart w:id="31" w:name="IACheckSmall"/>
            <w:r w:rsidR="00072272" w:rsidRPr="00817638">
              <w:rPr>
                <w:rStyle w:val="IAIOCheckSmallChar"/>
                <w:b w:val="0"/>
                <w:sz w:val="20"/>
              </w:rPr>
              <w:fldChar w:fldCharType="begin">
                <w:ffData>
                  <w:name w:val="IACheckSmall"/>
                  <w:enabled/>
                  <w:calcOnExit w:val="0"/>
                  <w:ddList>
                    <w:result w:val="1"/>
                    <w:listEntry w:val="Yes/No"/>
                    <w:listEntry w:val="Yes"/>
                    <w:listEntry w:val="No"/>
                  </w:ddList>
                </w:ffData>
              </w:fldChar>
            </w:r>
            <w:r w:rsidR="00072272" w:rsidRPr="00817638">
              <w:rPr>
                <w:rStyle w:val="IAIOCheckSmallChar"/>
                <w:b w:val="0"/>
                <w:sz w:val="20"/>
              </w:rPr>
              <w:instrText xml:space="preserve"> FORMDROPDOWN </w:instrText>
            </w:r>
            <w:r w:rsidR="00915A56">
              <w:rPr>
                <w:rStyle w:val="IAIOCheckSmallChar"/>
                <w:b w:val="0"/>
                <w:sz w:val="20"/>
              </w:rPr>
            </w:r>
            <w:r w:rsidR="00915A56">
              <w:rPr>
                <w:rStyle w:val="IAIOCheckSmallChar"/>
                <w:b w:val="0"/>
                <w:sz w:val="20"/>
              </w:rPr>
              <w:fldChar w:fldCharType="separate"/>
            </w:r>
            <w:r w:rsidR="00072272" w:rsidRPr="00817638">
              <w:rPr>
                <w:rStyle w:val="IAIOCheckSmallChar"/>
                <w:b w:val="0"/>
                <w:sz w:val="20"/>
              </w:rPr>
              <w:fldChar w:fldCharType="end"/>
            </w:r>
            <w:bookmarkEnd w:id="31"/>
          </w:p>
        </w:tc>
        <w:tc>
          <w:tcPr>
            <w:tcW w:w="983" w:type="dxa"/>
            <w:gridSpan w:val="2"/>
            <w:shd w:val="clear" w:color="auto" w:fill="E0E0E0"/>
            <w:vAlign w:val="center"/>
          </w:tcPr>
          <w:p w14:paraId="1C18AFA4" w14:textId="77777777" w:rsidR="006656EC" w:rsidRPr="00720FFE" w:rsidRDefault="006656EC" w:rsidP="006A0557">
            <w:pPr>
              <w:pStyle w:val="IATableLines"/>
              <w:rPr>
                <w:b/>
                <w:color w:val="000000"/>
                <w:sz w:val="20"/>
              </w:rPr>
            </w:pPr>
            <w:r w:rsidRPr="00720FFE">
              <w:rPr>
                <w:b/>
                <w:color w:val="000000"/>
                <w:sz w:val="20"/>
              </w:rPr>
              <w:t>Medium</w:t>
            </w:r>
            <w:bookmarkStart w:id="32" w:name="IACheckMedium"/>
            <w:r w:rsidR="00072272" w:rsidRPr="00817638">
              <w:rPr>
                <w:rStyle w:val="IAIOCheckMediumChar"/>
                <w:b w:val="0"/>
                <w:sz w:val="20"/>
              </w:rPr>
              <w:fldChar w:fldCharType="begin">
                <w:ffData>
                  <w:name w:val="IACheckMedium"/>
                  <w:enabled/>
                  <w:calcOnExit w:val="0"/>
                  <w:ddList>
                    <w:result w:val="1"/>
                    <w:listEntry w:val="Yes/No"/>
                    <w:listEntry w:val="Yes"/>
                    <w:listEntry w:val="No"/>
                  </w:ddList>
                </w:ffData>
              </w:fldChar>
            </w:r>
            <w:r w:rsidR="00072272" w:rsidRPr="00817638">
              <w:rPr>
                <w:rStyle w:val="IAIOCheckMediumChar"/>
                <w:b w:val="0"/>
                <w:sz w:val="20"/>
              </w:rPr>
              <w:instrText xml:space="preserve"> FORMDROPDOWN </w:instrText>
            </w:r>
            <w:r w:rsidR="00915A56">
              <w:rPr>
                <w:rStyle w:val="IAIOCheckMediumChar"/>
                <w:b w:val="0"/>
                <w:sz w:val="20"/>
              </w:rPr>
            </w:r>
            <w:r w:rsidR="00915A56">
              <w:rPr>
                <w:rStyle w:val="IAIOCheckMediumChar"/>
                <w:b w:val="0"/>
                <w:sz w:val="20"/>
              </w:rPr>
              <w:fldChar w:fldCharType="separate"/>
            </w:r>
            <w:r w:rsidR="00072272" w:rsidRPr="00817638">
              <w:rPr>
                <w:rStyle w:val="IAIOCheckMediumChar"/>
                <w:b w:val="0"/>
                <w:sz w:val="20"/>
              </w:rPr>
              <w:fldChar w:fldCharType="end"/>
            </w:r>
            <w:bookmarkEnd w:id="32"/>
          </w:p>
        </w:tc>
        <w:tc>
          <w:tcPr>
            <w:tcW w:w="983" w:type="dxa"/>
            <w:shd w:val="clear" w:color="auto" w:fill="E0E0E0"/>
            <w:vAlign w:val="center"/>
          </w:tcPr>
          <w:p w14:paraId="1C18AFA5" w14:textId="77777777" w:rsidR="006656EC" w:rsidRPr="00720FFE" w:rsidRDefault="006656EC" w:rsidP="006A0557">
            <w:pPr>
              <w:pStyle w:val="IATableLines"/>
              <w:rPr>
                <w:b/>
                <w:color w:val="000000"/>
                <w:sz w:val="20"/>
              </w:rPr>
            </w:pPr>
            <w:r w:rsidRPr="00720FFE">
              <w:rPr>
                <w:b/>
                <w:color w:val="000000"/>
                <w:sz w:val="20"/>
              </w:rPr>
              <w:t>Large</w:t>
            </w:r>
            <w:bookmarkStart w:id="33" w:name="IACheckLarge"/>
            <w:r w:rsidR="00072272" w:rsidRPr="00817638">
              <w:rPr>
                <w:rStyle w:val="IAIOCheckLargeChar"/>
                <w:b w:val="0"/>
                <w:sz w:val="20"/>
              </w:rPr>
              <w:fldChar w:fldCharType="begin">
                <w:ffData>
                  <w:name w:val="IACheckLarge"/>
                  <w:enabled/>
                  <w:calcOnExit w:val="0"/>
                  <w:ddList>
                    <w:result w:val="1"/>
                    <w:listEntry w:val="Yes/No"/>
                    <w:listEntry w:val="Yes"/>
                    <w:listEntry w:val="No"/>
                  </w:ddList>
                </w:ffData>
              </w:fldChar>
            </w:r>
            <w:r w:rsidR="00072272" w:rsidRPr="00817638">
              <w:rPr>
                <w:rStyle w:val="IAIOCheckLargeChar"/>
                <w:b w:val="0"/>
                <w:sz w:val="20"/>
              </w:rPr>
              <w:instrText xml:space="preserve"> FORMDROPDOWN </w:instrText>
            </w:r>
            <w:r w:rsidR="00915A56">
              <w:rPr>
                <w:rStyle w:val="IAIOCheckLargeChar"/>
                <w:b w:val="0"/>
                <w:sz w:val="20"/>
              </w:rPr>
            </w:r>
            <w:r w:rsidR="00915A56">
              <w:rPr>
                <w:rStyle w:val="IAIOCheckLargeChar"/>
                <w:b w:val="0"/>
                <w:sz w:val="20"/>
              </w:rPr>
              <w:fldChar w:fldCharType="separate"/>
            </w:r>
            <w:r w:rsidR="00072272" w:rsidRPr="00817638">
              <w:rPr>
                <w:rStyle w:val="IAIOCheckLargeChar"/>
                <w:b w:val="0"/>
                <w:sz w:val="20"/>
              </w:rPr>
              <w:fldChar w:fldCharType="end"/>
            </w:r>
            <w:bookmarkEnd w:id="33"/>
          </w:p>
        </w:tc>
      </w:tr>
      <w:tr w:rsidR="00817638" w14:paraId="1C18AFAA" w14:textId="77777777" w:rsidTr="006656EC">
        <w:tblPrEx>
          <w:shd w:val="clear" w:color="auto" w:fill="auto"/>
        </w:tblPrEx>
        <w:trPr>
          <w:trHeight w:hRule="exact" w:val="567"/>
        </w:trPr>
        <w:tc>
          <w:tcPr>
            <w:tcW w:w="725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C18AFA7" w14:textId="77777777" w:rsidR="00817638" w:rsidRDefault="00817638" w:rsidP="006A0557">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 xml:space="preserve">(Million tonnes </w:t>
            </w:r>
            <w:r w:rsidR="00FC07D5">
              <w:rPr>
                <w:rFonts w:cs="Arial"/>
                <w:sz w:val="20"/>
              </w:rPr>
              <w:t>CO</w:t>
            </w:r>
            <w:r w:rsidR="00FC07D5" w:rsidRPr="00FC07D5">
              <w:rPr>
                <w:rFonts w:cs="Arial"/>
                <w:sz w:val="20"/>
                <w:vertAlign w:val="subscript"/>
              </w:rPr>
              <w:t>2</w:t>
            </w:r>
            <w:r>
              <w:rPr>
                <w:rFonts w:cs="Arial"/>
                <w:sz w:val="20"/>
              </w:rPr>
              <w:t xml:space="preserve"> equivalent)</w:t>
            </w:r>
            <w:r>
              <w:rPr>
                <w:spacing w:val="0"/>
                <w:sz w:val="18"/>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E0E0E0"/>
          </w:tcPr>
          <w:p w14:paraId="1C18AFA8" w14:textId="77777777" w:rsidR="00817638" w:rsidRDefault="00817638" w:rsidP="00E12C40">
            <w:pPr>
              <w:pStyle w:val="IATableLabel"/>
            </w:pPr>
            <w:r>
              <w:t xml:space="preserve">Traded:   </w:t>
            </w:r>
            <w:r>
              <w:br/>
            </w:r>
            <w:bookmarkStart w:id="34" w:name="IACO2Traded"/>
            <w:r w:rsidRPr="00335C9A">
              <w:rPr>
                <w:rStyle w:val="IAIOCO2TradedChar"/>
                <w:sz w:val="20"/>
              </w:rPr>
              <w:fldChar w:fldCharType="begin">
                <w:ffData>
                  <w:name w:val="IACO2Traded"/>
                  <w:enabled/>
                  <w:calcOnExit w:val="0"/>
                  <w:textInput>
                    <w:maxLength w:val="8"/>
                  </w:textInput>
                </w:ffData>
              </w:fldChar>
            </w:r>
            <w:r w:rsidRPr="00335C9A">
              <w:rPr>
                <w:rStyle w:val="IAIOCO2TradedChar"/>
                <w:sz w:val="20"/>
              </w:rPr>
              <w:instrText xml:space="preserve"> FORMTEXT </w:instrText>
            </w:r>
            <w:r w:rsidRPr="00335C9A">
              <w:rPr>
                <w:rStyle w:val="IAIOCO2TradedChar"/>
                <w:sz w:val="20"/>
              </w:rPr>
            </w:r>
            <w:r w:rsidRPr="00335C9A">
              <w:rPr>
                <w:rStyle w:val="IAIOCO2TradedChar"/>
                <w:sz w:val="20"/>
              </w:rPr>
              <w:fldChar w:fldCharType="separate"/>
            </w:r>
            <w:r w:rsidR="00E12C40">
              <w:rPr>
                <w:rStyle w:val="IAIOCO2TradedChar"/>
                <w:sz w:val="20"/>
              </w:rPr>
              <w:t>N/A</w:t>
            </w:r>
            <w:r w:rsidRPr="00335C9A">
              <w:rPr>
                <w:rStyle w:val="IAIOCO2TradedChar"/>
                <w:sz w:val="20"/>
              </w:rPr>
              <w:fldChar w:fldCharType="end"/>
            </w:r>
            <w:bookmarkEnd w:id="34"/>
          </w:p>
        </w:tc>
        <w:tc>
          <w:tcPr>
            <w:tcW w:w="1618" w:type="dxa"/>
            <w:gridSpan w:val="2"/>
            <w:tcBorders>
              <w:top w:val="single" w:sz="4" w:space="0" w:color="auto"/>
              <w:left w:val="single" w:sz="4" w:space="0" w:color="auto"/>
              <w:bottom w:val="single" w:sz="4" w:space="0" w:color="auto"/>
              <w:right w:val="single" w:sz="4" w:space="0" w:color="auto"/>
            </w:tcBorders>
            <w:shd w:val="clear" w:color="auto" w:fill="E0E0E0"/>
          </w:tcPr>
          <w:p w14:paraId="1C18AFA9" w14:textId="77777777" w:rsidR="00817638" w:rsidRDefault="00817638" w:rsidP="00E12C40">
            <w:pPr>
              <w:pStyle w:val="IATableLabel"/>
            </w:pPr>
            <w:r>
              <w:t xml:space="preserve">Non-traded:   </w:t>
            </w:r>
            <w:r>
              <w:br/>
            </w:r>
            <w:bookmarkStart w:id="35" w:name="IACO2NonTraded"/>
            <w:r w:rsidR="008155E3">
              <w:rPr>
                <w:rStyle w:val="IAIOCO2TradedChar"/>
                <w:sz w:val="20"/>
              </w:rPr>
              <w:fldChar w:fldCharType="begin">
                <w:ffData>
                  <w:name w:val="IACO2NonTraded"/>
                  <w:enabled/>
                  <w:calcOnExit w:val="0"/>
                  <w:textInput>
                    <w:maxLength w:val="8"/>
                  </w:textInput>
                </w:ffData>
              </w:fldChar>
            </w:r>
            <w:r w:rsidR="008155E3">
              <w:rPr>
                <w:rStyle w:val="IAIOCO2TradedChar"/>
                <w:sz w:val="20"/>
              </w:rPr>
              <w:instrText xml:space="preserve"> FORMTEXT </w:instrText>
            </w:r>
            <w:r w:rsidR="008155E3">
              <w:rPr>
                <w:rStyle w:val="IAIOCO2TradedChar"/>
                <w:sz w:val="20"/>
              </w:rPr>
            </w:r>
            <w:r w:rsidR="008155E3">
              <w:rPr>
                <w:rStyle w:val="IAIOCO2TradedChar"/>
                <w:sz w:val="20"/>
              </w:rPr>
              <w:fldChar w:fldCharType="separate"/>
            </w:r>
            <w:r w:rsidR="00E12C40">
              <w:rPr>
                <w:rStyle w:val="IAIOCO2TradedChar"/>
                <w:noProof/>
                <w:sz w:val="20"/>
              </w:rPr>
              <w:t>N/A</w:t>
            </w:r>
            <w:r w:rsidR="008155E3">
              <w:rPr>
                <w:rStyle w:val="IAIOCO2TradedChar"/>
                <w:sz w:val="20"/>
              </w:rPr>
              <w:fldChar w:fldCharType="end"/>
            </w:r>
            <w:bookmarkEnd w:id="35"/>
          </w:p>
        </w:tc>
      </w:tr>
    </w:tbl>
    <w:p w14:paraId="1C18AFAB" w14:textId="77777777" w:rsidR="00452B35" w:rsidRPr="00DF2F4B" w:rsidRDefault="00452B35">
      <w:pPr>
        <w:pStyle w:val="IASign-off"/>
        <w:rPr>
          <w:sz w:val="20"/>
        </w:rPr>
      </w:pPr>
      <w:bookmarkStart w:id="36" w:name="SignOfftext"/>
      <w:bookmarkEnd w:id="27"/>
      <w:r w:rsidRPr="00DF2F4B">
        <w:rPr>
          <w:sz w:val="20"/>
        </w:rPr>
        <w:t>I have read the Impact Assessment and I am satisfied that, given the available evidence, it represents a reasonable view of the likely costs, benefits and impact of the leading options.</w:t>
      </w:r>
    </w:p>
    <w:tbl>
      <w:tblPr>
        <w:tblW w:w="5000" w:type="pct"/>
        <w:tblLayout w:type="fixed"/>
        <w:tblCellMar>
          <w:left w:w="0" w:type="dxa"/>
          <w:right w:w="0" w:type="dxa"/>
        </w:tblCellMar>
        <w:tblLook w:val="0000" w:firstRow="0" w:lastRow="0" w:firstColumn="0" w:lastColumn="0" w:noHBand="0" w:noVBand="0"/>
      </w:tblPr>
      <w:tblGrid>
        <w:gridCol w:w="4797"/>
        <w:gridCol w:w="2690"/>
        <w:gridCol w:w="704"/>
        <w:gridCol w:w="2014"/>
      </w:tblGrid>
      <w:tr w:rsidR="00452B35" w14:paraId="1C18AFB0" w14:textId="77777777" w:rsidTr="00194E96">
        <w:trPr>
          <w:trHeight w:hRule="exact" w:val="767"/>
        </w:trPr>
        <w:tc>
          <w:tcPr>
            <w:tcW w:w="2350" w:type="pct"/>
            <w:vAlign w:val="bottom"/>
          </w:tcPr>
          <w:p w14:paraId="1C18AFAC" w14:textId="77777777" w:rsidR="00452B35" w:rsidRDefault="00452B35" w:rsidP="00C13EF0">
            <w:pPr>
              <w:pStyle w:val="IASignature"/>
              <w:tabs>
                <w:tab w:val="clear" w:pos="6804"/>
                <w:tab w:val="left" w:leader="dot" w:pos="7380"/>
              </w:tabs>
            </w:pPr>
            <w:r w:rsidRPr="00455EAA">
              <w:t>Signed by the</w:t>
            </w:r>
            <w:r>
              <w:t xml:space="preserve"> responsible </w:t>
            </w:r>
            <w:bookmarkStart w:id="37" w:name="IASignedBy"/>
            <w:r>
              <w:fldChar w:fldCharType="begin">
                <w:ffData>
                  <w:name w:val="IASignedBy"/>
                  <w:enabled/>
                  <w:calcOnExit w:val="0"/>
                  <w:ddList>
                    <w:listEntry w:val="SELECT SIGNATORY"/>
                    <w:listEntry w:val="Chair"/>
                    <w:listEntry w:val="Chief Executive"/>
                    <w:listEntry w:val="Minister"/>
                  </w:ddList>
                </w:ffData>
              </w:fldChar>
            </w:r>
            <w:r>
              <w:instrText xml:space="preserve"> FORMDROPDOWN </w:instrText>
            </w:r>
            <w:r w:rsidR="00915A56">
              <w:fldChar w:fldCharType="separate"/>
            </w:r>
            <w:r>
              <w:fldChar w:fldCharType="end"/>
            </w:r>
            <w:bookmarkEnd w:id="37"/>
            <w:r w:rsidRPr="00455EAA">
              <w:t>:</w:t>
            </w:r>
          </w:p>
        </w:tc>
        <w:tc>
          <w:tcPr>
            <w:tcW w:w="1318" w:type="pct"/>
            <w:tcBorders>
              <w:bottom w:val="dashSmallGap" w:sz="4" w:space="0" w:color="auto"/>
            </w:tcBorders>
            <w:vAlign w:val="bottom"/>
          </w:tcPr>
          <w:p w14:paraId="1C18AFAD" w14:textId="77777777" w:rsidR="00452B35" w:rsidRPr="00AB4A42" w:rsidRDefault="00452B35" w:rsidP="00C13EF0">
            <w:pPr>
              <w:pStyle w:val="IAIOtextSign"/>
            </w:pPr>
          </w:p>
        </w:tc>
        <w:tc>
          <w:tcPr>
            <w:tcW w:w="345" w:type="pct"/>
            <w:vAlign w:val="bottom"/>
          </w:tcPr>
          <w:p w14:paraId="1C18AFAE" w14:textId="77777777" w:rsidR="00452B35" w:rsidRDefault="00452B35" w:rsidP="00C13EF0">
            <w:pPr>
              <w:pStyle w:val="IASignature"/>
              <w:tabs>
                <w:tab w:val="clear" w:pos="6804"/>
                <w:tab w:val="left" w:leader="dot" w:pos="7380"/>
              </w:tabs>
            </w:pPr>
            <w:r>
              <w:t> </w:t>
            </w:r>
            <w:r w:rsidRPr="00455EAA">
              <w:t>Date:</w:t>
            </w:r>
          </w:p>
        </w:tc>
        <w:bookmarkStart w:id="38" w:name="SigDate"/>
        <w:tc>
          <w:tcPr>
            <w:tcW w:w="988" w:type="pct"/>
            <w:tcBorders>
              <w:bottom w:val="dashSmallGap" w:sz="4" w:space="0" w:color="auto"/>
            </w:tcBorders>
            <w:vAlign w:val="bottom"/>
          </w:tcPr>
          <w:p w14:paraId="1C18AFAF" w14:textId="77777777" w:rsidR="00452B35" w:rsidRPr="005D0BD1" w:rsidRDefault="00452B35" w:rsidP="00C13EF0">
            <w:pPr>
              <w:pStyle w:val="IAIOSigDate"/>
            </w:pPr>
            <w:r>
              <w:fldChar w:fldCharType="begin">
                <w:ffData>
                  <w:name w:val="SigDat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bookmarkEnd w:id="36"/>
    </w:tbl>
    <w:p w14:paraId="1C18AFB1" w14:textId="77777777" w:rsidR="00F1328C" w:rsidRDefault="00F1328C" w:rsidP="005A3880">
      <w:pPr>
        <w:pStyle w:val="Heading1"/>
        <w:spacing w:before="0"/>
        <w:sectPr w:rsidR="00F1328C" w:rsidSect="005A3880">
          <w:headerReference w:type="default" r:id="rId9"/>
          <w:footerReference w:type="default" r:id="rId10"/>
          <w:footnotePr>
            <w:numRestart w:val="eachSect"/>
          </w:footnotePr>
          <w:type w:val="continuous"/>
          <w:pgSz w:w="11907" w:h="16840" w:code="9"/>
          <w:pgMar w:top="680" w:right="851" w:bottom="680" w:left="851" w:header="284" w:footer="284" w:gutter="0"/>
          <w:cols w:space="708"/>
          <w:docGrid w:linePitch="360"/>
        </w:sectPr>
      </w:pPr>
    </w:p>
    <w:p w14:paraId="1C18AFB2" w14:textId="77777777"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Pr>
          <w:rFonts w:ascii="Arial" w:hAnsi="Arial"/>
          <w:b w:val="0"/>
          <w:bCs w:val="0"/>
        </w:rPr>
        <w:fldChar w:fldCharType="begin"/>
      </w:r>
      <w:r>
        <w:rPr>
          <w:rFonts w:ascii="Arial" w:hAnsi="Arial"/>
          <w:b w:val="0"/>
          <w:bCs w:val="0"/>
        </w:rPr>
        <w:instrText xml:space="preserve"> SEQ Policy </w:instrText>
      </w:r>
      <w:r>
        <w:rPr>
          <w:rFonts w:ascii="Arial" w:hAnsi="Arial"/>
          <w:b w:val="0"/>
          <w:bCs w:val="0"/>
        </w:rPr>
        <w:fldChar w:fldCharType="separate"/>
      </w:r>
      <w:r w:rsidR="004965F2">
        <w:rPr>
          <w:rFonts w:ascii="Arial" w:hAnsi="Arial"/>
          <w:b w:val="0"/>
          <w:bCs w:val="0"/>
          <w:noProof/>
        </w:rPr>
        <w:t>1</w:t>
      </w:r>
      <w:r>
        <w:rPr>
          <w:rFonts w:ascii="Arial" w:hAnsi="Arial"/>
          <w:b w:val="0"/>
          <w:bCs w:val="0"/>
        </w:rPr>
        <w:fldChar w:fldCharType="end"/>
      </w:r>
    </w:p>
    <w:p w14:paraId="1C18AFB3" w14:textId="77777777" w:rsidR="001844B6" w:rsidRDefault="001844B6" w:rsidP="005A3880">
      <w:pPr>
        <w:pStyle w:val="IAHeadLabel"/>
        <w:spacing w:before="50"/>
      </w:pPr>
      <w:r w:rsidRPr="00892576">
        <w:t xml:space="preserve">Description: </w:t>
      </w:r>
      <w:r w:rsidRPr="006B70AF">
        <w:t xml:space="preserve"> </w:t>
      </w:r>
      <w:bookmarkStart w:id="39" w:name="Text70"/>
      <w:r w:rsidR="0071468E">
        <w:rPr>
          <w:rStyle w:val="IAPODescriptionCharChar"/>
        </w:rPr>
        <w:fldChar w:fldCharType="begin">
          <w:ffData>
            <w:name w:val="Text70"/>
            <w:enabled/>
            <w:calcOnExit w:val="0"/>
            <w:textInput>
              <w:maxLength w:val="230"/>
            </w:textInput>
          </w:ffData>
        </w:fldChar>
      </w:r>
      <w:r w:rsidR="0071468E">
        <w:rPr>
          <w:rStyle w:val="IAPODescriptionCharChar"/>
        </w:rPr>
        <w:instrText xml:space="preserve"> FORMTEXT </w:instrText>
      </w:r>
      <w:r w:rsidR="0071468E">
        <w:rPr>
          <w:rStyle w:val="IAPODescriptionCharChar"/>
        </w:rPr>
      </w:r>
      <w:r w:rsidR="0071468E">
        <w:rPr>
          <w:rStyle w:val="IAPODescriptionCharChar"/>
        </w:rPr>
        <w:fldChar w:fldCharType="separate"/>
      </w:r>
      <w:r w:rsidR="00F50764">
        <w:rPr>
          <w:rStyle w:val="IAPODescriptionCharChar"/>
          <w:noProof/>
        </w:rPr>
        <w:t>Lift existing restrictions on small scale lotteries (raffles) by ammending the Gambling Act 2005.</w:t>
      </w:r>
      <w:r w:rsidR="0071468E">
        <w:rPr>
          <w:rStyle w:val="IAPODescriptionCharChar"/>
        </w:rPr>
        <w:fldChar w:fldCharType="end"/>
      </w:r>
      <w:bookmarkEnd w:id="39"/>
    </w:p>
    <w:p w14:paraId="1C18AFB4" w14:textId="77777777" w:rsidR="001844B6" w:rsidRDefault="001844B6" w:rsidP="005A3880">
      <w:pPr>
        <w:pStyle w:val="IAHeadLabel"/>
        <w:spacing w:before="50"/>
      </w:pPr>
      <w: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5"/>
        <w:gridCol w:w="1260"/>
        <w:gridCol w:w="1440"/>
        <w:gridCol w:w="1800"/>
        <w:gridCol w:w="1827"/>
        <w:gridCol w:w="2633"/>
      </w:tblGrid>
      <w:tr w:rsidR="006E446A" w:rsidRPr="006E446A" w14:paraId="1C18AFB9" w14:textId="77777777" w:rsidTr="006E446A">
        <w:trPr>
          <w:trHeight w:val="312"/>
        </w:trPr>
        <w:tc>
          <w:tcPr>
            <w:tcW w:w="1265" w:type="dxa"/>
            <w:vMerge w:val="restart"/>
            <w:shd w:val="clear" w:color="auto" w:fill="auto"/>
          </w:tcPr>
          <w:p w14:paraId="1C18AFB5" w14:textId="77777777" w:rsidR="001844B6" w:rsidRPr="00826F71" w:rsidRDefault="001844B6" w:rsidP="00265456">
            <w:pPr>
              <w:pStyle w:val="POPBY"/>
            </w:pPr>
            <w:r w:rsidRPr="00826F71">
              <w:t>Price Base Year</w:t>
            </w:r>
            <w:r>
              <w:t xml:space="preserve">  </w:t>
            </w:r>
            <w:r w:rsidRPr="006E446A">
              <w:rPr>
                <w:b w:val="0"/>
              </w:rPr>
              <w:fldChar w:fldCharType="begin">
                <w:ffData>
                  <w:name w:val="Text55"/>
                  <w:enabled/>
                  <w:calcOnExit w:val="0"/>
                  <w:textInput>
                    <w:maxLength w:val="4"/>
                  </w:textInput>
                </w:ffData>
              </w:fldChar>
            </w:r>
            <w:r w:rsidRPr="006E446A">
              <w:rPr>
                <w:b w:val="0"/>
              </w:rPr>
              <w:instrText xml:space="preserve"> FORMTEXT </w:instrText>
            </w:r>
            <w:r w:rsidRPr="006E446A">
              <w:rPr>
                <w:b w:val="0"/>
              </w:rPr>
            </w:r>
            <w:r w:rsidRPr="006E446A">
              <w:rPr>
                <w:b w:val="0"/>
              </w:rPr>
              <w:fldChar w:fldCharType="separate"/>
            </w:r>
            <w:r w:rsidR="00265456">
              <w:rPr>
                <w:b w:val="0"/>
                <w:noProof/>
              </w:rPr>
              <w:t>2009</w:t>
            </w:r>
            <w:r w:rsidRPr="006E446A">
              <w:rPr>
                <w:b w:val="0"/>
              </w:rPr>
              <w:fldChar w:fldCharType="end"/>
            </w:r>
          </w:p>
        </w:tc>
        <w:tc>
          <w:tcPr>
            <w:tcW w:w="1260" w:type="dxa"/>
            <w:vMerge w:val="restart"/>
            <w:shd w:val="clear" w:color="auto" w:fill="auto"/>
          </w:tcPr>
          <w:p w14:paraId="1C18AFB6" w14:textId="77777777" w:rsidR="001844B6" w:rsidRPr="00826F71" w:rsidRDefault="001844B6" w:rsidP="00265456">
            <w:pPr>
              <w:pStyle w:val="POPVBY"/>
            </w:pPr>
            <w:r w:rsidRPr="00826F71">
              <w:t>PV Base Year</w:t>
            </w:r>
            <w:r>
              <w:t xml:space="preserve">  </w:t>
            </w:r>
            <w:r w:rsidRPr="006E446A">
              <w:rPr>
                <w:b w:val="0"/>
              </w:rPr>
              <w:fldChar w:fldCharType="begin">
                <w:ffData>
                  <w:name w:val="Text56"/>
                  <w:enabled/>
                  <w:calcOnExit w:val="0"/>
                  <w:textInput>
                    <w:maxLength w:val="4"/>
                  </w:textInput>
                </w:ffData>
              </w:fldChar>
            </w:r>
            <w:r w:rsidRPr="006E446A">
              <w:rPr>
                <w:b w:val="0"/>
              </w:rPr>
              <w:instrText xml:space="preserve"> FORMTEXT </w:instrText>
            </w:r>
            <w:r w:rsidRPr="006E446A">
              <w:rPr>
                <w:b w:val="0"/>
              </w:rPr>
            </w:r>
            <w:r w:rsidRPr="006E446A">
              <w:rPr>
                <w:b w:val="0"/>
              </w:rPr>
              <w:fldChar w:fldCharType="separate"/>
            </w:r>
            <w:r w:rsidR="00265456">
              <w:rPr>
                <w:b w:val="0"/>
                <w:noProof/>
              </w:rPr>
              <w:t>2014</w:t>
            </w:r>
            <w:r w:rsidRPr="006E446A">
              <w:rPr>
                <w:b w:val="0"/>
              </w:rPr>
              <w:fldChar w:fldCharType="end"/>
            </w:r>
          </w:p>
        </w:tc>
        <w:tc>
          <w:tcPr>
            <w:tcW w:w="1440" w:type="dxa"/>
            <w:vMerge w:val="restart"/>
            <w:tcBorders>
              <w:right w:val="single" w:sz="12" w:space="0" w:color="auto"/>
            </w:tcBorders>
            <w:shd w:val="clear" w:color="auto" w:fill="auto"/>
          </w:tcPr>
          <w:p w14:paraId="1C18AFB7" w14:textId="77777777" w:rsidR="001844B6" w:rsidRPr="00826F71" w:rsidRDefault="001844B6" w:rsidP="00265456">
            <w:pPr>
              <w:pStyle w:val="POTPY"/>
            </w:pPr>
            <w:r w:rsidRPr="00826F71">
              <w:t>Time Period Years</w:t>
            </w:r>
            <w:r>
              <w:t xml:space="preserve">  </w:t>
            </w:r>
            <w:r w:rsidRPr="006E446A">
              <w:rPr>
                <w:b w:val="0"/>
              </w:rPr>
              <w:fldChar w:fldCharType="begin">
                <w:ffData>
                  <w:name w:val="Text57"/>
                  <w:enabled/>
                  <w:calcOnExit w:val="0"/>
                  <w:textInput>
                    <w:maxLength w:val="4"/>
                  </w:textInput>
                </w:ffData>
              </w:fldChar>
            </w:r>
            <w:r w:rsidRPr="006E446A">
              <w:rPr>
                <w:b w:val="0"/>
              </w:rPr>
              <w:instrText xml:space="preserve"> FORMTEXT </w:instrText>
            </w:r>
            <w:r w:rsidRPr="006E446A">
              <w:rPr>
                <w:b w:val="0"/>
              </w:rPr>
            </w:r>
            <w:r w:rsidRPr="006E446A">
              <w:rPr>
                <w:b w:val="0"/>
              </w:rPr>
              <w:fldChar w:fldCharType="separate"/>
            </w:r>
            <w:r w:rsidR="00265456">
              <w:rPr>
                <w:b w:val="0"/>
                <w:noProof/>
              </w:rPr>
              <w:t>10</w:t>
            </w:r>
            <w:r w:rsidRPr="006E446A">
              <w:rPr>
                <w:b w:val="0"/>
              </w:rPr>
              <w:fldChar w:fldCharType="end"/>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14:paraId="1C18AFB8" w14:textId="77777777" w:rsidR="001844B6" w:rsidRPr="00826F71" w:rsidRDefault="001844B6" w:rsidP="006E446A">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6E446A" w:rsidRPr="006E446A" w14:paraId="1C18AFC0" w14:textId="77777777" w:rsidTr="006E446A">
        <w:trPr>
          <w:trHeight w:hRule="exact" w:val="340"/>
        </w:trPr>
        <w:tc>
          <w:tcPr>
            <w:tcW w:w="1265" w:type="dxa"/>
            <w:vMerge/>
            <w:shd w:val="clear" w:color="auto" w:fill="auto"/>
          </w:tcPr>
          <w:p w14:paraId="1C18AFBA" w14:textId="77777777" w:rsidR="001844B6" w:rsidRPr="006E446A" w:rsidRDefault="001844B6" w:rsidP="006E446A">
            <w:pPr>
              <w:pStyle w:val="IATableNotes"/>
              <w:ind w:left="0"/>
              <w:rPr>
                <w:b/>
                <w:sz w:val="20"/>
              </w:rPr>
            </w:pPr>
          </w:p>
        </w:tc>
        <w:tc>
          <w:tcPr>
            <w:tcW w:w="1260" w:type="dxa"/>
            <w:vMerge/>
            <w:shd w:val="clear" w:color="auto" w:fill="auto"/>
          </w:tcPr>
          <w:p w14:paraId="1C18AFBB" w14:textId="77777777" w:rsidR="001844B6" w:rsidRPr="006E446A" w:rsidRDefault="001844B6" w:rsidP="006E446A">
            <w:pPr>
              <w:pStyle w:val="IATableNotes"/>
              <w:ind w:left="0"/>
              <w:rPr>
                <w:b/>
                <w:sz w:val="20"/>
              </w:rPr>
            </w:pPr>
          </w:p>
        </w:tc>
        <w:tc>
          <w:tcPr>
            <w:tcW w:w="1440" w:type="dxa"/>
            <w:vMerge/>
            <w:tcBorders>
              <w:right w:val="single" w:sz="12" w:space="0" w:color="auto"/>
            </w:tcBorders>
            <w:shd w:val="clear" w:color="auto" w:fill="auto"/>
          </w:tcPr>
          <w:p w14:paraId="1C18AFBC" w14:textId="77777777" w:rsidR="001844B6" w:rsidRPr="006E446A" w:rsidRDefault="001844B6" w:rsidP="006E446A">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14:paraId="1C18AFBD" w14:textId="77777777" w:rsidR="001844B6" w:rsidRPr="006E446A" w:rsidRDefault="001844B6" w:rsidP="00265456">
            <w:pPr>
              <w:pStyle w:val="IATableLabel"/>
              <w:rPr>
                <w:bCs/>
              </w:rPr>
            </w:pPr>
            <w:r w:rsidRPr="00304C1D">
              <w:t>Low:</w:t>
            </w:r>
            <w:r w:rsidRPr="00826F71">
              <w:t xml:space="preserve"> </w:t>
            </w:r>
            <w:r w:rsidRPr="006E446A">
              <w:rPr>
                <w:rStyle w:val="PONBLowCharChar"/>
              </w:rPr>
              <w:fldChar w:fldCharType="begin">
                <w:ffData>
                  <w:name w:val="Text58"/>
                  <w:enabled/>
                  <w:calcOnExit w:val="0"/>
                  <w:textInput>
                    <w:default w:val="Optional"/>
                    <w:maxLength w:val="8"/>
                  </w:textInput>
                </w:ffData>
              </w:fldChar>
            </w:r>
            <w:r w:rsidRPr="006E446A">
              <w:rPr>
                <w:rStyle w:val="PONBLowCharChar"/>
              </w:rPr>
              <w:instrText xml:space="preserve"> FORMTEXT </w:instrText>
            </w:r>
            <w:r w:rsidRPr="006E446A">
              <w:rPr>
                <w:rStyle w:val="PONBLowCharChar"/>
              </w:rPr>
            </w:r>
            <w:r w:rsidRPr="006E446A">
              <w:rPr>
                <w:rStyle w:val="PONBLowCharChar"/>
              </w:rPr>
              <w:fldChar w:fldCharType="separate"/>
            </w:r>
            <w:r w:rsidR="00265456">
              <w:rPr>
                <w:rStyle w:val="PONBLowCharChar"/>
              </w:rPr>
              <w:t>0</w:t>
            </w:r>
            <w:r w:rsidRPr="006E446A">
              <w:rPr>
                <w:rStyle w:val="PONBLowCharChar"/>
              </w:rPr>
              <w:fldChar w:fldCharType="end"/>
            </w:r>
          </w:p>
        </w:tc>
        <w:tc>
          <w:tcPr>
            <w:tcW w:w="1827" w:type="dxa"/>
            <w:tcBorders>
              <w:top w:val="single" w:sz="4" w:space="0" w:color="auto"/>
              <w:left w:val="single" w:sz="4" w:space="0" w:color="auto"/>
              <w:bottom w:val="single" w:sz="12" w:space="0" w:color="auto"/>
              <w:right w:val="single" w:sz="12" w:space="0" w:color="auto"/>
            </w:tcBorders>
            <w:shd w:val="clear" w:color="auto" w:fill="auto"/>
          </w:tcPr>
          <w:p w14:paraId="1C18AFBE" w14:textId="77777777" w:rsidR="001844B6" w:rsidRPr="006E446A" w:rsidRDefault="001844B6" w:rsidP="00265456">
            <w:pPr>
              <w:pStyle w:val="IATableLabel"/>
              <w:rPr>
                <w:rFonts w:cs="Arial"/>
                <w:bCs/>
                <w:szCs w:val="18"/>
              </w:rPr>
            </w:pPr>
            <w:r w:rsidRPr="00304C1D">
              <w:t>High:</w:t>
            </w:r>
            <w:r w:rsidRPr="00826F71">
              <w:t xml:space="preserve"> </w:t>
            </w:r>
            <w:r w:rsidRPr="006E446A">
              <w:rPr>
                <w:rStyle w:val="PONBHighChar"/>
              </w:rPr>
              <w:fldChar w:fldCharType="begin">
                <w:ffData>
                  <w:name w:val="Text59"/>
                  <w:enabled/>
                  <w:calcOnExit w:val="0"/>
                  <w:textInput>
                    <w:default w:val="Optional"/>
                    <w:maxLength w:val="8"/>
                  </w:textInput>
                </w:ffData>
              </w:fldChar>
            </w:r>
            <w:r w:rsidRPr="006E446A">
              <w:rPr>
                <w:rStyle w:val="PONBHighChar"/>
              </w:rPr>
              <w:instrText xml:space="preserve"> FORMTEXT </w:instrText>
            </w:r>
            <w:r w:rsidRPr="006E446A">
              <w:rPr>
                <w:rStyle w:val="PONBHighChar"/>
              </w:rPr>
            </w:r>
            <w:r w:rsidRPr="006E446A">
              <w:rPr>
                <w:rStyle w:val="PONBHighChar"/>
              </w:rPr>
              <w:fldChar w:fldCharType="separate"/>
            </w:r>
            <w:r w:rsidR="00265456">
              <w:rPr>
                <w:rStyle w:val="PONBHighChar"/>
              </w:rPr>
              <w:t>0</w:t>
            </w:r>
            <w:r w:rsidRPr="006E446A">
              <w:rPr>
                <w:rStyle w:val="PONBHighChar"/>
              </w:rPr>
              <w:fldChar w:fldCharType="end"/>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1C18AFBF" w14:textId="77777777" w:rsidR="001844B6" w:rsidRPr="006E446A" w:rsidRDefault="001844B6" w:rsidP="00265456">
            <w:pPr>
              <w:pStyle w:val="IATableLabel"/>
              <w:rPr>
                <w:szCs w:val="18"/>
              </w:rPr>
            </w:pPr>
            <w:r w:rsidRPr="00304C1D">
              <w:t xml:space="preserve">Best </w:t>
            </w:r>
            <w:r>
              <w:t>E</w:t>
            </w:r>
            <w:r w:rsidRPr="00304C1D">
              <w:t>stimate:</w:t>
            </w:r>
            <w:r w:rsidRPr="00826F71">
              <w:t xml:space="preserve"> </w:t>
            </w:r>
            <w:r w:rsidRPr="006E446A">
              <w:rPr>
                <w:rStyle w:val="PONBBestEstChar"/>
              </w:rPr>
              <w:fldChar w:fldCharType="begin">
                <w:ffData>
                  <w:name w:val="Text60"/>
                  <w:enabled/>
                  <w:calcOnExit w:val="0"/>
                  <w:textInput>
                    <w:maxLength w:val="8"/>
                  </w:textInput>
                </w:ffData>
              </w:fldChar>
            </w:r>
            <w:r w:rsidRPr="006E446A">
              <w:rPr>
                <w:rStyle w:val="PONBBestEstChar"/>
              </w:rPr>
              <w:instrText xml:space="preserve"> FORMTEXT </w:instrText>
            </w:r>
            <w:r w:rsidRPr="006E446A">
              <w:rPr>
                <w:rStyle w:val="PONBBestEstChar"/>
              </w:rPr>
            </w:r>
            <w:r w:rsidRPr="006E446A">
              <w:rPr>
                <w:rStyle w:val="PONBBestEstChar"/>
              </w:rPr>
              <w:fldChar w:fldCharType="separate"/>
            </w:r>
            <w:r w:rsidR="00265456">
              <w:rPr>
                <w:rStyle w:val="PONBBestEstChar"/>
                <w:noProof/>
              </w:rPr>
              <w:t>0</w:t>
            </w:r>
            <w:r w:rsidRPr="006E446A">
              <w:rPr>
                <w:rStyle w:val="PONBBestEstChar"/>
              </w:rPr>
              <w:fldChar w:fldCharType="end"/>
            </w:r>
          </w:p>
        </w:tc>
      </w:tr>
    </w:tbl>
    <w:p w14:paraId="1C18AFC1" w14:textId="77777777" w:rsidR="001844B6" w:rsidRDefault="001844B6" w:rsidP="005A3880">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95"/>
        <w:gridCol w:w="1949"/>
        <w:gridCol w:w="790"/>
        <w:gridCol w:w="2865"/>
        <w:gridCol w:w="1776"/>
        <w:gridCol w:w="860"/>
      </w:tblGrid>
      <w:tr w:rsidR="006E446A" w:rsidRPr="006E446A" w14:paraId="1C18AFC7" w14:textId="77777777" w:rsidTr="006E446A">
        <w:trPr>
          <w:trHeight w:hRule="exact" w:val="567"/>
        </w:trPr>
        <w:tc>
          <w:tcPr>
            <w:tcW w:w="1995" w:type="dxa"/>
            <w:shd w:val="clear" w:color="auto" w:fill="FFFFFF"/>
          </w:tcPr>
          <w:p w14:paraId="1C18AFC2" w14:textId="77777777" w:rsidR="001844B6" w:rsidRPr="006E446A" w:rsidRDefault="001844B6" w:rsidP="005A3880">
            <w:pPr>
              <w:pStyle w:val="IATableLabel"/>
              <w:rPr>
                <w:sz w:val="24"/>
                <w:szCs w:val="24"/>
              </w:rPr>
            </w:pPr>
            <w:r w:rsidRPr="006E446A">
              <w:rPr>
                <w:sz w:val="24"/>
                <w:szCs w:val="24"/>
              </w:rPr>
              <w:t>COSTS (£m)</w:t>
            </w:r>
          </w:p>
        </w:tc>
        <w:tc>
          <w:tcPr>
            <w:tcW w:w="2739" w:type="dxa"/>
            <w:gridSpan w:val="2"/>
            <w:tcBorders>
              <w:top w:val="single" w:sz="12" w:space="0" w:color="auto"/>
              <w:bottom w:val="single" w:sz="6" w:space="0" w:color="auto"/>
            </w:tcBorders>
            <w:shd w:val="clear" w:color="auto" w:fill="auto"/>
          </w:tcPr>
          <w:p w14:paraId="1C18AFC3" w14:textId="77777777" w:rsidR="001844B6" w:rsidRPr="00826F71" w:rsidRDefault="001844B6" w:rsidP="006E446A">
            <w:pPr>
              <w:pStyle w:val="IATableLabel"/>
              <w:tabs>
                <w:tab w:val="right" w:pos="1800"/>
                <w:tab w:val="center" w:pos="2340"/>
              </w:tabs>
              <w:jc w:val="right"/>
            </w:pPr>
            <w:r w:rsidRPr="00826F71">
              <w:t xml:space="preserve">Total Transition </w:t>
            </w:r>
            <w:r>
              <w:br/>
            </w:r>
            <w:r>
              <w:tab/>
            </w:r>
            <w:r w:rsidRPr="006E446A">
              <w:rPr>
                <w:b w:val="0"/>
                <w:sz w:val="18"/>
                <w:szCs w:val="18"/>
              </w:rPr>
              <w:t>(Constant Price)</w:t>
            </w:r>
            <w:r>
              <w:tab/>
            </w:r>
            <w:r w:rsidRPr="006E446A">
              <w:rPr>
                <w:b w:val="0"/>
                <w:sz w:val="18"/>
                <w:szCs w:val="18"/>
              </w:rPr>
              <w:t>Yea</w:t>
            </w:r>
            <w:r w:rsidRPr="006E446A">
              <w:rPr>
                <w:b w:val="0"/>
                <w:bCs/>
                <w:sz w:val="18"/>
                <w:szCs w:val="18"/>
              </w:rPr>
              <w:t>r</w:t>
            </w:r>
            <w:r w:rsidRPr="006E446A">
              <w:rPr>
                <w:b w:val="0"/>
                <w:sz w:val="18"/>
                <w:szCs w:val="18"/>
              </w:rPr>
              <w:t>s</w:t>
            </w:r>
          </w:p>
          <w:p w14:paraId="1C18AFC4" w14:textId="77777777" w:rsidR="001844B6" w:rsidRPr="00826F71" w:rsidRDefault="001844B6" w:rsidP="006E446A">
            <w:pPr>
              <w:pStyle w:val="IATableLabel"/>
              <w:jc w:val="right"/>
            </w:pPr>
            <w:r>
              <w:br/>
            </w:r>
          </w:p>
        </w:tc>
        <w:tc>
          <w:tcPr>
            <w:tcW w:w="2865" w:type="dxa"/>
            <w:tcBorders>
              <w:bottom w:val="single" w:sz="6" w:space="0" w:color="auto"/>
              <w:right w:val="single" w:sz="12" w:space="0" w:color="auto"/>
            </w:tcBorders>
            <w:shd w:val="clear" w:color="auto" w:fill="auto"/>
          </w:tcPr>
          <w:p w14:paraId="1C18AFC5" w14:textId="77777777" w:rsidR="001844B6" w:rsidRPr="006E446A" w:rsidRDefault="001844B6" w:rsidP="006E446A">
            <w:pPr>
              <w:pStyle w:val="IATableLabel"/>
              <w:jc w:val="right"/>
              <w:rPr>
                <w:rFonts w:cs="Arial"/>
                <w:bCs/>
              </w:rPr>
            </w:pPr>
            <w:r w:rsidRPr="00826F71">
              <w:t>Average Annual</w:t>
            </w:r>
            <w:r w:rsidRPr="000C031E">
              <w:t xml:space="preserve"> </w:t>
            </w:r>
            <w:r>
              <w:br/>
            </w:r>
            <w:r w:rsidRPr="006E446A">
              <w:rPr>
                <w:b w:val="0"/>
                <w:sz w:val="18"/>
                <w:szCs w:val="18"/>
              </w:rPr>
              <w:t xml:space="preserve">(excl. Transition) </w:t>
            </w:r>
            <w:r w:rsidRPr="006E446A">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1C18AFC6" w14:textId="77777777" w:rsidR="001844B6" w:rsidRPr="00826F71" w:rsidRDefault="001844B6" w:rsidP="006E446A">
            <w:pPr>
              <w:pStyle w:val="IATableLabel"/>
              <w:jc w:val="right"/>
            </w:pPr>
            <w:r w:rsidRPr="00826F71">
              <w:t>Total Cost</w:t>
            </w:r>
            <w:r w:rsidRPr="006E446A">
              <w:rPr>
                <w:b w:val="0"/>
                <w:sz w:val="18"/>
                <w:szCs w:val="18"/>
              </w:rPr>
              <w:t xml:space="preserve"> </w:t>
            </w:r>
            <w:r w:rsidRPr="006E446A">
              <w:rPr>
                <w:b w:val="0"/>
                <w:sz w:val="18"/>
                <w:szCs w:val="18"/>
              </w:rPr>
              <w:br/>
              <w:t>(Present Value)</w:t>
            </w:r>
          </w:p>
        </w:tc>
      </w:tr>
      <w:tr w:rsidR="006E446A" w:rsidRPr="006E446A" w14:paraId="1C18AFCD" w14:textId="77777777" w:rsidTr="006E446A">
        <w:trPr>
          <w:trHeight w:hRule="exact" w:val="348"/>
        </w:trPr>
        <w:tc>
          <w:tcPr>
            <w:tcW w:w="1995" w:type="dxa"/>
            <w:tcBorders>
              <w:top w:val="single" w:sz="6" w:space="0" w:color="auto"/>
              <w:bottom w:val="single" w:sz="6" w:space="0" w:color="auto"/>
            </w:tcBorders>
            <w:shd w:val="clear" w:color="auto" w:fill="auto"/>
            <w:vAlign w:val="center"/>
          </w:tcPr>
          <w:p w14:paraId="1C18AFC8" w14:textId="77777777" w:rsidR="001844B6" w:rsidRPr="00F63895" w:rsidRDefault="001844B6" w:rsidP="005A3880">
            <w:pPr>
              <w:pStyle w:val="IATableLabel"/>
            </w:pPr>
            <w:r w:rsidRPr="00F63895">
              <w:t xml:space="preserve">Low </w:t>
            </w:r>
          </w:p>
        </w:tc>
        <w:tc>
          <w:tcPr>
            <w:tcW w:w="1949" w:type="dxa"/>
            <w:tcBorders>
              <w:top w:val="single" w:sz="6" w:space="0" w:color="auto"/>
              <w:bottom w:val="single" w:sz="6" w:space="0" w:color="auto"/>
            </w:tcBorders>
            <w:shd w:val="clear" w:color="auto" w:fill="auto"/>
            <w:vAlign w:val="center"/>
          </w:tcPr>
          <w:p w14:paraId="1C18AFC9" w14:textId="77777777" w:rsidR="001844B6" w:rsidRPr="006E446A" w:rsidRDefault="001844B6" w:rsidP="00F0126F">
            <w:pPr>
              <w:pStyle w:val="POTTCostsLow"/>
              <w:rPr>
                <w:sz w:val="20"/>
              </w:rPr>
            </w:pPr>
            <w:r w:rsidRPr="006E446A">
              <w:rPr>
                <w:sz w:val="20"/>
              </w:rPr>
              <w:fldChar w:fldCharType="begin">
                <w:ffData>
                  <w:name w:val="Text45"/>
                  <w:enabled/>
                  <w:calcOnExit w:val="0"/>
                  <w:textInput>
                    <w:default w:val="Optional"/>
                    <w:maxLength w:val="14"/>
                  </w:textInput>
                </w:ffData>
              </w:fldChar>
            </w:r>
            <w:r w:rsidRPr="006E446A">
              <w:rPr>
                <w:sz w:val="20"/>
              </w:rPr>
              <w:instrText xml:space="preserve"> FORMTEXT </w:instrText>
            </w:r>
            <w:r w:rsidRPr="006E446A">
              <w:rPr>
                <w:sz w:val="20"/>
              </w:rPr>
            </w:r>
            <w:r w:rsidRPr="006E446A">
              <w:rPr>
                <w:sz w:val="20"/>
              </w:rPr>
              <w:fldChar w:fldCharType="separate"/>
            </w:r>
            <w:r w:rsidR="00F0126F">
              <w:rPr>
                <w:sz w:val="20"/>
              </w:rPr>
              <w:t>0</w:t>
            </w:r>
            <w:r w:rsidRPr="006E446A">
              <w:rPr>
                <w:sz w:val="20"/>
              </w:rPr>
              <w:fldChar w:fldCharType="end"/>
            </w:r>
          </w:p>
        </w:tc>
        <w:tc>
          <w:tcPr>
            <w:tcW w:w="790" w:type="dxa"/>
            <w:vMerge w:val="restart"/>
            <w:tcBorders>
              <w:top w:val="single" w:sz="6" w:space="0" w:color="auto"/>
            </w:tcBorders>
            <w:shd w:val="clear" w:color="auto" w:fill="auto"/>
            <w:vAlign w:val="center"/>
          </w:tcPr>
          <w:p w14:paraId="1C18AFCA" w14:textId="77777777" w:rsidR="001844B6" w:rsidRPr="006E446A" w:rsidRDefault="001844B6" w:rsidP="00265456">
            <w:pPr>
              <w:pStyle w:val="POTTCostsYear"/>
              <w:rPr>
                <w:sz w:val="20"/>
                <w:szCs w:val="20"/>
              </w:rPr>
            </w:pPr>
            <w:r w:rsidRPr="006E446A">
              <w:rPr>
                <w:sz w:val="20"/>
                <w:szCs w:val="20"/>
              </w:rPr>
              <w:fldChar w:fldCharType="begin">
                <w:ffData>
                  <w:name w:val="Text48"/>
                  <w:enabled/>
                  <w:calcOnExit w:val="0"/>
                  <w:textInput>
                    <w:maxLength w:val="3"/>
                  </w:textInput>
                </w:ffData>
              </w:fldChar>
            </w:r>
            <w:r w:rsidRPr="006E446A">
              <w:rPr>
                <w:sz w:val="20"/>
                <w:szCs w:val="20"/>
              </w:rPr>
              <w:instrText xml:space="preserve"> FORMTEXT </w:instrText>
            </w:r>
            <w:r w:rsidRPr="006E446A">
              <w:rPr>
                <w:sz w:val="20"/>
                <w:szCs w:val="20"/>
              </w:rPr>
            </w:r>
            <w:r w:rsidRPr="006E446A">
              <w:rPr>
                <w:sz w:val="20"/>
                <w:szCs w:val="20"/>
              </w:rPr>
              <w:fldChar w:fldCharType="separate"/>
            </w:r>
            <w:r w:rsidR="00265456">
              <w:rPr>
                <w:noProof/>
                <w:sz w:val="20"/>
                <w:szCs w:val="20"/>
              </w:rPr>
              <w:t>0</w:t>
            </w:r>
            <w:r w:rsidRPr="006E446A">
              <w:rPr>
                <w:sz w:val="20"/>
                <w:szCs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14:paraId="1C18AFCB" w14:textId="77777777" w:rsidR="001844B6" w:rsidRPr="006E446A" w:rsidRDefault="001844B6" w:rsidP="00F0126F">
            <w:pPr>
              <w:pStyle w:val="POAACostsLow"/>
              <w:rPr>
                <w:sz w:val="20"/>
              </w:rPr>
            </w:pPr>
            <w:r w:rsidRPr="006E446A">
              <w:rPr>
                <w:sz w:val="20"/>
              </w:rPr>
              <w:fldChar w:fldCharType="begin">
                <w:ffData>
                  <w:name w:val="Text49"/>
                  <w:enabled/>
                  <w:calcOnExit w:val="0"/>
                  <w:textInput>
                    <w:default w:val="Optional"/>
                    <w:maxLength w:val="14"/>
                  </w:textInput>
                </w:ffData>
              </w:fldChar>
            </w:r>
            <w:r w:rsidRPr="006E446A">
              <w:rPr>
                <w:sz w:val="20"/>
              </w:rPr>
              <w:instrText xml:space="preserve"> FORMTEXT </w:instrText>
            </w:r>
            <w:r w:rsidRPr="006E446A">
              <w:rPr>
                <w:sz w:val="20"/>
              </w:rPr>
            </w:r>
            <w:r w:rsidRPr="006E446A">
              <w:rPr>
                <w:sz w:val="20"/>
              </w:rPr>
              <w:fldChar w:fldCharType="separate"/>
            </w:r>
            <w:r w:rsidR="00F0126F">
              <w:rPr>
                <w:sz w:val="20"/>
              </w:rPr>
              <w:t>0</w:t>
            </w:r>
            <w:r w:rsidRPr="006E446A">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14:paraId="1C18AFCC" w14:textId="77777777" w:rsidR="001844B6" w:rsidRPr="006E446A" w:rsidRDefault="001844B6" w:rsidP="00F0126F">
            <w:pPr>
              <w:pStyle w:val="POTCCostsLow"/>
              <w:rPr>
                <w:sz w:val="20"/>
              </w:rPr>
            </w:pPr>
            <w:r w:rsidRPr="006E446A">
              <w:rPr>
                <w:sz w:val="20"/>
              </w:rPr>
              <w:fldChar w:fldCharType="begin">
                <w:ffData>
                  <w:name w:val="Text52"/>
                  <w:enabled/>
                  <w:calcOnExit w:val="0"/>
                  <w:textInput>
                    <w:default w:val="Optional"/>
                    <w:maxLength w:val="14"/>
                  </w:textInput>
                </w:ffData>
              </w:fldChar>
            </w:r>
            <w:r w:rsidRPr="006E446A">
              <w:rPr>
                <w:sz w:val="20"/>
              </w:rPr>
              <w:instrText xml:space="preserve"> FORMTEXT </w:instrText>
            </w:r>
            <w:r w:rsidRPr="006E446A">
              <w:rPr>
                <w:sz w:val="20"/>
              </w:rPr>
            </w:r>
            <w:r w:rsidRPr="006E446A">
              <w:rPr>
                <w:sz w:val="20"/>
              </w:rPr>
              <w:fldChar w:fldCharType="separate"/>
            </w:r>
            <w:r w:rsidR="00F0126F">
              <w:rPr>
                <w:sz w:val="20"/>
              </w:rPr>
              <w:t>0</w:t>
            </w:r>
            <w:r w:rsidRPr="006E446A">
              <w:rPr>
                <w:sz w:val="20"/>
              </w:rPr>
              <w:fldChar w:fldCharType="end"/>
            </w:r>
          </w:p>
        </w:tc>
      </w:tr>
      <w:tr w:rsidR="006E446A" w:rsidRPr="006E446A" w14:paraId="1C18AFD3" w14:textId="77777777" w:rsidTr="006E446A">
        <w:trPr>
          <w:trHeight w:hRule="exact" w:val="348"/>
        </w:trPr>
        <w:tc>
          <w:tcPr>
            <w:tcW w:w="1995" w:type="dxa"/>
            <w:tcBorders>
              <w:top w:val="single" w:sz="6" w:space="0" w:color="auto"/>
              <w:bottom w:val="single" w:sz="12" w:space="0" w:color="auto"/>
            </w:tcBorders>
            <w:shd w:val="clear" w:color="auto" w:fill="auto"/>
            <w:vAlign w:val="center"/>
          </w:tcPr>
          <w:p w14:paraId="1C18AFCE" w14:textId="77777777" w:rsidR="001844B6" w:rsidRPr="00F63895" w:rsidRDefault="001844B6" w:rsidP="005A3880">
            <w:pPr>
              <w:pStyle w:val="IATableLabel"/>
            </w:pPr>
            <w:r w:rsidRPr="00F63895">
              <w:t xml:space="preserve">High </w:t>
            </w:r>
          </w:p>
        </w:tc>
        <w:tc>
          <w:tcPr>
            <w:tcW w:w="1949" w:type="dxa"/>
            <w:tcBorders>
              <w:top w:val="single" w:sz="6" w:space="0" w:color="auto"/>
              <w:bottom w:val="single" w:sz="12" w:space="0" w:color="auto"/>
            </w:tcBorders>
            <w:shd w:val="clear" w:color="auto" w:fill="auto"/>
            <w:vAlign w:val="center"/>
          </w:tcPr>
          <w:p w14:paraId="1C18AFCF" w14:textId="77777777" w:rsidR="001844B6" w:rsidRPr="006E446A" w:rsidRDefault="001844B6" w:rsidP="00F0126F">
            <w:pPr>
              <w:pStyle w:val="POTTCostsHigh"/>
              <w:rPr>
                <w:sz w:val="20"/>
              </w:rPr>
            </w:pPr>
            <w:r w:rsidRPr="006E446A">
              <w:rPr>
                <w:sz w:val="20"/>
              </w:rPr>
              <w:fldChar w:fldCharType="begin">
                <w:ffData>
                  <w:name w:val="Text46"/>
                  <w:enabled/>
                  <w:calcOnExit w:val="0"/>
                  <w:textInput>
                    <w:default w:val="Optional"/>
                    <w:maxLength w:val="14"/>
                  </w:textInput>
                </w:ffData>
              </w:fldChar>
            </w:r>
            <w:r w:rsidRPr="006E446A">
              <w:rPr>
                <w:sz w:val="20"/>
              </w:rPr>
              <w:instrText xml:space="preserve"> FORMTEXT </w:instrText>
            </w:r>
            <w:r w:rsidRPr="006E446A">
              <w:rPr>
                <w:sz w:val="20"/>
              </w:rPr>
            </w:r>
            <w:r w:rsidRPr="006E446A">
              <w:rPr>
                <w:sz w:val="20"/>
              </w:rPr>
              <w:fldChar w:fldCharType="separate"/>
            </w:r>
            <w:r w:rsidR="00F0126F">
              <w:rPr>
                <w:sz w:val="20"/>
              </w:rPr>
              <w:t>0</w:t>
            </w:r>
            <w:r w:rsidRPr="006E446A">
              <w:rPr>
                <w:sz w:val="20"/>
              </w:rPr>
              <w:fldChar w:fldCharType="end"/>
            </w:r>
          </w:p>
        </w:tc>
        <w:tc>
          <w:tcPr>
            <w:tcW w:w="790" w:type="dxa"/>
            <w:vMerge/>
            <w:shd w:val="clear" w:color="auto" w:fill="FFFFFF"/>
            <w:vAlign w:val="center"/>
          </w:tcPr>
          <w:p w14:paraId="1C18AFD0" w14:textId="77777777" w:rsidR="001844B6" w:rsidRPr="006E446A" w:rsidRDefault="001844B6" w:rsidP="006E446A">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1C18AFD1" w14:textId="77777777" w:rsidR="001844B6" w:rsidRPr="006E446A" w:rsidRDefault="001844B6" w:rsidP="00F0126F">
            <w:pPr>
              <w:pStyle w:val="POAACostsHigh"/>
              <w:rPr>
                <w:sz w:val="20"/>
              </w:rPr>
            </w:pPr>
            <w:r w:rsidRPr="006E446A">
              <w:rPr>
                <w:sz w:val="20"/>
              </w:rPr>
              <w:fldChar w:fldCharType="begin">
                <w:ffData>
                  <w:name w:val="Text50"/>
                  <w:enabled/>
                  <w:calcOnExit w:val="0"/>
                  <w:textInput>
                    <w:default w:val="Optional"/>
                    <w:maxLength w:val="14"/>
                  </w:textInput>
                </w:ffData>
              </w:fldChar>
            </w:r>
            <w:r w:rsidRPr="006E446A">
              <w:rPr>
                <w:sz w:val="20"/>
              </w:rPr>
              <w:instrText xml:space="preserve"> FORMTEXT </w:instrText>
            </w:r>
            <w:r w:rsidRPr="006E446A">
              <w:rPr>
                <w:sz w:val="20"/>
              </w:rPr>
            </w:r>
            <w:r w:rsidRPr="006E446A">
              <w:rPr>
                <w:sz w:val="20"/>
              </w:rPr>
              <w:fldChar w:fldCharType="separate"/>
            </w:r>
            <w:r w:rsidR="00F0126F">
              <w:rPr>
                <w:sz w:val="20"/>
              </w:rPr>
              <w:t>0</w:t>
            </w:r>
            <w:r w:rsidRPr="006E446A">
              <w:rPr>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14:paraId="1C18AFD2" w14:textId="77777777" w:rsidR="001844B6" w:rsidRPr="006E446A" w:rsidRDefault="001844B6" w:rsidP="00F0126F">
            <w:pPr>
              <w:pStyle w:val="POTCCostsHigh"/>
              <w:rPr>
                <w:sz w:val="20"/>
              </w:rPr>
            </w:pPr>
            <w:r w:rsidRPr="006E446A">
              <w:rPr>
                <w:sz w:val="20"/>
              </w:rPr>
              <w:fldChar w:fldCharType="begin">
                <w:ffData>
                  <w:name w:val="Text53"/>
                  <w:enabled/>
                  <w:calcOnExit w:val="0"/>
                  <w:textInput>
                    <w:default w:val="Optional"/>
                    <w:maxLength w:val="14"/>
                  </w:textInput>
                </w:ffData>
              </w:fldChar>
            </w:r>
            <w:r w:rsidRPr="006E446A">
              <w:rPr>
                <w:sz w:val="20"/>
              </w:rPr>
              <w:instrText xml:space="preserve"> FORMTEXT </w:instrText>
            </w:r>
            <w:r w:rsidRPr="006E446A">
              <w:rPr>
                <w:sz w:val="20"/>
              </w:rPr>
            </w:r>
            <w:r w:rsidRPr="006E446A">
              <w:rPr>
                <w:sz w:val="20"/>
              </w:rPr>
              <w:fldChar w:fldCharType="separate"/>
            </w:r>
            <w:r w:rsidR="00F0126F">
              <w:rPr>
                <w:sz w:val="20"/>
              </w:rPr>
              <w:t>0</w:t>
            </w:r>
            <w:r w:rsidRPr="006E446A">
              <w:rPr>
                <w:sz w:val="20"/>
              </w:rPr>
              <w:fldChar w:fldCharType="end"/>
            </w:r>
          </w:p>
        </w:tc>
      </w:tr>
      <w:tr w:rsidR="006E446A" w:rsidRPr="006E446A" w14:paraId="1C18AFDA" w14:textId="77777777" w:rsidTr="006E446A">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1C18AFD4" w14:textId="77777777" w:rsidR="001844B6" w:rsidRPr="00F63895" w:rsidRDefault="001844B6" w:rsidP="005A3880">
            <w:pPr>
              <w:pStyle w:val="IATableLabel"/>
            </w:pPr>
            <w:r w:rsidRPr="00F63895">
              <w:t>Best Estimate</w:t>
            </w:r>
          </w:p>
          <w:p w14:paraId="1C18AFD5" w14:textId="77777777" w:rsidR="001844B6" w:rsidRPr="006E446A" w:rsidRDefault="001844B6" w:rsidP="006E446A">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C18AFD6" w14:textId="77777777" w:rsidR="001844B6" w:rsidRPr="006E446A" w:rsidRDefault="001844B6" w:rsidP="00F0126F">
            <w:pPr>
              <w:pStyle w:val="POTTCostsBest"/>
              <w:rPr>
                <w:sz w:val="20"/>
              </w:rPr>
            </w:pPr>
            <w:r w:rsidRPr="006E446A">
              <w:rPr>
                <w:sz w:val="20"/>
              </w:rPr>
              <w:fldChar w:fldCharType="begin">
                <w:ffData>
                  <w:name w:val="Text51"/>
                  <w:enabled/>
                  <w:calcOnExit w:val="0"/>
                  <w:textInput>
                    <w:maxLength w:val="14"/>
                  </w:textInput>
                </w:ffData>
              </w:fldChar>
            </w:r>
            <w:r w:rsidRPr="006E446A">
              <w:rPr>
                <w:sz w:val="20"/>
              </w:rPr>
              <w:instrText xml:space="preserve"> FORMTEXT </w:instrText>
            </w:r>
            <w:r w:rsidRPr="006E446A">
              <w:rPr>
                <w:sz w:val="20"/>
              </w:rPr>
            </w:r>
            <w:r w:rsidRPr="006E446A">
              <w:rPr>
                <w:sz w:val="20"/>
              </w:rPr>
              <w:fldChar w:fldCharType="separate"/>
            </w:r>
            <w:r w:rsidR="00F0126F">
              <w:rPr>
                <w:noProof/>
                <w:sz w:val="20"/>
              </w:rPr>
              <w:t>0</w:t>
            </w:r>
            <w:r w:rsidRPr="006E446A">
              <w:rPr>
                <w:sz w:val="20"/>
              </w:rPr>
              <w:fldChar w:fldCharType="end"/>
            </w:r>
          </w:p>
        </w:tc>
        <w:tc>
          <w:tcPr>
            <w:tcW w:w="790" w:type="dxa"/>
            <w:vMerge/>
            <w:tcBorders>
              <w:left w:val="single" w:sz="12" w:space="0" w:color="auto"/>
              <w:right w:val="single" w:sz="12" w:space="0" w:color="auto"/>
            </w:tcBorders>
            <w:shd w:val="clear" w:color="auto" w:fill="FFFFFF"/>
            <w:vAlign w:val="center"/>
          </w:tcPr>
          <w:p w14:paraId="1C18AFD7" w14:textId="77777777" w:rsidR="001844B6" w:rsidRPr="006E446A" w:rsidRDefault="001844B6" w:rsidP="006E446A">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1C18AFD8" w14:textId="77777777" w:rsidR="001844B6" w:rsidRPr="006E446A" w:rsidRDefault="001844B6" w:rsidP="00BE7D8D">
            <w:pPr>
              <w:pStyle w:val="POAACostsBest"/>
              <w:rPr>
                <w:sz w:val="20"/>
              </w:rPr>
            </w:pPr>
            <w:r w:rsidRPr="006E446A">
              <w:rPr>
                <w:sz w:val="20"/>
              </w:rPr>
              <w:fldChar w:fldCharType="begin">
                <w:ffData>
                  <w:name w:val="Text51"/>
                  <w:enabled/>
                  <w:calcOnExit w:val="0"/>
                  <w:textInput>
                    <w:maxLength w:val="14"/>
                  </w:textInput>
                </w:ffData>
              </w:fldChar>
            </w:r>
            <w:r w:rsidRPr="006E446A">
              <w:rPr>
                <w:sz w:val="20"/>
              </w:rPr>
              <w:instrText xml:space="preserve"> FORMTEXT </w:instrText>
            </w:r>
            <w:r w:rsidRPr="006E446A">
              <w:rPr>
                <w:sz w:val="20"/>
              </w:rPr>
            </w:r>
            <w:r w:rsidRPr="006E446A">
              <w:rPr>
                <w:sz w:val="20"/>
              </w:rPr>
              <w:fldChar w:fldCharType="separate"/>
            </w:r>
            <w:r w:rsidR="00BE7D8D">
              <w:rPr>
                <w:noProof/>
                <w:sz w:val="20"/>
              </w:rPr>
              <w:t>0</w:t>
            </w:r>
            <w:r w:rsidRPr="006E446A">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1C18AFD9" w14:textId="77777777" w:rsidR="001844B6" w:rsidRPr="006E446A" w:rsidRDefault="001844B6" w:rsidP="00BE7D8D">
            <w:pPr>
              <w:pStyle w:val="POTCCostsBest"/>
              <w:rPr>
                <w:sz w:val="20"/>
              </w:rPr>
            </w:pPr>
            <w:r w:rsidRPr="006E446A">
              <w:rPr>
                <w:sz w:val="20"/>
              </w:rPr>
              <w:fldChar w:fldCharType="begin">
                <w:ffData>
                  <w:name w:val="Text54"/>
                  <w:enabled/>
                  <w:calcOnExit w:val="0"/>
                  <w:textInput>
                    <w:maxLength w:val="14"/>
                  </w:textInput>
                </w:ffData>
              </w:fldChar>
            </w:r>
            <w:r w:rsidRPr="006E446A">
              <w:rPr>
                <w:sz w:val="20"/>
              </w:rPr>
              <w:instrText xml:space="preserve"> FORMTEXT </w:instrText>
            </w:r>
            <w:r w:rsidRPr="006E446A">
              <w:rPr>
                <w:sz w:val="20"/>
              </w:rPr>
            </w:r>
            <w:r w:rsidRPr="006E446A">
              <w:rPr>
                <w:sz w:val="20"/>
              </w:rPr>
              <w:fldChar w:fldCharType="separate"/>
            </w:r>
            <w:r w:rsidR="00BE7D8D">
              <w:rPr>
                <w:noProof/>
                <w:sz w:val="20"/>
              </w:rPr>
              <w:t>0</w:t>
            </w:r>
            <w:r w:rsidRPr="006E446A">
              <w:rPr>
                <w:sz w:val="20"/>
              </w:rPr>
              <w:fldChar w:fldCharType="end"/>
            </w:r>
          </w:p>
        </w:tc>
      </w:tr>
      <w:tr w:rsidR="001844B6" w:rsidRPr="00826F71" w14:paraId="1C18AFDD" w14:textId="77777777" w:rsidTr="006E446A">
        <w:trPr>
          <w:trHeight w:hRule="exact" w:val="1701"/>
        </w:trPr>
        <w:tc>
          <w:tcPr>
            <w:tcW w:w="10235" w:type="dxa"/>
            <w:gridSpan w:val="6"/>
            <w:tcBorders>
              <w:bottom w:val="single" w:sz="6" w:space="0" w:color="auto"/>
            </w:tcBorders>
            <w:shd w:val="clear" w:color="auto" w:fill="auto"/>
          </w:tcPr>
          <w:p w14:paraId="1C18AFDB" w14:textId="77777777" w:rsidR="001844B6" w:rsidRPr="006E446A"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14:paraId="1C18AFDC" w14:textId="77777777" w:rsidR="001844B6" w:rsidRPr="00826F71" w:rsidRDefault="001844B6" w:rsidP="005A1DDE">
            <w:pPr>
              <w:pStyle w:val="IAPOA1"/>
            </w:pPr>
            <w:r w:rsidRPr="00D337D1">
              <w:fldChar w:fldCharType="begin">
                <w:ffData>
                  <w:name w:val="Text62"/>
                  <w:enabled/>
                  <w:calcOnExit w:val="0"/>
                  <w:textInput>
                    <w:default w:val="Maximum of 5 lines"/>
                    <w:maxLength w:val="500"/>
                  </w:textInput>
                </w:ffData>
              </w:fldChar>
            </w:r>
            <w:r w:rsidRPr="00D337D1">
              <w:instrText xml:space="preserve"> FORMTEXT </w:instrText>
            </w:r>
            <w:r w:rsidRPr="00D337D1">
              <w:fldChar w:fldCharType="separate"/>
            </w:r>
            <w:r w:rsidR="00773384">
              <w:t>There are unlikely to be substantial costs from the proposal, and t</w:t>
            </w:r>
            <w:r w:rsidR="00BE7D8D">
              <w:t xml:space="preserve">here is insufficient data to monetise </w:t>
            </w:r>
            <w:r w:rsidR="00773384">
              <w:t>any possible</w:t>
            </w:r>
            <w:r w:rsidR="00BE7D8D">
              <w:t xml:space="preserve"> costs.</w:t>
            </w:r>
            <w:r w:rsidR="00773384">
              <w:t xml:space="preserve"> The licences in scope for deregulation are not governed by a licence. This means that there is scant data on use</w:t>
            </w:r>
            <w:r w:rsidR="005A1DDE">
              <w:t xml:space="preserve"> of</w:t>
            </w:r>
            <w:r w:rsidR="00773384">
              <w:t xml:space="preserve"> lotteries, average amount donated, the total market</w:t>
            </w:r>
            <w:r w:rsidR="005A1DDE">
              <w:t xml:space="preserve"> size over time,</w:t>
            </w:r>
            <w:r w:rsidR="00773384">
              <w:t xml:space="preserve"> and (most importantly) the extent to which the deregulation is likely to cause growth in donations.</w:t>
            </w:r>
            <w:r w:rsidR="005A1DDE">
              <w:t xml:space="preserve"> This assessment has been made in consultation with sector experts.</w:t>
            </w:r>
            <w:r w:rsidRPr="00D337D1">
              <w:fldChar w:fldCharType="end"/>
            </w:r>
          </w:p>
        </w:tc>
      </w:tr>
      <w:tr w:rsidR="001844B6" w:rsidRPr="00826F71" w14:paraId="1C18AFE0" w14:textId="77777777" w:rsidTr="006E446A">
        <w:trPr>
          <w:trHeight w:hRule="exact" w:val="1701"/>
        </w:trPr>
        <w:tc>
          <w:tcPr>
            <w:tcW w:w="10235" w:type="dxa"/>
            <w:gridSpan w:val="6"/>
            <w:tcBorders>
              <w:top w:val="single" w:sz="6" w:space="0" w:color="auto"/>
              <w:bottom w:val="single" w:sz="12" w:space="0" w:color="auto"/>
            </w:tcBorders>
            <w:shd w:val="clear" w:color="auto" w:fill="auto"/>
          </w:tcPr>
          <w:p w14:paraId="1C18AFDE" w14:textId="77777777" w:rsidR="001844B6" w:rsidRPr="006E446A" w:rsidRDefault="001844B6" w:rsidP="005A3880">
            <w:pPr>
              <w:pStyle w:val="IAPOQ2"/>
              <w:rPr>
                <w:szCs w:val="22"/>
              </w:rPr>
            </w:pPr>
            <w:r w:rsidRPr="00544292">
              <w:t>Other</w:t>
            </w:r>
            <w:r w:rsidRPr="00826F71">
              <w:t xml:space="preserve"> key non-monetised costs</w:t>
            </w:r>
            <w:r w:rsidRPr="00544292">
              <w:t xml:space="preserve"> by ‘main affected groups’ </w:t>
            </w:r>
          </w:p>
          <w:p w14:paraId="1C18AFDF" w14:textId="77777777" w:rsidR="001844B6" w:rsidRPr="006E446A" w:rsidRDefault="001844B6" w:rsidP="005A1DDE">
            <w:pPr>
              <w:pStyle w:val="IAPOA2"/>
              <w:rPr>
                <w:szCs w:val="22"/>
              </w:rPr>
            </w:pPr>
            <w:r w:rsidRPr="006E446A">
              <w:rPr>
                <w:szCs w:val="22"/>
              </w:rPr>
              <w:fldChar w:fldCharType="begin">
                <w:ffData>
                  <w:name w:val="Text62"/>
                  <w:enabled/>
                  <w:calcOnExit w:val="0"/>
                  <w:textInput>
                    <w:default w:val="Maximum of 5 lines"/>
                    <w:maxLength w:val="500"/>
                  </w:textInput>
                </w:ffData>
              </w:fldChar>
            </w:r>
            <w:r w:rsidRPr="006E446A">
              <w:rPr>
                <w:szCs w:val="22"/>
              </w:rPr>
              <w:instrText xml:space="preserve"> FORMTEXT </w:instrText>
            </w:r>
            <w:r w:rsidRPr="006E446A">
              <w:rPr>
                <w:szCs w:val="22"/>
              </w:rPr>
            </w:r>
            <w:r w:rsidRPr="006E446A">
              <w:rPr>
                <w:szCs w:val="22"/>
              </w:rPr>
              <w:fldChar w:fldCharType="separate"/>
            </w:r>
            <w:r w:rsidR="005A1DDE">
              <w:rPr>
                <w:szCs w:val="22"/>
              </w:rPr>
              <w:t xml:space="preserve">There are some potential direct costs associated with any growth in number of raffles. These are likely to be minimal: prizes are commonly donated, raffles are ordinarily run by volunteers, and supporting equipment such as raffle books are very low cost. Additional raffles will not be staged unless benefits outweigh costs. Increased raffle donations might cause some indirect substitution away from other forms of giving or substitute commercial products. </w:t>
            </w:r>
            <w:r w:rsidRPr="006E446A">
              <w:rPr>
                <w:szCs w:val="22"/>
              </w:rPr>
              <w:fldChar w:fldCharType="end"/>
            </w:r>
          </w:p>
        </w:tc>
      </w:tr>
      <w:tr w:rsidR="006E446A" w:rsidRPr="006E446A" w14:paraId="1C18AFE6" w14:textId="77777777" w:rsidTr="006E446A">
        <w:trPr>
          <w:trHeight w:hRule="exact" w:val="567"/>
        </w:trPr>
        <w:tc>
          <w:tcPr>
            <w:tcW w:w="1995" w:type="dxa"/>
            <w:shd w:val="clear" w:color="auto" w:fill="FFFFFF"/>
          </w:tcPr>
          <w:p w14:paraId="1C18AFE1" w14:textId="77777777" w:rsidR="001844B6" w:rsidRPr="006E446A" w:rsidRDefault="001844B6" w:rsidP="005A3880">
            <w:pPr>
              <w:pStyle w:val="IATableLabel"/>
              <w:rPr>
                <w:sz w:val="24"/>
                <w:szCs w:val="24"/>
              </w:rPr>
            </w:pPr>
            <w:r w:rsidRPr="006E446A">
              <w:rPr>
                <w:sz w:val="24"/>
                <w:szCs w:val="24"/>
              </w:rPr>
              <w:t>BENEFITS (£m)</w:t>
            </w:r>
          </w:p>
        </w:tc>
        <w:tc>
          <w:tcPr>
            <w:tcW w:w="2739" w:type="dxa"/>
            <w:gridSpan w:val="2"/>
            <w:tcBorders>
              <w:top w:val="single" w:sz="12" w:space="0" w:color="auto"/>
              <w:bottom w:val="single" w:sz="6" w:space="0" w:color="auto"/>
            </w:tcBorders>
            <w:shd w:val="clear" w:color="auto" w:fill="auto"/>
          </w:tcPr>
          <w:p w14:paraId="1C18AFE2" w14:textId="77777777" w:rsidR="001844B6" w:rsidRPr="00826F71" w:rsidRDefault="001844B6" w:rsidP="006E446A">
            <w:pPr>
              <w:pStyle w:val="IATableLabel"/>
              <w:tabs>
                <w:tab w:val="right" w:pos="1797"/>
                <w:tab w:val="center" w:pos="2340"/>
              </w:tabs>
              <w:jc w:val="right"/>
            </w:pPr>
            <w:r w:rsidRPr="00826F71">
              <w:t xml:space="preserve">Total Transition </w:t>
            </w:r>
            <w:r>
              <w:br/>
            </w:r>
            <w:r>
              <w:tab/>
            </w:r>
            <w:r w:rsidRPr="006E446A">
              <w:rPr>
                <w:b w:val="0"/>
                <w:sz w:val="18"/>
                <w:szCs w:val="18"/>
              </w:rPr>
              <w:t>(Constant Price)</w:t>
            </w:r>
            <w:r>
              <w:tab/>
            </w:r>
            <w:r w:rsidRPr="006E446A">
              <w:rPr>
                <w:b w:val="0"/>
                <w:sz w:val="18"/>
                <w:szCs w:val="18"/>
              </w:rPr>
              <w:t>Yea</w:t>
            </w:r>
            <w:r w:rsidRPr="006E446A">
              <w:rPr>
                <w:b w:val="0"/>
                <w:bCs/>
                <w:sz w:val="18"/>
                <w:szCs w:val="18"/>
              </w:rPr>
              <w:t>r</w:t>
            </w:r>
            <w:r w:rsidRPr="006E446A">
              <w:rPr>
                <w:b w:val="0"/>
                <w:sz w:val="18"/>
                <w:szCs w:val="18"/>
              </w:rPr>
              <w:t>s</w:t>
            </w:r>
          </w:p>
          <w:p w14:paraId="1C18AFE3" w14:textId="77777777" w:rsidR="001844B6" w:rsidRPr="00826F71" w:rsidRDefault="001844B6" w:rsidP="006E446A">
            <w:pPr>
              <w:pStyle w:val="IATableLabel"/>
              <w:jc w:val="right"/>
            </w:pPr>
            <w:r>
              <w:br/>
            </w:r>
          </w:p>
        </w:tc>
        <w:tc>
          <w:tcPr>
            <w:tcW w:w="2865" w:type="dxa"/>
            <w:tcBorders>
              <w:bottom w:val="single" w:sz="6" w:space="0" w:color="auto"/>
              <w:right w:val="single" w:sz="12" w:space="0" w:color="auto"/>
            </w:tcBorders>
            <w:shd w:val="clear" w:color="auto" w:fill="auto"/>
          </w:tcPr>
          <w:p w14:paraId="1C18AFE4" w14:textId="77777777" w:rsidR="001844B6" w:rsidRPr="006E446A" w:rsidRDefault="001844B6" w:rsidP="006E446A">
            <w:pPr>
              <w:pStyle w:val="IATableLabel"/>
              <w:jc w:val="right"/>
              <w:rPr>
                <w:rFonts w:cs="Arial"/>
                <w:bCs/>
              </w:rPr>
            </w:pPr>
            <w:r w:rsidRPr="00826F71">
              <w:t>Average Annual</w:t>
            </w:r>
            <w:r w:rsidRPr="000C031E">
              <w:t xml:space="preserve"> </w:t>
            </w:r>
            <w:r>
              <w:br/>
            </w:r>
            <w:r w:rsidRPr="006E446A">
              <w:rPr>
                <w:b w:val="0"/>
                <w:sz w:val="18"/>
                <w:szCs w:val="18"/>
              </w:rPr>
              <w:t xml:space="preserve">(excl. Transition) </w:t>
            </w:r>
            <w:r w:rsidRPr="006E446A">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14:paraId="1C18AFE5" w14:textId="77777777" w:rsidR="001844B6" w:rsidRPr="00826F71" w:rsidRDefault="001844B6" w:rsidP="006E446A">
            <w:pPr>
              <w:pStyle w:val="IATableLabel"/>
              <w:jc w:val="right"/>
            </w:pPr>
            <w:r w:rsidRPr="00826F71">
              <w:t xml:space="preserve">Total </w:t>
            </w:r>
            <w:r>
              <w:t>Benefit</w:t>
            </w:r>
            <w:r w:rsidRPr="006E446A">
              <w:rPr>
                <w:b w:val="0"/>
                <w:sz w:val="18"/>
                <w:szCs w:val="18"/>
              </w:rPr>
              <w:t xml:space="preserve"> </w:t>
            </w:r>
            <w:r w:rsidRPr="006E446A">
              <w:rPr>
                <w:b w:val="0"/>
                <w:sz w:val="18"/>
                <w:szCs w:val="18"/>
              </w:rPr>
              <w:br/>
              <w:t>(Present Value)</w:t>
            </w:r>
          </w:p>
        </w:tc>
      </w:tr>
      <w:tr w:rsidR="006E446A" w:rsidRPr="006E446A" w14:paraId="1C18AFEC" w14:textId="77777777" w:rsidTr="006E446A">
        <w:trPr>
          <w:trHeight w:hRule="exact" w:val="348"/>
        </w:trPr>
        <w:tc>
          <w:tcPr>
            <w:tcW w:w="1995" w:type="dxa"/>
            <w:tcBorders>
              <w:top w:val="single" w:sz="6" w:space="0" w:color="auto"/>
              <w:bottom w:val="single" w:sz="6" w:space="0" w:color="auto"/>
            </w:tcBorders>
            <w:shd w:val="clear" w:color="auto" w:fill="auto"/>
            <w:vAlign w:val="center"/>
          </w:tcPr>
          <w:p w14:paraId="1C18AFE7" w14:textId="77777777" w:rsidR="001844B6" w:rsidRPr="00826F71" w:rsidRDefault="001844B6" w:rsidP="005A3880">
            <w:pPr>
              <w:pStyle w:val="IATableLabel"/>
            </w:pPr>
            <w:r w:rsidRPr="00826F71">
              <w:t xml:space="preserve">Low </w:t>
            </w:r>
          </w:p>
        </w:tc>
        <w:tc>
          <w:tcPr>
            <w:tcW w:w="1949" w:type="dxa"/>
            <w:tcBorders>
              <w:top w:val="single" w:sz="6" w:space="0" w:color="auto"/>
              <w:bottom w:val="single" w:sz="6" w:space="0" w:color="auto"/>
            </w:tcBorders>
            <w:shd w:val="clear" w:color="auto" w:fill="auto"/>
            <w:vAlign w:val="center"/>
          </w:tcPr>
          <w:p w14:paraId="1C18AFE8" w14:textId="77777777" w:rsidR="001844B6" w:rsidRPr="006E446A" w:rsidRDefault="001844B6" w:rsidP="00265456">
            <w:pPr>
              <w:pStyle w:val="POTTBenLow"/>
              <w:rPr>
                <w:sz w:val="20"/>
              </w:rPr>
            </w:pPr>
            <w:r w:rsidRPr="006E446A">
              <w:rPr>
                <w:sz w:val="20"/>
              </w:rPr>
              <w:fldChar w:fldCharType="begin">
                <w:ffData>
                  <w:name w:val=""/>
                  <w:enabled/>
                  <w:calcOnExit w:val="0"/>
                  <w:textInput>
                    <w:default w:val="Optional"/>
                    <w:maxLength w:val="14"/>
                  </w:textInput>
                </w:ffData>
              </w:fldChar>
            </w:r>
            <w:r w:rsidRPr="006E446A">
              <w:rPr>
                <w:sz w:val="20"/>
              </w:rPr>
              <w:instrText xml:space="preserve"> FORMTEXT </w:instrText>
            </w:r>
            <w:r w:rsidRPr="006E446A">
              <w:rPr>
                <w:sz w:val="20"/>
              </w:rPr>
            </w:r>
            <w:r w:rsidRPr="006E446A">
              <w:rPr>
                <w:sz w:val="20"/>
              </w:rPr>
              <w:fldChar w:fldCharType="separate"/>
            </w:r>
            <w:r w:rsidR="00265456">
              <w:rPr>
                <w:sz w:val="20"/>
              </w:rPr>
              <w:t>0</w:t>
            </w:r>
            <w:r w:rsidRPr="006E446A">
              <w:rPr>
                <w:sz w:val="20"/>
              </w:rPr>
              <w:fldChar w:fldCharType="end"/>
            </w:r>
          </w:p>
        </w:tc>
        <w:tc>
          <w:tcPr>
            <w:tcW w:w="790" w:type="dxa"/>
            <w:vMerge w:val="restart"/>
            <w:tcBorders>
              <w:top w:val="single" w:sz="6" w:space="0" w:color="auto"/>
            </w:tcBorders>
            <w:shd w:val="clear" w:color="auto" w:fill="auto"/>
            <w:vAlign w:val="center"/>
          </w:tcPr>
          <w:p w14:paraId="1C18AFE9" w14:textId="77777777" w:rsidR="001844B6" w:rsidRPr="006E446A" w:rsidRDefault="001844B6" w:rsidP="00265456">
            <w:pPr>
              <w:pStyle w:val="IATableText"/>
              <w:jc w:val="center"/>
              <w:rPr>
                <w:sz w:val="20"/>
              </w:rPr>
            </w:pPr>
            <w:r w:rsidRPr="006E446A">
              <w:rPr>
                <w:sz w:val="20"/>
              </w:rPr>
              <w:fldChar w:fldCharType="begin">
                <w:ffData>
                  <w:name w:val="Text48"/>
                  <w:enabled/>
                  <w:calcOnExit w:val="0"/>
                  <w:textInput>
                    <w:maxLength w:val="3"/>
                  </w:textInput>
                </w:ffData>
              </w:fldChar>
            </w:r>
            <w:r w:rsidRPr="006E446A">
              <w:rPr>
                <w:sz w:val="20"/>
              </w:rPr>
              <w:instrText xml:space="preserve"> FORMTEXT </w:instrText>
            </w:r>
            <w:r w:rsidRPr="006E446A">
              <w:rPr>
                <w:sz w:val="20"/>
              </w:rPr>
            </w:r>
            <w:r w:rsidRPr="006E446A">
              <w:rPr>
                <w:sz w:val="20"/>
              </w:rPr>
              <w:fldChar w:fldCharType="separate"/>
            </w:r>
            <w:r w:rsidR="00265456">
              <w:rPr>
                <w:noProof/>
                <w:sz w:val="20"/>
              </w:rPr>
              <w:t>0</w:t>
            </w:r>
            <w:r w:rsidRPr="006E446A">
              <w:rPr>
                <w:sz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14:paraId="1C18AFEA" w14:textId="77777777" w:rsidR="001844B6" w:rsidRPr="006E446A" w:rsidRDefault="001844B6" w:rsidP="00265456">
            <w:pPr>
              <w:pStyle w:val="POAABenLow"/>
              <w:rPr>
                <w:sz w:val="20"/>
              </w:rPr>
            </w:pPr>
            <w:r w:rsidRPr="006E446A">
              <w:rPr>
                <w:sz w:val="20"/>
              </w:rPr>
              <w:fldChar w:fldCharType="begin">
                <w:ffData>
                  <w:name w:val=""/>
                  <w:enabled/>
                  <w:calcOnExit w:val="0"/>
                  <w:textInput>
                    <w:default w:val="Optional"/>
                    <w:maxLength w:val="14"/>
                  </w:textInput>
                </w:ffData>
              </w:fldChar>
            </w:r>
            <w:r w:rsidRPr="006E446A">
              <w:rPr>
                <w:sz w:val="20"/>
              </w:rPr>
              <w:instrText xml:space="preserve"> FORMTEXT </w:instrText>
            </w:r>
            <w:r w:rsidRPr="006E446A">
              <w:rPr>
                <w:sz w:val="20"/>
              </w:rPr>
            </w:r>
            <w:r w:rsidRPr="006E446A">
              <w:rPr>
                <w:sz w:val="20"/>
              </w:rPr>
              <w:fldChar w:fldCharType="separate"/>
            </w:r>
            <w:r w:rsidR="00265456">
              <w:rPr>
                <w:sz w:val="20"/>
              </w:rPr>
              <w:t>0</w:t>
            </w:r>
            <w:r w:rsidRPr="006E446A">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14:paraId="1C18AFEB" w14:textId="77777777" w:rsidR="001844B6" w:rsidRPr="006E446A" w:rsidRDefault="001844B6" w:rsidP="00265456">
            <w:pPr>
              <w:pStyle w:val="POTBBenLow"/>
              <w:rPr>
                <w:sz w:val="20"/>
              </w:rPr>
            </w:pPr>
            <w:r w:rsidRPr="006E446A">
              <w:rPr>
                <w:sz w:val="20"/>
              </w:rPr>
              <w:fldChar w:fldCharType="begin">
                <w:ffData>
                  <w:name w:val=""/>
                  <w:enabled/>
                  <w:calcOnExit w:val="0"/>
                  <w:textInput>
                    <w:default w:val="Optional"/>
                    <w:maxLength w:val="14"/>
                  </w:textInput>
                </w:ffData>
              </w:fldChar>
            </w:r>
            <w:r w:rsidRPr="006E446A">
              <w:rPr>
                <w:sz w:val="20"/>
              </w:rPr>
              <w:instrText xml:space="preserve"> FORMTEXT </w:instrText>
            </w:r>
            <w:r w:rsidRPr="006E446A">
              <w:rPr>
                <w:sz w:val="20"/>
              </w:rPr>
            </w:r>
            <w:r w:rsidRPr="006E446A">
              <w:rPr>
                <w:sz w:val="20"/>
              </w:rPr>
              <w:fldChar w:fldCharType="separate"/>
            </w:r>
            <w:r w:rsidR="00265456">
              <w:rPr>
                <w:sz w:val="20"/>
              </w:rPr>
              <w:t>0</w:t>
            </w:r>
            <w:r w:rsidRPr="006E446A">
              <w:rPr>
                <w:sz w:val="20"/>
              </w:rPr>
              <w:fldChar w:fldCharType="end"/>
            </w:r>
          </w:p>
        </w:tc>
      </w:tr>
      <w:tr w:rsidR="006E446A" w:rsidRPr="006E446A" w14:paraId="1C18AFF2" w14:textId="77777777" w:rsidTr="006E446A">
        <w:trPr>
          <w:trHeight w:hRule="exact" w:val="348"/>
        </w:trPr>
        <w:tc>
          <w:tcPr>
            <w:tcW w:w="1995" w:type="dxa"/>
            <w:tcBorders>
              <w:top w:val="single" w:sz="6" w:space="0" w:color="auto"/>
              <w:bottom w:val="single" w:sz="12" w:space="0" w:color="auto"/>
            </w:tcBorders>
            <w:shd w:val="clear" w:color="auto" w:fill="auto"/>
            <w:vAlign w:val="center"/>
          </w:tcPr>
          <w:p w14:paraId="1C18AFED" w14:textId="77777777" w:rsidR="001844B6" w:rsidRPr="00826F71" w:rsidRDefault="001844B6" w:rsidP="005A3880">
            <w:pPr>
              <w:pStyle w:val="IATableLabel"/>
            </w:pPr>
            <w:r w:rsidRPr="00826F71">
              <w:t xml:space="preserve">High </w:t>
            </w:r>
          </w:p>
        </w:tc>
        <w:tc>
          <w:tcPr>
            <w:tcW w:w="1949" w:type="dxa"/>
            <w:tcBorders>
              <w:top w:val="single" w:sz="6" w:space="0" w:color="auto"/>
              <w:bottom w:val="single" w:sz="12" w:space="0" w:color="auto"/>
            </w:tcBorders>
            <w:shd w:val="clear" w:color="auto" w:fill="auto"/>
            <w:vAlign w:val="center"/>
          </w:tcPr>
          <w:p w14:paraId="1C18AFEE" w14:textId="77777777" w:rsidR="001844B6" w:rsidRPr="006E446A" w:rsidRDefault="001844B6" w:rsidP="00265456">
            <w:pPr>
              <w:pStyle w:val="POTTBenHigh"/>
              <w:rPr>
                <w:sz w:val="20"/>
              </w:rPr>
            </w:pPr>
            <w:r w:rsidRPr="006E446A">
              <w:rPr>
                <w:sz w:val="20"/>
              </w:rPr>
              <w:fldChar w:fldCharType="begin">
                <w:ffData>
                  <w:name w:val=""/>
                  <w:enabled/>
                  <w:calcOnExit w:val="0"/>
                  <w:textInput>
                    <w:default w:val="Optional"/>
                    <w:maxLength w:val="14"/>
                  </w:textInput>
                </w:ffData>
              </w:fldChar>
            </w:r>
            <w:r w:rsidRPr="006E446A">
              <w:rPr>
                <w:sz w:val="20"/>
              </w:rPr>
              <w:instrText xml:space="preserve"> FORMTEXT </w:instrText>
            </w:r>
            <w:r w:rsidRPr="006E446A">
              <w:rPr>
                <w:sz w:val="20"/>
              </w:rPr>
            </w:r>
            <w:r w:rsidRPr="006E446A">
              <w:rPr>
                <w:sz w:val="20"/>
              </w:rPr>
              <w:fldChar w:fldCharType="separate"/>
            </w:r>
            <w:r w:rsidR="00265456">
              <w:rPr>
                <w:sz w:val="20"/>
              </w:rPr>
              <w:t>0</w:t>
            </w:r>
            <w:r w:rsidRPr="006E446A">
              <w:rPr>
                <w:sz w:val="20"/>
              </w:rPr>
              <w:fldChar w:fldCharType="end"/>
            </w:r>
          </w:p>
        </w:tc>
        <w:tc>
          <w:tcPr>
            <w:tcW w:w="790" w:type="dxa"/>
            <w:vMerge/>
            <w:shd w:val="clear" w:color="auto" w:fill="FFFFFF"/>
            <w:vAlign w:val="center"/>
          </w:tcPr>
          <w:p w14:paraId="1C18AFEF" w14:textId="77777777" w:rsidR="001844B6" w:rsidRPr="006E446A" w:rsidRDefault="001844B6" w:rsidP="006E446A">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14:paraId="1C18AFF0" w14:textId="77777777" w:rsidR="001844B6" w:rsidRPr="006E446A" w:rsidRDefault="001844B6" w:rsidP="00265456">
            <w:pPr>
              <w:pStyle w:val="POAABenHigh"/>
              <w:rPr>
                <w:sz w:val="20"/>
              </w:rPr>
            </w:pPr>
            <w:r w:rsidRPr="006E446A">
              <w:rPr>
                <w:sz w:val="20"/>
              </w:rPr>
              <w:fldChar w:fldCharType="begin">
                <w:ffData>
                  <w:name w:val=""/>
                  <w:enabled/>
                  <w:calcOnExit w:val="0"/>
                  <w:textInput>
                    <w:default w:val="Optional"/>
                    <w:maxLength w:val="14"/>
                  </w:textInput>
                </w:ffData>
              </w:fldChar>
            </w:r>
            <w:r w:rsidRPr="006E446A">
              <w:rPr>
                <w:sz w:val="20"/>
              </w:rPr>
              <w:instrText xml:space="preserve"> FORMTEXT </w:instrText>
            </w:r>
            <w:r w:rsidRPr="006E446A">
              <w:rPr>
                <w:sz w:val="20"/>
              </w:rPr>
            </w:r>
            <w:r w:rsidRPr="006E446A">
              <w:rPr>
                <w:sz w:val="20"/>
              </w:rPr>
              <w:fldChar w:fldCharType="separate"/>
            </w:r>
            <w:r w:rsidR="00265456">
              <w:rPr>
                <w:noProof/>
                <w:sz w:val="20"/>
              </w:rPr>
              <w:t>0</w:t>
            </w:r>
            <w:r w:rsidRPr="006E446A">
              <w:rPr>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14:paraId="1C18AFF1" w14:textId="77777777" w:rsidR="001844B6" w:rsidRPr="006E446A" w:rsidRDefault="001844B6" w:rsidP="00265456">
            <w:pPr>
              <w:pStyle w:val="POTBBenHigh"/>
              <w:rPr>
                <w:sz w:val="20"/>
              </w:rPr>
            </w:pPr>
            <w:r w:rsidRPr="006E446A">
              <w:rPr>
                <w:sz w:val="20"/>
              </w:rPr>
              <w:fldChar w:fldCharType="begin">
                <w:ffData>
                  <w:name w:val=""/>
                  <w:enabled/>
                  <w:calcOnExit w:val="0"/>
                  <w:textInput>
                    <w:default w:val="Optional"/>
                    <w:maxLength w:val="14"/>
                  </w:textInput>
                </w:ffData>
              </w:fldChar>
            </w:r>
            <w:r w:rsidRPr="006E446A">
              <w:rPr>
                <w:sz w:val="20"/>
              </w:rPr>
              <w:instrText xml:space="preserve"> FORMTEXT </w:instrText>
            </w:r>
            <w:r w:rsidRPr="006E446A">
              <w:rPr>
                <w:sz w:val="20"/>
              </w:rPr>
            </w:r>
            <w:r w:rsidRPr="006E446A">
              <w:rPr>
                <w:sz w:val="20"/>
              </w:rPr>
              <w:fldChar w:fldCharType="separate"/>
            </w:r>
            <w:r w:rsidR="00265456">
              <w:rPr>
                <w:noProof/>
                <w:sz w:val="20"/>
              </w:rPr>
              <w:t>0</w:t>
            </w:r>
            <w:r w:rsidRPr="006E446A">
              <w:rPr>
                <w:sz w:val="20"/>
              </w:rPr>
              <w:fldChar w:fldCharType="end"/>
            </w:r>
          </w:p>
        </w:tc>
      </w:tr>
      <w:tr w:rsidR="006E446A" w:rsidRPr="006E446A" w14:paraId="1C18AFF9" w14:textId="77777777" w:rsidTr="006E446A">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14:paraId="1C18AFF3" w14:textId="77777777" w:rsidR="001844B6" w:rsidRPr="00826F71" w:rsidRDefault="001844B6" w:rsidP="005A3880">
            <w:pPr>
              <w:pStyle w:val="IATableLabel"/>
            </w:pPr>
            <w:r w:rsidRPr="00826F71">
              <w:t xml:space="preserve">Best </w:t>
            </w:r>
            <w:r>
              <w:t>E</w:t>
            </w:r>
            <w:r w:rsidRPr="00826F71">
              <w:t>stimate</w:t>
            </w:r>
          </w:p>
          <w:p w14:paraId="1C18AFF4" w14:textId="77777777" w:rsidR="001844B6" w:rsidRPr="006E446A" w:rsidRDefault="001844B6" w:rsidP="006E446A">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C18AFF5" w14:textId="77777777" w:rsidR="001844B6" w:rsidRPr="006E446A" w:rsidRDefault="001844B6" w:rsidP="00265456">
            <w:pPr>
              <w:pStyle w:val="POTTBenBest"/>
              <w:rPr>
                <w:sz w:val="20"/>
              </w:rPr>
            </w:pPr>
            <w:r w:rsidRPr="006E446A">
              <w:rPr>
                <w:sz w:val="20"/>
              </w:rPr>
              <w:fldChar w:fldCharType="begin">
                <w:ffData>
                  <w:name w:val=""/>
                  <w:enabled/>
                  <w:calcOnExit w:val="0"/>
                  <w:textInput>
                    <w:maxLength w:val="14"/>
                  </w:textInput>
                </w:ffData>
              </w:fldChar>
            </w:r>
            <w:r w:rsidRPr="006E446A">
              <w:rPr>
                <w:sz w:val="20"/>
              </w:rPr>
              <w:instrText xml:space="preserve"> FORMTEXT </w:instrText>
            </w:r>
            <w:r w:rsidRPr="006E446A">
              <w:rPr>
                <w:sz w:val="20"/>
              </w:rPr>
            </w:r>
            <w:r w:rsidRPr="006E446A">
              <w:rPr>
                <w:sz w:val="20"/>
              </w:rPr>
              <w:fldChar w:fldCharType="separate"/>
            </w:r>
            <w:r w:rsidR="00265456">
              <w:rPr>
                <w:noProof/>
                <w:sz w:val="20"/>
              </w:rPr>
              <w:t>0</w:t>
            </w:r>
            <w:r w:rsidRPr="006E446A">
              <w:rPr>
                <w:sz w:val="20"/>
              </w:rPr>
              <w:fldChar w:fldCharType="end"/>
            </w:r>
          </w:p>
        </w:tc>
        <w:tc>
          <w:tcPr>
            <w:tcW w:w="790" w:type="dxa"/>
            <w:vMerge/>
            <w:tcBorders>
              <w:left w:val="single" w:sz="12" w:space="0" w:color="auto"/>
              <w:right w:val="single" w:sz="12" w:space="0" w:color="auto"/>
            </w:tcBorders>
            <w:shd w:val="clear" w:color="auto" w:fill="FFFFFF"/>
            <w:vAlign w:val="center"/>
          </w:tcPr>
          <w:p w14:paraId="1C18AFF6" w14:textId="77777777" w:rsidR="001844B6" w:rsidRPr="006E446A" w:rsidRDefault="001844B6" w:rsidP="006E446A">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14:paraId="1C18AFF7" w14:textId="77777777" w:rsidR="001844B6" w:rsidRPr="006E446A" w:rsidRDefault="001844B6" w:rsidP="00265456">
            <w:pPr>
              <w:pStyle w:val="POAABenBest"/>
              <w:rPr>
                <w:sz w:val="20"/>
              </w:rPr>
            </w:pPr>
            <w:r w:rsidRPr="006E446A">
              <w:rPr>
                <w:sz w:val="20"/>
              </w:rPr>
              <w:fldChar w:fldCharType="begin">
                <w:ffData>
                  <w:name w:val=""/>
                  <w:enabled/>
                  <w:calcOnExit w:val="0"/>
                  <w:textInput>
                    <w:maxLength w:val="14"/>
                  </w:textInput>
                </w:ffData>
              </w:fldChar>
            </w:r>
            <w:r w:rsidRPr="006E446A">
              <w:rPr>
                <w:sz w:val="20"/>
              </w:rPr>
              <w:instrText xml:space="preserve"> FORMTEXT </w:instrText>
            </w:r>
            <w:r w:rsidRPr="006E446A">
              <w:rPr>
                <w:sz w:val="20"/>
              </w:rPr>
            </w:r>
            <w:r w:rsidRPr="006E446A">
              <w:rPr>
                <w:sz w:val="20"/>
              </w:rPr>
              <w:fldChar w:fldCharType="separate"/>
            </w:r>
            <w:r w:rsidR="00265456">
              <w:rPr>
                <w:noProof/>
                <w:sz w:val="20"/>
              </w:rPr>
              <w:t>0</w:t>
            </w:r>
            <w:r w:rsidRPr="006E446A">
              <w:rPr>
                <w:sz w:val="20"/>
              </w:rPr>
              <w:fldChar w:fldCharType="end"/>
            </w:r>
          </w:p>
        </w:tc>
        <w:tc>
          <w:tcPr>
            <w:tcW w:w="2636" w:type="dxa"/>
            <w:gridSpan w:val="2"/>
            <w:tcBorders>
              <w:top w:val="single" w:sz="12" w:space="0" w:color="auto"/>
              <w:left w:val="single" w:sz="12" w:space="0" w:color="auto"/>
              <w:bottom w:val="single" w:sz="12" w:space="0" w:color="auto"/>
            </w:tcBorders>
            <w:shd w:val="clear" w:color="auto" w:fill="FFFFFF"/>
            <w:vAlign w:val="center"/>
          </w:tcPr>
          <w:p w14:paraId="1C18AFF8" w14:textId="77777777" w:rsidR="001844B6" w:rsidRPr="006E446A" w:rsidRDefault="001844B6" w:rsidP="00265456">
            <w:pPr>
              <w:pStyle w:val="POTBBenBest"/>
              <w:rPr>
                <w:sz w:val="20"/>
              </w:rPr>
            </w:pPr>
            <w:r w:rsidRPr="006E446A">
              <w:rPr>
                <w:sz w:val="20"/>
              </w:rPr>
              <w:fldChar w:fldCharType="begin">
                <w:ffData>
                  <w:name w:val=""/>
                  <w:enabled/>
                  <w:calcOnExit w:val="0"/>
                  <w:textInput>
                    <w:maxLength w:val="14"/>
                  </w:textInput>
                </w:ffData>
              </w:fldChar>
            </w:r>
            <w:r w:rsidRPr="006E446A">
              <w:rPr>
                <w:sz w:val="20"/>
              </w:rPr>
              <w:instrText xml:space="preserve"> FORMTEXT </w:instrText>
            </w:r>
            <w:r w:rsidRPr="006E446A">
              <w:rPr>
                <w:sz w:val="20"/>
              </w:rPr>
            </w:r>
            <w:r w:rsidRPr="006E446A">
              <w:rPr>
                <w:sz w:val="20"/>
              </w:rPr>
              <w:fldChar w:fldCharType="separate"/>
            </w:r>
            <w:r w:rsidR="00265456">
              <w:rPr>
                <w:noProof/>
                <w:sz w:val="20"/>
              </w:rPr>
              <w:t>0</w:t>
            </w:r>
            <w:r w:rsidRPr="006E446A">
              <w:rPr>
                <w:sz w:val="20"/>
              </w:rPr>
              <w:fldChar w:fldCharType="end"/>
            </w:r>
          </w:p>
        </w:tc>
      </w:tr>
      <w:tr w:rsidR="001844B6" w:rsidRPr="00826F71" w14:paraId="1C18AFFC" w14:textId="77777777" w:rsidTr="006E446A">
        <w:trPr>
          <w:trHeight w:hRule="exact" w:val="1701"/>
        </w:trPr>
        <w:tc>
          <w:tcPr>
            <w:tcW w:w="10235" w:type="dxa"/>
            <w:gridSpan w:val="6"/>
            <w:shd w:val="clear" w:color="auto" w:fill="auto"/>
          </w:tcPr>
          <w:p w14:paraId="1C18AFFA" w14:textId="77777777" w:rsidR="001844B6" w:rsidRPr="006E446A"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14:paraId="1C18AFFB" w14:textId="77777777" w:rsidR="001844B6" w:rsidRPr="00826F71" w:rsidRDefault="001844B6" w:rsidP="00840ABD">
            <w:pPr>
              <w:pStyle w:val="IAPOA3"/>
            </w:pPr>
            <w:r w:rsidRPr="00D337D1">
              <w:fldChar w:fldCharType="begin">
                <w:ffData>
                  <w:name w:val=""/>
                  <w:enabled/>
                  <w:calcOnExit w:val="0"/>
                  <w:textInput>
                    <w:default w:val="Maximum of 5 lines"/>
                    <w:maxLength w:val="500"/>
                  </w:textInput>
                </w:ffData>
              </w:fldChar>
            </w:r>
            <w:r w:rsidRPr="00D337D1">
              <w:instrText xml:space="preserve"> FORMTEXT </w:instrText>
            </w:r>
            <w:r w:rsidRPr="00D337D1">
              <w:fldChar w:fldCharType="separate"/>
            </w:r>
            <w:r w:rsidR="00CD168A">
              <w:t>There are likely to be some limited benefits from deregulation, but there is insufficient data to monetise any possible benefits</w:t>
            </w:r>
            <w:r w:rsidR="00A85A55">
              <w:t>.</w:t>
            </w:r>
            <w:r w:rsidR="00CD168A">
              <w:t xml:space="preserve"> See section on costs for assessment of the available evidence base.</w:t>
            </w:r>
            <w:r w:rsidR="00840ABD">
              <w:t xml:space="preserve"> Although civil society organisations are counted as "businesses" under the Better Regulation Framework, because it was not possible to robustly monetise neither costs nor benefits, this measure is classified as zero net cost for the purposes on "One-in, Two-out".</w:t>
            </w:r>
            <w:r w:rsidRPr="00D337D1">
              <w:fldChar w:fldCharType="end"/>
            </w:r>
          </w:p>
        </w:tc>
      </w:tr>
      <w:tr w:rsidR="001844B6" w:rsidRPr="00826F71" w14:paraId="1C18AFFF" w14:textId="77777777" w:rsidTr="006E446A">
        <w:trPr>
          <w:trHeight w:hRule="exact" w:val="1701"/>
        </w:trPr>
        <w:tc>
          <w:tcPr>
            <w:tcW w:w="10235" w:type="dxa"/>
            <w:gridSpan w:val="6"/>
            <w:shd w:val="clear" w:color="auto" w:fill="auto"/>
          </w:tcPr>
          <w:p w14:paraId="1C18AFFD" w14:textId="77777777" w:rsidR="001844B6" w:rsidRPr="006E446A"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14:paraId="1C18AFFE" w14:textId="77777777" w:rsidR="001844B6" w:rsidRPr="00826F71" w:rsidRDefault="001844B6" w:rsidP="008F6D2D">
            <w:pPr>
              <w:pStyle w:val="IAPOA4"/>
            </w:pPr>
            <w:r w:rsidRPr="00D337D1">
              <w:fldChar w:fldCharType="begin">
                <w:ffData>
                  <w:name w:val=""/>
                  <w:enabled/>
                  <w:calcOnExit w:val="0"/>
                  <w:textInput>
                    <w:default w:val="Maximum of 5 lines"/>
                    <w:maxLength w:val="500"/>
                  </w:textInput>
                </w:ffData>
              </w:fldChar>
            </w:r>
            <w:r w:rsidRPr="00D337D1">
              <w:instrText xml:space="preserve"> FORMTEXT </w:instrText>
            </w:r>
            <w:r w:rsidRPr="00D337D1">
              <w:fldChar w:fldCharType="separate"/>
            </w:r>
            <w:r w:rsidR="008F6D2D">
              <w:t>Allowing raffles to be held in pubs, residences, and workplaces increases the power of raffles to support good causes</w:t>
            </w:r>
            <w:r w:rsidR="00A85A55">
              <w:t>.</w:t>
            </w:r>
            <w:r w:rsidR="008F6D2D">
              <w:t xml:space="preserve"> This will be a direct benefit to civil society organisations. Raffles are approximated to generate £150.0m of funding annually; for illustration 1% growth would generate an additional £1.5m each year. The benefits of deregulation are likely to be disproportionately felt by small organisations who are more likely to rely on raffles as a source of income</w:t>
            </w:r>
            <w:r w:rsidR="00A85A55">
              <w:t>.</w:t>
            </w:r>
            <w:r w:rsidR="00BE7D8D">
              <w:t xml:space="preserve"> </w:t>
            </w:r>
            <w:r w:rsidRPr="00D337D1">
              <w:fldChar w:fldCharType="end"/>
            </w:r>
          </w:p>
        </w:tc>
      </w:tr>
      <w:tr w:rsidR="001844B6" w:rsidRPr="00826F71" w14:paraId="1C18B003" w14:textId="77777777" w:rsidTr="006E446A">
        <w:trPr>
          <w:trHeight w:hRule="exact" w:val="346"/>
        </w:trPr>
        <w:tc>
          <w:tcPr>
            <w:tcW w:w="9375" w:type="dxa"/>
            <w:gridSpan w:val="5"/>
            <w:tcBorders>
              <w:top w:val="single" w:sz="6" w:space="0" w:color="auto"/>
              <w:bottom w:val="nil"/>
            </w:tcBorders>
            <w:shd w:val="clear" w:color="auto" w:fill="auto"/>
          </w:tcPr>
          <w:p w14:paraId="1C18B000" w14:textId="77777777" w:rsidR="001844B6" w:rsidRDefault="001844B6" w:rsidP="006E446A">
            <w:pPr>
              <w:pStyle w:val="IATableLabel"/>
              <w:tabs>
                <w:tab w:val="left" w:pos="7655"/>
              </w:tabs>
            </w:pPr>
            <w:r w:rsidRPr="00F1653E">
              <w:rPr>
                <w:rStyle w:val="IAPOQ5Char"/>
              </w:rPr>
              <w:t>Key assumptions/sensitivities/risks</w:t>
            </w:r>
            <w:r>
              <w:tab/>
              <w:t>Discount rate (%)</w:t>
            </w:r>
          </w:p>
          <w:p w14:paraId="1C18B001" w14:textId="77777777" w:rsidR="001844B6" w:rsidRPr="00455895" w:rsidRDefault="001844B6" w:rsidP="005A3880">
            <w:pPr>
              <w:pStyle w:val="IATableLabel"/>
            </w:pPr>
          </w:p>
        </w:tc>
        <w:tc>
          <w:tcPr>
            <w:tcW w:w="860" w:type="dxa"/>
            <w:tcBorders>
              <w:top w:val="single" w:sz="6" w:space="0" w:color="auto"/>
              <w:bottom w:val="single" w:sz="4" w:space="0" w:color="auto"/>
            </w:tcBorders>
            <w:shd w:val="clear" w:color="auto" w:fill="auto"/>
          </w:tcPr>
          <w:p w14:paraId="1C18B002" w14:textId="77777777" w:rsidR="001844B6" w:rsidRPr="007E6CF8" w:rsidRDefault="001844B6" w:rsidP="005A1DDE">
            <w:pPr>
              <w:pStyle w:val="IAPODisRate"/>
            </w:pPr>
            <w:r w:rsidRPr="00D337D1">
              <w:fldChar w:fldCharType="begin">
                <w:ffData>
                  <w:name w:val=""/>
                  <w:enabled/>
                  <w:calcOnExit w:val="0"/>
                  <w:textInput>
                    <w:maxLength w:val="5"/>
                  </w:textInput>
                </w:ffData>
              </w:fldChar>
            </w:r>
            <w:r w:rsidRPr="00D337D1">
              <w:instrText xml:space="preserve"> FORMTEXT </w:instrText>
            </w:r>
            <w:r w:rsidRPr="00D337D1">
              <w:fldChar w:fldCharType="separate"/>
            </w:r>
            <w:r w:rsidR="005A1DDE">
              <w:t>3.50%</w:t>
            </w:r>
            <w:r w:rsidRPr="00D337D1">
              <w:fldChar w:fldCharType="end"/>
            </w:r>
          </w:p>
        </w:tc>
      </w:tr>
      <w:tr w:rsidR="001844B6" w:rsidRPr="006E446A" w14:paraId="1C18B005" w14:textId="77777777" w:rsidTr="006E446A">
        <w:trPr>
          <w:trHeight w:hRule="exact" w:val="1375"/>
        </w:trPr>
        <w:tc>
          <w:tcPr>
            <w:tcW w:w="10235" w:type="dxa"/>
            <w:gridSpan w:val="6"/>
            <w:tcBorders>
              <w:top w:val="nil"/>
              <w:bottom w:val="single" w:sz="12" w:space="0" w:color="auto"/>
            </w:tcBorders>
            <w:shd w:val="clear" w:color="auto" w:fill="auto"/>
          </w:tcPr>
          <w:p w14:paraId="1C18B004" w14:textId="77777777" w:rsidR="001844B6" w:rsidRPr="00544292" w:rsidRDefault="001844B6" w:rsidP="00EF16B6">
            <w:pPr>
              <w:pStyle w:val="IAPOA5"/>
            </w:pPr>
            <w:r>
              <w:fldChar w:fldCharType="begin">
                <w:ffData>
                  <w:name w:val=""/>
                  <w:enabled/>
                  <w:calcOnExit w:val="0"/>
                  <w:textInput>
                    <w:default w:val="Maximum of 5 lines"/>
                    <w:maxLength w:val="500"/>
                  </w:textInput>
                </w:ffData>
              </w:fldChar>
            </w:r>
            <w:r>
              <w:instrText xml:space="preserve"> FORMTEXT </w:instrText>
            </w:r>
            <w:r>
              <w:fldChar w:fldCharType="separate"/>
            </w:r>
            <w:r w:rsidR="00EF16B6">
              <w:t>Due to the nature of the raffles (very small amounts for low value prizes, with a clear purpose of donations to good cauuses) and the nature of organisations running them (very small community organisations with limited fundraising activites, or bigger organisations with proper governance processes in place), the Department does not consider there to be any risk of public harm associated with this package of proposals. This was tested at consultation, where no issues were raised.</w:t>
            </w:r>
            <w:r>
              <w:fldChar w:fldCharType="end"/>
            </w:r>
          </w:p>
        </w:tc>
      </w:tr>
    </w:tbl>
    <w:p w14:paraId="1C18B006" w14:textId="77777777" w:rsidR="001844B6" w:rsidRDefault="001844B6" w:rsidP="005A3880">
      <w:pPr>
        <w:pStyle w:val="IASpacer"/>
      </w:pPr>
    </w:p>
    <w:p w14:paraId="1C18B007" w14:textId="77777777" w:rsidR="001844B6" w:rsidRDefault="00F63895" w:rsidP="005A3880">
      <w:pPr>
        <w:pStyle w:val="IAHeadLabel"/>
        <w:spacing w:before="50"/>
      </w:pPr>
      <w:r>
        <w:t xml:space="preserve">BUSINESS </w:t>
      </w:r>
      <w:r w:rsidR="001844B6">
        <w:t xml:space="preserve">ASSESSMENT (Option </w:t>
      </w:r>
      <w:fldSimple w:instr=" SEQ BA ">
        <w:r w:rsidR="004965F2">
          <w:rPr>
            <w:noProof/>
          </w:rPr>
          <w:t>1</w:t>
        </w:r>
      </w:fldSimple>
      <w:r w:rsidR="001844B6">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1844B6" w:rsidRPr="000E02BE" w14:paraId="1C18B00B" w14:textId="77777777" w:rsidTr="005A3880">
        <w:trPr>
          <w:trHeight w:hRule="exact" w:val="312"/>
        </w:trPr>
        <w:tc>
          <w:tcPr>
            <w:tcW w:w="6125" w:type="dxa"/>
            <w:gridSpan w:val="3"/>
            <w:tcBorders>
              <w:top w:val="single" w:sz="4" w:space="0" w:color="auto"/>
              <w:bottom w:val="nil"/>
              <w:right w:val="single" w:sz="4" w:space="0" w:color="auto"/>
            </w:tcBorders>
          </w:tcPr>
          <w:p w14:paraId="1C18B008" w14:textId="77777777" w:rsidR="001844B6" w:rsidRPr="000E02BE" w:rsidRDefault="001844B6" w:rsidP="005A3880">
            <w:pPr>
              <w:pStyle w:val="IATableLabel"/>
            </w:pPr>
            <w:r w:rsidRPr="000E02BE">
              <w:t xml:space="preserve">Direct impact on </w:t>
            </w:r>
            <w:r>
              <w:t>business (Equivalent Annual) £m</w:t>
            </w:r>
            <w:r w:rsidRPr="000E02BE">
              <w:t xml:space="preserve">: </w:t>
            </w:r>
          </w:p>
        </w:tc>
        <w:tc>
          <w:tcPr>
            <w:tcW w:w="1980" w:type="dxa"/>
            <w:tcBorders>
              <w:top w:val="single" w:sz="4" w:space="0" w:color="auto"/>
              <w:left w:val="single" w:sz="4" w:space="0" w:color="auto"/>
              <w:bottom w:val="nil"/>
              <w:right w:val="nil"/>
            </w:tcBorders>
          </w:tcPr>
          <w:p w14:paraId="1C18B009" w14:textId="77777777" w:rsidR="001844B6" w:rsidRPr="000E02BE" w:rsidRDefault="001844B6" w:rsidP="005A3880">
            <w:pPr>
              <w:pStyle w:val="IATableLabel"/>
            </w:pPr>
            <w:r w:rsidRPr="000E02BE">
              <w:t>In scope of OIOO?</w:t>
            </w:r>
          </w:p>
        </w:tc>
        <w:tc>
          <w:tcPr>
            <w:tcW w:w="2110" w:type="dxa"/>
            <w:tcBorders>
              <w:top w:val="single" w:sz="4" w:space="0" w:color="auto"/>
              <w:left w:val="nil"/>
              <w:bottom w:val="nil"/>
              <w:right w:val="single" w:sz="4" w:space="0" w:color="auto"/>
            </w:tcBorders>
            <w:shd w:val="clear" w:color="auto" w:fill="auto"/>
          </w:tcPr>
          <w:p w14:paraId="1C18B00A" w14:textId="77777777" w:rsidR="001844B6" w:rsidRPr="000E02BE" w:rsidRDefault="001844B6" w:rsidP="005A3880">
            <w:pPr>
              <w:pStyle w:val="IATableLabel"/>
              <w:ind w:left="0"/>
            </w:pPr>
            <w:r w:rsidRPr="000E02BE">
              <w:t xml:space="preserve">  Measure qualifies as</w:t>
            </w:r>
          </w:p>
        </w:tc>
      </w:tr>
      <w:tr w:rsidR="001844B6" w:rsidRPr="00E75380" w14:paraId="1C18B011" w14:textId="77777777" w:rsidTr="005A3880">
        <w:trPr>
          <w:trHeight w:hRule="exact" w:val="340"/>
        </w:trPr>
        <w:tc>
          <w:tcPr>
            <w:tcW w:w="1990" w:type="dxa"/>
            <w:tcBorders>
              <w:top w:val="nil"/>
              <w:bottom w:val="single" w:sz="4" w:space="0" w:color="auto"/>
              <w:right w:val="single" w:sz="4" w:space="0" w:color="auto"/>
            </w:tcBorders>
            <w:shd w:val="clear" w:color="auto" w:fill="FFFFFF"/>
          </w:tcPr>
          <w:p w14:paraId="1C18B00C" w14:textId="77777777" w:rsidR="001844B6" w:rsidRPr="00F63895" w:rsidRDefault="001844B6" w:rsidP="00F3456E">
            <w:pPr>
              <w:pStyle w:val="IATableLabel"/>
            </w:pPr>
            <w:r w:rsidRPr="00F63895">
              <w:t xml:space="preserve">Costs: </w:t>
            </w:r>
            <w:bookmarkStart w:id="40" w:name="Text67"/>
            <w:r w:rsidRPr="00F63895">
              <w:rPr>
                <w:rStyle w:val="IAPODICostChar"/>
                <w:sz w:val="20"/>
                <w:szCs w:val="20"/>
              </w:rPr>
              <w:fldChar w:fldCharType="begin">
                <w:ffData>
                  <w:name w:val="Text67"/>
                  <w:enabled/>
                  <w:calcOnExit w:val="0"/>
                  <w:textInput>
                    <w:maxLength w:val="9"/>
                  </w:textInput>
                </w:ffData>
              </w:fldChar>
            </w:r>
            <w:r w:rsidRPr="00F63895">
              <w:rPr>
                <w:rStyle w:val="IAPODICostChar"/>
                <w:sz w:val="20"/>
                <w:szCs w:val="20"/>
              </w:rPr>
              <w:instrText xml:space="preserve"> FORMTEXT </w:instrText>
            </w:r>
            <w:r w:rsidRPr="00F63895">
              <w:rPr>
                <w:rStyle w:val="IAPODICostChar"/>
                <w:sz w:val="20"/>
                <w:szCs w:val="20"/>
              </w:rPr>
            </w:r>
            <w:r w:rsidRPr="00F63895">
              <w:rPr>
                <w:rStyle w:val="IAPODICostChar"/>
                <w:sz w:val="20"/>
                <w:szCs w:val="20"/>
              </w:rPr>
              <w:fldChar w:fldCharType="separate"/>
            </w:r>
            <w:r w:rsidR="00F3456E">
              <w:rPr>
                <w:rStyle w:val="IAPODICostChar"/>
                <w:noProof/>
                <w:sz w:val="20"/>
                <w:szCs w:val="20"/>
              </w:rPr>
              <w:t xml:space="preserve"> N/A</w:t>
            </w:r>
            <w:r w:rsidRPr="00F63895">
              <w:rPr>
                <w:rStyle w:val="IAPODICostChar"/>
                <w:sz w:val="20"/>
                <w:szCs w:val="20"/>
              </w:rPr>
              <w:fldChar w:fldCharType="end"/>
            </w:r>
            <w:bookmarkEnd w:id="40"/>
          </w:p>
        </w:tc>
        <w:tc>
          <w:tcPr>
            <w:tcW w:w="2155" w:type="dxa"/>
            <w:tcBorders>
              <w:top w:val="nil"/>
              <w:bottom w:val="single" w:sz="4" w:space="0" w:color="auto"/>
              <w:right w:val="single" w:sz="4" w:space="0" w:color="auto"/>
            </w:tcBorders>
            <w:shd w:val="clear" w:color="auto" w:fill="FFFFFF"/>
          </w:tcPr>
          <w:p w14:paraId="1C18B00D" w14:textId="77777777" w:rsidR="001844B6" w:rsidRPr="00F63895" w:rsidRDefault="001844B6" w:rsidP="00F3456E">
            <w:pPr>
              <w:pStyle w:val="IATableLabel"/>
            </w:pPr>
            <w:r w:rsidRPr="00F63895">
              <w:t xml:space="preserve">Benefits: </w:t>
            </w:r>
            <w:bookmarkStart w:id="41" w:name="Text68"/>
            <w:r w:rsidRPr="00F63895">
              <w:rPr>
                <w:rStyle w:val="IAPODIBenChar"/>
                <w:sz w:val="20"/>
                <w:szCs w:val="20"/>
              </w:rPr>
              <w:fldChar w:fldCharType="begin">
                <w:ffData>
                  <w:name w:val="Text68"/>
                  <w:enabled/>
                  <w:calcOnExit w:val="0"/>
                  <w:textInput>
                    <w:maxLength w:val="9"/>
                  </w:textInput>
                </w:ffData>
              </w:fldChar>
            </w:r>
            <w:r w:rsidRPr="00F63895">
              <w:rPr>
                <w:rStyle w:val="IAPODIBenChar"/>
                <w:sz w:val="20"/>
                <w:szCs w:val="20"/>
              </w:rPr>
              <w:instrText xml:space="preserve"> FORMTEXT </w:instrText>
            </w:r>
            <w:r w:rsidRPr="00F63895">
              <w:rPr>
                <w:rStyle w:val="IAPODIBenChar"/>
                <w:sz w:val="20"/>
                <w:szCs w:val="20"/>
              </w:rPr>
            </w:r>
            <w:r w:rsidRPr="00F63895">
              <w:rPr>
                <w:rStyle w:val="IAPODIBenChar"/>
                <w:sz w:val="20"/>
                <w:szCs w:val="20"/>
              </w:rPr>
              <w:fldChar w:fldCharType="separate"/>
            </w:r>
            <w:r w:rsidR="00F3456E">
              <w:rPr>
                <w:rStyle w:val="IAPODIBenChar"/>
                <w:noProof/>
                <w:sz w:val="20"/>
                <w:szCs w:val="20"/>
              </w:rPr>
              <w:t>N/A</w:t>
            </w:r>
            <w:r w:rsidRPr="00F63895">
              <w:rPr>
                <w:rStyle w:val="IAPODIBenChar"/>
                <w:sz w:val="20"/>
                <w:szCs w:val="20"/>
              </w:rPr>
              <w:fldChar w:fldCharType="end"/>
            </w:r>
            <w:bookmarkEnd w:id="41"/>
          </w:p>
        </w:tc>
        <w:tc>
          <w:tcPr>
            <w:tcW w:w="1980" w:type="dxa"/>
            <w:tcBorders>
              <w:top w:val="nil"/>
              <w:bottom w:val="single" w:sz="4" w:space="0" w:color="auto"/>
              <w:right w:val="single" w:sz="4" w:space="0" w:color="auto"/>
            </w:tcBorders>
            <w:shd w:val="clear" w:color="auto" w:fill="FFFFFF"/>
          </w:tcPr>
          <w:p w14:paraId="1C18B00E" w14:textId="77777777" w:rsidR="001844B6" w:rsidRPr="00F63895" w:rsidRDefault="001844B6" w:rsidP="00F3456E">
            <w:pPr>
              <w:pStyle w:val="IATableLabel"/>
            </w:pPr>
            <w:r w:rsidRPr="00F63895">
              <w:t xml:space="preserve">Net: </w:t>
            </w:r>
            <w:bookmarkStart w:id="42" w:name="Text69"/>
            <w:r w:rsidRPr="00F63895">
              <w:rPr>
                <w:rStyle w:val="IAPODINetChar"/>
                <w:sz w:val="20"/>
                <w:szCs w:val="20"/>
              </w:rPr>
              <w:fldChar w:fldCharType="begin">
                <w:ffData>
                  <w:name w:val="Text69"/>
                  <w:enabled/>
                  <w:calcOnExit w:val="0"/>
                  <w:textInput>
                    <w:maxLength w:val="9"/>
                  </w:textInput>
                </w:ffData>
              </w:fldChar>
            </w:r>
            <w:r w:rsidRPr="00F63895">
              <w:rPr>
                <w:rStyle w:val="IAPODINetChar"/>
                <w:sz w:val="20"/>
                <w:szCs w:val="20"/>
              </w:rPr>
              <w:instrText xml:space="preserve"> FORMTEXT </w:instrText>
            </w:r>
            <w:r w:rsidRPr="00F63895">
              <w:rPr>
                <w:rStyle w:val="IAPODINetChar"/>
                <w:sz w:val="20"/>
                <w:szCs w:val="20"/>
              </w:rPr>
            </w:r>
            <w:r w:rsidRPr="00F63895">
              <w:rPr>
                <w:rStyle w:val="IAPODINetChar"/>
                <w:sz w:val="20"/>
                <w:szCs w:val="20"/>
              </w:rPr>
              <w:fldChar w:fldCharType="separate"/>
            </w:r>
            <w:r w:rsidR="00F3456E">
              <w:rPr>
                <w:rStyle w:val="IAPODINetChar"/>
                <w:noProof/>
                <w:sz w:val="20"/>
                <w:szCs w:val="20"/>
              </w:rPr>
              <w:t>N/A</w:t>
            </w:r>
            <w:r w:rsidRPr="00F63895">
              <w:rPr>
                <w:rStyle w:val="IAPODINetChar"/>
                <w:sz w:val="20"/>
                <w:szCs w:val="20"/>
              </w:rPr>
              <w:fldChar w:fldCharType="end"/>
            </w:r>
            <w:bookmarkEnd w:id="42"/>
          </w:p>
        </w:tc>
        <w:bookmarkStart w:id="43" w:name="Dropdown23"/>
        <w:tc>
          <w:tcPr>
            <w:tcW w:w="1980" w:type="dxa"/>
            <w:tcBorders>
              <w:top w:val="nil"/>
              <w:left w:val="single" w:sz="4" w:space="0" w:color="auto"/>
              <w:bottom w:val="single" w:sz="4" w:space="0" w:color="auto"/>
              <w:right w:val="single" w:sz="4" w:space="0" w:color="auto"/>
            </w:tcBorders>
            <w:shd w:val="clear" w:color="auto" w:fill="FFFFFF"/>
          </w:tcPr>
          <w:p w14:paraId="1C18B00F" w14:textId="77777777" w:rsidR="001844B6" w:rsidRPr="00F63895" w:rsidRDefault="001844B6" w:rsidP="005A3880">
            <w:pPr>
              <w:pStyle w:val="IAPODIOIOO"/>
              <w:rPr>
                <w:sz w:val="20"/>
                <w:szCs w:val="20"/>
              </w:rPr>
            </w:pPr>
            <w:r w:rsidRPr="00F63895">
              <w:rPr>
                <w:sz w:val="20"/>
                <w:szCs w:val="20"/>
              </w:rPr>
              <w:fldChar w:fldCharType="begin">
                <w:ffData>
                  <w:name w:val="Dropdown23"/>
                  <w:enabled/>
                  <w:calcOnExit w:val="0"/>
                  <w:ddList>
                    <w:result w:val="1"/>
                    <w:listEntry w:val="Yes/No"/>
                    <w:listEntry w:val="Yes"/>
                    <w:listEntry w:val="No"/>
                  </w:ddList>
                </w:ffData>
              </w:fldChar>
            </w:r>
            <w:r w:rsidRPr="00F63895">
              <w:rPr>
                <w:sz w:val="20"/>
                <w:szCs w:val="20"/>
              </w:rPr>
              <w:instrText xml:space="preserve"> FORMDROPDOWN </w:instrText>
            </w:r>
            <w:r w:rsidR="00915A56">
              <w:rPr>
                <w:sz w:val="20"/>
                <w:szCs w:val="20"/>
              </w:rPr>
            </w:r>
            <w:r w:rsidR="00915A56">
              <w:rPr>
                <w:sz w:val="20"/>
                <w:szCs w:val="20"/>
              </w:rPr>
              <w:fldChar w:fldCharType="separate"/>
            </w:r>
            <w:r w:rsidRPr="00F63895">
              <w:rPr>
                <w:sz w:val="20"/>
                <w:szCs w:val="20"/>
              </w:rPr>
              <w:fldChar w:fldCharType="end"/>
            </w:r>
            <w:bookmarkEnd w:id="43"/>
          </w:p>
        </w:tc>
        <w:bookmarkStart w:id="44" w:name="Dropdown27"/>
        <w:tc>
          <w:tcPr>
            <w:tcW w:w="2110" w:type="dxa"/>
            <w:tcBorders>
              <w:top w:val="nil"/>
              <w:left w:val="single" w:sz="4" w:space="0" w:color="auto"/>
              <w:bottom w:val="single" w:sz="4" w:space="0" w:color="auto"/>
              <w:right w:val="single" w:sz="4" w:space="0" w:color="auto"/>
            </w:tcBorders>
            <w:shd w:val="clear" w:color="auto" w:fill="auto"/>
          </w:tcPr>
          <w:p w14:paraId="1C18B010" w14:textId="77777777" w:rsidR="001844B6" w:rsidRPr="00F63895" w:rsidRDefault="001844B6" w:rsidP="005A3880">
            <w:pPr>
              <w:pStyle w:val="IAPODIMQ"/>
            </w:pPr>
            <w:r w:rsidRPr="00F63895">
              <w:fldChar w:fldCharType="begin">
                <w:ffData>
                  <w:name w:val="Dropdown27"/>
                  <w:enabled/>
                  <w:calcOnExit w:val="0"/>
                  <w:ddList>
                    <w:result w:val="3"/>
                    <w:listEntry w:val="IN/OUT/Zero net cost"/>
                    <w:listEntry w:val="IN"/>
                    <w:listEntry w:val="OUT"/>
                    <w:listEntry w:val="Zero net cost"/>
                    <w:listEntry w:val="NA"/>
                  </w:ddList>
                </w:ffData>
              </w:fldChar>
            </w:r>
            <w:r w:rsidRPr="00F63895">
              <w:instrText xml:space="preserve"> FORMDROPDOWN </w:instrText>
            </w:r>
            <w:r w:rsidR="00915A56">
              <w:fldChar w:fldCharType="separate"/>
            </w:r>
            <w:r w:rsidRPr="00F63895">
              <w:fldChar w:fldCharType="end"/>
            </w:r>
            <w:bookmarkEnd w:id="44"/>
          </w:p>
        </w:tc>
      </w:tr>
    </w:tbl>
    <w:p w14:paraId="1C18B012" w14:textId="77777777" w:rsidR="00854B58" w:rsidRDefault="00854B58" w:rsidP="005A3880">
      <w:pPr>
        <w:sectPr w:rsidR="00854B58" w:rsidSect="00F1328C">
          <w:footnotePr>
            <w:numRestart w:val="eachSect"/>
          </w:footnotePr>
          <w:pgSz w:w="11907" w:h="16840" w:code="9"/>
          <w:pgMar w:top="680" w:right="851" w:bottom="680" w:left="851" w:header="284" w:footer="284" w:gutter="0"/>
          <w:cols w:space="708"/>
          <w:docGrid w:linePitch="360"/>
        </w:sectPr>
      </w:pPr>
    </w:p>
    <w:p w14:paraId="1C18B013" w14:textId="77777777" w:rsidR="009B4B28" w:rsidRPr="009B4B28" w:rsidRDefault="009B4B28">
      <w:pPr>
        <w:pStyle w:val="Heading1"/>
        <w:spacing w:before="0"/>
        <w:rPr>
          <w:rFonts w:ascii="Arial" w:hAnsi="Arial"/>
          <w:sz w:val="40"/>
          <w:szCs w:val="40"/>
          <w:u w:val="single"/>
        </w:rPr>
      </w:pPr>
      <w:bookmarkStart w:id="45" w:name="EvidenceHead"/>
      <w:r>
        <w:rPr>
          <w:rFonts w:ascii="Arial" w:hAnsi="Arial"/>
          <w:sz w:val="40"/>
          <w:szCs w:val="40"/>
          <w:u w:val="single"/>
        </w:rPr>
        <w:lastRenderedPageBreak/>
        <w:t>Supporting Evidence Base</w:t>
      </w:r>
    </w:p>
    <w:p w14:paraId="1C18B014" w14:textId="77777777" w:rsidR="009B4B28" w:rsidRPr="009B4B28" w:rsidRDefault="009B4B28" w:rsidP="009B4B28"/>
    <w:p w14:paraId="1C18B015" w14:textId="77777777" w:rsidR="00774259" w:rsidRPr="009716D5" w:rsidRDefault="0062552D">
      <w:pPr>
        <w:pStyle w:val="Heading1"/>
        <w:spacing w:before="0"/>
        <w:rPr>
          <w:rFonts w:ascii="Arial" w:hAnsi="Arial"/>
          <w:sz w:val="22"/>
          <w:szCs w:val="22"/>
          <w:u w:val="single"/>
        </w:rPr>
      </w:pPr>
      <w:r w:rsidRPr="009716D5">
        <w:rPr>
          <w:rFonts w:ascii="Arial" w:hAnsi="Arial"/>
          <w:sz w:val="22"/>
          <w:szCs w:val="22"/>
          <w:u w:val="single"/>
        </w:rPr>
        <w:t>Problem under Co</w:t>
      </w:r>
      <w:r w:rsidR="00774259" w:rsidRPr="009716D5">
        <w:rPr>
          <w:rFonts w:ascii="Arial" w:hAnsi="Arial"/>
          <w:sz w:val="22"/>
          <w:szCs w:val="22"/>
          <w:u w:val="single"/>
        </w:rPr>
        <w:t>nsideration</w:t>
      </w:r>
    </w:p>
    <w:p w14:paraId="1C18B016" w14:textId="77777777" w:rsidR="00283EE9" w:rsidRDefault="00283EE9" w:rsidP="00283EE9"/>
    <w:p w14:paraId="1C18B017" w14:textId="77777777" w:rsidR="00821392" w:rsidRPr="00821392" w:rsidRDefault="006D5CC7" w:rsidP="00821392">
      <w:pPr>
        <w:rPr>
          <w:sz w:val="22"/>
          <w:szCs w:val="22"/>
        </w:rPr>
      </w:pPr>
      <w:r w:rsidRPr="00821392">
        <w:rPr>
          <w:sz w:val="22"/>
          <w:szCs w:val="22"/>
        </w:rPr>
        <w:t>This intervention has come about through the Red Tape Challenge. The Red Tape Challenge is a cross-Government programme to tackle the stock of unnecessary and over-complicated regulation – reducing the burdens for business and society, saving taxpayers money and supporting economic growth.</w:t>
      </w:r>
    </w:p>
    <w:p w14:paraId="1C18B018" w14:textId="77777777" w:rsidR="00821392" w:rsidRDefault="00821392" w:rsidP="00821392">
      <w:pPr>
        <w:pStyle w:val="ListParagraph"/>
        <w:ind w:left="360"/>
        <w:rPr>
          <w:sz w:val="22"/>
          <w:szCs w:val="22"/>
        </w:rPr>
      </w:pPr>
    </w:p>
    <w:p w14:paraId="1C18B019" w14:textId="77777777" w:rsidR="00821392" w:rsidRPr="00821392" w:rsidRDefault="006D5CC7" w:rsidP="00821392">
      <w:pPr>
        <w:rPr>
          <w:sz w:val="22"/>
          <w:szCs w:val="22"/>
        </w:rPr>
      </w:pPr>
      <w:r w:rsidRPr="00821392">
        <w:rPr>
          <w:sz w:val="22"/>
          <w:szCs w:val="22"/>
        </w:rPr>
        <w:t xml:space="preserve">As part of the Sport and Recreation theme of the Red Tape Challenge the Department for Culture, Media and Sport looked at the regulations governing gambling, including </w:t>
      </w:r>
      <w:r w:rsidR="0056487B" w:rsidRPr="00821392">
        <w:rPr>
          <w:sz w:val="22"/>
          <w:szCs w:val="22"/>
        </w:rPr>
        <w:t xml:space="preserve">small exempt </w:t>
      </w:r>
      <w:r w:rsidRPr="00821392">
        <w:rPr>
          <w:sz w:val="22"/>
          <w:szCs w:val="22"/>
        </w:rPr>
        <w:t>lotteries. The Department identified three Statutory Instruments dealing with exempt lotteries for possible repeal. After deliberation it was decided that it was necessary to keep the Statutory Instruments as they were necessary to ensure that exempt lotteries remain primarily small scale and for the benefit of go</w:t>
      </w:r>
      <w:r w:rsidR="00821392" w:rsidRPr="00821392">
        <w:rPr>
          <w:sz w:val="22"/>
          <w:szCs w:val="22"/>
        </w:rPr>
        <w:t>od causes or for entertainment.</w:t>
      </w:r>
    </w:p>
    <w:p w14:paraId="1C18B01A" w14:textId="77777777" w:rsidR="00821392" w:rsidRPr="00821392" w:rsidRDefault="00821392" w:rsidP="00821392">
      <w:pPr>
        <w:pStyle w:val="ListParagraph"/>
        <w:rPr>
          <w:sz w:val="22"/>
          <w:szCs w:val="22"/>
        </w:rPr>
      </w:pPr>
    </w:p>
    <w:p w14:paraId="1C18B01B" w14:textId="77777777" w:rsidR="006D5CC7" w:rsidRPr="00821392" w:rsidRDefault="006D5CC7" w:rsidP="00821392">
      <w:pPr>
        <w:rPr>
          <w:sz w:val="22"/>
          <w:szCs w:val="22"/>
        </w:rPr>
      </w:pPr>
      <w:r w:rsidRPr="00821392">
        <w:rPr>
          <w:sz w:val="22"/>
          <w:szCs w:val="22"/>
        </w:rPr>
        <w:t xml:space="preserve">However, it was identified within the Gambling Act </w:t>
      </w:r>
      <w:r w:rsidR="00D16713" w:rsidRPr="00821392">
        <w:rPr>
          <w:sz w:val="22"/>
          <w:szCs w:val="22"/>
        </w:rPr>
        <w:t xml:space="preserve">2005 that there are </w:t>
      </w:r>
      <w:r w:rsidRPr="00821392">
        <w:rPr>
          <w:sz w:val="22"/>
          <w:szCs w:val="22"/>
        </w:rPr>
        <w:t>certain exempt lotteries (that is exempt from requiring a licence</w:t>
      </w:r>
      <w:r w:rsidR="006A0131">
        <w:rPr>
          <w:sz w:val="22"/>
          <w:szCs w:val="22"/>
        </w:rPr>
        <w:t xml:space="preserve"> from the regulatory body the Gambling Commission</w:t>
      </w:r>
      <w:r w:rsidRPr="00821392">
        <w:rPr>
          <w:sz w:val="22"/>
          <w:szCs w:val="22"/>
        </w:rPr>
        <w:t xml:space="preserve"> or the need to register with the</w:t>
      </w:r>
      <w:r w:rsidR="006A0131">
        <w:rPr>
          <w:sz w:val="22"/>
          <w:szCs w:val="22"/>
        </w:rPr>
        <w:t xml:space="preserve"> relevant Local A</w:t>
      </w:r>
      <w:r w:rsidRPr="00821392">
        <w:rPr>
          <w:sz w:val="22"/>
          <w:szCs w:val="22"/>
        </w:rPr>
        <w:t>uthority), such as incidental non-commercial lotteries, private society lotteries and work and residents’ lotteries</w:t>
      </w:r>
      <w:r w:rsidR="00D16713" w:rsidRPr="00821392">
        <w:rPr>
          <w:sz w:val="22"/>
          <w:szCs w:val="22"/>
        </w:rPr>
        <w:t xml:space="preserve"> where the legislation makes it illegal to donate proceeds from the lotteries to charities. This restriction is</w:t>
      </w:r>
      <w:r w:rsidRPr="00821392">
        <w:rPr>
          <w:sz w:val="22"/>
          <w:szCs w:val="22"/>
        </w:rPr>
        <w:t xml:space="preserve"> now considered to be </w:t>
      </w:r>
      <w:r w:rsidR="00D16713" w:rsidRPr="00821392">
        <w:rPr>
          <w:sz w:val="22"/>
          <w:szCs w:val="22"/>
        </w:rPr>
        <w:t>unnecessary and blocks charities from maximising their fundraising efforts. The Department therefore committed to Cabinet Office to hold a public consultation on lifting this restriction as part of the Red Tape Challenge.</w:t>
      </w:r>
      <w:r w:rsidR="006A0131">
        <w:rPr>
          <w:sz w:val="22"/>
          <w:szCs w:val="22"/>
        </w:rPr>
        <w:t xml:space="preserve"> Following the consultatio</w:t>
      </w:r>
      <w:r w:rsidR="00653956">
        <w:rPr>
          <w:sz w:val="22"/>
          <w:szCs w:val="22"/>
        </w:rPr>
        <w:t>n it was decided to improve these regulations.</w:t>
      </w:r>
    </w:p>
    <w:p w14:paraId="1C18B01C" w14:textId="77777777" w:rsidR="00EB2A9E" w:rsidRDefault="00EB2A9E" w:rsidP="00283EE9">
      <w:pPr>
        <w:rPr>
          <w:sz w:val="22"/>
          <w:szCs w:val="22"/>
        </w:rPr>
      </w:pPr>
    </w:p>
    <w:p w14:paraId="1C18B01D" w14:textId="77777777" w:rsidR="00EB2A9E" w:rsidRPr="009716D5" w:rsidRDefault="00EB2A9E" w:rsidP="00283EE9">
      <w:pPr>
        <w:rPr>
          <w:b/>
          <w:sz w:val="22"/>
          <w:szCs w:val="22"/>
          <w:u w:val="single"/>
        </w:rPr>
      </w:pPr>
      <w:r w:rsidRPr="009716D5">
        <w:rPr>
          <w:b/>
          <w:sz w:val="22"/>
          <w:szCs w:val="22"/>
          <w:u w:val="single"/>
        </w:rPr>
        <w:t>Rationale for Intervention</w:t>
      </w:r>
    </w:p>
    <w:p w14:paraId="1C18B01E" w14:textId="77777777" w:rsidR="00EB2A9E" w:rsidRDefault="00EB2A9E" w:rsidP="00283EE9">
      <w:pPr>
        <w:rPr>
          <w:sz w:val="22"/>
          <w:szCs w:val="22"/>
        </w:rPr>
      </w:pPr>
    </w:p>
    <w:p w14:paraId="1C18B01F" w14:textId="77777777" w:rsidR="0062552D" w:rsidRPr="00821392" w:rsidRDefault="000F5EEF" w:rsidP="00821392">
      <w:pPr>
        <w:rPr>
          <w:sz w:val="22"/>
          <w:szCs w:val="22"/>
        </w:rPr>
      </w:pPr>
      <w:r w:rsidRPr="00821392">
        <w:rPr>
          <w:sz w:val="22"/>
          <w:szCs w:val="22"/>
        </w:rPr>
        <w:t>Currently under the Gambling Act 2005 organisers holding incidental non-commercial lotteries, private society lotteries and wo</w:t>
      </w:r>
      <w:r w:rsidR="006A0131">
        <w:rPr>
          <w:sz w:val="22"/>
          <w:szCs w:val="22"/>
        </w:rPr>
        <w:t>rk and residents’ lotteries (</w:t>
      </w:r>
      <w:r w:rsidR="003247D4">
        <w:rPr>
          <w:sz w:val="22"/>
          <w:szCs w:val="22"/>
        </w:rPr>
        <w:t>referred to as “raffles” in this document</w:t>
      </w:r>
      <w:r w:rsidR="006A0131">
        <w:rPr>
          <w:sz w:val="22"/>
          <w:szCs w:val="22"/>
        </w:rPr>
        <w:t>) are restricted as to the places they can hold fundraising events and the causes to which they can put any donations towards.</w:t>
      </w:r>
    </w:p>
    <w:p w14:paraId="1C18B020" w14:textId="77777777" w:rsidR="000F5EEF" w:rsidRDefault="000F5EEF" w:rsidP="00283EE9">
      <w:pPr>
        <w:rPr>
          <w:sz w:val="22"/>
          <w:szCs w:val="22"/>
        </w:rPr>
      </w:pPr>
    </w:p>
    <w:p w14:paraId="1C18B021" w14:textId="77777777" w:rsidR="000F5EEF" w:rsidRDefault="000F5EEF" w:rsidP="00283EE9">
      <w:pPr>
        <w:rPr>
          <w:sz w:val="22"/>
          <w:szCs w:val="22"/>
        </w:rPr>
      </w:pPr>
      <w:r w:rsidRPr="000F5EEF">
        <w:rPr>
          <w:sz w:val="22"/>
          <w:szCs w:val="22"/>
        </w:rPr>
        <w:t>The current regulations restrict ‘incidental lotteries’ to non-commercial events and all monies raised at the event by the organisers including entrance fees, food and drink sales, sponsorship etc, must go to the purpose for which the lottery is being held; i.e. the organisers of the lottery cannot retain non-lottery profits. In reality this means that pubs, clubs, event and concert organisers and other commercial busines</w:t>
      </w:r>
      <w:r w:rsidR="0056487B">
        <w:rPr>
          <w:sz w:val="22"/>
          <w:szCs w:val="22"/>
        </w:rPr>
        <w:t xml:space="preserve">ses are not able to hold </w:t>
      </w:r>
      <w:r w:rsidRPr="000F5EEF">
        <w:rPr>
          <w:sz w:val="22"/>
          <w:szCs w:val="22"/>
        </w:rPr>
        <w:t xml:space="preserve">a raffle for charity or good causes since, to remain compliant with the </w:t>
      </w:r>
      <w:r w:rsidR="006A0131">
        <w:rPr>
          <w:sz w:val="22"/>
          <w:szCs w:val="22"/>
        </w:rPr>
        <w:t xml:space="preserve">Gambling </w:t>
      </w:r>
      <w:r w:rsidRPr="000F5EEF">
        <w:rPr>
          <w:sz w:val="22"/>
          <w:szCs w:val="22"/>
        </w:rPr>
        <w:t>Act</w:t>
      </w:r>
      <w:r w:rsidR="006A0131">
        <w:rPr>
          <w:sz w:val="22"/>
          <w:szCs w:val="22"/>
        </w:rPr>
        <w:t xml:space="preserve"> 2005</w:t>
      </w:r>
      <w:r w:rsidRPr="000F5EEF">
        <w:rPr>
          <w:sz w:val="22"/>
          <w:szCs w:val="22"/>
        </w:rPr>
        <w:t>, they would also need to pass on any other revenue collected during the course of the event to the good cause</w:t>
      </w:r>
      <w:r>
        <w:rPr>
          <w:sz w:val="22"/>
          <w:szCs w:val="22"/>
        </w:rPr>
        <w:t>.</w:t>
      </w:r>
    </w:p>
    <w:p w14:paraId="1C18B022" w14:textId="77777777" w:rsidR="00635080" w:rsidRDefault="00635080" w:rsidP="00283EE9">
      <w:pPr>
        <w:rPr>
          <w:sz w:val="22"/>
          <w:szCs w:val="22"/>
        </w:rPr>
      </w:pPr>
    </w:p>
    <w:p w14:paraId="1C18B023" w14:textId="77777777" w:rsidR="00635080" w:rsidRDefault="00635080" w:rsidP="00283EE9">
      <w:pPr>
        <w:rPr>
          <w:sz w:val="22"/>
          <w:szCs w:val="22"/>
        </w:rPr>
      </w:pPr>
      <w:r w:rsidRPr="00635080">
        <w:rPr>
          <w:sz w:val="22"/>
          <w:szCs w:val="22"/>
        </w:rPr>
        <w:t>Under the current regulations the holding of a private society lottery must be restricted to benefiting the cause to which the society is concerned – for instance a working men’s club can hold a lottery but the proceeds can only be used for the benefit of that club.</w:t>
      </w:r>
    </w:p>
    <w:p w14:paraId="1C18B024" w14:textId="77777777" w:rsidR="00635080" w:rsidRDefault="00635080" w:rsidP="00283EE9">
      <w:pPr>
        <w:rPr>
          <w:sz w:val="22"/>
          <w:szCs w:val="22"/>
        </w:rPr>
      </w:pPr>
    </w:p>
    <w:p w14:paraId="1C18B025" w14:textId="77777777" w:rsidR="00635080" w:rsidRDefault="00635080" w:rsidP="00283EE9">
      <w:pPr>
        <w:rPr>
          <w:sz w:val="22"/>
          <w:szCs w:val="22"/>
        </w:rPr>
      </w:pPr>
      <w:r w:rsidRPr="00635080">
        <w:rPr>
          <w:sz w:val="22"/>
          <w:szCs w:val="22"/>
        </w:rPr>
        <w:t>Under the current regulations, work and residents’ lotteries may not be promoted to raise funds for good causes. All the proceeds of a lottery must be used for prizes and/or the expenses of the lottery, leaving no profits. For instance, a work place sweepstake on the Grand National could not raise money for a charity or good cause.</w:t>
      </w:r>
    </w:p>
    <w:p w14:paraId="1C18B026" w14:textId="77777777" w:rsidR="0056487B" w:rsidRDefault="0056487B" w:rsidP="00283EE9">
      <w:pPr>
        <w:rPr>
          <w:sz w:val="22"/>
          <w:szCs w:val="22"/>
        </w:rPr>
      </w:pPr>
    </w:p>
    <w:p w14:paraId="1C18B027" w14:textId="77777777" w:rsidR="0056487B" w:rsidRPr="00635080" w:rsidRDefault="0056487B" w:rsidP="00283EE9">
      <w:pPr>
        <w:rPr>
          <w:sz w:val="22"/>
          <w:szCs w:val="22"/>
        </w:rPr>
      </w:pPr>
      <w:r>
        <w:rPr>
          <w:sz w:val="22"/>
          <w:szCs w:val="22"/>
        </w:rPr>
        <w:t>The rationale for intervention is to allow business, organisations and individuals the ability to donate through incidental non-commercial, private society, work and residents’ lotteries to the charity of their choice, allowing charities to maximise their fundraising efforts. This can only be done by altering the Gambling Act 2005 through primary legislation.</w:t>
      </w:r>
    </w:p>
    <w:p w14:paraId="1C18B028" w14:textId="77777777" w:rsidR="0062552D" w:rsidRDefault="0062552D" w:rsidP="00283EE9">
      <w:pPr>
        <w:rPr>
          <w:sz w:val="22"/>
          <w:szCs w:val="22"/>
        </w:rPr>
      </w:pPr>
    </w:p>
    <w:p w14:paraId="1C18B029" w14:textId="77777777" w:rsidR="0062552D" w:rsidRPr="009716D5" w:rsidRDefault="009A673F" w:rsidP="00283EE9">
      <w:pPr>
        <w:rPr>
          <w:sz w:val="22"/>
          <w:szCs w:val="22"/>
          <w:u w:val="single"/>
        </w:rPr>
      </w:pPr>
      <w:r>
        <w:rPr>
          <w:b/>
          <w:sz w:val="22"/>
          <w:szCs w:val="22"/>
          <w:u w:val="single"/>
        </w:rPr>
        <w:t xml:space="preserve">Consultation </w:t>
      </w:r>
      <w:r w:rsidR="0062552D" w:rsidRPr="009716D5">
        <w:rPr>
          <w:b/>
          <w:sz w:val="22"/>
          <w:szCs w:val="22"/>
          <w:u w:val="single"/>
        </w:rPr>
        <w:t>Options</w:t>
      </w:r>
      <w:r>
        <w:rPr>
          <w:b/>
          <w:sz w:val="22"/>
          <w:szCs w:val="22"/>
          <w:u w:val="single"/>
        </w:rPr>
        <w:t xml:space="preserve"> Considered</w:t>
      </w:r>
    </w:p>
    <w:p w14:paraId="1C18B02A" w14:textId="77777777" w:rsidR="0062552D" w:rsidRDefault="0062552D" w:rsidP="00283EE9">
      <w:pPr>
        <w:rPr>
          <w:sz w:val="22"/>
          <w:szCs w:val="22"/>
        </w:rPr>
      </w:pPr>
    </w:p>
    <w:p w14:paraId="1C18B02B" w14:textId="77777777" w:rsidR="0062552D" w:rsidRDefault="0062552D" w:rsidP="00283EE9">
      <w:pPr>
        <w:rPr>
          <w:sz w:val="22"/>
          <w:szCs w:val="22"/>
        </w:rPr>
      </w:pPr>
      <w:r>
        <w:rPr>
          <w:sz w:val="22"/>
          <w:szCs w:val="22"/>
        </w:rPr>
        <w:t>Two options have been considered in this analysis:</w:t>
      </w:r>
    </w:p>
    <w:p w14:paraId="1C18B02C" w14:textId="77777777" w:rsidR="0062552D" w:rsidRDefault="0062552D" w:rsidP="00283EE9">
      <w:pPr>
        <w:rPr>
          <w:sz w:val="22"/>
          <w:szCs w:val="22"/>
        </w:rPr>
      </w:pPr>
    </w:p>
    <w:p w14:paraId="1C18B02D" w14:textId="77777777" w:rsidR="0062552D" w:rsidRDefault="0062552D" w:rsidP="0062552D">
      <w:pPr>
        <w:numPr>
          <w:ilvl w:val="0"/>
          <w:numId w:val="22"/>
        </w:numPr>
        <w:rPr>
          <w:sz w:val="22"/>
          <w:szCs w:val="22"/>
        </w:rPr>
      </w:pPr>
      <w:r>
        <w:rPr>
          <w:b/>
          <w:sz w:val="22"/>
          <w:szCs w:val="22"/>
        </w:rPr>
        <w:t>Policy Option 0: Do Nothing</w:t>
      </w:r>
    </w:p>
    <w:p w14:paraId="1C18B02E" w14:textId="77777777" w:rsidR="009716D5" w:rsidRDefault="009716D5" w:rsidP="009716D5">
      <w:pPr>
        <w:ind w:left="720"/>
        <w:rPr>
          <w:sz w:val="22"/>
          <w:szCs w:val="22"/>
        </w:rPr>
      </w:pPr>
      <w:r>
        <w:rPr>
          <w:sz w:val="22"/>
          <w:szCs w:val="22"/>
        </w:rPr>
        <w:lastRenderedPageBreak/>
        <w:t>Incidental non-commercial, private society, work and residents’ lotteries would still be limited or restricted from fund-raising for charities and good causes.</w:t>
      </w:r>
    </w:p>
    <w:p w14:paraId="1C18B02F" w14:textId="77777777" w:rsidR="009716D5" w:rsidRDefault="009716D5" w:rsidP="009716D5">
      <w:pPr>
        <w:rPr>
          <w:sz w:val="22"/>
          <w:szCs w:val="22"/>
        </w:rPr>
      </w:pPr>
    </w:p>
    <w:p w14:paraId="1C18B030" w14:textId="77777777" w:rsidR="009716D5" w:rsidRDefault="009716D5" w:rsidP="009716D5">
      <w:pPr>
        <w:numPr>
          <w:ilvl w:val="0"/>
          <w:numId w:val="22"/>
        </w:numPr>
        <w:rPr>
          <w:sz w:val="22"/>
          <w:szCs w:val="22"/>
        </w:rPr>
      </w:pPr>
      <w:r>
        <w:rPr>
          <w:b/>
          <w:sz w:val="22"/>
          <w:szCs w:val="22"/>
        </w:rPr>
        <w:t>Policy Option 1: Lift restrictions on Incidental non-commercial, private society, work and residents’ lotteries</w:t>
      </w:r>
    </w:p>
    <w:p w14:paraId="1C18B031" w14:textId="77777777" w:rsidR="009716D5" w:rsidRDefault="009716D5" w:rsidP="009716D5">
      <w:pPr>
        <w:ind w:left="720"/>
        <w:rPr>
          <w:sz w:val="22"/>
          <w:szCs w:val="22"/>
        </w:rPr>
      </w:pPr>
      <w:r>
        <w:rPr>
          <w:sz w:val="22"/>
          <w:szCs w:val="22"/>
        </w:rPr>
        <w:t>This is the Government’</w:t>
      </w:r>
      <w:r w:rsidR="00C6364B">
        <w:rPr>
          <w:sz w:val="22"/>
          <w:szCs w:val="22"/>
        </w:rPr>
        <w:t>s preferred option which will allow businesses, organisations and individuals to hold these types of lotteries to raise money for charities and good causes.</w:t>
      </w:r>
    </w:p>
    <w:p w14:paraId="1C18B032" w14:textId="77777777" w:rsidR="0056487B" w:rsidRDefault="0056487B" w:rsidP="009716D5">
      <w:pPr>
        <w:ind w:left="720"/>
        <w:rPr>
          <w:sz w:val="22"/>
          <w:szCs w:val="22"/>
        </w:rPr>
      </w:pPr>
    </w:p>
    <w:p w14:paraId="1C18B033" w14:textId="77777777" w:rsidR="0056487B" w:rsidRDefault="0056487B" w:rsidP="009716D5">
      <w:pPr>
        <w:ind w:left="720"/>
        <w:rPr>
          <w:sz w:val="22"/>
          <w:szCs w:val="22"/>
        </w:rPr>
      </w:pPr>
      <w:r>
        <w:rPr>
          <w:sz w:val="22"/>
          <w:szCs w:val="22"/>
        </w:rPr>
        <w:t xml:space="preserve">Details of the proposals in Policy Option 1 includes allowing incidental lotteries to take place at both non-commercial and commercial events, which would enable pubs, clubs, shops, concerts, festivals, trade fairs, etc to offer </w:t>
      </w:r>
      <w:r w:rsidR="00DC4962">
        <w:rPr>
          <w:sz w:val="22"/>
          <w:szCs w:val="22"/>
        </w:rPr>
        <w:t xml:space="preserve">lotteries as a </w:t>
      </w:r>
      <w:r>
        <w:rPr>
          <w:sz w:val="22"/>
          <w:szCs w:val="22"/>
        </w:rPr>
        <w:t>fund-raising</w:t>
      </w:r>
      <w:r w:rsidR="00DC4962">
        <w:rPr>
          <w:sz w:val="22"/>
          <w:szCs w:val="22"/>
        </w:rPr>
        <w:t xml:space="preserve"> activity where they hold an event. Where the lottery is incidental to a commercial event, the intention is that the business or event organiser should only be allowed retain revenue directly incurred in the running of the event, including entrance fees, sponsorship deals, food and drink sales or commissions from traders. All profits of the lottery will be required to be directed to charities or other good non-commercial causes.</w:t>
      </w:r>
    </w:p>
    <w:p w14:paraId="1C18B034" w14:textId="77777777" w:rsidR="00DC4962" w:rsidRDefault="00DC4962" w:rsidP="009716D5">
      <w:pPr>
        <w:ind w:left="720"/>
        <w:rPr>
          <w:sz w:val="22"/>
          <w:szCs w:val="22"/>
        </w:rPr>
      </w:pPr>
    </w:p>
    <w:p w14:paraId="1C18B035" w14:textId="77777777" w:rsidR="00DC4962" w:rsidRDefault="00DC4962" w:rsidP="009716D5">
      <w:pPr>
        <w:ind w:left="720"/>
        <w:rPr>
          <w:sz w:val="22"/>
          <w:szCs w:val="22"/>
        </w:rPr>
      </w:pPr>
      <w:r>
        <w:rPr>
          <w:sz w:val="22"/>
          <w:szCs w:val="22"/>
        </w:rPr>
        <w:t>The Government also put forward the proposal that the restriction of result of a lottery being made public while the event takes place should be removed. The reasoning for this proposal is that it currently prevents lotteries such as balloon races to be permitted, as by their nature, they cannot produce a result during an event.</w:t>
      </w:r>
    </w:p>
    <w:p w14:paraId="1C18B036" w14:textId="77777777" w:rsidR="00DC4962" w:rsidRDefault="00DC4962" w:rsidP="009716D5">
      <w:pPr>
        <w:ind w:left="720"/>
        <w:rPr>
          <w:sz w:val="22"/>
          <w:szCs w:val="22"/>
        </w:rPr>
      </w:pPr>
    </w:p>
    <w:p w14:paraId="1C18B037" w14:textId="77777777" w:rsidR="00DC4962" w:rsidRDefault="00DC4962" w:rsidP="009716D5">
      <w:pPr>
        <w:ind w:left="720"/>
        <w:rPr>
          <w:sz w:val="22"/>
          <w:szCs w:val="22"/>
        </w:rPr>
      </w:pPr>
      <w:r>
        <w:rPr>
          <w:sz w:val="22"/>
          <w:szCs w:val="22"/>
        </w:rPr>
        <w:t>The proposal also intends to allow for any private, work and residents’ lotteries to be promoted for any charity or non-commercial or non-private good cause. It is also proposed that the requirement for promoters of work and residents’ lotteries to provide ticke</w:t>
      </w:r>
      <w:r w:rsidR="00B648E6">
        <w:rPr>
          <w:sz w:val="22"/>
          <w:szCs w:val="22"/>
        </w:rPr>
        <w:t>ts bearing specific information, such as the name and address of the promoter be removed as this is regarded as an unnecessary administrative burden.</w:t>
      </w:r>
    </w:p>
    <w:p w14:paraId="1C18B038" w14:textId="77777777" w:rsidR="00B648E6" w:rsidRDefault="00B648E6" w:rsidP="00B648E6">
      <w:pPr>
        <w:rPr>
          <w:sz w:val="22"/>
          <w:szCs w:val="22"/>
        </w:rPr>
      </w:pPr>
    </w:p>
    <w:p w14:paraId="1C18B039" w14:textId="77777777" w:rsidR="00B648E6" w:rsidRDefault="00B648E6" w:rsidP="00B648E6">
      <w:pPr>
        <w:rPr>
          <w:sz w:val="22"/>
          <w:szCs w:val="22"/>
        </w:rPr>
      </w:pPr>
    </w:p>
    <w:p w14:paraId="1C18B03A" w14:textId="77777777" w:rsidR="00B648E6" w:rsidRDefault="00B648E6" w:rsidP="00B648E6">
      <w:pPr>
        <w:rPr>
          <w:sz w:val="22"/>
          <w:szCs w:val="22"/>
        </w:rPr>
      </w:pPr>
      <w:r>
        <w:rPr>
          <w:b/>
          <w:sz w:val="22"/>
          <w:szCs w:val="22"/>
          <w:u w:val="single"/>
        </w:rPr>
        <w:t>Summary of responses to consultation</w:t>
      </w:r>
    </w:p>
    <w:p w14:paraId="1C18B03B" w14:textId="77777777" w:rsidR="00B648E6" w:rsidRDefault="00B648E6" w:rsidP="00B648E6">
      <w:pPr>
        <w:rPr>
          <w:sz w:val="22"/>
          <w:szCs w:val="22"/>
        </w:rPr>
      </w:pPr>
    </w:p>
    <w:p w14:paraId="1C18B03C" w14:textId="77777777" w:rsidR="00B648E6" w:rsidRDefault="00B648E6" w:rsidP="00B648E6">
      <w:pPr>
        <w:rPr>
          <w:sz w:val="22"/>
          <w:szCs w:val="22"/>
        </w:rPr>
      </w:pPr>
      <w:r>
        <w:rPr>
          <w:sz w:val="22"/>
          <w:szCs w:val="22"/>
        </w:rPr>
        <w:t>The Government received 18 responses to the consultation which ran from 27 February</w:t>
      </w:r>
      <w:r w:rsidR="00F75681">
        <w:rPr>
          <w:sz w:val="22"/>
          <w:szCs w:val="22"/>
        </w:rPr>
        <w:t xml:space="preserve"> to 10 April 2014. The responses came from a range of correspondents – charities, a member of the public, private companies and organisations. Not all respondents commented on all the 21 questions in the consultation, instead commenting on those where t</w:t>
      </w:r>
      <w:r w:rsidR="00653956">
        <w:rPr>
          <w:sz w:val="22"/>
          <w:szCs w:val="22"/>
        </w:rPr>
        <w:t xml:space="preserve">hey has a particular interest. </w:t>
      </w:r>
      <w:r w:rsidR="00F75681">
        <w:rPr>
          <w:sz w:val="22"/>
          <w:szCs w:val="22"/>
        </w:rPr>
        <w:t xml:space="preserve">All </w:t>
      </w:r>
      <w:r>
        <w:rPr>
          <w:sz w:val="22"/>
          <w:szCs w:val="22"/>
        </w:rPr>
        <w:t xml:space="preserve">of </w:t>
      </w:r>
      <w:r w:rsidR="00F75681">
        <w:rPr>
          <w:sz w:val="22"/>
          <w:szCs w:val="22"/>
        </w:rPr>
        <w:t xml:space="preserve">the </w:t>
      </w:r>
      <w:r>
        <w:rPr>
          <w:sz w:val="22"/>
          <w:szCs w:val="22"/>
        </w:rPr>
        <w:t>responses were in favour of the Government’</w:t>
      </w:r>
      <w:r w:rsidR="00F75681">
        <w:rPr>
          <w:sz w:val="22"/>
          <w:szCs w:val="22"/>
        </w:rPr>
        <w:t xml:space="preserve">s recommendations apart from </w:t>
      </w:r>
      <w:r>
        <w:rPr>
          <w:sz w:val="22"/>
          <w:szCs w:val="22"/>
        </w:rPr>
        <w:t>one response rejecting all the recommendations on the grounds that they promoted gambling.</w:t>
      </w:r>
    </w:p>
    <w:p w14:paraId="1C18B03D" w14:textId="77777777" w:rsidR="00B648E6" w:rsidRDefault="00B648E6" w:rsidP="00B648E6">
      <w:pPr>
        <w:rPr>
          <w:sz w:val="22"/>
          <w:szCs w:val="22"/>
        </w:rPr>
      </w:pPr>
    </w:p>
    <w:p w14:paraId="1C18B03E" w14:textId="77777777" w:rsidR="00B648E6" w:rsidRPr="00B648E6" w:rsidRDefault="00B648E6" w:rsidP="00B648E6">
      <w:pPr>
        <w:rPr>
          <w:sz w:val="22"/>
          <w:szCs w:val="22"/>
        </w:rPr>
      </w:pPr>
      <w:r>
        <w:rPr>
          <w:sz w:val="22"/>
          <w:szCs w:val="22"/>
        </w:rPr>
        <w:t>The majority of responses were from charities mentioning that they have in the past had to refuse permission for fundraisers to raise money for them through these types of lotteries and that by removing the restrictions more money would be raised for charities.</w:t>
      </w:r>
      <w:r w:rsidR="00653956">
        <w:rPr>
          <w:sz w:val="22"/>
          <w:szCs w:val="22"/>
        </w:rPr>
        <w:t xml:space="preserve"> </w:t>
      </w:r>
      <w:r>
        <w:rPr>
          <w:sz w:val="22"/>
          <w:szCs w:val="22"/>
        </w:rPr>
        <w:t>Several of the respondents mentioned that they disagreed with the limiting of work lotteries to single site premises – they urged that all properties in their company should be able to participate.</w:t>
      </w:r>
    </w:p>
    <w:p w14:paraId="1C18B03F" w14:textId="77777777" w:rsidR="00C6364B" w:rsidRDefault="00C6364B" w:rsidP="00C6364B">
      <w:pPr>
        <w:rPr>
          <w:sz w:val="22"/>
          <w:szCs w:val="22"/>
        </w:rPr>
      </w:pPr>
    </w:p>
    <w:p w14:paraId="1C18B040" w14:textId="77777777" w:rsidR="009A673F" w:rsidRPr="009A673F" w:rsidRDefault="009A673F" w:rsidP="00C6364B">
      <w:pPr>
        <w:rPr>
          <w:b/>
          <w:sz w:val="22"/>
          <w:szCs w:val="22"/>
          <w:u w:val="single"/>
        </w:rPr>
      </w:pPr>
      <w:r w:rsidRPr="009A673F">
        <w:rPr>
          <w:b/>
          <w:sz w:val="22"/>
          <w:szCs w:val="22"/>
          <w:u w:val="single"/>
        </w:rPr>
        <w:t>Impact of the Preferred Option</w:t>
      </w:r>
    </w:p>
    <w:p w14:paraId="1C18B041" w14:textId="77777777" w:rsidR="009A673F" w:rsidRDefault="009A673F" w:rsidP="00C6364B">
      <w:pPr>
        <w:rPr>
          <w:sz w:val="22"/>
          <w:szCs w:val="22"/>
        </w:rPr>
      </w:pPr>
    </w:p>
    <w:p w14:paraId="1C18B042" w14:textId="77777777" w:rsidR="009A673F" w:rsidRPr="008A2E81" w:rsidRDefault="00E822AD" w:rsidP="00C6364B">
      <w:pPr>
        <w:rPr>
          <w:i/>
          <w:sz w:val="22"/>
          <w:szCs w:val="22"/>
          <w:u w:val="single"/>
        </w:rPr>
      </w:pPr>
      <w:r w:rsidRPr="008A2E81">
        <w:rPr>
          <w:i/>
          <w:sz w:val="22"/>
          <w:szCs w:val="22"/>
          <w:u w:val="single"/>
        </w:rPr>
        <w:t>“</w:t>
      </w:r>
      <w:r w:rsidR="009A673F" w:rsidRPr="008A2E81">
        <w:rPr>
          <w:i/>
          <w:sz w:val="22"/>
          <w:szCs w:val="22"/>
          <w:u w:val="single"/>
        </w:rPr>
        <w:t>One-in, Two-out</w:t>
      </w:r>
      <w:r w:rsidRPr="008A2E81">
        <w:rPr>
          <w:i/>
          <w:sz w:val="22"/>
          <w:szCs w:val="22"/>
          <w:u w:val="single"/>
        </w:rPr>
        <w:t>”</w:t>
      </w:r>
      <w:r w:rsidR="009A673F" w:rsidRPr="008A2E81">
        <w:rPr>
          <w:i/>
          <w:sz w:val="22"/>
          <w:szCs w:val="22"/>
          <w:u w:val="single"/>
        </w:rPr>
        <w:t xml:space="preserve"> and the treatment of charitable organisations</w:t>
      </w:r>
    </w:p>
    <w:p w14:paraId="1C18B043" w14:textId="77777777" w:rsidR="00681ABB" w:rsidRDefault="00681ABB" w:rsidP="00C6364B">
      <w:pPr>
        <w:rPr>
          <w:sz w:val="22"/>
          <w:szCs w:val="22"/>
        </w:rPr>
      </w:pPr>
    </w:p>
    <w:p w14:paraId="1C18B044" w14:textId="77777777" w:rsidR="009A673F" w:rsidRDefault="00681ABB" w:rsidP="00C6364B">
      <w:pPr>
        <w:rPr>
          <w:sz w:val="22"/>
          <w:szCs w:val="22"/>
        </w:rPr>
      </w:pPr>
      <w:r>
        <w:rPr>
          <w:sz w:val="22"/>
          <w:szCs w:val="22"/>
        </w:rPr>
        <w:t xml:space="preserve">This is a deregulatory measure. It is designed to remove legislative burdens in order to increase the freedoms for civil society </w:t>
      </w:r>
      <w:r w:rsidR="00E822AD">
        <w:rPr>
          <w:sz w:val="22"/>
          <w:szCs w:val="22"/>
        </w:rPr>
        <w:t>organisations to raise donations through raffles. Under the</w:t>
      </w:r>
      <w:r>
        <w:rPr>
          <w:sz w:val="22"/>
          <w:szCs w:val="22"/>
        </w:rPr>
        <w:t xml:space="preserve"> Better Regulation Framework Manual</w:t>
      </w:r>
      <w:r w:rsidR="00E822AD">
        <w:rPr>
          <w:sz w:val="22"/>
          <w:szCs w:val="22"/>
        </w:rPr>
        <w:t>, civil society organisations are defined as “businesses” for the purposes of “One-in, Two-out” (OITO). This measure is therefore in scope of OITO.</w:t>
      </w:r>
    </w:p>
    <w:p w14:paraId="1C18B045" w14:textId="77777777" w:rsidR="009A673F" w:rsidRDefault="009A673F" w:rsidP="00C6364B">
      <w:pPr>
        <w:rPr>
          <w:sz w:val="22"/>
          <w:szCs w:val="22"/>
        </w:rPr>
      </w:pPr>
    </w:p>
    <w:p w14:paraId="1C18B046" w14:textId="77777777" w:rsidR="009A673F" w:rsidRPr="008A2E81" w:rsidRDefault="009A673F" w:rsidP="00C6364B">
      <w:pPr>
        <w:rPr>
          <w:i/>
          <w:sz w:val="22"/>
          <w:szCs w:val="22"/>
          <w:u w:val="single"/>
        </w:rPr>
      </w:pPr>
      <w:r w:rsidRPr="008A2E81">
        <w:rPr>
          <w:i/>
          <w:sz w:val="22"/>
          <w:szCs w:val="22"/>
          <w:u w:val="single"/>
        </w:rPr>
        <w:t>Evidence</w:t>
      </w:r>
      <w:r w:rsidR="0058639D" w:rsidRPr="008A2E81">
        <w:rPr>
          <w:i/>
          <w:sz w:val="22"/>
          <w:szCs w:val="22"/>
          <w:u w:val="single"/>
        </w:rPr>
        <w:t xml:space="preserve"> base</w:t>
      </w:r>
      <w:r w:rsidR="00222E5D" w:rsidRPr="008A2E81">
        <w:rPr>
          <w:i/>
          <w:sz w:val="22"/>
          <w:szCs w:val="22"/>
          <w:u w:val="single"/>
        </w:rPr>
        <w:t xml:space="preserve"> on charitable donations</w:t>
      </w:r>
    </w:p>
    <w:p w14:paraId="1C18B047" w14:textId="77777777" w:rsidR="009A673F" w:rsidRDefault="009A673F" w:rsidP="00C6364B">
      <w:pPr>
        <w:rPr>
          <w:sz w:val="22"/>
          <w:szCs w:val="22"/>
        </w:rPr>
      </w:pPr>
    </w:p>
    <w:p w14:paraId="1C18B048" w14:textId="77777777" w:rsidR="00564A46" w:rsidRDefault="00F04B14" w:rsidP="00C6364B">
      <w:pPr>
        <w:rPr>
          <w:sz w:val="22"/>
          <w:szCs w:val="22"/>
        </w:rPr>
      </w:pPr>
      <w:r>
        <w:rPr>
          <w:sz w:val="22"/>
          <w:szCs w:val="22"/>
        </w:rPr>
        <w:t>There evidence base around the raffles “market” is quite limited. The main source of information on charitable donations in the UK is the</w:t>
      </w:r>
      <w:r w:rsidR="001C1F06">
        <w:rPr>
          <w:sz w:val="22"/>
          <w:szCs w:val="22"/>
        </w:rPr>
        <w:t xml:space="preserve"> Charities Aid Foundation’s 2012/13</w:t>
      </w:r>
      <w:r>
        <w:rPr>
          <w:sz w:val="22"/>
          <w:szCs w:val="22"/>
        </w:rPr>
        <w:t xml:space="preserve"> </w:t>
      </w:r>
      <w:r w:rsidR="001C1F06">
        <w:rPr>
          <w:sz w:val="22"/>
          <w:szCs w:val="22"/>
        </w:rPr>
        <w:t>report UK Giving, which was</w:t>
      </w:r>
      <w:r>
        <w:rPr>
          <w:sz w:val="22"/>
          <w:szCs w:val="22"/>
        </w:rPr>
        <w:t xml:space="preserve"> published in 201</w:t>
      </w:r>
      <w:r w:rsidR="001C1F06">
        <w:rPr>
          <w:sz w:val="22"/>
          <w:szCs w:val="22"/>
        </w:rPr>
        <w:t>4</w:t>
      </w:r>
      <w:r>
        <w:rPr>
          <w:sz w:val="22"/>
          <w:szCs w:val="22"/>
        </w:rPr>
        <w:t>. Roughly half of all adults in the UK give to</w:t>
      </w:r>
      <w:r w:rsidR="001C1F06">
        <w:rPr>
          <w:sz w:val="22"/>
          <w:szCs w:val="22"/>
        </w:rPr>
        <w:t xml:space="preserve"> charity, with an estimated 29.5</w:t>
      </w:r>
      <w:r>
        <w:rPr>
          <w:sz w:val="22"/>
          <w:szCs w:val="22"/>
        </w:rPr>
        <w:t>m individual donors (who might donate more than once in a ye</w:t>
      </w:r>
      <w:r w:rsidR="001C1F06">
        <w:rPr>
          <w:sz w:val="22"/>
          <w:szCs w:val="22"/>
        </w:rPr>
        <w:t>ar), equating to a total of £10.4</w:t>
      </w:r>
      <w:r>
        <w:rPr>
          <w:sz w:val="22"/>
          <w:szCs w:val="22"/>
        </w:rPr>
        <w:t xml:space="preserve">bn in financial support </w:t>
      </w:r>
      <w:r>
        <w:rPr>
          <w:sz w:val="22"/>
          <w:szCs w:val="22"/>
        </w:rPr>
        <w:lastRenderedPageBreak/>
        <w:t xml:space="preserve">for civil society organisations. These donors </w:t>
      </w:r>
      <w:r w:rsidR="00564A46">
        <w:rPr>
          <w:sz w:val="22"/>
          <w:szCs w:val="22"/>
        </w:rPr>
        <w:t xml:space="preserve">give </w:t>
      </w:r>
      <w:r w:rsidR="001C1F06">
        <w:rPr>
          <w:sz w:val="22"/>
          <w:szCs w:val="22"/>
        </w:rPr>
        <w:t>a mean average amount of £29</w:t>
      </w:r>
      <w:r w:rsidR="00564A46">
        <w:rPr>
          <w:sz w:val="22"/>
          <w:szCs w:val="22"/>
        </w:rPr>
        <w:t xml:space="preserve"> per month (reflecting some extremely large gifts from wealthy donors).</w:t>
      </w:r>
    </w:p>
    <w:p w14:paraId="1C18B049" w14:textId="77777777" w:rsidR="00564A46" w:rsidRDefault="00564A46" w:rsidP="00C6364B">
      <w:pPr>
        <w:rPr>
          <w:sz w:val="22"/>
          <w:szCs w:val="22"/>
        </w:rPr>
      </w:pPr>
    </w:p>
    <w:p w14:paraId="1C18B04A" w14:textId="77777777" w:rsidR="00564A46" w:rsidRDefault="00564A46" w:rsidP="00C6364B">
      <w:pPr>
        <w:rPr>
          <w:sz w:val="22"/>
          <w:szCs w:val="22"/>
        </w:rPr>
      </w:pPr>
      <w:r>
        <w:rPr>
          <w:sz w:val="22"/>
          <w:szCs w:val="22"/>
        </w:rPr>
        <w:t>There are a variety of pathways through which donors give to good causes. Cash is the most popular with 50% of donors using this route at some point, but other forms include direct debit, special events, and payroll deductions.</w:t>
      </w:r>
    </w:p>
    <w:p w14:paraId="1C18B04B" w14:textId="77777777" w:rsidR="00564A46" w:rsidRDefault="00564A46" w:rsidP="00C6364B">
      <w:pPr>
        <w:rPr>
          <w:sz w:val="22"/>
          <w:szCs w:val="22"/>
        </w:rPr>
      </w:pPr>
    </w:p>
    <w:p w14:paraId="1C18B04C" w14:textId="77777777" w:rsidR="009A673F" w:rsidRDefault="008E3814" w:rsidP="00C6364B">
      <w:pPr>
        <w:rPr>
          <w:sz w:val="22"/>
          <w:szCs w:val="22"/>
        </w:rPr>
      </w:pPr>
      <w:r>
        <w:rPr>
          <w:sz w:val="22"/>
          <w:szCs w:val="22"/>
        </w:rPr>
        <w:t>Lotteries and r</w:t>
      </w:r>
      <w:r w:rsidR="00564A46">
        <w:rPr>
          <w:sz w:val="22"/>
          <w:szCs w:val="22"/>
        </w:rPr>
        <w:t>affles are also a popu</w:t>
      </w:r>
      <w:r w:rsidR="001C1F06">
        <w:rPr>
          <w:sz w:val="22"/>
          <w:szCs w:val="22"/>
        </w:rPr>
        <w:t>lar source of donations, with 24</w:t>
      </w:r>
      <w:r w:rsidR="00564A46">
        <w:rPr>
          <w:sz w:val="22"/>
          <w:szCs w:val="22"/>
        </w:rPr>
        <w:t>% of donors using this route. Evidence suggests that the median average amount spent on raffles in £4. This is the lowest level of donation recorded, and compares with a median average of £20 for donations made by cheque or card, for example.</w:t>
      </w:r>
    </w:p>
    <w:p w14:paraId="1C18B04D" w14:textId="77777777" w:rsidR="00564A46" w:rsidRDefault="00564A46" w:rsidP="00C6364B">
      <w:pPr>
        <w:rPr>
          <w:sz w:val="22"/>
          <w:szCs w:val="22"/>
        </w:rPr>
      </w:pPr>
    </w:p>
    <w:p w14:paraId="1C18B04E" w14:textId="77777777" w:rsidR="008E3814" w:rsidRDefault="00AE4406" w:rsidP="00C6364B">
      <w:pPr>
        <w:rPr>
          <w:sz w:val="22"/>
          <w:szCs w:val="22"/>
        </w:rPr>
      </w:pPr>
      <w:r>
        <w:rPr>
          <w:sz w:val="22"/>
          <w:szCs w:val="22"/>
        </w:rPr>
        <w:t>In terms of the tota</w:t>
      </w:r>
      <w:r w:rsidR="00222E5D">
        <w:rPr>
          <w:sz w:val="22"/>
          <w:szCs w:val="22"/>
        </w:rPr>
        <w:t xml:space="preserve">l amounted donated, </w:t>
      </w:r>
      <w:r w:rsidR="008E3814">
        <w:rPr>
          <w:sz w:val="22"/>
          <w:szCs w:val="22"/>
        </w:rPr>
        <w:t xml:space="preserve">lotteries and </w:t>
      </w:r>
      <w:r w:rsidR="00222E5D">
        <w:rPr>
          <w:sz w:val="22"/>
          <w:szCs w:val="22"/>
        </w:rPr>
        <w:t xml:space="preserve">raffles represent </w:t>
      </w:r>
      <w:r>
        <w:rPr>
          <w:sz w:val="22"/>
          <w:szCs w:val="22"/>
        </w:rPr>
        <w:t>a relatively small amount of the total giving market</w:t>
      </w:r>
      <w:r w:rsidR="00222E5D">
        <w:rPr>
          <w:sz w:val="22"/>
          <w:szCs w:val="22"/>
        </w:rPr>
        <w:t xml:space="preserve"> with an </w:t>
      </w:r>
      <w:r>
        <w:rPr>
          <w:sz w:val="22"/>
          <w:szCs w:val="22"/>
        </w:rPr>
        <w:t>estimated 5% of all gifts. Whilst this is a relatively small proportion, it is still a substantial absolute amount</w:t>
      </w:r>
      <w:r w:rsidR="00222E5D">
        <w:rPr>
          <w:sz w:val="22"/>
          <w:szCs w:val="22"/>
        </w:rPr>
        <w:t>,</w:t>
      </w:r>
      <w:r>
        <w:rPr>
          <w:sz w:val="22"/>
          <w:szCs w:val="22"/>
        </w:rPr>
        <w:t xml:space="preserve"> equivalent to</w:t>
      </w:r>
      <w:r w:rsidR="008B66C4">
        <w:rPr>
          <w:sz w:val="22"/>
          <w:szCs w:val="22"/>
        </w:rPr>
        <w:t xml:space="preserve"> around £500</w:t>
      </w:r>
      <w:r>
        <w:rPr>
          <w:sz w:val="22"/>
          <w:szCs w:val="22"/>
        </w:rPr>
        <w:t>m from the total donations base of £10.4bn.</w:t>
      </w:r>
    </w:p>
    <w:p w14:paraId="1C18B04F" w14:textId="77777777" w:rsidR="008E3814" w:rsidRDefault="008E3814" w:rsidP="00C6364B">
      <w:pPr>
        <w:rPr>
          <w:sz w:val="22"/>
          <w:szCs w:val="22"/>
        </w:rPr>
      </w:pPr>
    </w:p>
    <w:p w14:paraId="1C18B050" w14:textId="77777777" w:rsidR="008E3814" w:rsidRDefault="008E3814" w:rsidP="00C6364B">
      <w:pPr>
        <w:rPr>
          <w:sz w:val="22"/>
          <w:szCs w:val="22"/>
        </w:rPr>
      </w:pPr>
      <w:r>
        <w:rPr>
          <w:sz w:val="22"/>
          <w:szCs w:val="22"/>
        </w:rPr>
        <w:t xml:space="preserve">The category </w:t>
      </w:r>
      <w:r w:rsidR="005F0657">
        <w:rPr>
          <w:sz w:val="22"/>
          <w:szCs w:val="22"/>
        </w:rPr>
        <w:t>“</w:t>
      </w:r>
      <w:r>
        <w:rPr>
          <w:sz w:val="22"/>
          <w:szCs w:val="22"/>
        </w:rPr>
        <w:t>lotteries and raffles</w:t>
      </w:r>
      <w:r w:rsidR="005F0657">
        <w:rPr>
          <w:sz w:val="22"/>
          <w:szCs w:val="22"/>
        </w:rPr>
        <w:t>”</w:t>
      </w:r>
      <w:r>
        <w:rPr>
          <w:sz w:val="22"/>
          <w:szCs w:val="22"/>
        </w:rPr>
        <w:t xml:space="preserve"> includes a wide range of activities, not all of which are in scope of the proposed reforms. While the survey conducted by the Charities Aid Foundation excludes the National Lottery, it does include</w:t>
      </w:r>
      <w:r w:rsidR="00C8186B">
        <w:rPr>
          <w:sz w:val="22"/>
          <w:szCs w:val="22"/>
        </w:rPr>
        <w:t xml:space="preserve"> licensed lotteries including so-called</w:t>
      </w:r>
      <w:r>
        <w:rPr>
          <w:sz w:val="22"/>
          <w:szCs w:val="22"/>
        </w:rPr>
        <w:t xml:space="preserve"> society lotteries.</w:t>
      </w:r>
      <w:r w:rsidR="008B66C4">
        <w:rPr>
          <w:sz w:val="22"/>
          <w:szCs w:val="22"/>
        </w:rPr>
        <w:t xml:space="preserve"> Gambling Commission statistics show that </w:t>
      </w:r>
      <w:r w:rsidR="00C8186B">
        <w:rPr>
          <w:sz w:val="22"/>
          <w:szCs w:val="22"/>
        </w:rPr>
        <w:t xml:space="preserve">the licenced lottery market was worth approximately £350m in 2012/13. Deducting this from the lotteries and raffles total leaves £150m spent on small scale raffles of the kind that are described in this </w:t>
      </w:r>
      <w:r w:rsidR="00630268">
        <w:rPr>
          <w:sz w:val="22"/>
          <w:szCs w:val="22"/>
        </w:rPr>
        <w:t>reform package. This roughly equates to £3 raffle donation each year for every adult in the UK.</w:t>
      </w:r>
      <w:r w:rsidR="00735C0E">
        <w:rPr>
          <w:sz w:val="22"/>
          <w:szCs w:val="22"/>
        </w:rPr>
        <w:t xml:space="preserve"> There is no available data on the number of in-scope raffles held annually in the UK, or the average amount of money that is raised by a single representative in-scope raffle.</w:t>
      </w:r>
    </w:p>
    <w:p w14:paraId="1C18B051" w14:textId="77777777" w:rsidR="00FC616C" w:rsidRDefault="00AE4406" w:rsidP="00C6364B">
      <w:pPr>
        <w:rPr>
          <w:sz w:val="22"/>
          <w:szCs w:val="22"/>
        </w:rPr>
      </w:pPr>
      <w:r>
        <w:rPr>
          <w:sz w:val="22"/>
          <w:szCs w:val="22"/>
        </w:rPr>
        <w:t xml:space="preserve"> </w:t>
      </w:r>
    </w:p>
    <w:p w14:paraId="1C18B052" w14:textId="77777777" w:rsidR="00564A46" w:rsidRDefault="00FC616C" w:rsidP="00C6364B">
      <w:pPr>
        <w:rPr>
          <w:sz w:val="22"/>
          <w:szCs w:val="22"/>
        </w:rPr>
      </w:pPr>
      <w:r>
        <w:rPr>
          <w:sz w:val="22"/>
          <w:szCs w:val="22"/>
        </w:rPr>
        <w:t xml:space="preserve">Donations are paid to a variety of good causes. </w:t>
      </w:r>
      <w:r w:rsidR="0003398C">
        <w:rPr>
          <w:sz w:val="22"/>
          <w:szCs w:val="22"/>
        </w:rPr>
        <w:t xml:space="preserve">The following pie chart summarises the share of </w:t>
      </w:r>
      <w:r w:rsidR="006B721C">
        <w:rPr>
          <w:sz w:val="22"/>
          <w:szCs w:val="22"/>
        </w:rPr>
        <w:t xml:space="preserve">total </w:t>
      </w:r>
      <w:r w:rsidR="0003398C">
        <w:rPr>
          <w:sz w:val="22"/>
          <w:szCs w:val="22"/>
        </w:rPr>
        <w:t xml:space="preserve">donations that are given to different types of good causes. </w:t>
      </w:r>
      <w:r w:rsidR="00222E5D">
        <w:rPr>
          <w:sz w:val="22"/>
          <w:szCs w:val="22"/>
        </w:rPr>
        <w:t>Medical, r</w:t>
      </w:r>
      <w:r w:rsidR="0003398C">
        <w:rPr>
          <w:sz w:val="22"/>
          <w:szCs w:val="22"/>
        </w:rPr>
        <w:t>eligious, hospitals, children</w:t>
      </w:r>
      <w:r w:rsidR="00222E5D">
        <w:rPr>
          <w:sz w:val="22"/>
          <w:szCs w:val="22"/>
        </w:rPr>
        <w:t>,</w:t>
      </w:r>
      <w:r w:rsidR="0003398C">
        <w:rPr>
          <w:sz w:val="22"/>
          <w:szCs w:val="22"/>
        </w:rPr>
        <w:t xml:space="preserve"> and overseas </w:t>
      </w:r>
      <w:r w:rsidR="00222E5D">
        <w:rPr>
          <w:sz w:val="22"/>
          <w:szCs w:val="22"/>
        </w:rPr>
        <w:t xml:space="preserve">organisations </w:t>
      </w:r>
      <w:r w:rsidR="0003398C">
        <w:rPr>
          <w:sz w:val="22"/>
          <w:szCs w:val="22"/>
        </w:rPr>
        <w:t>were the biggest recipients of donations. There is no b</w:t>
      </w:r>
      <w:r w:rsidR="006B721C">
        <w:rPr>
          <w:sz w:val="22"/>
          <w:szCs w:val="22"/>
        </w:rPr>
        <w:t>reakdown of the types of good causes that are specifically supported by raffles.</w:t>
      </w:r>
    </w:p>
    <w:p w14:paraId="1C18B053" w14:textId="77777777" w:rsidR="006B721C" w:rsidRDefault="006B721C" w:rsidP="00C6364B">
      <w:pPr>
        <w:rPr>
          <w:sz w:val="22"/>
          <w:szCs w:val="22"/>
        </w:rPr>
      </w:pPr>
    </w:p>
    <w:p w14:paraId="1C18B054" w14:textId="77777777" w:rsidR="00AE4406" w:rsidRPr="00222E5D" w:rsidRDefault="00DF334B" w:rsidP="00C6364B">
      <w:pPr>
        <w:rPr>
          <w:i/>
          <w:sz w:val="22"/>
          <w:szCs w:val="22"/>
        </w:rPr>
      </w:pPr>
      <w:r>
        <w:rPr>
          <w:i/>
          <w:sz w:val="22"/>
          <w:szCs w:val="22"/>
        </w:rPr>
        <w:t>Illustration</w:t>
      </w:r>
      <w:r w:rsidR="00222E5D">
        <w:rPr>
          <w:i/>
          <w:sz w:val="22"/>
          <w:szCs w:val="22"/>
        </w:rPr>
        <w:t xml:space="preserve"> 1: </w:t>
      </w:r>
      <w:r w:rsidR="00AE4406" w:rsidRPr="00222E5D">
        <w:rPr>
          <w:i/>
          <w:sz w:val="22"/>
          <w:szCs w:val="22"/>
        </w:rPr>
        <w:t xml:space="preserve">Proportion of </w:t>
      </w:r>
      <w:r w:rsidR="00222E5D" w:rsidRPr="00222E5D">
        <w:rPr>
          <w:i/>
          <w:sz w:val="22"/>
          <w:szCs w:val="22"/>
        </w:rPr>
        <w:t>donations going to different good causes</w:t>
      </w:r>
    </w:p>
    <w:p w14:paraId="1C18B055" w14:textId="77777777" w:rsidR="00AE4406" w:rsidRDefault="00AE4406" w:rsidP="00C6364B">
      <w:pPr>
        <w:rPr>
          <w:sz w:val="22"/>
          <w:szCs w:val="22"/>
        </w:rPr>
      </w:pPr>
    </w:p>
    <w:p w14:paraId="1C18B056" w14:textId="77777777" w:rsidR="0003398C" w:rsidRDefault="00821392" w:rsidP="00C6364B">
      <w:pPr>
        <w:rPr>
          <w:sz w:val="22"/>
          <w:szCs w:val="22"/>
        </w:rPr>
      </w:pPr>
      <w:r>
        <w:rPr>
          <w:noProof/>
          <w:lang w:eastAsia="en-GB"/>
        </w:rPr>
        <w:drawing>
          <wp:inline distT="0" distB="0" distL="0" distR="0" wp14:anchorId="1C18B093" wp14:editId="1C18B094">
            <wp:extent cx="4572000" cy="27508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4572000" cy="2750820"/>
                    </a:xfrm>
                    <a:prstGeom prst="rect">
                      <a:avLst/>
                    </a:prstGeom>
                  </pic:spPr>
                </pic:pic>
              </a:graphicData>
            </a:graphic>
          </wp:inline>
        </w:drawing>
      </w:r>
    </w:p>
    <w:p w14:paraId="1C18B057" w14:textId="77777777" w:rsidR="006B721C" w:rsidRDefault="006B721C" w:rsidP="00C6364B">
      <w:pPr>
        <w:rPr>
          <w:sz w:val="22"/>
          <w:szCs w:val="22"/>
        </w:rPr>
      </w:pPr>
    </w:p>
    <w:p w14:paraId="1C18B058" w14:textId="77777777" w:rsidR="00460DFB" w:rsidRDefault="006B721C" w:rsidP="00C6364B">
      <w:pPr>
        <w:rPr>
          <w:sz w:val="22"/>
          <w:szCs w:val="22"/>
        </w:rPr>
      </w:pPr>
      <w:r>
        <w:rPr>
          <w:sz w:val="22"/>
          <w:szCs w:val="22"/>
        </w:rPr>
        <w:t>Reviewing the available literature, it is clear that there is an absence of basic facts</w:t>
      </w:r>
      <w:r w:rsidR="00A224CC">
        <w:rPr>
          <w:sz w:val="22"/>
          <w:szCs w:val="22"/>
        </w:rPr>
        <w:t>, as well as detailed</w:t>
      </w:r>
      <w:r>
        <w:rPr>
          <w:sz w:val="22"/>
          <w:szCs w:val="22"/>
        </w:rPr>
        <w:t xml:space="preserve"> information on raffles as a form of </w:t>
      </w:r>
      <w:r w:rsidR="00A224CC">
        <w:rPr>
          <w:sz w:val="22"/>
          <w:szCs w:val="22"/>
        </w:rPr>
        <w:t xml:space="preserve">giving. </w:t>
      </w:r>
      <w:r>
        <w:rPr>
          <w:sz w:val="22"/>
          <w:szCs w:val="22"/>
        </w:rPr>
        <w:t xml:space="preserve">In line with the proportionality principle, no bespoke research has been conducted on raffles. The policy is considered to </w:t>
      </w:r>
      <w:r w:rsidR="00094069">
        <w:rPr>
          <w:sz w:val="22"/>
          <w:szCs w:val="22"/>
        </w:rPr>
        <w:t xml:space="preserve">lead to positive outcomes </w:t>
      </w:r>
      <w:r w:rsidR="00460DFB">
        <w:rPr>
          <w:sz w:val="22"/>
          <w:szCs w:val="22"/>
        </w:rPr>
        <w:t>(</w:t>
      </w:r>
      <w:r w:rsidR="00C05A8F">
        <w:rPr>
          <w:sz w:val="22"/>
          <w:szCs w:val="22"/>
        </w:rPr>
        <w:t xml:space="preserve">deregulation means </w:t>
      </w:r>
      <w:r w:rsidR="00094069">
        <w:rPr>
          <w:sz w:val="22"/>
          <w:szCs w:val="22"/>
        </w:rPr>
        <w:t xml:space="preserve">individuals have greater choice in donations and </w:t>
      </w:r>
      <w:r w:rsidR="00460DFB">
        <w:rPr>
          <w:sz w:val="22"/>
          <w:szCs w:val="22"/>
        </w:rPr>
        <w:t xml:space="preserve">good causes are likely to benefit from </w:t>
      </w:r>
      <w:r w:rsidR="00C05A8F">
        <w:rPr>
          <w:sz w:val="22"/>
          <w:szCs w:val="22"/>
        </w:rPr>
        <w:t>increased fundraising opportunities</w:t>
      </w:r>
      <w:r w:rsidR="00460DFB">
        <w:rPr>
          <w:sz w:val="22"/>
          <w:szCs w:val="22"/>
        </w:rPr>
        <w:t>) and</w:t>
      </w:r>
      <w:r>
        <w:rPr>
          <w:sz w:val="22"/>
          <w:szCs w:val="22"/>
        </w:rPr>
        <w:t xml:space="preserve"> uncontroversial (all consultation res</w:t>
      </w:r>
      <w:r w:rsidR="00460DFB">
        <w:rPr>
          <w:sz w:val="22"/>
          <w:szCs w:val="22"/>
        </w:rPr>
        <w:t>ponses were supportive).</w:t>
      </w:r>
    </w:p>
    <w:p w14:paraId="1C18B059" w14:textId="77777777" w:rsidR="00460DFB" w:rsidRDefault="00460DFB" w:rsidP="00C6364B">
      <w:pPr>
        <w:rPr>
          <w:sz w:val="22"/>
          <w:szCs w:val="22"/>
        </w:rPr>
      </w:pPr>
    </w:p>
    <w:p w14:paraId="004D8EB1" w14:textId="7DC41F24" w:rsidR="007A7D9B" w:rsidRDefault="00460DFB" w:rsidP="00C6364B">
      <w:pPr>
        <w:rPr>
          <w:sz w:val="22"/>
          <w:szCs w:val="22"/>
        </w:rPr>
      </w:pPr>
      <w:r>
        <w:rPr>
          <w:sz w:val="22"/>
          <w:szCs w:val="22"/>
        </w:rPr>
        <w:t xml:space="preserve">The likely impacts of the policy are discussed below. Research experts in the field – from </w:t>
      </w:r>
      <w:r w:rsidR="00EC57B9">
        <w:rPr>
          <w:sz w:val="22"/>
          <w:szCs w:val="22"/>
        </w:rPr>
        <w:t>the Charities Aid Foundation,</w:t>
      </w:r>
      <w:r>
        <w:rPr>
          <w:sz w:val="22"/>
          <w:szCs w:val="22"/>
        </w:rPr>
        <w:t xml:space="preserve"> Charitable Giving and Philanthropy</w:t>
      </w:r>
      <w:r w:rsidR="00EC57B9">
        <w:rPr>
          <w:sz w:val="22"/>
          <w:szCs w:val="22"/>
        </w:rPr>
        <w:t>, and nfpSynergy</w:t>
      </w:r>
      <w:r>
        <w:rPr>
          <w:sz w:val="22"/>
          <w:szCs w:val="22"/>
        </w:rPr>
        <w:t xml:space="preserve"> – were consulted but it </w:t>
      </w:r>
      <w:r w:rsidR="008E3814">
        <w:rPr>
          <w:sz w:val="22"/>
          <w:szCs w:val="22"/>
        </w:rPr>
        <w:t xml:space="preserve">proved not to be possible to </w:t>
      </w:r>
      <w:r w:rsidR="00964CB0">
        <w:rPr>
          <w:sz w:val="22"/>
          <w:szCs w:val="22"/>
        </w:rPr>
        <w:t xml:space="preserve">obtain </w:t>
      </w:r>
      <w:r>
        <w:rPr>
          <w:sz w:val="22"/>
          <w:szCs w:val="22"/>
        </w:rPr>
        <w:t>detailed evidence</w:t>
      </w:r>
      <w:r w:rsidR="00630268">
        <w:rPr>
          <w:sz w:val="22"/>
          <w:szCs w:val="22"/>
        </w:rPr>
        <w:t xml:space="preserve"> of forecasts for generalised growth in raffles donations and the </w:t>
      </w:r>
      <w:r w:rsidR="00630268">
        <w:rPr>
          <w:sz w:val="22"/>
          <w:szCs w:val="22"/>
        </w:rPr>
        <w:lastRenderedPageBreak/>
        <w:t>growth that might be expected under the deregulatory package examined here</w:t>
      </w:r>
      <w:r>
        <w:rPr>
          <w:sz w:val="22"/>
          <w:szCs w:val="22"/>
        </w:rPr>
        <w:t>.</w:t>
      </w:r>
      <w:r w:rsidR="007A7D9B">
        <w:rPr>
          <w:sz w:val="22"/>
          <w:szCs w:val="22"/>
        </w:rPr>
        <w:t xml:space="preserve"> </w:t>
      </w:r>
      <w:r w:rsidR="003D32F0">
        <w:rPr>
          <w:sz w:val="22"/>
          <w:szCs w:val="22"/>
        </w:rPr>
        <w:t xml:space="preserve">The Gambling Commission were </w:t>
      </w:r>
      <w:r w:rsidR="007A7D9B">
        <w:rPr>
          <w:sz w:val="22"/>
          <w:szCs w:val="22"/>
        </w:rPr>
        <w:t xml:space="preserve">also </w:t>
      </w:r>
      <w:r w:rsidR="003D32F0">
        <w:rPr>
          <w:sz w:val="22"/>
          <w:szCs w:val="22"/>
        </w:rPr>
        <w:t>consulted, but do not hold information on these types of raffles because they do not carry out any enforcement activity (such as licensing).</w:t>
      </w:r>
    </w:p>
    <w:p w14:paraId="3C1F1105" w14:textId="77777777" w:rsidR="007A7D9B" w:rsidRDefault="007A7D9B" w:rsidP="00C6364B">
      <w:pPr>
        <w:rPr>
          <w:sz w:val="22"/>
          <w:szCs w:val="22"/>
        </w:rPr>
      </w:pPr>
    </w:p>
    <w:p w14:paraId="1C18B05A" w14:textId="6C33067A" w:rsidR="009A673F" w:rsidRDefault="003D32F0" w:rsidP="00C6364B">
      <w:pPr>
        <w:rPr>
          <w:sz w:val="22"/>
          <w:szCs w:val="22"/>
        </w:rPr>
      </w:pPr>
      <w:r>
        <w:rPr>
          <w:sz w:val="22"/>
          <w:szCs w:val="22"/>
        </w:rPr>
        <w:t xml:space="preserve">A trawl of academic articles in Google Scholar using the search terms “raffles”, “small lotteries” and “charitable donations” did not reveal any useful evidence. </w:t>
      </w:r>
      <w:r w:rsidR="00A07128">
        <w:rPr>
          <w:sz w:val="22"/>
          <w:szCs w:val="22"/>
        </w:rPr>
        <w:t>Ther</w:t>
      </w:r>
      <w:r w:rsidR="007A7D9B">
        <w:rPr>
          <w:sz w:val="22"/>
          <w:szCs w:val="22"/>
        </w:rPr>
        <w:t>e were a number of studies of tangential relevance, but these tended to focus on large lotteries and other donation methods. Studies were</w:t>
      </w:r>
      <w:r w:rsidR="007A684B">
        <w:rPr>
          <w:sz w:val="22"/>
          <w:szCs w:val="22"/>
        </w:rPr>
        <w:t xml:space="preserve"> also frequently focused on countries other than the UK, and many were dated. This search did not reveal additional relevant quantitative evidence.</w:t>
      </w:r>
      <w:r>
        <w:rPr>
          <w:sz w:val="22"/>
          <w:szCs w:val="22"/>
        </w:rPr>
        <w:t xml:space="preserve"> </w:t>
      </w:r>
      <w:r w:rsidR="00460DFB">
        <w:rPr>
          <w:sz w:val="22"/>
          <w:szCs w:val="22"/>
        </w:rPr>
        <w:t xml:space="preserve">The </w:t>
      </w:r>
      <w:r>
        <w:rPr>
          <w:sz w:val="22"/>
          <w:szCs w:val="22"/>
        </w:rPr>
        <w:t>analysis of impact</w:t>
      </w:r>
      <w:r w:rsidR="00460DFB">
        <w:rPr>
          <w:sz w:val="22"/>
          <w:szCs w:val="22"/>
        </w:rPr>
        <w:t xml:space="preserve"> below t</w:t>
      </w:r>
      <w:r w:rsidR="00630268">
        <w:rPr>
          <w:sz w:val="22"/>
          <w:szCs w:val="22"/>
        </w:rPr>
        <w:t xml:space="preserve">herefore focuses on </w:t>
      </w:r>
      <w:r w:rsidR="00964CB0">
        <w:rPr>
          <w:sz w:val="22"/>
          <w:szCs w:val="22"/>
        </w:rPr>
        <w:t>qualitative analys</w:t>
      </w:r>
      <w:r w:rsidR="00630268">
        <w:rPr>
          <w:sz w:val="22"/>
          <w:szCs w:val="22"/>
        </w:rPr>
        <w:t>is and illustrative scenarios of potential</w:t>
      </w:r>
      <w:r w:rsidR="00964CB0">
        <w:rPr>
          <w:sz w:val="22"/>
          <w:szCs w:val="22"/>
        </w:rPr>
        <w:t xml:space="preserve"> impac</w:t>
      </w:r>
      <w:r w:rsidR="008E3814">
        <w:rPr>
          <w:sz w:val="22"/>
          <w:szCs w:val="22"/>
        </w:rPr>
        <w:t>t.</w:t>
      </w:r>
    </w:p>
    <w:p w14:paraId="1C18B05B" w14:textId="77777777" w:rsidR="005F0657" w:rsidRDefault="005F0657" w:rsidP="00C6364B">
      <w:pPr>
        <w:rPr>
          <w:sz w:val="22"/>
          <w:szCs w:val="22"/>
        </w:rPr>
      </w:pPr>
    </w:p>
    <w:p w14:paraId="1C18B05C" w14:textId="77777777" w:rsidR="005F0657" w:rsidRDefault="003129AE" w:rsidP="005F0657">
      <w:pPr>
        <w:rPr>
          <w:sz w:val="22"/>
          <w:szCs w:val="22"/>
        </w:rPr>
      </w:pPr>
      <w:r>
        <w:rPr>
          <w:sz w:val="22"/>
          <w:szCs w:val="22"/>
        </w:rPr>
        <w:t xml:space="preserve">There is some anecdotal evidence that </w:t>
      </w:r>
      <w:r w:rsidR="005F0657">
        <w:rPr>
          <w:sz w:val="22"/>
          <w:szCs w:val="22"/>
        </w:rPr>
        <w:t>raffles are already occurring in some of the venues that are scheduled for deregulation. This is due to an incomplete understanding of the law in certain very small organisations, along with the fact that these activities are not an active target for regulation for the Gambling Commission. At the same time, there is also some anecdotal evidence that other (and in likelihood the majority of) small civil society organisations do see the current law as a genuine barrier to fund raising. Some large civil society organisations are known to have turned down</w:t>
      </w:r>
      <w:r w:rsidR="00644C2C">
        <w:rPr>
          <w:sz w:val="22"/>
          <w:szCs w:val="22"/>
        </w:rPr>
        <w:t xml:space="preserve"> offers of</w:t>
      </w:r>
      <w:r w:rsidR="005F0657">
        <w:rPr>
          <w:sz w:val="22"/>
          <w:szCs w:val="22"/>
        </w:rPr>
        <w:t xml:space="preserve"> raffle-based fundraising opportunities from small</w:t>
      </w:r>
      <w:r w:rsidR="00644C2C">
        <w:rPr>
          <w:sz w:val="22"/>
          <w:szCs w:val="22"/>
        </w:rPr>
        <w:t xml:space="preserve"> civil society organisations who have s</w:t>
      </w:r>
      <w:r w:rsidR="005F0657">
        <w:rPr>
          <w:sz w:val="22"/>
          <w:szCs w:val="22"/>
        </w:rPr>
        <w:t>uggest</w:t>
      </w:r>
      <w:r w:rsidR="00644C2C">
        <w:rPr>
          <w:sz w:val="22"/>
          <w:szCs w:val="22"/>
        </w:rPr>
        <w:t>ed</w:t>
      </w:r>
      <w:r w:rsidR="005F0657">
        <w:rPr>
          <w:sz w:val="22"/>
          <w:szCs w:val="22"/>
        </w:rPr>
        <w:t xml:space="preserve"> that they could hold events in the areas scheduled for deregulation (as well as explaining the nature of the current regulations to them).</w:t>
      </w:r>
    </w:p>
    <w:p w14:paraId="1C18B05D" w14:textId="77777777" w:rsidR="003129AE" w:rsidRDefault="003129AE" w:rsidP="00C6364B">
      <w:pPr>
        <w:rPr>
          <w:i/>
          <w:sz w:val="22"/>
          <w:szCs w:val="22"/>
        </w:rPr>
      </w:pPr>
    </w:p>
    <w:p w14:paraId="1C18B05E" w14:textId="77777777" w:rsidR="009A673F" w:rsidRPr="008A2E81" w:rsidRDefault="009A673F" w:rsidP="00C6364B">
      <w:pPr>
        <w:rPr>
          <w:i/>
          <w:sz w:val="22"/>
          <w:szCs w:val="22"/>
          <w:u w:val="single"/>
        </w:rPr>
      </w:pPr>
      <w:r w:rsidRPr="008A2E81">
        <w:rPr>
          <w:i/>
          <w:sz w:val="22"/>
          <w:szCs w:val="22"/>
          <w:u w:val="single"/>
        </w:rPr>
        <w:t>Potential be</w:t>
      </w:r>
      <w:r w:rsidR="00560AA0" w:rsidRPr="008A2E81">
        <w:rPr>
          <w:i/>
          <w:sz w:val="22"/>
          <w:szCs w:val="22"/>
          <w:u w:val="single"/>
        </w:rPr>
        <w:t>nefits to</w:t>
      </w:r>
      <w:r w:rsidR="0082724B" w:rsidRPr="008A2E81">
        <w:rPr>
          <w:i/>
          <w:sz w:val="22"/>
          <w:szCs w:val="22"/>
          <w:u w:val="single"/>
        </w:rPr>
        <w:t xml:space="preserve"> raffle</w:t>
      </w:r>
      <w:r w:rsidR="00560AA0" w:rsidRPr="008A2E81">
        <w:rPr>
          <w:i/>
          <w:sz w:val="22"/>
          <w:szCs w:val="22"/>
          <w:u w:val="single"/>
        </w:rPr>
        <w:t xml:space="preserve"> organisers</w:t>
      </w:r>
    </w:p>
    <w:p w14:paraId="1C18B05F" w14:textId="77777777" w:rsidR="009A673F" w:rsidRDefault="009A673F" w:rsidP="00C6364B">
      <w:pPr>
        <w:rPr>
          <w:sz w:val="22"/>
          <w:szCs w:val="22"/>
        </w:rPr>
      </w:pPr>
    </w:p>
    <w:p w14:paraId="1C18B060" w14:textId="77777777" w:rsidR="00735C0E" w:rsidRDefault="003763FE" w:rsidP="00C6364B">
      <w:pPr>
        <w:rPr>
          <w:sz w:val="22"/>
          <w:szCs w:val="22"/>
        </w:rPr>
      </w:pPr>
      <w:r>
        <w:rPr>
          <w:sz w:val="22"/>
          <w:szCs w:val="22"/>
        </w:rPr>
        <w:t>The proposals give greater freedoms for charity organisations to raise funds through raffles. Essentially, the reforms allow for raffles to be held at venues in which they were previously not allowed. This includes pubs, clubs</w:t>
      </w:r>
      <w:r w:rsidR="0082724B">
        <w:rPr>
          <w:sz w:val="22"/>
          <w:szCs w:val="22"/>
        </w:rPr>
        <w:t>, workplaces, and residences. This is potentially a big market</w:t>
      </w:r>
      <w:r w:rsidR="00735C0E">
        <w:rPr>
          <w:sz w:val="22"/>
          <w:szCs w:val="22"/>
        </w:rPr>
        <w:t xml:space="preserve"> and a substantial extension to the number of venues that are currently available for raffles to be held</w:t>
      </w:r>
      <w:r w:rsidR="0082724B">
        <w:rPr>
          <w:sz w:val="22"/>
          <w:szCs w:val="22"/>
        </w:rPr>
        <w:t xml:space="preserve">: </w:t>
      </w:r>
      <w:r w:rsidR="00735C0E">
        <w:rPr>
          <w:sz w:val="22"/>
          <w:szCs w:val="22"/>
        </w:rPr>
        <w:t>the UK has 50,000 pubs alone.</w:t>
      </w:r>
      <w:r w:rsidR="00B61680">
        <w:rPr>
          <w:sz w:val="22"/>
          <w:szCs w:val="22"/>
        </w:rPr>
        <w:t xml:space="preserve"> The proposal also allows for new types of raffles, such as those based on balloon races. This will also have an impact on the popularity and the appetite of individuals to make donations.</w:t>
      </w:r>
    </w:p>
    <w:p w14:paraId="1C18B061" w14:textId="77777777" w:rsidR="00735C0E" w:rsidRDefault="00735C0E" w:rsidP="00C6364B">
      <w:pPr>
        <w:rPr>
          <w:sz w:val="22"/>
          <w:szCs w:val="22"/>
        </w:rPr>
      </w:pPr>
    </w:p>
    <w:p w14:paraId="1C18B062" w14:textId="77777777" w:rsidR="00735C0E" w:rsidRDefault="00DF334B" w:rsidP="00C6364B">
      <w:pPr>
        <w:rPr>
          <w:sz w:val="22"/>
          <w:szCs w:val="22"/>
        </w:rPr>
      </w:pPr>
      <w:r>
        <w:rPr>
          <w:sz w:val="22"/>
          <w:szCs w:val="22"/>
        </w:rPr>
        <w:t>It is not possible to quantify the benefit to raffle organisers. There is no baseline data on the number of raffles being held, and their capacity to raise donations. There is some data on the total size of the small raffles market – roughly £150m as described above – but no information on the extent to which this yield might grow was obtainable despite general consultation and discussion with sector experts. In the absence of any reliable information, we have set out three illustrative scenarios of 1%, 5% and 10% growth. These are summarised in the table below.</w:t>
      </w:r>
    </w:p>
    <w:p w14:paraId="1C18B063" w14:textId="77777777" w:rsidR="00DF334B" w:rsidRDefault="00DF334B" w:rsidP="00C6364B">
      <w:pPr>
        <w:rPr>
          <w:sz w:val="22"/>
          <w:szCs w:val="22"/>
        </w:rPr>
      </w:pPr>
    </w:p>
    <w:p w14:paraId="1C18B064" w14:textId="77777777" w:rsidR="00DF334B" w:rsidRPr="00DF334B" w:rsidRDefault="00DF334B" w:rsidP="00C6364B">
      <w:pPr>
        <w:rPr>
          <w:i/>
          <w:sz w:val="22"/>
          <w:szCs w:val="22"/>
        </w:rPr>
      </w:pPr>
      <w:r w:rsidRPr="00DF334B">
        <w:rPr>
          <w:i/>
          <w:sz w:val="22"/>
          <w:szCs w:val="22"/>
        </w:rPr>
        <w:t>Illustration 2: Potential increase in raffle donations under deregulation</w:t>
      </w:r>
    </w:p>
    <w:p w14:paraId="1C18B065" w14:textId="77777777" w:rsidR="00DF334B" w:rsidRDefault="00DF334B" w:rsidP="00C6364B">
      <w:pPr>
        <w:rPr>
          <w:sz w:val="22"/>
          <w:szCs w:val="22"/>
        </w:rPr>
      </w:pPr>
    </w:p>
    <w:tbl>
      <w:tblPr>
        <w:tblStyle w:val="TableGrid"/>
        <w:tblW w:w="0" w:type="auto"/>
        <w:tblInd w:w="108" w:type="dxa"/>
        <w:tblLook w:val="04A0" w:firstRow="1" w:lastRow="0" w:firstColumn="1" w:lastColumn="0" w:noHBand="0" w:noVBand="1"/>
      </w:tblPr>
      <w:tblGrid>
        <w:gridCol w:w="5102"/>
        <w:gridCol w:w="1702"/>
      </w:tblGrid>
      <w:tr w:rsidR="00DF334B" w14:paraId="1C18B068" w14:textId="77777777" w:rsidTr="00DF334B">
        <w:tc>
          <w:tcPr>
            <w:tcW w:w="5102" w:type="dxa"/>
          </w:tcPr>
          <w:p w14:paraId="1C18B066" w14:textId="77777777" w:rsidR="00DF334B" w:rsidRPr="00DF334B" w:rsidRDefault="00DF334B" w:rsidP="00C6364B">
            <w:pPr>
              <w:rPr>
                <w:b/>
                <w:sz w:val="22"/>
                <w:szCs w:val="22"/>
              </w:rPr>
            </w:pPr>
            <w:r w:rsidRPr="00DF334B">
              <w:rPr>
                <w:b/>
                <w:sz w:val="22"/>
                <w:szCs w:val="22"/>
              </w:rPr>
              <w:t>Scenario</w:t>
            </w:r>
          </w:p>
        </w:tc>
        <w:tc>
          <w:tcPr>
            <w:tcW w:w="1702" w:type="dxa"/>
          </w:tcPr>
          <w:p w14:paraId="1C18B067" w14:textId="77777777" w:rsidR="00DF334B" w:rsidRPr="00DF334B" w:rsidRDefault="00DF334B" w:rsidP="00C6364B">
            <w:pPr>
              <w:rPr>
                <w:b/>
                <w:sz w:val="22"/>
                <w:szCs w:val="22"/>
              </w:rPr>
            </w:pPr>
            <w:r w:rsidRPr="00DF334B">
              <w:rPr>
                <w:b/>
                <w:sz w:val="22"/>
                <w:szCs w:val="22"/>
              </w:rPr>
              <w:t>Donations</w:t>
            </w:r>
          </w:p>
        </w:tc>
      </w:tr>
      <w:tr w:rsidR="00DF334B" w14:paraId="1C18B06B" w14:textId="77777777" w:rsidTr="00DF334B">
        <w:tc>
          <w:tcPr>
            <w:tcW w:w="5102" w:type="dxa"/>
          </w:tcPr>
          <w:p w14:paraId="1C18B069" w14:textId="77777777" w:rsidR="00DF334B" w:rsidRDefault="00DF334B" w:rsidP="00C6364B">
            <w:pPr>
              <w:rPr>
                <w:sz w:val="22"/>
                <w:szCs w:val="22"/>
              </w:rPr>
            </w:pPr>
            <w:r>
              <w:rPr>
                <w:sz w:val="22"/>
                <w:szCs w:val="22"/>
              </w:rPr>
              <w:t>Estimated current level of donations</w:t>
            </w:r>
          </w:p>
        </w:tc>
        <w:tc>
          <w:tcPr>
            <w:tcW w:w="1702" w:type="dxa"/>
          </w:tcPr>
          <w:p w14:paraId="1C18B06A" w14:textId="77777777" w:rsidR="00DF334B" w:rsidRDefault="00DF334B" w:rsidP="00DF334B">
            <w:pPr>
              <w:jc w:val="right"/>
              <w:rPr>
                <w:sz w:val="22"/>
                <w:szCs w:val="22"/>
              </w:rPr>
            </w:pPr>
            <w:r>
              <w:rPr>
                <w:sz w:val="22"/>
                <w:szCs w:val="22"/>
              </w:rPr>
              <w:t>£        150.0m</w:t>
            </w:r>
          </w:p>
        </w:tc>
      </w:tr>
      <w:tr w:rsidR="00DF334B" w14:paraId="1C18B06E" w14:textId="77777777" w:rsidTr="00DF334B">
        <w:tc>
          <w:tcPr>
            <w:tcW w:w="5102" w:type="dxa"/>
          </w:tcPr>
          <w:p w14:paraId="1C18B06C" w14:textId="77777777" w:rsidR="00DF334B" w:rsidRDefault="00DF334B" w:rsidP="00C6364B">
            <w:pPr>
              <w:rPr>
                <w:sz w:val="22"/>
                <w:szCs w:val="22"/>
              </w:rPr>
            </w:pPr>
            <w:r>
              <w:rPr>
                <w:sz w:val="22"/>
                <w:szCs w:val="22"/>
              </w:rPr>
              <w:t>Increase under 1% growth from deregulation</w:t>
            </w:r>
          </w:p>
        </w:tc>
        <w:tc>
          <w:tcPr>
            <w:tcW w:w="1702" w:type="dxa"/>
          </w:tcPr>
          <w:p w14:paraId="1C18B06D" w14:textId="77777777" w:rsidR="00DF334B" w:rsidRDefault="00DF334B" w:rsidP="00DF334B">
            <w:pPr>
              <w:jc w:val="right"/>
              <w:rPr>
                <w:sz w:val="22"/>
                <w:szCs w:val="22"/>
              </w:rPr>
            </w:pPr>
            <w:r>
              <w:rPr>
                <w:sz w:val="22"/>
                <w:szCs w:val="22"/>
              </w:rPr>
              <w:t>+£            1.5m</w:t>
            </w:r>
          </w:p>
        </w:tc>
      </w:tr>
      <w:tr w:rsidR="00DF334B" w14:paraId="1C18B071" w14:textId="77777777" w:rsidTr="00DF334B">
        <w:tc>
          <w:tcPr>
            <w:tcW w:w="5102" w:type="dxa"/>
          </w:tcPr>
          <w:p w14:paraId="1C18B06F" w14:textId="77777777" w:rsidR="00DF334B" w:rsidRDefault="00DF334B" w:rsidP="00C6364B">
            <w:pPr>
              <w:rPr>
                <w:sz w:val="22"/>
                <w:szCs w:val="22"/>
              </w:rPr>
            </w:pPr>
            <w:r>
              <w:rPr>
                <w:sz w:val="22"/>
                <w:szCs w:val="22"/>
              </w:rPr>
              <w:t>Increase under 5% growth from deregulation</w:t>
            </w:r>
          </w:p>
        </w:tc>
        <w:tc>
          <w:tcPr>
            <w:tcW w:w="1702" w:type="dxa"/>
          </w:tcPr>
          <w:p w14:paraId="1C18B070" w14:textId="77777777" w:rsidR="00DF334B" w:rsidRDefault="00DF334B" w:rsidP="00DF334B">
            <w:pPr>
              <w:jc w:val="right"/>
              <w:rPr>
                <w:sz w:val="22"/>
                <w:szCs w:val="22"/>
              </w:rPr>
            </w:pPr>
            <w:r>
              <w:rPr>
                <w:sz w:val="22"/>
                <w:szCs w:val="22"/>
              </w:rPr>
              <w:t>+£            7.5m</w:t>
            </w:r>
          </w:p>
        </w:tc>
      </w:tr>
      <w:tr w:rsidR="00DF334B" w14:paraId="1C18B074" w14:textId="77777777" w:rsidTr="00DF334B">
        <w:tc>
          <w:tcPr>
            <w:tcW w:w="5102" w:type="dxa"/>
          </w:tcPr>
          <w:p w14:paraId="1C18B072" w14:textId="77777777" w:rsidR="00DF334B" w:rsidRDefault="00DF334B" w:rsidP="00C6364B">
            <w:pPr>
              <w:rPr>
                <w:sz w:val="22"/>
                <w:szCs w:val="22"/>
              </w:rPr>
            </w:pPr>
            <w:r>
              <w:rPr>
                <w:sz w:val="22"/>
                <w:szCs w:val="22"/>
              </w:rPr>
              <w:t>Increase under 10% growth from deregulation</w:t>
            </w:r>
          </w:p>
        </w:tc>
        <w:tc>
          <w:tcPr>
            <w:tcW w:w="1702" w:type="dxa"/>
          </w:tcPr>
          <w:p w14:paraId="1C18B073" w14:textId="77777777" w:rsidR="00DF334B" w:rsidRDefault="00DF334B" w:rsidP="00DF334B">
            <w:pPr>
              <w:jc w:val="right"/>
              <w:rPr>
                <w:sz w:val="22"/>
                <w:szCs w:val="22"/>
              </w:rPr>
            </w:pPr>
            <w:r>
              <w:rPr>
                <w:sz w:val="22"/>
                <w:szCs w:val="22"/>
              </w:rPr>
              <w:t>+£          15.0m</w:t>
            </w:r>
          </w:p>
        </w:tc>
      </w:tr>
    </w:tbl>
    <w:p w14:paraId="1C18B075" w14:textId="77777777" w:rsidR="00DF334B" w:rsidRDefault="00DF334B" w:rsidP="00C6364B">
      <w:pPr>
        <w:rPr>
          <w:sz w:val="22"/>
          <w:szCs w:val="22"/>
        </w:rPr>
      </w:pPr>
    </w:p>
    <w:p w14:paraId="1C18B076" w14:textId="77777777" w:rsidR="00560AA0" w:rsidRDefault="00C97A25" w:rsidP="00C6364B">
      <w:pPr>
        <w:rPr>
          <w:sz w:val="22"/>
          <w:szCs w:val="22"/>
        </w:rPr>
      </w:pPr>
      <w:r>
        <w:rPr>
          <w:sz w:val="22"/>
          <w:szCs w:val="22"/>
        </w:rPr>
        <w:t>The deregulatory reforms proposed will therefore be likely to i</w:t>
      </w:r>
      <w:r w:rsidR="00DF334B">
        <w:rPr>
          <w:sz w:val="22"/>
          <w:szCs w:val="22"/>
        </w:rPr>
        <w:t>ncrease raffle donations</w:t>
      </w:r>
      <w:r>
        <w:rPr>
          <w:sz w:val="22"/>
          <w:szCs w:val="22"/>
        </w:rPr>
        <w:t>, which</w:t>
      </w:r>
      <w:r w:rsidR="00DF334B">
        <w:rPr>
          <w:sz w:val="22"/>
          <w:szCs w:val="22"/>
        </w:rPr>
        <w:t xml:space="preserve"> will have a </w:t>
      </w:r>
      <w:r>
        <w:rPr>
          <w:sz w:val="22"/>
          <w:szCs w:val="22"/>
        </w:rPr>
        <w:t xml:space="preserve">direct and </w:t>
      </w:r>
      <w:r w:rsidR="00DF334B">
        <w:rPr>
          <w:sz w:val="22"/>
          <w:szCs w:val="22"/>
        </w:rPr>
        <w:t xml:space="preserve">positive impact on the funds available to </w:t>
      </w:r>
      <w:r>
        <w:rPr>
          <w:sz w:val="22"/>
          <w:szCs w:val="22"/>
        </w:rPr>
        <w:t xml:space="preserve">charity organisations to discharge the services that they provide. This impact will be helpful but, in the illustrative scenarios discussed above, is unlikely to be of high impact. This is because the increase in donations is relatively modest, and </w:t>
      </w:r>
      <w:r w:rsidR="003E5280">
        <w:rPr>
          <w:sz w:val="22"/>
          <w:szCs w:val="22"/>
        </w:rPr>
        <w:t>charitable organisations have other sources of fundraising.</w:t>
      </w:r>
    </w:p>
    <w:p w14:paraId="1C18B077" w14:textId="77777777" w:rsidR="00653956" w:rsidRDefault="00653956" w:rsidP="00C6364B">
      <w:pPr>
        <w:rPr>
          <w:sz w:val="22"/>
          <w:szCs w:val="22"/>
        </w:rPr>
      </w:pPr>
    </w:p>
    <w:p w14:paraId="1C18B078" w14:textId="77777777" w:rsidR="00653956" w:rsidRDefault="00653956" w:rsidP="00C6364B">
      <w:pPr>
        <w:rPr>
          <w:sz w:val="22"/>
          <w:szCs w:val="22"/>
        </w:rPr>
      </w:pPr>
      <w:r>
        <w:rPr>
          <w:sz w:val="22"/>
          <w:szCs w:val="22"/>
        </w:rPr>
        <w:t xml:space="preserve">There are also likely to be some </w:t>
      </w:r>
      <w:r w:rsidR="00D14C78">
        <w:rPr>
          <w:sz w:val="22"/>
          <w:szCs w:val="22"/>
        </w:rPr>
        <w:t xml:space="preserve">small </w:t>
      </w:r>
      <w:r>
        <w:rPr>
          <w:sz w:val="22"/>
          <w:szCs w:val="22"/>
        </w:rPr>
        <w:t xml:space="preserve">administrative </w:t>
      </w:r>
      <w:r w:rsidR="00D14C78">
        <w:rPr>
          <w:sz w:val="22"/>
          <w:szCs w:val="22"/>
        </w:rPr>
        <w:t xml:space="preserve">benefits for raffle organisers. </w:t>
      </w:r>
      <w:r>
        <w:rPr>
          <w:sz w:val="22"/>
          <w:szCs w:val="22"/>
        </w:rPr>
        <w:t>This includes removal of the requirement for residents</w:t>
      </w:r>
      <w:r w:rsidR="00D14C78">
        <w:rPr>
          <w:sz w:val="22"/>
          <w:szCs w:val="22"/>
        </w:rPr>
        <w:t>’</w:t>
      </w:r>
      <w:r>
        <w:rPr>
          <w:sz w:val="22"/>
          <w:szCs w:val="22"/>
        </w:rPr>
        <w:t xml:space="preserve"> lotteries to </w:t>
      </w:r>
      <w:r w:rsidR="00D14C78">
        <w:rPr>
          <w:sz w:val="22"/>
          <w:szCs w:val="22"/>
        </w:rPr>
        <w:t>provide the name and address of the organiser on all tickets. This will make a very small saving in the costs of running a raffle. It has not been possible to quantify this impact, because no information of the unit size of this cost was obtained in consultation with the sector. The number of residents’ raffles held is also unknown, as described above. Note that no cost will be involved in replacing existing tickets, because these organisers will be able to continue to provide these details if they wish.</w:t>
      </w:r>
    </w:p>
    <w:p w14:paraId="1C18B079" w14:textId="77777777" w:rsidR="003E5280" w:rsidRDefault="003E5280" w:rsidP="00C6364B">
      <w:pPr>
        <w:rPr>
          <w:sz w:val="22"/>
          <w:szCs w:val="22"/>
        </w:rPr>
      </w:pPr>
    </w:p>
    <w:p w14:paraId="1C18B07A" w14:textId="77777777" w:rsidR="00A224CC" w:rsidRPr="008A2E81" w:rsidRDefault="00A224CC" w:rsidP="00A224CC">
      <w:pPr>
        <w:rPr>
          <w:i/>
          <w:sz w:val="22"/>
          <w:szCs w:val="22"/>
          <w:u w:val="single"/>
        </w:rPr>
      </w:pPr>
      <w:r w:rsidRPr="008A2E81">
        <w:rPr>
          <w:i/>
          <w:sz w:val="22"/>
          <w:szCs w:val="22"/>
          <w:u w:val="single"/>
        </w:rPr>
        <w:lastRenderedPageBreak/>
        <w:t>Potential costs to</w:t>
      </w:r>
      <w:r w:rsidR="0082724B" w:rsidRPr="008A2E81">
        <w:rPr>
          <w:i/>
          <w:sz w:val="22"/>
          <w:szCs w:val="22"/>
          <w:u w:val="single"/>
        </w:rPr>
        <w:t xml:space="preserve"> raffle</w:t>
      </w:r>
      <w:r w:rsidRPr="008A2E81">
        <w:rPr>
          <w:i/>
          <w:sz w:val="22"/>
          <w:szCs w:val="22"/>
          <w:u w:val="single"/>
        </w:rPr>
        <w:t xml:space="preserve"> organisers</w:t>
      </w:r>
    </w:p>
    <w:p w14:paraId="1C18B07B" w14:textId="77777777" w:rsidR="009A673F" w:rsidRDefault="009A673F" w:rsidP="00C6364B">
      <w:pPr>
        <w:rPr>
          <w:sz w:val="22"/>
          <w:szCs w:val="22"/>
        </w:rPr>
      </w:pPr>
    </w:p>
    <w:p w14:paraId="1C18B07C" w14:textId="77777777" w:rsidR="009A673F" w:rsidRDefault="003E5280" w:rsidP="00C6364B">
      <w:pPr>
        <w:rPr>
          <w:sz w:val="22"/>
          <w:szCs w:val="22"/>
        </w:rPr>
      </w:pPr>
      <w:r>
        <w:rPr>
          <w:sz w:val="22"/>
          <w:szCs w:val="22"/>
        </w:rPr>
        <w:t>No significant costs are anticipated to f</w:t>
      </w:r>
      <w:r w:rsidR="00BD7C64">
        <w:rPr>
          <w:sz w:val="22"/>
          <w:szCs w:val="22"/>
        </w:rPr>
        <w:t xml:space="preserve">all on raffle organisers. </w:t>
      </w:r>
      <w:r>
        <w:rPr>
          <w:sz w:val="22"/>
          <w:szCs w:val="22"/>
        </w:rPr>
        <w:t xml:space="preserve">The legislation is permissive rather than compulsory, and merely allows charities to hold raffles in places that they were hitherto </w:t>
      </w:r>
      <w:r w:rsidR="00BD7C64">
        <w:rPr>
          <w:sz w:val="22"/>
          <w:szCs w:val="22"/>
        </w:rPr>
        <w:t xml:space="preserve">unable to use. They will only take advantage of this where the benefits outweigh the costs, and the illustrative scenarios above are net of any cost. There are some small costs associated with a raffle, but these tend to be minimised. Prizes are frequently </w:t>
      </w:r>
      <w:r w:rsidR="00B264CB">
        <w:rPr>
          <w:sz w:val="22"/>
          <w:szCs w:val="22"/>
        </w:rPr>
        <w:t>donated;</w:t>
      </w:r>
      <w:r w:rsidR="00BD7C64">
        <w:rPr>
          <w:sz w:val="22"/>
          <w:szCs w:val="22"/>
        </w:rPr>
        <w:t xml:space="preserve"> organisers are most commonly volunteers</w:t>
      </w:r>
      <w:r w:rsidR="00B264CB">
        <w:rPr>
          <w:sz w:val="22"/>
          <w:szCs w:val="22"/>
        </w:rPr>
        <w:t>; and associated costs such as raffle books are very low cost. For the reasons explained above – particularly evidence on the expected growth in the number of raffles held – it is not possible to quantitatively assess the costs to raffle organisers. No familiarisation costs are expected; the changes that are proposed will be well advertised and are extremely easy to grasp (the reform basically allows for existing activities to be carried out at new premises).</w:t>
      </w:r>
    </w:p>
    <w:p w14:paraId="1C18B07D" w14:textId="77777777" w:rsidR="00B264CB" w:rsidRDefault="00B264CB" w:rsidP="00C6364B">
      <w:pPr>
        <w:rPr>
          <w:sz w:val="22"/>
          <w:szCs w:val="22"/>
        </w:rPr>
      </w:pPr>
    </w:p>
    <w:p w14:paraId="1C18B07E" w14:textId="77777777" w:rsidR="00560AA0" w:rsidRPr="008A2E81" w:rsidRDefault="00560AA0" w:rsidP="00560AA0">
      <w:pPr>
        <w:rPr>
          <w:i/>
          <w:sz w:val="22"/>
          <w:szCs w:val="22"/>
          <w:u w:val="single"/>
        </w:rPr>
      </w:pPr>
      <w:r w:rsidRPr="008A2E81">
        <w:rPr>
          <w:i/>
          <w:sz w:val="22"/>
          <w:szCs w:val="22"/>
          <w:u w:val="single"/>
        </w:rPr>
        <w:t xml:space="preserve">Small and medium sized </w:t>
      </w:r>
      <w:r w:rsidR="0037447F" w:rsidRPr="008A2E81">
        <w:rPr>
          <w:i/>
          <w:sz w:val="22"/>
          <w:szCs w:val="22"/>
          <w:u w:val="single"/>
        </w:rPr>
        <w:t>civil society organisation</w:t>
      </w:r>
      <w:r w:rsidRPr="008A2E81">
        <w:rPr>
          <w:i/>
          <w:sz w:val="22"/>
          <w:szCs w:val="22"/>
          <w:u w:val="single"/>
        </w:rPr>
        <w:t xml:space="preserve"> assessment</w:t>
      </w:r>
    </w:p>
    <w:p w14:paraId="1C18B07F" w14:textId="77777777" w:rsidR="00560AA0" w:rsidRDefault="00560AA0" w:rsidP="00C6364B">
      <w:pPr>
        <w:rPr>
          <w:sz w:val="22"/>
          <w:szCs w:val="22"/>
        </w:rPr>
      </w:pPr>
    </w:p>
    <w:p w14:paraId="1C18B080" w14:textId="77777777" w:rsidR="003129AE" w:rsidRDefault="00E05511" w:rsidP="00C6364B">
      <w:pPr>
        <w:rPr>
          <w:sz w:val="22"/>
          <w:szCs w:val="22"/>
        </w:rPr>
      </w:pPr>
      <w:r>
        <w:rPr>
          <w:sz w:val="22"/>
          <w:szCs w:val="22"/>
        </w:rPr>
        <w:t>There is no data available on the number of organisations that use raffles, or their average size.</w:t>
      </w:r>
      <w:r w:rsidR="0037447F">
        <w:rPr>
          <w:sz w:val="22"/>
          <w:szCs w:val="22"/>
        </w:rPr>
        <w:t xml:space="preserve"> There are 180,000 registered charities, with further very small organisations known to operate below the £5,000 per year funding threshold for registration.</w:t>
      </w:r>
      <w:r>
        <w:rPr>
          <w:sz w:val="22"/>
          <w:szCs w:val="22"/>
        </w:rPr>
        <w:t xml:space="preserve"> Raffles are a very simple but relatively low impact form of fund raising. </w:t>
      </w:r>
      <w:r w:rsidR="0037447F">
        <w:rPr>
          <w:sz w:val="22"/>
          <w:szCs w:val="22"/>
        </w:rPr>
        <w:t>It is reasonable to assume that they are both disproportionately used and disproportionately impor</w:t>
      </w:r>
      <w:r w:rsidR="003129AE">
        <w:rPr>
          <w:sz w:val="22"/>
          <w:szCs w:val="22"/>
        </w:rPr>
        <w:t xml:space="preserve">tant for smaller organisations. </w:t>
      </w:r>
      <w:r w:rsidR="0037447F">
        <w:rPr>
          <w:sz w:val="22"/>
          <w:szCs w:val="22"/>
        </w:rPr>
        <w:t>Given that a positive impact on fundraising is expected to follow the deregulation, it is reasonable to assume that small and medium sized civil society organisations (and particularly micro civil society organisations) are likely to benefit from this policy.</w:t>
      </w:r>
    </w:p>
    <w:p w14:paraId="1C18B081" w14:textId="77777777" w:rsidR="003129AE" w:rsidRDefault="003129AE" w:rsidP="00C6364B">
      <w:pPr>
        <w:rPr>
          <w:sz w:val="22"/>
          <w:szCs w:val="22"/>
        </w:rPr>
      </w:pPr>
    </w:p>
    <w:p w14:paraId="1C18B082" w14:textId="77777777" w:rsidR="009A673F" w:rsidRPr="008A2E81" w:rsidRDefault="009A673F" w:rsidP="00C6364B">
      <w:pPr>
        <w:rPr>
          <w:i/>
          <w:sz w:val="22"/>
          <w:szCs w:val="22"/>
          <w:u w:val="single"/>
        </w:rPr>
      </w:pPr>
      <w:r w:rsidRPr="008A2E81">
        <w:rPr>
          <w:i/>
          <w:sz w:val="22"/>
          <w:szCs w:val="22"/>
          <w:u w:val="single"/>
        </w:rPr>
        <w:t>Wider impacts of the policy</w:t>
      </w:r>
    </w:p>
    <w:p w14:paraId="1C18B083" w14:textId="77777777" w:rsidR="009A673F" w:rsidRDefault="009A673F" w:rsidP="00C6364B">
      <w:pPr>
        <w:rPr>
          <w:sz w:val="22"/>
          <w:szCs w:val="22"/>
        </w:rPr>
      </w:pPr>
    </w:p>
    <w:p w14:paraId="1C18B084" w14:textId="77777777" w:rsidR="001A171E" w:rsidRDefault="005B5AA9" w:rsidP="001A171E">
      <w:pPr>
        <w:rPr>
          <w:sz w:val="22"/>
          <w:szCs w:val="22"/>
        </w:rPr>
      </w:pPr>
      <w:r>
        <w:rPr>
          <w:sz w:val="22"/>
          <w:szCs w:val="22"/>
        </w:rPr>
        <w:t xml:space="preserve">Given that an increase in donations </w:t>
      </w:r>
      <w:r w:rsidR="00061E73">
        <w:rPr>
          <w:sz w:val="22"/>
          <w:szCs w:val="22"/>
        </w:rPr>
        <w:t>to raffles is expected, it is possible that this measure could have a knock-on impact on demand in other markets. In particular, consumers could divert funds from other forms of donating to good causes, or even from products supplied by businesses. These potential costs are indirect, and cannot exceed the benefits that are felt directly by the good causes that benefit directly from increased spending on raffles.</w:t>
      </w:r>
      <w:r w:rsidR="001A171E">
        <w:rPr>
          <w:sz w:val="22"/>
          <w:szCs w:val="22"/>
        </w:rPr>
        <w:t xml:space="preserve"> </w:t>
      </w:r>
      <w:r w:rsidR="00061E73">
        <w:rPr>
          <w:sz w:val="22"/>
          <w:szCs w:val="22"/>
        </w:rPr>
        <w:t xml:space="preserve">It is also possible that additional spending on raffles could be funded from savings. As described above, there is no robust data on the extent to which spending on raffles is likely to increase. Furthermore, there is no available literature on the average additionality created by spending on raffles, or other comparable vehicles for donation. This means that it is impossible to quantify this effect. </w:t>
      </w:r>
    </w:p>
    <w:p w14:paraId="1C18B085" w14:textId="77777777" w:rsidR="001A171E" w:rsidRDefault="001A171E" w:rsidP="00C6364B">
      <w:pPr>
        <w:rPr>
          <w:sz w:val="22"/>
          <w:szCs w:val="22"/>
        </w:rPr>
      </w:pPr>
    </w:p>
    <w:p w14:paraId="1C18B086" w14:textId="77777777" w:rsidR="00C05A8F" w:rsidRDefault="00061E73" w:rsidP="00C6364B">
      <w:pPr>
        <w:rPr>
          <w:sz w:val="22"/>
          <w:szCs w:val="22"/>
        </w:rPr>
      </w:pPr>
      <w:r>
        <w:rPr>
          <w:sz w:val="22"/>
          <w:szCs w:val="22"/>
        </w:rPr>
        <w:t xml:space="preserve">It is worth noting that while there might be substitution effects, increased consumer choice in the donations market will lead to more economically efficient outcomes. </w:t>
      </w:r>
      <w:r w:rsidR="00F011D0">
        <w:rPr>
          <w:sz w:val="22"/>
          <w:szCs w:val="22"/>
        </w:rPr>
        <w:t>Increased freedoms for individuals to choose how they spend their disposable income are a direct benefit from the policy</w:t>
      </w:r>
      <w:r w:rsidR="00C05A8F">
        <w:rPr>
          <w:sz w:val="22"/>
          <w:szCs w:val="22"/>
        </w:rPr>
        <w:t>.</w:t>
      </w:r>
      <w:r w:rsidR="00F011D0">
        <w:rPr>
          <w:sz w:val="22"/>
          <w:szCs w:val="22"/>
        </w:rPr>
        <w:t xml:space="preserve"> Instead of being restricted in their choice to partake in raffles, consumers can now enjoy this activity in a variety of different locations. This has the potential to increase consumer welfare where there is unmet demand for these services. It is not possible to quantify the value of increased utility for the consumer because there is no available literature on the nature of the demand and supply schedules for giving.</w:t>
      </w:r>
    </w:p>
    <w:p w14:paraId="1C18B087" w14:textId="77777777" w:rsidR="001A171E" w:rsidRDefault="001A171E" w:rsidP="00C6364B">
      <w:pPr>
        <w:rPr>
          <w:sz w:val="22"/>
          <w:szCs w:val="22"/>
        </w:rPr>
      </w:pPr>
    </w:p>
    <w:p w14:paraId="1C18B088" w14:textId="77777777" w:rsidR="001A171E" w:rsidRDefault="00E609A2" w:rsidP="00C6364B">
      <w:pPr>
        <w:rPr>
          <w:sz w:val="22"/>
          <w:szCs w:val="22"/>
        </w:rPr>
      </w:pPr>
      <w:r>
        <w:rPr>
          <w:sz w:val="22"/>
          <w:szCs w:val="22"/>
        </w:rPr>
        <w:t>The Gambling Commission is the regulator for the gambling industry, and is funded on a cost recovery basis. The raffles that are in-scope of this measure do not require a licence or registration with the Gambling Commission. They occasionally receive enquiries on the rules surrounding raffles, but this has a negligible impact on resources. It is therefore not anticipated that the Gambling Commission will be able to make any tangible saving, or bear any tangible cost, from the liberalisation of rules around the raffles market. The proposal will therefore have no impact on the fee that the Gambling Commission charge to the industry on a cost recovery basis.</w:t>
      </w:r>
    </w:p>
    <w:p w14:paraId="1C18B089" w14:textId="77777777" w:rsidR="001A171E" w:rsidRDefault="001A171E" w:rsidP="00C6364B">
      <w:pPr>
        <w:rPr>
          <w:sz w:val="22"/>
          <w:szCs w:val="22"/>
        </w:rPr>
      </w:pPr>
    </w:p>
    <w:p w14:paraId="1C18B08A" w14:textId="77777777" w:rsidR="00C6364B" w:rsidRPr="008A2E81" w:rsidRDefault="00E822AD" w:rsidP="00C6364B">
      <w:pPr>
        <w:rPr>
          <w:i/>
          <w:sz w:val="22"/>
          <w:szCs w:val="22"/>
          <w:u w:val="single"/>
        </w:rPr>
      </w:pPr>
      <w:r w:rsidRPr="008A2E81">
        <w:rPr>
          <w:i/>
          <w:sz w:val="22"/>
          <w:szCs w:val="22"/>
          <w:u w:val="single"/>
        </w:rPr>
        <w:t>Conclusion and “One-in, Two-out” classification</w:t>
      </w:r>
    </w:p>
    <w:p w14:paraId="1C18B08B" w14:textId="77777777" w:rsidR="00E822AD" w:rsidRDefault="00E822AD" w:rsidP="00C6364B">
      <w:pPr>
        <w:rPr>
          <w:sz w:val="22"/>
          <w:szCs w:val="22"/>
        </w:rPr>
      </w:pPr>
    </w:p>
    <w:p w14:paraId="1C18B08C" w14:textId="77777777" w:rsidR="00560AA0" w:rsidRPr="00AF777D" w:rsidRDefault="00C05A8F" w:rsidP="00C6364B">
      <w:pPr>
        <w:rPr>
          <w:sz w:val="22"/>
          <w:szCs w:val="22"/>
        </w:rPr>
      </w:pPr>
      <w:r>
        <w:rPr>
          <w:sz w:val="22"/>
          <w:szCs w:val="22"/>
        </w:rPr>
        <w:t xml:space="preserve">The </w:t>
      </w:r>
      <w:r w:rsidR="009F2F06">
        <w:rPr>
          <w:sz w:val="22"/>
          <w:szCs w:val="22"/>
        </w:rPr>
        <w:t>impact assessment has demonstrated that raffles are an important source of income, particularly for very small charitable organi</w:t>
      </w:r>
      <w:r w:rsidR="00EC6C40">
        <w:rPr>
          <w:sz w:val="22"/>
          <w:szCs w:val="22"/>
        </w:rPr>
        <w:t>sations. It has also shown that the proposal will increase opportunities for these civil society organisations to increase the amount of money that they earn through raffles. It has been problematic to quantify the size of this impact: there is no robust data on the size of the raffles market, the extent to which this is changing naturally over time, and crucially the extent to which the proposals set out in this document are likely to grow the donations base.</w:t>
      </w:r>
      <w:r w:rsidR="009B4B28">
        <w:rPr>
          <w:sz w:val="22"/>
          <w:szCs w:val="22"/>
        </w:rPr>
        <w:t xml:space="preserve"> The impact assessment </w:t>
      </w:r>
      <w:r w:rsidR="009B4B28">
        <w:rPr>
          <w:sz w:val="22"/>
          <w:szCs w:val="22"/>
        </w:rPr>
        <w:lastRenderedPageBreak/>
        <w:t xml:space="preserve">therefore sets out some possible scenarios purely for illustration. These scenarios do not have a solid evidence base and are not considered to be robust. There are also uncertainties around the extent to which any increase in raffle donations will be indirectly diverted from other civil society organisations or businesses. </w:t>
      </w:r>
    </w:p>
    <w:p w14:paraId="1C18B08D" w14:textId="77777777" w:rsidR="00560AA0" w:rsidRDefault="00560AA0" w:rsidP="00C6364B">
      <w:pPr>
        <w:rPr>
          <w:sz w:val="22"/>
          <w:szCs w:val="22"/>
        </w:rPr>
      </w:pPr>
    </w:p>
    <w:p w14:paraId="1C18B08E" w14:textId="77777777" w:rsidR="00E822AD" w:rsidRDefault="009B4B28" w:rsidP="00C6364B">
      <w:pPr>
        <w:rPr>
          <w:sz w:val="22"/>
          <w:szCs w:val="22"/>
        </w:rPr>
      </w:pPr>
      <w:r>
        <w:rPr>
          <w:sz w:val="22"/>
          <w:szCs w:val="22"/>
        </w:rPr>
        <w:t>The Better Regulation Framework Manual states that “A measure should be classified as zero net cost if neither the direct net incremental cost to business nor the direct net incremental benefit of the measure can be monetised at final stage.” The limitations in the evidence base, despite consultation with leading sources of sector intelligence, mean that the assessment of zero net cost clearly applies in this case.</w:t>
      </w:r>
    </w:p>
    <w:p w14:paraId="1C18B08F" w14:textId="77777777" w:rsidR="009A673F" w:rsidRDefault="009A673F" w:rsidP="00C6364B">
      <w:pPr>
        <w:rPr>
          <w:sz w:val="22"/>
          <w:szCs w:val="22"/>
        </w:rPr>
      </w:pPr>
    </w:p>
    <w:p w14:paraId="1C18B090" w14:textId="77777777" w:rsidR="009A673F" w:rsidRPr="008A2E81" w:rsidRDefault="009A673F" w:rsidP="00C6364B">
      <w:pPr>
        <w:rPr>
          <w:i/>
          <w:sz w:val="22"/>
          <w:szCs w:val="22"/>
          <w:u w:val="single"/>
        </w:rPr>
      </w:pPr>
      <w:r w:rsidRPr="008A2E81">
        <w:rPr>
          <w:i/>
          <w:sz w:val="22"/>
          <w:szCs w:val="22"/>
          <w:u w:val="single"/>
        </w:rPr>
        <w:t>P</w:t>
      </w:r>
      <w:r w:rsidR="00E822AD" w:rsidRPr="008A2E81">
        <w:rPr>
          <w:i/>
          <w:sz w:val="22"/>
          <w:szCs w:val="22"/>
          <w:u w:val="single"/>
        </w:rPr>
        <w:t>ost-implementation review</w:t>
      </w:r>
    </w:p>
    <w:p w14:paraId="1C18B091" w14:textId="77777777" w:rsidR="009A673F" w:rsidRDefault="009A673F" w:rsidP="00C6364B">
      <w:pPr>
        <w:rPr>
          <w:sz w:val="22"/>
          <w:szCs w:val="22"/>
        </w:rPr>
      </w:pPr>
    </w:p>
    <w:p w14:paraId="1C18B092" w14:textId="77777777" w:rsidR="001F5DD9" w:rsidRPr="00EF348D" w:rsidRDefault="00E822AD" w:rsidP="00EF348D">
      <w:pPr>
        <w:rPr>
          <w:sz w:val="22"/>
          <w:szCs w:val="22"/>
        </w:rPr>
      </w:pPr>
      <w:r>
        <w:rPr>
          <w:sz w:val="22"/>
          <w:szCs w:val="22"/>
        </w:rPr>
        <w:t xml:space="preserve">This measure has been cleared under the Red Tape Challenge. The Better Regulation Framework Manual does not stipulate a post-implementation review. Following consultation, DCMS considers this to be a relatively low impact and uncontroversial </w:t>
      </w:r>
      <w:r w:rsidR="00343EB3">
        <w:rPr>
          <w:sz w:val="22"/>
          <w:szCs w:val="22"/>
        </w:rPr>
        <w:t>policy change, and considers conducting a post implementation review to be disproportionate.</w:t>
      </w:r>
      <w:bookmarkEnd w:id="45"/>
    </w:p>
    <w:sectPr w:rsidR="001F5DD9" w:rsidRPr="00EF348D" w:rsidSect="00807DB6">
      <w:headerReference w:type="even" r:id="rId12"/>
      <w:footerReference w:type="default" r:id="rId13"/>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84729" w14:textId="77777777" w:rsidR="00915A56" w:rsidRDefault="00915A56">
      <w:r>
        <w:separator/>
      </w:r>
    </w:p>
  </w:endnote>
  <w:endnote w:type="continuationSeparator" w:id="0">
    <w:p w14:paraId="686E857F" w14:textId="77777777" w:rsidR="00915A56" w:rsidRDefault="0091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B09A" w14:textId="77777777" w:rsidR="00007A69" w:rsidRPr="00EB43FD" w:rsidRDefault="00007A69"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2D0E39">
      <w:rPr>
        <w:rStyle w:val="PageNumber"/>
        <w:rFonts w:eastAsia="SimSun"/>
        <w:b w:val="0"/>
        <w:noProof/>
        <w:szCs w:val="18"/>
      </w:rPr>
      <w:t>1</w:t>
    </w:r>
    <w:r w:rsidRPr="00EB43FD">
      <w:rPr>
        <w:rStyle w:val="PageNumber"/>
        <w:rFonts w:eastAsia="SimSun"/>
        <w:b w:val="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B09D" w14:textId="77777777" w:rsidR="00007A69" w:rsidRPr="00EB43FD" w:rsidRDefault="00007A69"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2D0E39">
      <w:rPr>
        <w:rStyle w:val="PageNumber"/>
        <w:b w:val="0"/>
        <w:noProof/>
        <w:szCs w:val="18"/>
      </w:rPr>
      <w:t>8</w:t>
    </w:r>
    <w:r w:rsidRPr="00EB43FD">
      <w:rPr>
        <w:rStyle w:val="PageNumber"/>
        <w:b w:val="0"/>
        <w:szCs w:val="18"/>
      </w:rPr>
      <w:fldChar w:fldCharType="end"/>
    </w:r>
  </w:p>
  <w:p w14:paraId="1C18B09E" w14:textId="77777777" w:rsidR="00007A69" w:rsidRDefault="00007A69"/>
  <w:p w14:paraId="1C18B09F" w14:textId="77777777" w:rsidR="00007A69" w:rsidRDefault="00007A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85C94" w14:textId="77777777" w:rsidR="00915A56" w:rsidRDefault="00915A56">
      <w:r>
        <w:separator/>
      </w:r>
    </w:p>
  </w:footnote>
  <w:footnote w:type="continuationSeparator" w:id="0">
    <w:p w14:paraId="51CA74C6" w14:textId="77777777" w:rsidR="00915A56" w:rsidRDefault="0091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B099" w14:textId="77777777" w:rsidR="00007A69" w:rsidRDefault="00007A69">
    <w:pPr>
      <w:pStyle w:val="Header"/>
    </w:pPr>
    <w:r>
      <w:fldChar w:fldCharType="begin"/>
    </w:r>
    <w:r>
      <w:instrText xml:space="preserve"> DOCPROPERTY  Classification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B09B" w14:textId="77777777" w:rsidR="00007A69" w:rsidRDefault="00007A69"/>
  <w:p w14:paraId="1C18B09C" w14:textId="77777777" w:rsidR="00007A69" w:rsidRDefault="00007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2EAC8"/>
    <w:lvl w:ilvl="0">
      <w:start w:val="1"/>
      <w:numFmt w:val="decimal"/>
      <w:lvlText w:val="%1."/>
      <w:lvlJc w:val="left"/>
      <w:pPr>
        <w:tabs>
          <w:tab w:val="num" w:pos="1492"/>
        </w:tabs>
        <w:ind w:left="1492" w:hanging="360"/>
      </w:pPr>
    </w:lvl>
  </w:abstractNum>
  <w:abstractNum w:abstractNumId="1">
    <w:nsid w:val="FFFFFF7D"/>
    <w:multiLevelType w:val="singleLevel"/>
    <w:tmpl w:val="3438C8F0"/>
    <w:lvl w:ilvl="0">
      <w:start w:val="1"/>
      <w:numFmt w:val="decimal"/>
      <w:lvlText w:val="%1."/>
      <w:lvlJc w:val="left"/>
      <w:pPr>
        <w:tabs>
          <w:tab w:val="num" w:pos="1209"/>
        </w:tabs>
        <w:ind w:left="1209" w:hanging="360"/>
      </w:pPr>
    </w:lvl>
  </w:abstractNum>
  <w:abstractNum w:abstractNumId="2">
    <w:nsid w:val="FFFFFF7E"/>
    <w:multiLevelType w:val="singleLevel"/>
    <w:tmpl w:val="D742A838"/>
    <w:lvl w:ilvl="0">
      <w:start w:val="1"/>
      <w:numFmt w:val="decimal"/>
      <w:lvlText w:val="%1."/>
      <w:lvlJc w:val="left"/>
      <w:pPr>
        <w:tabs>
          <w:tab w:val="num" w:pos="926"/>
        </w:tabs>
        <w:ind w:left="926" w:hanging="360"/>
      </w:pPr>
    </w:lvl>
  </w:abstractNum>
  <w:abstractNum w:abstractNumId="3">
    <w:nsid w:val="FFFFFF7F"/>
    <w:multiLevelType w:val="singleLevel"/>
    <w:tmpl w:val="23A4D59C"/>
    <w:lvl w:ilvl="0">
      <w:start w:val="1"/>
      <w:numFmt w:val="decimal"/>
      <w:lvlText w:val="%1."/>
      <w:lvlJc w:val="left"/>
      <w:pPr>
        <w:tabs>
          <w:tab w:val="num" w:pos="643"/>
        </w:tabs>
        <w:ind w:left="643" w:hanging="360"/>
      </w:pPr>
    </w:lvl>
  </w:abstractNum>
  <w:abstractNum w:abstractNumId="4">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587AE4"/>
    <w:lvl w:ilvl="0">
      <w:start w:val="1"/>
      <w:numFmt w:val="decimal"/>
      <w:lvlText w:val="%1."/>
      <w:lvlJc w:val="left"/>
      <w:pPr>
        <w:tabs>
          <w:tab w:val="num" w:pos="360"/>
        </w:tabs>
        <w:ind w:left="360" w:hanging="360"/>
      </w:pPr>
    </w:lvl>
  </w:abstractNum>
  <w:abstractNum w:abstractNumId="9">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nsid w:val="001131D5"/>
    <w:multiLevelType w:val="multilevel"/>
    <w:tmpl w:val="7E8654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57B7BE1"/>
    <w:multiLevelType w:val="hybridMultilevel"/>
    <w:tmpl w:val="8C60A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777104D"/>
    <w:multiLevelType w:val="multilevel"/>
    <w:tmpl w:val="02B2DD8E"/>
    <w:lvl w:ilvl="0">
      <w:start w:val="1"/>
      <w:numFmt w:val="decimal"/>
      <w:suff w:val="nothing"/>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5FD529D0"/>
    <w:multiLevelType w:val="hybridMultilevel"/>
    <w:tmpl w:val="887A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3219E7"/>
    <w:multiLevelType w:val="hybridMultilevel"/>
    <w:tmpl w:val="D46E14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0"/>
  </w:num>
  <w:num w:numId="14">
    <w:abstractNumId w:val="14"/>
  </w:num>
  <w:num w:numId="15">
    <w:abstractNumId w:val="13"/>
  </w:num>
  <w:num w:numId="16">
    <w:abstractNumId w:val="12"/>
  </w:num>
  <w:num w:numId="17">
    <w:abstractNumId w:val="13"/>
  </w:num>
  <w:num w:numId="18">
    <w:abstractNumId w:val="18"/>
  </w:num>
  <w:num w:numId="19">
    <w:abstractNumId w:val="18"/>
  </w:num>
  <w:num w:numId="20">
    <w:abstractNumId w:val="18"/>
  </w:num>
  <w:num w:numId="21">
    <w:abstractNumId w:val="13"/>
  </w:num>
  <w:num w:numId="22">
    <w:abstractNumId w:val="15"/>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7gRVKqjydyCCekySJLGOE2cH9e8=" w:salt="vNv2RWNx4dHnuKOj0PqpxA=="/>
  <w:defaultTabStop w:val="720"/>
  <w:doNotShadeFormData/>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 w:val="Created"/>
    <w:docVar w:name="VerNumber" w:val="3.4.0"/>
  </w:docVars>
  <w:rsids>
    <w:rsidRoot w:val="004965F2"/>
    <w:rsid w:val="000019B2"/>
    <w:rsid w:val="00001E72"/>
    <w:rsid w:val="0000505F"/>
    <w:rsid w:val="000071A5"/>
    <w:rsid w:val="000079C0"/>
    <w:rsid w:val="00007A69"/>
    <w:rsid w:val="00010950"/>
    <w:rsid w:val="00010EE1"/>
    <w:rsid w:val="00012458"/>
    <w:rsid w:val="000142F1"/>
    <w:rsid w:val="0001460F"/>
    <w:rsid w:val="00021306"/>
    <w:rsid w:val="000222F1"/>
    <w:rsid w:val="00022BE0"/>
    <w:rsid w:val="00022F52"/>
    <w:rsid w:val="00023080"/>
    <w:rsid w:val="0002370C"/>
    <w:rsid w:val="000239A7"/>
    <w:rsid w:val="00023E62"/>
    <w:rsid w:val="000251D0"/>
    <w:rsid w:val="00026555"/>
    <w:rsid w:val="00026AC0"/>
    <w:rsid w:val="0003398C"/>
    <w:rsid w:val="0003786D"/>
    <w:rsid w:val="0004016B"/>
    <w:rsid w:val="000407D8"/>
    <w:rsid w:val="00045828"/>
    <w:rsid w:val="00045BAD"/>
    <w:rsid w:val="00051403"/>
    <w:rsid w:val="00052F44"/>
    <w:rsid w:val="00056EE6"/>
    <w:rsid w:val="0006047F"/>
    <w:rsid w:val="0006053F"/>
    <w:rsid w:val="00061E73"/>
    <w:rsid w:val="000671A2"/>
    <w:rsid w:val="00070EEB"/>
    <w:rsid w:val="00071299"/>
    <w:rsid w:val="0007204A"/>
    <w:rsid w:val="00072272"/>
    <w:rsid w:val="000767AC"/>
    <w:rsid w:val="0007695E"/>
    <w:rsid w:val="00076A78"/>
    <w:rsid w:val="00076C08"/>
    <w:rsid w:val="00082659"/>
    <w:rsid w:val="00082BAC"/>
    <w:rsid w:val="000860CC"/>
    <w:rsid w:val="00086128"/>
    <w:rsid w:val="0008731F"/>
    <w:rsid w:val="00093598"/>
    <w:rsid w:val="0009381F"/>
    <w:rsid w:val="00094069"/>
    <w:rsid w:val="00094680"/>
    <w:rsid w:val="000956FD"/>
    <w:rsid w:val="000A36EE"/>
    <w:rsid w:val="000A79FC"/>
    <w:rsid w:val="000B07A1"/>
    <w:rsid w:val="000B1176"/>
    <w:rsid w:val="000B3E49"/>
    <w:rsid w:val="000C031E"/>
    <w:rsid w:val="000C165A"/>
    <w:rsid w:val="000C1D45"/>
    <w:rsid w:val="000C30D8"/>
    <w:rsid w:val="000C4589"/>
    <w:rsid w:val="000C57D5"/>
    <w:rsid w:val="000C6A87"/>
    <w:rsid w:val="000D1CB0"/>
    <w:rsid w:val="000D55B5"/>
    <w:rsid w:val="000D58BD"/>
    <w:rsid w:val="000D5ED5"/>
    <w:rsid w:val="000D7F7C"/>
    <w:rsid w:val="000E3308"/>
    <w:rsid w:val="000E3FD7"/>
    <w:rsid w:val="000E452D"/>
    <w:rsid w:val="000F004E"/>
    <w:rsid w:val="000F0840"/>
    <w:rsid w:val="000F37BB"/>
    <w:rsid w:val="000F4481"/>
    <w:rsid w:val="000F57BB"/>
    <w:rsid w:val="000F5EEF"/>
    <w:rsid w:val="00101961"/>
    <w:rsid w:val="00102870"/>
    <w:rsid w:val="00110396"/>
    <w:rsid w:val="001110DB"/>
    <w:rsid w:val="00115D70"/>
    <w:rsid w:val="00120113"/>
    <w:rsid w:val="001235DD"/>
    <w:rsid w:val="0012369A"/>
    <w:rsid w:val="001243CD"/>
    <w:rsid w:val="00127373"/>
    <w:rsid w:val="001315A7"/>
    <w:rsid w:val="00133A17"/>
    <w:rsid w:val="00133C58"/>
    <w:rsid w:val="001365F4"/>
    <w:rsid w:val="0014140D"/>
    <w:rsid w:val="00141B6F"/>
    <w:rsid w:val="0014336D"/>
    <w:rsid w:val="001477D1"/>
    <w:rsid w:val="00150DAE"/>
    <w:rsid w:val="0015254E"/>
    <w:rsid w:val="00152C60"/>
    <w:rsid w:val="001535F3"/>
    <w:rsid w:val="00156E0C"/>
    <w:rsid w:val="00160691"/>
    <w:rsid w:val="00165113"/>
    <w:rsid w:val="00170662"/>
    <w:rsid w:val="001709E2"/>
    <w:rsid w:val="00174C10"/>
    <w:rsid w:val="00175447"/>
    <w:rsid w:val="00182B85"/>
    <w:rsid w:val="00183038"/>
    <w:rsid w:val="00183882"/>
    <w:rsid w:val="001844B6"/>
    <w:rsid w:val="001851A3"/>
    <w:rsid w:val="001851B9"/>
    <w:rsid w:val="001855B1"/>
    <w:rsid w:val="0019021E"/>
    <w:rsid w:val="00190F9A"/>
    <w:rsid w:val="00194050"/>
    <w:rsid w:val="00194745"/>
    <w:rsid w:val="00194E96"/>
    <w:rsid w:val="001A07F1"/>
    <w:rsid w:val="001A171E"/>
    <w:rsid w:val="001A3B0B"/>
    <w:rsid w:val="001A4332"/>
    <w:rsid w:val="001A4432"/>
    <w:rsid w:val="001A478E"/>
    <w:rsid w:val="001A509E"/>
    <w:rsid w:val="001A6FE6"/>
    <w:rsid w:val="001A7B61"/>
    <w:rsid w:val="001A7D6D"/>
    <w:rsid w:val="001B305C"/>
    <w:rsid w:val="001B34EB"/>
    <w:rsid w:val="001C0644"/>
    <w:rsid w:val="001C0B58"/>
    <w:rsid w:val="001C1F06"/>
    <w:rsid w:val="001C3363"/>
    <w:rsid w:val="001C7C39"/>
    <w:rsid w:val="001D09CC"/>
    <w:rsid w:val="001D0AF4"/>
    <w:rsid w:val="001D12D6"/>
    <w:rsid w:val="001D2096"/>
    <w:rsid w:val="001D3A43"/>
    <w:rsid w:val="001D3C11"/>
    <w:rsid w:val="001D4AA8"/>
    <w:rsid w:val="001D4D42"/>
    <w:rsid w:val="001D5EC9"/>
    <w:rsid w:val="001D6B90"/>
    <w:rsid w:val="001E152A"/>
    <w:rsid w:val="001E1DA0"/>
    <w:rsid w:val="001F4352"/>
    <w:rsid w:val="001F5423"/>
    <w:rsid w:val="001F5DD9"/>
    <w:rsid w:val="001F69E9"/>
    <w:rsid w:val="001F71C9"/>
    <w:rsid w:val="0020104C"/>
    <w:rsid w:val="0020151D"/>
    <w:rsid w:val="00201B79"/>
    <w:rsid w:val="00202E56"/>
    <w:rsid w:val="002033D6"/>
    <w:rsid w:val="00203758"/>
    <w:rsid w:val="00205E05"/>
    <w:rsid w:val="0020708B"/>
    <w:rsid w:val="00207B21"/>
    <w:rsid w:val="00207D2A"/>
    <w:rsid w:val="00211257"/>
    <w:rsid w:val="002144F0"/>
    <w:rsid w:val="00216F02"/>
    <w:rsid w:val="0021731F"/>
    <w:rsid w:val="00217CA1"/>
    <w:rsid w:val="00220F29"/>
    <w:rsid w:val="00221FAD"/>
    <w:rsid w:val="00222E5D"/>
    <w:rsid w:val="0022490F"/>
    <w:rsid w:val="00225F9C"/>
    <w:rsid w:val="002274E5"/>
    <w:rsid w:val="0022767B"/>
    <w:rsid w:val="0023355B"/>
    <w:rsid w:val="002347A2"/>
    <w:rsid w:val="00241738"/>
    <w:rsid w:val="00242160"/>
    <w:rsid w:val="002425C2"/>
    <w:rsid w:val="00242C41"/>
    <w:rsid w:val="002437A8"/>
    <w:rsid w:val="00246360"/>
    <w:rsid w:val="00250259"/>
    <w:rsid w:val="00251ED1"/>
    <w:rsid w:val="002530A8"/>
    <w:rsid w:val="00253F4D"/>
    <w:rsid w:val="0026191F"/>
    <w:rsid w:val="00262437"/>
    <w:rsid w:val="00265153"/>
    <w:rsid w:val="00265456"/>
    <w:rsid w:val="002718D6"/>
    <w:rsid w:val="00272539"/>
    <w:rsid w:val="00272F62"/>
    <w:rsid w:val="00273A3C"/>
    <w:rsid w:val="00281E7E"/>
    <w:rsid w:val="00282EFA"/>
    <w:rsid w:val="002837FC"/>
    <w:rsid w:val="00283EE9"/>
    <w:rsid w:val="00284C30"/>
    <w:rsid w:val="00286282"/>
    <w:rsid w:val="0028755A"/>
    <w:rsid w:val="00287BA8"/>
    <w:rsid w:val="00290335"/>
    <w:rsid w:val="0029158C"/>
    <w:rsid w:val="002A06DA"/>
    <w:rsid w:val="002A456F"/>
    <w:rsid w:val="002A6E2B"/>
    <w:rsid w:val="002B2572"/>
    <w:rsid w:val="002B4D79"/>
    <w:rsid w:val="002B7335"/>
    <w:rsid w:val="002B77F5"/>
    <w:rsid w:val="002C1D0C"/>
    <w:rsid w:val="002C1EC2"/>
    <w:rsid w:val="002C331D"/>
    <w:rsid w:val="002D0E39"/>
    <w:rsid w:val="002D1AE9"/>
    <w:rsid w:val="002D2D7E"/>
    <w:rsid w:val="002D3103"/>
    <w:rsid w:val="002D4104"/>
    <w:rsid w:val="002D4177"/>
    <w:rsid w:val="002D548B"/>
    <w:rsid w:val="002D66B1"/>
    <w:rsid w:val="002D7ECF"/>
    <w:rsid w:val="002E1C94"/>
    <w:rsid w:val="002E46DE"/>
    <w:rsid w:val="002E5406"/>
    <w:rsid w:val="002E78D7"/>
    <w:rsid w:val="002F1CB1"/>
    <w:rsid w:val="002F3633"/>
    <w:rsid w:val="002F5B67"/>
    <w:rsid w:val="002F653C"/>
    <w:rsid w:val="002F7D4C"/>
    <w:rsid w:val="00300CED"/>
    <w:rsid w:val="00300D77"/>
    <w:rsid w:val="003030E1"/>
    <w:rsid w:val="00304677"/>
    <w:rsid w:val="00304C1D"/>
    <w:rsid w:val="003069E8"/>
    <w:rsid w:val="00307E85"/>
    <w:rsid w:val="00310269"/>
    <w:rsid w:val="00310E67"/>
    <w:rsid w:val="003111DB"/>
    <w:rsid w:val="00311373"/>
    <w:rsid w:val="00311CCB"/>
    <w:rsid w:val="003129AE"/>
    <w:rsid w:val="00313937"/>
    <w:rsid w:val="00314466"/>
    <w:rsid w:val="003149E9"/>
    <w:rsid w:val="00316B83"/>
    <w:rsid w:val="00317DAD"/>
    <w:rsid w:val="003203C7"/>
    <w:rsid w:val="00320415"/>
    <w:rsid w:val="00320F0F"/>
    <w:rsid w:val="00322E0B"/>
    <w:rsid w:val="00323107"/>
    <w:rsid w:val="00323C5A"/>
    <w:rsid w:val="00324485"/>
    <w:rsid w:val="003247D4"/>
    <w:rsid w:val="00331DCE"/>
    <w:rsid w:val="00332055"/>
    <w:rsid w:val="00332280"/>
    <w:rsid w:val="003323DB"/>
    <w:rsid w:val="00332B05"/>
    <w:rsid w:val="003330C7"/>
    <w:rsid w:val="00335C9A"/>
    <w:rsid w:val="003409BF"/>
    <w:rsid w:val="00343EB3"/>
    <w:rsid w:val="00345525"/>
    <w:rsid w:val="00351302"/>
    <w:rsid w:val="00355E73"/>
    <w:rsid w:val="00356841"/>
    <w:rsid w:val="00364715"/>
    <w:rsid w:val="00365687"/>
    <w:rsid w:val="003657AB"/>
    <w:rsid w:val="00370A03"/>
    <w:rsid w:val="00372A69"/>
    <w:rsid w:val="0037447F"/>
    <w:rsid w:val="003763FE"/>
    <w:rsid w:val="00376491"/>
    <w:rsid w:val="00380189"/>
    <w:rsid w:val="00380A15"/>
    <w:rsid w:val="00381107"/>
    <w:rsid w:val="00381308"/>
    <w:rsid w:val="003818E8"/>
    <w:rsid w:val="003848EF"/>
    <w:rsid w:val="00384905"/>
    <w:rsid w:val="00385BF8"/>
    <w:rsid w:val="00386560"/>
    <w:rsid w:val="00395DFD"/>
    <w:rsid w:val="00395F95"/>
    <w:rsid w:val="00396C1A"/>
    <w:rsid w:val="003A151C"/>
    <w:rsid w:val="003A53C5"/>
    <w:rsid w:val="003A5EEC"/>
    <w:rsid w:val="003A6079"/>
    <w:rsid w:val="003A68AB"/>
    <w:rsid w:val="003A7572"/>
    <w:rsid w:val="003B04F0"/>
    <w:rsid w:val="003B1336"/>
    <w:rsid w:val="003B20FC"/>
    <w:rsid w:val="003B30DD"/>
    <w:rsid w:val="003B3E18"/>
    <w:rsid w:val="003B72CF"/>
    <w:rsid w:val="003B78AB"/>
    <w:rsid w:val="003C2DEE"/>
    <w:rsid w:val="003C4286"/>
    <w:rsid w:val="003C6C81"/>
    <w:rsid w:val="003D11C0"/>
    <w:rsid w:val="003D2341"/>
    <w:rsid w:val="003D2D82"/>
    <w:rsid w:val="003D32F0"/>
    <w:rsid w:val="003D33A3"/>
    <w:rsid w:val="003D53E5"/>
    <w:rsid w:val="003D572E"/>
    <w:rsid w:val="003D57B2"/>
    <w:rsid w:val="003D6960"/>
    <w:rsid w:val="003D77EE"/>
    <w:rsid w:val="003E0510"/>
    <w:rsid w:val="003E1BBB"/>
    <w:rsid w:val="003E2295"/>
    <w:rsid w:val="003E4533"/>
    <w:rsid w:val="003E5280"/>
    <w:rsid w:val="003E54B6"/>
    <w:rsid w:val="003E58BD"/>
    <w:rsid w:val="003E66BB"/>
    <w:rsid w:val="003E7A4D"/>
    <w:rsid w:val="003F1F49"/>
    <w:rsid w:val="003F2FA0"/>
    <w:rsid w:val="003F42A7"/>
    <w:rsid w:val="003F6045"/>
    <w:rsid w:val="003F71C5"/>
    <w:rsid w:val="004016DE"/>
    <w:rsid w:val="004025DC"/>
    <w:rsid w:val="00402E80"/>
    <w:rsid w:val="004041B8"/>
    <w:rsid w:val="00405ACA"/>
    <w:rsid w:val="00415552"/>
    <w:rsid w:val="00416050"/>
    <w:rsid w:val="00417259"/>
    <w:rsid w:val="004175D4"/>
    <w:rsid w:val="004240A9"/>
    <w:rsid w:val="0042494E"/>
    <w:rsid w:val="00426AB3"/>
    <w:rsid w:val="00432445"/>
    <w:rsid w:val="0043446F"/>
    <w:rsid w:val="0043683F"/>
    <w:rsid w:val="004406D1"/>
    <w:rsid w:val="004422A6"/>
    <w:rsid w:val="004442E2"/>
    <w:rsid w:val="00445634"/>
    <w:rsid w:val="0045253C"/>
    <w:rsid w:val="00452B35"/>
    <w:rsid w:val="004547EA"/>
    <w:rsid w:val="00455EAA"/>
    <w:rsid w:val="00456494"/>
    <w:rsid w:val="00457408"/>
    <w:rsid w:val="004577E1"/>
    <w:rsid w:val="0045799A"/>
    <w:rsid w:val="00460DFB"/>
    <w:rsid w:val="00463490"/>
    <w:rsid w:val="00466326"/>
    <w:rsid w:val="00470048"/>
    <w:rsid w:val="00470BEA"/>
    <w:rsid w:val="00471060"/>
    <w:rsid w:val="004716AC"/>
    <w:rsid w:val="00471E07"/>
    <w:rsid w:val="004763AF"/>
    <w:rsid w:val="0048196D"/>
    <w:rsid w:val="00481DBF"/>
    <w:rsid w:val="004833F8"/>
    <w:rsid w:val="00483E1A"/>
    <w:rsid w:val="00483FB7"/>
    <w:rsid w:val="00484BB2"/>
    <w:rsid w:val="00485114"/>
    <w:rsid w:val="004860C0"/>
    <w:rsid w:val="00487074"/>
    <w:rsid w:val="004875A0"/>
    <w:rsid w:val="0049072A"/>
    <w:rsid w:val="00490FF7"/>
    <w:rsid w:val="004930F6"/>
    <w:rsid w:val="0049416F"/>
    <w:rsid w:val="004948C9"/>
    <w:rsid w:val="00495404"/>
    <w:rsid w:val="004965F2"/>
    <w:rsid w:val="00497931"/>
    <w:rsid w:val="004A14BC"/>
    <w:rsid w:val="004A3D93"/>
    <w:rsid w:val="004A3EFD"/>
    <w:rsid w:val="004A3F27"/>
    <w:rsid w:val="004A7E39"/>
    <w:rsid w:val="004B1880"/>
    <w:rsid w:val="004B3B7B"/>
    <w:rsid w:val="004B5251"/>
    <w:rsid w:val="004C1BBB"/>
    <w:rsid w:val="004C4C8F"/>
    <w:rsid w:val="004C5754"/>
    <w:rsid w:val="004D0574"/>
    <w:rsid w:val="004D0C7C"/>
    <w:rsid w:val="004D118B"/>
    <w:rsid w:val="004D6A72"/>
    <w:rsid w:val="004E1174"/>
    <w:rsid w:val="004E29C6"/>
    <w:rsid w:val="004E3E8F"/>
    <w:rsid w:val="004E4095"/>
    <w:rsid w:val="004E5E6C"/>
    <w:rsid w:val="004E6683"/>
    <w:rsid w:val="004F5E43"/>
    <w:rsid w:val="004F7BA3"/>
    <w:rsid w:val="00500698"/>
    <w:rsid w:val="00500C9D"/>
    <w:rsid w:val="00503C39"/>
    <w:rsid w:val="00506528"/>
    <w:rsid w:val="00507986"/>
    <w:rsid w:val="00510AC6"/>
    <w:rsid w:val="005116B1"/>
    <w:rsid w:val="00517351"/>
    <w:rsid w:val="00520444"/>
    <w:rsid w:val="005241EF"/>
    <w:rsid w:val="0052463E"/>
    <w:rsid w:val="00525511"/>
    <w:rsid w:val="00526B28"/>
    <w:rsid w:val="00527387"/>
    <w:rsid w:val="00527A7D"/>
    <w:rsid w:val="00533D7B"/>
    <w:rsid w:val="005409C5"/>
    <w:rsid w:val="00540A7C"/>
    <w:rsid w:val="00544292"/>
    <w:rsid w:val="005456EC"/>
    <w:rsid w:val="00547154"/>
    <w:rsid w:val="00554795"/>
    <w:rsid w:val="00556DEA"/>
    <w:rsid w:val="00560465"/>
    <w:rsid w:val="00560972"/>
    <w:rsid w:val="00560AA0"/>
    <w:rsid w:val="00563F7B"/>
    <w:rsid w:val="005640A6"/>
    <w:rsid w:val="0056487B"/>
    <w:rsid w:val="00564A46"/>
    <w:rsid w:val="0056664A"/>
    <w:rsid w:val="00570D93"/>
    <w:rsid w:val="00570F8E"/>
    <w:rsid w:val="005719FD"/>
    <w:rsid w:val="00571B06"/>
    <w:rsid w:val="00572118"/>
    <w:rsid w:val="00573359"/>
    <w:rsid w:val="00574A89"/>
    <w:rsid w:val="00575FFA"/>
    <w:rsid w:val="00576F30"/>
    <w:rsid w:val="0058639D"/>
    <w:rsid w:val="00586CE4"/>
    <w:rsid w:val="00586D82"/>
    <w:rsid w:val="005875FD"/>
    <w:rsid w:val="005879B8"/>
    <w:rsid w:val="00591130"/>
    <w:rsid w:val="00593648"/>
    <w:rsid w:val="00594141"/>
    <w:rsid w:val="00594AC6"/>
    <w:rsid w:val="00594F99"/>
    <w:rsid w:val="00596F19"/>
    <w:rsid w:val="005970B5"/>
    <w:rsid w:val="005978D0"/>
    <w:rsid w:val="005A0026"/>
    <w:rsid w:val="005A0B86"/>
    <w:rsid w:val="005A1DDE"/>
    <w:rsid w:val="005A2FC0"/>
    <w:rsid w:val="005A3880"/>
    <w:rsid w:val="005A66F6"/>
    <w:rsid w:val="005A7A14"/>
    <w:rsid w:val="005B341F"/>
    <w:rsid w:val="005B44D6"/>
    <w:rsid w:val="005B5651"/>
    <w:rsid w:val="005B5AA9"/>
    <w:rsid w:val="005B613F"/>
    <w:rsid w:val="005C0E7F"/>
    <w:rsid w:val="005D27B8"/>
    <w:rsid w:val="005D2E03"/>
    <w:rsid w:val="005D4544"/>
    <w:rsid w:val="005D4F09"/>
    <w:rsid w:val="005D5178"/>
    <w:rsid w:val="005D6EA8"/>
    <w:rsid w:val="005D6F05"/>
    <w:rsid w:val="005E10E3"/>
    <w:rsid w:val="005E3FC7"/>
    <w:rsid w:val="005F0657"/>
    <w:rsid w:val="005F32E7"/>
    <w:rsid w:val="005F54D7"/>
    <w:rsid w:val="005F698B"/>
    <w:rsid w:val="00600956"/>
    <w:rsid w:val="006011E1"/>
    <w:rsid w:val="00602401"/>
    <w:rsid w:val="00604158"/>
    <w:rsid w:val="0060666C"/>
    <w:rsid w:val="00606C5F"/>
    <w:rsid w:val="00615CA5"/>
    <w:rsid w:val="00615D43"/>
    <w:rsid w:val="00616BCC"/>
    <w:rsid w:val="0061761A"/>
    <w:rsid w:val="00623DFF"/>
    <w:rsid w:val="00624299"/>
    <w:rsid w:val="006243EB"/>
    <w:rsid w:val="0062552D"/>
    <w:rsid w:val="00625536"/>
    <w:rsid w:val="00625AC1"/>
    <w:rsid w:val="006267F8"/>
    <w:rsid w:val="00630268"/>
    <w:rsid w:val="00630966"/>
    <w:rsid w:val="00630EC4"/>
    <w:rsid w:val="00630EC9"/>
    <w:rsid w:val="00631B4C"/>
    <w:rsid w:val="00632522"/>
    <w:rsid w:val="006328B1"/>
    <w:rsid w:val="00632CB9"/>
    <w:rsid w:val="00635080"/>
    <w:rsid w:val="00635BAE"/>
    <w:rsid w:val="00641D5A"/>
    <w:rsid w:val="00643B89"/>
    <w:rsid w:val="00644C2C"/>
    <w:rsid w:val="00645936"/>
    <w:rsid w:val="00646433"/>
    <w:rsid w:val="00646B92"/>
    <w:rsid w:val="00647402"/>
    <w:rsid w:val="00650282"/>
    <w:rsid w:val="00650A11"/>
    <w:rsid w:val="006511BB"/>
    <w:rsid w:val="006531EF"/>
    <w:rsid w:val="00653956"/>
    <w:rsid w:val="00656305"/>
    <w:rsid w:val="0066034A"/>
    <w:rsid w:val="006631B8"/>
    <w:rsid w:val="006656EC"/>
    <w:rsid w:val="006662EE"/>
    <w:rsid w:val="00667977"/>
    <w:rsid w:val="006725A4"/>
    <w:rsid w:val="00674043"/>
    <w:rsid w:val="0067720E"/>
    <w:rsid w:val="00677C65"/>
    <w:rsid w:val="0068051F"/>
    <w:rsid w:val="006812CF"/>
    <w:rsid w:val="00681ABB"/>
    <w:rsid w:val="006824EE"/>
    <w:rsid w:val="00682BBC"/>
    <w:rsid w:val="00684490"/>
    <w:rsid w:val="006867B7"/>
    <w:rsid w:val="00686F5E"/>
    <w:rsid w:val="006914EF"/>
    <w:rsid w:val="00692DE8"/>
    <w:rsid w:val="0069403E"/>
    <w:rsid w:val="006945C8"/>
    <w:rsid w:val="006A0131"/>
    <w:rsid w:val="006A0557"/>
    <w:rsid w:val="006A0782"/>
    <w:rsid w:val="006A1B09"/>
    <w:rsid w:val="006A2A2C"/>
    <w:rsid w:val="006A2D92"/>
    <w:rsid w:val="006A56C1"/>
    <w:rsid w:val="006A5A2E"/>
    <w:rsid w:val="006B04D1"/>
    <w:rsid w:val="006B3C41"/>
    <w:rsid w:val="006B4257"/>
    <w:rsid w:val="006B721C"/>
    <w:rsid w:val="006C0521"/>
    <w:rsid w:val="006C5CE3"/>
    <w:rsid w:val="006C7426"/>
    <w:rsid w:val="006D1474"/>
    <w:rsid w:val="006D1F7D"/>
    <w:rsid w:val="006D29CD"/>
    <w:rsid w:val="006D2BE3"/>
    <w:rsid w:val="006D2BEB"/>
    <w:rsid w:val="006D2BF3"/>
    <w:rsid w:val="006D37CF"/>
    <w:rsid w:val="006D3A1B"/>
    <w:rsid w:val="006D5CC7"/>
    <w:rsid w:val="006E11EC"/>
    <w:rsid w:val="006E17B6"/>
    <w:rsid w:val="006E446A"/>
    <w:rsid w:val="006E6035"/>
    <w:rsid w:val="006E7242"/>
    <w:rsid w:val="006F0945"/>
    <w:rsid w:val="006F3BB8"/>
    <w:rsid w:val="00703D2D"/>
    <w:rsid w:val="00706FE9"/>
    <w:rsid w:val="00710BF9"/>
    <w:rsid w:val="00712914"/>
    <w:rsid w:val="0071360C"/>
    <w:rsid w:val="0071367B"/>
    <w:rsid w:val="007139B6"/>
    <w:rsid w:val="0071468E"/>
    <w:rsid w:val="0071686F"/>
    <w:rsid w:val="00716D5C"/>
    <w:rsid w:val="00716E66"/>
    <w:rsid w:val="00717760"/>
    <w:rsid w:val="00717800"/>
    <w:rsid w:val="007208D9"/>
    <w:rsid w:val="00720AF5"/>
    <w:rsid w:val="00720C9D"/>
    <w:rsid w:val="00720FFE"/>
    <w:rsid w:val="00724C0F"/>
    <w:rsid w:val="00732185"/>
    <w:rsid w:val="0073258B"/>
    <w:rsid w:val="00732BA8"/>
    <w:rsid w:val="0073350E"/>
    <w:rsid w:val="00733F8C"/>
    <w:rsid w:val="00734E99"/>
    <w:rsid w:val="007359A7"/>
    <w:rsid w:val="00735C0E"/>
    <w:rsid w:val="00736A54"/>
    <w:rsid w:val="00744ECC"/>
    <w:rsid w:val="0074677C"/>
    <w:rsid w:val="00746E21"/>
    <w:rsid w:val="0074740B"/>
    <w:rsid w:val="00747E73"/>
    <w:rsid w:val="0075393B"/>
    <w:rsid w:val="0075471A"/>
    <w:rsid w:val="0075771C"/>
    <w:rsid w:val="007608D7"/>
    <w:rsid w:val="00763D76"/>
    <w:rsid w:val="00764FAA"/>
    <w:rsid w:val="00767A04"/>
    <w:rsid w:val="00773384"/>
    <w:rsid w:val="00773719"/>
    <w:rsid w:val="00773B58"/>
    <w:rsid w:val="00774259"/>
    <w:rsid w:val="00774343"/>
    <w:rsid w:val="007754E1"/>
    <w:rsid w:val="00777487"/>
    <w:rsid w:val="007777A1"/>
    <w:rsid w:val="0078003D"/>
    <w:rsid w:val="0078273E"/>
    <w:rsid w:val="00782DCD"/>
    <w:rsid w:val="00782F88"/>
    <w:rsid w:val="0078471D"/>
    <w:rsid w:val="00784EC0"/>
    <w:rsid w:val="0078730F"/>
    <w:rsid w:val="0078760F"/>
    <w:rsid w:val="007913FD"/>
    <w:rsid w:val="0079221B"/>
    <w:rsid w:val="007925C2"/>
    <w:rsid w:val="00796A50"/>
    <w:rsid w:val="007A01E1"/>
    <w:rsid w:val="007A49C2"/>
    <w:rsid w:val="007A4BDD"/>
    <w:rsid w:val="007A684B"/>
    <w:rsid w:val="007A7D9B"/>
    <w:rsid w:val="007B05B3"/>
    <w:rsid w:val="007B14CE"/>
    <w:rsid w:val="007B33D7"/>
    <w:rsid w:val="007C08F8"/>
    <w:rsid w:val="007C1837"/>
    <w:rsid w:val="007C2377"/>
    <w:rsid w:val="007C293A"/>
    <w:rsid w:val="007D0CC0"/>
    <w:rsid w:val="007D537B"/>
    <w:rsid w:val="007D6F3F"/>
    <w:rsid w:val="007E1522"/>
    <w:rsid w:val="007E6CF8"/>
    <w:rsid w:val="007E6ECC"/>
    <w:rsid w:val="007F0ABE"/>
    <w:rsid w:val="007F0ED9"/>
    <w:rsid w:val="007F25A7"/>
    <w:rsid w:val="007F2645"/>
    <w:rsid w:val="007F4668"/>
    <w:rsid w:val="007F571B"/>
    <w:rsid w:val="007F64C7"/>
    <w:rsid w:val="008031EC"/>
    <w:rsid w:val="008054F0"/>
    <w:rsid w:val="00805BD3"/>
    <w:rsid w:val="00807DB6"/>
    <w:rsid w:val="00815425"/>
    <w:rsid w:val="008155E3"/>
    <w:rsid w:val="00817638"/>
    <w:rsid w:val="00821392"/>
    <w:rsid w:val="008228A5"/>
    <w:rsid w:val="00822B3C"/>
    <w:rsid w:val="0082724B"/>
    <w:rsid w:val="00830ED9"/>
    <w:rsid w:val="00834367"/>
    <w:rsid w:val="008369A3"/>
    <w:rsid w:val="00837300"/>
    <w:rsid w:val="00837F65"/>
    <w:rsid w:val="00840ABD"/>
    <w:rsid w:val="008410B6"/>
    <w:rsid w:val="00845B33"/>
    <w:rsid w:val="008478CE"/>
    <w:rsid w:val="00847C2B"/>
    <w:rsid w:val="00847E7D"/>
    <w:rsid w:val="00847F14"/>
    <w:rsid w:val="00850CF7"/>
    <w:rsid w:val="00854B58"/>
    <w:rsid w:val="0085583B"/>
    <w:rsid w:val="00857E85"/>
    <w:rsid w:val="00860E75"/>
    <w:rsid w:val="0086103A"/>
    <w:rsid w:val="008617EA"/>
    <w:rsid w:val="0086208D"/>
    <w:rsid w:val="008629E3"/>
    <w:rsid w:val="00864321"/>
    <w:rsid w:val="00865DC8"/>
    <w:rsid w:val="00870D58"/>
    <w:rsid w:val="00872621"/>
    <w:rsid w:val="008727AA"/>
    <w:rsid w:val="008729DD"/>
    <w:rsid w:val="00873250"/>
    <w:rsid w:val="00873825"/>
    <w:rsid w:val="008739EF"/>
    <w:rsid w:val="00873ADE"/>
    <w:rsid w:val="00876F9A"/>
    <w:rsid w:val="00877C17"/>
    <w:rsid w:val="008839E5"/>
    <w:rsid w:val="0088761A"/>
    <w:rsid w:val="00892576"/>
    <w:rsid w:val="00894601"/>
    <w:rsid w:val="00894CD3"/>
    <w:rsid w:val="00895D49"/>
    <w:rsid w:val="0089699B"/>
    <w:rsid w:val="008A2E81"/>
    <w:rsid w:val="008A4654"/>
    <w:rsid w:val="008A6491"/>
    <w:rsid w:val="008A6708"/>
    <w:rsid w:val="008A7CF1"/>
    <w:rsid w:val="008B0674"/>
    <w:rsid w:val="008B0CFF"/>
    <w:rsid w:val="008B20C2"/>
    <w:rsid w:val="008B333C"/>
    <w:rsid w:val="008B3CD2"/>
    <w:rsid w:val="008B5C6E"/>
    <w:rsid w:val="008B66C4"/>
    <w:rsid w:val="008B75E1"/>
    <w:rsid w:val="008C011F"/>
    <w:rsid w:val="008C0805"/>
    <w:rsid w:val="008C096C"/>
    <w:rsid w:val="008C0B6E"/>
    <w:rsid w:val="008C1CAA"/>
    <w:rsid w:val="008C26F4"/>
    <w:rsid w:val="008C4888"/>
    <w:rsid w:val="008C624A"/>
    <w:rsid w:val="008D1DB1"/>
    <w:rsid w:val="008D1DF0"/>
    <w:rsid w:val="008D3892"/>
    <w:rsid w:val="008D39AA"/>
    <w:rsid w:val="008D5118"/>
    <w:rsid w:val="008D55F9"/>
    <w:rsid w:val="008D6A9C"/>
    <w:rsid w:val="008E0D56"/>
    <w:rsid w:val="008E2B2F"/>
    <w:rsid w:val="008E348C"/>
    <w:rsid w:val="008E3814"/>
    <w:rsid w:val="008E41DA"/>
    <w:rsid w:val="008E4DFF"/>
    <w:rsid w:val="008E549E"/>
    <w:rsid w:val="008E5E23"/>
    <w:rsid w:val="008E67C0"/>
    <w:rsid w:val="008E7F9F"/>
    <w:rsid w:val="008F09FE"/>
    <w:rsid w:val="008F1046"/>
    <w:rsid w:val="008F18B3"/>
    <w:rsid w:val="008F1E40"/>
    <w:rsid w:val="008F281A"/>
    <w:rsid w:val="008F2DC7"/>
    <w:rsid w:val="008F5890"/>
    <w:rsid w:val="008F5B59"/>
    <w:rsid w:val="008F6D2D"/>
    <w:rsid w:val="008F6E9D"/>
    <w:rsid w:val="00900C12"/>
    <w:rsid w:val="00901EDF"/>
    <w:rsid w:val="00903CAE"/>
    <w:rsid w:val="00904B02"/>
    <w:rsid w:val="00904BBF"/>
    <w:rsid w:val="009050B9"/>
    <w:rsid w:val="00905752"/>
    <w:rsid w:val="00906288"/>
    <w:rsid w:val="00906E14"/>
    <w:rsid w:val="009076FD"/>
    <w:rsid w:val="009128E8"/>
    <w:rsid w:val="00915A56"/>
    <w:rsid w:val="00920962"/>
    <w:rsid w:val="00920A27"/>
    <w:rsid w:val="0092726F"/>
    <w:rsid w:val="009308F0"/>
    <w:rsid w:val="00936C94"/>
    <w:rsid w:val="00937CD8"/>
    <w:rsid w:val="00937DFB"/>
    <w:rsid w:val="00941D69"/>
    <w:rsid w:val="00944597"/>
    <w:rsid w:val="00944936"/>
    <w:rsid w:val="00944AA7"/>
    <w:rsid w:val="00946AD7"/>
    <w:rsid w:val="00947C30"/>
    <w:rsid w:val="00947F91"/>
    <w:rsid w:val="00951302"/>
    <w:rsid w:val="00952D7C"/>
    <w:rsid w:val="009540D9"/>
    <w:rsid w:val="009546F6"/>
    <w:rsid w:val="009569C9"/>
    <w:rsid w:val="00956BA1"/>
    <w:rsid w:val="00961356"/>
    <w:rsid w:val="00962C9F"/>
    <w:rsid w:val="00963DA9"/>
    <w:rsid w:val="0096455D"/>
    <w:rsid w:val="00964CB0"/>
    <w:rsid w:val="00964F55"/>
    <w:rsid w:val="00965CBF"/>
    <w:rsid w:val="00966271"/>
    <w:rsid w:val="009716D5"/>
    <w:rsid w:val="0097372C"/>
    <w:rsid w:val="009769C6"/>
    <w:rsid w:val="00977F47"/>
    <w:rsid w:val="00980FD2"/>
    <w:rsid w:val="009837EF"/>
    <w:rsid w:val="00984BDC"/>
    <w:rsid w:val="009857E0"/>
    <w:rsid w:val="00987A1D"/>
    <w:rsid w:val="009918FB"/>
    <w:rsid w:val="00991CE2"/>
    <w:rsid w:val="009A0497"/>
    <w:rsid w:val="009A1A9A"/>
    <w:rsid w:val="009A2D21"/>
    <w:rsid w:val="009A673F"/>
    <w:rsid w:val="009B157C"/>
    <w:rsid w:val="009B2293"/>
    <w:rsid w:val="009B36BF"/>
    <w:rsid w:val="009B4B28"/>
    <w:rsid w:val="009B5872"/>
    <w:rsid w:val="009B5A80"/>
    <w:rsid w:val="009B671B"/>
    <w:rsid w:val="009B6ACF"/>
    <w:rsid w:val="009B6B48"/>
    <w:rsid w:val="009B7123"/>
    <w:rsid w:val="009C0CEB"/>
    <w:rsid w:val="009C3E19"/>
    <w:rsid w:val="009C74B5"/>
    <w:rsid w:val="009C7BD2"/>
    <w:rsid w:val="009D0E47"/>
    <w:rsid w:val="009D1F1C"/>
    <w:rsid w:val="009D2902"/>
    <w:rsid w:val="009D3AEC"/>
    <w:rsid w:val="009D7957"/>
    <w:rsid w:val="009D7CE6"/>
    <w:rsid w:val="009E008F"/>
    <w:rsid w:val="009E0870"/>
    <w:rsid w:val="009E262C"/>
    <w:rsid w:val="009E3B03"/>
    <w:rsid w:val="009E6430"/>
    <w:rsid w:val="009E720C"/>
    <w:rsid w:val="009E771F"/>
    <w:rsid w:val="009F2F06"/>
    <w:rsid w:val="009F48BD"/>
    <w:rsid w:val="009F56A0"/>
    <w:rsid w:val="009F6692"/>
    <w:rsid w:val="00A00F82"/>
    <w:rsid w:val="00A02AB8"/>
    <w:rsid w:val="00A05393"/>
    <w:rsid w:val="00A05924"/>
    <w:rsid w:val="00A07128"/>
    <w:rsid w:val="00A12337"/>
    <w:rsid w:val="00A127AE"/>
    <w:rsid w:val="00A212FC"/>
    <w:rsid w:val="00A21C3A"/>
    <w:rsid w:val="00A22274"/>
    <w:rsid w:val="00A223AF"/>
    <w:rsid w:val="00A224CC"/>
    <w:rsid w:val="00A2267C"/>
    <w:rsid w:val="00A23419"/>
    <w:rsid w:val="00A32793"/>
    <w:rsid w:val="00A376D1"/>
    <w:rsid w:val="00A412A4"/>
    <w:rsid w:val="00A44E29"/>
    <w:rsid w:val="00A46BA8"/>
    <w:rsid w:val="00A54607"/>
    <w:rsid w:val="00A566F7"/>
    <w:rsid w:val="00A56D87"/>
    <w:rsid w:val="00A624D4"/>
    <w:rsid w:val="00A63795"/>
    <w:rsid w:val="00A63817"/>
    <w:rsid w:val="00A64DFC"/>
    <w:rsid w:val="00A64E67"/>
    <w:rsid w:val="00A65708"/>
    <w:rsid w:val="00A74FE2"/>
    <w:rsid w:val="00A75DAF"/>
    <w:rsid w:val="00A80316"/>
    <w:rsid w:val="00A80DCD"/>
    <w:rsid w:val="00A8360B"/>
    <w:rsid w:val="00A857D9"/>
    <w:rsid w:val="00A85A55"/>
    <w:rsid w:val="00A90A64"/>
    <w:rsid w:val="00A91448"/>
    <w:rsid w:val="00A92245"/>
    <w:rsid w:val="00A9370E"/>
    <w:rsid w:val="00A93A78"/>
    <w:rsid w:val="00AA25A1"/>
    <w:rsid w:val="00AA2B6A"/>
    <w:rsid w:val="00AA4B70"/>
    <w:rsid w:val="00AA7756"/>
    <w:rsid w:val="00AB1ACE"/>
    <w:rsid w:val="00AB2960"/>
    <w:rsid w:val="00AB574B"/>
    <w:rsid w:val="00AB6DF3"/>
    <w:rsid w:val="00AB79EC"/>
    <w:rsid w:val="00AC06AD"/>
    <w:rsid w:val="00AC1849"/>
    <w:rsid w:val="00AC1DB2"/>
    <w:rsid w:val="00AC23DD"/>
    <w:rsid w:val="00AC4436"/>
    <w:rsid w:val="00AC6D7C"/>
    <w:rsid w:val="00AC758F"/>
    <w:rsid w:val="00AD01BB"/>
    <w:rsid w:val="00AD02B4"/>
    <w:rsid w:val="00AD4CDC"/>
    <w:rsid w:val="00AD5C7A"/>
    <w:rsid w:val="00AD640D"/>
    <w:rsid w:val="00AD6B21"/>
    <w:rsid w:val="00AD6D7F"/>
    <w:rsid w:val="00AE0DAF"/>
    <w:rsid w:val="00AE1E77"/>
    <w:rsid w:val="00AE311C"/>
    <w:rsid w:val="00AE32FC"/>
    <w:rsid w:val="00AE3926"/>
    <w:rsid w:val="00AE4406"/>
    <w:rsid w:val="00AE46AA"/>
    <w:rsid w:val="00AE6061"/>
    <w:rsid w:val="00AF0388"/>
    <w:rsid w:val="00AF05EF"/>
    <w:rsid w:val="00AF0863"/>
    <w:rsid w:val="00AF29BB"/>
    <w:rsid w:val="00AF2B88"/>
    <w:rsid w:val="00AF5F2E"/>
    <w:rsid w:val="00AF63A9"/>
    <w:rsid w:val="00AF739D"/>
    <w:rsid w:val="00AF777D"/>
    <w:rsid w:val="00B006A9"/>
    <w:rsid w:val="00B01ECE"/>
    <w:rsid w:val="00B06148"/>
    <w:rsid w:val="00B068F2"/>
    <w:rsid w:val="00B12922"/>
    <w:rsid w:val="00B13310"/>
    <w:rsid w:val="00B154EA"/>
    <w:rsid w:val="00B16720"/>
    <w:rsid w:val="00B20969"/>
    <w:rsid w:val="00B2109F"/>
    <w:rsid w:val="00B22390"/>
    <w:rsid w:val="00B2258D"/>
    <w:rsid w:val="00B225B0"/>
    <w:rsid w:val="00B264CB"/>
    <w:rsid w:val="00B318B0"/>
    <w:rsid w:val="00B31E83"/>
    <w:rsid w:val="00B3230A"/>
    <w:rsid w:val="00B325B0"/>
    <w:rsid w:val="00B328FC"/>
    <w:rsid w:val="00B3411C"/>
    <w:rsid w:val="00B4136C"/>
    <w:rsid w:val="00B4271C"/>
    <w:rsid w:val="00B42A04"/>
    <w:rsid w:val="00B43453"/>
    <w:rsid w:val="00B450F8"/>
    <w:rsid w:val="00B47A0F"/>
    <w:rsid w:val="00B47CFD"/>
    <w:rsid w:val="00B50649"/>
    <w:rsid w:val="00B51DCA"/>
    <w:rsid w:val="00B51EDA"/>
    <w:rsid w:val="00B5400D"/>
    <w:rsid w:val="00B549E8"/>
    <w:rsid w:val="00B557B6"/>
    <w:rsid w:val="00B55E3F"/>
    <w:rsid w:val="00B60A1E"/>
    <w:rsid w:val="00B61595"/>
    <w:rsid w:val="00B61680"/>
    <w:rsid w:val="00B648E6"/>
    <w:rsid w:val="00B657A0"/>
    <w:rsid w:val="00B65FA8"/>
    <w:rsid w:val="00B66384"/>
    <w:rsid w:val="00B664D8"/>
    <w:rsid w:val="00B7014D"/>
    <w:rsid w:val="00B7017B"/>
    <w:rsid w:val="00B722B5"/>
    <w:rsid w:val="00B73F2E"/>
    <w:rsid w:val="00B74113"/>
    <w:rsid w:val="00B827C5"/>
    <w:rsid w:val="00B83D1F"/>
    <w:rsid w:val="00B84190"/>
    <w:rsid w:val="00B9057D"/>
    <w:rsid w:val="00B91546"/>
    <w:rsid w:val="00B91D3B"/>
    <w:rsid w:val="00B93466"/>
    <w:rsid w:val="00B94293"/>
    <w:rsid w:val="00B94B1E"/>
    <w:rsid w:val="00B9718C"/>
    <w:rsid w:val="00BA1691"/>
    <w:rsid w:val="00BA326C"/>
    <w:rsid w:val="00BB1709"/>
    <w:rsid w:val="00BB249D"/>
    <w:rsid w:val="00BB76DF"/>
    <w:rsid w:val="00BC17BE"/>
    <w:rsid w:val="00BC2FCC"/>
    <w:rsid w:val="00BC468A"/>
    <w:rsid w:val="00BC7D24"/>
    <w:rsid w:val="00BD0413"/>
    <w:rsid w:val="00BD0C96"/>
    <w:rsid w:val="00BD2E17"/>
    <w:rsid w:val="00BD483E"/>
    <w:rsid w:val="00BD6E3E"/>
    <w:rsid w:val="00BD7B1A"/>
    <w:rsid w:val="00BD7C64"/>
    <w:rsid w:val="00BE2ED0"/>
    <w:rsid w:val="00BE4286"/>
    <w:rsid w:val="00BE4622"/>
    <w:rsid w:val="00BE5FB9"/>
    <w:rsid w:val="00BE647C"/>
    <w:rsid w:val="00BE650A"/>
    <w:rsid w:val="00BE655B"/>
    <w:rsid w:val="00BE7CC4"/>
    <w:rsid w:val="00BE7D8D"/>
    <w:rsid w:val="00BF268F"/>
    <w:rsid w:val="00BF385C"/>
    <w:rsid w:val="00BF6B96"/>
    <w:rsid w:val="00C0349A"/>
    <w:rsid w:val="00C04A7D"/>
    <w:rsid w:val="00C05A8F"/>
    <w:rsid w:val="00C06A01"/>
    <w:rsid w:val="00C079DC"/>
    <w:rsid w:val="00C120C0"/>
    <w:rsid w:val="00C13270"/>
    <w:rsid w:val="00C13EF0"/>
    <w:rsid w:val="00C15A21"/>
    <w:rsid w:val="00C16B23"/>
    <w:rsid w:val="00C17AAA"/>
    <w:rsid w:val="00C202C8"/>
    <w:rsid w:val="00C22EBB"/>
    <w:rsid w:val="00C2545A"/>
    <w:rsid w:val="00C30AB4"/>
    <w:rsid w:val="00C31CC0"/>
    <w:rsid w:val="00C3203A"/>
    <w:rsid w:val="00C33045"/>
    <w:rsid w:val="00C364F8"/>
    <w:rsid w:val="00C41A41"/>
    <w:rsid w:val="00C4306B"/>
    <w:rsid w:val="00C45162"/>
    <w:rsid w:val="00C509D3"/>
    <w:rsid w:val="00C522A9"/>
    <w:rsid w:val="00C60BBD"/>
    <w:rsid w:val="00C6364B"/>
    <w:rsid w:val="00C63CA5"/>
    <w:rsid w:val="00C67CDD"/>
    <w:rsid w:val="00C734E1"/>
    <w:rsid w:val="00C74661"/>
    <w:rsid w:val="00C75C12"/>
    <w:rsid w:val="00C8186B"/>
    <w:rsid w:val="00C850F4"/>
    <w:rsid w:val="00C8797D"/>
    <w:rsid w:val="00C902D7"/>
    <w:rsid w:val="00C94463"/>
    <w:rsid w:val="00C94CD6"/>
    <w:rsid w:val="00C9661C"/>
    <w:rsid w:val="00C971CD"/>
    <w:rsid w:val="00C97A25"/>
    <w:rsid w:val="00CA10EB"/>
    <w:rsid w:val="00CA31D5"/>
    <w:rsid w:val="00CA6695"/>
    <w:rsid w:val="00CA70B9"/>
    <w:rsid w:val="00CB511B"/>
    <w:rsid w:val="00CC3809"/>
    <w:rsid w:val="00CC7744"/>
    <w:rsid w:val="00CD058E"/>
    <w:rsid w:val="00CD168A"/>
    <w:rsid w:val="00CD2C94"/>
    <w:rsid w:val="00CD3F58"/>
    <w:rsid w:val="00CD44C8"/>
    <w:rsid w:val="00CE30A6"/>
    <w:rsid w:val="00CE42A1"/>
    <w:rsid w:val="00CE6738"/>
    <w:rsid w:val="00CE7C01"/>
    <w:rsid w:val="00CF2024"/>
    <w:rsid w:val="00CF3FBF"/>
    <w:rsid w:val="00CF4AD8"/>
    <w:rsid w:val="00CF61B6"/>
    <w:rsid w:val="00CF671F"/>
    <w:rsid w:val="00D00503"/>
    <w:rsid w:val="00D00846"/>
    <w:rsid w:val="00D01950"/>
    <w:rsid w:val="00D04919"/>
    <w:rsid w:val="00D052B4"/>
    <w:rsid w:val="00D10076"/>
    <w:rsid w:val="00D12778"/>
    <w:rsid w:val="00D13B5A"/>
    <w:rsid w:val="00D1488F"/>
    <w:rsid w:val="00D14C78"/>
    <w:rsid w:val="00D16690"/>
    <w:rsid w:val="00D16713"/>
    <w:rsid w:val="00D20645"/>
    <w:rsid w:val="00D20D4C"/>
    <w:rsid w:val="00D22AD5"/>
    <w:rsid w:val="00D23A87"/>
    <w:rsid w:val="00D2449C"/>
    <w:rsid w:val="00D24AAD"/>
    <w:rsid w:val="00D252D1"/>
    <w:rsid w:val="00D2758D"/>
    <w:rsid w:val="00D3177D"/>
    <w:rsid w:val="00D337D1"/>
    <w:rsid w:val="00D33EFF"/>
    <w:rsid w:val="00D357D2"/>
    <w:rsid w:val="00D35E5E"/>
    <w:rsid w:val="00D406B9"/>
    <w:rsid w:val="00D420DA"/>
    <w:rsid w:val="00D426A2"/>
    <w:rsid w:val="00D43E31"/>
    <w:rsid w:val="00D478C9"/>
    <w:rsid w:val="00D50283"/>
    <w:rsid w:val="00D5127D"/>
    <w:rsid w:val="00D675F9"/>
    <w:rsid w:val="00D6772B"/>
    <w:rsid w:val="00D71F7D"/>
    <w:rsid w:val="00D71F97"/>
    <w:rsid w:val="00D7239D"/>
    <w:rsid w:val="00D73421"/>
    <w:rsid w:val="00D7450E"/>
    <w:rsid w:val="00D74A41"/>
    <w:rsid w:val="00D76907"/>
    <w:rsid w:val="00D81644"/>
    <w:rsid w:val="00D85D6C"/>
    <w:rsid w:val="00D900FE"/>
    <w:rsid w:val="00D9441D"/>
    <w:rsid w:val="00DA04ED"/>
    <w:rsid w:val="00DA166D"/>
    <w:rsid w:val="00DA35CD"/>
    <w:rsid w:val="00DA664C"/>
    <w:rsid w:val="00DA6D05"/>
    <w:rsid w:val="00DA791C"/>
    <w:rsid w:val="00DB17A2"/>
    <w:rsid w:val="00DB1D74"/>
    <w:rsid w:val="00DB25E4"/>
    <w:rsid w:val="00DB36C2"/>
    <w:rsid w:val="00DB45EC"/>
    <w:rsid w:val="00DB5F07"/>
    <w:rsid w:val="00DB6524"/>
    <w:rsid w:val="00DB6D0F"/>
    <w:rsid w:val="00DC14F0"/>
    <w:rsid w:val="00DC1945"/>
    <w:rsid w:val="00DC4962"/>
    <w:rsid w:val="00DC68C9"/>
    <w:rsid w:val="00DD1B1B"/>
    <w:rsid w:val="00DD32DC"/>
    <w:rsid w:val="00DD3A11"/>
    <w:rsid w:val="00DD617D"/>
    <w:rsid w:val="00DE04E0"/>
    <w:rsid w:val="00DE06E0"/>
    <w:rsid w:val="00DE55FF"/>
    <w:rsid w:val="00DE5F6F"/>
    <w:rsid w:val="00DE7F03"/>
    <w:rsid w:val="00DF2F4B"/>
    <w:rsid w:val="00DF334B"/>
    <w:rsid w:val="00DF71A3"/>
    <w:rsid w:val="00E00448"/>
    <w:rsid w:val="00E00B23"/>
    <w:rsid w:val="00E0117D"/>
    <w:rsid w:val="00E0310F"/>
    <w:rsid w:val="00E03125"/>
    <w:rsid w:val="00E04D95"/>
    <w:rsid w:val="00E05511"/>
    <w:rsid w:val="00E0769B"/>
    <w:rsid w:val="00E10B5C"/>
    <w:rsid w:val="00E11760"/>
    <w:rsid w:val="00E119E8"/>
    <w:rsid w:val="00E12973"/>
    <w:rsid w:val="00E12C40"/>
    <w:rsid w:val="00E141EC"/>
    <w:rsid w:val="00E14792"/>
    <w:rsid w:val="00E14DAE"/>
    <w:rsid w:val="00E155FA"/>
    <w:rsid w:val="00E169CD"/>
    <w:rsid w:val="00E205A2"/>
    <w:rsid w:val="00E217A2"/>
    <w:rsid w:val="00E228DE"/>
    <w:rsid w:val="00E23208"/>
    <w:rsid w:val="00E24758"/>
    <w:rsid w:val="00E2763D"/>
    <w:rsid w:val="00E33050"/>
    <w:rsid w:val="00E345DB"/>
    <w:rsid w:val="00E3545D"/>
    <w:rsid w:val="00E3574A"/>
    <w:rsid w:val="00E35A46"/>
    <w:rsid w:val="00E40533"/>
    <w:rsid w:val="00E405B8"/>
    <w:rsid w:val="00E435D8"/>
    <w:rsid w:val="00E4448D"/>
    <w:rsid w:val="00E46F96"/>
    <w:rsid w:val="00E475AC"/>
    <w:rsid w:val="00E50D28"/>
    <w:rsid w:val="00E51807"/>
    <w:rsid w:val="00E53896"/>
    <w:rsid w:val="00E5597A"/>
    <w:rsid w:val="00E55ABB"/>
    <w:rsid w:val="00E5686D"/>
    <w:rsid w:val="00E6038C"/>
    <w:rsid w:val="00E609A2"/>
    <w:rsid w:val="00E60BCA"/>
    <w:rsid w:val="00E62FEA"/>
    <w:rsid w:val="00E64602"/>
    <w:rsid w:val="00E659E5"/>
    <w:rsid w:val="00E67B60"/>
    <w:rsid w:val="00E67D90"/>
    <w:rsid w:val="00E70C9F"/>
    <w:rsid w:val="00E72931"/>
    <w:rsid w:val="00E74DC5"/>
    <w:rsid w:val="00E75380"/>
    <w:rsid w:val="00E7665D"/>
    <w:rsid w:val="00E766DF"/>
    <w:rsid w:val="00E8172C"/>
    <w:rsid w:val="00E822AD"/>
    <w:rsid w:val="00E82A56"/>
    <w:rsid w:val="00E82B1A"/>
    <w:rsid w:val="00E83D8A"/>
    <w:rsid w:val="00E90731"/>
    <w:rsid w:val="00E95A84"/>
    <w:rsid w:val="00E96CB5"/>
    <w:rsid w:val="00E9789E"/>
    <w:rsid w:val="00E97BF4"/>
    <w:rsid w:val="00EA0B74"/>
    <w:rsid w:val="00EA2A88"/>
    <w:rsid w:val="00EA78FF"/>
    <w:rsid w:val="00EB002B"/>
    <w:rsid w:val="00EB094A"/>
    <w:rsid w:val="00EB279B"/>
    <w:rsid w:val="00EB2A9E"/>
    <w:rsid w:val="00EB2CA5"/>
    <w:rsid w:val="00EB43FD"/>
    <w:rsid w:val="00EB44BE"/>
    <w:rsid w:val="00EB4682"/>
    <w:rsid w:val="00EB477D"/>
    <w:rsid w:val="00EB7FCF"/>
    <w:rsid w:val="00EC28E5"/>
    <w:rsid w:val="00EC57B9"/>
    <w:rsid w:val="00EC6350"/>
    <w:rsid w:val="00EC6B93"/>
    <w:rsid w:val="00EC6C40"/>
    <w:rsid w:val="00EC741D"/>
    <w:rsid w:val="00EE0868"/>
    <w:rsid w:val="00EE1372"/>
    <w:rsid w:val="00EE1BFF"/>
    <w:rsid w:val="00EE1F4E"/>
    <w:rsid w:val="00EF0B62"/>
    <w:rsid w:val="00EF16B6"/>
    <w:rsid w:val="00EF1989"/>
    <w:rsid w:val="00EF348D"/>
    <w:rsid w:val="00EF3A40"/>
    <w:rsid w:val="00EF468B"/>
    <w:rsid w:val="00EF5429"/>
    <w:rsid w:val="00F011D0"/>
    <w:rsid w:val="00F0126F"/>
    <w:rsid w:val="00F02857"/>
    <w:rsid w:val="00F03424"/>
    <w:rsid w:val="00F04B14"/>
    <w:rsid w:val="00F04CDD"/>
    <w:rsid w:val="00F0606D"/>
    <w:rsid w:val="00F071A7"/>
    <w:rsid w:val="00F0778D"/>
    <w:rsid w:val="00F077D3"/>
    <w:rsid w:val="00F07E0C"/>
    <w:rsid w:val="00F1328C"/>
    <w:rsid w:val="00F13939"/>
    <w:rsid w:val="00F13B21"/>
    <w:rsid w:val="00F14463"/>
    <w:rsid w:val="00F1653E"/>
    <w:rsid w:val="00F17FE9"/>
    <w:rsid w:val="00F2128C"/>
    <w:rsid w:val="00F23291"/>
    <w:rsid w:val="00F25284"/>
    <w:rsid w:val="00F26CA1"/>
    <w:rsid w:val="00F31416"/>
    <w:rsid w:val="00F33190"/>
    <w:rsid w:val="00F332A2"/>
    <w:rsid w:val="00F337B2"/>
    <w:rsid w:val="00F33D36"/>
    <w:rsid w:val="00F3456E"/>
    <w:rsid w:val="00F40695"/>
    <w:rsid w:val="00F45799"/>
    <w:rsid w:val="00F4755A"/>
    <w:rsid w:val="00F50764"/>
    <w:rsid w:val="00F547A2"/>
    <w:rsid w:val="00F555C6"/>
    <w:rsid w:val="00F60CC6"/>
    <w:rsid w:val="00F622E8"/>
    <w:rsid w:val="00F63895"/>
    <w:rsid w:val="00F63F4E"/>
    <w:rsid w:val="00F64822"/>
    <w:rsid w:val="00F65CB3"/>
    <w:rsid w:val="00F66B4C"/>
    <w:rsid w:val="00F6759D"/>
    <w:rsid w:val="00F707E3"/>
    <w:rsid w:val="00F70A77"/>
    <w:rsid w:val="00F71CD0"/>
    <w:rsid w:val="00F71FC5"/>
    <w:rsid w:val="00F73049"/>
    <w:rsid w:val="00F7378F"/>
    <w:rsid w:val="00F75681"/>
    <w:rsid w:val="00F77609"/>
    <w:rsid w:val="00F80AE5"/>
    <w:rsid w:val="00F83002"/>
    <w:rsid w:val="00F9065F"/>
    <w:rsid w:val="00F9142F"/>
    <w:rsid w:val="00F91F5A"/>
    <w:rsid w:val="00F92F01"/>
    <w:rsid w:val="00F941C2"/>
    <w:rsid w:val="00F95B2C"/>
    <w:rsid w:val="00F971E5"/>
    <w:rsid w:val="00FA509B"/>
    <w:rsid w:val="00FB0F81"/>
    <w:rsid w:val="00FB17F6"/>
    <w:rsid w:val="00FB3263"/>
    <w:rsid w:val="00FB5CFE"/>
    <w:rsid w:val="00FB6ED3"/>
    <w:rsid w:val="00FB79D5"/>
    <w:rsid w:val="00FC07D5"/>
    <w:rsid w:val="00FC0D50"/>
    <w:rsid w:val="00FC3832"/>
    <w:rsid w:val="00FC4754"/>
    <w:rsid w:val="00FC616C"/>
    <w:rsid w:val="00FC6BFA"/>
    <w:rsid w:val="00FD1F2A"/>
    <w:rsid w:val="00FD5FBF"/>
    <w:rsid w:val="00FE41CB"/>
    <w:rsid w:val="00FE574F"/>
    <w:rsid w:val="00FE610F"/>
    <w:rsid w:val="00FF029E"/>
    <w:rsid w:val="00FF0918"/>
    <w:rsid w:val="00FF0A78"/>
    <w:rsid w:val="00FF2332"/>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8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semiHidden/>
    <w:rsid w:val="00490FF7"/>
    <w:rPr>
      <w:rFonts w:eastAsia="SimSun"/>
      <w:sz w:val="16"/>
      <w:szCs w:val="20"/>
      <w:lang w:eastAsia="zh-CN"/>
    </w:rPr>
  </w:style>
  <w:style w:type="character" w:styleId="FootnoteReference">
    <w:name w:val="footnote reference"/>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link w:val="IAPOQ2"/>
    <w:rsid w:val="00F1653E"/>
    <w:rPr>
      <w:rFonts w:ascii="Arial" w:eastAsia="SimSun" w:hAnsi="Arial"/>
      <w:b/>
      <w:color w:val="000000"/>
      <w:spacing w:val="-5"/>
      <w:lang w:val="en-GB" w:eastAsia="zh-CN" w:bidi="ar-SA"/>
    </w:rPr>
  </w:style>
  <w:style w:type="character" w:customStyle="1" w:styleId="IPPOQ3Char">
    <w:name w:val="IPPOQ3 Char"/>
    <w:link w:val="IPPOQ3"/>
    <w:rsid w:val="00F1653E"/>
    <w:rPr>
      <w:rFonts w:ascii="Arial" w:eastAsia="SimSun" w:hAnsi="Arial"/>
      <w:b/>
      <w:color w:val="000000"/>
      <w:spacing w:val="-5"/>
      <w:lang w:val="en-GB" w:eastAsia="zh-CN" w:bidi="ar-SA"/>
    </w:rPr>
  </w:style>
  <w:style w:type="character" w:customStyle="1" w:styleId="IAPOQ4Char">
    <w:name w:val="IAPOQ4 Char"/>
    <w:link w:val="IAPOQ4"/>
    <w:rsid w:val="00F1653E"/>
    <w:rPr>
      <w:rFonts w:ascii="Arial" w:eastAsia="SimSun" w:hAnsi="Arial"/>
      <w:b/>
      <w:color w:val="000000"/>
      <w:spacing w:val="-5"/>
      <w:lang w:val="en-GB" w:eastAsia="zh-CN" w:bidi="ar-SA"/>
    </w:rPr>
  </w:style>
  <w:style w:type="character" w:customStyle="1" w:styleId="IAPOQ5Char">
    <w:name w:val="IAPOQ5 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IALabel">
    <w:name w:val="IALabel"/>
    <w:rsid w:val="009F6692"/>
    <w:rPr>
      <w:color w:val="000000"/>
      <w:sz w:val="20"/>
    </w:rPr>
  </w:style>
  <w:style w:type="paragraph" w:styleId="ListParagraph">
    <w:name w:val="List Paragraph"/>
    <w:basedOn w:val="Normal"/>
    <w:uiPriority w:val="34"/>
    <w:qFormat/>
    <w:rsid w:val="00821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qFormat/>
    <w:rsid w:val="002B7335"/>
    <w:pPr>
      <w:keepNext/>
      <w:keepLines/>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spacing w:before="240"/>
      <w:outlineLvl w:val="3"/>
    </w:pPr>
    <w:rPr>
      <w:b/>
    </w:rPr>
  </w:style>
  <w:style w:type="paragraph" w:styleId="Heading5">
    <w:name w:val="heading 5"/>
    <w:aliases w:val="EBHeading4"/>
    <w:basedOn w:val="Normal"/>
    <w:next w:val="Normal"/>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rsid w:val="003E54B6"/>
    <w:pPr>
      <w:spacing w:after="120"/>
    </w:pPr>
    <w:rPr>
      <w:rFonts w:cs="Arial"/>
      <w:bCs/>
      <w:color w:val="000000"/>
      <w:sz w:val="22"/>
      <w:szCs w:val="22"/>
      <w:lang w:eastAsia="en-GB"/>
    </w:rPr>
  </w:style>
  <w:style w:type="table" w:styleId="TableGrid">
    <w:name w:val="Table Grid"/>
    <w:basedOn w:val="TableNormal"/>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semiHidden/>
    <w:rsid w:val="00490FF7"/>
    <w:rPr>
      <w:rFonts w:eastAsia="SimSun"/>
      <w:sz w:val="16"/>
      <w:szCs w:val="20"/>
      <w:lang w:eastAsia="zh-CN"/>
    </w:rPr>
  </w:style>
  <w:style w:type="character" w:styleId="FootnoteReference">
    <w:name w:val="footnote reference"/>
    <w:rsid w:val="00B84190"/>
    <w:rPr>
      <w:sz w:val="22"/>
      <w:vertAlign w:val="superscript"/>
    </w:rPr>
  </w:style>
  <w:style w:type="paragraph" w:customStyle="1" w:styleId="EBBodyPara">
    <w:name w:val="EBBodyPara"/>
    <w:basedOn w:val="BodyText"/>
    <w:rsid w:val="005A2FC0"/>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BodyText"/>
    <w:rsid w:val="002B7335"/>
    <w:pPr>
      <w:numPr>
        <w:ilvl w:val="1"/>
        <w:numId w:val="20"/>
      </w:numPr>
    </w:pPr>
  </w:style>
  <w:style w:type="paragraph" w:customStyle="1" w:styleId="EBNumberRestart">
    <w:name w:val="EBNumberRestart"/>
    <w:basedOn w:val="BodyText"/>
    <w:next w:val="EBNumber"/>
    <w:rsid w:val="002B7335"/>
    <w:pPr>
      <w:numPr>
        <w:numId w:val="20"/>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rsid w:val="00B4136C"/>
    <w:rPr>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7"/>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link w:val="IAPOQ2"/>
    <w:rsid w:val="00F1653E"/>
    <w:rPr>
      <w:rFonts w:ascii="Arial" w:eastAsia="SimSun" w:hAnsi="Arial"/>
      <w:b/>
      <w:color w:val="000000"/>
      <w:spacing w:val="-5"/>
      <w:lang w:val="en-GB" w:eastAsia="zh-CN" w:bidi="ar-SA"/>
    </w:rPr>
  </w:style>
  <w:style w:type="character" w:customStyle="1" w:styleId="IPPOQ3Char">
    <w:name w:val="IPPOQ3 Char"/>
    <w:link w:val="IPPOQ3"/>
    <w:rsid w:val="00F1653E"/>
    <w:rPr>
      <w:rFonts w:ascii="Arial" w:eastAsia="SimSun" w:hAnsi="Arial"/>
      <w:b/>
      <w:color w:val="000000"/>
      <w:spacing w:val="-5"/>
      <w:lang w:val="en-GB" w:eastAsia="zh-CN" w:bidi="ar-SA"/>
    </w:rPr>
  </w:style>
  <w:style w:type="character" w:customStyle="1" w:styleId="IAPOQ4Char">
    <w:name w:val="IAPOQ4 Char"/>
    <w:link w:val="IAPOQ4"/>
    <w:rsid w:val="00F1653E"/>
    <w:rPr>
      <w:rFonts w:ascii="Arial" w:eastAsia="SimSun" w:hAnsi="Arial"/>
      <w:b/>
      <w:color w:val="000000"/>
      <w:spacing w:val="-5"/>
      <w:lang w:val="en-GB" w:eastAsia="zh-CN" w:bidi="ar-SA"/>
    </w:rPr>
  </w:style>
  <w:style w:type="character" w:customStyle="1" w:styleId="IAPOQ5Char">
    <w:name w:val="IAPOQ5 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eastAsia="Calibri"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rsid w:val="005F32E7"/>
    <w:pPr>
      <w:ind w:left="113"/>
    </w:pPr>
    <w:rPr>
      <w:rFonts w:eastAsia="Arial Unicode M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IALabel">
    <w:name w:val="IALabel"/>
    <w:rsid w:val="009F6692"/>
    <w:rPr>
      <w:color w:val="000000"/>
      <w:sz w:val="20"/>
    </w:rPr>
  </w:style>
  <w:style w:type="paragraph" w:styleId="ListParagraph">
    <w:name w:val="List Paragraph"/>
    <w:basedOn w:val="Normal"/>
    <w:uiPriority w:val="34"/>
    <w:qFormat/>
    <w:rsid w:val="00821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4717\AppData\Local\Microsoft\Windows\Temporary%20Internet%20Files\Low\Content.IE5\NYAZDJG6\Impact%2520Assessment%25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2D7F-7C1B-485F-85CA-5206C15E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Impact%20Assessment%20Template[1].dot</Template>
  <TotalTime>1</TotalTime>
  <Pages>8</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Impact Assessment</vt:lpstr>
    </vt:vector>
  </TitlesOfParts>
  <Company>DCMS</Company>
  <LinksUpToDate>false</LinksUpToDate>
  <CharactersWithSpaces>28181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MARSH CAITY</dc:creator>
  <cp:lastModifiedBy>BILES, Amanda</cp:lastModifiedBy>
  <cp:revision>2</cp:revision>
  <cp:lastPrinted>2010-01-04T17:20:00Z</cp:lastPrinted>
  <dcterms:created xsi:type="dcterms:W3CDTF">2014-07-08T11:06:00Z</dcterms:created>
  <dcterms:modified xsi:type="dcterms:W3CDTF">2014-07-08T11:06:00Z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