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12" w:rsidRPr="00122C12" w:rsidRDefault="00122C12" w:rsidP="00122C12">
      <w:pPr>
        <w:spacing w:after="0" w:line="240" w:lineRule="auto"/>
        <w:jc w:val="center"/>
        <w:rPr>
          <w:b/>
        </w:rPr>
      </w:pPr>
      <w:r w:rsidRPr="00122C12">
        <w:rPr>
          <w:b/>
        </w:rPr>
        <w:t xml:space="preserve">FCO SPF </w:t>
      </w:r>
      <w:r>
        <w:rPr>
          <w:b/>
        </w:rPr>
        <w:t>PROJECT EVALUATION</w:t>
      </w:r>
    </w:p>
    <w:p w:rsidR="007C118F" w:rsidRPr="008D31A0" w:rsidRDefault="007C118F" w:rsidP="001C4482">
      <w:pPr>
        <w:spacing w:after="0" w:line="240" w:lineRule="auto"/>
        <w:rPr>
          <w:b/>
          <w:sz w:val="12"/>
          <w:u w:val="single"/>
        </w:rPr>
      </w:pPr>
    </w:p>
    <w:p w:rsidR="00BE4167" w:rsidRPr="00AE51E0" w:rsidRDefault="00824B59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 w:rsidRPr="00AE51E0">
        <w:rPr>
          <w:b/>
        </w:rPr>
        <w:t>Project Details</w:t>
      </w:r>
      <w:r w:rsidR="007C118F" w:rsidRPr="00AE51E0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C6015B" w:rsidTr="00504B1E">
        <w:tc>
          <w:tcPr>
            <w:tcW w:w="4644" w:type="dxa"/>
            <w:vAlign w:val="center"/>
          </w:tcPr>
          <w:p w:rsidR="009A2B69" w:rsidRDefault="00C6015B" w:rsidP="00AE51E0">
            <w:r>
              <w:t xml:space="preserve">Project Number </w:t>
            </w:r>
          </w:p>
        </w:tc>
        <w:tc>
          <w:tcPr>
            <w:tcW w:w="4598" w:type="dxa"/>
            <w:vAlign w:val="center"/>
          </w:tcPr>
          <w:p w:rsidR="00FF5F34" w:rsidRDefault="00AE51E0" w:rsidP="00AE51E0">
            <w:r>
              <w:t>GB-3-</w:t>
            </w:r>
            <w:r w:rsidR="00FF5F34">
              <w:t>PHR 311301</w:t>
            </w:r>
            <w:r>
              <w:t xml:space="preserve"> BUR</w:t>
            </w:r>
          </w:p>
        </w:tc>
      </w:tr>
      <w:tr w:rsidR="00C6015B" w:rsidTr="00504B1E">
        <w:trPr>
          <w:trHeight w:val="454"/>
        </w:trPr>
        <w:tc>
          <w:tcPr>
            <w:tcW w:w="4644" w:type="dxa"/>
            <w:vAlign w:val="center"/>
          </w:tcPr>
          <w:p w:rsidR="00C6015B" w:rsidRDefault="00C6015B" w:rsidP="008866DF">
            <w:pPr>
              <w:spacing w:before="60" w:after="60"/>
            </w:pPr>
            <w:r>
              <w:t>Project Title</w:t>
            </w:r>
          </w:p>
        </w:tc>
        <w:tc>
          <w:tcPr>
            <w:tcW w:w="4598" w:type="dxa"/>
            <w:vAlign w:val="center"/>
          </w:tcPr>
          <w:p w:rsidR="00C6015B" w:rsidRDefault="000E3F71" w:rsidP="008866DF">
            <w:pPr>
              <w:spacing w:before="60" w:after="60"/>
            </w:pPr>
            <w:r>
              <w:t>Burma Rule of Law Project</w:t>
            </w:r>
          </w:p>
        </w:tc>
      </w:tr>
      <w:tr w:rsidR="00C6015B" w:rsidTr="00504B1E">
        <w:trPr>
          <w:trHeight w:val="454"/>
        </w:trPr>
        <w:tc>
          <w:tcPr>
            <w:tcW w:w="4644" w:type="dxa"/>
            <w:vAlign w:val="center"/>
          </w:tcPr>
          <w:p w:rsidR="00C6015B" w:rsidRDefault="00F23B01" w:rsidP="008866DF">
            <w:r>
              <w:t>Project Cost (total cost / cost to FCO if different)</w:t>
            </w:r>
          </w:p>
        </w:tc>
        <w:tc>
          <w:tcPr>
            <w:tcW w:w="4598" w:type="dxa"/>
            <w:vAlign w:val="center"/>
          </w:tcPr>
          <w:p w:rsidR="00C6015B" w:rsidRDefault="00FF5F34" w:rsidP="008866DF">
            <w:pPr>
              <w:spacing w:before="60" w:after="60"/>
            </w:pPr>
            <w:r>
              <w:t>GBP 23,530</w:t>
            </w:r>
          </w:p>
        </w:tc>
      </w:tr>
      <w:tr w:rsidR="00C6015B" w:rsidTr="00504B1E">
        <w:trPr>
          <w:trHeight w:val="454"/>
        </w:trPr>
        <w:tc>
          <w:tcPr>
            <w:tcW w:w="4644" w:type="dxa"/>
            <w:vAlign w:val="center"/>
          </w:tcPr>
          <w:p w:rsidR="00C6015B" w:rsidRDefault="00C6015B" w:rsidP="008866DF">
            <w:pPr>
              <w:spacing w:before="60" w:after="60"/>
            </w:pPr>
            <w:r>
              <w:t xml:space="preserve">Project </w:t>
            </w:r>
            <w:r w:rsidR="0043665C">
              <w:t>Start/End Dates</w:t>
            </w:r>
          </w:p>
        </w:tc>
        <w:tc>
          <w:tcPr>
            <w:tcW w:w="4598" w:type="dxa"/>
            <w:vAlign w:val="center"/>
          </w:tcPr>
          <w:p w:rsidR="00C6015B" w:rsidRDefault="008866DF" w:rsidP="008866DF">
            <w:pPr>
              <w:spacing w:before="60" w:after="60"/>
            </w:pPr>
            <w:r>
              <w:t>1 June 2012 to 28 Feb 2013</w:t>
            </w:r>
          </w:p>
        </w:tc>
      </w:tr>
      <w:tr w:rsidR="008866DF" w:rsidTr="00504B1E">
        <w:trPr>
          <w:trHeight w:val="454"/>
        </w:trPr>
        <w:tc>
          <w:tcPr>
            <w:tcW w:w="4644" w:type="dxa"/>
            <w:vAlign w:val="center"/>
          </w:tcPr>
          <w:p w:rsidR="008866DF" w:rsidRDefault="008866DF" w:rsidP="008866DF">
            <w:pPr>
              <w:spacing w:before="60" w:after="60"/>
            </w:pPr>
            <w:r>
              <w:t>Programme</w:t>
            </w:r>
          </w:p>
        </w:tc>
        <w:tc>
          <w:tcPr>
            <w:tcW w:w="4598" w:type="dxa"/>
            <w:vAlign w:val="center"/>
          </w:tcPr>
          <w:p w:rsidR="008866DF" w:rsidRPr="00267262" w:rsidRDefault="008866DF" w:rsidP="008866DF">
            <w:pPr>
              <w:spacing w:before="60" w:after="60"/>
            </w:pPr>
            <w:r w:rsidRPr="00267262">
              <w:t>Human Rights and Democracy</w:t>
            </w:r>
            <w:r>
              <w:t xml:space="preserve"> Programme Fund</w:t>
            </w:r>
          </w:p>
        </w:tc>
      </w:tr>
      <w:tr w:rsidR="008866DF" w:rsidTr="00504B1E">
        <w:trPr>
          <w:trHeight w:val="454"/>
        </w:trPr>
        <w:tc>
          <w:tcPr>
            <w:tcW w:w="4644" w:type="dxa"/>
            <w:vAlign w:val="center"/>
          </w:tcPr>
          <w:p w:rsidR="008866DF" w:rsidRDefault="008866DF" w:rsidP="008866DF">
            <w:pPr>
              <w:spacing w:before="60" w:after="60"/>
            </w:pPr>
            <w:r>
              <w:t>Country/Countries</w:t>
            </w:r>
          </w:p>
        </w:tc>
        <w:tc>
          <w:tcPr>
            <w:tcW w:w="4598" w:type="dxa"/>
            <w:vAlign w:val="center"/>
          </w:tcPr>
          <w:p w:rsidR="008866DF" w:rsidRPr="00267262" w:rsidRDefault="008866DF" w:rsidP="008866DF">
            <w:pPr>
              <w:spacing w:before="60" w:after="60"/>
            </w:pPr>
            <w:r w:rsidRPr="00267262">
              <w:t>Burma</w:t>
            </w:r>
          </w:p>
        </w:tc>
      </w:tr>
      <w:tr w:rsidR="008866DF" w:rsidTr="00504B1E">
        <w:trPr>
          <w:trHeight w:val="454"/>
        </w:trPr>
        <w:tc>
          <w:tcPr>
            <w:tcW w:w="4644" w:type="dxa"/>
            <w:vAlign w:val="center"/>
          </w:tcPr>
          <w:p w:rsidR="008866DF" w:rsidRDefault="008866DF" w:rsidP="008866DF">
            <w:pPr>
              <w:spacing w:before="60" w:after="60"/>
            </w:pPr>
            <w:r>
              <w:t>Official Development Assistance    Y/N</w:t>
            </w:r>
          </w:p>
        </w:tc>
        <w:tc>
          <w:tcPr>
            <w:tcW w:w="4598" w:type="dxa"/>
            <w:vAlign w:val="center"/>
          </w:tcPr>
          <w:p w:rsidR="008866DF" w:rsidRPr="00267262" w:rsidRDefault="008866DF" w:rsidP="008866DF">
            <w:pPr>
              <w:spacing w:before="60" w:after="60"/>
            </w:pPr>
            <w:r w:rsidRPr="00267262">
              <w:t>Y</w:t>
            </w:r>
          </w:p>
        </w:tc>
      </w:tr>
    </w:tbl>
    <w:p w:rsidR="00C6015B" w:rsidRPr="004B0CA5" w:rsidRDefault="00C6015B" w:rsidP="001C4482">
      <w:pPr>
        <w:spacing w:after="0" w:line="240" w:lineRule="auto"/>
        <w:rPr>
          <w:sz w:val="24"/>
          <w:szCs w:val="24"/>
        </w:rPr>
      </w:pPr>
    </w:p>
    <w:p w:rsidR="00982CF6" w:rsidRDefault="00982CF6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 w:rsidRPr="007C118F">
        <w:rPr>
          <w:b/>
        </w:rPr>
        <w:t>Project Purpose</w:t>
      </w:r>
      <w:r w:rsidR="00C6015B">
        <w:t xml:space="preserve"> </w:t>
      </w:r>
      <w:r w:rsidR="0043665C">
        <w:t>(from proposal form)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7D4E54" w:rsidRDefault="000E3F71" w:rsidP="00B1271A">
            <w:r>
              <w:t>To promote the rule of law in Burma through a range of initiatives aimed at both supporting and building the capacity of legal professionals and other national stakeholders.</w:t>
            </w:r>
          </w:p>
        </w:tc>
      </w:tr>
    </w:tbl>
    <w:p w:rsidR="00C6015B" w:rsidRPr="004B0CA5" w:rsidRDefault="00C6015B" w:rsidP="00982CF6">
      <w:pPr>
        <w:spacing w:after="0" w:line="240" w:lineRule="auto"/>
        <w:rPr>
          <w:sz w:val="24"/>
          <w:szCs w:val="24"/>
        </w:rPr>
      </w:pPr>
    </w:p>
    <w:p w:rsidR="001C4482" w:rsidRPr="00AE51E0" w:rsidRDefault="001C4482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 w:rsidRPr="00AE51E0">
        <w:rPr>
          <w:b/>
        </w:rPr>
        <w:t>Project Background</w:t>
      </w:r>
      <w:r w:rsidR="00E50276" w:rsidRPr="00AE51E0">
        <w:rPr>
          <w:b/>
        </w:rPr>
        <w:t xml:space="preserve"> / Context</w:t>
      </w:r>
      <w:r w:rsidR="00C6015B" w:rsidRPr="00AE51E0">
        <w:t xml:space="preserve"> including what the project set out to achieve</w:t>
      </w:r>
      <w:r w:rsidR="007D4E54" w:rsidRPr="00AE51E0">
        <w:t xml:space="preserve">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8D31A0" w:rsidRPr="008D31A0" w:rsidRDefault="008D31A0" w:rsidP="004B0CA5">
            <w:pPr>
              <w:spacing w:after="120"/>
              <w:jc w:val="both"/>
            </w:pPr>
            <w:r w:rsidRPr="008D31A0">
              <w:t>In 2010, Da</w:t>
            </w:r>
            <w:r w:rsidR="00D3413E">
              <w:t xml:space="preserve">w </w:t>
            </w:r>
            <w:proofErr w:type="spellStart"/>
            <w:r w:rsidR="00D3413E">
              <w:t>Aung</w:t>
            </w:r>
            <w:proofErr w:type="spellEnd"/>
            <w:r w:rsidR="00D3413E">
              <w:t xml:space="preserve"> San </w:t>
            </w:r>
            <w:proofErr w:type="spellStart"/>
            <w:r w:rsidR="00D3413E">
              <w:t>Suu</w:t>
            </w:r>
            <w:proofErr w:type="spellEnd"/>
            <w:r w:rsidR="00D3413E">
              <w:t xml:space="preserve"> </w:t>
            </w:r>
            <w:proofErr w:type="spellStart"/>
            <w:r w:rsidR="00D3413E">
              <w:t>Kyi</w:t>
            </w:r>
            <w:proofErr w:type="spellEnd"/>
            <w:r w:rsidR="00D3413E">
              <w:t xml:space="preserve"> requested </w:t>
            </w:r>
            <w:r w:rsidRPr="008D31A0">
              <w:t>assistance in esta</w:t>
            </w:r>
            <w:r w:rsidR="00D3413E">
              <w:t xml:space="preserve">blishing rule of law in Burma. Following consultations, </w:t>
            </w:r>
            <w:r w:rsidR="00D612A7">
              <w:t>i</w:t>
            </w:r>
            <w:r w:rsidRPr="008D31A0">
              <w:t>n early 2012, Ms. Pack set up Justice Base</w:t>
            </w:r>
            <w:r w:rsidR="00D3413E">
              <w:t xml:space="preserve">, </w:t>
            </w:r>
            <w:r w:rsidR="00D612A7">
              <w:t xml:space="preserve">a London-based NGO </w:t>
            </w:r>
            <w:r w:rsidRPr="008D31A0">
              <w:t>to carry out pro</w:t>
            </w:r>
            <w:r w:rsidR="00D3413E">
              <w:t xml:space="preserve">grams aimed at addressing the </w:t>
            </w:r>
            <w:r w:rsidRPr="008D31A0">
              <w:t>needs</w:t>
            </w:r>
            <w:r w:rsidR="00D3413E">
              <w:t xml:space="preserve"> identified.</w:t>
            </w:r>
          </w:p>
          <w:p w:rsidR="007D4E54" w:rsidRDefault="008D31A0" w:rsidP="00D3413E">
            <w:pPr>
              <w:spacing w:after="120"/>
              <w:jc w:val="both"/>
              <w:outlineLvl w:val="0"/>
            </w:pPr>
            <w:r w:rsidRPr="008D31A0">
              <w:t>As Senior Counsel for Aegis Trust between September 2009 an</w:t>
            </w:r>
            <w:r w:rsidR="00D3413E">
              <w:t>d the end of March 2012, Ms</w:t>
            </w:r>
            <w:r w:rsidRPr="008D31A0">
              <w:t xml:space="preserve"> Pac</w:t>
            </w:r>
            <w:r w:rsidR="00D3413E">
              <w:t>k set up and managed the organis</w:t>
            </w:r>
            <w:r w:rsidRPr="008D31A0">
              <w:t xml:space="preserve">ation’s Burma Programme. While administering </w:t>
            </w:r>
            <w:r w:rsidR="00D3413E">
              <w:t>this, Ms</w:t>
            </w:r>
            <w:r w:rsidRPr="008D31A0">
              <w:t xml:space="preserve"> Pac</w:t>
            </w:r>
            <w:r w:rsidR="00D3413E">
              <w:t>k</w:t>
            </w:r>
            <w:r w:rsidRPr="008D31A0">
              <w:t xml:space="preserve"> trained Burma-focused NGOs based in Thailand on international criminal law, the documentation of international crimes, the mechanics of a potential Commission of Inquiry for Burma, and related areas. In January 2012, she convened a rule of law training</w:t>
            </w:r>
            <w:r w:rsidR="00D3413E">
              <w:t xml:space="preserve"> event</w:t>
            </w:r>
            <w:r w:rsidRPr="008D31A0">
              <w:t xml:space="preserve"> in London for prominent civil society actors from inside Burma, and held discussions with lawyers attending from inside Burma with the aim of identifying rule of law needs and national capacity.</w:t>
            </w:r>
          </w:p>
        </w:tc>
      </w:tr>
    </w:tbl>
    <w:p w:rsidR="0006138E" w:rsidRPr="004B0CA5" w:rsidRDefault="0006138E" w:rsidP="001C4482">
      <w:pPr>
        <w:spacing w:after="0" w:line="240" w:lineRule="auto"/>
        <w:rPr>
          <w:sz w:val="24"/>
          <w:szCs w:val="24"/>
        </w:rPr>
      </w:pPr>
    </w:p>
    <w:p w:rsidR="00C94678" w:rsidRPr="00C94678" w:rsidRDefault="00C94678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 w:rsidRPr="007C3AB5">
        <w:rPr>
          <w:b/>
        </w:rPr>
        <w:t>Evaluation summary</w:t>
      </w:r>
      <w:r>
        <w:t xml:space="preserve">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6015B" w:rsidTr="00C6015B">
        <w:tc>
          <w:tcPr>
            <w:tcW w:w="9242" w:type="dxa"/>
          </w:tcPr>
          <w:p w:rsidR="00C6015B" w:rsidRDefault="00893B3F" w:rsidP="00D3413E">
            <w:pPr>
              <w:jc w:val="both"/>
            </w:pPr>
            <w:r>
              <w:t xml:space="preserve">This was a small project (£23k) by a new NGO, Justice Base, to train lawyers on transitional justice and legal casework, </w:t>
            </w:r>
            <w:r w:rsidR="00D3413E">
              <w:t xml:space="preserve">and </w:t>
            </w:r>
            <w:r>
              <w:t xml:space="preserve">to </w:t>
            </w:r>
            <w:r w:rsidR="000E4F90">
              <w:t>seek</w:t>
            </w:r>
            <w:r>
              <w:t xml:space="preserve"> accountability for human rights violations. The project’s biggest achievement was creating space for private discussion of transitional justice, and helping to establish Justice Base. If viewed against the stated</w:t>
            </w:r>
            <w:r w:rsidR="00D3413E">
              <w:t xml:space="preserve"> purpose (“to promote the rule of law”</w:t>
            </w:r>
            <w:r>
              <w:t>), the impact of the project was minimal</w:t>
            </w:r>
            <w:r w:rsidR="000C3A37">
              <w:t>; in fact, the implementer requested an amendment to the project when US funding became available for that work</w:t>
            </w:r>
            <w:r>
              <w:t xml:space="preserve">. However, in a modest way the project has supported the development of legal documentation skills, the further development of a network of local </w:t>
            </w:r>
            <w:r w:rsidR="000E4F90">
              <w:t>lawyers</w:t>
            </w:r>
            <w:r>
              <w:t>, and the establishment of Justice Base. Post funded the project when the political transition had just started. If it was being funded now, a higher level of ambition c</w:t>
            </w:r>
            <w:r w:rsidR="000E4F90">
              <w:t>ould be expected</w:t>
            </w:r>
            <w:r>
              <w:t>.</w:t>
            </w:r>
          </w:p>
        </w:tc>
      </w:tr>
    </w:tbl>
    <w:p w:rsidR="00D3413E" w:rsidRDefault="00D3413E" w:rsidP="00D3413E">
      <w:pPr>
        <w:pStyle w:val="ListParagraph"/>
        <w:spacing w:after="0" w:line="240" w:lineRule="auto"/>
        <w:ind w:left="426"/>
        <w:rPr>
          <w:b/>
        </w:rPr>
      </w:pPr>
    </w:p>
    <w:p w:rsidR="00B8106D" w:rsidRPr="007C118F" w:rsidRDefault="00B8106D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>
        <w:rPr>
          <w:b/>
        </w:rPr>
        <w:t>Q</w:t>
      </w:r>
      <w:r w:rsidRPr="007C118F">
        <w:rPr>
          <w:b/>
        </w:rPr>
        <w:t>uestions</w:t>
      </w: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B8106D" w:rsidTr="00B8106D">
        <w:tc>
          <w:tcPr>
            <w:tcW w:w="4644" w:type="dxa"/>
          </w:tcPr>
          <w:p w:rsidR="00B8106D" w:rsidRDefault="00B8106D" w:rsidP="00B8106D">
            <w:r>
              <w:t xml:space="preserve">Did the project achieve the project purpose? </w:t>
            </w:r>
          </w:p>
        </w:tc>
        <w:tc>
          <w:tcPr>
            <w:tcW w:w="4598" w:type="dxa"/>
          </w:tcPr>
          <w:p w:rsidR="00B8106D" w:rsidRDefault="00C93BED" w:rsidP="00B8106D">
            <w:r>
              <w:t>Partly.</w:t>
            </w:r>
          </w:p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>Did the project come in on budget? (Y/N)</w:t>
            </w:r>
          </w:p>
          <w:p w:rsidR="00B8106D" w:rsidRDefault="00B8106D" w:rsidP="00B8106D">
            <w:r>
              <w:t xml:space="preserve">If no, why and what was the difference in cost? </w:t>
            </w:r>
          </w:p>
        </w:tc>
        <w:tc>
          <w:tcPr>
            <w:tcW w:w="4598" w:type="dxa"/>
          </w:tcPr>
          <w:p w:rsidR="00B8106D" w:rsidRDefault="00C93BED" w:rsidP="00B8106D">
            <w:r>
              <w:t>Yes.</w:t>
            </w:r>
          </w:p>
          <w:p w:rsidR="00B8106D" w:rsidRDefault="00B8106D" w:rsidP="00B8106D"/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>Was the project completed on time? (Y/N)</w:t>
            </w:r>
          </w:p>
          <w:p w:rsidR="00B8106D" w:rsidRDefault="00B8106D" w:rsidP="00B8106D">
            <w:r>
              <w:t>If not, why not?</w:t>
            </w:r>
          </w:p>
        </w:tc>
        <w:tc>
          <w:tcPr>
            <w:tcW w:w="4598" w:type="dxa"/>
          </w:tcPr>
          <w:p w:rsidR="00B8106D" w:rsidRDefault="00C93BED" w:rsidP="00B8106D">
            <w:r>
              <w:t>Yes.</w:t>
            </w:r>
          </w:p>
        </w:tc>
      </w:tr>
      <w:tr w:rsidR="00B8106D" w:rsidTr="00B8106D">
        <w:tc>
          <w:tcPr>
            <w:tcW w:w="4644" w:type="dxa"/>
          </w:tcPr>
          <w:p w:rsidR="00B8106D" w:rsidRDefault="00B8106D" w:rsidP="00B8106D">
            <w:r>
              <w:t xml:space="preserve">Were the Project benefits sustained after project completion? </w:t>
            </w:r>
          </w:p>
        </w:tc>
        <w:tc>
          <w:tcPr>
            <w:tcW w:w="4598" w:type="dxa"/>
          </w:tcPr>
          <w:p w:rsidR="00B8106D" w:rsidRDefault="00C93BED" w:rsidP="00B8106D">
            <w:r>
              <w:t>Yes.</w:t>
            </w:r>
          </w:p>
        </w:tc>
      </w:tr>
    </w:tbl>
    <w:p w:rsidR="00C6015B" w:rsidRDefault="00C6015B" w:rsidP="001C4482">
      <w:pPr>
        <w:spacing w:after="0" w:line="240" w:lineRule="auto"/>
      </w:pPr>
    </w:p>
    <w:p w:rsidR="0025010F" w:rsidRDefault="00C94678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 w:rsidRPr="007C3AB5">
        <w:rPr>
          <w:b/>
        </w:rPr>
        <w:lastRenderedPageBreak/>
        <w:t>Overall Red / Amber / Green rating</w:t>
      </w:r>
      <w:r w:rsidR="0025010F">
        <w:t xml:space="preserve"> for project </w:t>
      </w:r>
    </w:p>
    <w:p w:rsidR="00597D40" w:rsidRDefault="00597D40" w:rsidP="001C4482">
      <w:pPr>
        <w:spacing w:after="0" w:line="240" w:lineRule="auto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990"/>
        <w:gridCol w:w="450"/>
      </w:tblGrid>
      <w:tr w:rsidR="00597D40" w:rsidTr="004B0CA5">
        <w:trPr>
          <w:trHeight w:val="113"/>
        </w:trPr>
        <w:tc>
          <w:tcPr>
            <w:tcW w:w="2798" w:type="dxa"/>
            <w:gridSpan w:val="3"/>
            <w:shd w:val="clear" w:color="auto" w:fill="FFFFFF" w:themeFill="background1"/>
            <w:vAlign w:val="center"/>
          </w:tcPr>
          <w:p w:rsidR="00597D40" w:rsidRPr="00597D40" w:rsidRDefault="00597D40" w:rsidP="004B0CA5">
            <w:pPr>
              <w:spacing w:before="60" w:after="60"/>
              <w:rPr>
                <w:sz w:val="20"/>
                <w:szCs w:val="20"/>
              </w:rPr>
            </w:pPr>
            <w:r w:rsidRPr="00597D40">
              <w:rPr>
                <w:sz w:val="20"/>
                <w:szCs w:val="20"/>
              </w:rPr>
              <w:t xml:space="preserve">Overall Rating for project (put </w:t>
            </w:r>
            <w:r w:rsidRPr="00597D40">
              <w:rPr>
                <w:b/>
                <w:sz w:val="20"/>
                <w:szCs w:val="20"/>
              </w:rPr>
              <w:t xml:space="preserve">X </w:t>
            </w:r>
            <w:r w:rsidRPr="00597D40">
              <w:rPr>
                <w:sz w:val="20"/>
                <w:szCs w:val="20"/>
              </w:rPr>
              <w:t xml:space="preserve">in relevant </w:t>
            </w:r>
            <w:r>
              <w:rPr>
                <w:sz w:val="20"/>
                <w:szCs w:val="20"/>
              </w:rPr>
              <w:t>box</w:t>
            </w:r>
            <w:r w:rsidRPr="00597D40">
              <w:rPr>
                <w:sz w:val="20"/>
                <w:szCs w:val="20"/>
              </w:rPr>
              <w:t>)</w:t>
            </w:r>
          </w:p>
        </w:tc>
      </w:tr>
      <w:tr w:rsidR="00597D40" w:rsidTr="004B0CA5">
        <w:trPr>
          <w:trHeight w:val="113"/>
        </w:trPr>
        <w:tc>
          <w:tcPr>
            <w:tcW w:w="2348" w:type="dxa"/>
            <w:gridSpan w:val="2"/>
            <w:shd w:val="clear" w:color="auto" w:fill="FF0000"/>
            <w:vAlign w:val="center"/>
          </w:tcPr>
          <w:p w:rsidR="00597D40" w:rsidRPr="00597D40" w:rsidRDefault="00597D40" w:rsidP="004B0CA5">
            <w:pPr>
              <w:spacing w:before="60" w:after="60"/>
              <w:ind w:left="747" w:hanging="747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  <w:tr w:rsidR="00597D40" w:rsidTr="004B0CA5">
        <w:trPr>
          <w:trHeight w:val="113"/>
        </w:trPr>
        <w:tc>
          <w:tcPr>
            <w:tcW w:w="1358" w:type="dxa"/>
            <w:shd w:val="clear" w:color="auto" w:fill="FF0000"/>
            <w:vAlign w:val="center"/>
          </w:tcPr>
          <w:p w:rsidR="00597D40" w:rsidRPr="00597D40" w:rsidRDefault="00597D40" w:rsidP="004B0CA5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00"/>
            <w:vAlign w:val="center"/>
          </w:tcPr>
          <w:p w:rsidR="00597D40" w:rsidRPr="00597D40" w:rsidRDefault="00597D40" w:rsidP="004B0CA5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  <w:tr w:rsidR="00597D40" w:rsidTr="004B0CA5">
        <w:trPr>
          <w:trHeight w:val="488"/>
        </w:trPr>
        <w:tc>
          <w:tcPr>
            <w:tcW w:w="1358" w:type="dxa"/>
            <w:shd w:val="clear" w:color="auto" w:fill="FFFF00"/>
            <w:vAlign w:val="center"/>
          </w:tcPr>
          <w:p w:rsidR="00597D40" w:rsidRPr="00597D40" w:rsidRDefault="00597D40" w:rsidP="004B0CA5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990" w:type="dxa"/>
            <w:shd w:val="clear" w:color="auto" w:fill="00FF00"/>
            <w:vAlign w:val="center"/>
          </w:tcPr>
          <w:p w:rsidR="00597D40" w:rsidRPr="00597D40" w:rsidRDefault="00597D40" w:rsidP="004B0CA5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  <w:vAlign w:val="center"/>
          </w:tcPr>
          <w:p w:rsidR="00597D40" w:rsidRDefault="00702227" w:rsidP="004B0CA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</w:tr>
      <w:tr w:rsidR="00597D40" w:rsidTr="004B0CA5">
        <w:trPr>
          <w:trHeight w:val="113"/>
        </w:trPr>
        <w:tc>
          <w:tcPr>
            <w:tcW w:w="2348" w:type="dxa"/>
            <w:gridSpan w:val="2"/>
            <w:shd w:val="clear" w:color="auto" w:fill="00FF00"/>
            <w:vAlign w:val="center"/>
          </w:tcPr>
          <w:p w:rsidR="00597D40" w:rsidRPr="00597D40" w:rsidRDefault="00597D40" w:rsidP="004B0CA5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</w:tcPr>
          <w:p w:rsidR="00597D40" w:rsidRDefault="00597D40" w:rsidP="00B8106D">
            <w:pPr>
              <w:rPr>
                <w:rFonts w:ascii="Arial" w:hAnsi="Arial"/>
                <w:b/>
              </w:rPr>
            </w:pPr>
          </w:p>
        </w:tc>
      </w:tr>
    </w:tbl>
    <w:p w:rsidR="00597D40" w:rsidRDefault="00597D40" w:rsidP="001C4482">
      <w:pPr>
        <w:spacing w:after="0" w:line="240" w:lineRule="auto"/>
      </w:pPr>
    </w:p>
    <w:p w:rsidR="00597D40" w:rsidRPr="00597D40" w:rsidRDefault="00597D40" w:rsidP="00597D40">
      <w:pPr>
        <w:pStyle w:val="ListParagraph"/>
        <w:spacing w:after="0" w:line="240" w:lineRule="auto"/>
        <w:rPr>
          <w:u w:val="single"/>
        </w:rPr>
      </w:pPr>
      <w:r w:rsidRPr="00597D40">
        <w:rPr>
          <w:u w:val="single"/>
        </w:rPr>
        <w:t>Guide to overall rating:</w:t>
      </w:r>
    </w:p>
    <w:p w:rsidR="00597D40" w:rsidRDefault="00597D40" w:rsidP="00597D40">
      <w:pPr>
        <w:pStyle w:val="ListParagraph"/>
        <w:spacing w:after="0" w:line="240" w:lineRule="auto"/>
      </w:pPr>
      <w:r>
        <w:t>Green</w:t>
      </w:r>
      <w:r w:rsidR="004B0CA5">
        <w:t>- project</w:t>
      </w:r>
      <w:r>
        <w:t xml:space="preserve"> </w:t>
      </w:r>
      <w:r w:rsidR="00B8106D">
        <w:t xml:space="preserve">performed well </w:t>
      </w:r>
      <w:r w:rsidR="001E4ADB">
        <w:t xml:space="preserve">under each of the </w:t>
      </w:r>
      <w:r w:rsidR="00B8106D">
        <w:t>evaluation criteria: relevance, efficiency, effectiveness, sustainability, impact and management</w:t>
      </w:r>
    </w:p>
    <w:p w:rsidR="00597D40" w:rsidRDefault="00B8106D" w:rsidP="00597D40">
      <w:pPr>
        <w:pStyle w:val="ListParagraph"/>
        <w:spacing w:after="0" w:line="240" w:lineRule="auto"/>
      </w:pPr>
      <w:r>
        <w:t xml:space="preserve">Green/Amber – project performed well </w:t>
      </w:r>
      <w:r w:rsidR="001E4ADB">
        <w:t>under</w:t>
      </w:r>
      <w:r>
        <w:t xml:space="preserve"> most criteria</w:t>
      </w:r>
      <w:r w:rsidR="001E4ADB">
        <w:t xml:space="preserve"> and adequately in others</w:t>
      </w:r>
    </w:p>
    <w:p w:rsidR="00597D40" w:rsidRDefault="00597D40" w:rsidP="00597D40">
      <w:pPr>
        <w:pStyle w:val="ListParagraph"/>
        <w:spacing w:after="0" w:line="240" w:lineRule="auto"/>
      </w:pPr>
      <w:r>
        <w:t xml:space="preserve">Amber/Red – project </w:t>
      </w:r>
      <w:r w:rsidR="00B8106D">
        <w:t xml:space="preserve">performed </w:t>
      </w:r>
      <w:r w:rsidR="001E4ADB">
        <w:t>adequately</w:t>
      </w:r>
      <w:r w:rsidR="00B8106D">
        <w:t xml:space="preserve"> </w:t>
      </w:r>
      <w:r w:rsidR="001E4ADB">
        <w:t>under</w:t>
      </w:r>
      <w:r w:rsidR="00B8106D">
        <w:t xml:space="preserve"> some criteria</w:t>
      </w:r>
      <w:r>
        <w:t xml:space="preserve"> </w:t>
      </w:r>
      <w:r w:rsidR="001E4ADB">
        <w:t>but poorly in others</w:t>
      </w:r>
    </w:p>
    <w:p w:rsidR="00597D40" w:rsidRPr="0025010F" w:rsidRDefault="00597D40" w:rsidP="00597D40">
      <w:pPr>
        <w:pStyle w:val="ListParagraph"/>
        <w:spacing w:after="0" w:line="240" w:lineRule="auto"/>
      </w:pPr>
      <w:r>
        <w:t xml:space="preserve">Red – </w:t>
      </w:r>
      <w:r w:rsidR="00B8106D">
        <w:t xml:space="preserve">project </w:t>
      </w:r>
      <w:r w:rsidR="001E4ADB">
        <w:t>performed poorly under most</w:t>
      </w:r>
      <w:r w:rsidR="00B8106D">
        <w:t xml:space="preserve"> criteria</w:t>
      </w:r>
    </w:p>
    <w:p w:rsidR="00F23B01" w:rsidRDefault="00F23B01" w:rsidP="001C4482">
      <w:pPr>
        <w:spacing w:after="0" w:line="240" w:lineRule="auto"/>
      </w:pPr>
    </w:p>
    <w:p w:rsidR="0043665C" w:rsidRPr="0025010F" w:rsidRDefault="00E50276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 w:rsidRPr="0025010F">
        <w:rPr>
          <w:b/>
        </w:rPr>
        <w:t xml:space="preserve">Top 5 </w:t>
      </w:r>
      <w:r w:rsidR="001C4482" w:rsidRPr="0025010F">
        <w:rPr>
          <w:b/>
        </w:rPr>
        <w:t xml:space="preserve">Lessons learned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3665C" w:rsidTr="0043665C">
        <w:tc>
          <w:tcPr>
            <w:tcW w:w="9242" w:type="dxa"/>
          </w:tcPr>
          <w:p w:rsidR="00795F3B" w:rsidRDefault="00702227" w:rsidP="00702227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Post should ensure that the project</w:t>
            </w:r>
            <w:r w:rsidR="00C50F3E">
              <w:t xml:space="preserve"> </w:t>
            </w:r>
            <w:r>
              <w:t xml:space="preserve">bid is completed accurately, e.g. that activities, </w:t>
            </w:r>
            <w:r w:rsidR="004B0CA5">
              <w:t>outputs and</w:t>
            </w:r>
            <w:r>
              <w:t xml:space="preserve"> indicators are different but connected. </w:t>
            </w:r>
          </w:p>
          <w:p w:rsidR="00EC4166" w:rsidRPr="004B0CA5" w:rsidRDefault="00EC4166" w:rsidP="00702227">
            <w:pPr>
              <w:pStyle w:val="ListParagraph"/>
              <w:ind w:left="0"/>
              <w:rPr>
                <w:sz w:val="12"/>
                <w:szCs w:val="12"/>
              </w:rPr>
            </w:pPr>
          </w:p>
          <w:p w:rsidR="00EC4166" w:rsidRDefault="00702227" w:rsidP="00702227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Good relationships with</w:t>
            </w:r>
            <w:r w:rsidR="00EC4166">
              <w:t xml:space="preserve"> local partners </w:t>
            </w:r>
            <w:r>
              <w:t>are essential to delivery, e.g.</w:t>
            </w:r>
            <w:r w:rsidR="00EC4166">
              <w:t xml:space="preserve"> help build networks, secure attendance at training, </w:t>
            </w:r>
            <w:r>
              <w:t>translation, etc.</w:t>
            </w:r>
          </w:p>
          <w:p w:rsidR="00C67EFC" w:rsidRPr="004B0CA5" w:rsidRDefault="00C67EFC" w:rsidP="00702227">
            <w:pPr>
              <w:pStyle w:val="ListParagraph"/>
              <w:ind w:left="0"/>
              <w:rPr>
                <w:sz w:val="12"/>
                <w:szCs w:val="12"/>
              </w:rPr>
            </w:pPr>
          </w:p>
          <w:p w:rsidR="00C67EFC" w:rsidRDefault="00C67EFC" w:rsidP="00702227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Where the project involves a new implementer</w:t>
            </w:r>
            <w:r w:rsidR="00D3413E">
              <w:t>,</w:t>
            </w:r>
            <w:r>
              <w:t xml:space="preserve"> Post should anticipate that they may require pre-financing and discuss this with them as soon as possible, as well as making sure they fully understand FCO requirements.</w:t>
            </w:r>
          </w:p>
          <w:p w:rsidR="00702227" w:rsidRPr="004B0CA5" w:rsidRDefault="00702227" w:rsidP="00702227">
            <w:pPr>
              <w:pStyle w:val="ListParagraph"/>
              <w:rPr>
                <w:sz w:val="12"/>
                <w:szCs w:val="12"/>
              </w:rPr>
            </w:pPr>
          </w:p>
          <w:p w:rsidR="00702227" w:rsidRDefault="00702227" w:rsidP="00702227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 xml:space="preserve">A small project is a good way to help a new NGO establish </w:t>
            </w:r>
            <w:proofErr w:type="gramStart"/>
            <w:r>
              <w:t>itself</w:t>
            </w:r>
            <w:proofErr w:type="gramEnd"/>
            <w:r>
              <w:t xml:space="preserve">, as well as delivering our objectives. </w:t>
            </w:r>
          </w:p>
          <w:p w:rsidR="00AD593F" w:rsidRPr="004B0CA5" w:rsidRDefault="00AD593F" w:rsidP="00AD593F">
            <w:pPr>
              <w:pStyle w:val="ListParagraph"/>
              <w:rPr>
                <w:sz w:val="12"/>
                <w:szCs w:val="12"/>
              </w:rPr>
            </w:pPr>
          </w:p>
          <w:p w:rsidR="00AD593F" w:rsidRDefault="00AD593F" w:rsidP="00AD593F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In the context of a fast-moving political transition</w:t>
            </w:r>
            <w:r w:rsidR="00D3413E">
              <w:t>,</w:t>
            </w:r>
            <w:r>
              <w:t xml:space="preserve"> flexibility on p</w:t>
            </w:r>
            <w:r w:rsidR="00D3413E">
              <w:t>roject activities may be needed,</w:t>
            </w:r>
            <w:r>
              <w:t xml:space="preserve"> provided it is reasonable, agreed with the FCO, and recorded.</w:t>
            </w:r>
          </w:p>
        </w:tc>
      </w:tr>
    </w:tbl>
    <w:p w:rsidR="0043665C" w:rsidRDefault="0043665C" w:rsidP="001C4482">
      <w:pPr>
        <w:spacing w:after="0" w:line="240" w:lineRule="auto"/>
      </w:pPr>
    </w:p>
    <w:p w:rsidR="00122C12" w:rsidRPr="0025010F" w:rsidRDefault="00A366DB" w:rsidP="00504B1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 w:rsidRPr="0025010F">
        <w:rPr>
          <w:b/>
        </w:rPr>
        <w:t xml:space="preserve">Recommendations for future projects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66DB" w:rsidTr="00A366DB">
        <w:tc>
          <w:tcPr>
            <w:tcW w:w="9242" w:type="dxa"/>
          </w:tcPr>
          <w:p w:rsidR="00A366DB" w:rsidRDefault="006A37E8" w:rsidP="006A37E8">
            <w:pPr>
              <w:pStyle w:val="ListParagraph"/>
              <w:numPr>
                <w:ilvl w:val="0"/>
                <w:numId w:val="14"/>
              </w:numPr>
            </w:pPr>
            <w:r>
              <w:t>Help support the development of a Burmese NGO that is a credible and visible leader on human rights and the rule of law.</w:t>
            </w:r>
          </w:p>
          <w:p w:rsidR="0026304C" w:rsidRPr="004B0CA5" w:rsidRDefault="0026304C" w:rsidP="0026304C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6A37E8" w:rsidRDefault="006A37E8" w:rsidP="006A37E8">
            <w:pPr>
              <w:pStyle w:val="ListParagraph"/>
              <w:numPr>
                <w:ilvl w:val="0"/>
                <w:numId w:val="14"/>
              </w:numPr>
            </w:pPr>
            <w:r>
              <w:t>Work to ensure that human rights is integrated into larger rule of law work (e.g. UNDP programming).</w:t>
            </w:r>
          </w:p>
        </w:tc>
      </w:tr>
    </w:tbl>
    <w:p w:rsidR="00122C12" w:rsidRDefault="00122C12" w:rsidP="001C4482">
      <w:pPr>
        <w:spacing w:after="0" w:line="240" w:lineRule="auto"/>
      </w:pPr>
    </w:p>
    <w:p w:rsidR="00D3413E" w:rsidRDefault="00D3413E">
      <w:pPr>
        <w:rPr>
          <w:b/>
          <w:color w:val="00B050"/>
        </w:rPr>
      </w:pPr>
    </w:p>
    <w:sectPr w:rsidR="00D3413E" w:rsidSect="004B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FE" w:rsidRDefault="003C01FE" w:rsidP="003B3259">
      <w:pPr>
        <w:spacing w:after="0" w:line="240" w:lineRule="auto"/>
      </w:pPr>
      <w:r>
        <w:separator/>
      </w:r>
    </w:p>
  </w:endnote>
  <w:endnote w:type="continuationSeparator" w:id="0">
    <w:p w:rsidR="003C01FE" w:rsidRDefault="003C01FE" w:rsidP="003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A0" w:rsidRDefault="008D31A0">
    <w:pPr>
      <w:pStyle w:val="Footer"/>
    </w:pPr>
  </w:p>
  <w:p w:rsidR="008D31A0" w:rsidRPr="003B3259" w:rsidRDefault="00F5530A" w:rsidP="003B325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76C16" w:rsidRPr="00976C16">
        <w:rPr>
          <w:rFonts w:ascii="Arial" w:hAnsi="Arial" w:cs="Arial"/>
          <w:noProof/>
          <w:sz w:val="12"/>
        </w:rPr>
        <w:t>C</w:t>
      </w:r>
      <w:r w:rsidR="00976C16">
        <w:rPr>
          <w:noProof/>
        </w:rPr>
        <w:t>:\Users\rfenn\AppData\Local\Microsoft\Windows\Temporary Internet Files\Outlook Temp\2013 Burma Evaluation - JusticeBase - BE Rangoon Return.docx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A0" w:rsidRDefault="008D31A0">
    <w:pPr>
      <w:pStyle w:val="Footer"/>
    </w:pPr>
  </w:p>
  <w:p w:rsidR="008D31A0" w:rsidRPr="003B3259" w:rsidRDefault="008D31A0" w:rsidP="003B325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A0" w:rsidRDefault="008D31A0">
    <w:pPr>
      <w:pStyle w:val="Footer"/>
    </w:pPr>
  </w:p>
  <w:p w:rsidR="008D31A0" w:rsidRPr="003B3259" w:rsidRDefault="00F5530A" w:rsidP="003B325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76C16" w:rsidRPr="00976C16">
        <w:rPr>
          <w:rFonts w:ascii="Arial" w:hAnsi="Arial" w:cs="Arial"/>
          <w:noProof/>
          <w:sz w:val="12"/>
        </w:rPr>
        <w:t>C</w:t>
      </w:r>
      <w:r w:rsidR="00976C16">
        <w:rPr>
          <w:noProof/>
        </w:rPr>
        <w:t>:\Users\rfenn\AppData\Local\Microsoft\Windows\Temporary Internet Files\Outlook Temp\2013 Burma Evaluation - JusticeBase - BE Rangoon Return.docx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FE" w:rsidRDefault="003C01FE" w:rsidP="003B3259">
      <w:pPr>
        <w:spacing w:after="0" w:line="240" w:lineRule="auto"/>
      </w:pPr>
      <w:r>
        <w:separator/>
      </w:r>
    </w:p>
  </w:footnote>
  <w:footnote w:type="continuationSeparator" w:id="0">
    <w:p w:rsidR="003C01FE" w:rsidRDefault="003C01FE" w:rsidP="003B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A0" w:rsidRDefault="008D31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A0" w:rsidRDefault="008D31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A0" w:rsidRDefault="008D3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23"/>
    <w:multiLevelType w:val="hybridMultilevel"/>
    <w:tmpl w:val="FAB48AD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F732A"/>
    <w:multiLevelType w:val="hybridMultilevel"/>
    <w:tmpl w:val="924E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2FA6"/>
    <w:multiLevelType w:val="hybridMultilevel"/>
    <w:tmpl w:val="7A326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E8A"/>
    <w:multiLevelType w:val="hybridMultilevel"/>
    <w:tmpl w:val="5156D2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93CDD"/>
    <w:multiLevelType w:val="hybridMultilevel"/>
    <w:tmpl w:val="6B808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08AE"/>
    <w:multiLevelType w:val="hybridMultilevel"/>
    <w:tmpl w:val="C5D04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498E"/>
    <w:multiLevelType w:val="hybridMultilevel"/>
    <w:tmpl w:val="43AA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7059"/>
    <w:multiLevelType w:val="hybridMultilevel"/>
    <w:tmpl w:val="28F6B1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F1129B"/>
    <w:multiLevelType w:val="hybridMultilevel"/>
    <w:tmpl w:val="32E2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E207B"/>
    <w:multiLevelType w:val="hybridMultilevel"/>
    <w:tmpl w:val="AB021E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E0528"/>
    <w:multiLevelType w:val="hybridMultilevel"/>
    <w:tmpl w:val="32460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347F9"/>
    <w:multiLevelType w:val="hybridMultilevel"/>
    <w:tmpl w:val="C3FC0B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3D6EF5"/>
    <w:multiLevelType w:val="hybridMultilevel"/>
    <w:tmpl w:val="F1B8CCB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C6B89"/>
    <w:multiLevelType w:val="hybridMultilevel"/>
    <w:tmpl w:val="FCEC7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3B3259"/>
    <w:rsid w:val="000023F5"/>
    <w:rsid w:val="00017AC2"/>
    <w:rsid w:val="0002184B"/>
    <w:rsid w:val="00027F14"/>
    <w:rsid w:val="00043F56"/>
    <w:rsid w:val="00045BE9"/>
    <w:rsid w:val="00050ACA"/>
    <w:rsid w:val="0006138E"/>
    <w:rsid w:val="00061BFC"/>
    <w:rsid w:val="0007309D"/>
    <w:rsid w:val="00074326"/>
    <w:rsid w:val="000819E6"/>
    <w:rsid w:val="000859E6"/>
    <w:rsid w:val="00093CC0"/>
    <w:rsid w:val="000B33B6"/>
    <w:rsid w:val="000C3A37"/>
    <w:rsid w:val="000E3F71"/>
    <w:rsid w:val="000E4F90"/>
    <w:rsid w:val="00101982"/>
    <w:rsid w:val="00104E76"/>
    <w:rsid w:val="00113F70"/>
    <w:rsid w:val="00122C12"/>
    <w:rsid w:val="001263CE"/>
    <w:rsid w:val="00131B30"/>
    <w:rsid w:val="001439FA"/>
    <w:rsid w:val="00182607"/>
    <w:rsid w:val="001A7307"/>
    <w:rsid w:val="001C4482"/>
    <w:rsid w:val="001D6699"/>
    <w:rsid w:val="001E4ADB"/>
    <w:rsid w:val="00201E3C"/>
    <w:rsid w:val="00227523"/>
    <w:rsid w:val="00235A49"/>
    <w:rsid w:val="00243DFC"/>
    <w:rsid w:val="002452D0"/>
    <w:rsid w:val="0025010F"/>
    <w:rsid w:val="0026304C"/>
    <w:rsid w:val="00267F92"/>
    <w:rsid w:val="002A364D"/>
    <w:rsid w:val="002C71BC"/>
    <w:rsid w:val="002E4444"/>
    <w:rsid w:val="00310067"/>
    <w:rsid w:val="00317B13"/>
    <w:rsid w:val="00332DB5"/>
    <w:rsid w:val="003341D8"/>
    <w:rsid w:val="003445CE"/>
    <w:rsid w:val="0036741A"/>
    <w:rsid w:val="003708A5"/>
    <w:rsid w:val="00382EB1"/>
    <w:rsid w:val="00386C85"/>
    <w:rsid w:val="00386D09"/>
    <w:rsid w:val="00391520"/>
    <w:rsid w:val="00396FE1"/>
    <w:rsid w:val="003B156B"/>
    <w:rsid w:val="003B3259"/>
    <w:rsid w:val="003C01FE"/>
    <w:rsid w:val="003E088C"/>
    <w:rsid w:val="003E15BA"/>
    <w:rsid w:val="003E4ACB"/>
    <w:rsid w:val="003E7871"/>
    <w:rsid w:val="003F180D"/>
    <w:rsid w:val="0043665C"/>
    <w:rsid w:val="00440949"/>
    <w:rsid w:val="00492926"/>
    <w:rsid w:val="004B0CA5"/>
    <w:rsid w:val="00504B1E"/>
    <w:rsid w:val="0050618F"/>
    <w:rsid w:val="00511D57"/>
    <w:rsid w:val="00531631"/>
    <w:rsid w:val="0053208B"/>
    <w:rsid w:val="00561636"/>
    <w:rsid w:val="00565869"/>
    <w:rsid w:val="005832B4"/>
    <w:rsid w:val="00583C39"/>
    <w:rsid w:val="00597D40"/>
    <w:rsid w:val="00600D65"/>
    <w:rsid w:val="00601D4F"/>
    <w:rsid w:val="00611BC6"/>
    <w:rsid w:val="0061754E"/>
    <w:rsid w:val="006176CA"/>
    <w:rsid w:val="00622BD4"/>
    <w:rsid w:val="00650206"/>
    <w:rsid w:val="00665EB8"/>
    <w:rsid w:val="006A37E8"/>
    <w:rsid w:val="006C4B79"/>
    <w:rsid w:val="006C7BD1"/>
    <w:rsid w:val="00701CF9"/>
    <w:rsid w:val="00702227"/>
    <w:rsid w:val="0074475A"/>
    <w:rsid w:val="00780C83"/>
    <w:rsid w:val="00795F3B"/>
    <w:rsid w:val="007B2C0A"/>
    <w:rsid w:val="007B5DF1"/>
    <w:rsid w:val="007C118F"/>
    <w:rsid w:val="007C3AB5"/>
    <w:rsid w:val="007C4DA0"/>
    <w:rsid w:val="007D4E54"/>
    <w:rsid w:val="007F2D01"/>
    <w:rsid w:val="007F73DD"/>
    <w:rsid w:val="00824B59"/>
    <w:rsid w:val="0082533A"/>
    <w:rsid w:val="00834DD4"/>
    <w:rsid w:val="00855B7D"/>
    <w:rsid w:val="008778D0"/>
    <w:rsid w:val="008866DF"/>
    <w:rsid w:val="00893B3F"/>
    <w:rsid w:val="00896BAC"/>
    <w:rsid w:val="008D31A0"/>
    <w:rsid w:val="008D67C0"/>
    <w:rsid w:val="008F71F6"/>
    <w:rsid w:val="0092484E"/>
    <w:rsid w:val="00946785"/>
    <w:rsid w:val="00976C16"/>
    <w:rsid w:val="00982CF6"/>
    <w:rsid w:val="009907C7"/>
    <w:rsid w:val="00995E6C"/>
    <w:rsid w:val="00996819"/>
    <w:rsid w:val="009A2B69"/>
    <w:rsid w:val="009B47B7"/>
    <w:rsid w:val="009C347E"/>
    <w:rsid w:val="009C67C8"/>
    <w:rsid w:val="009D7A0B"/>
    <w:rsid w:val="00A002ED"/>
    <w:rsid w:val="00A12997"/>
    <w:rsid w:val="00A1408A"/>
    <w:rsid w:val="00A366DB"/>
    <w:rsid w:val="00A770A4"/>
    <w:rsid w:val="00A82A75"/>
    <w:rsid w:val="00AB6C44"/>
    <w:rsid w:val="00AD1D17"/>
    <w:rsid w:val="00AD593F"/>
    <w:rsid w:val="00AE51E0"/>
    <w:rsid w:val="00B0310D"/>
    <w:rsid w:val="00B04889"/>
    <w:rsid w:val="00B1271A"/>
    <w:rsid w:val="00B40FB8"/>
    <w:rsid w:val="00B4716D"/>
    <w:rsid w:val="00B5266D"/>
    <w:rsid w:val="00B63EA3"/>
    <w:rsid w:val="00B66439"/>
    <w:rsid w:val="00B7584B"/>
    <w:rsid w:val="00B8106D"/>
    <w:rsid w:val="00B93418"/>
    <w:rsid w:val="00B96617"/>
    <w:rsid w:val="00B96D6D"/>
    <w:rsid w:val="00BA6B3F"/>
    <w:rsid w:val="00BB2D1B"/>
    <w:rsid w:val="00BB31F3"/>
    <w:rsid w:val="00BD4D02"/>
    <w:rsid w:val="00BE4167"/>
    <w:rsid w:val="00BF4A17"/>
    <w:rsid w:val="00BF511A"/>
    <w:rsid w:val="00C16CB3"/>
    <w:rsid w:val="00C437F1"/>
    <w:rsid w:val="00C46653"/>
    <w:rsid w:val="00C50F3E"/>
    <w:rsid w:val="00C5117A"/>
    <w:rsid w:val="00C6015B"/>
    <w:rsid w:val="00C67EFC"/>
    <w:rsid w:val="00C81976"/>
    <w:rsid w:val="00C82335"/>
    <w:rsid w:val="00C84361"/>
    <w:rsid w:val="00C93BED"/>
    <w:rsid w:val="00C94678"/>
    <w:rsid w:val="00C94D7B"/>
    <w:rsid w:val="00CA22A5"/>
    <w:rsid w:val="00CB4994"/>
    <w:rsid w:val="00CD17D6"/>
    <w:rsid w:val="00CE6676"/>
    <w:rsid w:val="00CF7391"/>
    <w:rsid w:val="00D0481B"/>
    <w:rsid w:val="00D114F8"/>
    <w:rsid w:val="00D3413E"/>
    <w:rsid w:val="00D37320"/>
    <w:rsid w:val="00D409DA"/>
    <w:rsid w:val="00D44969"/>
    <w:rsid w:val="00D50EA2"/>
    <w:rsid w:val="00D52718"/>
    <w:rsid w:val="00D57C76"/>
    <w:rsid w:val="00D607CF"/>
    <w:rsid w:val="00D612A7"/>
    <w:rsid w:val="00D63BC6"/>
    <w:rsid w:val="00D849A6"/>
    <w:rsid w:val="00DA3ABD"/>
    <w:rsid w:val="00DC5016"/>
    <w:rsid w:val="00DC5FDA"/>
    <w:rsid w:val="00DF5320"/>
    <w:rsid w:val="00DF6403"/>
    <w:rsid w:val="00E02AAC"/>
    <w:rsid w:val="00E06687"/>
    <w:rsid w:val="00E12F55"/>
    <w:rsid w:val="00E50276"/>
    <w:rsid w:val="00E6484B"/>
    <w:rsid w:val="00E91B08"/>
    <w:rsid w:val="00EA78FD"/>
    <w:rsid w:val="00EC4166"/>
    <w:rsid w:val="00EC7CF2"/>
    <w:rsid w:val="00EF3C71"/>
    <w:rsid w:val="00F215C4"/>
    <w:rsid w:val="00F23759"/>
    <w:rsid w:val="00F23B01"/>
    <w:rsid w:val="00F2548A"/>
    <w:rsid w:val="00F5530A"/>
    <w:rsid w:val="00F847A2"/>
    <w:rsid w:val="00FB5965"/>
    <w:rsid w:val="00FC67F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97"/>
  </w:style>
  <w:style w:type="paragraph" w:styleId="Heading2">
    <w:name w:val="heading 2"/>
    <w:basedOn w:val="Normal"/>
    <w:next w:val="Normal"/>
    <w:link w:val="Heading2Char"/>
    <w:qFormat/>
    <w:rsid w:val="00597D40"/>
    <w:pPr>
      <w:keepNext/>
      <w:spacing w:after="0" w:line="240" w:lineRule="auto"/>
      <w:ind w:left="747" w:hanging="747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59"/>
  </w:style>
  <w:style w:type="paragraph" w:styleId="Footer">
    <w:name w:val="footer"/>
    <w:basedOn w:val="Normal"/>
    <w:link w:val="FooterChar"/>
    <w:uiPriority w:val="99"/>
    <w:semiHidden/>
    <w:unhideWhenUsed/>
    <w:rsid w:val="003B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59"/>
  </w:style>
  <w:style w:type="paragraph" w:styleId="BalloonText">
    <w:name w:val="Balloon Text"/>
    <w:basedOn w:val="Normal"/>
    <w:link w:val="BalloonTextChar"/>
    <w:uiPriority w:val="99"/>
    <w:semiHidden/>
    <w:unhideWhenUsed/>
    <w:rsid w:val="00C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B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1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7D4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FCO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acowan</dc:creator>
  <cp:lastModifiedBy>mbyrd</cp:lastModifiedBy>
  <cp:revision>2</cp:revision>
  <cp:lastPrinted>2013-09-04T14:08:00Z</cp:lastPrinted>
  <dcterms:created xsi:type="dcterms:W3CDTF">2014-06-25T13:43:00Z</dcterms:created>
  <dcterms:modified xsi:type="dcterms:W3CDTF">2014-06-25T13:43:00Z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2013-07-04T23:00:00Z</vt:filetime>
  </property>
</Properties>
</file>