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354" w:rsidRDefault="005A5354" w:rsidP="008D5B41"/>
    <w:p w:rsidR="00396504" w:rsidRDefault="00396504" w:rsidP="001E7AC0">
      <w:pPr>
        <w:ind w:left="-142"/>
      </w:pPr>
    </w:p>
    <w:p w:rsidR="00396504" w:rsidRDefault="00396504" w:rsidP="001E7AC0">
      <w:pPr>
        <w:ind w:left="-142"/>
      </w:pPr>
    </w:p>
    <w:p w:rsidR="00396504" w:rsidRDefault="00396504" w:rsidP="001E7AC0">
      <w:pPr>
        <w:ind w:left="-142"/>
      </w:pPr>
    </w:p>
    <w:tbl>
      <w:tblPr>
        <w:tblW w:w="4536" w:type="dxa"/>
        <w:tblInd w:w="5273" w:type="dxa"/>
        <w:tblBorders>
          <w:insideH w:val="single" w:sz="8" w:space="0" w:color="FFFFFF"/>
          <w:insideV w:val="single" w:sz="12" w:space="0" w:color="FFFFFF"/>
        </w:tblBorders>
        <w:shd w:val="clear" w:color="auto" w:fill="000000"/>
        <w:tblCellMar>
          <w:left w:w="170" w:type="dxa"/>
          <w:right w:w="0" w:type="dxa"/>
        </w:tblCellMar>
        <w:tblLook w:val="01E0" w:firstRow="1" w:lastRow="1" w:firstColumn="1" w:lastColumn="1" w:noHBand="0" w:noVBand="0"/>
      </w:tblPr>
      <w:tblGrid>
        <w:gridCol w:w="4536"/>
      </w:tblGrid>
      <w:tr w:rsidR="001E554A" w:rsidTr="00A148A4">
        <w:trPr>
          <w:trHeight w:hRule="exact" w:val="1134"/>
        </w:trPr>
        <w:tc>
          <w:tcPr>
            <w:tcW w:w="4536" w:type="dxa"/>
            <w:tcBorders>
              <w:top w:val="nil"/>
              <w:bottom w:val="single" w:sz="8" w:space="0" w:color="FFFFFF"/>
            </w:tcBorders>
            <w:shd w:val="clear" w:color="auto" w:fill="21488A"/>
            <w:vAlign w:val="center"/>
          </w:tcPr>
          <w:p w:rsidR="001E554A" w:rsidRPr="00E17803" w:rsidRDefault="001E554A" w:rsidP="001E7AC0">
            <w:pPr>
              <w:pStyle w:val="BISTitle"/>
            </w:pPr>
            <w:r>
              <w:br/>
            </w:r>
            <w:bookmarkStart w:id="0" w:name="_Toc387656454"/>
            <w:r w:rsidR="00F86688">
              <w:t xml:space="preserve">UK Single </w:t>
            </w:r>
            <w:r w:rsidR="00DF0A4E">
              <w:t>Market Centre Annual Report 2013</w:t>
            </w:r>
            <w:bookmarkEnd w:id="0"/>
          </w:p>
        </w:tc>
      </w:tr>
      <w:tr w:rsidR="001E554A" w:rsidRPr="00D41359" w:rsidTr="00A148A4">
        <w:trPr>
          <w:trHeight w:val="1191"/>
        </w:trPr>
        <w:tc>
          <w:tcPr>
            <w:tcW w:w="4536" w:type="dxa"/>
            <w:shd w:val="clear" w:color="auto" w:fill="000000"/>
            <w:tcMar>
              <w:left w:w="284" w:type="dxa"/>
              <w:right w:w="170" w:type="dxa"/>
            </w:tcMar>
            <w:vAlign w:val="center"/>
          </w:tcPr>
          <w:p w:rsidR="001E554A" w:rsidRPr="00B80A46" w:rsidRDefault="00C80005" w:rsidP="001E7AC0">
            <w:pPr>
              <w:pStyle w:val="Secondarytitle"/>
              <w:rPr>
                <w:rFonts w:cs="Arial"/>
                <w:szCs w:val="28"/>
              </w:rPr>
            </w:pPr>
            <w:r>
              <w:rPr>
                <w:rFonts w:cs="Arial"/>
                <w:szCs w:val="28"/>
              </w:rPr>
              <w:t>Report on UK Single Market Centre</w:t>
            </w:r>
            <w:r w:rsidR="0054671C">
              <w:rPr>
                <w:rFonts w:cs="Arial"/>
                <w:szCs w:val="28"/>
              </w:rPr>
              <w:t>’s</w:t>
            </w:r>
            <w:r>
              <w:rPr>
                <w:rFonts w:cs="Arial"/>
                <w:szCs w:val="28"/>
              </w:rPr>
              <w:t xml:space="preserve"> </w:t>
            </w:r>
            <w:r w:rsidR="0054671C">
              <w:rPr>
                <w:rFonts w:cs="Arial"/>
                <w:szCs w:val="28"/>
              </w:rPr>
              <w:t>Activities</w:t>
            </w:r>
          </w:p>
        </w:tc>
      </w:tr>
      <w:tr w:rsidR="001E554A" w:rsidRPr="00D41359" w:rsidTr="00A148A4">
        <w:trPr>
          <w:trHeight w:val="567"/>
        </w:trPr>
        <w:tc>
          <w:tcPr>
            <w:tcW w:w="4536" w:type="dxa"/>
            <w:shd w:val="clear" w:color="auto" w:fill="000000"/>
            <w:tcMar>
              <w:left w:w="284" w:type="dxa"/>
              <w:right w:w="170" w:type="dxa"/>
            </w:tcMar>
            <w:vAlign w:val="center"/>
          </w:tcPr>
          <w:p w:rsidR="001E554A" w:rsidRPr="00F47950" w:rsidRDefault="001F72B1" w:rsidP="001E7AC0">
            <w:pPr>
              <w:pStyle w:val="Supplementarytitle"/>
              <w:rPr>
                <w:rFonts w:cs="Arial"/>
              </w:rPr>
            </w:pPr>
            <w:r>
              <w:rPr>
                <w:rFonts w:cs="Arial"/>
              </w:rPr>
              <w:t>May</w:t>
            </w:r>
            <w:r w:rsidR="00C80005">
              <w:rPr>
                <w:rFonts w:cs="Arial"/>
              </w:rPr>
              <w:t xml:space="preserve"> </w:t>
            </w:r>
            <w:r w:rsidR="007C3A0F">
              <w:rPr>
                <w:rFonts w:cs="Arial"/>
              </w:rPr>
              <w:t>201</w:t>
            </w:r>
            <w:r w:rsidR="00E17803">
              <w:rPr>
                <w:rFonts w:cs="Arial"/>
              </w:rPr>
              <w:t>4</w:t>
            </w:r>
          </w:p>
        </w:tc>
      </w:tr>
    </w:tbl>
    <w:p w:rsidR="00ED47D3" w:rsidRPr="00D93310" w:rsidRDefault="00ED47D3" w:rsidP="001E7AC0"/>
    <w:p w:rsidR="004F5C6B" w:rsidRDefault="004F5C6B" w:rsidP="001E7AC0">
      <w:pPr>
        <w:pStyle w:val="BISCovertext"/>
        <w:sectPr w:rsidR="004F5C6B" w:rsidSect="001705EB">
          <w:headerReference w:type="default" r:id="rId9"/>
          <w:footerReference w:type="even" r:id="rId10"/>
          <w:footerReference w:type="default" r:id="rId11"/>
          <w:headerReference w:type="first" r:id="rId12"/>
          <w:pgSz w:w="11906" w:h="16838" w:code="9"/>
          <w:pgMar w:top="1134" w:right="6804" w:bottom="1134" w:left="1134" w:header="720" w:footer="0" w:gutter="0"/>
          <w:cols w:space="720"/>
          <w:titlePg/>
        </w:sectPr>
      </w:pPr>
    </w:p>
    <w:p w:rsidR="00A85D49" w:rsidRDefault="00A85D49" w:rsidP="001E7AC0">
      <w:bookmarkStart w:id="1" w:name="_Toc277773892"/>
    </w:p>
    <w:p w:rsidR="00390385" w:rsidRDefault="00390385" w:rsidP="001E7AC0"/>
    <w:p w:rsidR="00390385" w:rsidRDefault="00390385" w:rsidP="001E7AC0"/>
    <w:p w:rsidR="005729C4" w:rsidRDefault="001705EB" w:rsidP="005354CF">
      <w:pPr>
        <w:pStyle w:val="Heading1"/>
      </w:pPr>
      <w:bookmarkStart w:id="2" w:name="OLE_LINK1"/>
      <w:r>
        <w:br w:type="page"/>
      </w:r>
      <w:bookmarkStart w:id="3" w:name="_Toc292890753"/>
      <w:bookmarkStart w:id="4" w:name="_Toc387752863"/>
      <w:bookmarkStart w:id="5" w:name="_Toc389036229"/>
      <w:bookmarkEnd w:id="2"/>
      <w:r w:rsidR="005729C4">
        <w:lastRenderedPageBreak/>
        <w:t>Contents</w:t>
      </w:r>
      <w:bookmarkEnd w:id="3"/>
      <w:bookmarkEnd w:id="4"/>
      <w:bookmarkEnd w:id="5"/>
    </w:p>
    <w:bookmarkEnd w:id="1"/>
    <w:p w:rsidR="001F0FC6" w:rsidRDefault="001F0FC6">
      <w:pPr>
        <w:pStyle w:val="TOC1"/>
        <w:tabs>
          <w:tab w:val="right" w:leader="dot" w:pos="9628"/>
        </w:tabs>
        <w:rPr>
          <w:color w:val="1F497D"/>
        </w:rPr>
      </w:pPr>
    </w:p>
    <w:p w:rsidR="001F0FC6" w:rsidRPr="00F82884" w:rsidRDefault="00BE07CA">
      <w:pPr>
        <w:pStyle w:val="TOC1"/>
        <w:tabs>
          <w:tab w:val="right" w:leader="dot" w:pos="9628"/>
        </w:tabs>
        <w:rPr>
          <w:rFonts w:ascii="Calibri" w:hAnsi="Calibri"/>
          <w:b w:val="0"/>
          <w:noProof/>
          <w:szCs w:val="22"/>
          <w:lang w:eastAsia="en-GB"/>
        </w:rPr>
      </w:pPr>
      <w:r w:rsidRPr="001F0FC6">
        <w:rPr>
          <w:color w:val="1F497D"/>
        </w:rPr>
        <w:fldChar w:fldCharType="begin"/>
      </w:r>
      <w:r w:rsidRPr="001F0FC6">
        <w:rPr>
          <w:color w:val="1F497D"/>
        </w:rPr>
        <w:instrText xml:space="preserve"> TOC \o "1-1" \h \z \u </w:instrText>
      </w:r>
      <w:r w:rsidRPr="001F0FC6">
        <w:rPr>
          <w:color w:val="1F497D"/>
        </w:rPr>
        <w:fldChar w:fldCharType="separate"/>
      </w:r>
      <w:hyperlink w:anchor="_Toc389036230" w:history="1">
        <w:r w:rsidR="001F0FC6" w:rsidRPr="00215A5C">
          <w:rPr>
            <w:rStyle w:val="Hyperlink"/>
            <w:noProof/>
          </w:rPr>
          <w:t>UK Single Market Centre (UKSMC)</w:t>
        </w:r>
        <w:r w:rsidR="001F0FC6">
          <w:rPr>
            <w:noProof/>
            <w:webHidden/>
          </w:rPr>
          <w:tab/>
        </w:r>
        <w:r w:rsidR="001F0FC6">
          <w:rPr>
            <w:noProof/>
            <w:webHidden/>
          </w:rPr>
          <w:fldChar w:fldCharType="begin"/>
        </w:r>
        <w:r w:rsidR="001F0FC6">
          <w:rPr>
            <w:noProof/>
            <w:webHidden/>
          </w:rPr>
          <w:instrText xml:space="preserve"> PAGEREF _Toc389036230 \h </w:instrText>
        </w:r>
        <w:r w:rsidR="001F0FC6">
          <w:rPr>
            <w:noProof/>
            <w:webHidden/>
          </w:rPr>
        </w:r>
        <w:r w:rsidR="001F0FC6">
          <w:rPr>
            <w:noProof/>
            <w:webHidden/>
          </w:rPr>
          <w:fldChar w:fldCharType="separate"/>
        </w:r>
        <w:r w:rsidR="00EF78FA">
          <w:rPr>
            <w:noProof/>
            <w:webHidden/>
          </w:rPr>
          <w:t>3</w:t>
        </w:r>
        <w:r w:rsidR="001F0FC6">
          <w:rPr>
            <w:noProof/>
            <w:webHidden/>
          </w:rPr>
          <w:fldChar w:fldCharType="end"/>
        </w:r>
      </w:hyperlink>
    </w:p>
    <w:p w:rsidR="001F0FC6" w:rsidRPr="00F82884" w:rsidRDefault="003F1EE5">
      <w:pPr>
        <w:pStyle w:val="TOC1"/>
        <w:tabs>
          <w:tab w:val="right" w:leader="dot" w:pos="9628"/>
        </w:tabs>
        <w:rPr>
          <w:rFonts w:ascii="Calibri" w:hAnsi="Calibri"/>
          <w:b w:val="0"/>
          <w:noProof/>
          <w:szCs w:val="22"/>
          <w:lang w:eastAsia="en-GB"/>
        </w:rPr>
      </w:pPr>
      <w:hyperlink w:anchor="_Toc389036231" w:history="1">
        <w:r w:rsidR="001F0FC6" w:rsidRPr="00215A5C">
          <w:rPr>
            <w:rStyle w:val="Hyperlink"/>
            <w:noProof/>
          </w:rPr>
          <w:t>UK SOLVIT Centre</w:t>
        </w:r>
        <w:r w:rsidR="001F0FC6">
          <w:rPr>
            <w:noProof/>
            <w:webHidden/>
          </w:rPr>
          <w:tab/>
        </w:r>
        <w:r w:rsidR="001F0FC6">
          <w:rPr>
            <w:noProof/>
            <w:webHidden/>
          </w:rPr>
          <w:fldChar w:fldCharType="begin"/>
        </w:r>
        <w:r w:rsidR="001F0FC6">
          <w:rPr>
            <w:noProof/>
            <w:webHidden/>
          </w:rPr>
          <w:instrText xml:space="preserve"> PAGEREF _Toc389036231 \h </w:instrText>
        </w:r>
        <w:r w:rsidR="001F0FC6">
          <w:rPr>
            <w:noProof/>
            <w:webHidden/>
          </w:rPr>
        </w:r>
        <w:r w:rsidR="001F0FC6">
          <w:rPr>
            <w:noProof/>
            <w:webHidden/>
          </w:rPr>
          <w:fldChar w:fldCharType="separate"/>
        </w:r>
        <w:r w:rsidR="00EF78FA">
          <w:rPr>
            <w:noProof/>
            <w:webHidden/>
          </w:rPr>
          <w:t>4</w:t>
        </w:r>
        <w:r w:rsidR="001F0FC6">
          <w:rPr>
            <w:noProof/>
            <w:webHidden/>
          </w:rPr>
          <w:fldChar w:fldCharType="end"/>
        </w:r>
      </w:hyperlink>
    </w:p>
    <w:p w:rsidR="001F0FC6" w:rsidRPr="00F82884" w:rsidRDefault="003F1EE5">
      <w:pPr>
        <w:pStyle w:val="TOC1"/>
        <w:tabs>
          <w:tab w:val="right" w:leader="dot" w:pos="9628"/>
        </w:tabs>
        <w:rPr>
          <w:rFonts w:ascii="Calibri" w:hAnsi="Calibri"/>
          <w:b w:val="0"/>
          <w:noProof/>
          <w:szCs w:val="22"/>
          <w:lang w:eastAsia="en-GB"/>
        </w:rPr>
      </w:pPr>
      <w:hyperlink w:anchor="_Toc389036232" w:history="1">
        <w:r w:rsidR="001F0FC6" w:rsidRPr="00215A5C">
          <w:rPr>
            <w:rStyle w:val="Hyperlink"/>
            <w:noProof/>
          </w:rPr>
          <w:t>Point of Single Contact (PSC) and Online Licensing</w:t>
        </w:r>
        <w:r w:rsidR="001F0FC6">
          <w:rPr>
            <w:noProof/>
            <w:webHidden/>
          </w:rPr>
          <w:tab/>
        </w:r>
        <w:r w:rsidR="001F0FC6">
          <w:rPr>
            <w:noProof/>
            <w:webHidden/>
          </w:rPr>
          <w:fldChar w:fldCharType="begin"/>
        </w:r>
        <w:r w:rsidR="001F0FC6">
          <w:rPr>
            <w:noProof/>
            <w:webHidden/>
          </w:rPr>
          <w:instrText xml:space="preserve"> PAGEREF _Toc389036232 \h </w:instrText>
        </w:r>
        <w:r w:rsidR="001F0FC6">
          <w:rPr>
            <w:noProof/>
            <w:webHidden/>
          </w:rPr>
        </w:r>
        <w:r w:rsidR="001F0FC6">
          <w:rPr>
            <w:noProof/>
            <w:webHidden/>
          </w:rPr>
          <w:fldChar w:fldCharType="separate"/>
        </w:r>
        <w:r w:rsidR="00EF78FA">
          <w:rPr>
            <w:noProof/>
            <w:webHidden/>
          </w:rPr>
          <w:t>5</w:t>
        </w:r>
        <w:r w:rsidR="001F0FC6">
          <w:rPr>
            <w:noProof/>
            <w:webHidden/>
          </w:rPr>
          <w:fldChar w:fldCharType="end"/>
        </w:r>
      </w:hyperlink>
    </w:p>
    <w:p w:rsidR="001F0FC6" w:rsidRPr="00F82884" w:rsidRDefault="003F1EE5">
      <w:pPr>
        <w:pStyle w:val="TOC1"/>
        <w:tabs>
          <w:tab w:val="right" w:leader="dot" w:pos="9628"/>
        </w:tabs>
        <w:rPr>
          <w:rFonts w:ascii="Calibri" w:hAnsi="Calibri"/>
          <w:b w:val="0"/>
          <w:noProof/>
          <w:szCs w:val="22"/>
          <w:lang w:eastAsia="en-GB"/>
        </w:rPr>
      </w:pPr>
      <w:hyperlink w:anchor="_Toc389036233" w:history="1">
        <w:r w:rsidR="001F0FC6" w:rsidRPr="00215A5C">
          <w:rPr>
            <w:rStyle w:val="Hyperlink"/>
            <w:noProof/>
          </w:rPr>
          <w:t>The Internal Market Information System (IMI)</w:t>
        </w:r>
        <w:r w:rsidR="001F0FC6">
          <w:rPr>
            <w:noProof/>
            <w:webHidden/>
          </w:rPr>
          <w:tab/>
        </w:r>
        <w:r w:rsidR="001F0FC6">
          <w:rPr>
            <w:noProof/>
            <w:webHidden/>
          </w:rPr>
          <w:fldChar w:fldCharType="begin"/>
        </w:r>
        <w:r w:rsidR="001F0FC6">
          <w:rPr>
            <w:noProof/>
            <w:webHidden/>
          </w:rPr>
          <w:instrText xml:space="preserve"> PAGEREF _Toc389036233 \h </w:instrText>
        </w:r>
        <w:r w:rsidR="001F0FC6">
          <w:rPr>
            <w:noProof/>
            <w:webHidden/>
          </w:rPr>
        </w:r>
        <w:r w:rsidR="001F0FC6">
          <w:rPr>
            <w:noProof/>
            <w:webHidden/>
          </w:rPr>
          <w:fldChar w:fldCharType="separate"/>
        </w:r>
        <w:r w:rsidR="00EF78FA">
          <w:rPr>
            <w:noProof/>
            <w:webHidden/>
          </w:rPr>
          <w:t>7</w:t>
        </w:r>
        <w:r w:rsidR="001F0FC6">
          <w:rPr>
            <w:noProof/>
            <w:webHidden/>
          </w:rPr>
          <w:fldChar w:fldCharType="end"/>
        </w:r>
      </w:hyperlink>
    </w:p>
    <w:p w:rsidR="001F0FC6" w:rsidRPr="00F82884" w:rsidRDefault="003F1EE5">
      <w:pPr>
        <w:pStyle w:val="TOC1"/>
        <w:tabs>
          <w:tab w:val="right" w:leader="dot" w:pos="9628"/>
        </w:tabs>
        <w:rPr>
          <w:rFonts w:ascii="Calibri" w:hAnsi="Calibri"/>
          <w:b w:val="0"/>
          <w:noProof/>
          <w:szCs w:val="22"/>
          <w:lang w:eastAsia="en-GB"/>
        </w:rPr>
      </w:pPr>
      <w:hyperlink w:anchor="_Toc389036234" w:history="1">
        <w:r w:rsidR="001F0FC6" w:rsidRPr="00215A5C">
          <w:rPr>
            <w:rStyle w:val="Hyperlink"/>
            <w:noProof/>
            <w:lang w:val="en"/>
          </w:rPr>
          <w:t>Notifications Directive 98/34 - goods and electronic services</w:t>
        </w:r>
        <w:r w:rsidR="001F0FC6">
          <w:rPr>
            <w:noProof/>
            <w:webHidden/>
          </w:rPr>
          <w:tab/>
        </w:r>
        <w:r w:rsidR="001F0FC6">
          <w:rPr>
            <w:noProof/>
            <w:webHidden/>
          </w:rPr>
          <w:fldChar w:fldCharType="begin"/>
        </w:r>
        <w:r w:rsidR="001F0FC6">
          <w:rPr>
            <w:noProof/>
            <w:webHidden/>
          </w:rPr>
          <w:instrText xml:space="preserve"> PAGEREF _Toc389036234 \h </w:instrText>
        </w:r>
        <w:r w:rsidR="001F0FC6">
          <w:rPr>
            <w:noProof/>
            <w:webHidden/>
          </w:rPr>
        </w:r>
        <w:r w:rsidR="001F0FC6">
          <w:rPr>
            <w:noProof/>
            <w:webHidden/>
          </w:rPr>
          <w:fldChar w:fldCharType="separate"/>
        </w:r>
        <w:r w:rsidR="00EF78FA">
          <w:rPr>
            <w:noProof/>
            <w:webHidden/>
          </w:rPr>
          <w:t>9</w:t>
        </w:r>
        <w:r w:rsidR="001F0FC6">
          <w:rPr>
            <w:noProof/>
            <w:webHidden/>
          </w:rPr>
          <w:fldChar w:fldCharType="end"/>
        </w:r>
      </w:hyperlink>
    </w:p>
    <w:p w:rsidR="001F0FC6" w:rsidRPr="00F82884" w:rsidRDefault="003F1EE5">
      <w:pPr>
        <w:pStyle w:val="TOC1"/>
        <w:tabs>
          <w:tab w:val="right" w:leader="dot" w:pos="9628"/>
        </w:tabs>
        <w:rPr>
          <w:rFonts w:ascii="Calibri" w:hAnsi="Calibri"/>
          <w:b w:val="0"/>
          <w:noProof/>
          <w:szCs w:val="22"/>
          <w:lang w:eastAsia="en-GB"/>
        </w:rPr>
      </w:pPr>
      <w:hyperlink w:anchor="_Toc389036235" w:history="1">
        <w:r w:rsidR="001F0FC6" w:rsidRPr="00215A5C">
          <w:rPr>
            <w:rStyle w:val="Hyperlink"/>
            <w:noProof/>
          </w:rPr>
          <w:t>Internal Market Scoreboard</w:t>
        </w:r>
        <w:r w:rsidR="001F0FC6">
          <w:rPr>
            <w:noProof/>
            <w:webHidden/>
          </w:rPr>
          <w:tab/>
        </w:r>
        <w:r w:rsidR="001F0FC6">
          <w:rPr>
            <w:noProof/>
            <w:webHidden/>
          </w:rPr>
          <w:fldChar w:fldCharType="begin"/>
        </w:r>
        <w:r w:rsidR="001F0FC6">
          <w:rPr>
            <w:noProof/>
            <w:webHidden/>
          </w:rPr>
          <w:instrText xml:space="preserve"> PAGEREF _Toc389036235 \h </w:instrText>
        </w:r>
        <w:r w:rsidR="001F0FC6">
          <w:rPr>
            <w:noProof/>
            <w:webHidden/>
          </w:rPr>
        </w:r>
        <w:r w:rsidR="001F0FC6">
          <w:rPr>
            <w:noProof/>
            <w:webHidden/>
          </w:rPr>
          <w:fldChar w:fldCharType="separate"/>
        </w:r>
        <w:r w:rsidR="00EF78FA">
          <w:rPr>
            <w:noProof/>
            <w:webHidden/>
          </w:rPr>
          <w:t>12</w:t>
        </w:r>
        <w:r w:rsidR="001F0FC6">
          <w:rPr>
            <w:noProof/>
            <w:webHidden/>
          </w:rPr>
          <w:fldChar w:fldCharType="end"/>
        </w:r>
      </w:hyperlink>
    </w:p>
    <w:p w:rsidR="001F0FC6" w:rsidRPr="00F82884" w:rsidRDefault="003F1EE5">
      <w:pPr>
        <w:pStyle w:val="TOC1"/>
        <w:tabs>
          <w:tab w:val="right" w:leader="dot" w:pos="9628"/>
        </w:tabs>
        <w:rPr>
          <w:rFonts w:ascii="Calibri" w:hAnsi="Calibri"/>
          <w:b w:val="0"/>
          <w:noProof/>
          <w:szCs w:val="22"/>
          <w:lang w:eastAsia="en-GB"/>
        </w:rPr>
      </w:pPr>
      <w:hyperlink w:anchor="_Toc389036236" w:history="1">
        <w:r w:rsidR="001F0FC6" w:rsidRPr="00215A5C">
          <w:rPr>
            <w:rStyle w:val="Hyperlink"/>
            <w:noProof/>
          </w:rPr>
          <w:t>Conclusion</w:t>
        </w:r>
        <w:r w:rsidR="001F0FC6">
          <w:rPr>
            <w:noProof/>
            <w:webHidden/>
          </w:rPr>
          <w:tab/>
        </w:r>
        <w:r w:rsidR="001F0FC6">
          <w:rPr>
            <w:noProof/>
            <w:webHidden/>
          </w:rPr>
          <w:fldChar w:fldCharType="begin"/>
        </w:r>
        <w:r w:rsidR="001F0FC6">
          <w:rPr>
            <w:noProof/>
            <w:webHidden/>
          </w:rPr>
          <w:instrText xml:space="preserve"> PAGEREF _Toc389036236 \h </w:instrText>
        </w:r>
        <w:r w:rsidR="001F0FC6">
          <w:rPr>
            <w:noProof/>
            <w:webHidden/>
          </w:rPr>
        </w:r>
        <w:r w:rsidR="001F0FC6">
          <w:rPr>
            <w:noProof/>
            <w:webHidden/>
          </w:rPr>
          <w:fldChar w:fldCharType="separate"/>
        </w:r>
        <w:r w:rsidR="00EF78FA">
          <w:rPr>
            <w:noProof/>
            <w:webHidden/>
          </w:rPr>
          <w:t>15</w:t>
        </w:r>
        <w:r w:rsidR="001F0FC6">
          <w:rPr>
            <w:noProof/>
            <w:webHidden/>
          </w:rPr>
          <w:fldChar w:fldCharType="end"/>
        </w:r>
      </w:hyperlink>
    </w:p>
    <w:p w:rsidR="00426583" w:rsidRDefault="00BE07CA" w:rsidP="001E7AC0">
      <w:r w:rsidRPr="001F0FC6">
        <w:rPr>
          <w:b/>
          <w:color w:val="1F497D"/>
          <w:sz w:val="22"/>
        </w:rPr>
        <w:fldChar w:fldCharType="end"/>
      </w:r>
      <w:r w:rsidR="001F0FC6">
        <w:t xml:space="preserve"> </w:t>
      </w:r>
    </w:p>
    <w:p w:rsidR="00426583" w:rsidRDefault="00426583" w:rsidP="001E7AC0"/>
    <w:p w:rsidR="00426583" w:rsidRDefault="00426583" w:rsidP="001E7AC0"/>
    <w:p w:rsidR="00426583" w:rsidRDefault="00426583" w:rsidP="001E7AC0"/>
    <w:p w:rsidR="00426583" w:rsidRDefault="00426583" w:rsidP="001E7AC0"/>
    <w:p w:rsidR="00426583" w:rsidRDefault="00426583" w:rsidP="001E7AC0"/>
    <w:p w:rsidR="00426583" w:rsidRDefault="00426583" w:rsidP="001E7AC0"/>
    <w:p w:rsidR="00426583" w:rsidRDefault="00426583" w:rsidP="001E7AC0"/>
    <w:p w:rsidR="00426583" w:rsidRDefault="00426583" w:rsidP="001E7AC0"/>
    <w:p w:rsidR="00426583" w:rsidRDefault="00426583" w:rsidP="001E7AC0"/>
    <w:p w:rsidR="00426583" w:rsidRDefault="00426583" w:rsidP="001E7AC0"/>
    <w:p w:rsidR="000906E4" w:rsidRDefault="000906E4" w:rsidP="001E7AC0"/>
    <w:p w:rsidR="00426583" w:rsidRDefault="00426583" w:rsidP="001E7AC0"/>
    <w:p w:rsidR="00426583" w:rsidRDefault="00426583" w:rsidP="001E7AC0"/>
    <w:p w:rsidR="00426583" w:rsidRDefault="00426583" w:rsidP="001E7AC0"/>
    <w:p w:rsidR="0053221C" w:rsidRDefault="0053221C" w:rsidP="001E7AC0">
      <w:pPr>
        <w:pStyle w:val="Heading1"/>
      </w:pPr>
      <w:bookmarkStart w:id="6" w:name="_UK_Single_Market"/>
      <w:bookmarkStart w:id="7" w:name="_Toc389036230"/>
      <w:bookmarkStart w:id="8" w:name="OLE_LINK4"/>
      <w:bookmarkEnd w:id="6"/>
      <w:r>
        <w:lastRenderedPageBreak/>
        <w:t>UK Single Market Centre</w:t>
      </w:r>
      <w:r w:rsidR="00E36608">
        <w:t xml:space="preserve"> (UKSMC)</w:t>
      </w:r>
      <w:bookmarkEnd w:id="7"/>
    </w:p>
    <w:p w:rsidR="00E36608" w:rsidRDefault="00E36608" w:rsidP="0076262B">
      <w:pPr>
        <w:pStyle w:val="Heading2"/>
      </w:pPr>
      <w:r w:rsidRPr="00E36608">
        <w:t>Background</w:t>
      </w:r>
    </w:p>
    <w:p w:rsidR="0053221C" w:rsidRPr="00DB3EC5" w:rsidRDefault="0053221C" w:rsidP="001E7AC0">
      <w:pPr>
        <w:numPr>
          <w:ilvl w:val="0"/>
          <w:numId w:val="18"/>
        </w:numPr>
        <w:rPr>
          <w:rFonts w:cs="Arial"/>
          <w:color w:val="000000"/>
        </w:rPr>
      </w:pPr>
      <w:r w:rsidRPr="00DB3EC5">
        <w:rPr>
          <w:rFonts w:cs="Arial"/>
          <w:color w:val="000000"/>
        </w:rPr>
        <w:t xml:space="preserve">The </w:t>
      </w:r>
      <w:hyperlink r:id="rId13" w:history="1">
        <w:r w:rsidRPr="00F828EE">
          <w:rPr>
            <w:rStyle w:val="Hyperlink"/>
            <w:rFonts w:cs="Arial"/>
          </w:rPr>
          <w:t xml:space="preserve">UK Single Market Centre </w:t>
        </w:r>
        <w:r w:rsidR="00CB1158" w:rsidRPr="00F828EE">
          <w:rPr>
            <w:rStyle w:val="Hyperlink"/>
            <w:rFonts w:cs="Arial"/>
          </w:rPr>
          <w:t>(UKSMC)</w:t>
        </w:r>
      </w:hyperlink>
      <w:r w:rsidR="00CB1158" w:rsidRPr="00DB3EC5">
        <w:rPr>
          <w:rFonts w:cs="Arial"/>
          <w:color w:val="000000"/>
        </w:rPr>
        <w:t xml:space="preserve"> </w:t>
      </w:r>
      <w:r w:rsidRPr="00DB3EC5">
        <w:rPr>
          <w:rFonts w:cs="Arial"/>
          <w:color w:val="000000"/>
        </w:rPr>
        <w:t xml:space="preserve">was created on 1 December 2012.  </w:t>
      </w:r>
      <w:r w:rsidR="008D1257" w:rsidRPr="00DB3EC5">
        <w:rPr>
          <w:rFonts w:cs="Arial"/>
          <w:color w:val="000000"/>
        </w:rPr>
        <w:t>For the first time i</w:t>
      </w:r>
      <w:r w:rsidRPr="00DB3EC5">
        <w:rPr>
          <w:rFonts w:cs="Arial"/>
          <w:color w:val="000000"/>
        </w:rPr>
        <w:t>t bring</w:t>
      </w:r>
      <w:r w:rsidR="008D1257" w:rsidRPr="00DB3EC5">
        <w:rPr>
          <w:rFonts w:cs="Arial"/>
          <w:color w:val="000000"/>
        </w:rPr>
        <w:t>s</w:t>
      </w:r>
      <w:r w:rsidRPr="00DB3EC5">
        <w:rPr>
          <w:rFonts w:cs="Arial"/>
          <w:color w:val="000000"/>
        </w:rPr>
        <w:t xml:space="preserve"> together </w:t>
      </w:r>
      <w:r w:rsidRPr="00DB3EC5">
        <w:rPr>
          <w:rFonts w:cs="Arial"/>
          <w:lang w:val="en"/>
        </w:rPr>
        <w:t xml:space="preserve">all the </w:t>
      </w:r>
      <w:r w:rsidR="00CB1158" w:rsidRPr="00DB3EC5">
        <w:rPr>
          <w:rFonts w:cs="Arial"/>
          <w:lang w:val="en"/>
        </w:rPr>
        <w:t xml:space="preserve">practical </w:t>
      </w:r>
      <w:r w:rsidRPr="00DB3EC5">
        <w:rPr>
          <w:rFonts w:cs="Arial"/>
          <w:lang w:val="en"/>
        </w:rPr>
        <w:t xml:space="preserve">single market operational tools within a single team, including the </w:t>
      </w:r>
      <w:hyperlink r:id="rId14" w:history="1">
        <w:r w:rsidR="00DB3EC5" w:rsidRPr="00DB3EC5">
          <w:rPr>
            <w:rStyle w:val="Hyperlink"/>
            <w:rFonts w:cs="Arial"/>
            <w:lang w:val="en"/>
          </w:rPr>
          <w:t>Internal Market Scoreboard</w:t>
        </w:r>
      </w:hyperlink>
      <w:r w:rsidRPr="00DB3EC5">
        <w:rPr>
          <w:rFonts w:cs="Arial"/>
          <w:lang w:val="en"/>
        </w:rPr>
        <w:t xml:space="preserve">, </w:t>
      </w:r>
      <w:hyperlink r:id="rId15" w:history="1">
        <w:r w:rsidR="00DB3EC5" w:rsidRPr="00DB3EC5">
          <w:rPr>
            <w:rStyle w:val="Hyperlink"/>
            <w:rFonts w:cs="Arial"/>
          </w:rPr>
          <w:t>Internal Market Information System (IMI)</w:t>
        </w:r>
      </w:hyperlink>
      <w:r w:rsidRPr="00DB3EC5">
        <w:rPr>
          <w:rFonts w:cs="Arial"/>
          <w:lang w:val="en"/>
        </w:rPr>
        <w:t xml:space="preserve">, </w:t>
      </w:r>
      <w:hyperlink r:id="rId16" w:history="1">
        <w:r w:rsidR="00DB3EC5" w:rsidRPr="00DB3EC5">
          <w:rPr>
            <w:rStyle w:val="Hyperlink"/>
            <w:rFonts w:cs="Arial"/>
            <w:lang w:val="en"/>
          </w:rPr>
          <w:t>SOLVIT</w:t>
        </w:r>
      </w:hyperlink>
      <w:r w:rsidRPr="00DB3EC5">
        <w:rPr>
          <w:rFonts w:cs="Arial"/>
          <w:lang w:val="en"/>
        </w:rPr>
        <w:t xml:space="preserve">, the </w:t>
      </w:r>
      <w:hyperlink r:id="rId17" w:history="1">
        <w:r w:rsidRPr="002A490B">
          <w:rPr>
            <w:rStyle w:val="Hyperlink"/>
            <w:rFonts w:cs="Arial"/>
            <w:lang w:val="en"/>
          </w:rPr>
          <w:t>Point of Single Contact (PSC)</w:t>
        </w:r>
      </w:hyperlink>
      <w:r w:rsidRPr="00DB3EC5">
        <w:rPr>
          <w:rFonts w:cs="Arial"/>
          <w:lang w:val="en"/>
        </w:rPr>
        <w:t xml:space="preserve"> and the </w:t>
      </w:r>
      <w:hyperlink r:id="rId18" w:history="1">
        <w:r w:rsidR="00DB3EC5" w:rsidRPr="00DB3EC5">
          <w:rPr>
            <w:rStyle w:val="Hyperlink"/>
            <w:rFonts w:cs="Arial"/>
            <w:lang w:val="en"/>
          </w:rPr>
          <w:t>Technical Standards and Regulations Directive 98/34/EC</w:t>
        </w:r>
      </w:hyperlink>
      <w:r w:rsidRPr="00DB3EC5">
        <w:rPr>
          <w:rFonts w:cs="Arial"/>
          <w:color w:val="000000"/>
        </w:rPr>
        <w:t xml:space="preserve">.  </w:t>
      </w:r>
    </w:p>
    <w:p w:rsidR="00C01A03" w:rsidRPr="00C01A03" w:rsidRDefault="00C01A03" w:rsidP="0076262B">
      <w:pPr>
        <w:pStyle w:val="Heading2"/>
      </w:pPr>
      <w:r w:rsidRPr="00C01A03">
        <w:t>Aim</w:t>
      </w:r>
    </w:p>
    <w:p w:rsidR="0053221C" w:rsidRPr="00B50C76" w:rsidRDefault="00CB1158" w:rsidP="001E7AC0">
      <w:pPr>
        <w:numPr>
          <w:ilvl w:val="0"/>
          <w:numId w:val="18"/>
        </w:numPr>
        <w:rPr>
          <w:rFonts w:cs="Arial"/>
          <w:b/>
        </w:rPr>
      </w:pPr>
      <w:r>
        <w:rPr>
          <w:rFonts w:cs="Arial"/>
          <w:color w:val="000000"/>
        </w:rPr>
        <w:t>The UKSMC</w:t>
      </w:r>
      <w:r w:rsidR="0053221C">
        <w:rPr>
          <w:rFonts w:cs="Arial"/>
          <w:color w:val="000000"/>
        </w:rPr>
        <w:t xml:space="preserve">’s </w:t>
      </w:r>
      <w:r w:rsidR="0053221C" w:rsidRPr="00B50C76">
        <w:rPr>
          <w:rFonts w:cs="Arial"/>
          <w:color w:val="000000"/>
        </w:rPr>
        <w:t xml:space="preserve">primary purpose is to </w:t>
      </w:r>
      <w:r w:rsidR="0053221C" w:rsidRPr="00B50C76">
        <w:rPr>
          <w:rFonts w:cs="Arial"/>
          <w:color w:val="000000"/>
          <w:lang w:val="en"/>
        </w:rPr>
        <w:t>increase awareness and confidence amongst UK</w:t>
      </w:r>
      <w:r w:rsidR="008D1257">
        <w:rPr>
          <w:rFonts w:cs="Arial"/>
          <w:color w:val="000000"/>
          <w:lang w:val="en"/>
        </w:rPr>
        <w:t xml:space="preserve"> businesses and citizens</w:t>
      </w:r>
      <w:r w:rsidR="0053221C" w:rsidRPr="00B50C76">
        <w:rPr>
          <w:rFonts w:cs="Arial"/>
          <w:color w:val="000000"/>
          <w:lang w:val="en"/>
        </w:rPr>
        <w:t xml:space="preserve"> about </w:t>
      </w:r>
      <w:r w:rsidR="0053221C">
        <w:rPr>
          <w:rFonts w:cs="Arial"/>
          <w:color w:val="000000"/>
          <w:lang w:val="en"/>
        </w:rPr>
        <w:t xml:space="preserve">all </w:t>
      </w:r>
      <w:r w:rsidR="0053221C" w:rsidRPr="00B50C76">
        <w:rPr>
          <w:rFonts w:cs="Arial"/>
          <w:color w:val="000000"/>
          <w:lang w:val="en"/>
        </w:rPr>
        <w:t>the support</w:t>
      </w:r>
      <w:r>
        <w:rPr>
          <w:rFonts w:cs="Arial"/>
          <w:color w:val="000000"/>
          <w:lang w:val="en"/>
        </w:rPr>
        <w:t xml:space="preserve">, guidance and </w:t>
      </w:r>
      <w:r w:rsidR="008D1257">
        <w:rPr>
          <w:rFonts w:cs="Arial"/>
          <w:color w:val="000000"/>
          <w:lang w:val="en"/>
        </w:rPr>
        <w:t>help that is</w:t>
      </w:r>
      <w:r w:rsidR="0053221C" w:rsidRPr="00B50C76">
        <w:rPr>
          <w:rFonts w:cs="Arial"/>
          <w:color w:val="000000"/>
          <w:lang w:val="en"/>
        </w:rPr>
        <w:t xml:space="preserve"> available </w:t>
      </w:r>
      <w:r w:rsidR="008D1257">
        <w:rPr>
          <w:rFonts w:cs="Arial"/>
          <w:color w:val="000000"/>
          <w:lang w:val="en"/>
        </w:rPr>
        <w:t>to them to work, live, trade and shop with</w:t>
      </w:r>
      <w:r>
        <w:rPr>
          <w:rFonts w:cs="Arial"/>
          <w:color w:val="000000"/>
          <w:lang w:val="en"/>
        </w:rPr>
        <w:t>in Europe</w:t>
      </w:r>
      <w:r w:rsidR="0053221C" w:rsidRPr="00B50C76">
        <w:rPr>
          <w:rFonts w:cs="Arial"/>
          <w:color w:val="000000"/>
          <w:lang w:val="en"/>
        </w:rPr>
        <w:t>.</w:t>
      </w:r>
      <w:r w:rsidR="008D1257">
        <w:rPr>
          <w:rFonts w:cs="Arial"/>
          <w:color w:val="000000"/>
          <w:lang w:val="en"/>
        </w:rPr>
        <w:t xml:space="preserve">  We are also keen to ensure that the evidence we gather about the kinds of problems and issues that cause difficulties for them </w:t>
      </w:r>
      <w:r w:rsidR="00E36608">
        <w:rPr>
          <w:rFonts w:cs="Arial"/>
          <w:color w:val="000000"/>
          <w:lang w:val="en"/>
        </w:rPr>
        <w:t xml:space="preserve">help inform </w:t>
      </w:r>
      <w:r w:rsidR="008D1257">
        <w:rPr>
          <w:rFonts w:cs="Arial"/>
          <w:color w:val="000000"/>
          <w:lang w:val="en"/>
        </w:rPr>
        <w:t xml:space="preserve">future policy development. </w:t>
      </w:r>
    </w:p>
    <w:p w:rsidR="00C01A03" w:rsidRPr="00C01A03" w:rsidRDefault="00C01A03" w:rsidP="0076262B">
      <w:pPr>
        <w:pStyle w:val="Heading2"/>
      </w:pPr>
      <w:r w:rsidRPr="00C01A03">
        <w:t>Action taken</w:t>
      </w:r>
    </w:p>
    <w:p w:rsidR="00CB1158" w:rsidRDefault="0053221C" w:rsidP="001E7AC0">
      <w:pPr>
        <w:pStyle w:val="BodyText2"/>
        <w:numPr>
          <w:ilvl w:val="0"/>
          <w:numId w:val="18"/>
        </w:numPr>
        <w:jc w:val="left"/>
      </w:pPr>
      <w:r>
        <w:t xml:space="preserve">In the last year, </w:t>
      </w:r>
      <w:r w:rsidR="008D1257">
        <w:t xml:space="preserve">we have been working hard to raise </w:t>
      </w:r>
      <w:r w:rsidR="00CB1158">
        <w:t xml:space="preserve">our </w:t>
      </w:r>
      <w:r>
        <w:t>profile</w:t>
      </w:r>
      <w:r w:rsidR="00CB685D">
        <w:t xml:space="preserve">.  </w:t>
      </w:r>
      <w:r>
        <w:t xml:space="preserve">We have held two Governance Operational Group meetings where </w:t>
      </w:r>
      <w:r w:rsidR="00CB685D">
        <w:t xml:space="preserve">we exchanged </w:t>
      </w:r>
      <w:r>
        <w:t xml:space="preserve">views and ideas on </w:t>
      </w:r>
      <w:r w:rsidR="008D1257">
        <w:t>how to make businesses and citizens aware</w:t>
      </w:r>
      <w:r w:rsidR="00B938EE">
        <w:t xml:space="preserve"> of what help and support is available</w:t>
      </w:r>
      <w:r w:rsidR="00CB685D">
        <w:t xml:space="preserve"> to them</w:t>
      </w:r>
      <w:r w:rsidR="00F05030">
        <w:t>.  We also discussed</w:t>
      </w:r>
      <w:r>
        <w:t xml:space="preserve"> Internal Market operational issues </w:t>
      </w:r>
      <w:r w:rsidR="00CB685D">
        <w:t>with key stakeholders, including the Commission and business representative organisations</w:t>
      </w:r>
      <w:r w:rsidR="00CB1158">
        <w:t xml:space="preserve">.  </w:t>
      </w:r>
    </w:p>
    <w:p w:rsidR="00CB1158" w:rsidRDefault="00CB1158" w:rsidP="001E7AC0">
      <w:pPr>
        <w:numPr>
          <w:ilvl w:val="0"/>
          <w:numId w:val="18"/>
        </w:numPr>
        <w:rPr>
          <w:rFonts w:cs="Arial"/>
          <w:color w:val="000000"/>
        </w:rPr>
      </w:pPr>
      <w:r>
        <w:rPr>
          <w:rFonts w:cs="Arial"/>
        </w:rPr>
        <w:t>We have</w:t>
      </w:r>
      <w:r w:rsidR="0053221C">
        <w:rPr>
          <w:rFonts w:cs="Arial"/>
        </w:rPr>
        <w:t xml:space="preserve"> produced a</w:t>
      </w:r>
      <w:r w:rsidR="00CB685D">
        <w:rPr>
          <w:rFonts w:cs="Arial"/>
        </w:rPr>
        <w:t xml:space="preserve"> general publicity</w:t>
      </w:r>
      <w:r w:rsidR="0053221C">
        <w:rPr>
          <w:rFonts w:cs="Arial"/>
        </w:rPr>
        <w:t xml:space="preserve"> </w:t>
      </w:r>
      <w:hyperlink r:id="rId19" w:history="1">
        <w:r w:rsidR="0053221C" w:rsidRPr="00B50C76">
          <w:rPr>
            <w:rStyle w:val="Hyperlink"/>
            <w:rFonts w:cs="Arial"/>
          </w:rPr>
          <w:t>flyer</w:t>
        </w:r>
      </w:hyperlink>
      <w:r w:rsidR="0053221C">
        <w:rPr>
          <w:rFonts w:cs="Arial"/>
        </w:rPr>
        <w:t xml:space="preserve"> </w:t>
      </w:r>
      <w:r>
        <w:rPr>
          <w:rFonts w:cs="Arial"/>
        </w:rPr>
        <w:t xml:space="preserve">that can be used by others at their events </w:t>
      </w:r>
      <w:r w:rsidR="0053221C">
        <w:rPr>
          <w:rFonts w:cs="Arial"/>
        </w:rPr>
        <w:t xml:space="preserve">and issued 2 </w:t>
      </w:r>
      <w:hyperlink r:id="rId20" w:history="1">
        <w:r w:rsidR="0053221C" w:rsidRPr="00B50C76">
          <w:rPr>
            <w:rStyle w:val="Hyperlink"/>
            <w:rFonts w:cs="Arial"/>
          </w:rPr>
          <w:t>Newsletters</w:t>
        </w:r>
      </w:hyperlink>
      <w:r w:rsidR="0053221C">
        <w:rPr>
          <w:rFonts w:cs="Arial"/>
        </w:rPr>
        <w:t xml:space="preserve">. </w:t>
      </w:r>
      <w:r w:rsidR="00CB685D">
        <w:rPr>
          <w:rFonts w:cs="Arial"/>
        </w:rPr>
        <w:t xml:space="preserve"> </w:t>
      </w:r>
      <w:r w:rsidR="0053221C">
        <w:rPr>
          <w:rFonts w:cs="Arial"/>
          <w:color w:val="000000"/>
        </w:rPr>
        <w:t>The</w:t>
      </w:r>
      <w:r w:rsidR="0053221C" w:rsidRPr="0071646B">
        <w:rPr>
          <w:rFonts w:cs="Arial"/>
          <w:color w:val="000000"/>
        </w:rPr>
        <w:t xml:space="preserve"> newsletter</w:t>
      </w:r>
      <w:r w:rsidR="0053221C">
        <w:rPr>
          <w:rFonts w:cs="Arial"/>
          <w:color w:val="000000"/>
        </w:rPr>
        <w:t>s are</w:t>
      </w:r>
      <w:r w:rsidR="0053221C" w:rsidRPr="0071646B">
        <w:rPr>
          <w:rFonts w:cs="Arial"/>
          <w:color w:val="000000"/>
        </w:rPr>
        <w:t xml:space="preserve"> sent to more than 1,000 cont</w:t>
      </w:r>
      <w:r w:rsidR="00CB685D">
        <w:rPr>
          <w:rFonts w:cs="Arial"/>
          <w:color w:val="000000"/>
        </w:rPr>
        <w:t>acts in local government, Other Government Departments, Regulators, as well as business organisations and</w:t>
      </w:r>
      <w:r w:rsidR="0053221C">
        <w:rPr>
          <w:rFonts w:cs="Arial"/>
          <w:color w:val="000000"/>
        </w:rPr>
        <w:t xml:space="preserve"> include information</w:t>
      </w:r>
      <w:r>
        <w:rPr>
          <w:rFonts w:cs="Arial"/>
          <w:color w:val="000000"/>
        </w:rPr>
        <w:t xml:space="preserve"> case studies and </w:t>
      </w:r>
      <w:r w:rsidR="00801DC1">
        <w:rPr>
          <w:rFonts w:cs="Arial"/>
          <w:color w:val="000000"/>
        </w:rPr>
        <w:t xml:space="preserve">news on the </w:t>
      </w:r>
      <w:r w:rsidR="00091B5F">
        <w:rPr>
          <w:rFonts w:cs="Arial"/>
          <w:color w:val="000000"/>
        </w:rPr>
        <w:t>latest developments</w:t>
      </w:r>
      <w:r w:rsidR="00F05030">
        <w:rPr>
          <w:rFonts w:cs="Arial"/>
          <w:color w:val="000000"/>
        </w:rPr>
        <w:t xml:space="preserve">. </w:t>
      </w:r>
    </w:p>
    <w:p w:rsidR="0053221C" w:rsidRDefault="00CB1158" w:rsidP="001E7AC0">
      <w:pPr>
        <w:numPr>
          <w:ilvl w:val="0"/>
          <w:numId w:val="18"/>
        </w:numPr>
        <w:rPr>
          <w:rFonts w:cs="Arial"/>
          <w:color w:val="000000"/>
        </w:rPr>
      </w:pPr>
      <w:r>
        <w:rPr>
          <w:rFonts w:cs="Arial"/>
          <w:color w:val="000000"/>
        </w:rPr>
        <w:t>In addition, we are improving our web content, including sign-posting to other organisations that provide help</w:t>
      </w:r>
      <w:r w:rsidR="00F05030">
        <w:rPr>
          <w:rFonts w:cs="Arial"/>
          <w:color w:val="000000"/>
        </w:rPr>
        <w:t xml:space="preserve"> on specific issues</w:t>
      </w:r>
      <w:r>
        <w:rPr>
          <w:rFonts w:cs="Arial"/>
          <w:color w:val="000000"/>
        </w:rPr>
        <w:t xml:space="preserve">, for example, </w:t>
      </w:r>
      <w:hyperlink r:id="rId21" w:history="1">
        <w:r w:rsidR="00BA4A9E" w:rsidRPr="00C67206">
          <w:rPr>
            <w:rStyle w:val="Hyperlink"/>
            <w:rFonts w:cs="Arial"/>
          </w:rPr>
          <w:t>UKTI</w:t>
        </w:r>
      </w:hyperlink>
      <w:r w:rsidR="00BA4A9E">
        <w:rPr>
          <w:rFonts w:cs="Arial"/>
          <w:color w:val="000000"/>
        </w:rPr>
        <w:t xml:space="preserve"> </w:t>
      </w:r>
      <w:r>
        <w:rPr>
          <w:rFonts w:cs="Arial"/>
          <w:color w:val="000000"/>
        </w:rPr>
        <w:t xml:space="preserve">the </w:t>
      </w:r>
      <w:hyperlink r:id="rId22" w:history="1">
        <w:r w:rsidR="0086654B" w:rsidRPr="0086654B">
          <w:rPr>
            <w:rStyle w:val="Hyperlink"/>
            <w:rFonts w:cs="Arial"/>
            <w:lang w:val="en"/>
          </w:rPr>
          <w:t>UK European Consumer Centre</w:t>
        </w:r>
      </w:hyperlink>
      <w:r>
        <w:rPr>
          <w:rFonts w:cs="Arial"/>
          <w:color w:val="000000"/>
        </w:rPr>
        <w:t xml:space="preserve"> and the </w:t>
      </w:r>
      <w:hyperlink r:id="rId23" w:history="1">
        <w:r w:rsidR="0086654B" w:rsidRPr="0086654B">
          <w:rPr>
            <w:rStyle w:val="Hyperlink"/>
            <w:rFonts w:cs="Arial"/>
            <w:lang w:val="en"/>
          </w:rPr>
          <w:t>Enterprise Europe Network</w:t>
        </w:r>
      </w:hyperlink>
      <w:r>
        <w:rPr>
          <w:rFonts w:cs="Arial"/>
          <w:color w:val="000000"/>
        </w:rPr>
        <w:t xml:space="preserve">. </w:t>
      </w:r>
      <w:r w:rsidR="0053221C">
        <w:rPr>
          <w:rFonts w:cs="Arial"/>
          <w:color w:val="000000"/>
        </w:rPr>
        <w:t xml:space="preserve">  </w:t>
      </w:r>
    </w:p>
    <w:p w:rsidR="00C01A03" w:rsidRPr="00C01A03" w:rsidRDefault="00C01A03" w:rsidP="0076262B">
      <w:pPr>
        <w:pStyle w:val="Heading2"/>
      </w:pPr>
      <w:r w:rsidRPr="00C01A03">
        <w:t>Next Steps</w:t>
      </w:r>
    </w:p>
    <w:p w:rsidR="00680482" w:rsidRPr="00680482" w:rsidRDefault="0053221C" w:rsidP="00680482">
      <w:pPr>
        <w:numPr>
          <w:ilvl w:val="0"/>
          <w:numId w:val="18"/>
        </w:numPr>
        <w:rPr>
          <w:rFonts w:cs="Arial"/>
        </w:rPr>
      </w:pPr>
      <w:r w:rsidRPr="00680482">
        <w:rPr>
          <w:rFonts w:cs="Arial"/>
        </w:rPr>
        <w:t xml:space="preserve">In the coming year, </w:t>
      </w:r>
      <w:r w:rsidR="00CB1158" w:rsidRPr="00680482">
        <w:rPr>
          <w:rFonts w:cs="Arial"/>
        </w:rPr>
        <w:t>we are</w:t>
      </w:r>
      <w:r w:rsidR="00CB685D" w:rsidRPr="00680482">
        <w:rPr>
          <w:rFonts w:cs="Arial"/>
        </w:rPr>
        <w:t xml:space="preserve"> </w:t>
      </w:r>
      <w:r w:rsidRPr="00680482">
        <w:rPr>
          <w:rFonts w:cs="Arial"/>
        </w:rPr>
        <w:t>looking to build stronger relationships with ot</w:t>
      </w:r>
      <w:r w:rsidR="00CB685D" w:rsidRPr="00680482">
        <w:rPr>
          <w:rFonts w:cs="Arial"/>
        </w:rPr>
        <w:t>her key stakeholders working to improve</w:t>
      </w:r>
      <w:r w:rsidRPr="00680482">
        <w:rPr>
          <w:rFonts w:cs="Arial"/>
        </w:rPr>
        <w:t xml:space="preserve"> access to the single Market</w:t>
      </w:r>
      <w:r w:rsidR="00CB1158" w:rsidRPr="00680482">
        <w:rPr>
          <w:rFonts w:cs="Arial"/>
        </w:rPr>
        <w:t xml:space="preserve"> and make better use of our evidence base</w:t>
      </w:r>
      <w:r w:rsidRPr="00680482">
        <w:rPr>
          <w:rFonts w:cs="Arial"/>
        </w:rPr>
        <w:t>.</w:t>
      </w:r>
      <w:r w:rsidR="00F05030" w:rsidRPr="00680482">
        <w:rPr>
          <w:rFonts w:cs="Arial"/>
        </w:rPr>
        <w:t xml:space="preserve">  We are also aiming to issue further newsletters every 4 months or so.</w:t>
      </w:r>
      <w:r w:rsidRPr="00680482">
        <w:rPr>
          <w:rFonts w:cs="Arial"/>
        </w:rPr>
        <w:t xml:space="preserve"> </w:t>
      </w:r>
    </w:p>
    <w:p w:rsidR="0022300C" w:rsidRDefault="0022300C" w:rsidP="001E7AC0">
      <w:pPr>
        <w:pStyle w:val="Heading1"/>
      </w:pPr>
    </w:p>
    <w:p w:rsidR="00EF78FA" w:rsidRDefault="00EF78FA">
      <w:pPr>
        <w:spacing w:after="0"/>
        <w:rPr>
          <w:b/>
          <w:bCs/>
          <w:color w:val="003478"/>
          <w:kern w:val="32"/>
          <w:sz w:val="40"/>
          <w:szCs w:val="32"/>
        </w:rPr>
      </w:pPr>
      <w:bookmarkStart w:id="9" w:name="_Toc389036231"/>
      <w:r>
        <w:br w:type="page"/>
      </w:r>
    </w:p>
    <w:p w:rsidR="00AF0891" w:rsidRDefault="00AF0891" w:rsidP="001E7AC0">
      <w:pPr>
        <w:pStyle w:val="Heading1"/>
      </w:pPr>
      <w:r>
        <w:lastRenderedPageBreak/>
        <w:t>UK</w:t>
      </w:r>
      <w:r w:rsidR="0053221C">
        <w:t xml:space="preserve"> SOLVIT Centre</w:t>
      </w:r>
      <w:bookmarkEnd w:id="9"/>
    </w:p>
    <w:bookmarkEnd w:id="8"/>
    <w:p w:rsidR="00AF0891" w:rsidRDefault="00AF0891" w:rsidP="001E7AC0">
      <w:pPr>
        <w:numPr>
          <w:ilvl w:val="0"/>
          <w:numId w:val="18"/>
        </w:numPr>
      </w:pPr>
      <w:r>
        <w:t>2013 was a</w:t>
      </w:r>
      <w:r w:rsidR="00A264DD">
        <w:t>nother</w:t>
      </w:r>
      <w:r>
        <w:t xml:space="preserve"> very busy ye</w:t>
      </w:r>
      <w:r w:rsidR="00A264DD">
        <w:t>ar for SOLVIT</w:t>
      </w:r>
      <w:r w:rsidR="00CB685D">
        <w:t xml:space="preserve"> UK, </w:t>
      </w:r>
      <w:r w:rsidR="001F72B1">
        <w:t xml:space="preserve">which </w:t>
      </w:r>
      <w:r w:rsidR="00CB685D">
        <w:t>in</w:t>
      </w:r>
      <w:r w:rsidR="001F72B1">
        <w:t>cluded</w:t>
      </w:r>
      <w:r w:rsidR="00A264DD">
        <w:t xml:space="preserve"> </w:t>
      </w:r>
      <w:r w:rsidR="00CB685D">
        <w:t xml:space="preserve">implementing </w:t>
      </w:r>
      <w:r w:rsidR="00F05030">
        <w:t xml:space="preserve">a new Recommendation and dealing with </w:t>
      </w:r>
      <w:r w:rsidR="00CB1158">
        <w:t xml:space="preserve">a </w:t>
      </w:r>
      <w:r>
        <w:t>merger of the SOLVIT database into the Internal Market In</w:t>
      </w:r>
      <w:r w:rsidR="00F05030">
        <w:t>formation (IMI) system as well as managing</w:t>
      </w:r>
      <w:r w:rsidR="00A264DD">
        <w:t xml:space="preserve"> an </w:t>
      </w:r>
      <w:r w:rsidR="00D754BB">
        <w:t>ever-increasing</w:t>
      </w:r>
      <w:r>
        <w:t xml:space="preserve"> workload.</w:t>
      </w:r>
    </w:p>
    <w:p w:rsidR="00D754BB" w:rsidRPr="00D754BB" w:rsidRDefault="00C01A03" w:rsidP="0076262B">
      <w:pPr>
        <w:pStyle w:val="Heading2"/>
      </w:pPr>
      <w:r>
        <w:t>Background</w:t>
      </w:r>
    </w:p>
    <w:p w:rsidR="00AF0891" w:rsidRDefault="00D754BB" w:rsidP="001E7AC0">
      <w:pPr>
        <w:numPr>
          <w:ilvl w:val="0"/>
          <w:numId w:val="18"/>
        </w:numPr>
      </w:pPr>
      <w:r>
        <w:t xml:space="preserve">The </w:t>
      </w:r>
      <w:r w:rsidR="00AF0891">
        <w:t xml:space="preserve">SOLVIT </w:t>
      </w:r>
      <w:r>
        <w:t xml:space="preserve">network </w:t>
      </w:r>
      <w:r w:rsidR="00AF0891">
        <w:t>was set u</w:t>
      </w:r>
      <w:r w:rsidR="00A264DD">
        <w:t xml:space="preserve">p ten years ago and </w:t>
      </w:r>
      <w:r w:rsidR="00AF0891">
        <w:t xml:space="preserve">the system </w:t>
      </w:r>
      <w:r w:rsidR="00A264DD">
        <w:t>has since grown to handle</w:t>
      </w:r>
      <w:r w:rsidR="00AF0891">
        <w:t xml:space="preserve"> </w:t>
      </w:r>
      <w:r w:rsidR="00A264DD">
        <w:t>ten times the number of cases</w:t>
      </w:r>
      <w:r w:rsidR="00AF0891">
        <w:t xml:space="preserve"> and </w:t>
      </w:r>
      <w:r w:rsidR="00A264DD">
        <w:t>deal</w:t>
      </w:r>
      <w:r w:rsidR="00CB1158">
        <w:t>s</w:t>
      </w:r>
      <w:r w:rsidR="00A264DD">
        <w:t xml:space="preserve"> with </w:t>
      </w:r>
      <w:r w:rsidR="00AF0891">
        <w:t xml:space="preserve">an increasingly </w:t>
      </w:r>
      <w:r w:rsidR="00CD2016">
        <w:t xml:space="preserve">diverse </w:t>
      </w:r>
      <w:r w:rsidR="00A264DD">
        <w:t>range of problems</w:t>
      </w:r>
      <w:r w:rsidR="00AF0891">
        <w:t>.  In</w:t>
      </w:r>
      <w:r w:rsidR="00CD2016">
        <w:t xml:space="preserve"> September 2013, </w:t>
      </w:r>
      <w:r w:rsidR="00AF0891">
        <w:t>the Commission adopted the text of a new Recommendation on the Principles Governing SOLVIT</w:t>
      </w:r>
      <w:r w:rsidR="00A264DD">
        <w:t>, which aims to strengthen</w:t>
      </w:r>
      <w:r w:rsidR="00AF0891">
        <w:t xml:space="preserve"> the network </w:t>
      </w:r>
      <w:r w:rsidR="00A264DD">
        <w:t xml:space="preserve">so that it can cope with </w:t>
      </w:r>
      <w:r w:rsidR="00AF0891">
        <w:t>new challenges</w:t>
      </w:r>
      <w:r w:rsidR="00CD2016">
        <w:t xml:space="preserve"> and demands</w:t>
      </w:r>
      <w:r w:rsidR="00AF0891">
        <w:t xml:space="preserve">.  </w:t>
      </w:r>
    </w:p>
    <w:p w:rsidR="00AF0891" w:rsidRDefault="00AF0891" w:rsidP="001E7AC0">
      <w:pPr>
        <w:numPr>
          <w:ilvl w:val="0"/>
          <w:numId w:val="18"/>
        </w:numPr>
      </w:pPr>
      <w:r>
        <w:t xml:space="preserve">The following extract is taken from the conclusions to the Competitive Council of 02/3 December:  </w:t>
      </w:r>
    </w:p>
    <w:p w:rsidR="00CB7FC7" w:rsidRDefault="00AF0891" w:rsidP="001E7AC0">
      <w:pPr>
        <w:ind w:left="720"/>
        <w:rPr>
          <w:i/>
        </w:rPr>
      </w:pPr>
      <w:r>
        <w:rPr>
          <w:i/>
        </w:rPr>
        <w:t>“</w:t>
      </w:r>
      <w:r w:rsidRPr="00A135A2">
        <w:rPr>
          <w:i/>
        </w:rPr>
        <w:t>Acknowledges the unique role SOLVIT plays in solving problems encountered by citizens and businesses in the Single Market and thus contribut</w:t>
      </w:r>
      <w:r w:rsidR="00A264DD">
        <w:rPr>
          <w:i/>
        </w:rPr>
        <w:t>ing to compliance with EU law.</w:t>
      </w:r>
    </w:p>
    <w:p w:rsidR="00CB7FC7" w:rsidRDefault="00AF0891" w:rsidP="001E7AC0">
      <w:pPr>
        <w:ind w:left="720"/>
        <w:rPr>
          <w:i/>
        </w:rPr>
      </w:pPr>
      <w:r w:rsidRPr="00A135A2">
        <w:rPr>
          <w:i/>
        </w:rPr>
        <w:t>Endorses the Commission’s Recommendation of 17 September 2013 on the principles governing SOLVIT, while stressing that SOLVIT is primarily a network between Member States</w:t>
      </w:r>
      <w:r>
        <w:rPr>
          <w:i/>
        </w:rPr>
        <w:t>,</w:t>
      </w:r>
      <w:r w:rsidRPr="00A135A2">
        <w:rPr>
          <w:i/>
        </w:rPr>
        <w:t xml:space="preserve"> which functions through their cooperation, reinforced by the </w:t>
      </w:r>
      <w:r>
        <w:rPr>
          <w:i/>
        </w:rPr>
        <w:t>involvement of the Commission; u</w:t>
      </w:r>
      <w:r w:rsidRPr="00A135A2">
        <w:rPr>
          <w:i/>
        </w:rPr>
        <w:t xml:space="preserve">rges the Commission to ensure a better coordination between the informal SOLVIT network and the EU-Pilot with a view to an efficient and structured follow-up of unresolved SOLVIT cases, use SOLVIT data to identify key Single Market areas for improvement </w:t>
      </w:r>
      <w:r>
        <w:rPr>
          <w:i/>
        </w:rPr>
        <w:t>b</w:t>
      </w:r>
      <w:r w:rsidR="008E5F5F">
        <w:rPr>
          <w:i/>
        </w:rPr>
        <w:t xml:space="preserve">oth at EU and national level.  </w:t>
      </w:r>
    </w:p>
    <w:p w:rsidR="00AF0891" w:rsidRDefault="00AF0891" w:rsidP="001E7AC0">
      <w:pPr>
        <w:ind w:left="720"/>
        <w:rPr>
          <w:i/>
        </w:rPr>
      </w:pPr>
      <w:r w:rsidRPr="00A135A2">
        <w:rPr>
          <w:i/>
        </w:rPr>
        <w:t>Calls upon the Commission and Member States to ensure the necessary support and expertise for the national SOLVIT Centres to deal effect</w:t>
      </w:r>
      <w:r>
        <w:rPr>
          <w:i/>
        </w:rPr>
        <w:t>ively with the cases received; i</w:t>
      </w:r>
      <w:r w:rsidRPr="00A135A2">
        <w:rPr>
          <w:i/>
        </w:rPr>
        <w:t>nvites the Commission to present a roadmap to Member States concerning the next steps for the reinforcement of SOLVIT through the better coordination of EU law enforcement tools and a better engagement of its services in supporting the work of SOLVIT.</w:t>
      </w:r>
      <w:r>
        <w:rPr>
          <w:i/>
        </w:rPr>
        <w:t>”</w:t>
      </w:r>
    </w:p>
    <w:p w:rsidR="00C01A03" w:rsidRPr="00C01A03" w:rsidRDefault="00C01A03" w:rsidP="0076262B">
      <w:pPr>
        <w:pStyle w:val="Heading2"/>
      </w:pPr>
      <w:r w:rsidRPr="00C01A03">
        <w:t>Statistics</w:t>
      </w:r>
    </w:p>
    <w:p w:rsidR="00AF0891" w:rsidRDefault="00CD2016" w:rsidP="001E7AC0">
      <w:pPr>
        <w:numPr>
          <w:ilvl w:val="0"/>
          <w:numId w:val="18"/>
        </w:numPr>
      </w:pPr>
      <w:r>
        <w:t>T</w:t>
      </w:r>
      <w:r w:rsidR="00AF0891">
        <w:t>he UK SOL</w:t>
      </w:r>
      <w:r>
        <w:t>VIT Centre has always been</w:t>
      </w:r>
      <w:r w:rsidR="00AF0891">
        <w:t xml:space="preserve"> one of the busiest and most e</w:t>
      </w:r>
      <w:r>
        <w:t>ffective Centres in the network and</w:t>
      </w:r>
      <w:r w:rsidR="00F026F3">
        <w:t xml:space="preserve"> </w:t>
      </w:r>
      <w:r>
        <w:t>our statistics have reflected</w:t>
      </w:r>
      <w:r w:rsidR="00AF0891">
        <w:t xml:space="preserve"> the </w:t>
      </w:r>
      <w:r w:rsidR="00B5334C">
        <w:t xml:space="preserve">historic </w:t>
      </w:r>
      <w:r w:rsidR="00AF0891">
        <w:t xml:space="preserve">popularity of the UK as a </w:t>
      </w:r>
      <w:r w:rsidR="00B5334C">
        <w:t>destin</w:t>
      </w:r>
      <w:r w:rsidR="00F026F3">
        <w:t>ation for EU workers.  As such, w</w:t>
      </w:r>
      <w:r w:rsidR="00AF0891">
        <w:t>e have always received significantly more complaints against the UK</w:t>
      </w:r>
      <w:r w:rsidR="00F05030">
        <w:t xml:space="preserve"> than other Member States</w:t>
      </w:r>
      <w:r>
        <w:t xml:space="preserve">.  This is beginning to change as, following the </w:t>
      </w:r>
      <w:r w:rsidR="00AF0891">
        <w:t>creation of the UK Single Mark</w:t>
      </w:r>
      <w:r>
        <w:t xml:space="preserve">et Centre in December 2012, </w:t>
      </w:r>
      <w:r w:rsidR="00AF0891">
        <w:t xml:space="preserve">we </w:t>
      </w:r>
      <w:r w:rsidR="00F026F3">
        <w:t>have begu</w:t>
      </w:r>
      <w:r w:rsidR="00AF0891">
        <w:t xml:space="preserve">n to increase awareness of our service through better governance arrangements, improved sign-posting on our </w:t>
      </w:r>
      <w:hyperlink r:id="rId24" w:history="1">
        <w:r w:rsidR="00AF0891" w:rsidRPr="00072729">
          <w:rPr>
            <w:rStyle w:val="Hyperlink"/>
          </w:rPr>
          <w:t>www.GOV.UK</w:t>
        </w:r>
      </w:hyperlink>
      <w:r w:rsidR="00AF0891">
        <w:t xml:space="preserve"> webpage and </w:t>
      </w:r>
      <w:r>
        <w:t>publicity material</w:t>
      </w:r>
      <w:r w:rsidR="00F026F3">
        <w:t>s</w:t>
      </w:r>
      <w:r>
        <w:t xml:space="preserve">, including </w:t>
      </w:r>
      <w:r w:rsidR="00F05030">
        <w:t xml:space="preserve">our </w:t>
      </w:r>
      <w:r w:rsidR="00F52076">
        <w:t>regular newsletters</w:t>
      </w:r>
      <w:r w:rsidR="00AF0891">
        <w:t>.</w:t>
      </w:r>
    </w:p>
    <w:p w:rsidR="00C01A03" w:rsidRPr="00C01A03" w:rsidRDefault="008E5F5F" w:rsidP="0076262B">
      <w:pPr>
        <w:pStyle w:val="Heading2"/>
      </w:pPr>
      <w:r>
        <w:br w:type="page"/>
      </w:r>
      <w:r w:rsidR="00C01A03" w:rsidRPr="00C01A03">
        <w:lastRenderedPageBreak/>
        <w:t>Activity</w:t>
      </w:r>
    </w:p>
    <w:p w:rsidR="00AF0891" w:rsidRDefault="00CD2016" w:rsidP="001E7AC0">
      <w:pPr>
        <w:numPr>
          <w:ilvl w:val="0"/>
          <w:numId w:val="18"/>
        </w:numPr>
      </w:pPr>
      <w:r>
        <w:t>W</w:t>
      </w:r>
      <w:r w:rsidR="00AF0891">
        <w:t xml:space="preserve">e are now dealing with many more cases against other </w:t>
      </w:r>
      <w:r w:rsidR="00F026F3">
        <w:t xml:space="preserve">EU countries </w:t>
      </w:r>
      <w:r w:rsidR="00F05030">
        <w:t>as a result of increased engagement</w:t>
      </w:r>
      <w:r w:rsidR="00A264DD">
        <w:t xml:space="preserve"> with HMRC and </w:t>
      </w:r>
      <w:r w:rsidR="00F026F3">
        <w:t xml:space="preserve">the </w:t>
      </w:r>
      <w:r w:rsidR="00A264DD">
        <w:t>D</w:t>
      </w:r>
      <w:r w:rsidR="00F026F3">
        <w:t xml:space="preserve">epartment for </w:t>
      </w:r>
      <w:r w:rsidR="00A264DD">
        <w:t>W</w:t>
      </w:r>
      <w:r w:rsidR="00F026F3">
        <w:t xml:space="preserve">ork &amp; </w:t>
      </w:r>
      <w:r w:rsidR="00A264DD">
        <w:t>P</w:t>
      </w:r>
      <w:r w:rsidR="00F026F3">
        <w:t>ensions</w:t>
      </w:r>
      <w:r w:rsidR="00A264DD">
        <w:t xml:space="preserve"> on cases w</w:t>
      </w:r>
      <w:r w:rsidR="00AF0891">
        <w:t>here EU legislation obliges Member States to communicate with each other in order to establish a citizen’</w:t>
      </w:r>
      <w:r w:rsidR="00A264DD">
        <w:t>s social security entitlement.  T</w:t>
      </w:r>
      <w:r>
        <w:t xml:space="preserve">his </w:t>
      </w:r>
      <w:r w:rsidR="00F026F3">
        <w:t xml:space="preserve">requirement had </w:t>
      </w:r>
      <w:r>
        <w:t xml:space="preserve">resulted in </w:t>
      </w:r>
      <w:r w:rsidR="00B5334C">
        <w:t xml:space="preserve">a situation where </w:t>
      </w:r>
      <w:r w:rsidR="00F026F3">
        <w:t xml:space="preserve">UK </w:t>
      </w:r>
      <w:r w:rsidR="00B5334C">
        <w:t>officials were</w:t>
      </w:r>
      <w:r w:rsidR="00AF0891">
        <w:t xml:space="preserve"> sendin</w:t>
      </w:r>
      <w:r>
        <w:t xml:space="preserve">g </w:t>
      </w:r>
      <w:r w:rsidR="00F026F3">
        <w:t xml:space="preserve">repeated </w:t>
      </w:r>
      <w:r>
        <w:t>request</w:t>
      </w:r>
      <w:r w:rsidR="00F026F3">
        <w:t>s</w:t>
      </w:r>
      <w:r>
        <w:t xml:space="preserve"> to authorities in</w:t>
      </w:r>
      <w:r w:rsidR="00AF0891">
        <w:t xml:space="preserve"> other Member States </w:t>
      </w:r>
      <w:r w:rsidR="00F026F3">
        <w:t xml:space="preserve">as they </w:t>
      </w:r>
      <w:r>
        <w:t>were not getting a response</w:t>
      </w:r>
      <w:r w:rsidR="00AF0891">
        <w:t>.  The advantage of using SOLVIT to pursue these outstanding cases is that, as a network, we are now requiring official</w:t>
      </w:r>
      <w:r>
        <w:t>s in the SOLVIT Centre</w:t>
      </w:r>
      <w:r w:rsidR="00F026F3">
        <w:t>s</w:t>
      </w:r>
      <w:r>
        <w:t xml:space="preserve"> of </w:t>
      </w:r>
      <w:r w:rsidR="00F05030">
        <w:t>other Member States to accept</w:t>
      </w:r>
      <w:r w:rsidR="00AF0891">
        <w:t xml:space="preserve"> </w:t>
      </w:r>
      <w:r w:rsidR="00C01A03">
        <w:t xml:space="preserve">responsibility for </w:t>
      </w:r>
      <w:r w:rsidR="00F026F3">
        <w:t xml:space="preserve">taking </w:t>
      </w:r>
      <w:r w:rsidR="00C01A03">
        <w:t>these cases</w:t>
      </w:r>
      <w:r w:rsidR="00F026F3">
        <w:t xml:space="preserve"> forward.  It also </w:t>
      </w:r>
      <w:r w:rsidR="00C01A03">
        <w:t>allows</w:t>
      </w:r>
      <w:r w:rsidR="00A264DD">
        <w:t xml:space="preserve"> UK </w:t>
      </w:r>
      <w:r w:rsidR="00AF0891">
        <w:t>officials to focus on other</w:t>
      </w:r>
      <w:r w:rsidR="00F026F3">
        <w:t xml:space="preserve"> priority</w:t>
      </w:r>
      <w:r w:rsidR="00AF0891">
        <w:t xml:space="preserve"> work.</w:t>
      </w:r>
      <w:r w:rsidR="00C01A03">
        <w:t xml:space="preserve">  </w:t>
      </w:r>
      <w:r w:rsidR="00B5334C">
        <w:t xml:space="preserve">This </w:t>
      </w:r>
      <w:r w:rsidR="00F026F3">
        <w:t xml:space="preserve">approach </w:t>
      </w:r>
      <w:r w:rsidR="00B5334C">
        <w:t>is already beginning to deliver positive results for UK citizens – often after many months</w:t>
      </w:r>
      <w:r w:rsidR="00C01A03">
        <w:t>,</w:t>
      </w:r>
      <w:r w:rsidR="00B5334C">
        <w:t xml:space="preserve"> if not years</w:t>
      </w:r>
      <w:r w:rsidR="00C01A03">
        <w:t>,</w:t>
      </w:r>
      <w:r w:rsidR="00B5334C">
        <w:t xml:space="preserve"> of delay.</w:t>
      </w:r>
    </w:p>
    <w:p w:rsidR="00AB3B99" w:rsidRDefault="0099401C" w:rsidP="0076262B">
      <w:pPr>
        <w:pStyle w:val="Heading2"/>
      </w:pPr>
      <w:r>
        <w:t>Future developments</w:t>
      </w:r>
    </w:p>
    <w:p w:rsidR="001573ED" w:rsidRDefault="00C01A03" w:rsidP="001E7AC0">
      <w:pPr>
        <w:pStyle w:val="Heading4"/>
        <w:numPr>
          <w:ilvl w:val="0"/>
          <w:numId w:val="18"/>
        </w:numPr>
        <w:rPr>
          <w:b w:val="0"/>
        </w:rPr>
      </w:pPr>
      <w:r w:rsidRPr="001573ED">
        <w:rPr>
          <w:b w:val="0"/>
        </w:rPr>
        <w:t>In 2014</w:t>
      </w:r>
      <w:r w:rsidR="00A264DD" w:rsidRPr="001573ED">
        <w:rPr>
          <w:b w:val="0"/>
        </w:rPr>
        <w:t>,</w:t>
      </w:r>
      <w:r w:rsidR="00AF0891" w:rsidRPr="001573ED">
        <w:rPr>
          <w:b w:val="0"/>
        </w:rPr>
        <w:t xml:space="preserve"> we </w:t>
      </w:r>
      <w:r w:rsidR="00A264DD" w:rsidRPr="001573ED">
        <w:rPr>
          <w:b w:val="0"/>
        </w:rPr>
        <w:t>look for</w:t>
      </w:r>
      <w:r w:rsidR="00B5334C" w:rsidRPr="001573ED">
        <w:rPr>
          <w:b w:val="0"/>
        </w:rPr>
        <w:t xml:space="preserve">ward to developing our activities </w:t>
      </w:r>
      <w:r w:rsidR="00A264DD" w:rsidRPr="001573ED">
        <w:rPr>
          <w:b w:val="0"/>
        </w:rPr>
        <w:t xml:space="preserve">further in order to </w:t>
      </w:r>
      <w:r w:rsidR="001F72B1" w:rsidRPr="001573ED">
        <w:rPr>
          <w:b w:val="0"/>
        </w:rPr>
        <w:t xml:space="preserve">help deliver </w:t>
      </w:r>
      <w:r w:rsidR="00AF0891" w:rsidRPr="001573ED">
        <w:rPr>
          <w:b w:val="0"/>
        </w:rPr>
        <w:t xml:space="preserve">the </w:t>
      </w:r>
      <w:r w:rsidR="00A264DD" w:rsidRPr="001573ED">
        <w:rPr>
          <w:b w:val="0"/>
        </w:rPr>
        <w:t xml:space="preserve">Government’s </w:t>
      </w:r>
      <w:r w:rsidR="001F72B1" w:rsidRPr="001573ED">
        <w:rPr>
          <w:b w:val="0"/>
        </w:rPr>
        <w:t xml:space="preserve">objective </w:t>
      </w:r>
      <w:r w:rsidR="00B5334C" w:rsidRPr="001573ED">
        <w:rPr>
          <w:b w:val="0"/>
        </w:rPr>
        <w:t>of</w:t>
      </w:r>
      <w:r w:rsidR="00A264DD" w:rsidRPr="001573ED">
        <w:rPr>
          <w:b w:val="0"/>
        </w:rPr>
        <w:t xml:space="preserve"> support</w:t>
      </w:r>
      <w:r w:rsidR="00B5334C" w:rsidRPr="001573ED">
        <w:rPr>
          <w:b w:val="0"/>
        </w:rPr>
        <w:t>ing</w:t>
      </w:r>
      <w:r w:rsidR="00AF0891" w:rsidRPr="001573ED">
        <w:rPr>
          <w:b w:val="0"/>
        </w:rPr>
        <w:t xml:space="preserve"> </w:t>
      </w:r>
      <w:r w:rsidR="00B5334C" w:rsidRPr="001573ED">
        <w:rPr>
          <w:b w:val="0"/>
        </w:rPr>
        <w:t>UK</w:t>
      </w:r>
      <w:r w:rsidR="001F72B1" w:rsidRPr="001573ED">
        <w:rPr>
          <w:b w:val="0"/>
        </w:rPr>
        <w:t xml:space="preserve"> businesses and citizens and enabl</w:t>
      </w:r>
      <w:r w:rsidR="00F646CD">
        <w:rPr>
          <w:b w:val="0"/>
        </w:rPr>
        <w:t>ing</w:t>
      </w:r>
      <w:r w:rsidR="00B5334C" w:rsidRPr="001573ED">
        <w:rPr>
          <w:b w:val="0"/>
        </w:rPr>
        <w:t xml:space="preserve"> them to </w:t>
      </w:r>
      <w:r w:rsidR="00AF0891" w:rsidRPr="001573ED">
        <w:rPr>
          <w:b w:val="0"/>
        </w:rPr>
        <w:t>exercise their EU free movement rights.</w:t>
      </w:r>
      <w:r w:rsidR="001F72B1" w:rsidRPr="001573ED">
        <w:rPr>
          <w:b w:val="0"/>
        </w:rPr>
        <w:t xml:space="preserve">  In particular, to consider ways in which we can improve our links to business and especially SMEs.</w:t>
      </w:r>
    </w:p>
    <w:p w:rsidR="001573ED" w:rsidRPr="001573ED" w:rsidRDefault="001573ED" w:rsidP="00680482">
      <w:pPr>
        <w:spacing w:after="0"/>
      </w:pPr>
    </w:p>
    <w:p w:rsidR="006704C3" w:rsidRPr="008E5F5F" w:rsidRDefault="0053221C" w:rsidP="0076262B">
      <w:pPr>
        <w:pStyle w:val="StyleHeading1After0pt"/>
      </w:pPr>
      <w:bookmarkStart w:id="10" w:name="_Toc389036232"/>
      <w:r w:rsidRPr="008E5F5F">
        <w:t>Point of Single Contact</w:t>
      </w:r>
      <w:r w:rsidR="003A14B5" w:rsidRPr="008E5F5F">
        <w:t xml:space="preserve"> (PSC)</w:t>
      </w:r>
      <w:r w:rsidR="007D6EA5" w:rsidRPr="008E5F5F">
        <w:t xml:space="preserve"> and Online Licensing</w:t>
      </w:r>
      <w:bookmarkEnd w:id="10"/>
    </w:p>
    <w:p w:rsidR="00680482" w:rsidRDefault="00680482" w:rsidP="001E7AC0">
      <w:pPr>
        <w:pStyle w:val="Heading4"/>
        <w:rPr>
          <w:rFonts w:eastAsia="Arial Unicode MS"/>
          <w:kern w:val="1"/>
        </w:rPr>
      </w:pPr>
    </w:p>
    <w:p w:rsidR="006D45CC" w:rsidRDefault="003A14B5" w:rsidP="00A84411">
      <w:pPr>
        <w:pStyle w:val="Heading2"/>
        <w:tabs>
          <w:tab w:val="left" w:pos="3975"/>
        </w:tabs>
        <w:rPr>
          <w:rFonts w:eastAsia="Arial Unicode MS"/>
          <w:kern w:val="1"/>
        </w:rPr>
      </w:pPr>
      <w:r w:rsidRPr="003A14B5">
        <w:rPr>
          <w:rFonts w:eastAsia="Arial Unicode MS"/>
          <w:kern w:val="1"/>
        </w:rPr>
        <w:t>Background</w:t>
      </w:r>
      <w:r w:rsidR="00A84411">
        <w:rPr>
          <w:rFonts w:eastAsia="Arial Unicode MS"/>
          <w:kern w:val="1"/>
        </w:rPr>
        <w:tab/>
      </w:r>
    </w:p>
    <w:p w:rsidR="002C733F" w:rsidRPr="006D45CC" w:rsidRDefault="003A14B5" w:rsidP="001E7AC0">
      <w:pPr>
        <w:pStyle w:val="Heading4"/>
        <w:numPr>
          <w:ilvl w:val="0"/>
          <w:numId w:val="18"/>
        </w:numPr>
        <w:rPr>
          <w:rFonts w:eastAsia="Arial Unicode MS"/>
          <w:kern w:val="1"/>
        </w:rPr>
      </w:pPr>
      <w:r w:rsidRPr="00F05030">
        <w:rPr>
          <w:b w:val="0"/>
        </w:rPr>
        <w:t xml:space="preserve">The GOV.UK Online </w:t>
      </w:r>
      <w:proofErr w:type="gramStart"/>
      <w:r w:rsidRPr="00F05030">
        <w:rPr>
          <w:b w:val="0"/>
        </w:rPr>
        <w:t>Licensing</w:t>
      </w:r>
      <w:proofErr w:type="gramEnd"/>
      <w:r w:rsidRPr="00F05030">
        <w:rPr>
          <w:b w:val="0"/>
        </w:rPr>
        <w:t xml:space="preserve"> system</w:t>
      </w:r>
      <w:r w:rsidR="00FC7E1E" w:rsidRPr="00F05030">
        <w:rPr>
          <w:b w:val="0"/>
        </w:rPr>
        <w:t xml:space="preserve"> is </w:t>
      </w:r>
      <w:r w:rsidRPr="00F05030">
        <w:rPr>
          <w:b w:val="0"/>
        </w:rPr>
        <w:t xml:space="preserve">the UK’s Point of Single Contact </w:t>
      </w:r>
      <w:r w:rsidR="00FC7E1E" w:rsidRPr="00F05030">
        <w:rPr>
          <w:b w:val="0"/>
        </w:rPr>
        <w:t>(</w:t>
      </w:r>
      <w:r w:rsidRPr="00F05030">
        <w:rPr>
          <w:b w:val="0"/>
        </w:rPr>
        <w:t>PSC</w:t>
      </w:r>
      <w:r w:rsidR="00FC7E1E" w:rsidRPr="00F05030">
        <w:rPr>
          <w:b w:val="0"/>
        </w:rPr>
        <w:t>)</w:t>
      </w:r>
      <w:r w:rsidRPr="00F05030">
        <w:rPr>
          <w:b w:val="0"/>
        </w:rPr>
        <w:t xml:space="preserve"> </w:t>
      </w:r>
      <w:r w:rsidR="00FC7E1E" w:rsidRPr="00F05030">
        <w:rPr>
          <w:b w:val="0"/>
        </w:rPr>
        <w:t>that was</w:t>
      </w:r>
      <w:r w:rsidR="002C733F" w:rsidRPr="00F05030">
        <w:rPr>
          <w:b w:val="0"/>
        </w:rPr>
        <w:t xml:space="preserve"> originally</w:t>
      </w:r>
      <w:r w:rsidR="00FC7E1E" w:rsidRPr="00F05030">
        <w:rPr>
          <w:b w:val="0"/>
        </w:rPr>
        <w:t xml:space="preserve"> </w:t>
      </w:r>
      <w:r w:rsidRPr="00F05030">
        <w:rPr>
          <w:b w:val="0"/>
        </w:rPr>
        <w:t>set up as part of implementing the EU Services Directive</w:t>
      </w:r>
      <w:r w:rsidR="00FC7E1E" w:rsidRPr="00F05030">
        <w:rPr>
          <w:b w:val="0"/>
        </w:rPr>
        <w:t xml:space="preserve"> in 2009.  This </w:t>
      </w:r>
      <w:r w:rsidRPr="00F05030">
        <w:rPr>
          <w:b w:val="0"/>
        </w:rPr>
        <w:t>enables local and other competent authorities</w:t>
      </w:r>
      <w:r w:rsidR="00C01A03" w:rsidRPr="00F05030">
        <w:rPr>
          <w:b w:val="0"/>
        </w:rPr>
        <w:t xml:space="preserve">, including sector Regulators, Other Government Departments, and professional bodies, </w:t>
      </w:r>
      <w:r w:rsidRPr="00F05030">
        <w:rPr>
          <w:b w:val="0"/>
        </w:rPr>
        <w:t>to meet their legal obligations under the “Provision of Services Regulations 2009”, which came into effect on 28th December 2009</w:t>
      </w:r>
      <w:r w:rsidR="00C01A03" w:rsidRPr="00F05030">
        <w:rPr>
          <w:b w:val="0"/>
        </w:rPr>
        <w:t xml:space="preserve"> and implements</w:t>
      </w:r>
      <w:r w:rsidRPr="00F05030">
        <w:rPr>
          <w:b w:val="0"/>
        </w:rPr>
        <w:t xml:space="preserve"> the </w:t>
      </w:r>
      <w:r w:rsidR="002C733F" w:rsidRPr="00F05030">
        <w:rPr>
          <w:b w:val="0"/>
        </w:rPr>
        <w:t xml:space="preserve">Services </w:t>
      </w:r>
      <w:r w:rsidRPr="00F05030">
        <w:rPr>
          <w:b w:val="0"/>
        </w:rPr>
        <w:t>Directive into UK law</w:t>
      </w:r>
      <w:r w:rsidR="00C01A03" w:rsidRPr="00F05030">
        <w:rPr>
          <w:b w:val="0"/>
        </w:rPr>
        <w:t xml:space="preserve">.  </w:t>
      </w:r>
    </w:p>
    <w:p w:rsidR="006D45CC" w:rsidRDefault="006D45CC" w:rsidP="001E7AC0">
      <w:pPr>
        <w:spacing w:after="60"/>
        <w:rPr>
          <w:rFonts w:cs="Arial"/>
        </w:rPr>
      </w:pPr>
    </w:p>
    <w:p w:rsidR="006D45CC" w:rsidRDefault="003A14B5" w:rsidP="001E7AC0">
      <w:pPr>
        <w:numPr>
          <w:ilvl w:val="0"/>
          <w:numId w:val="18"/>
        </w:numPr>
        <w:spacing w:after="60"/>
        <w:rPr>
          <w:rFonts w:cs="Arial"/>
        </w:rPr>
      </w:pPr>
      <w:r>
        <w:rPr>
          <w:rFonts w:cs="Arial"/>
        </w:rPr>
        <w:t xml:space="preserve">The Services </w:t>
      </w:r>
      <w:r w:rsidRPr="003A14B5">
        <w:rPr>
          <w:rFonts w:cs="Arial"/>
        </w:rPr>
        <w:t>D</w:t>
      </w:r>
      <w:r>
        <w:rPr>
          <w:rFonts w:cs="Arial"/>
        </w:rPr>
        <w:t>irective</w:t>
      </w:r>
      <w:r w:rsidRPr="003A14B5">
        <w:rPr>
          <w:rFonts w:cs="Arial"/>
        </w:rPr>
        <w:t xml:space="preserve"> </w:t>
      </w:r>
      <w:r>
        <w:rPr>
          <w:rFonts w:cs="Arial"/>
        </w:rPr>
        <w:t xml:space="preserve">requires all local and other competent </w:t>
      </w:r>
      <w:r w:rsidRPr="003A14B5">
        <w:rPr>
          <w:rFonts w:cs="Arial"/>
        </w:rPr>
        <w:t xml:space="preserve">authorities to provide </w:t>
      </w:r>
      <w:r w:rsidR="00C01A03">
        <w:rPr>
          <w:rFonts w:cs="Arial"/>
        </w:rPr>
        <w:t>a method for “Service Providers”</w:t>
      </w:r>
      <w:r w:rsidRPr="003A14B5">
        <w:rPr>
          <w:rFonts w:cs="Arial"/>
        </w:rPr>
        <w:t xml:space="preserve"> (end users or customers) to make online applications for all </w:t>
      </w:r>
      <w:r>
        <w:rPr>
          <w:rFonts w:cs="Arial"/>
        </w:rPr>
        <w:t>authorisations</w:t>
      </w:r>
      <w:r w:rsidR="002C733F">
        <w:rPr>
          <w:rFonts w:cs="Arial"/>
        </w:rPr>
        <w:t>, including licenses, permits, notifications and</w:t>
      </w:r>
      <w:r w:rsidR="00AB3B99">
        <w:rPr>
          <w:rFonts w:cs="Arial"/>
        </w:rPr>
        <w:t xml:space="preserve"> registrations</w:t>
      </w:r>
      <w:r>
        <w:rPr>
          <w:rFonts w:cs="Arial"/>
        </w:rPr>
        <w:t xml:space="preserve"> that are in scope of the Directive.  </w:t>
      </w:r>
    </w:p>
    <w:p w:rsidR="006D45CC" w:rsidRDefault="006D45CC" w:rsidP="001E7AC0">
      <w:pPr>
        <w:spacing w:after="60"/>
        <w:rPr>
          <w:rFonts w:cs="Arial"/>
        </w:rPr>
      </w:pPr>
    </w:p>
    <w:p w:rsidR="006D45CC" w:rsidRPr="001F72B1" w:rsidRDefault="004C6198" w:rsidP="001E7AC0">
      <w:pPr>
        <w:numPr>
          <w:ilvl w:val="0"/>
          <w:numId w:val="18"/>
        </w:numPr>
        <w:spacing w:after="60"/>
        <w:rPr>
          <w:rFonts w:cs="Arial"/>
        </w:rPr>
      </w:pPr>
      <w:r>
        <w:t xml:space="preserve">All </w:t>
      </w:r>
      <w:r w:rsidR="002C733F">
        <w:t xml:space="preserve">EU </w:t>
      </w:r>
      <w:r>
        <w:t>Member States</w:t>
      </w:r>
      <w:r w:rsidR="002C733F">
        <w:t>,</w:t>
      </w:r>
      <w:r w:rsidR="00C01A03">
        <w:t xml:space="preserve"> </w:t>
      </w:r>
      <w:r>
        <w:t>plus Norway, Lichtenstein and Iceland</w:t>
      </w:r>
      <w:r w:rsidR="00C01A03">
        <w:t>,</w:t>
      </w:r>
      <w:r>
        <w:t xml:space="preserve"> are required to set up </w:t>
      </w:r>
      <w:r w:rsidR="003A14B5" w:rsidRPr="003A14B5">
        <w:t>a PSC through which Service Providers can obtai</w:t>
      </w:r>
      <w:r>
        <w:t xml:space="preserve">n information on the authorisations </w:t>
      </w:r>
      <w:r w:rsidR="002C733F">
        <w:t xml:space="preserve">they need in order </w:t>
      </w:r>
      <w:r>
        <w:t xml:space="preserve">to run </w:t>
      </w:r>
      <w:r w:rsidR="003A14B5" w:rsidRPr="003A14B5">
        <w:t>a b</w:t>
      </w:r>
      <w:r>
        <w:t>usiness in that country</w:t>
      </w:r>
      <w:r w:rsidR="002C733F">
        <w:t xml:space="preserve">, as well as </w:t>
      </w:r>
      <w:r w:rsidR="003A14B5" w:rsidRPr="003A14B5">
        <w:t>be able to access</w:t>
      </w:r>
      <w:r w:rsidR="00CD086F">
        <w:t xml:space="preserve"> and submit</w:t>
      </w:r>
      <w:r w:rsidR="003A14B5" w:rsidRPr="003A14B5">
        <w:t xml:space="preserve"> </w:t>
      </w:r>
      <w:r>
        <w:t xml:space="preserve">any </w:t>
      </w:r>
      <w:r w:rsidR="00CD086F">
        <w:t xml:space="preserve">application </w:t>
      </w:r>
      <w:r w:rsidR="00C01A03">
        <w:t xml:space="preserve">forms necessary </w:t>
      </w:r>
      <w:r w:rsidRPr="003A14B5">
        <w:t>online</w:t>
      </w:r>
      <w:r>
        <w:t xml:space="preserve">.  </w:t>
      </w:r>
      <w:r w:rsidR="003A14B5" w:rsidRPr="003A14B5">
        <w:t>In the UK</w:t>
      </w:r>
      <w:r>
        <w:t>,</w:t>
      </w:r>
      <w:r w:rsidR="003A14B5" w:rsidRPr="003A14B5">
        <w:t xml:space="preserve"> the PSC is provided in the form </w:t>
      </w:r>
      <w:r w:rsidR="006D45CC">
        <w:t xml:space="preserve">of </w:t>
      </w:r>
      <w:r w:rsidR="003A14B5" w:rsidRPr="003A14B5">
        <w:t>a guide on GOV.UK at</w:t>
      </w:r>
      <w:r w:rsidR="0003394A">
        <w:t>:</w:t>
      </w:r>
      <w:r w:rsidR="003A14B5" w:rsidRPr="003A14B5">
        <w:t xml:space="preserve"> </w:t>
      </w:r>
      <w:hyperlink r:id="rId25" w:history="1">
        <w:r w:rsidR="003A14B5" w:rsidRPr="003A14B5">
          <w:rPr>
            <w:rStyle w:val="Hyperlink"/>
            <w:rFonts w:cs="Arial"/>
          </w:rPr>
          <w:t>https://www.gov.uk/ukwelcomes</w:t>
        </w:r>
      </w:hyperlink>
      <w:r>
        <w:t>.</w:t>
      </w:r>
      <w:r w:rsidR="001F72B1">
        <w:t xml:space="preserve"> </w:t>
      </w:r>
    </w:p>
    <w:p w:rsidR="00EF78FA" w:rsidRDefault="00EF78FA">
      <w:pPr>
        <w:spacing w:after="0"/>
        <w:rPr>
          <w:b/>
          <w:bCs/>
          <w:iCs/>
          <w:color w:val="003478"/>
          <w:sz w:val="32"/>
          <w:szCs w:val="28"/>
        </w:rPr>
      </w:pPr>
      <w:r>
        <w:br w:type="page"/>
      </w:r>
    </w:p>
    <w:p w:rsidR="00AB3B99" w:rsidRDefault="00AB3B99" w:rsidP="0076262B">
      <w:pPr>
        <w:pStyle w:val="Heading2"/>
      </w:pPr>
      <w:r>
        <w:lastRenderedPageBreak/>
        <w:t>Statistics</w:t>
      </w:r>
    </w:p>
    <w:p w:rsidR="003A14B5" w:rsidRDefault="00AB3B99" w:rsidP="001E7AC0">
      <w:pPr>
        <w:pStyle w:val="Heading4"/>
        <w:numPr>
          <w:ilvl w:val="0"/>
          <w:numId w:val="18"/>
        </w:numPr>
        <w:spacing w:after="288"/>
        <w:rPr>
          <w:b w:val="0"/>
        </w:rPr>
      </w:pPr>
      <w:r w:rsidRPr="00AB3B99">
        <w:rPr>
          <w:b w:val="0"/>
        </w:rPr>
        <w:t>A</w:t>
      </w:r>
      <w:r w:rsidR="003A14B5" w:rsidRPr="00AB3B99">
        <w:rPr>
          <w:b w:val="0"/>
        </w:rPr>
        <w:t>pplications</w:t>
      </w:r>
      <w:r w:rsidRPr="00AB3B99">
        <w:rPr>
          <w:b w:val="0"/>
        </w:rPr>
        <w:t xml:space="preserve"> submitted</w:t>
      </w:r>
      <w:r w:rsidR="003A14B5" w:rsidRPr="00AB3B99">
        <w:rPr>
          <w:b w:val="0"/>
        </w:rPr>
        <w:t xml:space="preserve"> through GOV.UK </w:t>
      </w:r>
      <w:r w:rsidRPr="00AB3B99">
        <w:rPr>
          <w:b w:val="0"/>
        </w:rPr>
        <w:t xml:space="preserve">Online </w:t>
      </w:r>
      <w:proofErr w:type="gramStart"/>
      <w:r w:rsidR="003A14B5" w:rsidRPr="00AB3B99">
        <w:rPr>
          <w:b w:val="0"/>
        </w:rPr>
        <w:t>Licensing</w:t>
      </w:r>
      <w:proofErr w:type="gramEnd"/>
      <w:r w:rsidR="003A14B5" w:rsidRPr="00AB3B99">
        <w:rPr>
          <w:b w:val="0"/>
        </w:rPr>
        <w:t xml:space="preserve"> have increased </w:t>
      </w:r>
      <w:r w:rsidRPr="00AB3B99">
        <w:rPr>
          <w:b w:val="0"/>
        </w:rPr>
        <w:t xml:space="preserve">significantly </w:t>
      </w:r>
      <w:r w:rsidR="00EA1376" w:rsidRPr="00AB3B99">
        <w:rPr>
          <w:b w:val="0"/>
        </w:rPr>
        <w:t>since October 2012</w:t>
      </w:r>
      <w:r w:rsidR="005A5E01" w:rsidRPr="00AB3B99">
        <w:rPr>
          <w:b w:val="0"/>
        </w:rPr>
        <w:t>.  A</w:t>
      </w:r>
      <w:r w:rsidR="003A14B5" w:rsidRPr="00AB3B99">
        <w:rPr>
          <w:b w:val="0"/>
        </w:rPr>
        <w:t>t the end of 2013</w:t>
      </w:r>
      <w:r w:rsidR="00EA1376" w:rsidRPr="00AB3B99">
        <w:rPr>
          <w:b w:val="0"/>
        </w:rPr>
        <w:t>,</w:t>
      </w:r>
      <w:r w:rsidR="003A14B5" w:rsidRPr="00AB3B99">
        <w:rPr>
          <w:b w:val="0"/>
        </w:rPr>
        <w:t xml:space="preserve"> </w:t>
      </w:r>
      <w:r w:rsidR="00EA1376" w:rsidRPr="00AB3B99">
        <w:rPr>
          <w:b w:val="0"/>
        </w:rPr>
        <w:t>the number had increased by</w:t>
      </w:r>
      <w:r w:rsidR="003A14B5" w:rsidRPr="00AB3B99">
        <w:rPr>
          <w:b w:val="0"/>
        </w:rPr>
        <w:t xml:space="preserve"> approximately 400% compa</w:t>
      </w:r>
      <w:r w:rsidR="00EA1376" w:rsidRPr="00AB3B99">
        <w:rPr>
          <w:b w:val="0"/>
        </w:rPr>
        <w:t xml:space="preserve">red to the same period in 2012 when the new GOV.UK </w:t>
      </w:r>
      <w:r w:rsidRPr="00AB3B99">
        <w:rPr>
          <w:b w:val="0"/>
        </w:rPr>
        <w:t xml:space="preserve">online licensing </w:t>
      </w:r>
      <w:r w:rsidR="00EA1376" w:rsidRPr="00AB3B99">
        <w:rPr>
          <w:b w:val="0"/>
        </w:rPr>
        <w:t>system replaced the previous Electronic Licensing Management system (ELMS).  T</w:t>
      </w:r>
      <w:r w:rsidR="005A5E01" w:rsidRPr="00AB3B99">
        <w:rPr>
          <w:b w:val="0"/>
        </w:rPr>
        <w:t>his upward</w:t>
      </w:r>
      <w:r w:rsidR="003A14B5" w:rsidRPr="00AB3B99">
        <w:rPr>
          <w:b w:val="0"/>
        </w:rPr>
        <w:t xml:space="preserve"> trend is</w:t>
      </w:r>
      <w:r w:rsidRPr="00AB3B99">
        <w:rPr>
          <w:b w:val="0"/>
        </w:rPr>
        <w:t xml:space="preserve"> continuing</w:t>
      </w:r>
      <w:r w:rsidR="005A5E01" w:rsidRPr="00AB3B99">
        <w:rPr>
          <w:b w:val="0"/>
        </w:rPr>
        <w:t xml:space="preserve"> and </w:t>
      </w:r>
      <w:r w:rsidR="003A14B5" w:rsidRPr="00AB3B99">
        <w:rPr>
          <w:b w:val="0"/>
        </w:rPr>
        <w:t xml:space="preserve">reflects the reports </w:t>
      </w:r>
      <w:r w:rsidR="00EA1376" w:rsidRPr="00AB3B99">
        <w:rPr>
          <w:b w:val="0"/>
        </w:rPr>
        <w:t xml:space="preserve">we have </w:t>
      </w:r>
      <w:r w:rsidR="003A14B5" w:rsidRPr="00AB3B99">
        <w:rPr>
          <w:b w:val="0"/>
        </w:rPr>
        <w:t xml:space="preserve">received from many authorities that have </w:t>
      </w:r>
      <w:r w:rsidR="00EA1376" w:rsidRPr="00AB3B99">
        <w:rPr>
          <w:b w:val="0"/>
        </w:rPr>
        <w:t xml:space="preserve">also </w:t>
      </w:r>
      <w:r w:rsidR="003A14B5" w:rsidRPr="00AB3B99">
        <w:rPr>
          <w:b w:val="0"/>
        </w:rPr>
        <w:t>observed a notic</w:t>
      </w:r>
      <w:r w:rsidR="00EA1376" w:rsidRPr="00AB3B99">
        <w:rPr>
          <w:b w:val="0"/>
        </w:rPr>
        <w:t>e</w:t>
      </w:r>
      <w:r w:rsidR="005A5E01" w:rsidRPr="00AB3B99">
        <w:rPr>
          <w:b w:val="0"/>
        </w:rPr>
        <w:t>able increas</w:t>
      </w:r>
      <w:r w:rsidRPr="00AB3B99">
        <w:rPr>
          <w:b w:val="0"/>
        </w:rPr>
        <w:t>e in</w:t>
      </w:r>
      <w:r w:rsidR="003A14B5" w:rsidRPr="00AB3B99">
        <w:rPr>
          <w:b w:val="0"/>
        </w:rPr>
        <w:t xml:space="preserve"> demand from their </w:t>
      </w:r>
      <w:r w:rsidR="00EA1376" w:rsidRPr="00AB3B99">
        <w:rPr>
          <w:b w:val="0"/>
        </w:rPr>
        <w:t xml:space="preserve">own </w:t>
      </w:r>
      <w:r w:rsidR="003A14B5" w:rsidRPr="00AB3B99">
        <w:rPr>
          <w:b w:val="0"/>
        </w:rPr>
        <w:t xml:space="preserve">customers for </w:t>
      </w:r>
      <w:r w:rsidR="00EA1376" w:rsidRPr="00AB3B99">
        <w:rPr>
          <w:b w:val="0"/>
        </w:rPr>
        <w:t xml:space="preserve">an online </w:t>
      </w:r>
      <w:r w:rsidRPr="00AB3B99">
        <w:rPr>
          <w:b w:val="0"/>
        </w:rPr>
        <w:t xml:space="preserve">application </w:t>
      </w:r>
      <w:r w:rsidR="003A14B5" w:rsidRPr="00AB3B99">
        <w:rPr>
          <w:b w:val="0"/>
        </w:rPr>
        <w:t>facility.</w:t>
      </w:r>
      <w:r w:rsidR="005A5E01" w:rsidRPr="00AB3B99">
        <w:rPr>
          <w:b w:val="0"/>
        </w:rPr>
        <w:t xml:space="preserve">  It is clea</w:t>
      </w:r>
      <w:r w:rsidRPr="00AB3B99">
        <w:rPr>
          <w:b w:val="0"/>
        </w:rPr>
        <w:t>r that there is a growing need</w:t>
      </w:r>
      <w:r w:rsidR="005A5E01" w:rsidRPr="00AB3B99">
        <w:rPr>
          <w:b w:val="0"/>
        </w:rPr>
        <w:t xml:space="preserve"> f</w:t>
      </w:r>
      <w:r w:rsidRPr="00AB3B99">
        <w:rPr>
          <w:b w:val="0"/>
        </w:rPr>
        <w:t>ro</w:t>
      </w:r>
      <w:r w:rsidR="005A5E01" w:rsidRPr="00AB3B99">
        <w:rPr>
          <w:b w:val="0"/>
        </w:rPr>
        <w:t>m businesses for online services, which is increasing.</w:t>
      </w:r>
    </w:p>
    <w:p w:rsidR="008E5F5F" w:rsidRPr="008E5F5F" w:rsidRDefault="008E5F5F" w:rsidP="001E7AC0"/>
    <w:p w:rsidR="003A14B5" w:rsidRPr="003A14B5" w:rsidRDefault="003F1EE5" w:rsidP="001E7AC0">
      <w:pPr>
        <w:rPr>
          <w:rFonts w:cs="Arial"/>
        </w:rPr>
      </w:pPr>
      <w:bookmarkStart w:id="11" w:name="_GoBack"/>
      <w:r>
        <w:rPr>
          <w:rFonts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This table shows how the applications submitted through GOV.UK Online Licensing have increased significantly since October 2012.  At the end of 2013, the number of applications had increased by approximately 400 percent compared to the same period in 2012. This upward trend reflects the reports we have received from many authorities that have also observed a noticeable increase in demand from their own customers for an online application facility." style="position:absolute;margin-left:3.75pt;margin-top:.05pt;width:475.65pt;height:198.4pt;z-index:251657728;mso-wrap-distance-left:0;mso-wrap-distance-right:0" filled="t" stroked="t" strokeweight=".05pt">
            <v:fill color2="black"/>
            <v:imagedata r:id="rId26" o:title=""/>
            <w10:wrap type="square" side="largest"/>
          </v:shape>
          <o:OLEObject Type="Embed" ProgID="LibreOffice.ChartDocument.1" ShapeID="_x0000_s1026" DrawAspect="Content" ObjectID="_1463468992" r:id="rId27"/>
        </w:pict>
      </w:r>
      <w:bookmarkEnd w:id="11"/>
    </w:p>
    <w:p w:rsidR="002A5728" w:rsidRDefault="0008288A" w:rsidP="001E7AC0">
      <w:pPr>
        <w:pStyle w:val="Heading4"/>
        <w:rPr>
          <w:rFonts w:cs="Arial"/>
        </w:rPr>
      </w:pPr>
      <w:r w:rsidRPr="0008288A">
        <w:rPr>
          <w:rFonts w:cs="Arial"/>
        </w:rPr>
        <w:t>Figure 1</w:t>
      </w:r>
      <w:r>
        <w:rPr>
          <w:rFonts w:cs="Arial"/>
        </w:rPr>
        <w:t>:</w:t>
      </w:r>
      <w:r w:rsidRPr="0008288A">
        <w:rPr>
          <w:rFonts w:cs="Arial"/>
        </w:rPr>
        <w:t xml:space="preserve">  Table showing number of applications submitted online</w:t>
      </w:r>
    </w:p>
    <w:p w:rsidR="002A5728" w:rsidRDefault="002A5728" w:rsidP="001E7AC0">
      <w:pPr>
        <w:pStyle w:val="Heading4"/>
        <w:rPr>
          <w:rFonts w:cs="Arial"/>
        </w:rPr>
      </w:pPr>
    </w:p>
    <w:p w:rsidR="003A14B5" w:rsidRPr="00381CB9" w:rsidRDefault="003A14B5" w:rsidP="0076262B">
      <w:pPr>
        <w:pStyle w:val="Heading2"/>
      </w:pPr>
      <w:r w:rsidRPr="00381CB9">
        <w:t>Technical developments</w:t>
      </w:r>
    </w:p>
    <w:p w:rsidR="003A14B5" w:rsidRPr="003A14B5" w:rsidRDefault="003A14B5" w:rsidP="001E7AC0">
      <w:pPr>
        <w:numPr>
          <w:ilvl w:val="0"/>
          <w:numId w:val="18"/>
        </w:numPr>
      </w:pPr>
      <w:r w:rsidRPr="003A14B5">
        <w:t xml:space="preserve">A prototype of a method of data extraction from the </w:t>
      </w:r>
      <w:r w:rsidR="00381CB9">
        <w:t xml:space="preserve">online </w:t>
      </w:r>
      <w:r w:rsidRPr="003A14B5">
        <w:t xml:space="preserve">forms was </w:t>
      </w:r>
      <w:r w:rsidR="00381CB9">
        <w:t xml:space="preserve">made available </w:t>
      </w:r>
      <w:r w:rsidRPr="003A14B5">
        <w:t>at the end of 2013 so that authorities and system providers could s</w:t>
      </w:r>
      <w:r w:rsidR="00AB3B99">
        <w:t xml:space="preserve">tart to assess how they could use this in order </w:t>
      </w:r>
      <w:r w:rsidRPr="003A14B5">
        <w:t xml:space="preserve">to provide direct input into </w:t>
      </w:r>
      <w:r w:rsidR="0089227F">
        <w:t>authorities’</w:t>
      </w:r>
      <w:r w:rsidR="00381CB9">
        <w:t xml:space="preserve"> own </w:t>
      </w:r>
      <w:r w:rsidRPr="003A14B5">
        <w:t>back</w:t>
      </w:r>
      <w:r w:rsidR="00381CB9">
        <w:t xml:space="preserve">-office systems.  </w:t>
      </w:r>
      <w:r w:rsidR="0089227F">
        <w:t xml:space="preserve">We expect </w:t>
      </w:r>
      <w:r w:rsidRPr="003A14B5">
        <w:t xml:space="preserve">that this will be </w:t>
      </w:r>
      <w:r w:rsidR="00381CB9">
        <w:t xml:space="preserve">rolled-out </w:t>
      </w:r>
      <w:r w:rsidR="00AB3B99">
        <w:t>to</w:t>
      </w:r>
      <w:r w:rsidR="0089227F">
        <w:t xml:space="preserve"> all </w:t>
      </w:r>
      <w:r w:rsidR="00AB3B99">
        <w:t xml:space="preserve">local and other competent </w:t>
      </w:r>
      <w:r w:rsidR="0089227F">
        <w:t xml:space="preserve">authorities </w:t>
      </w:r>
      <w:r w:rsidRPr="003A14B5">
        <w:t xml:space="preserve">by the end of 2014. </w:t>
      </w:r>
    </w:p>
    <w:p w:rsidR="003A14B5" w:rsidRPr="003A14B5" w:rsidRDefault="006C7FAF" w:rsidP="001E7AC0">
      <w:pPr>
        <w:numPr>
          <w:ilvl w:val="0"/>
          <w:numId w:val="18"/>
        </w:numPr>
      </w:pPr>
      <w:r>
        <w:t xml:space="preserve">Our next major development </w:t>
      </w:r>
      <w:r w:rsidR="003A14B5" w:rsidRPr="003A14B5">
        <w:t>will be the introduction of web</w:t>
      </w:r>
      <w:r w:rsidR="00162A0F">
        <w:t>-</w:t>
      </w:r>
      <w:r w:rsidR="003A14B5" w:rsidRPr="003A14B5">
        <w:t>forms for high volume licences, notification</w:t>
      </w:r>
      <w:r>
        <w:t>s</w:t>
      </w:r>
      <w:r w:rsidR="00AB3B99">
        <w:t xml:space="preserve">, </w:t>
      </w:r>
      <w:r w:rsidR="003A14B5" w:rsidRPr="003A14B5">
        <w:t>registrations</w:t>
      </w:r>
      <w:r w:rsidR="00AB3B99">
        <w:t xml:space="preserve"> etc,</w:t>
      </w:r>
      <w:r w:rsidR="003A14B5" w:rsidRPr="003A14B5">
        <w:t xml:space="preserve"> and </w:t>
      </w:r>
      <w:r w:rsidR="00162A0F">
        <w:t>we anticipate</w:t>
      </w:r>
      <w:r w:rsidR="00AB3B99">
        <w:t xml:space="preserve"> that the first of these </w:t>
      </w:r>
      <w:r w:rsidR="003A14B5" w:rsidRPr="003A14B5">
        <w:t xml:space="preserve">will be </w:t>
      </w:r>
      <w:r w:rsidR="00162A0F">
        <w:t xml:space="preserve">available </w:t>
      </w:r>
      <w:r w:rsidR="003A14B5" w:rsidRPr="003A14B5">
        <w:t>in</w:t>
      </w:r>
      <w:r w:rsidR="00162A0F">
        <w:t xml:space="preserve"> </w:t>
      </w:r>
      <w:proofErr w:type="gramStart"/>
      <w:r w:rsidR="00162A0F">
        <w:t>S</w:t>
      </w:r>
      <w:r w:rsidR="003A14B5" w:rsidRPr="003A14B5">
        <w:t>pring</w:t>
      </w:r>
      <w:proofErr w:type="gramEnd"/>
      <w:r w:rsidR="003A14B5" w:rsidRPr="003A14B5">
        <w:t xml:space="preserve"> 2014</w:t>
      </w:r>
      <w:r w:rsidR="00162A0F">
        <w:t xml:space="preserve">.  We are also looking at </w:t>
      </w:r>
      <w:r w:rsidR="003A14B5" w:rsidRPr="003A14B5">
        <w:t xml:space="preserve">further improvements such as </w:t>
      </w:r>
      <w:r w:rsidR="00162A0F">
        <w:t>that to the sign-on system that</w:t>
      </w:r>
      <w:r w:rsidR="003A14B5" w:rsidRPr="003A14B5">
        <w:t xml:space="preserve"> will allow authorities to have self-service control user accounts for their staff</w:t>
      </w:r>
      <w:r w:rsidR="00162A0F">
        <w:t xml:space="preserve"> and </w:t>
      </w:r>
      <w:r>
        <w:t xml:space="preserve">thus </w:t>
      </w:r>
      <w:r w:rsidR="00162A0F">
        <w:t>make the system much more responsive</w:t>
      </w:r>
      <w:r w:rsidR="003A14B5" w:rsidRPr="003A14B5">
        <w:t>.</w:t>
      </w:r>
    </w:p>
    <w:p w:rsidR="00365381" w:rsidRDefault="00365381" w:rsidP="0076262B">
      <w:pPr>
        <w:pStyle w:val="Heading2"/>
      </w:pPr>
    </w:p>
    <w:p w:rsidR="003A14B5" w:rsidRPr="00162A0F" w:rsidRDefault="003A14B5" w:rsidP="0076262B">
      <w:pPr>
        <w:pStyle w:val="Heading2"/>
      </w:pPr>
      <w:r w:rsidRPr="00162A0F">
        <w:lastRenderedPageBreak/>
        <w:t>Stakeholder activity</w:t>
      </w:r>
    </w:p>
    <w:p w:rsidR="003A14B5" w:rsidRPr="00EF66BC" w:rsidRDefault="00B635F8" w:rsidP="001E7AC0">
      <w:pPr>
        <w:pStyle w:val="BodyText2"/>
        <w:numPr>
          <w:ilvl w:val="0"/>
          <w:numId w:val="18"/>
        </w:numPr>
        <w:jc w:val="left"/>
        <w:rPr>
          <w:rFonts w:cs="Times New Roman"/>
        </w:rPr>
      </w:pPr>
      <w:r>
        <w:rPr>
          <w:rFonts w:cs="Times New Roman"/>
        </w:rPr>
        <w:t>In addition, w</w:t>
      </w:r>
      <w:r w:rsidR="00162A0F" w:rsidRPr="00EF66BC">
        <w:rPr>
          <w:rFonts w:cs="Times New Roman"/>
        </w:rPr>
        <w:t>e carried out a range of engagement activities with our key stak</w:t>
      </w:r>
      <w:r w:rsidR="003A14B5" w:rsidRPr="00EF66BC">
        <w:rPr>
          <w:rFonts w:cs="Times New Roman"/>
        </w:rPr>
        <w:t>eholders and ot</w:t>
      </w:r>
      <w:r w:rsidR="007D6EA5" w:rsidRPr="00EF66BC">
        <w:rPr>
          <w:rFonts w:cs="Times New Roman"/>
        </w:rPr>
        <w:t xml:space="preserve">her interested parties throughout </w:t>
      </w:r>
      <w:r>
        <w:rPr>
          <w:rFonts w:cs="Times New Roman"/>
        </w:rPr>
        <w:t xml:space="preserve">2013, which </w:t>
      </w:r>
      <w:r w:rsidR="003A14B5" w:rsidRPr="00EF66BC">
        <w:rPr>
          <w:rFonts w:cs="Times New Roman"/>
        </w:rPr>
        <w:t>included:</w:t>
      </w:r>
    </w:p>
    <w:p w:rsidR="003A14B5" w:rsidRPr="003A14B5" w:rsidRDefault="00162A0F" w:rsidP="001E7AC0">
      <w:pPr>
        <w:numPr>
          <w:ilvl w:val="0"/>
          <w:numId w:val="8"/>
        </w:numPr>
        <w:rPr>
          <w:rFonts w:cs="Arial"/>
        </w:rPr>
      </w:pPr>
      <w:r>
        <w:rPr>
          <w:rFonts w:cs="Arial"/>
        </w:rPr>
        <w:t>Advising</w:t>
      </w:r>
      <w:r w:rsidR="003A14B5" w:rsidRPr="003A14B5">
        <w:rPr>
          <w:rFonts w:cs="Arial"/>
        </w:rPr>
        <w:t xml:space="preserve"> the government of Macedonia on how the UK im</w:t>
      </w:r>
      <w:r>
        <w:rPr>
          <w:rFonts w:cs="Arial"/>
        </w:rPr>
        <w:t xml:space="preserve">plemented the Services Directive and </w:t>
      </w:r>
      <w:r w:rsidR="000571CC">
        <w:rPr>
          <w:rFonts w:cs="Arial"/>
        </w:rPr>
        <w:t xml:space="preserve">our experience of </w:t>
      </w:r>
      <w:r>
        <w:rPr>
          <w:rFonts w:cs="Arial"/>
        </w:rPr>
        <w:t>set</w:t>
      </w:r>
      <w:r w:rsidR="000571CC">
        <w:rPr>
          <w:rFonts w:cs="Arial"/>
        </w:rPr>
        <w:t>ting</w:t>
      </w:r>
      <w:r>
        <w:rPr>
          <w:rFonts w:cs="Arial"/>
        </w:rPr>
        <w:t xml:space="preserve"> up </w:t>
      </w:r>
      <w:r w:rsidR="000571CC">
        <w:rPr>
          <w:rFonts w:cs="Arial"/>
        </w:rPr>
        <w:t xml:space="preserve">the </w:t>
      </w:r>
      <w:r>
        <w:rPr>
          <w:rFonts w:cs="Arial"/>
        </w:rPr>
        <w:t xml:space="preserve">PSC </w:t>
      </w:r>
    </w:p>
    <w:p w:rsidR="003A14B5" w:rsidRPr="003A14B5" w:rsidRDefault="00AA7040" w:rsidP="001E7AC0">
      <w:pPr>
        <w:numPr>
          <w:ilvl w:val="0"/>
          <w:numId w:val="8"/>
        </w:numPr>
        <w:rPr>
          <w:rFonts w:cs="Arial"/>
        </w:rPr>
      </w:pPr>
      <w:r>
        <w:rPr>
          <w:rFonts w:cs="Arial"/>
        </w:rPr>
        <w:t xml:space="preserve">Representing the UK at </w:t>
      </w:r>
      <w:r w:rsidR="003A14B5" w:rsidRPr="003A14B5">
        <w:rPr>
          <w:rFonts w:cs="Arial"/>
        </w:rPr>
        <w:t>meetings</w:t>
      </w:r>
      <w:r w:rsidR="00162A0F">
        <w:rPr>
          <w:rFonts w:cs="Arial"/>
        </w:rPr>
        <w:t xml:space="preserve"> of the EUGO-Network of </w:t>
      </w:r>
      <w:r>
        <w:rPr>
          <w:rFonts w:cs="Arial"/>
        </w:rPr>
        <w:t xml:space="preserve">Member State </w:t>
      </w:r>
      <w:r w:rsidR="00162A0F">
        <w:rPr>
          <w:rFonts w:cs="Arial"/>
        </w:rPr>
        <w:t>PSCs</w:t>
      </w:r>
      <w:r w:rsidR="003A14B5" w:rsidRPr="003A14B5">
        <w:rPr>
          <w:rFonts w:cs="Arial"/>
        </w:rPr>
        <w:t xml:space="preserve"> in Tallinn and Brussels</w:t>
      </w:r>
      <w:r w:rsidR="00B635F8">
        <w:rPr>
          <w:rFonts w:cs="Arial"/>
        </w:rPr>
        <w:t xml:space="preserve"> and sharing</w:t>
      </w:r>
      <w:r w:rsidR="00A4725E">
        <w:rPr>
          <w:rFonts w:cs="Arial"/>
        </w:rPr>
        <w:t xml:space="preserve"> best practice</w:t>
      </w:r>
    </w:p>
    <w:p w:rsidR="003A14B5" w:rsidRPr="003A14B5" w:rsidRDefault="00162A0F" w:rsidP="001E7AC0">
      <w:pPr>
        <w:numPr>
          <w:ilvl w:val="0"/>
          <w:numId w:val="8"/>
        </w:numPr>
        <w:rPr>
          <w:rFonts w:cs="Arial"/>
        </w:rPr>
      </w:pPr>
      <w:r>
        <w:rPr>
          <w:rFonts w:cs="Arial"/>
        </w:rPr>
        <w:t xml:space="preserve">Participating </w:t>
      </w:r>
      <w:r w:rsidR="007D6EA5">
        <w:rPr>
          <w:rFonts w:cs="Arial"/>
        </w:rPr>
        <w:t xml:space="preserve">in several </w:t>
      </w:r>
      <w:r w:rsidR="003A14B5" w:rsidRPr="003A14B5">
        <w:rPr>
          <w:rFonts w:cs="Arial"/>
        </w:rPr>
        <w:t>Institu</w:t>
      </w:r>
      <w:r>
        <w:rPr>
          <w:rFonts w:cs="Arial"/>
        </w:rPr>
        <w:t>t</w:t>
      </w:r>
      <w:r w:rsidR="003A14B5" w:rsidRPr="003A14B5">
        <w:rPr>
          <w:rFonts w:cs="Arial"/>
        </w:rPr>
        <w:t>e of Licensing events in England</w:t>
      </w:r>
      <w:r w:rsidR="000571CC">
        <w:rPr>
          <w:rFonts w:cs="Arial"/>
        </w:rPr>
        <w:t xml:space="preserve"> as well as</w:t>
      </w:r>
      <w:r w:rsidR="003A14B5" w:rsidRPr="003A14B5">
        <w:rPr>
          <w:rFonts w:cs="Arial"/>
        </w:rPr>
        <w:t xml:space="preserve"> </w:t>
      </w:r>
      <w:r>
        <w:rPr>
          <w:rFonts w:cs="Arial"/>
        </w:rPr>
        <w:t xml:space="preserve">giving presentations </w:t>
      </w:r>
      <w:r w:rsidR="003A14B5" w:rsidRPr="003A14B5">
        <w:rPr>
          <w:rFonts w:cs="Arial"/>
        </w:rPr>
        <w:t xml:space="preserve">to </w:t>
      </w:r>
      <w:r>
        <w:rPr>
          <w:rFonts w:cs="Arial"/>
        </w:rPr>
        <w:t xml:space="preserve">a number of other </w:t>
      </w:r>
      <w:r w:rsidR="003A14B5" w:rsidRPr="003A14B5">
        <w:rPr>
          <w:rFonts w:cs="Arial"/>
        </w:rPr>
        <w:t>local authority licensing groups across the UK</w:t>
      </w:r>
      <w:r w:rsidR="00B635F8">
        <w:rPr>
          <w:rFonts w:cs="Arial"/>
        </w:rPr>
        <w:t xml:space="preserve"> to promote the benefits of online licensing</w:t>
      </w:r>
    </w:p>
    <w:p w:rsidR="00680482" w:rsidRDefault="003A14B5" w:rsidP="00DB6889">
      <w:pPr>
        <w:numPr>
          <w:ilvl w:val="0"/>
          <w:numId w:val="18"/>
        </w:numPr>
        <w:rPr>
          <w:rFonts w:cs="Arial"/>
        </w:rPr>
      </w:pPr>
      <w:r w:rsidRPr="00DB6889">
        <w:rPr>
          <w:rFonts w:cs="Arial"/>
        </w:rPr>
        <w:t>In October 2013 we started working with our colleagues in Holland to monitor the success of a pro</w:t>
      </w:r>
      <w:r w:rsidR="00AA7040" w:rsidRPr="00DB6889">
        <w:rPr>
          <w:rFonts w:cs="Arial"/>
        </w:rPr>
        <w:t xml:space="preserve">motion they are running on the Dutch </w:t>
      </w:r>
      <w:r w:rsidR="000571CC" w:rsidRPr="00DB6889">
        <w:rPr>
          <w:rFonts w:cs="Arial"/>
        </w:rPr>
        <w:t>PSC</w:t>
      </w:r>
      <w:r w:rsidR="00AA7040" w:rsidRPr="00DB6889">
        <w:rPr>
          <w:rFonts w:cs="Arial"/>
        </w:rPr>
        <w:t>,</w:t>
      </w:r>
      <w:r w:rsidRPr="00DB6889">
        <w:rPr>
          <w:rFonts w:cs="Arial"/>
        </w:rPr>
        <w:t xml:space="preserve"> which highlights the benefits of starting a business or expanding </w:t>
      </w:r>
      <w:r w:rsidR="000571CC" w:rsidRPr="00DB6889">
        <w:rPr>
          <w:rFonts w:cs="Arial"/>
        </w:rPr>
        <w:t xml:space="preserve">a business </w:t>
      </w:r>
      <w:r w:rsidRPr="00DB6889">
        <w:rPr>
          <w:rFonts w:cs="Arial"/>
        </w:rPr>
        <w:t>into the UK</w:t>
      </w:r>
      <w:r w:rsidR="00AA7040" w:rsidRPr="00DB6889">
        <w:rPr>
          <w:rFonts w:cs="Arial"/>
        </w:rPr>
        <w:t xml:space="preserve">.  </w:t>
      </w:r>
      <w:r w:rsidRPr="00DB6889">
        <w:rPr>
          <w:rFonts w:cs="Arial"/>
        </w:rPr>
        <w:t>If this proves to be successful</w:t>
      </w:r>
      <w:r w:rsidR="00AA7040" w:rsidRPr="00DB6889">
        <w:rPr>
          <w:rFonts w:cs="Arial"/>
        </w:rPr>
        <w:t xml:space="preserve">, we </w:t>
      </w:r>
      <w:r w:rsidRPr="00DB6889">
        <w:rPr>
          <w:rFonts w:cs="Arial"/>
        </w:rPr>
        <w:t>will be looking to expand these promotions</w:t>
      </w:r>
      <w:r w:rsidR="000571CC" w:rsidRPr="00DB6889">
        <w:rPr>
          <w:rFonts w:cs="Arial"/>
        </w:rPr>
        <w:t xml:space="preserve"> and have reciprocal initi</w:t>
      </w:r>
      <w:r w:rsidRPr="00DB6889">
        <w:rPr>
          <w:rFonts w:cs="Arial"/>
        </w:rPr>
        <w:t>ative</w:t>
      </w:r>
      <w:r w:rsidR="000571CC" w:rsidRPr="00DB6889">
        <w:rPr>
          <w:rFonts w:cs="Arial"/>
        </w:rPr>
        <w:t xml:space="preserve">s with those other </w:t>
      </w:r>
      <w:r w:rsidR="00B635F8" w:rsidRPr="00DB6889">
        <w:rPr>
          <w:rFonts w:cs="Arial"/>
        </w:rPr>
        <w:t xml:space="preserve">EU countries </w:t>
      </w:r>
      <w:r w:rsidR="000571CC" w:rsidRPr="00DB6889">
        <w:rPr>
          <w:rFonts w:cs="Arial"/>
        </w:rPr>
        <w:t>that are most relevant to UK business interests</w:t>
      </w:r>
      <w:r w:rsidRPr="00DB6889">
        <w:rPr>
          <w:rFonts w:cs="Arial"/>
        </w:rPr>
        <w:t>.</w:t>
      </w:r>
    </w:p>
    <w:p w:rsidR="00DB6889" w:rsidRDefault="003A14B5" w:rsidP="00680482">
      <w:pPr>
        <w:spacing w:after="0"/>
        <w:ind w:left="720"/>
        <w:rPr>
          <w:rFonts w:cs="Arial"/>
        </w:rPr>
      </w:pPr>
      <w:r w:rsidRPr="00DB6889">
        <w:rPr>
          <w:rFonts w:cs="Arial"/>
        </w:rPr>
        <w:t xml:space="preserve"> </w:t>
      </w:r>
    </w:p>
    <w:p w:rsidR="0053221C" w:rsidRDefault="0053221C" w:rsidP="0076262B">
      <w:pPr>
        <w:pStyle w:val="StyleHeading1After0pt"/>
      </w:pPr>
      <w:bookmarkStart w:id="12" w:name="_Toc389036233"/>
      <w:r w:rsidRPr="00DB6889">
        <w:t>The Internal Market Information System (IMI)</w:t>
      </w:r>
      <w:bookmarkEnd w:id="12"/>
    </w:p>
    <w:p w:rsidR="00680482" w:rsidRPr="00680482" w:rsidRDefault="00680482" w:rsidP="00680482"/>
    <w:p w:rsidR="0053221C" w:rsidRPr="0053221C" w:rsidRDefault="0053221C" w:rsidP="0076262B">
      <w:pPr>
        <w:pStyle w:val="Heading2"/>
      </w:pPr>
      <w:r w:rsidRPr="0053221C">
        <w:t>Background</w:t>
      </w:r>
    </w:p>
    <w:p w:rsidR="0053221C" w:rsidRPr="005277B0" w:rsidRDefault="0053221C" w:rsidP="001E7AC0">
      <w:pPr>
        <w:numPr>
          <w:ilvl w:val="0"/>
          <w:numId w:val="18"/>
        </w:numPr>
        <w:rPr>
          <w:rFonts w:cs="Arial"/>
        </w:rPr>
      </w:pPr>
      <w:r w:rsidRPr="005277B0">
        <w:rPr>
          <w:rFonts w:cs="Arial"/>
        </w:rPr>
        <w:t xml:space="preserve">The </w:t>
      </w:r>
      <w:hyperlink r:id="rId28" w:history="1">
        <w:r w:rsidRPr="00B50C76">
          <w:rPr>
            <w:rStyle w:val="Hyperlink"/>
            <w:rFonts w:cs="Arial"/>
          </w:rPr>
          <w:t>Internal Market Information System (IMI)</w:t>
        </w:r>
      </w:hyperlink>
      <w:r w:rsidRPr="005277B0">
        <w:rPr>
          <w:rFonts w:cs="Arial"/>
        </w:rPr>
        <w:t xml:space="preserve"> is a Europe wide int</w:t>
      </w:r>
      <w:r w:rsidR="00E74499">
        <w:rPr>
          <w:rFonts w:cs="Arial"/>
        </w:rPr>
        <w:t>ernet based system that allows “Competent Authorities”</w:t>
      </w:r>
      <w:r w:rsidRPr="005277B0">
        <w:rPr>
          <w:rFonts w:cs="Arial"/>
        </w:rPr>
        <w:t xml:space="preserve"> (including </w:t>
      </w:r>
      <w:r>
        <w:rPr>
          <w:rFonts w:cs="Arial"/>
        </w:rPr>
        <w:t xml:space="preserve">all UK </w:t>
      </w:r>
      <w:r w:rsidRPr="005277B0">
        <w:rPr>
          <w:rFonts w:cs="Arial"/>
        </w:rPr>
        <w:t xml:space="preserve">local authorities) within the EU to be easily identified and </w:t>
      </w:r>
      <w:r>
        <w:rPr>
          <w:rFonts w:cs="Arial"/>
        </w:rPr>
        <w:t xml:space="preserve">for requests for </w:t>
      </w:r>
      <w:r w:rsidRPr="005277B0">
        <w:rPr>
          <w:rFonts w:cs="Arial"/>
        </w:rPr>
        <w:t>information</w:t>
      </w:r>
      <w:r>
        <w:rPr>
          <w:rFonts w:cs="Arial"/>
        </w:rPr>
        <w:t>,</w:t>
      </w:r>
      <w:r w:rsidRPr="005277B0">
        <w:rPr>
          <w:rFonts w:cs="Arial"/>
        </w:rPr>
        <w:t xml:space="preserve"> </w:t>
      </w:r>
      <w:r>
        <w:rPr>
          <w:rFonts w:cs="Arial"/>
        </w:rPr>
        <w:t xml:space="preserve">plus </w:t>
      </w:r>
      <w:r w:rsidRPr="005277B0">
        <w:rPr>
          <w:rFonts w:cs="Arial"/>
        </w:rPr>
        <w:t>responses</w:t>
      </w:r>
      <w:r w:rsidR="006D45CC">
        <w:rPr>
          <w:rFonts w:cs="Arial"/>
        </w:rPr>
        <w:t>, to be done online</w:t>
      </w:r>
      <w:r>
        <w:rPr>
          <w:rFonts w:cs="Arial"/>
        </w:rPr>
        <w:t xml:space="preserve">.  </w:t>
      </w:r>
      <w:r w:rsidRPr="005277B0">
        <w:rPr>
          <w:rFonts w:cs="Arial"/>
          <w:color w:val="000000"/>
        </w:rPr>
        <w:t xml:space="preserve">This </w:t>
      </w:r>
      <w:r>
        <w:rPr>
          <w:rFonts w:cs="Arial"/>
          <w:color w:val="000000"/>
        </w:rPr>
        <w:t>ar</w:t>
      </w:r>
      <w:r w:rsidRPr="005277B0">
        <w:rPr>
          <w:rFonts w:cs="Arial"/>
          <w:color w:val="000000"/>
        </w:rPr>
        <w:t>is</w:t>
      </w:r>
      <w:r>
        <w:rPr>
          <w:rFonts w:cs="Arial"/>
          <w:color w:val="000000"/>
        </w:rPr>
        <w:t>es</w:t>
      </w:r>
      <w:r w:rsidRPr="005277B0">
        <w:rPr>
          <w:rFonts w:cs="Arial"/>
          <w:color w:val="000000"/>
        </w:rPr>
        <w:t xml:space="preserve"> from a legal obligation Under Article 29 of the </w:t>
      </w:r>
      <w:r w:rsidRPr="005277B0">
        <w:rPr>
          <w:rFonts w:cs="Arial"/>
        </w:rPr>
        <w:t>Services Directive</w:t>
      </w:r>
      <w:r w:rsidR="006420D3">
        <w:rPr>
          <w:rFonts w:cs="Arial"/>
          <w:color w:val="000000"/>
        </w:rPr>
        <w:t>, where Member S</w:t>
      </w:r>
      <w:r w:rsidRPr="005277B0">
        <w:rPr>
          <w:rFonts w:cs="Arial"/>
          <w:color w:val="000000"/>
        </w:rPr>
        <w:t xml:space="preserve">tates are </w:t>
      </w:r>
      <w:r w:rsidR="006420D3">
        <w:rPr>
          <w:rFonts w:cs="Arial"/>
          <w:color w:val="000000"/>
        </w:rPr>
        <w:t>required, if asked</w:t>
      </w:r>
      <w:r w:rsidR="00436587">
        <w:rPr>
          <w:rFonts w:cs="Arial"/>
          <w:color w:val="000000"/>
        </w:rPr>
        <w:t xml:space="preserve"> by another Member State</w:t>
      </w:r>
      <w:r w:rsidR="006420D3">
        <w:rPr>
          <w:rFonts w:cs="Arial"/>
          <w:color w:val="000000"/>
        </w:rPr>
        <w:t xml:space="preserve">, </w:t>
      </w:r>
      <w:r w:rsidRPr="005277B0">
        <w:rPr>
          <w:rFonts w:cs="Arial"/>
          <w:color w:val="000000"/>
        </w:rPr>
        <w:t>to provide mutual assistance.</w:t>
      </w:r>
      <w:r>
        <w:rPr>
          <w:rFonts w:cs="Arial"/>
          <w:color w:val="000000"/>
        </w:rPr>
        <w:t xml:space="preserve"> </w:t>
      </w:r>
      <w:r w:rsidR="006420D3">
        <w:rPr>
          <w:rFonts w:cs="Arial"/>
          <w:color w:val="000000"/>
        </w:rPr>
        <w:t xml:space="preserve"> </w:t>
      </w:r>
      <w:r>
        <w:rPr>
          <w:rFonts w:cs="Arial"/>
          <w:color w:val="000000"/>
        </w:rPr>
        <w:t xml:space="preserve">IMI is a secure </w:t>
      </w:r>
      <w:r w:rsidRPr="005277B0">
        <w:rPr>
          <w:rFonts w:cs="Arial"/>
          <w:color w:val="000000"/>
        </w:rPr>
        <w:t xml:space="preserve">system and is not </w:t>
      </w:r>
      <w:r>
        <w:rPr>
          <w:rFonts w:cs="Arial"/>
          <w:color w:val="000000"/>
        </w:rPr>
        <w:t xml:space="preserve">accessible </w:t>
      </w:r>
      <w:r w:rsidRPr="005277B0">
        <w:rPr>
          <w:rFonts w:cs="Arial"/>
          <w:color w:val="000000"/>
        </w:rPr>
        <w:t>to the general public</w:t>
      </w:r>
      <w:r w:rsidR="00436587">
        <w:rPr>
          <w:rFonts w:cs="Arial"/>
          <w:color w:val="000000"/>
        </w:rPr>
        <w:t xml:space="preserve">.  However, </w:t>
      </w:r>
      <w:r>
        <w:rPr>
          <w:rFonts w:cs="Arial"/>
          <w:color w:val="000000"/>
        </w:rPr>
        <w:t xml:space="preserve">authorities are required to notify members of the public </w:t>
      </w:r>
      <w:r w:rsidRPr="005277B0">
        <w:rPr>
          <w:rFonts w:cs="Arial"/>
          <w:color w:val="000000"/>
        </w:rPr>
        <w:t>about their data protection rights</w:t>
      </w:r>
      <w:r w:rsidR="006420D3">
        <w:rPr>
          <w:rFonts w:cs="Arial"/>
          <w:color w:val="000000"/>
        </w:rPr>
        <w:t xml:space="preserve"> if enquiries are carried out or </w:t>
      </w:r>
      <w:r>
        <w:rPr>
          <w:rFonts w:cs="Arial"/>
          <w:color w:val="000000"/>
        </w:rPr>
        <w:t>data is exchanged about them through the system</w:t>
      </w:r>
      <w:r w:rsidRPr="005277B0">
        <w:rPr>
          <w:rFonts w:cs="Arial"/>
          <w:color w:val="000000"/>
        </w:rPr>
        <w:t>.</w:t>
      </w:r>
      <w:r>
        <w:rPr>
          <w:rFonts w:cs="Arial"/>
          <w:color w:val="000000"/>
        </w:rPr>
        <w:t xml:space="preserve"> </w:t>
      </w:r>
    </w:p>
    <w:p w:rsidR="00E74499" w:rsidRDefault="00E74499" w:rsidP="0076262B">
      <w:pPr>
        <w:pStyle w:val="Heading2"/>
      </w:pPr>
      <w:r w:rsidRPr="00E74499">
        <w:t>Developments</w:t>
      </w:r>
    </w:p>
    <w:p w:rsidR="006420D3" w:rsidRDefault="0053221C" w:rsidP="001E7AC0">
      <w:pPr>
        <w:numPr>
          <w:ilvl w:val="0"/>
          <w:numId w:val="18"/>
        </w:numPr>
        <w:rPr>
          <w:rFonts w:cs="Arial"/>
        </w:rPr>
      </w:pPr>
      <w:r w:rsidRPr="00D257AC">
        <w:rPr>
          <w:rFonts w:cs="Arial"/>
          <w:color w:val="000000"/>
        </w:rPr>
        <w:t xml:space="preserve">Following </w:t>
      </w:r>
      <w:r w:rsidR="001F21FE">
        <w:rPr>
          <w:rFonts w:cs="Arial"/>
          <w:color w:val="000000"/>
        </w:rPr>
        <w:t>on-going</w:t>
      </w:r>
      <w:r w:rsidR="006420D3">
        <w:rPr>
          <w:rFonts w:cs="Arial"/>
          <w:color w:val="000000"/>
        </w:rPr>
        <w:t xml:space="preserve"> </w:t>
      </w:r>
      <w:r w:rsidRPr="00D257AC">
        <w:rPr>
          <w:rFonts w:cs="Arial"/>
          <w:color w:val="000000"/>
        </w:rPr>
        <w:t>development</w:t>
      </w:r>
      <w:r w:rsidR="006420D3">
        <w:rPr>
          <w:rFonts w:cs="Arial"/>
          <w:color w:val="000000"/>
        </w:rPr>
        <w:t>s of IMI from 2005-</w:t>
      </w:r>
      <w:r w:rsidRPr="00D257AC">
        <w:rPr>
          <w:rFonts w:cs="Arial"/>
          <w:color w:val="000000"/>
        </w:rPr>
        <w:t xml:space="preserve">2009, the </w:t>
      </w:r>
      <w:r w:rsidR="006420D3">
        <w:rPr>
          <w:rFonts w:cs="Arial"/>
          <w:color w:val="000000"/>
        </w:rPr>
        <w:t xml:space="preserve">updated </w:t>
      </w:r>
      <w:r w:rsidRPr="00D257AC">
        <w:rPr>
          <w:rFonts w:cs="Arial"/>
          <w:color w:val="000000"/>
        </w:rPr>
        <w:t xml:space="preserve">system went live in 2008 to enable information to be exchanged in respect of </w:t>
      </w:r>
      <w:r w:rsidR="006420D3">
        <w:rPr>
          <w:rFonts w:cs="Arial"/>
          <w:color w:val="000000"/>
        </w:rPr>
        <w:t xml:space="preserve">addressing problems in getting </w:t>
      </w:r>
      <w:r w:rsidRPr="00D257AC">
        <w:rPr>
          <w:rFonts w:cs="Arial"/>
          <w:color w:val="000000"/>
        </w:rPr>
        <w:t>Professional</w:t>
      </w:r>
      <w:r w:rsidRPr="005277B0">
        <w:rPr>
          <w:rFonts w:cs="Arial"/>
        </w:rPr>
        <w:t xml:space="preserve"> Qualifications</w:t>
      </w:r>
      <w:r w:rsidR="006420D3">
        <w:rPr>
          <w:rFonts w:cs="Arial"/>
        </w:rPr>
        <w:t xml:space="preserve"> recognised across borders.  </w:t>
      </w:r>
      <w:r w:rsidRPr="005277B0">
        <w:rPr>
          <w:rFonts w:cs="Arial"/>
        </w:rPr>
        <w:t>In 2009</w:t>
      </w:r>
      <w:r>
        <w:rPr>
          <w:rFonts w:cs="Arial"/>
        </w:rPr>
        <w:t xml:space="preserve">, </w:t>
      </w:r>
      <w:r w:rsidR="006420D3">
        <w:rPr>
          <w:rFonts w:cs="Arial"/>
        </w:rPr>
        <w:t xml:space="preserve">the use </w:t>
      </w:r>
      <w:r w:rsidR="00E74499">
        <w:rPr>
          <w:rFonts w:cs="Arial"/>
        </w:rPr>
        <w:t xml:space="preserve">of </w:t>
      </w:r>
      <w:r>
        <w:rPr>
          <w:rFonts w:cs="Arial"/>
        </w:rPr>
        <w:t xml:space="preserve">IMI was extended to cover </w:t>
      </w:r>
      <w:r w:rsidRPr="005277B0">
        <w:rPr>
          <w:rFonts w:cs="Arial"/>
        </w:rPr>
        <w:t>Services and in 2011</w:t>
      </w:r>
      <w:r>
        <w:rPr>
          <w:rFonts w:cs="Arial"/>
        </w:rPr>
        <w:t xml:space="preserve"> the system was used to support the </w:t>
      </w:r>
      <w:r w:rsidR="006420D3">
        <w:rPr>
          <w:rFonts w:cs="Arial"/>
        </w:rPr>
        <w:t>pilot on</w:t>
      </w:r>
      <w:r w:rsidR="006D45CC">
        <w:rPr>
          <w:rFonts w:cs="Arial"/>
        </w:rPr>
        <w:t xml:space="preserve"> the</w:t>
      </w:r>
      <w:r w:rsidR="006420D3">
        <w:rPr>
          <w:rFonts w:cs="Arial"/>
        </w:rPr>
        <w:t xml:space="preserve"> Posting of Workers with </w:t>
      </w:r>
      <w:r w:rsidRPr="005277B0">
        <w:rPr>
          <w:rFonts w:cs="Arial"/>
        </w:rPr>
        <w:t xml:space="preserve">Cash in Transit </w:t>
      </w:r>
      <w:r w:rsidR="006420D3">
        <w:rPr>
          <w:rFonts w:cs="Arial"/>
        </w:rPr>
        <w:t xml:space="preserve">requirements </w:t>
      </w:r>
      <w:r w:rsidRPr="005277B0">
        <w:rPr>
          <w:rFonts w:cs="Arial"/>
        </w:rPr>
        <w:t>added in 2012</w:t>
      </w:r>
      <w:r>
        <w:rPr>
          <w:rFonts w:cs="Arial"/>
        </w:rPr>
        <w:t>.</w:t>
      </w:r>
      <w:r w:rsidR="006420D3">
        <w:rPr>
          <w:rFonts w:cs="Arial"/>
        </w:rPr>
        <w:t xml:space="preserve">  </w:t>
      </w:r>
      <w:r w:rsidR="00436587">
        <w:rPr>
          <w:rFonts w:cs="Arial"/>
        </w:rPr>
        <w:t xml:space="preserve">IMI </w:t>
      </w:r>
      <w:r>
        <w:rPr>
          <w:rFonts w:cs="Arial"/>
        </w:rPr>
        <w:t xml:space="preserve">continued to see an increase in </w:t>
      </w:r>
      <w:r w:rsidR="006420D3">
        <w:rPr>
          <w:rFonts w:cs="Arial"/>
        </w:rPr>
        <w:t>the number of enquiries being posted</w:t>
      </w:r>
      <w:r>
        <w:rPr>
          <w:rFonts w:cs="Arial"/>
        </w:rPr>
        <w:t xml:space="preserve"> and </w:t>
      </w:r>
      <w:r w:rsidR="006420D3">
        <w:rPr>
          <w:rFonts w:cs="Arial"/>
        </w:rPr>
        <w:t>more authorities being</w:t>
      </w:r>
      <w:r w:rsidRPr="008438E3">
        <w:rPr>
          <w:rFonts w:cs="Arial"/>
        </w:rPr>
        <w:t xml:space="preserve"> signed up to </w:t>
      </w:r>
      <w:r>
        <w:rPr>
          <w:rFonts w:cs="Arial"/>
        </w:rPr>
        <w:t>use it</w:t>
      </w:r>
      <w:r w:rsidR="00E74499">
        <w:rPr>
          <w:rFonts w:cs="Arial"/>
        </w:rPr>
        <w:t xml:space="preserve"> throughout 2013</w:t>
      </w:r>
      <w:r w:rsidRPr="008438E3">
        <w:rPr>
          <w:rFonts w:cs="Arial"/>
        </w:rPr>
        <w:t>.</w:t>
      </w:r>
      <w:r>
        <w:rPr>
          <w:rFonts w:cs="Arial"/>
        </w:rPr>
        <w:t xml:space="preserve"> </w:t>
      </w:r>
    </w:p>
    <w:p w:rsidR="0053221C" w:rsidRPr="00DD0A28" w:rsidRDefault="006420D3" w:rsidP="001E7AC0">
      <w:pPr>
        <w:numPr>
          <w:ilvl w:val="0"/>
          <w:numId w:val="18"/>
        </w:numPr>
        <w:rPr>
          <w:rFonts w:cs="Arial"/>
        </w:rPr>
      </w:pPr>
      <w:r>
        <w:rPr>
          <w:rFonts w:cs="Arial"/>
        </w:rPr>
        <w:lastRenderedPageBreak/>
        <w:t xml:space="preserve">IMI has since been expanded </w:t>
      </w:r>
      <w:r w:rsidR="00436587">
        <w:rPr>
          <w:rFonts w:cs="Arial"/>
        </w:rPr>
        <w:t xml:space="preserve">yet further </w:t>
      </w:r>
      <w:r>
        <w:rPr>
          <w:rFonts w:cs="Arial"/>
        </w:rPr>
        <w:t xml:space="preserve">to include </w:t>
      </w:r>
      <w:r w:rsidR="0053221C">
        <w:rPr>
          <w:rFonts w:cs="Arial"/>
        </w:rPr>
        <w:t xml:space="preserve">SOLVIT, </w:t>
      </w:r>
      <w:r w:rsidR="0053221C" w:rsidRPr="00DD0A28">
        <w:rPr>
          <w:rFonts w:cs="Arial"/>
        </w:rPr>
        <w:t xml:space="preserve">Services Directive notifications, E–Commerce notifications and </w:t>
      </w:r>
      <w:r>
        <w:rPr>
          <w:rFonts w:cs="Arial"/>
        </w:rPr>
        <w:t xml:space="preserve">the </w:t>
      </w:r>
      <w:r w:rsidR="0053221C" w:rsidRPr="00DD0A28">
        <w:rPr>
          <w:rFonts w:cs="Arial"/>
        </w:rPr>
        <w:t>Patients</w:t>
      </w:r>
      <w:r>
        <w:rPr>
          <w:rFonts w:cs="Arial"/>
        </w:rPr>
        <w:t>’</w:t>
      </w:r>
      <w:r w:rsidR="0053221C" w:rsidRPr="00DD0A28">
        <w:rPr>
          <w:rFonts w:cs="Arial"/>
        </w:rPr>
        <w:t xml:space="preserve"> Rights Directive</w:t>
      </w:r>
      <w:r>
        <w:rPr>
          <w:rFonts w:cs="Arial"/>
        </w:rPr>
        <w:t xml:space="preserve">.  </w:t>
      </w:r>
      <w:r w:rsidR="00D56F67">
        <w:rPr>
          <w:rFonts w:cs="Arial"/>
        </w:rPr>
        <w:t xml:space="preserve">We have also notified </w:t>
      </w:r>
      <w:r w:rsidR="00436587">
        <w:rPr>
          <w:rFonts w:cs="Arial"/>
        </w:rPr>
        <w:t xml:space="preserve">those authorities registered on </w:t>
      </w:r>
      <w:r w:rsidR="0053221C" w:rsidRPr="00DD0A28">
        <w:rPr>
          <w:rFonts w:cs="Arial"/>
        </w:rPr>
        <w:t xml:space="preserve">IMI </w:t>
      </w:r>
      <w:r w:rsidR="00D56F67">
        <w:rPr>
          <w:rFonts w:cs="Arial"/>
        </w:rPr>
        <w:t>ab</w:t>
      </w:r>
      <w:r w:rsidR="00436587">
        <w:rPr>
          <w:rFonts w:cs="Arial"/>
        </w:rPr>
        <w:t>out their obligations to use the system</w:t>
      </w:r>
      <w:r w:rsidR="00D56F67">
        <w:rPr>
          <w:rFonts w:cs="Arial"/>
        </w:rPr>
        <w:t xml:space="preserve"> for </w:t>
      </w:r>
      <w:r w:rsidR="0053221C" w:rsidRPr="00DD0A28">
        <w:rPr>
          <w:rFonts w:cs="Arial"/>
        </w:rPr>
        <w:t>Services Directive notification</w:t>
      </w:r>
      <w:r w:rsidR="00D56F67">
        <w:rPr>
          <w:rFonts w:cs="Arial"/>
        </w:rPr>
        <w:t>s</w:t>
      </w:r>
      <w:r w:rsidR="0053221C" w:rsidRPr="00DD0A28">
        <w:rPr>
          <w:rFonts w:cs="Arial"/>
        </w:rPr>
        <w:t xml:space="preserve"> and </w:t>
      </w:r>
      <w:r w:rsidR="00436587">
        <w:rPr>
          <w:rFonts w:cs="Arial"/>
        </w:rPr>
        <w:t xml:space="preserve">their new </w:t>
      </w:r>
      <w:r w:rsidR="0053221C" w:rsidRPr="00DD0A28">
        <w:rPr>
          <w:rFonts w:cs="Arial"/>
        </w:rPr>
        <w:t xml:space="preserve">data protection </w:t>
      </w:r>
      <w:r w:rsidR="00D56F67">
        <w:rPr>
          <w:rFonts w:cs="Arial"/>
        </w:rPr>
        <w:t xml:space="preserve">obligations concerning </w:t>
      </w:r>
      <w:r w:rsidR="00E74499">
        <w:rPr>
          <w:rFonts w:cs="Arial"/>
        </w:rPr>
        <w:t xml:space="preserve">an </w:t>
      </w:r>
      <w:r w:rsidR="0053221C" w:rsidRPr="00DD0A28">
        <w:rPr>
          <w:rFonts w:cs="Arial"/>
        </w:rPr>
        <w:t>IMI data subject’s (individual) information.</w:t>
      </w:r>
      <w:r w:rsidR="0053221C" w:rsidRPr="009D3A55">
        <w:rPr>
          <w:rFonts w:cs="Arial"/>
        </w:rPr>
        <w:t xml:space="preserve"> </w:t>
      </w:r>
    </w:p>
    <w:p w:rsidR="0053221C" w:rsidRPr="0004001C" w:rsidRDefault="00D56F67" w:rsidP="001E7AC0">
      <w:pPr>
        <w:numPr>
          <w:ilvl w:val="0"/>
          <w:numId w:val="18"/>
        </w:numPr>
        <w:rPr>
          <w:rFonts w:cs="Arial"/>
        </w:rPr>
      </w:pPr>
      <w:r>
        <w:t xml:space="preserve">Expanding the use of IMI </w:t>
      </w:r>
      <w:r w:rsidR="0053221C">
        <w:t xml:space="preserve">is a major change for the </w:t>
      </w:r>
      <w:r w:rsidR="009210DE">
        <w:t>new authorities registered on the system</w:t>
      </w:r>
      <w:r w:rsidR="0053221C">
        <w:t xml:space="preserve"> as it enabl</w:t>
      </w:r>
      <w:r w:rsidR="0004001C">
        <w:t xml:space="preserve">es: </w:t>
      </w:r>
    </w:p>
    <w:p w:rsidR="006D45CC" w:rsidRDefault="006D45CC" w:rsidP="001E7AC0">
      <w:pPr>
        <w:pStyle w:val="ListBullet"/>
        <w:numPr>
          <w:ilvl w:val="0"/>
          <w:numId w:val="13"/>
        </w:numPr>
      </w:pPr>
      <w:r>
        <w:t>faster decisions through mutually agreed deadlines (usually 2 weeks)</w:t>
      </w:r>
    </w:p>
    <w:p w:rsidR="006D45CC" w:rsidRPr="003777A9" w:rsidRDefault="0004001C" w:rsidP="001E7AC0">
      <w:pPr>
        <w:pStyle w:val="ListBullet"/>
        <w:numPr>
          <w:ilvl w:val="0"/>
          <w:numId w:val="13"/>
        </w:numPr>
      </w:pPr>
      <w:r w:rsidRPr="003777A9">
        <w:t xml:space="preserve">an audit trail of decision </w:t>
      </w:r>
      <w:r w:rsidR="006D45CC" w:rsidRPr="003777A9">
        <w:t>making</w:t>
      </w:r>
    </w:p>
    <w:p w:rsidR="006D45CC" w:rsidRDefault="0004001C" w:rsidP="001E7AC0">
      <w:pPr>
        <w:pStyle w:val="ListBullet"/>
        <w:numPr>
          <w:ilvl w:val="0"/>
          <w:numId w:val="13"/>
        </w:numPr>
      </w:pPr>
      <w:r>
        <w:t>a much better under</w:t>
      </w:r>
      <w:r w:rsidR="006D45CC">
        <w:t>s</w:t>
      </w:r>
      <w:r>
        <w:t>tan</w:t>
      </w:r>
      <w:r w:rsidR="006D45CC">
        <w:t xml:space="preserve">ding of the problems and issues amongst authorities across </w:t>
      </w:r>
      <w:r>
        <w:t xml:space="preserve">the EU </w:t>
      </w:r>
    </w:p>
    <w:p w:rsidR="0053221C" w:rsidRDefault="0099401C" w:rsidP="0076262B">
      <w:pPr>
        <w:pStyle w:val="Heading2"/>
      </w:pPr>
      <w:r>
        <w:t>Statistics</w:t>
      </w:r>
    </w:p>
    <w:p w:rsidR="0053221C" w:rsidRDefault="0053221C" w:rsidP="001E7AC0">
      <w:pPr>
        <w:numPr>
          <w:ilvl w:val="0"/>
          <w:numId w:val="18"/>
        </w:numPr>
        <w:rPr>
          <w:rFonts w:cs="Arial"/>
        </w:rPr>
      </w:pPr>
      <w:r>
        <w:rPr>
          <w:rFonts w:cs="Arial"/>
        </w:rPr>
        <w:t>To date, IMI has:</w:t>
      </w:r>
    </w:p>
    <w:p w:rsidR="009C480B" w:rsidRDefault="0053221C" w:rsidP="001E7AC0">
      <w:pPr>
        <w:numPr>
          <w:ilvl w:val="0"/>
          <w:numId w:val="9"/>
        </w:numPr>
        <w:spacing w:after="0"/>
        <w:rPr>
          <w:rFonts w:cs="Arial"/>
        </w:rPr>
      </w:pPr>
      <w:r>
        <w:rPr>
          <w:rFonts w:cs="Arial"/>
        </w:rPr>
        <w:t>7,000+ registered authorities</w:t>
      </w:r>
    </w:p>
    <w:p w:rsidR="0053221C" w:rsidRDefault="0053221C" w:rsidP="001E7AC0">
      <w:pPr>
        <w:spacing w:after="0"/>
        <w:ind w:left="360"/>
        <w:rPr>
          <w:rFonts w:cs="Arial"/>
        </w:rPr>
      </w:pPr>
      <w:r>
        <w:rPr>
          <w:rFonts w:cs="Arial"/>
        </w:rPr>
        <w:t xml:space="preserve"> </w:t>
      </w:r>
    </w:p>
    <w:p w:rsidR="009C480B" w:rsidRDefault="009C480B" w:rsidP="001E7AC0">
      <w:pPr>
        <w:numPr>
          <w:ilvl w:val="0"/>
          <w:numId w:val="9"/>
        </w:numPr>
        <w:spacing w:after="0"/>
        <w:rPr>
          <w:rFonts w:cs="Arial"/>
        </w:rPr>
      </w:pPr>
      <w:r>
        <w:rPr>
          <w:rFonts w:cs="Arial"/>
        </w:rPr>
        <w:t>12,000+ registered users</w:t>
      </w:r>
    </w:p>
    <w:p w:rsidR="0053221C" w:rsidRDefault="0053221C" w:rsidP="001E7AC0">
      <w:pPr>
        <w:spacing w:after="0"/>
        <w:ind w:left="360"/>
        <w:rPr>
          <w:rFonts w:cs="Arial"/>
        </w:rPr>
      </w:pPr>
      <w:r>
        <w:rPr>
          <w:rFonts w:cs="Arial"/>
        </w:rPr>
        <w:t xml:space="preserve"> </w:t>
      </w:r>
    </w:p>
    <w:p w:rsidR="0053221C" w:rsidRDefault="0053221C" w:rsidP="001E7AC0">
      <w:pPr>
        <w:numPr>
          <w:ilvl w:val="0"/>
          <w:numId w:val="9"/>
        </w:numPr>
        <w:spacing w:after="0"/>
        <w:rPr>
          <w:rFonts w:cs="Arial"/>
        </w:rPr>
      </w:pPr>
      <w:r>
        <w:rPr>
          <w:rFonts w:cs="Arial"/>
        </w:rPr>
        <w:t>400+ UK autho</w:t>
      </w:r>
      <w:r w:rsidR="009C480B">
        <w:rPr>
          <w:rFonts w:cs="Arial"/>
        </w:rPr>
        <w:t>rities registered on the system</w:t>
      </w:r>
    </w:p>
    <w:p w:rsidR="0004001C" w:rsidRDefault="0004001C" w:rsidP="001E7AC0">
      <w:pPr>
        <w:rPr>
          <w:rFonts w:cs="Arial"/>
        </w:rPr>
      </w:pPr>
    </w:p>
    <w:p w:rsidR="009210DE" w:rsidRDefault="0053221C" w:rsidP="001E7AC0">
      <w:pPr>
        <w:numPr>
          <w:ilvl w:val="0"/>
          <w:numId w:val="18"/>
        </w:numPr>
        <w:rPr>
          <w:rFonts w:cs="Arial"/>
          <w:color w:val="000000"/>
        </w:rPr>
      </w:pPr>
      <w:r w:rsidRPr="0029062F">
        <w:rPr>
          <w:rFonts w:cs="Arial"/>
        </w:rPr>
        <w:t xml:space="preserve">The total number of information requests sent through IMI has </w:t>
      </w:r>
      <w:r w:rsidR="009836D5">
        <w:rPr>
          <w:rFonts w:cs="Arial"/>
        </w:rPr>
        <w:t xml:space="preserve">now exceeded 16,000.  </w:t>
      </w:r>
      <w:r w:rsidRPr="0029062F">
        <w:rPr>
          <w:rFonts w:cs="Arial"/>
        </w:rPr>
        <w:t>In 2013 alone</w:t>
      </w:r>
      <w:r w:rsidR="009836D5">
        <w:rPr>
          <w:rFonts w:cs="Arial"/>
        </w:rPr>
        <w:t>,</w:t>
      </w:r>
      <w:r w:rsidRPr="0029062F">
        <w:rPr>
          <w:rFonts w:cs="Arial"/>
        </w:rPr>
        <w:t xml:space="preserve"> nearly 6</w:t>
      </w:r>
      <w:r w:rsidR="009836D5">
        <w:rPr>
          <w:rFonts w:cs="Arial"/>
        </w:rPr>
        <w:t>,</w:t>
      </w:r>
      <w:r w:rsidRPr="0029062F">
        <w:rPr>
          <w:rFonts w:cs="Arial"/>
        </w:rPr>
        <w:t>000 requests were sent</w:t>
      </w:r>
      <w:r w:rsidR="009836D5">
        <w:rPr>
          <w:rFonts w:cs="Arial"/>
        </w:rPr>
        <w:t xml:space="preserve"> via IMI with </w:t>
      </w:r>
      <w:r w:rsidR="009836D5">
        <w:rPr>
          <w:rFonts w:cs="Arial"/>
          <w:color w:val="000000"/>
        </w:rPr>
        <w:t>1 in 4 requests being answered with</w:t>
      </w:r>
      <w:r w:rsidR="0004001C">
        <w:rPr>
          <w:rFonts w:cs="Arial"/>
          <w:color w:val="000000"/>
        </w:rPr>
        <w:t>in one</w:t>
      </w:r>
      <w:r w:rsidR="009836D5">
        <w:rPr>
          <w:rFonts w:cs="Arial"/>
          <w:color w:val="000000"/>
        </w:rPr>
        <w:t xml:space="preserve"> day.  </w:t>
      </w:r>
      <w:r w:rsidRPr="008D6990">
        <w:rPr>
          <w:rFonts w:cs="Arial"/>
          <w:color w:val="000000"/>
          <w:lang w:val="en"/>
        </w:rPr>
        <w:t xml:space="preserve">Information exchanges on IMI reached 1679 </w:t>
      </w:r>
      <w:r w:rsidRPr="008D6990">
        <w:rPr>
          <w:rFonts w:cs="Arial"/>
          <w:color w:val="000000"/>
        </w:rPr>
        <w:t>at the end of 2013</w:t>
      </w:r>
      <w:r>
        <w:rPr>
          <w:rFonts w:cs="Arial"/>
          <w:color w:val="000000"/>
        </w:rPr>
        <w:t xml:space="preserve">, up from </w:t>
      </w:r>
      <w:r w:rsidRPr="008D6990">
        <w:rPr>
          <w:rFonts w:cs="Arial"/>
          <w:color w:val="000000"/>
        </w:rPr>
        <w:t>1167 for 2012</w:t>
      </w:r>
      <w:r>
        <w:rPr>
          <w:rFonts w:cs="Arial"/>
          <w:color w:val="000000"/>
        </w:rPr>
        <w:t>.</w:t>
      </w:r>
      <w:r w:rsidR="009836D5">
        <w:rPr>
          <w:rFonts w:cs="Arial"/>
          <w:color w:val="000000"/>
        </w:rPr>
        <w:t xml:space="preserve">  </w:t>
      </w:r>
    </w:p>
    <w:p w:rsidR="0053221C" w:rsidRPr="009836D5" w:rsidRDefault="009836D5" w:rsidP="001E7AC0">
      <w:pPr>
        <w:numPr>
          <w:ilvl w:val="0"/>
          <w:numId w:val="18"/>
        </w:numPr>
        <w:rPr>
          <w:rFonts w:cs="Arial"/>
          <w:b/>
        </w:rPr>
      </w:pPr>
      <w:r>
        <w:rPr>
          <w:rFonts w:cs="Arial"/>
          <w:color w:val="000000"/>
        </w:rPr>
        <w:t>In addition, t</w:t>
      </w:r>
      <w:r w:rsidR="0053221C" w:rsidRPr="008D6990">
        <w:rPr>
          <w:rFonts w:cs="Arial"/>
          <w:color w:val="000000"/>
        </w:rPr>
        <w:t>here were over 60 Services Directive no</w:t>
      </w:r>
      <w:r w:rsidR="009210DE">
        <w:rPr>
          <w:rFonts w:cs="Arial"/>
          <w:color w:val="000000"/>
        </w:rPr>
        <w:t xml:space="preserve">tifications sent via the system </w:t>
      </w:r>
      <w:r w:rsidR="0053221C" w:rsidRPr="008D6990">
        <w:rPr>
          <w:rFonts w:cs="Arial"/>
          <w:color w:val="000000"/>
        </w:rPr>
        <w:t>between August 2013 and February 2014</w:t>
      </w:r>
      <w:r w:rsidR="0053221C">
        <w:rPr>
          <w:rFonts w:cs="Arial"/>
          <w:color w:val="000000"/>
        </w:rPr>
        <w:t xml:space="preserve">. </w:t>
      </w:r>
    </w:p>
    <w:p w:rsidR="0099401C" w:rsidRPr="0099401C" w:rsidRDefault="0099401C" w:rsidP="0076262B">
      <w:pPr>
        <w:pStyle w:val="Heading2"/>
      </w:pPr>
      <w:r w:rsidRPr="0099401C">
        <w:t>Future Developments</w:t>
      </w:r>
    </w:p>
    <w:p w:rsidR="009210DE" w:rsidRDefault="009210DE" w:rsidP="001E7AC0">
      <w:pPr>
        <w:numPr>
          <w:ilvl w:val="0"/>
          <w:numId w:val="18"/>
        </w:numPr>
        <w:rPr>
          <w:rFonts w:cs="Arial"/>
        </w:rPr>
      </w:pPr>
      <w:r>
        <w:rPr>
          <w:rFonts w:cs="Arial"/>
        </w:rPr>
        <w:t>The European Commission is looking</w:t>
      </w:r>
      <w:r w:rsidR="0053221C" w:rsidRPr="005277B0">
        <w:rPr>
          <w:rFonts w:cs="Arial"/>
        </w:rPr>
        <w:t xml:space="preserve"> to expand </w:t>
      </w:r>
      <w:r w:rsidR="009836D5">
        <w:rPr>
          <w:rFonts w:cs="Arial"/>
        </w:rPr>
        <w:t xml:space="preserve">the use of IMI </w:t>
      </w:r>
      <w:r w:rsidR="0099401C">
        <w:rPr>
          <w:rFonts w:cs="Arial"/>
        </w:rPr>
        <w:t xml:space="preserve">further </w:t>
      </w:r>
      <w:r w:rsidR="0053221C" w:rsidRPr="005277B0">
        <w:rPr>
          <w:rFonts w:cs="Arial"/>
        </w:rPr>
        <w:t xml:space="preserve">and consolidate the system </w:t>
      </w:r>
      <w:r w:rsidR="009836D5">
        <w:rPr>
          <w:rFonts w:cs="Arial"/>
        </w:rPr>
        <w:t>to make it a complete</w:t>
      </w:r>
      <w:r w:rsidR="00FA1A97">
        <w:rPr>
          <w:rFonts w:cs="Arial"/>
        </w:rPr>
        <w:t xml:space="preserve"> toolkit</w:t>
      </w:r>
      <w:r w:rsidR="00FA1A97" w:rsidRPr="00FA1A97">
        <w:t xml:space="preserve"> </w:t>
      </w:r>
      <w:r w:rsidR="00FA1A97" w:rsidRPr="00576AC4">
        <w:t xml:space="preserve">for exchanging information from </w:t>
      </w:r>
      <w:r w:rsidR="00FA1A97" w:rsidRPr="00FA1A97">
        <w:t>competent</w:t>
      </w:r>
      <w:r w:rsidR="00FA1A97">
        <w:rPr>
          <w:b/>
        </w:rPr>
        <w:t xml:space="preserve"> </w:t>
      </w:r>
      <w:r w:rsidR="00FA1A97" w:rsidRPr="00576AC4">
        <w:t xml:space="preserve">authority to </w:t>
      </w:r>
      <w:r w:rsidR="00FA1A97" w:rsidRPr="00FA1A97">
        <w:t>competent</w:t>
      </w:r>
      <w:r w:rsidR="00FA1A97">
        <w:rPr>
          <w:b/>
        </w:rPr>
        <w:t xml:space="preserve"> </w:t>
      </w:r>
      <w:r w:rsidR="00FA1A97" w:rsidRPr="00576AC4">
        <w:t xml:space="preserve">authority/authorities and </w:t>
      </w:r>
      <w:r w:rsidR="00FA1A97">
        <w:t xml:space="preserve">for </w:t>
      </w:r>
      <w:r w:rsidR="00FA1A97" w:rsidRPr="00576AC4">
        <w:rPr>
          <w:lang w:val="en"/>
        </w:rPr>
        <w:t>storing i</w:t>
      </w:r>
      <w:r w:rsidR="00FA1A97">
        <w:rPr>
          <w:lang w:val="en"/>
        </w:rPr>
        <w:t xml:space="preserve">nformation </w:t>
      </w:r>
      <w:r w:rsidR="00FA1A97" w:rsidRPr="00FA1A97">
        <w:rPr>
          <w:lang w:val="en"/>
        </w:rPr>
        <w:t xml:space="preserve">i.e. for </w:t>
      </w:r>
      <w:r w:rsidR="00FA1A97" w:rsidRPr="00FA1A97">
        <w:t>Euro-cash transportation</w:t>
      </w:r>
      <w:r w:rsidR="009836D5" w:rsidRPr="00FA1A97">
        <w:rPr>
          <w:rFonts w:cs="Arial"/>
        </w:rPr>
        <w:t>.</w:t>
      </w:r>
      <w:r w:rsidR="009836D5">
        <w:rPr>
          <w:rFonts w:cs="Arial"/>
        </w:rPr>
        <w:t xml:space="preserve">  </w:t>
      </w:r>
    </w:p>
    <w:p w:rsidR="0053221C" w:rsidRDefault="0053221C" w:rsidP="001E7AC0">
      <w:pPr>
        <w:numPr>
          <w:ilvl w:val="0"/>
          <w:numId w:val="18"/>
        </w:numPr>
        <w:rPr>
          <w:rFonts w:cs="Arial"/>
          <w:b/>
        </w:rPr>
      </w:pPr>
      <w:r>
        <w:rPr>
          <w:rFonts w:cs="Arial"/>
        </w:rPr>
        <w:t xml:space="preserve">This </w:t>
      </w:r>
      <w:r w:rsidR="009836D5">
        <w:rPr>
          <w:rFonts w:cs="Arial"/>
        </w:rPr>
        <w:t xml:space="preserve">coming year will see </w:t>
      </w:r>
      <w:r>
        <w:rPr>
          <w:rFonts w:cs="Arial"/>
        </w:rPr>
        <w:t>train driving licences</w:t>
      </w:r>
      <w:r w:rsidRPr="00E72E25">
        <w:rPr>
          <w:rFonts w:cs="Arial"/>
        </w:rPr>
        <w:t xml:space="preserve"> </w:t>
      </w:r>
      <w:r>
        <w:rPr>
          <w:rFonts w:cs="Arial"/>
        </w:rPr>
        <w:t xml:space="preserve">being </w:t>
      </w:r>
      <w:r w:rsidRPr="00E72E25">
        <w:rPr>
          <w:rFonts w:cs="Arial"/>
        </w:rPr>
        <w:t>added to IMI</w:t>
      </w:r>
      <w:r w:rsidR="009836D5">
        <w:t xml:space="preserve"> and, </w:t>
      </w:r>
      <w:r w:rsidR="009836D5">
        <w:rPr>
          <w:rFonts w:cs="Arial"/>
        </w:rPr>
        <w:t>f</w:t>
      </w:r>
      <w:r>
        <w:rPr>
          <w:rFonts w:cs="Arial"/>
        </w:rPr>
        <w:t>ollowing t</w:t>
      </w:r>
      <w:r w:rsidRPr="00DD0A28">
        <w:rPr>
          <w:rFonts w:cs="Arial"/>
        </w:rPr>
        <w:t>he recent changes to the Mutual Recognition of Professional Qualifications Directive</w:t>
      </w:r>
      <w:r w:rsidR="00FA1A97" w:rsidRPr="00E55E42">
        <w:rPr>
          <w:rFonts w:cs="Arial"/>
          <w:color w:val="000000"/>
          <w:sz w:val="22"/>
          <w:szCs w:val="22"/>
          <w:lang w:eastAsia="en-GB"/>
        </w:rPr>
        <w:t xml:space="preserve"> </w:t>
      </w:r>
      <w:r w:rsidR="00FA1A97" w:rsidRPr="00E55E42">
        <w:rPr>
          <w:rFonts w:cs="Arial"/>
          <w:color w:val="000000"/>
          <w:lang w:eastAsia="en-GB"/>
        </w:rPr>
        <w:t>and the Regulation on administrative cooperation through the IMI system</w:t>
      </w:r>
      <w:r w:rsidR="00FA1A97" w:rsidRPr="00DD0A28">
        <w:rPr>
          <w:rFonts w:cs="Arial"/>
        </w:rPr>
        <w:t>,</w:t>
      </w:r>
      <w:r w:rsidRPr="00DD0A28">
        <w:rPr>
          <w:rFonts w:cs="Arial"/>
        </w:rPr>
        <w:t xml:space="preserve"> the number of authorities registered </w:t>
      </w:r>
      <w:r w:rsidR="009448C3">
        <w:rPr>
          <w:rFonts w:cs="Arial"/>
        </w:rPr>
        <w:t xml:space="preserve">on IMI </w:t>
      </w:r>
      <w:r w:rsidRPr="00DD0A28">
        <w:rPr>
          <w:rFonts w:cs="Arial"/>
        </w:rPr>
        <w:t>is set to increase</w:t>
      </w:r>
      <w:r>
        <w:rPr>
          <w:rFonts w:cs="Arial"/>
        </w:rPr>
        <w:t xml:space="preserve"> </w:t>
      </w:r>
      <w:r w:rsidR="009448C3">
        <w:rPr>
          <w:rFonts w:cs="Arial"/>
        </w:rPr>
        <w:t>significantly over the next 2 years</w:t>
      </w:r>
      <w:r w:rsidRPr="00DD0A28">
        <w:rPr>
          <w:rFonts w:cs="Arial"/>
        </w:rPr>
        <w:t>.</w:t>
      </w:r>
    </w:p>
    <w:p w:rsidR="00E4370A" w:rsidRPr="008E5F5F" w:rsidRDefault="00E4370A" w:rsidP="001E7AC0">
      <w:pPr>
        <w:pStyle w:val="Heading1"/>
        <w:rPr>
          <w:lang w:val="en"/>
        </w:rPr>
      </w:pPr>
      <w:bookmarkStart w:id="13" w:name="_Toc389036234"/>
      <w:r w:rsidRPr="008E5F5F">
        <w:rPr>
          <w:lang w:val="en"/>
        </w:rPr>
        <w:lastRenderedPageBreak/>
        <w:t>Notifications Directive 98/34 - goods and electronic services</w:t>
      </w:r>
      <w:bookmarkEnd w:id="13"/>
    </w:p>
    <w:p w:rsidR="0099401C" w:rsidRPr="0099401C" w:rsidRDefault="0099401C" w:rsidP="0076262B">
      <w:pPr>
        <w:pStyle w:val="Heading2"/>
        <w:rPr>
          <w:lang w:val="en"/>
        </w:rPr>
      </w:pPr>
      <w:r w:rsidRPr="0099401C">
        <w:rPr>
          <w:lang w:val="en"/>
        </w:rPr>
        <w:t>Background</w:t>
      </w:r>
    </w:p>
    <w:p w:rsidR="00E4370A" w:rsidRDefault="00E4370A" w:rsidP="001E7AC0">
      <w:pPr>
        <w:pStyle w:val="NormalWeb"/>
        <w:numPr>
          <w:ilvl w:val="0"/>
          <w:numId w:val="18"/>
        </w:numPr>
        <w:rPr>
          <w:lang w:val="en"/>
        </w:rPr>
      </w:pPr>
      <w:r>
        <w:rPr>
          <w:lang w:val="en"/>
        </w:rPr>
        <w:t>Notifications Directive 98/34 helps to prevent new technical barriers being created</w:t>
      </w:r>
      <w:r w:rsidR="0099401C">
        <w:rPr>
          <w:lang w:val="en"/>
        </w:rPr>
        <w:t xml:space="preserve"> by requiring Member States</w:t>
      </w:r>
      <w:r>
        <w:rPr>
          <w:lang w:val="en"/>
        </w:rPr>
        <w:t xml:space="preserve"> to n</w:t>
      </w:r>
      <w:r w:rsidR="00F941F7">
        <w:rPr>
          <w:lang w:val="en"/>
        </w:rPr>
        <w:t xml:space="preserve">otify </w:t>
      </w:r>
      <w:r w:rsidR="009210DE">
        <w:rPr>
          <w:lang w:val="en"/>
        </w:rPr>
        <w:t xml:space="preserve">both </w:t>
      </w:r>
      <w:r w:rsidR="00F941F7">
        <w:rPr>
          <w:lang w:val="en"/>
        </w:rPr>
        <w:t xml:space="preserve">the Commission and other </w:t>
      </w:r>
      <w:r w:rsidR="0099401C">
        <w:rPr>
          <w:lang w:val="en"/>
        </w:rPr>
        <w:t xml:space="preserve">EU </w:t>
      </w:r>
      <w:r>
        <w:rPr>
          <w:lang w:val="en"/>
        </w:rPr>
        <w:t>countries of any proposed new technical regulations.</w:t>
      </w:r>
      <w:r w:rsidR="008E5F5F">
        <w:rPr>
          <w:lang w:val="en"/>
        </w:rPr>
        <w:t xml:space="preserve">  </w:t>
      </w:r>
      <w:r w:rsidR="009210DE">
        <w:rPr>
          <w:lang w:val="en"/>
        </w:rPr>
        <w:t>The Directive puts in place a mechanism that enables</w:t>
      </w:r>
      <w:r w:rsidR="0099401C">
        <w:rPr>
          <w:lang w:val="en"/>
        </w:rPr>
        <w:t xml:space="preserve"> Member States to review and comment on </w:t>
      </w:r>
      <w:r w:rsidR="009210DE">
        <w:rPr>
          <w:lang w:val="en"/>
        </w:rPr>
        <w:t>a proposal</w:t>
      </w:r>
      <w:r w:rsidR="0099401C">
        <w:rPr>
          <w:lang w:val="en"/>
        </w:rPr>
        <w:t xml:space="preserve"> before it becomes law. </w:t>
      </w:r>
      <w:r>
        <w:rPr>
          <w:lang w:val="en"/>
        </w:rPr>
        <w:t xml:space="preserve"> </w:t>
      </w:r>
    </w:p>
    <w:p w:rsidR="0099401C" w:rsidRPr="0099401C" w:rsidRDefault="0099401C" w:rsidP="0076262B">
      <w:pPr>
        <w:pStyle w:val="Heading2"/>
        <w:rPr>
          <w:lang w:val="en"/>
        </w:rPr>
      </w:pPr>
      <w:r w:rsidRPr="0099401C">
        <w:rPr>
          <w:lang w:val="en"/>
        </w:rPr>
        <w:t>Action taken</w:t>
      </w:r>
    </w:p>
    <w:p w:rsidR="009210DE" w:rsidRDefault="00E4370A" w:rsidP="001E7AC0">
      <w:pPr>
        <w:numPr>
          <w:ilvl w:val="0"/>
          <w:numId w:val="18"/>
        </w:numPr>
        <w:spacing w:before="100" w:beforeAutospacing="1" w:after="100" w:afterAutospacing="1"/>
        <w:rPr>
          <w:lang w:val="en"/>
        </w:rPr>
      </w:pPr>
      <w:r>
        <w:rPr>
          <w:lang w:val="en"/>
        </w:rPr>
        <w:t>In 2013</w:t>
      </w:r>
      <w:r w:rsidR="00F941F7">
        <w:rPr>
          <w:lang w:val="en"/>
        </w:rPr>
        <w:t>,</w:t>
      </w:r>
      <w:r>
        <w:rPr>
          <w:lang w:val="en"/>
        </w:rPr>
        <w:t xml:space="preserve"> the UK submitted 42 new notifications </w:t>
      </w:r>
      <w:r w:rsidR="0099401C">
        <w:rPr>
          <w:lang w:val="en"/>
        </w:rPr>
        <w:t xml:space="preserve">under the Directive </w:t>
      </w:r>
      <w:r>
        <w:rPr>
          <w:lang w:val="en"/>
        </w:rPr>
        <w:t>and received 4 Comments and one Detailed Opinion</w:t>
      </w:r>
      <w:r w:rsidR="0099401C" w:rsidRPr="0099401C">
        <w:rPr>
          <w:lang w:val="en"/>
        </w:rPr>
        <w:t xml:space="preserve"> </w:t>
      </w:r>
      <w:r w:rsidR="0099401C">
        <w:rPr>
          <w:lang w:val="en"/>
        </w:rPr>
        <w:t>from other Member States</w:t>
      </w:r>
      <w:r>
        <w:rPr>
          <w:lang w:val="en"/>
        </w:rPr>
        <w:t xml:space="preserve">.  All of the Comments and Detailed Opinions </w:t>
      </w:r>
      <w:r w:rsidR="0099401C">
        <w:rPr>
          <w:lang w:val="en"/>
        </w:rPr>
        <w:t xml:space="preserve">we </w:t>
      </w:r>
      <w:r>
        <w:rPr>
          <w:lang w:val="en"/>
        </w:rPr>
        <w:t xml:space="preserve">received were replied to, </w:t>
      </w:r>
      <w:r w:rsidR="00EC052D">
        <w:rPr>
          <w:lang w:val="en"/>
        </w:rPr>
        <w:t xml:space="preserve">with a satisfactory conclusion.  </w:t>
      </w:r>
    </w:p>
    <w:p w:rsidR="00EC052D" w:rsidRDefault="003F1EE5" w:rsidP="001E7AC0">
      <w:pPr>
        <w:numPr>
          <w:ilvl w:val="0"/>
          <w:numId w:val="18"/>
        </w:numPr>
        <w:spacing w:before="100" w:beforeAutospacing="1" w:after="100" w:afterAutospacing="1"/>
        <w:rPr>
          <w:lang w:val="en"/>
        </w:rPr>
      </w:pPr>
      <w:hyperlink r:id="rId29" w:history="1">
        <w:r w:rsidR="00E4370A" w:rsidRPr="00933563">
          <w:rPr>
            <w:rStyle w:val="Hyperlink"/>
          </w:rPr>
          <w:t>DEFRA</w:t>
        </w:r>
      </w:hyperlink>
      <w:r w:rsidR="00E4370A" w:rsidRPr="00F941F7">
        <w:t xml:space="preserve"> </w:t>
      </w:r>
      <w:r w:rsidR="009210DE">
        <w:t xml:space="preserve">submitted </w:t>
      </w:r>
      <w:r w:rsidR="00E4370A" w:rsidRPr="00F941F7">
        <w:t xml:space="preserve">the most </w:t>
      </w:r>
      <w:r w:rsidR="00EC052D">
        <w:t xml:space="preserve">with 8 </w:t>
      </w:r>
      <w:r w:rsidR="00E4370A" w:rsidRPr="00F941F7">
        <w:t xml:space="preserve">notifications, followed by the Highways Agency with 6, </w:t>
      </w:r>
      <w:hyperlink r:id="rId30" w:history="1">
        <w:r w:rsidR="00E4370A" w:rsidRPr="00933563">
          <w:rPr>
            <w:rStyle w:val="Hyperlink"/>
          </w:rPr>
          <w:t>DECC</w:t>
        </w:r>
      </w:hyperlink>
      <w:r w:rsidR="00E4370A" w:rsidRPr="00F941F7">
        <w:t xml:space="preserve"> and the </w:t>
      </w:r>
      <w:hyperlink r:id="rId31" w:history="1">
        <w:r w:rsidR="00E4370A" w:rsidRPr="007A408C">
          <w:rPr>
            <w:rStyle w:val="Hyperlink"/>
          </w:rPr>
          <w:t>Northern Ireland Office</w:t>
        </w:r>
      </w:hyperlink>
      <w:r w:rsidR="00E4370A" w:rsidRPr="00F941F7">
        <w:t xml:space="preserve"> with 4 and </w:t>
      </w:r>
      <w:hyperlink r:id="rId32" w:history="1">
        <w:r w:rsidR="00E4370A" w:rsidRPr="007A408C">
          <w:rPr>
            <w:rStyle w:val="Hyperlink"/>
          </w:rPr>
          <w:t>Ofcom</w:t>
        </w:r>
      </w:hyperlink>
      <w:r w:rsidR="00E4370A" w:rsidRPr="00F941F7">
        <w:t xml:space="preserve"> and </w:t>
      </w:r>
      <w:hyperlink r:id="rId33" w:history="1">
        <w:r w:rsidR="00E4370A" w:rsidRPr="007A408C">
          <w:rPr>
            <w:rStyle w:val="Hyperlink"/>
          </w:rPr>
          <w:t>DCMS</w:t>
        </w:r>
      </w:hyperlink>
      <w:r w:rsidR="00E4370A" w:rsidRPr="00F941F7">
        <w:t xml:space="preserve"> with 3</w:t>
      </w:r>
      <w:r w:rsidR="0099401C">
        <w:t xml:space="preserve"> notifications.  O</w:t>
      </w:r>
      <w:r w:rsidR="00E4370A" w:rsidRPr="00F941F7">
        <w:t xml:space="preserve">ther </w:t>
      </w:r>
      <w:r w:rsidR="0099401C">
        <w:t xml:space="preserve">UK </w:t>
      </w:r>
      <w:proofErr w:type="spellStart"/>
      <w:r w:rsidR="00E4370A" w:rsidRPr="00F941F7">
        <w:t>notifiers</w:t>
      </w:r>
      <w:proofErr w:type="spellEnd"/>
      <w:r w:rsidR="00E4370A" w:rsidRPr="00F941F7">
        <w:t xml:space="preserve"> were </w:t>
      </w:r>
      <w:r w:rsidR="0099401C">
        <w:t xml:space="preserve">the </w:t>
      </w:r>
      <w:hyperlink r:id="rId34" w:history="1">
        <w:r w:rsidR="00E4370A" w:rsidRPr="004547A4">
          <w:rPr>
            <w:rStyle w:val="Hyperlink"/>
          </w:rPr>
          <w:t>D</w:t>
        </w:r>
        <w:r w:rsidR="00EC052D" w:rsidRPr="004547A4">
          <w:rPr>
            <w:rStyle w:val="Hyperlink"/>
          </w:rPr>
          <w:t xml:space="preserve">epartment </w:t>
        </w:r>
        <w:r w:rsidR="00E4370A" w:rsidRPr="004547A4">
          <w:rPr>
            <w:rStyle w:val="Hyperlink"/>
          </w:rPr>
          <w:t>f</w:t>
        </w:r>
        <w:r w:rsidR="00EC052D" w:rsidRPr="004547A4">
          <w:rPr>
            <w:rStyle w:val="Hyperlink"/>
          </w:rPr>
          <w:t xml:space="preserve">or </w:t>
        </w:r>
        <w:r w:rsidR="00E4370A" w:rsidRPr="004547A4">
          <w:rPr>
            <w:rStyle w:val="Hyperlink"/>
          </w:rPr>
          <w:t>T</w:t>
        </w:r>
        <w:r w:rsidR="00EC052D" w:rsidRPr="004547A4">
          <w:rPr>
            <w:rStyle w:val="Hyperlink"/>
          </w:rPr>
          <w:t>ransport</w:t>
        </w:r>
      </w:hyperlink>
      <w:r w:rsidR="00E4370A" w:rsidRPr="00F941F7">
        <w:t xml:space="preserve">, </w:t>
      </w:r>
      <w:hyperlink r:id="rId35" w:history="1">
        <w:r w:rsidR="00E4370A" w:rsidRPr="00B958C1">
          <w:rPr>
            <w:rStyle w:val="Hyperlink"/>
          </w:rPr>
          <w:t>Scottish Office</w:t>
        </w:r>
      </w:hyperlink>
      <w:r w:rsidR="00E4370A" w:rsidRPr="00F941F7">
        <w:t xml:space="preserve">, </w:t>
      </w:r>
      <w:hyperlink r:id="rId36" w:history="1">
        <w:r w:rsidR="00E4370A" w:rsidRPr="00B958C1">
          <w:rPr>
            <w:rStyle w:val="Hyperlink"/>
          </w:rPr>
          <w:t>Welsh Office</w:t>
        </w:r>
      </w:hyperlink>
      <w:r w:rsidR="00E4370A" w:rsidRPr="00F941F7">
        <w:t xml:space="preserve">, </w:t>
      </w:r>
      <w:hyperlink r:id="rId37" w:history="1">
        <w:r w:rsidR="008D5767" w:rsidRPr="008D5767">
          <w:rPr>
            <w:rStyle w:val="Hyperlink"/>
          </w:rPr>
          <w:t xml:space="preserve">Medicines and Healthcare Products Regulatory Agency </w:t>
        </w:r>
        <w:r w:rsidR="0099401C" w:rsidRPr="008D5767">
          <w:rPr>
            <w:rStyle w:val="Hyperlink"/>
          </w:rPr>
          <w:t>(</w:t>
        </w:r>
        <w:r w:rsidR="00E4370A" w:rsidRPr="008D5767">
          <w:rPr>
            <w:rStyle w:val="Hyperlink"/>
          </w:rPr>
          <w:t>MHRA</w:t>
        </w:r>
        <w:r w:rsidR="0099401C" w:rsidRPr="008D5767">
          <w:rPr>
            <w:rStyle w:val="Hyperlink"/>
          </w:rPr>
          <w:t>)</w:t>
        </w:r>
      </w:hyperlink>
      <w:r w:rsidR="00E4370A" w:rsidRPr="00F941F7">
        <w:t xml:space="preserve"> and the </w:t>
      </w:r>
      <w:hyperlink r:id="rId38" w:history="1">
        <w:r w:rsidR="00E4370A" w:rsidRPr="005359CD">
          <w:rPr>
            <w:rStyle w:val="Hyperlink"/>
          </w:rPr>
          <w:t>Marine Management Organisation (MMO)</w:t>
        </w:r>
      </w:hyperlink>
      <w:r w:rsidR="00E4370A" w:rsidRPr="00F941F7">
        <w:t xml:space="preserve">. </w:t>
      </w:r>
    </w:p>
    <w:p w:rsidR="00E4370A" w:rsidRPr="00EC052D" w:rsidRDefault="00E4370A" w:rsidP="001E7AC0">
      <w:pPr>
        <w:numPr>
          <w:ilvl w:val="0"/>
          <w:numId w:val="18"/>
        </w:numPr>
        <w:spacing w:before="100" w:beforeAutospacing="1" w:after="100" w:afterAutospacing="1"/>
        <w:rPr>
          <w:lang w:val="en"/>
        </w:rPr>
      </w:pPr>
      <w:r>
        <w:t>UK notifications</w:t>
      </w:r>
      <w:r w:rsidR="00EC052D">
        <w:t xml:space="preserve"> included proposals on</w:t>
      </w:r>
      <w:r>
        <w:t>:</w:t>
      </w:r>
    </w:p>
    <w:p w:rsidR="00E4370A" w:rsidRDefault="00E4370A" w:rsidP="001E7AC0">
      <w:pPr>
        <w:numPr>
          <w:ilvl w:val="0"/>
          <w:numId w:val="14"/>
        </w:numPr>
        <w:spacing w:after="0"/>
      </w:pPr>
      <w:r>
        <w:t>Smart metering</w:t>
      </w:r>
    </w:p>
    <w:p w:rsidR="0004001C" w:rsidRDefault="0004001C" w:rsidP="001E7AC0">
      <w:pPr>
        <w:spacing w:after="0"/>
      </w:pPr>
    </w:p>
    <w:p w:rsidR="00E4370A" w:rsidRDefault="00E4370A" w:rsidP="001E7AC0">
      <w:pPr>
        <w:numPr>
          <w:ilvl w:val="0"/>
          <w:numId w:val="14"/>
        </w:numPr>
        <w:spacing w:after="0"/>
      </w:pPr>
      <w:r>
        <w:t>Building Regulations</w:t>
      </w:r>
    </w:p>
    <w:p w:rsidR="0004001C" w:rsidRDefault="0004001C" w:rsidP="001E7AC0">
      <w:pPr>
        <w:spacing w:after="0"/>
      </w:pPr>
    </w:p>
    <w:p w:rsidR="00E4370A" w:rsidRDefault="00E4370A" w:rsidP="001E7AC0">
      <w:pPr>
        <w:numPr>
          <w:ilvl w:val="0"/>
          <w:numId w:val="14"/>
        </w:numPr>
        <w:spacing w:after="0"/>
      </w:pPr>
      <w:r>
        <w:t>Highways structures (steel &amp; concrete)</w:t>
      </w:r>
    </w:p>
    <w:p w:rsidR="0004001C" w:rsidRDefault="0004001C" w:rsidP="001E7AC0">
      <w:pPr>
        <w:spacing w:after="0"/>
      </w:pPr>
    </w:p>
    <w:p w:rsidR="00E4370A" w:rsidRDefault="00E4370A" w:rsidP="001E7AC0">
      <w:pPr>
        <w:numPr>
          <w:ilvl w:val="0"/>
          <w:numId w:val="14"/>
        </w:numPr>
        <w:spacing w:after="0"/>
      </w:pPr>
      <w:r>
        <w:t>Gambling Bill</w:t>
      </w:r>
    </w:p>
    <w:p w:rsidR="0004001C" w:rsidRDefault="0004001C" w:rsidP="001E7AC0">
      <w:pPr>
        <w:spacing w:after="0"/>
      </w:pPr>
    </w:p>
    <w:p w:rsidR="00E4370A" w:rsidRDefault="00E4370A" w:rsidP="001E7AC0">
      <w:pPr>
        <w:numPr>
          <w:ilvl w:val="0"/>
          <w:numId w:val="14"/>
        </w:numPr>
        <w:spacing w:after="0"/>
      </w:pPr>
      <w:r>
        <w:t>Carrier bag charges</w:t>
      </w:r>
    </w:p>
    <w:p w:rsidR="0004001C" w:rsidRDefault="0004001C" w:rsidP="001E7AC0">
      <w:pPr>
        <w:spacing w:after="0"/>
      </w:pPr>
    </w:p>
    <w:p w:rsidR="00E4370A" w:rsidRDefault="00E4370A" w:rsidP="001E7AC0">
      <w:pPr>
        <w:numPr>
          <w:ilvl w:val="0"/>
          <w:numId w:val="14"/>
        </w:numPr>
        <w:spacing w:after="0"/>
      </w:pPr>
      <w:r>
        <w:t>Food Hygiene/packaging</w:t>
      </w:r>
    </w:p>
    <w:p w:rsidR="0004001C" w:rsidRDefault="0004001C" w:rsidP="001E7AC0">
      <w:pPr>
        <w:spacing w:after="0"/>
      </w:pPr>
    </w:p>
    <w:p w:rsidR="00E4370A" w:rsidRDefault="00E4370A" w:rsidP="001E7AC0">
      <w:pPr>
        <w:numPr>
          <w:ilvl w:val="0"/>
          <w:numId w:val="14"/>
        </w:numPr>
        <w:spacing w:after="0"/>
      </w:pPr>
      <w:r>
        <w:t>Waste Criteria (biodiesel from fat and oil</w:t>
      </w:r>
      <w:r w:rsidR="00EC052D">
        <w:t>)</w:t>
      </w:r>
    </w:p>
    <w:p w:rsidR="0004001C" w:rsidRDefault="0004001C" w:rsidP="001E7AC0">
      <w:pPr>
        <w:spacing w:after="0"/>
      </w:pPr>
    </w:p>
    <w:p w:rsidR="00E4370A" w:rsidRDefault="00E4370A" w:rsidP="001E7AC0">
      <w:pPr>
        <w:numPr>
          <w:ilvl w:val="0"/>
          <w:numId w:val="14"/>
        </w:numPr>
        <w:spacing w:after="0"/>
      </w:pPr>
      <w:r>
        <w:t>R</w:t>
      </w:r>
      <w:r w:rsidRPr="00BF543F">
        <w:t>ecycled gypsum</w:t>
      </w:r>
    </w:p>
    <w:p w:rsidR="0004001C" w:rsidRDefault="0004001C" w:rsidP="001E7AC0">
      <w:pPr>
        <w:spacing w:before="100" w:beforeAutospacing="1" w:after="100" w:afterAutospacing="1"/>
        <w:rPr>
          <w:lang w:val="en"/>
        </w:rPr>
      </w:pPr>
    </w:p>
    <w:p w:rsidR="00CA012D" w:rsidRDefault="00E4370A" w:rsidP="001E7AC0">
      <w:pPr>
        <w:numPr>
          <w:ilvl w:val="0"/>
          <w:numId w:val="18"/>
        </w:numPr>
        <w:spacing w:before="100" w:beforeAutospacing="1" w:after="100" w:afterAutospacing="1"/>
      </w:pPr>
      <w:r>
        <w:rPr>
          <w:lang w:val="en"/>
        </w:rPr>
        <w:t>The UK received one Detailed Opinion</w:t>
      </w:r>
      <w:r w:rsidR="009210DE">
        <w:rPr>
          <w:lang w:val="en"/>
        </w:rPr>
        <w:t xml:space="preserve"> that was </w:t>
      </w:r>
      <w:r w:rsidR="0099401C">
        <w:rPr>
          <w:lang w:val="en"/>
        </w:rPr>
        <w:t>on a DEFRA notification</w:t>
      </w:r>
      <w:r>
        <w:rPr>
          <w:lang w:val="en"/>
        </w:rPr>
        <w:t xml:space="preserve"> </w:t>
      </w:r>
      <w:bookmarkStart w:id="14" w:name="OLE_LINK92"/>
      <w:bookmarkStart w:id="15" w:name="OLE_LINK93"/>
      <w:r>
        <w:rPr>
          <w:lang w:val="en"/>
        </w:rPr>
        <w:t>‘</w:t>
      </w:r>
      <w:r w:rsidRPr="00BF543F">
        <w:t>End of Waste Criteria for recycled gypsum</w:t>
      </w:r>
      <w:bookmarkEnd w:id="14"/>
      <w:bookmarkEnd w:id="15"/>
      <w:r>
        <w:t xml:space="preserve"> (2013/0207)</w:t>
      </w:r>
      <w:r w:rsidR="00EC052D">
        <w:t xml:space="preserve"> </w:t>
      </w:r>
      <w:r>
        <w:t>UK</w:t>
      </w:r>
      <w:r w:rsidR="00EC052D">
        <w:t xml:space="preserve">’.  DEFRA </w:t>
      </w:r>
      <w:r>
        <w:t>provided the reply to this and the Commission responded by informing DEFRA that they were conte</w:t>
      </w:r>
      <w:r w:rsidR="00EC052D">
        <w:t xml:space="preserve">nt with their response.  </w:t>
      </w:r>
    </w:p>
    <w:p w:rsidR="002800BB" w:rsidRDefault="002800BB" w:rsidP="002800BB">
      <w:pPr>
        <w:spacing w:before="100" w:beforeAutospacing="1" w:after="100" w:afterAutospacing="1"/>
        <w:ind w:left="720"/>
      </w:pPr>
    </w:p>
    <w:p w:rsidR="00E4370A" w:rsidRDefault="00EC052D" w:rsidP="001E7AC0">
      <w:pPr>
        <w:numPr>
          <w:ilvl w:val="0"/>
          <w:numId w:val="18"/>
        </w:numPr>
        <w:spacing w:before="100" w:beforeAutospacing="1" w:after="100" w:afterAutospacing="1"/>
      </w:pPr>
      <w:r>
        <w:t xml:space="preserve">The 4 comments received by the UK </w:t>
      </w:r>
      <w:r w:rsidR="00FB07C8">
        <w:t xml:space="preserve">from other Member States </w:t>
      </w:r>
      <w:r>
        <w:t>were on</w:t>
      </w:r>
      <w:r w:rsidR="00E4370A">
        <w:t>:</w:t>
      </w:r>
    </w:p>
    <w:p w:rsidR="0004001C" w:rsidRDefault="0004001C" w:rsidP="001E7AC0">
      <w:pPr>
        <w:spacing w:after="0"/>
      </w:pPr>
    </w:p>
    <w:p w:rsidR="0004001C" w:rsidRDefault="00E4370A" w:rsidP="0076262B">
      <w:pPr>
        <w:numPr>
          <w:ilvl w:val="0"/>
          <w:numId w:val="15"/>
        </w:numPr>
        <w:spacing w:after="0"/>
      </w:pPr>
      <w:r>
        <w:t>Food Hygiene in Wales</w:t>
      </w:r>
    </w:p>
    <w:p w:rsidR="0076262B" w:rsidRDefault="0076262B" w:rsidP="0076262B">
      <w:pPr>
        <w:spacing w:after="0"/>
        <w:ind w:left="720"/>
      </w:pPr>
    </w:p>
    <w:p w:rsidR="00E4370A" w:rsidRDefault="00E4370A" w:rsidP="0076262B">
      <w:pPr>
        <w:numPr>
          <w:ilvl w:val="0"/>
          <w:numId w:val="15"/>
        </w:numPr>
        <w:spacing w:after="0"/>
      </w:pPr>
      <w:r>
        <w:t>Weights and Measure (up-wrapped bread &amp; intoxicating liquors) Northern Ireland</w:t>
      </w:r>
    </w:p>
    <w:p w:rsidR="0004001C" w:rsidRDefault="0004001C" w:rsidP="0076262B">
      <w:pPr>
        <w:spacing w:after="0"/>
        <w:ind w:hanging="360"/>
      </w:pPr>
    </w:p>
    <w:p w:rsidR="00E4370A" w:rsidRDefault="00E4370A" w:rsidP="0076262B">
      <w:pPr>
        <w:numPr>
          <w:ilvl w:val="0"/>
          <w:numId w:val="15"/>
        </w:numPr>
        <w:spacing w:after="0"/>
      </w:pPr>
      <w:r>
        <w:t>Gambling (Licensing &amp; Advertising) Bill</w:t>
      </w:r>
    </w:p>
    <w:p w:rsidR="0004001C" w:rsidRDefault="0004001C" w:rsidP="0076262B">
      <w:pPr>
        <w:spacing w:after="0"/>
        <w:ind w:hanging="360"/>
      </w:pPr>
    </w:p>
    <w:p w:rsidR="00E4370A" w:rsidRDefault="00E4370A" w:rsidP="0076262B">
      <w:pPr>
        <w:numPr>
          <w:ilvl w:val="0"/>
          <w:numId w:val="15"/>
        </w:numPr>
        <w:spacing w:after="0"/>
      </w:pPr>
      <w:r>
        <w:t xml:space="preserve">Corrosion protection of steelworks used in construction of steel highways structures </w:t>
      </w:r>
    </w:p>
    <w:p w:rsidR="00EC052D" w:rsidRPr="0004001C" w:rsidRDefault="00EC052D" w:rsidP="001E7AC0">
      <w:pPr>
        <w:pStyle w:val="Header"/>
        <w:tabs>
          <w:tab w:val="clear" w:pos="4513"/>
          <w:tab w:val="clear" w:pos="9026"/>
        </w:tabs>
        <w:spacing w:before="100" w:beforeAutospacing="1" w:after="100" w:afterAutospacing="1"/>
        <w:rPr>
          <w:lang w:val="en"/>
        </w:rPr>
      </w:pPr>
    </w:p>
    <w:p w:rsidR="00E4370A" w:rsidRDefault="00E4370A" w:rsidP="001E7AC0">
      <w:pPr>
        <w:numPr>
          <w:ilvl w:val="0"/>
          <w:numId w:val="18"/>
        </w:numPr>
        <w:spacing w:before="100" w:beforeAutospacing="1" w:after="100" w:afterAutospacing="1"/>
        <w:rPr>
          <w:lang w:val="en"/>
        </w:rPr>
      </w:pPr>
      <w:r>
        <w:rPr>
          <w:lang w:val="en"/>
        </w:rPr>
        <w:t xml:space="preserve">The UK </w:t>
      </w:r>
      <w:r w:rsidR="00EC052D">
        <w:rPr>
          <w:lang w:val="en"/>
        </w:rPr>
        <w:t xml:space="preserve">also </w:t>
      </w:r>
      <w:r>
        <w:rPr>
          <w:lang w:val="en"/>
        </w:rPr>
        <w:t xml:space="preserve">submitted </w:t>
      </w:r>
      <w:r w:rsidR="00EC052D" w:rsidRPr="00B97239">
        <w:rPr>
          <w:lang w:val="en"/>
        </w:rPr>
        <w:t xml:space="preserve">8 </w:t>
      </w:r>
      <w:r w:rsidR="00EC052D">
        <w:rPr>
          <w:lang w:val="en"/>
        </w:rPr>
        <w:t xml:space="preserve">Comments and 4 Detailed Opinions on </w:t>
      </w:r>
      <w:r>
        <w:rPr>
          <w:lang w:val="en"/>
        </w:rPr>
        <w:t>other Member States</w:t>
      </w:r>
      <w:r w:rsidR="00EC052D">
        <w:rPr>
          <w:lang w:val="en"/>
        </w:rPr>
        <w:t xml:space="preserve">’ notifications.  </w:t>
      </w:r>
      <w:r>
        <w:rPr>
          <w:lang w:val="en"/>
        </w:rPr>
        <w:t>Detailed Opinions submitted by the UK</w:t>
      </w:r>
      <w:r w:rsidR="00EC052D">
        <w:rPr>
          <w:lang w:val="en"/>
        </w:rPr>
        <w:t xml:space="preserve"> concerned</w:t>
      </w:r>
      <w:r>
        <w:rPr>
          <w:lang w:val="en"/>
        </w:rPr>
        <w:t xml:space="preserve">: </w:t>
      </w:r>
    </w:p>
    <w:p w:rsidR="0076262B" w:rsidRDefault="00EC052D" w:rsidP="001E7AC0">
      <w:pPr>
        <w:numPr>
          <w:ilvl w:val="0"/>
          <w:numId w:val="10"/>
        </w:numPr>
        <w:spacing w:before="100" w:beforeAutospacing="1" w:after="100" w:afterAutospacing="1"/>
        <w:rPr>
          <w:lang w:val="en"/>
        </w:rPr>
      </w:pPr>
      <w:r>
        <w:rPr>
          <w:lang w:val="en"/>
        </w:rPr>
        <w:t>Non alcoholic beverages</w:t>
      </w:r>
    </w:p>
    <w:p w:rsidR="00E4370A" w:rsidRDefault="00E4370A" w:rsidP="001E7AC0">
      <w:pPr>
        <w:numPr>
          <w:ilvl w:val="0"/>
          <w:numId w:val="10"/>
        </w:numPr>
        <w:spacing w:before="100" w:beforeAutospacing="1" w:after="100" w:afterAutospacing="1"/>
        <w:rPr>
          <w:lang w:val="en"/>
        </w:rPr>
      </w:pPr>
      <w:r>
        <w:rPr>
          <w:lang w:val="en"/>
        </w:rPr>
        <w:t>Food in schools</w:t>
      </w:r>
    </w:p>
    <w:p w:rsidR="00E4370A" w:rsidRDefault="00E4370A" w:rsidP="001E7AC0">
      <w:pPr>
        <w:numPr>
          <w:ilvl w:val="0"/>
          <w:numId w:val="10"/>
        </w:numPr>
        <w:spacing w:before="100" w:beforeAutospacing="1" w:after="100" w:afterAutospacing="1"/>
        <w:rPr>
          <w:lang w:val="en"/>
        </w:rPr>
      </w:pPr>
      <w:r>
        <w:rPr>
          <w:lang w:val="en"/>
        </w:rPr>
        <w:t>Shopping bags, packaging and waste</w:t>
      </w:r>
    </w:p>
    <w:p w:rsidR="0004001C" w:rsidRDefault="00E4370A" w:rsidP="001E7AC0">
      <w:pPr>
        <w:numPr>
          <w:ilvl w:val="0"/>
          <w:numId w:val="10"/>
        </w:numPr>
        <w:spacing w:before="100" w:beforeAutospacing="1" w:after="100" w:afterAutospacing="1"/>
        <w:rPr>
          <w:lang w:val="en"/>
        </w:rPr>
      </w:pPr>
      <w:r>
        <w:rPr>
          <w:lang w:val="en"/>
        </w:rPr>
        <w:t>Packaging containing Bisphenol A intended to enter contact with foodstuffs and children under 3</w:t>
      </w:r>
      <w:r w:rsidR="0004001C">
        <w:rPr>
          <w:lang w:val="en"/>
        </w:rPr>
        <w:t>.</w:t>
      </w:r>
    </w:p>
    <w:p w:rsidR="00E4370A" w:rsidRDefault="00E4370A" w:rsidP="001E7AC0">
      <w:pPr>
        <w:numPr>
          <w:ilvl w:val="0"/>
          <w:numId w:val="18"/>
        </w:numPr>
        <w:spacing w:before="100" w:beforeAutospacing="1" w:after="100" w:afterAutospacing="1"/>
        <w:rPr>
          <w:lang w:val="en"/>
        </w:rPr>
      </w:pPr>
      <w:r>
        <w:rPr>
          <w:lang w:val="en"/>
        </w:rPr>
        <w:t xml:space="preserve">Comments </w:t>
      </w:r>
      <w:r w:rsidR="00EC052D">
        <w:rPr>
          <w:lang w:val="en"/>
        </w:rPr>
        <w:t>submitted by the UK concerned</w:t>
      </w:r>
      <w:r>
        <w:rPr>
          <w:lang w:val="en"/>
        </w:rPr>
        <w:t>:</w:t>
      </w:r>
    </w:p>
    <w:p w:rsidR="00E4370A" w:rsidRDefault="00E4370A" w:rsidP="001E7AC0">
      <w:pPr>
        <w:numPr>
          <w:ilvl w:val="0"/>
          <w:numId w:val="11"/>
        </w:numPr>
        <w:spacing w:before="100" w:beforeAutospacing="1" w:after="100" w:afterAutospacing="1"/>
        <w:rPr>
          <w:lang w:val="en"/>
        </w:rPr>
      </w:pPr>
      <w:r>
        <w:rPr>
          <w:lang w:val="en"/>
        </w:rPr>
        <w:t>Ethanol in alcoholic preparations</w:t>
      </w:r>
    </w:p>
    <w:p w:rsidR="00E4370A" w:rsidRDefault="00E4370A" w:rsidP="001E7AC0">
      <w:pPr>
        <w:numPr>
          <w:ilvl w:val="0"/>
          <w:numId w:val="11"/>
        </w:numPr>
        <w:spacing w:before="100" w:beforeAutospacing="1" w:after="100" w:afterAutospacing="1"/>
        <w:rPr>
          <w:lang w:val="en"/>
        </w:rPr>
      </w:pPr>
      <w:r>
        <w:rPr>
          <w:lang w:val="en"/>
        </w:rPr>
        <w:t>Energy drinks</w:t>
      </w:r>
    </w:p>
    <w:p w:rsidR="00E4370A" w:rsidRDefault="00E4370A" w:rsidP="001E7AC0">
      <w:pPr>
        <w:numPr>
          <w:ilvl w:val="0"/>
          <w:numId w:val="11"/>
        </w:numPr>
        <w:spacing w:before="100" w:beforeAutospacing="1" w:after="100" w:afterAutospacing="1"/>
        <w:rPr>
          <w:lang w:val="en"/>
        </w:rPr>
      </w:pPr>
      <w:r>
        <w:rPr>
          <w:lang w:val="en"/>
        </w:rPr>
        <w:t>Advertisements of energy drinks</w:t>
      </w:r>
    </w:p>
    <w:p w:rsidR="00E4370A" w:rsidRDefault="00E4370A" w:rsidP="001E7AC0">
      <w:pPr>
        <w:numPr>
          <w:ilvl w:val="0"/>
          <w:numId w:val="11"/>
        </w:numPr>
        <w:spacing w:before="100" w:beforeAutospacing="1" w:after="100" w:afterAutospacing="1"/>
        <w:rPr>
          <w:lang w:val="en"/>
        </w:rPr>
      </w:pPr>
      <w:r>
        <w:rPr>
          <w:lang w:val="en"/>
        </w:rPr>
        <w:t>Contaminants in food</w:t>
      </w:r>
    </w:p>
    <w:p w:rsidR="00E4370A" w:rsidRDefault="00E4370A" w:rsidP="001E7AC0">
      <w:pPr>
        <w:numPr>
          <w:ilvl w:val="0"/>
          <w:numId w:val="11"/>
        </w:numPr>
        <w:spacing w:before="100" w:beforeAutospacing="1" w:after="100" w:afterAutospacing="1"/>
        <w:rPr>
          <w:lang w:val="en"/>
        </w:rPr>
      </w:pPr>
      <w:r>
        <w:rPr>
          <w:lang w:val="en"/>
        </w:rPr>
        <w:t>Substances manufactured at nanoscale</w:t>
      </w:r>
    </w:p>
    <w:p w:rsidR="00E4370A" w:rsidRDefault="00E4370A" w:rsidP="001E7AC0">
      <w:pPr>
        <w:numPr>
          <w:ilvl w:val="0"/>
          <w:numId w:val="11"/>
        </w:numPr>
        <w:spacing w:before="100" w:beforeAutospacing="1" w:after="100" w:afterAutospacing="1"/>
        <w:rPr>
          <w:lang w:val="en"/>
        </w:rPr>
      </w:pPr>
      <w:r>
        <w:rPr>
          <w:lang w:val="en"/>
        </w:rPr>
        <w:t>Law on energy drinks</w:t>
      </w:r>
    </w:p>
    <w:p w:rsidR="00E4370A" w:rsidRDefault="00E4370A" w:rsidP="001E7AC0">
      <w:pPr>
        <w:numPr>
          <w:ilvl w:val="0"/>
          <w:numId w:val="11"/>
        </w:numPr>
        <w:spacing w:before="100" w:beforeAutospacing="1" w:after="100" w:afterAutospacing="1"/>
        <w:rPr>
          <w:lang w:val="en"/>
        </w:rPr>
      </w:pPr>
      <w:r>
        <w:rPr>
          <w:lang w:val="en"/>
        </w:rPr>
        <w:t xml:space="preserve">Construction products - </w:t>
      </w:r>
      <w:r w:rsidRPr="00B97239">
        <w:rPr>
          <w:lang w:val="en"/>
        </w:rPr>
        <w:t>emissions to the indoor environment</w:t>
      </w:r>
    </w:p>
    <w:p w:rsidR="00E4370A" w:rsidRDefault="00E4370A" w:rsidP="001E7AC0">
      <w:pPr>
        <w:numPr>
          <w:ilvl w:val="0"/>
          <w:numId w:val="11"/>
        </w:numPr>
        <w:spacing w:before="100" w:beforeAutospacing="1" w:after="100" w:afterAutospacing="1"/>
        <w:rPr>
          <w:lang w:val="en"/>
        </w:rPr>
      </w:pPr>
      <w:r w:rsidRPr="00055A40">
        <w:rPr>
          <w:lang w:val="en"/>
        </w:rPr>
        <w:t>All construction products with an environmental message</w:t>
      </w:r>
    </w:p>
    <w:p w:rsidR="008E5F5F" w:rsidRDefault="008E5F5F" w:rsidP="001E7AC0">
      <w:pPr>
        <w:pStyle w:val="Documenttitle"/>
        <w:spacing w:before="100" w:beforeAutospacing="1" w:after="100" w:afterAutospacing="1" w:line="240" w:lineRule="auto"/>
        <w:rPr>
          <w:caps w:val="0"/>
        </w:rPr>
      </w:pPr>
    </w:p>
    <w:p w:rsidR="00E4370A" w:rsidRPr="00FB07C8" w:rsidRDefault="00E4370A" w:rsidP="0076262B">
      <w:pPr>
        <w:pStyle w:val="Heading2"/>
      </w:pPr>
      <w:r w:rsidRPr="00FB07C8">
        <w:t>Number of notifica</w:t>
      </w:r>
      <w:r w:rsidR="00FB07C8" w:rsidRPr="00FB07C8">
        <w:t>tions submitted by each Member S</w:t>
      </w:r>
      <w:r w:rsidRPr="00FB07C8">
        <w:t xml:space="preserve">tate </w:t>
      </w:r>
      <w:r w:rsidR="00FB07C8" w:rsidRPr="00FB07C8">
        <w:t>(including EFTA):</w:t>
      </w:r>
    </w:p>
    <w:p w:rsidR="00FB07C8" w:rsidRDefault="00E4370A" w:rsidP="001E7AC0">
      <w:pPr>
        <w:numPr>
          <w:ilvl w:val="0"/>
          <w:numId w:val="18"/>
        </w:numPr>
        <w:spacing w:before="100" w:beforeAutospacing="1" w:after="100" w:afterAutospacing="1"/>
      </w:pPr>
      <w:r>
        <w:t xml:space="preserve">In 2013 there were </w:t>
      </w:r>
      <w:r w:rsidR="0004001C">
        <w:t xml:space="preserve">718 Member </w:t>
      </w:r>
      <w:r w:rsidR="007E2FC0">
        <w:t>S</w:t>
      </w:r>
      <w:r w:rsidR="0004001C">
        <w:t>tate notifications:</w:t>
      </w:r>
    </w:p>
    <w:p w:rsidR="0004001C" w:rsidRDefault="0004001C" w:rsidP="001E7AC0">
      <w:pPr>
        <w:spacing w:after="0"/>
        <w:ind w:left="360"/>
      </w:pPr>
    </w:p>
    <w:p w:rsidR="00E4370A" w:rsidRDefault="00E4370A" w:rsidP="001E7AC0">
      <w:pPr>
        <w:numPr>
          <w:ilvl w:val="0"/>
          <w:numId w:val="12"/>
        </w:numPr>
        <w:spacing w:after="0"/>
      </w:pPr>
      <w:r>
        <w:t>Germany, France, Austria, Spain and the UK</w:t>
      </w:r>
      <w:r w:rsidR="00EC052D">
        <w:t xml:space="preserve"> were </w:t>
      </w:r>
      <w:r>
        <w:t>the highest notifiers</w:t>
      </w:r>
    </w:p>
    <w:p w:rsidR="0004001C" w:rsidRDefault="0004001C" w:rsidP="001E7AC0">
      <w:pPr>
        <w:spacing w:after="0"/>
        <w:ind w:left="360"/>
      </w:pPr>
    </w:p>
    <w:p w:rsidR="00E4370A" w:rsidRDefault="00E4370A" w:rsidP="001E7AC0">
      <w:pPr>
        <w:numPr>
          <w:ilvl w:val="0"/>
          <w:numId w:val="12"/>
        </w:numPr>
        <w:spacing w:after="0"/>
      </w:pPr>
      <w:r>
        <w:t>Turkey and Croatia notified for the first time</w:t>
      </w:r>
    </w:p>
    <w:p w:rsidR="0004001C" w:rsidRPr="0004001C" w:rsidRDefault="0004001C" w:rsidP="001E7AC0">
      <w:pPr>
        <w:spacing w:after="0"/>
        <w:ind w:left="360"/>
        <w:rPr>
          <w:rFonts w:cs="Arial"/>
        </w:rPr>
      </w:pPr>
    </w:p>
    <w:p w:rsidR="00E4370A" w:rsidRDefault="00EC052D" w:rsidP="001E7AC0">
      <w:pPr>
        <w:numPr>
          <w:ilvl w:val="0"/>
          <w:numId w:val="12"/>
        </w:numPr>
        <w:spacing w:after="0"/>
        <w:rPr>
          <w:rFonts w:cs="Arial"/>
        </w:rPr>
      </w:pPr>
      <w:r>
        <w:t>T</w:t>
      </w:r>
      <w:r w:rsidR="00E4370A">
        <w:t xml:space="preserve">here were </w:t>
      </w:r>
      <w:r w:rsidR="007E2FC0">
        <w:t>more than</w:t>
      </w:r>
      <w:r w:rsidR="00E4370A">
        <w:t xml:space="preserve"> 160,000 searches on the TRIS database</w:t>
      </w:r>
      <w:r w:rsidR="00FB07C8">
        <w:rPr>
          <w:rFonts w:cs="Arial"/>
          <w:lang w:val="en"/>
        </w:rPr>
        <w:t xml:space="preserve">: </w:t>
      </w:r>
      <w:hyperlink r:id="rId39" w:history="1">
        <w:r w:rsidR="00E4370A" w:rsidRPr="00161E8C">
          <w:rPr>
            <w:rFonts w:cs="Arial"/>
            <w:color w:val="0000FF"/>
            <w:u w:val="single"/>
          </w:rPr>
          <w:t>http://ec.europa.eu/enterprise/tris/index_en.htm</w:t>
        </w:r>
      </w:hyperlink>
    </w:p>
    <w:p w:rsidR="005354CF" w:rsidRDefault="005354CF" w:rsidP="001E7AC0">
      <w:pPr>
        <w:rPr>
          <w:rFonts w:cs="Arial"/>
        </w:rPr>
      </w:pPr>
    </w:p>
    <w:p w:rsidR="005354CF" w:rsidRDefault="005354CF" w:rsidP="001E7AC0">
      <w:pPr>
        <w:rPr>
          <w:rFonts w:cs="Arial"/>
          <w:b/>
        </w:rPr>
      </w:pPr>
    </w:p>
    <w:p w:rsidR="00E4370A" w:rsidRPr="00715067" w:rsidRDefault="00715067" w:rsidP="0076262B">
      <w:pPr>
        <w:pStyle w:val="Heading3"/>
      </w:pPr>
      <w:r w:rsidRPr="00715067">
        <w:t xml:space="preserve">Member State Notifications 2013 </w:t>
      </w:r>
    </w:p>
    <w:tbl>
      <w:tblPr>
        <w:tblW w:w="6364" w:type="dxa"/>
        <w:tblBorders>
          <w:top w:val="single" w:sz="6" w:space="0" w:color="000000"/>
          <w:left w:val="single" w:sz="6" w:space="0" w:color="000000"/>
          <w:bottom w:val="single" w:sz="6" w:space="0" w:color="000000"/>
          <w:right w:val="single" w:sz="6" w:space="0" w:color="000000"/>
          <w:insideH w:val="single" w:sz="6" w:space="0" w:color="000000"/>
        </w:tblBorders>
        <w:tblLook w:val="0000" w:firstRow="0" w:lastRow="0" w:firstColumn="0" w:lastColumn="0" w:noHBand="0" w:noVBand="0"/>
      </w:tblPr>
      <w:tblGrid>
        <w:gridCol w:w="2530"/>
        <w:gridCol w:w="750"/>
        <w:gridCol w:w="2334"/>
        <w:gridCol w:w="750"/>
      </w:tblGrid>
      <w:tr w:rsidR="00E4370A" w:rsidRPr="000F57FF" w:rsidTr="00564B29">
        <w:trPr>
          <w:trHeight w:val="345"/>
          <w:tblHeader/>
        </w:trPr>
        <w:tc>
          <w:tcPr>
            <w:tcW w:w="2675" w:type="dxa"/>
            <w:shd w:val="clear" w:color="auto" w:fill="auto"/>
          </w:tcPr>
          <w:p w:rsidR="00E4370A" w:rsidRPr="000F57FF" w:rsidRDefault="005354CF" w:rsidP="001E7AC0">
            <w:r w:rsidRPr="00564B29">
              <w:rPr>
                <w:b/>
                <w:bCs/>
              </w:rPr>
              <w:t>Member State</w:t>
            </w:r>
          </w:p>
        </w:tc>
        <w:tc>
          <w:tcPr>
            <w:tcW w:w="599" w:type="dxa"/>
            <w:tcBorders>
              <w:right w:val="single" w:sz="6" w:space="0" w:color="000000"/>
            </w:tcBorders>
            <w:shd w:val="clear" w:color="auto" w:fill="auto"/>
          </w:tcPr>
          <w:p w:rsidR="00E4370A" w:rsidRPr="000F57FF" w:rsidRDefault="005354CF" w:rsidP="001E7AC0">
            <w:r w:rsidRPr="00564B29">
              <w:rPr>
                <w:b/>
                <w:bCs/>
              </w:rPr>
              <w:t>2013</w:t>
            </w:r>
          </w:p>
        </w:tc>
        <w:tc>
          <w:tcPr>
            <w:tcW w:w="2476" w:type="dxa"/>
            <w:tcBorders>
              <w:left w:val="single" w:sz="6" w:space="0" w:color="000000"/>
            </w:tcBorders>
            <w:shd w:val="clear" w:color="auto" w:fill="auto"/>
          </w:tcPr>
          <w:p w:rsidR="00E4370A" w:rsidRPr="000F57FF" w:rsidRDefault="005354CF" w:rsidP="001E7AC0">
            <w:r w:rsidRPr="00564B29">
              <w:rPr>
                <w:b/>
                <w:bCs/>
              </w:rPr>
              <w:t>Member State</w:t>
            </w:r>
          </w:p>
        </w:tc>
        <w:tc>
          <w:tcPr>
            <w:tcW w:w="614" w:type="dxa"/>
            <w:shd w:val="clear" w:color="auto" w:fill="auto"/>
          </w:tcPr>
          <w:p w:rsidR="00E4370A" w:rsidRPr="000F57FF" w:rsidRDefault="00E4370A" w:rsidP="001E7AC0">
            <w:r w:rsidRPr="00564B29">
              <w:rPr>
                <w:b/>
                <w:bCs/>
              </w:rPr>
              <w:t>2013</w:t>
            </w:r>
          </w:p>
        </w:tc>
      </w:tr>
      <w:tr w:rsidR="00E4370A" w:rsidRPr="000F57FF" w:rsidTr="00564B29">
        <w:trPr>
          <w:trHeight w:val="345"/>
        </w:trPr>
        <w:tc>
          <w:tcPr>
            <w:tcW w:w="2675" w:type="dxa"/>
            <w:shd w:val="clear" w:color="auto" w:fill="auto"/>
          </w:tcPr>
          <w:p w:rsidR="00E4370A" w:rsidRPr="000F57FF" w:rsidRDefault="00E4370A" w:rsidP="001E7AC0">
            <w:r>
              <w:t>Austria</w:t>
            </w:r>
          </w:p>
        </w:tc>
        <w:tc>
          <w:tcPr>
            <w:tcW w:w="599" w:type="dxa"/>
            <w:tcBorders>
              <w:right w:val="single" w:sz="6" w:space="0" w:color="000000"/>
            </w:tcBorders>
            <w:shd w:val="clear" w:color="auto" w:fill="auto"/>
          </w:tcPr>
          <w:p w:rsidR="00E4370A" w:rsidRPr="000F57FF" w:rsidRDefault="00E4370A" w:rsidP="001E7AC0">
            <w:r>
              <w:t>63</w:t>
            </w:r>
          </w:p>
        </w:tc>
        <w:tc>
          <w:tcPr>
            <w:tcW w:w="2476" w:type="dxa"/>
            <w:tcBorders>
              <w:left w:val="single" w:sz="6" w:space="0" w:color="000000"/>
            </w:tcBorders>
            <w:shd w:val="clear" w:color="auto" w:fill="auto"/>
          </w:tcPr>
          <w:p w:rsidR="00E4370A" w:rsidRPr="000F57FF" w:rsidRDefault="00E4370A" w:rsidP="001E7AC0">
            <w:r>
              <w:t>Lithuania</w:t>
            </w:r>
          </w:p>
        </w:tc>
        <w:tc>
          <w:tcPr>
            <w:tcW w:w="614" w:type="dxa"/>
            <w:shd w:val="clear" w:color="auto" w:fill="auto"/>
          </w:tcPr>
          <w:p w:rsidR="00E4370A" w:rsidRPr="000F57FF" w:rsidRDefault="00E4370A" w:rsidP="001E7AC0">
            <w:r>
              <w:t>17</w:t>
            </w:r>
          </w:p>
        </w:tc>
      </w:tr>
      <w:tr w:rsidR="00E4370A" w:rsidRPr="000F57FF" w:rsidTr="00564B29">
        <w:trPr>
          <w:trHeight w:val="345"/>
        </w:trPr>
        <w:tc>
          <w:tcPr>
            <w:tcW w:w="2675" w:type="dxa"/>
            <w:shd w:val="clear" w:color="auto" w:fill="auto"/>
          </w:tcPr>
          <w:p w:rsidR="00E4370A" w:rsidRPr="000F57FF" w:rsidRDefault="00E4370A" w:rsidP="001E7AC0">
            <w:r>
              <w:t>Belgium</w:t>
            </w:r>
          </w:p>
        </w:tc>
        <w:tc>
          <w:tcPr>
            <w:tcW w:w="599" w:type="dxa"/>
            <w:tcBorders>
              <w:right w:val="single" w:sz="6" w:space="0" w:color="000000"/>
            </w:tcBorders>
            <w:shd w:val="clear" w:color="auto" w:fill="auto"/>
          </w:tcPr>
          <w:p w:rsidR="00E4370A" w:rsidRPr="000F57FF" w:rsidRDefault="00E4370A" w:rsidP="001E7AC0">
            <w:r>
              <w:t>27</w:t>
            </w:r>
          </w:p>
        </w:tc>
        <w:tc>
          <w:tcPr>
            <w:tcW w:w="2476" w:type="dxa"/>
            <w:tcBorders>
              <w:left w:val="single" w:sz="6" w:space="0" w:color="000000"/>
            </w:tcBorders>
            <w:shd w:val="clear" w:color="auto" w:fill="auto"/>
          </w:tcPr>
          <w:p w:rsidR="00E4370A" w:rsidRPr="000F57FF" w:rsidRDefault="00E4370A" w:rsidP="001E7AC0">
            <w:r>
              <w:t>Luxemburg</w:t>
            </w:r>
          </w:p>
        </w:tc>
        <w:tc>
          <w:tcPr>
            <w:tcW w:w="614" w:type="dxa"/>
            <w:shd w:val="clear" w:color="auto" w:fill="auto"/>
          </w:tcPr>
          <w:p w:rsidR="00E4370A" w:rsidRPr="000F57FF" w:rsidRDefault="00E4370A" w:rsidP="001E7AC0">
            <w:r>
              <w:t>16</w:t>
            </w:r>
          </w:p>
        </w:tc>
      </w:tr>
      <w:tr w:rsidR="00E4370A" w:rsidRPr="000F57FF" w:rsidTr="00564B29">
        <w:trPr>
          <w:trHeight w:val="345"/>
        </w:trPr>
        <w:tc>
          <w:tcPr>
            <w:tcW w:w="2675" w:type="dxa"/>
            <w:shd w:val="clear" w:color="auto" w:fill="auto"/>
          </w:tcPr>
          <w:p w:rsidR="00E4370A" w:rsidRPr="000F57FF" w:rsidRDefault="00E4370A" w:rsidP="001E7AC0">
            <w:r>
              <w:t>Croatia</w:t>
            </w:r>
          </w:p>
        </w:tc>
        <w:tc>
          <w:tcPr>
            <w:tcW w:w="599" w:type="dxa"/>
            <w:tcBorders>
              <w:right w:val="single" w:sz="6" w:space="0" w:color="000000"/>
            </w:tcBorders>
            <w:shd w:val="clear" w:color="auto" w:fill="auto"/>
          </w:tcPr>
          <w:p w:rsidR="00E4370A" w:rsidRPr="000F57FF" w:rsidRDefault="00E4370A" w:rsidP="001E7AC0">
            <w:r>
              <w:t>1</w:t>
            </w:r>
          </w:p>
        </w:tc>
        <w:tc>
          <w:tcPr>
            <w:tcW w:w="2476" w:type="dxa"/>
            <w:tcBorders>
              <w:left w:val="single" w:sz="6" w:space="0" w:color="000000"/>
            </w:tcBorders>
            <w:shd w:val="clear" w:color="auto" w:fill="auto"/>
          </w:tcPr>
          <w:p w:rsidR="00E4370A" w:rsidRPr="000F57FF" w:rsidRDefault="00E4370A" w:rsidP="001E7AC0">
            <w:r>
              <w:t>Malta</w:t>
            </w:r>
          </w:p>
        </w:tc>
        <w:tc>
          <w:tcPr>
            <w:tcW w:w="614" w:type="dxa"/>
            <w:shd w:val="clear" w:color="auto" w:fill="auto"/>
          </w:tcPr>
          <w:p w:rsidR="00E4370A" w:rsidRPr="000F57FF" w:rsidRDefault="00E4370A" w:rsidP="001E7AC0">
            <w:r>
              <w:t>2</w:t>
            </w:r>
          </w:p>
        </w:tc>
      </w:tr>
      <w:tr w:rsidR="00E4370A" w:rsidRPr="000F57FF" w:rsidTr="00564B29">
        <w:trPr>
          <w:trHeight w:val="345"/>
        </w:trPr>
        <w:tc>
          <w:tcPr>
            <w:tcW w:w="2675" w:type="dxa"/>
            <w:shd w:val="clear" w:color="auto" w:fill="auto"/>
          </w:tcPr>
          <w:p w:rsidR="00E4370A" w:rsidRPr="000F57FF" w:rsidRDefault="00E4370A" w:rsidP="001E7AC0">
            <w:r>
              <w:t>Cyprus</w:t>
            </w:r>
          </w:p>
        </w:tc>
        <w:tc>
          <w:tcPr>
            <w:tcW w:w="599" w:type="dxa"/>
            <w:tcBorders>
              <w:right w:val="single" w:sz="6" w:space="0" w:color="000000"/>
            </w:tcBorders>
            <w:shd w:val="clear" w:color="auto" w:fill="auto"/>
          </w:tcPr>
          <w:p w:rsidR="00E4370A" w:rsidRPr="000F57FF" w:rsidRDefault="00E4370A" w:rsidP="001E7AC0">
            <w:r>
              <w:t>2</w:t>
            </w:r>
          </w:p>
        </w:tc>
        <w:tc>
          <w:tcPr>
            <w:tcW w:w="2476" w:type="dxa"/>
            <w:tcBorders>
              <w:left w:val="single" w:sz="6" w:space="0" w:color="000000"/>
            </w:tcBorders>
            <w:shd w:val="clear" w:color="auto" w:fill="auto"/>
          </w:tcPr>
          <w:p w:rsidR="00E4370A" w:rsidRPr="000F57FF" w:rsidRDefault="00E4370A" w:rsidP="001E7AC0">
            <w:r>
              <w:t>Norway*</w:t>
            </w:r>
          </w:p>
        </w:tc>
        <w:tc>
          <w:tcPr>
            <w:tcW w:w="614" w:type="dxa"/>
            <w:shd w:val="clear" w:color="auto" w:fill="auto"/>
          </w:tcPr>
          <w:p w:rsidR="00E4370A" w:rsidRPr="000F57FF" w:rsidRDefault="00E4370A" w:rsidP="001E7AC0">
            <w:r>
              <w:t>13</w:t>
            </w:r>
          </w:p>
        </w:tc>
      </w:tr>
      <w:tr w:rsidR="00E4370A" w:rsidRPr="000F57FF" w:rsidTr="00564B29">
        <w:trPr>
          <w:trHeight w:val="345"/>
        </w:trPr>
        <w:tc>
          <w:tcPr>
            <w:tcW w:w="2675" w:type="dxa"/>
            <w:shd w:val="clear" w:color="auto" w:fill="auto"/>
          </w:tcPr>
          <w:p w:rsidR="00E4370A" w:rsidRPr="000F57FF" w:rsidRDefault="00E4370A" w:rsidP="001E7AC0">
            <w:r>
              <w:t>Czech Republic</w:t>
            </w:r>
          </w:p>
        </w:tc>
        <w:tc>
          <w:tcPr>
            <w:tcW w:w="599" w:type="dxa"/>
            <w:tcBorders>
              <w:right w:val="single" w:sz="6" w:space="0" w:color="000000"/>
            </w:tcBorders>
            <w:shd w:val="clear" w:color="auto" w:fill="auto"/>
          </w:tcPr>
          <w:p w:rsidR="00E4370A" w:rsidRPr="000F57FF" w:rsidRDefault="00E4370A" w:rsidP="001E7AC0">
            <w:r>
              <w:t>30</w:t>
            </w:r>
          </w:p>
        </w:tc>
        <w:tc>
          <w:tcPr>
            <w:tcW w:w="2476" w:type="dxa"/>
            <w:tcBorders>
              <w:left w:val="single" w:sz="6" w:space="0" w:color="000000"/>
            </w:tcBorders>
            <w:shd w:val="clear" w:color="auto" w:fill="auto"/>
          </w:tcPr>
          <w:p w:rsidR="00E4370A" w:rsidRPr="000F57FF" w:rsidRDefault="00E4370A" w:rsidP="001E7AC0">
            <w:r>
              <w:t>Poland</w:t>
            </w:r>
          </w:p>
        </w:tc>
        <w:tc>
          <w:tcPr>
            <w:tcW w:w="614" w:type="dxa"/>
            <w:shd w:val="clear" w:color="auto" w:fill="auto"/>
          </w:tcPr>
          <w:p w:rsidR="00E4370A" w:rsidRPr="000F57FF" w:rsidRDefault="00E4370A" w:rsidP="001E7AC0">
            <w:r>
              <w:t>27</w:t>
            </w:r>
          </w:p>
        </w:tc>
      </w:tr>
      <w:tr w:rsidR="00E4370A" w:rsidRPr="000F57FF" w:rsidTr="00564B29">
        <w:trPr>
          <w:trHeight w:val="345"/>
        </w:trPr>
        <w:tc>
          <w:tcPr>
            <w:tcW w:w="2675" w:type="dxa"/>
            <w:shd w:val="clear" w:color="auto" w:fill="auto"/>
          </w:tcPr>
          <w:p w:rsidR="00E4370A" w:rsidRPr="000F57FF" w:rsidRDefault="00E4370A" w:rsidP="001E7AC0">
            <w:r>
              <w:t>Denmark</w:t>
            </w:r>
          </w:p>
        </w:tc>
        <w:tc>
          <w:tcPr>
            <w:tcW w:w="599" w:type="dxa"/>
            <w:tcBorders>
              <w:right w:val="single" w:sz="6" w:space="0" w:color="000000"/>
            </w:tcBorders>
            <w:shd w:val="clear" w:color="auto" w:fill="auto"/>
          </w:tcPr>
          <w:p w:rsidR="00E4370A" w:rsidRPr="000F57FF" w:rsidRDefault="00E4370A" w:rsidP="001E7AC0">
            <w:r>
              <w:t>34</w:t>
            </w:r>
          </w:p>
        </w:tc>
        <w:tc>
          <w:tcPr>
            <w:tcW w:w="2476" w:type="dxa"/>
            <w:tcBorders>
              <w:left w:val="single" w:sz="6" w:space="0" w:color="000000"/>
            </w:tcBorders>
            <w:shd w:val="clear" w:color="auto" w:fill="auto"/>
          </w:tcPr>
          <w:p w:rsidR="00E4370A" w:rsidRPr="000F57FF" w:rsidRDefault="00E4370A" w:rsidP="001E7AC0">
            <w:r>
              <w:t>Portugal</w:t>
            </w:r>
          </w:p>
        </w:tc>
        <w:tc>
          <w:tcPr>
            <w:tcW w:w="614" w:type="dxa"/>
            <w:shd w:val="clear" w:color="auto" w:fill="auto"/>
          </w:tcPr>
          <w:p w:rsidR="00E4370A" w:rsidRPr="000F57FF" w:rsidRDefault="00E4370A" w:rsidP="001E7AC0">
            <w:r>
              <w:t>5</w:t>
            </w:r>
          </w:p>
        </w:tc>
      </w:tr>
      <w:tr w:rsidR="00E4370A" w:rsidRPr="000F57FF" w:rsidTr="00564B29">
        <w:trPr>
          <w:trHeight w:val="345"/>
        </w:trPr>
        <w:tc>
          <w:tcPr>
            <w:tcW w:w="2675" w:type="dxa"/>
            <w:shd w:val="clear" w:color="auto" w:fill="auto"/>
          </w:tcPr>
          <w:p w:rsidR="00E4370A" w:rsidRPr="000F57FF" w:rsidRDefault="00E4370A" w:rsidP="001E7AC0">
            <w:r>
              <w:t>Estonia</w:t>
            </w:r>
          </w:p>
        </w:tc>
        <w:tc>
          <w:tcPr>
            <w:tcW w:w="599" w:type="dxa"/>
            <w:tcBorders>
              <w:right w:val="single" w:sz="6" w:space="0" w:color="000000"/>
            </w:tcBorders>
            <w:shd w:val="clear" w:color="auto" w:fill="auto"/>
          </w:tcPr>
          <w:p w:rsidR="00E4370A" w:rsidRPr="000F57FF" w:rsidRDefault="00E4370A" w:rsidP="001E7AC0">
            <w:r>
              <w:t>12</w:t>
            </w:r>
          </w:p>
        </w:tc>
        <w:tc>
          <w:tcPr>
            <w:tcW w:w="2476" w:type="dxa"/>
            <w:tcBorders>
              <w:left w:val="single" w:sz="6" w:space="0" w:color="000000"/>
            </w:tcBorders>
            <w:shd w:val="clear" w:color="auto" w:fill="auto"/>
          </w:tcPr>
          <w:p w:rsidR="00E4370A" w:rsidRPr="000F57FF" w:rsidRDefault="00E4370A" w:rsidP="001E7AC0">
            <w:r>
              <w:t>Romania</w:t>
            </w:r>
          </w:p>
        </w:tc>
        <w:tc>
          <w:tcPr>
            <w:tcW w:w="614" w:type="dxa"/>
            <w:shd w:val="clear" w:color="auto" w:fill="auto"/>
          </w:tcPr>
          <w:p w:rsidR="00E4370A" w:rsidRPr="000F57FF" w:rsidRDefault="00E4370A" w:rsidP="001E7AC0">
            <w:r>
              <w:t>12</w:t>
            </w:r>
          </w:p>
        </w:tc>
      </w:tr>
      <w:tr w:rsidR="00E4370A" w:rsidRPr="000F57FF" w:rsidTr="00564B29">
        <w:trPr>
          <w:trHeight w:val="345"/>
        </w:trPr>
        <w:tc>
          <w:tcPr>
            <w:tcW w:w="2675" w:type="dxa"/>
            <w:shd w:val="clear" w:color="auto" w:fill="auto"/>
          </w:tcPr>
          <w:p w:rsidR="00E4370A" w:rsidRPr="000F57FF" w:rsidRDefault="00E4370A" w:rsidP="001E7AC0">
            <w:r>
              <w:t>Finland</w:t>
            </w:r>
          </w:p>
        </w:tc>
        <w:tc>
          <w:tcPr>
            <w:tcW w:w="599" w:type="dxa"/>
            <w:tcBorders>
              <w:right w:val="single" w:sz="6" w:space="0" w:color="000000"/>
            </w:tcBorders>
            <w:shd w:val="clear" w:color="auto" w:fill="auto"/>
          </w:tcPr>
          <w:p w:rsidR="00E4370A" w:rsidRPr="000F57FF" w:rsidRDefault="00E4370A" w:rsidP="001E7AC0">
            <w:r>
              <w:t>29</w:t>
            </w:r>
          </w:p>
        </w:tc>
        <w:tc>
          <w:tcPr>
            <w:tcW w:w="2476" w:type="dxa"/>
            <w:tcBorders>
              <w:left w:val="single" w:sz="6" w:space="0" w:color="000000"/>
            </w:tcBorders>
            <w:shd w:val="clear" w:color="auto" w:fill="auto"/>
          </w:tcPr>
          <w:p w:rsidR="00E4370A" w:rsidRPr="000F57FF" w:rsidRDefault="00E4370A" w:rsidP="001E7AC0">
            <w:r>
              <w:t>Slovakia</w:t>
            </w:r>
          </w:p>
        </w:tc>
        <w:tc>
          <w:tcPr>
            <w:tcW w:w="614" w:type="dxa"/>
            <w:shd w:val="clear" w:color="auto" w:fill="auto"/>
          </w:tcPr>
          <w:p w:rsidR="00E4370A" w:rsidRPr="000F57FF" w:rsidRDefault="00E4370A" w:rsidP="001E7AC0">
            <w:r>
              <w:t>33</w:t>
            </w:r>
          </w:p>
        </w:tc>
      </w:tr>
      <w:tr w:rsidR="00E4370A" w:rsidRPr="000F57FF" w:rsidTr="00564B29">
        <w:trPr>
          <w:trHeight w:val="345"/>
        </w:trPr>
        <w:tc>
          <w:tcPr>
            <w:tcW w:w="2675" w:type="dxa"/>
            <w:shd w:val="clear" w:color="auto" w:fill="auto"/>
          </w:tcPr>
          <w:p w:rsidR="00E4370A" w:rsidRPr="000F57FF" w:rsidRDefault="00E4370A" w:rsidP="001E7AC0">
            <w:r>
              <w:t>France</w:t>
            </w:r>
          </w:p>
        </w:tc>
        <w:tc>
          <w:tcPr>
            <w:tcW w:w="599" w:type="dxa"/>
            <w:tcBorders>
              <w:right w:val="single" w:sz="6" w:space="0" w:color="000000"/>
            </w:tcBorders>
            <w:shd w:val="clear" w:color="auto" w:fill="auto"/>
          </w:tcPr>
          <w:p w:rsidR="00E4370A" w:rsidRPr="000F57FF" w:rsidRDefault="00E4370A" w:rsidP="001E7AC0">
            <w:r>
              <w:t>49</w:t>
            </w:r>
          </w:p>
        </w:tc>
        <w:tc>
          <w:tcPr>
            <w:tcW w:w="2476" w:type="dxa"/>
            <w:tcBorders>
              <w:left w:val="single" w:sz="6" w:space="0" w:color="000000"/>
            </w:tcBorders>
            <w:shd w:val="clear" w:color="auto" w:fill="auto"/>
          </w:tcPr>
          <w:p w:rsidR="00E4370A" w:rsidRPr="000F57FF" w:rsidRDefault="00E4370A" w:rsidP="001E7AC0">
            <w:r>
              <w:t>Slovenia</w:t>
            </w:r>
          </w:p>
        </w:tc>
        <w:tc>
          <w:tcPr>
            <w:tcW w:w="614" w:type="dxa"/>
            <w:shd w:val="clear" w:color="auto" w:fill="auto"/>
          </w:tcPr>
          <w:p w:rsidR="00E4370A" w:rsidRPr="000F57FF" w:rsidRDefault="00E4370A" w:rsidP="001E7AC0">
            <w:r>
              <w:t>9</w:t>
            </w:r>
          </w:p>
        </w:tc>
      </w:tr>
      <w:tr w:rsidR="00E4370A" w:rsidRPr="000F57FF" w:rsidTr="00564B29">
        <w:trPr>
          <w:trHeight w:val="345"/>
        </w:trPr>
        <w:tc>
          <w:tcPr>
            <w:tcW w:w="2675" w:type="dxa"/>
            <w:shd w:val="clear" w:color="auto" w:fill="auto"/>
          </w:tcPr>
          <w:p w:rsidR="00E4370A" w:rsidRPr="000F57FF" w:rsidRDefault="00E4370A" w:rsidP="001E7AC0">
            <w:r>
              <w:t>Germany</w:t>
            </w:r>
          </w:p>
        </w:tc>
        <w:tc>
          <w:tcPr>
            <w:tcW w:w="599" w:type="dxa"/>
            <w:tcBorders>
              <w:right w:val="single" w:sz="6" w:space="0" w:color="000000"/>
            </w:tcBorders>
            <w:shd w:val="clear" w:color="auto" w:fill="auto"/>
          </w:tcPr>
          <w:p w:rsidR="00E4370A" w:rsidRPr="000F57FF" w:rsidRDefault="00E4370A" w:rsidP="001E7AC0">
            <w:r>
              <w:t>61</w:t>
            </w:r>
          </w:p>
        </w:tc>
        <w:tc>
          <w:tcPr>
            <w:tcW w:w="2476" w:type="dxa"/>
            <w:tcBorders>
              <w:left w:val="single" w:sz="6" w:space="0" w:color="000000"/>
            </w:tcBorders>
            <w:shd w:val="clear" w:color="auto" w:fill="auto"/>
          </w:tcPr>
          <w:p w:rsidR="00E4370A" w:rsidRPr="000F57FF" w:rsidRDefault="00E4370A" w:rsidP="001E7AC0">
            <w:r>
              <w:t>Spain</w:t>
            </w:r>
          </w:p>
        </w:tc>
        <w:tc>
          <w:tcPr>
            <w:tcW w:w="614" w:type="dxa"/>
            <w:shd w:val="clear" w:color="auto" w:fill="auto"/>
          </w:tcPr>
          <w:p w:rsidR="00E4370A" w:rsidRPr="000F57FF" w:rsidRDefault="00E4370A" w:rsidP="001E7AC0">
            <w:r>
              <w:t>47</w:t>
            </w:r>
          </w:p>
        </w:tc>
      </w:tr>
      <w:tr w:rsidR="00E4370A" w:rsidRPr="000F57FF" w:rsidTr="00564B29">
        <w:trPr>
          <w:trHeight w:val="345"/>
        </w:trPr>
        <w:tc>
          <w:tcPr>
            <w:tcW w:w="2675" w:type="dxa"/>
            <w:shd w:val="clear" w:color="auto" w:fill="auto"/>
          </w:tcPr>
          <w:p w:rsidR="00E4370A" w:rsidRPr="000F57FF" w:rsidRDefault="00E4370A" w:rsidP="001E7AC0">
            <w:r>
              <w:t>Greece</w:t>
            </w:r>
          </w:p>
        </w:tc>
        <w:tc>
          <w:tcPr>
            <w:tcW w:w="599" w:type="dxa"/>
            <w:tcBorders>
              <w:right w:val="single" w:sz="6" w:space="0" w:color="000000"/>
            </w:tcBorders>
            <w:shd w:val="clear" w:color="auto" w:fill="auto"/>
          </w:tcPr>
          <w:p w:rsidR="00E4370A" w:rsidRPr="000F57FF" w:rsidRDefault="00E4370A" w:rsidP="001E7AC0">
            <w:r>
              <w:t>12</w:t>
            </w:r>
          </w:p>
        </w:tc>
        <w:tc>
          <w:tcPr>
            <w:tcW w:w="2476" w:type="dxa"/>
            <w:tcBorders>
              <w:left w:val="single" w:sz="6" w:space="0" w:color="000000"/>
            </w:tcBorders>
            <w:shd w:val="clear" w:color="auto" w:fill="auto"/>
          </w:tcPr>
          <w:p w:rsidR="00E4370A" w:rsidRPr="000F57FF" w:rsidRDefault="00E4370A" w:rsidP="001E7AC0">
            <w:r>
              <w:t>Sweden</w:t>
            </w:r>
          </w:p>
        </w:tc>
        <w:tc>
          <w:tcPr>
            <w:tcW w:w="614" w:type="dxa"/>
            <w:shd w:val="clear" w:color="auto" w:fill="auto"/>
          </w:tcPr>
          <w:p w:rsidR="00E4370A" w:rsidRPr="000F57FF" w:rsidRDefault="00E4370A" w:rsidP="001E7AC0">
            <w:r>
              <w:t>33</w:t>
            </w:r>
          </w:p>
        </w:tc>
      </w:tr>
      <w:tr w:rsidR="00E4370A" w:rsidRPr="000F57FF" w:rsidTr="00564B29">
        <w:trPr>
          <w:trHeight w:val="345"/>
        </w:trPr>
        <w:tc>
          <w:tcPr>
            <w:tcW w:w="2675" w:type="dxa"/>
            <w:shd w:val="clear" w:color="auto" w:fill="auto"/>
          </w:tcPr>
          <w:p w:rsidR="00E4370A" w:rsidRPr="000F57FF" w:rsidRDefault="00E4370A" w:rsidP="001E7AC0">
            <w:r>
              <w:t>Hungary</w:t>
            </w:r>
          </w:p>
        </w:tc>
        <w:tc>
          <w:tcPr>
            <w:tcW w:w="599" w:type="dxa"/>
            <w:tcBorders>
              <w:right w:val="single" w:sz="6" w:space="0" w:color="000000"/>
            </w:tcBorders>
            <w:shd w:val="clear" w:color="auto" w:fill="auto"/>
          </w:tcPr>
          <w:p w:rsidR="00E4370A" w:rsidRPr="000F57FF" w:rsidRDefault="00E4370A" w:rsidP="001E7AC0">
            <w:r>
              <w:t>38</w:t>
            </w:r>
          </w:p>
        </w:tc>
        <w:tc>
          <w:tcPr>
            <w:tcW w:w="2476" w:type="dxa"/>
            <w:tcBorders>
              <w:left w:val="single" w:sz="6" w:space="0" w:color="000000"/>
            </w:tcBorders>
            <w:shd w:val="clear" w:color="auto" w:fill="auto"/>
          </w:tcPr>
          <w:p w:rsidR="00E4370A" w:rsidRPr="000F57FF" w:rsidRDefault="00E4370A" w:rsidP="001E7AC0">
            <w:r>
              <w:t>Switzerland*</w:t>
            </w:r>
          </w:p>
        </w:tc>
        <w:tc>
          <w:tcPr>
            <w:tcW w:w="614" w:type="dxa"/>
            <w:shd w:val="clear" w:color="auto" w:fill="auto"/>
          </w:tcPr>
          <w:p w:rsidR="00E4370A" w:rsidRPr="000F57FF" w:rsidRDefault="00E4370A" w:rsidP="001E7AC0">
            <w:r>
              <w:t>7</w:t>
            </w:r>
          </w:p>
        </w:tc>
      </w:tr>
      <w:tr w:rsidR="00E4370A" w:rsidRPr="000F57FF" w:rsidTr="00564B29">
        <w:trPr>
          <w:trHeight w:val="345"/>
        </w:trPr>
        <w:tc>
          <w:tcPr>
            <w:tcW w:w="2675" w:type="dxa"/>
            <w:shd w:val="clear" w:color="auto" w:fill="auto"/>
          </w:tcPr>
          <w:p w:rsidR="00E4370A" w:rsidRPr="000F57FF" w:rsidRDefault="00E4370A" w:rsidP="001E7AC0">
            <w:r>
              <w:t>Iceland*</w:t>
            </w:r>
          </w:p>
        </w:tc>
        <w:tc>
          <w:tcPr>
            <w:tcW w:w="599" w:type="dxa"/>
            <w:tcBorders>
              <w:right w:val="single" w:sz="6" w:space="0" w:color="000000"/>
            </w:tcBorders>
            <w:shd w:val="clear" w:color="auto" w:fill="auto"/>
          </w:tcPr>
          <w:p w:rsidR="00E4370A" w:rsidRPr="000F57FF" w:rsidRDefault="00E4370A" w:rsidP="001E7AC0">
            <w:r>
              <w:t>3</w:t>
            </w:r>
          </w:p>
        </w:tc>
        <w:tc>
          <w:tcPr>
            <w:tcW w:w="2476" w:type="dxa"/>
            <w:tcBorders>
              <w:left w:val="single" w:sz="6" w:space="0" w:color="000000"/>
            </w:tcBorders>
            <w:shd w:val="clear" w:color="auto" w:fill="auto"/>
          </w:tcPr>
          <w:p w:rsidR="00E4370A" w:rsidRPr="000F57FF" w:rsidRDefault="00E4370A" w:rsidP="001E7AC0">
            <w:r>
              <w:t>The Netherlands</w:t>
            </w:r>
          </w:p>
        </w:tc>
        <w:tc>
          <w:tcPr>
            <w:tcW w:w="614" w:type="dxa"/>
            <w:shd w:val="clear" w:color="auto" w:fill="auto"/>
          </w:tcPr>
          <w:p w:rsidR="00E4370A" w:rsidRPr="000F57FF" w:rsidRDefault="00E4370A" w:rsidP="001E7AC0">
            <w:r>
              <w:t>41</w:t>
            </w:r>
          </w:p>
        </w:tc>
      </w:tr>
      <w:tr w:rsidR="00E4370A" w:rsidRPr="000F57FF" w:rsidTr="00564B29">
        <w:trPr>
          <w:trHeight w:val="345"/>
        </w:trPr>
        <w:tc>
          <w:tcPr>
            <w:tcW w:w="2675" w:type="dxa"/>
            <w:shd w:val="clear" w:color="auto" w:fill="auto"/>
          </w:tcPr>
          <w:p w:rsidR="00E4370A" w:rsidRPr="000F57FF" w:rsidRDefault="00E4370A" w:rsidP="001E7AC0">
            <w:r>
              <w:t>Ireland</w:t>
            </w:r>
          </w:p>
        </w:tc>
        <w:tc>
          <w:tcPr>
            <w:tcW w:w="599" w:type="dxa"/>
            <w:tcBorders>
              <w:right w:val="single" w:sz="6" w:space="0" w:color="000000"/>
            </w:tcBorders>
            <w:shd w:val="clear" w:color="auto" w:fill="auto"/>
          </w:tcPr>
          <w:p w:rsidR="00E4370A" w:rsidRPr="000F57FF" w:rsidRDefault="00E4370A" w:rsidP="001E7AC0">
            <w:r>
              <w:t>8</w:t>
            </w:r>
          </w:p>
        </w:tc>
        <w:tc>
          <w:tcPr>
            <w:tcW w:w="2476" w:type="dxa"/>
            <w:tcBorders>
              <w:left w:val="single" w:sz="6" w:space="0" w:color="000000"/>
            </w:tcBorders>
            <w:shd w:val="clear" w:color="auto" w:fill="auto"/>
          </w:tcPr>
          <w:p w:rsidR="00E4370A" w:rsidRPr="000F57FF" w:rsidRDefault="00E4370A" w:rsidP="001E7AC0">
            <w:r>
              <w:t>Turkey</w:t>
            </w:r>
          </w:p>
        </w:tc>
        <w:tc>
          <w:tcPr>
            <w:tcW w:w="614" w:type="dxa"/>
            <w:shd w:val="clear" w:color="auto" w:fill="auto"/>
          </w:tcPr>
          <w:p w:rsidR="00E4370A" w:rsidRPr="000F57FF" w:rsidRDefault="00E4370A" w:rsidP="001E7AC0">
            <w:r>
              <w:t>6</w:t>
            </w:r>
          </w:p>
        </w:tc>
      </w:tr>
      <w:tr w:rsidR="00E4370A" w:rsidRPr="000F57FF" w:rsidTr="00564B29">
        <w:trPr>
          <w:trHeight w:val="345"/>
        </w:trPr>
        <w:tc>
          <w:tcPr>
            <w:tcW w:w="2675" w:type="dxa"/>
            <w:shd w:val="clear" w:color="auto" w:fill="auto"/>
          </w:tcPr>
          <w:p w:rsidR="00E4370A" w:rsidRPr="000F57FF" w:rsidRDefault="00E4370A" w:rsidP="001E7AC0">
            <w:r>
              <w:t>Italy</w:t>
            </w:r>
          </w:p>
        </w:tc>
        <w:tc>
          <w:tcPr>
            <w:tcW w:w="599" w:type="dxa"/>
            <w:tcBorders>
              <w:right w:val="single" w:sz="6" w:space="0" w:color="000000"/>
            </w:tcBorders>
            <w:shd w:val="clear" w:color="auto" w:fill="auto"/>
          </w:tcPr>
          <w:p w:rsidR="00E4370A" w:rsidRPr="000F57FF" w:rsidRDefault="00E4370A" w:rsidP="001E7AC0">
            <w:r>
              <w:t>34</w:t>
            </w:r>
          </w:p>
        </w:tc>
        <w:tc>
          <w:tcPr>
            <w:tcW w:w="2476" w:type="dxa"/>
            <w:tcBorders>
              <w:left w:val="single" w:sz="6" w:space="0" w:color="000000"/>
            </w:tcBorders>
            <w:shd w:val="clear" w:color="auto" w:fill="auto"/>
          </w:tcPr>
          <w:p w:rsidR="00E4370A" w:rsidRPr="00564B29" w:rsidRDefault="00E4370A" w:rsidP="001E7AC0">
            <w:pPr>
              <w:rPr>
                <w:b/>
              </w:rPr>
            </w:pPr>
            <w:r w:rsidRPr="00564B29">
              <w:rPr>
                <w:b/>
              </w:rPr>
              <w:t>UK</w:t>
            </w:r>
          </w:p>
        </w:tc>
        <w:tc>
          <w:tcPr>
            <w:tcW w:w="614" w:type="dxa"/>
            <w:shd w:val="clear" w:color="auto" w:fill="auto"/>
          </w:tcPr>
          <w:p w:rsidR="00E4370A" w:rsidRPr="00564B29" w:rsidRDefault="00E4370A" w:rsidP="001E7AC0">
            <w:pPr>
              <w:rPr>
                <w:b/>
              </w:rPr>
            </w:pPr>
            <w:r w:rsidRPr="00564B29">
              <w:rPr>
                <w:b/>
              </w:rPr>
              <w:t>42</w:t>
            </w:r>
          </w:p>
        </w:tc>
      </w:tr>
      <w:tr w:rsidR="00E4370A" w:rsidRPr="000F57FF" w:rsidTr="00564B29">
        <w:trPr>
          <w:trHeight w:val="345"/>
        </w:trPr>
        <w:tc>
          <w:tcPr>
            <w:tcW w:w="2675" w:type="dxa"/>
            <w:shd w:val="clear" w:color="auto" w:fill="auto"/>
          </w:tcPr>
          <w:p w:rsidR="00E4370A" w:rsidRPr="000F57FF" w:rsidRDefault="00E4370A" w:rsidP="001E7AC0">
            <w:r>
              <w:t>Latvia</w:t>
            </w:r>
          </w:p>
        </w:tc>
        <w:tc>
          <w:tcPr>
            <w:tcW w:w="599" w:type="dxa"/>
            <w:tcBorders>
              <w:right w:val="single" w:sz="6" w:space="0" w:color="000000"/>
            </w:tcBorders>
            <w:shd w:val="clear" w:color="auto" w:fill="auto"/>
          </w:tcPr>
          <w:p w:rsidR="00E4370A" w:rsidRPr="000F57FF" w:rsidRDefault="00E4370A" w:rsidP="001E7AC0">
            <w:r>
              <w:t>5</w:t>
            </w:r>
          </w:p>
        </w:tc>
        <w:tc>
          <w:tcPr>
            <w:tcW w:w="2476" w:type="dxa"/>
            <w:tcBorders>
              <w:left w:val="single" w:sz="6" w:space="0" w:color="000000"/>
            </w:tcBorders>
            <w:shd w:val="clear" w:color="auto" w:fill="auto"/>
          </w:tcPr>
          <w:p w:rsidR="00E4370A" w:rsidRPr="000F57FF" w:rsidRDefault="00E4370A" w:rsidP="001E7AC0"/>
        </w:tc>
        <w:tc>
          <w:tcPr>
            <w:tcW w:w="614" w:type="dxa"/>
            <w:shd w:val="clear" w:color="auto" w:fill="auto"/>
          </w:tcPr>
          <w:p w:rsidR="00E4370A" w:rsidRPr="000F57FF" w:rsidRDefault="00E4370A" w:rsidP="001E7AC0"/>
        </w:tc>
      </w:tr>
      <w:tr w:rsidR="00E4370A" w:rsidRPr="000F57FF" w:rsidTr="00564B29">
        <w:trPr>
          <w:trHeight w:val="345"/>
        </w:trPr>
        <w:tc>
          <w:tcPr>
            <w:tcW w:w="2675" w:type="dxa"/>
            <w:shd w:val="clear" w:color="auto" w:fill="auto"/>
          </w:tcPr>
          <w:p w:rsidR="00E4370A" w:rsidRPr="000F57FF" w:rsidRDefault="00E4370A" w:rsidP="001E7AC0">
            <w:r>
              <w:t>Liechtenstein*</w:t>
            </w:r>
          </w:p>
        </w:tc>
        <w:tc>
          <w:tcPr>
            <w:tcW w:w="599" w:type="dxa"/>
            <w:tcBorders>
              <w:right w:val="single" w:sz="6" w:space="0" w:color="000000"/>
            </w:tcBorders>
            <w:shd w:val="clear" w:color="auto" w:fill="auto"/>
          </w:tcPr>
          <w:p w:rsidR="00E4370A" w:rsidRPr="000F57FF" w:rsidRDefault="00E4370A" w:rsidP="001E7AC0">
            <w:r>
              <w:t>0</w:t>
            </w:r>
          </w:p>
        </w:tc>
        <w:tc>
          <w:tcPr>
            <w:tcW w:w="2476" w:type="dxa"/>
            <w:tcBorders>
              <w:left w:val="single" w:sz="6" w:space="0" w:color="000000"/>
            </w:tcBorders>
            <w:shd w:val="clear" w:color="auto" w:fill="auto"/>
          </w:tcPr>
          <w:p w:rsidR="00E4370A" w:rsidRPr="00564B29" w:rsidRDefault="00E4370A" w:rsidP="001E7AC0">
            <w:pPr>
              <w:rPr>
                <w:b/>
              </w:rPr>
            </w:pPr>
            <w:r w:rsidRPr="00564B29">
              <w:rPr>
                <w:b/>
              </w:rPr>
              <w:t>Total</w:t>
            </w:r>
          </w:p>
        </w:tc>
        <w:tc>
          <w:tcPr>
            <w:tcW w:w="614" w:type="dxa"/>
            <w:shd w:val="clear" w:color="auto" w:fill="auto"/>
          </w:tcPr>
          <w:p w:rsidR="00E4370A" w:rsidRPr="00564B29" w:rsidRDefault="00E4370A" w:rsidP="001E7AC0">
            <w:pPr>
              <w:rPr>
                <w:b/>
              </w:rPr>
            </w:pPr>
            <w:r w:rsidRPr="00564B29">
              <w:rPr>
                <w:b/>
              </w:rPr>
              <w:t>718</w:t>
            </w:r>
          </w:p>
        </w:tc>
      </w:tr>
    </w:tbl>
    <w:p w:rsidR="00E4370A" w:rsidRDefault="00E4370A" w:rsidP="001E7AC0">
      <w:pPr>
        <w:rPr>
          <w:lang w:val="en"/>
        </w:rPr>
      </w:pPr>
      <w:r>
        <w:t>*EFTA states</w:t>
      </w:r>
    </w:p>
    <w:p w:rsidR="00E4370A" w:rsidRDefault="004A5899" w:rsidP="001E7AC0">
      <w:r>
        <w:rPr>
          <w:noProof/>
          <w:lang w:eastAsia="en-GB"/>
        </w:rPr>
        <w:lastRenderedPageBreak/>
        <w:drawing>
          <wp:inline distT="0" distB="0" distL="0" distR="0">
            <wp:extent cx="5265420" cy="4693920"/>
            <wp:effectExtent l="0" t="0" r="0" b="0"/>
            <wp:docPr id="7" name="Picture 1" descr="This chart is a relection of the table above and shows the proportion of notifications submitted by each member state." title="Figure 2: Member State Notifications January – December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chart is a relection of the table above and shows the proportion of notifications submitted by each member state."/>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265420" cy="4693920"/>
                    </a:xfrm>
                    <a:prstGeom prst="rect">
                      <a:avLst/>
                    </a:prstGeom>
                    <a:noFill/>
                    <a:ln>
                      <a:noFill/>
                    </a:ln>
                  </pic:spPr>
                </pic:pic>
              </a:graphicData>
            </a:graphic>
          </wp:inline>
        </w:drawing>
      </w:r>
    </w:p>
    <w:p w:rsidR="00680482" w:rsidRDefault="00D54E88" w:rsidP="00680482">
      <w:pPr>
        <w:spacing w:after="0"/>
      </w:pPr>
      <w:r w:rsidRPr="00D54E88">
        <w:rPr>
          <w:b/>
        </w:rPr>
        <w:t xml:space="preserve">Figure </w:t>
      </w:r>
      <w:r w:rsidR="00EF78FA">
        <w:rPr>
          <w:b/>
        </w:rPr>
        <w:t>2</w:t>
      </w:r>
      <w:r w:rsidRPr="00D54E88">
        <w:t>:</w:t>
      </w:r>
      <w:r>
        <w:t xml:space="preserve"> Member State Notifications January – December 2013</w:t>
      </w:r>
    </w:p>
    <w:p w:rsidR="00680482" w:rsidRDefault="00680482" w:rsidP="00680482">
      <w:pPr>
        <w:spacing w:after="0"/>
      </w:pPr>
    </w:p>
    <w:p w:rsidR="005354CF" w:rsidRDefault="005354CF" w:rsidP="0076262B">
      <w:pPr>
        <w:pStyle w:val="StyleHeading1After0pt"/>
      </w:pPr>
    </w:p>
    <w:p w:rsidR="00890B43" w:rsidRPr="00744FC5" w:rsidRDefault="00890B43" w:rsidP="0076262B">
      <w:pPr>
        <w:pStyle w:val="StyleHeading1After0pt"/>
      </w:pPr>
      <w:bookmarkStart w:id="16" w:name="_Toc389036235"/>
      <w:r w:rsidRPr="00744FC5">
        <w:t>Internal Market Scoreboard</w:t>
      </w:r>
      <w:bookmarkEnd w:id="16"/>
    </w:p>
    <w:p w:rsidR="00680482" w:rsidRDefault="00680482" w:rsidP="001E7AC0">
      <w:pPr>
        <w:pStyle w:val="Heading4"/>
      </w:pPr>
    </w:p>
    <w:p w:rsidR="00890B43" w:rsidRPr="00C811BA" w:rsidRDefault="00890B43" w:rsidP="00A40201">
      <w:pPr>
        <w:pStyle w:val="Heading2"/>
      </w:pPr>
      <w:r w:rsidRPr="00C811BA">
        <w:t>Background</w:t>
      </w:r>
    </w:p>
    <w:p w:rsidR="00890B43" w:rsidRPr="00955202" w:rsidRDefault="00890B43" w:rsidP="001E7AC0">
      <w:pPr>
        <w:numPr>
          <w:ilvl w:val="0"/>
          <w:numId w:val="18"/>
        </w:numPr>
      </w:pPr>
      <w:r w:rsidRPr="00955202">
        <w:t xml:space="preserve">The </w:t>
      </w:r>
      <w:r w:rsidR="003219ED">
        <w:t xml:space="preserve">Commission publishes the </w:t>
      </w:r>
      <w:r w:rsidRPr="00955202">
        <w:t>Internal</w:t>
      </w:r>
      <w:r w:rsidR="00C811BA">
        <w:t xml:space="preserve"> Market Scoreboard twice a year</w:t>
      </w:r>
      <w:r w:rsidR="006B1D3A">
        <w:t xml:space="preserve"> - </w:t>
      </w:r>
      <w:r w:rsidR="003219ED">
        <w:t xml:space="preserve">the Scoreboard </w:t>
      </w:r>
      <w:r w:rsidRPr="00955202">
        <w:t>measures EU Member States</w:t>
      </w:r>
      <w:r w:rsidR="00C811BA">
        <w:t xml:space="preserve">’ performance on </w:t>
      </w:r>
      <w:r w:rsidR="003219ED">
        <w:t xml:space="preserve">introducing and implementing single market </w:t>
      </w:r>
      <w:r w:rsidR="00C811BA">
        <w:t xml:space="preserve">legislation.  The first Scoreboard of the </w:t>
      </w:r>
      <w:r w:rsidRPr="00955202">
        <w:t xml:space="preserve">year covers Internal Market Directives that are not fully </w:t>
      </w:r>
      <w:r w:rsidR="00236F78">
        <w:t xml:space="preserve">incorporated into UK law (or </w:t>
      </w:r>
      <w:r w:rsidRPr="00955202">
        <w:t>transposed</w:t>
      </w:r>
      <w:r w:rsidR="00236F78">
        <w:t>)</w:t>
      </w:r>
      <w:r w:rsidRPr="00955202">
        <w:t xml:space="preserve"> with a transposition deadline of up to and including 30</w:t>
      </w:r>
      <w:r w:rsidR="006B1D3A" w:rsidRPr="006B1D3A">
        <w:rPr>
          <w:vertAlign w:val="superscript"/>
        </w:rPr>
        <w:t>th</w:t>
      </w:r>
      <w:r w:rsidRPr="00955202">
        <w:t xml:space="preserve"> April</w:t>
      </w:r>
      <w:r w:rsidR="008E5F5F">
        <w:t>.  T</w:t>
      </w:r>
      <w:r w:rsidR="00C811BA">
        <w:t xml:space="preserve">he second scoreboard </w:t>
      </w:r>
      <w:r w:rsidRPr="00955202">
        <w:t>cover</w:t>
      </w:r>
      <w:r w:rsidR="00C811BA">
        <w:t>s</w:t>
      </w:r>
      <w:r w:rsidRPr="00955202">
        <w:t xml:space="preserve"> those Directives that are not fully transposed and have a transposition deadline of up to and including </w:t>
      </w:r>
      <w:r w:rsidR="005A5682" w:rsidRPr="00955202">
        <w:t>3</w:t>
      </w:r>
      <w:r w:rsidR="005A5682">
        <w:t xml:space="preserve">1st </w:t>
      </w:r>
      <w:r w:rsidR="005A5682" w:rsidRPr="00955202">
        <w:t>October</w:t>
      </w:r>
      <w:r w:rsidRPr="00955202">
        <w:t>.</w:t>
      </w:r>
    </w:p>
    <w:p w:rsidR="00890B43" w:rsidRPr="00955202" w:rsidRDefault="00890B43" w:rsidP="001E7AC0">
      <w:pPr>
        <w:numPr>
          <w:ilvl w:val="0"/>
          <w:numId w:val="18"/>
        </w:numPr>
      </w:pPr>
      <w:r w:rsidRPr="00955202">
        <w:t>Compliance is assessed by reference to several measures including h</w:t>
      </w:r>
      <w:r w:rsidR="003219ED">
        <w:t xml:space="preserve">ow quickly and how well each </w:t>
      </w:r>
      <w:r w:rsidRPr="00955202">
        <w:t>Member State transpose</w:t>
      </w:r>
      <w:r w:rsidR="00C811BA">
        <w:t>s</w:t>
      </w:r>
      <w:r w:rsidRPr="00955202">
        <w:t xml:space="preserve"> Internal Market Directives into national law</w:t>
      </w:r>
      <w:r w:rsidR="00137E9D">
        <w:t xml:space="preserve">.  Any </w:t>
      </w:r>
      <w:r w:rsidR="00236F78">
        <w:t xml:space="preserve">assessment takes into account </w:t>
      </w:r>
      <w:r w:rsidRPr="00955202">
        <w:t xml:space="preserve">both the timeliness of transposition and the number of formal infringement proceedings taken against each Member State for incorrect implementation and/or misapplication of Directives. </w:t>
      </w:r>
    </w:p>
    <w:p w:rsidR="00890B43" w:rsidRPr="00955202" w:rsidRDefault="00890B43" w:rsidP="001E7AC0">
      <w:pPr>
        <w:numPr>
          <w:ilvl w:val="0"/>
          <w:numId w:val="18"/>
        </w:numPr>
      </w:pPr>
      <w:r w:rsidRPr="00955202">
        <w:lastRenderedPageBreak/>
        <w:t>The Commission set</w:t>
      </w:r>
      <w:r w:rsidR="008E5F5F">
        <w:t>s</w:t>
      </w:r>
      <w:r w:rsidRPr="00955202">
        <w:t xml:space="preserve"> a 1% target for transposition of EU Directives into national law for each Scoreboard, </w:t>
      </w:r>
      <w:r w:rsidR="00C811BA">
        <w:t>which means</w:t>
      </w:r>
      <w:r w:rsidRPr="00955202">
        <w:t xml:space="preserve"> </w:t>
      </w:r>
      <w:r w:rsidR="00C811BA">
        <w:t xml:space="preserve">that </w:t>
      </w:r>
      <w:r w:rsidRPr="00955202">
        <w:t>no Member State</w:t>
      </w:r>
      <w:r w:rsidR="003219ED">
        <w:t xml:space="preserve"> should </w:t>
      </w:r>
      <w:r w:rsidRPr="00955202">
        <w:t xml:space="preserve">have more than 1% of EU Directives outstanding for each Scoreboard.   </w:t>
      </w:r>
    </w:p>
    <w:p w:rsidR="00890B43" w:rsidRPr="00C811BA" w:rsidRDefault="00890B43" w:rsidP="0076262B">
      <w:pPr>
        <w:pStyle w:val="Heading2"/>
      </w:pPr>
      <w:r w:rsidRPr="00C811BA">
        <w:t>UK Performance</w:t>
      </w:r>
    </w:p>
    <w:p w:rsidR="00890B43" w:rsidRPr="00955202" w:rsidRDefault="006B1D3A" w:rsidP="001E7AC0">
      <w:pPr>
        <w:numPr>
          <w:ilvl w:val="0"/>
          <w:numId w:val="18"/>
        </w:numPr>
        <w:rPr>
          <w:lang w:val="en"/>
        </w:rPr>
      </w:pPr>
      <w:r>
        <w:rPr>
          <w:lang w:val="en"/>
        </w:rPr>
        <w:t>S</w:t>
      </w:r>
      <w:r w:rsidR="00C811BA">
        <w:rPr>
          <w:lang w:val="en"/>
        </w:rPr>
        <w:t xml:space="preserve">ince November 2012, </w:t>
      </w:r>
      <w:r w:rsidR="00890B43" w:rsidRPr="00955202">
        <w:rPr>
          <w:lang w:val="en"/>
        </w:rPr>
        <w:t>the UK has halved its transposition deficit from 1.0</w:t>
      </w:r>
      <w:r w:rsidR="00C811BA">
        <w:rPr>
          <w:lang w:val="en"/>
        </w:rPr>
        <w:t> % to 0.5 %</w:t>
      </w:r>
      <w:r w:rsidR="00890B43" w:rsidRPr="00955202">
        <w:rPr>
          <w:lang w:val="en"/>
        </w:rPr>
        <w:t>.  In addition, the</w:t>
      </w:r>
      <w:r w:rsidR="007652B3">
        <w:rPr>
          <w:lang w:val="en"/>
        </w:rPr>
        <w:t xml:space="preserve"> UK </w:t>
      </w:r>
      <w:r w:rsidR="00D57863">
        <w:rPr>
          <w:lang w:val="en"/>
        </w:rPr>
        <w:t xml:space="preserve">does not have </w:t>
      </w:r>
      <w:r w:rsidR="007652B3">
        <w:rPr>
          <w:lang w:val="en"/>
        </w:rPr>
        <w:t xml:space="preserve">any </w:t>
      </w:r>
      <w:r w:rsidR="00C811BA">
        <w:rPr>
          <w:lang w:val="en"/>
        </w:rPr>
        <w:t xml:space="preserve">Directives that are </w:t>
      </w:r>
      <w:r w:rsidR="00890B43" w:rsidRPr="00955202">
        <w:rPr>
          <w:lang w:val="en"/>
        </w:rPr>
        <w:t>more than two years beyond their transposition deadline</w:t>
      </w:r>
      <w:r w:rsidR="007652B3">
        <w:rPr>
          <w:lang w:val="en"/>
        </w:rPr>
        <w:t xml:space="preserve"> (and </w:t>
      </w:r>
      <w:r w:rsidR="00D57863">
        <w:rPr>
          <w:lang w:val="en"/>
        </w:rPr>
        <w:t xml:space="preserve">this has been the case </w:t>
      </w:r>
      <w:r w:rsidR="007652B3">
        <w:rPr>
          <w:lang w:val="en"/>
        </w:rPr>
        <w:t>since December 2009)</w:t>
      </w:r>
      <w:r w:rsidR="00137E9D">
        <w:rPr>
          <w:lang w:val="en"/>
        </w:rPr>
        <w:t>,</w:t>
      </w:r>
      <w:r w:rsidR="007652B3">
        <w:rPr>
          <w:lang w:val="en"/>
        </w:rPr>
        <w:t xml:space="preserve"> </w:t>
      </w:r>
      <w:r w:rsidR="00890B43" w:rsidRPr="00955202">
        <w:rPr>
          <w:lang w:val="en"/>
        </w:rPr>
        <w:t>which means that the UK has complied with the "zero tolerance" target.</w:t>
      </w:r>
    </w:p>
    <w:p w:rsidR="00890B43" w:rsidRDefault="00C811BA" w:rsidP="001E7AC0">
      <w:pPr>
        <w:pStyle w:val="BodyText2"/>
        <w:numPr>
          <w:ilvl w:val="0"/>
          <w:numId w:val="18"/>
        </w:numPr>
        <w:jc w:val="left"/>
        <w:rPr>
          <w:rFonts w:cs="Times New Roman"/>
        </w:rPr>
      </w:pPr>
      <w:r>
        <w:rPr>
          <w:rFonts w:cs="Times New Roman"/>
        </w:rPr>
        <w:t>Overall, t</w:t>
      </w:r>
      <w:r w:rsidR="00890B43" w:rsidRPr="00C811BA">
        <w:rPr>
          <w:rFonts w:cs="Times New Roman"/>
        </w:rPr>
        <w:t>he UK has generally performed well in the Scoreboard as the graph below, for the last 5 years (10 Scoreboards)</w:t>
      </w:r>
      <w:r w:rsidR="006B1D3A">
        <w:rPr>
          <w:rFonts w:cs="Times New Roman"/>
        </w:rPr>
        <w:t>,</w:t>
      </w:r>
      <w:r w:rsidR="00890B43" w:rsidRPr="00C811BA">
        <w:rPr>
          <w:rFonts w:cs="Times New Roman"/>
        </w:rPr>
        <w:t xml:space="preserve"> shows:</w:t>
      </w:r>
    </w:p>
    <w:p w:rsidR="00E21B30" w:rsidRDefault="004A5899" w:rsidP="001E7AC0">
      <w:r>
        <w:rPr>
          <w:noProof/>
          <w:lang w:eastAsia="en-GB"/>
        </w:rPr>
        <w:drawing>
          <wp:inline distT="0" distB="0" distL="0" distR="0">
            <wp:extent cx="5158740" cy="2865120"/>
            <wp:effectExtent l="0" t="0" r="3810" b="0"/>
            <wp:docPr id="6" name="Picture 2" descr="This graph shows the UK transposition deficit for Internal Market Scoreboards from May 2009 to November 2013. The UK met and or exceeded the EU transposition target of 1 percent for 6 out of ten scoreboards, the lowest deficit being zero point five percent in the May 2013 scoreboard. " title="Figure 3: UK result of Internal Market Scoreboards May 2009 –November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graph shows the UK transposition deficit for Internal Market Scoreboards from May 2009 to November 2013. The UK met and or exceeded the EU transposition target of 1 percent for 6 out of ten scoreboards, the lowest deficit being zero point five percent in the May 2013 scoreboard. "/>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158740" cy="2865120"/>
                    </a:xfrm>
                    <a:prstGeom prst="rect">
                      <a:avLst/>
                    </a:prstGeom>
                    <a:noFill/>
                    <a:ln>
                      <a:noFill/>
                    </a:ln>
                  </pic:spPr>
                </pic:pic>
              </a:graphicData>
            </a:graphic>
          </wp:inline>
        </w:drawing>
      </w:r>
    </w:p>
    <w:p w:rsidR="00890B43" w:rsidRPr="00D54E88" w:rsidRDefault="00D54E88" w:rsidP="001E7AC0">
      <w:r w:rsidRPr="00D54E88">
        <w:rPr>
          <w:b/>
        </w:rPr>
        <w:t xml:space="preserve">Figure </w:t>
      </w:r>
      <w:r w:rsidR="00EF78FA">
        <w:rPr>
          <w:b/>
        </w:rPr>
        <w:t>3</w:t>
      </w:r>
      <w:r w:rsidR="00890B43" w:rsidRPr="00D54E88">
        <w:t>: UK result of Internal Market Scoreboards May 2009 –November 2013</w:t>
      </w:r>
    </w:p>
    <w:p w:rsidR="006B1D3A" w:rsidRDefault="00890B43" w:rsidP="001E7AC0">
      <w:pPr>
        <w:numPr>
          <w:ilvl w:val="0"/>
          <w:numId w:val="18"/>
        </w:numPr>
      </w:pPr>
      <w:r>
        <w:t>For the May 2013 Scoreboard, the UK exc</w:t>
      </w:r>
      <w:r w:rsidR="00C811BA">
        <w:t>eeded the 1% target set by the C</w:t>
      </w:r>
      <w:r w:rsidR="003219ED">
        <w:t xml:space="preserve">ommission and achieved a </w:t>
      </w:r>
      <w:r>
        <w:t xml:space="preserve">best ever </w:t>
      </w:r>
      <w:r w:rsidR="00C811BA">
        <w:t xml:space="preserve">performance </w:t>
      </w:r>
      <w:r>
        <w:t xml:space="preserve">of a </w:t>
      </w:r>
      <w:r w:rsidRPr="007E6DFA">
        <w:rPr>
          <w:b/>
        </w:rPr>
        <w:t>0.5%</w:t>
      </w:r>
      <w:r>
        <w:t xml:space="preserve"> deficit score with just 7 Directives outstanding.</w:t>
      </w:r>
      <w:r w:rsidR="00C811BA">
        <w:t xml:space="preserve">  </w:t>
      </w:r>
      <w:r>
        <w:t>In t</w:t>
      </w:r>
      <w:r w:rsidR="00C811BA">
        <w:t xml:space="preserve">he most recent Scoreboard, for </w:t>
      </w:r>
      <w:r>
        <w:t>November 2013</w:t>
      </w:r>
      <w:r w:rsidR="00C811BA">
        <w:t>,</w:t>
      </w:r>
      <w:r>
        <w:t xml:space="preserve"> the UK has again met and exceeded the 1% target, with a transp</w:t>
      </w:r>
      <w:r w:rsidR="006B1D3A">
        <w:t xml:space="preserve">osition deficit of 0.7% and </w:t>
      </w:r>
      <w:r w:rsidR="00C811BA">
        <w:t xml:space="preserve">5 Directives outstanding.  </w:t>
      </w:r>
    </w:p>
    <w:p w:rsidR="00890B43" w:rsidRPr="00C811BA" w:rsidRDefault="00890B43" w:rsidP="001E7AC0">
      <w:pPr>
        <w:numPr>
          <w:ilvl w:val="0"/>
          <w:numId w:val="18"/>
        </w:numPr>
      </w:pPr>
      <w:r w:rsidRPr="00C811BA">
        <w:rPr>
          <w:lang w:val="en"/>
        </w:rPr>
        <w:t>In terms of the conformity of measures communicated to</w:t>
      </w:r>
      <w:r w:rsidR="00C811BA">
        <w:rPr>
          <w:lang w:val="en"/>
        </w:rPr>
        <w:t xml:space="preserve"> the Commission, the UK’s</w:t>
      </w:r>
      <w:r w:rsidRPr="00C811BA">
        <w:rPr>
          <w:lang w:val="en"/>
        </w:rPr>
        <w:t xml:space="preserve"> compliance deficit of 0.5 % is equal to the proposal from the Single Market Act for a 0.5 % target</w:t>
      </w:r>
      <w:r w:rsidR="00C811BA">
        <w:rPr>
          <w:lang w:val="en"/>
        </w:rPr>
        <w:t>.</w:t>
      </w:r>
    </w:p>
    <w:p w:rsidR="00890B43" w:rsidRPr="00C72480" w:rsidRDefault="004A5899" w:rsidP="001E7AC0">
      <w:r>
        <w:rPr>
          <w:noProof/>
          <w:lang w:eastAsia="en-GB"/>
        </w:rPr>
        <w:lastRenderedPageBreak/>
        <w:drawing>
          <wp:inline distT="0" distB="0" distL="0" distR="0">
            <wp:extent cx="5402580" cy="2697480"/>
            <wp:effectExtent l="0" t="0" r="0" b="7620"/>
            <wp:docPr id="5" name="Picture 3" descr="This table shows how the UK compliance deficit compares to the EU average, from May 2011 to May 2013. In May 2011 the UK compliance deficit was above the EU average but from November 2011, the UK compliance deficit has been equal to or lower than the EU average.  " title="Figure 4: UK result compared to the EU average in Internal Market Scoreboards May 2011 – November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is table shows how the UK compliance deficit compares to the EU average, from May 2011 to May 2013. In May 2011 the UK compliance deficit was above the EU average but from November 2011, the UK compliance deficit has been equal to or lower than the EU average.  "/>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402580" cy="2697480"/>
                    </a:xfrm>
                    <a:prstGeom prst="rect">
                      <a:avLst/>
                    </a:prstGeom>
                    <a:noFill/>
                    <a:ln>
                      <a:noFill/>
                    </a:ln>
                  </pic:spPr>
                </pic:pic>
              </a:graphicData>
            </a:graphic>
          </wp:inline>
        </w:drawing>
      </w:r>
    </w:p>
    <w:p w:rsidR="00890B43" w:rsidRPr="00D54E88" w:rsidRDefault="00D54E88" w:rsidP="00E21B30">
      <w:r w:rsidRPr="00D54E88">
        <w:rPr>
          <w:b/>
        </w:rPr>
        <w:t xml:space="preserve">Figure </w:t>
      </w:r>
      <w:r w:rsidR="00EF78FA">
        <w:rPr>
          <w:b/>
        </w:rPr>
        <w:t>4</w:t>
      </w:r>
      <w:r w:rsidR="00890B43" w:rsidRPr="00D54E88">
        <w:rPr>
          <w:b/>
        </w:rPr>
        <w:t>:</w:t>
      </w:r>
      <w:r w:rsidR="00890B43" w:rsidRPr="00D54E88">
        <w:t xml:space="preserve"> UK result compared to the EU average in Internal Market Scoreboards May 2011 – November 2013</w:t>
      </w:r>
    </w:p>
    <w:p w:rsidR="00E21B30" w:rsidRDefault="00E21B30" w:rsidP="001E7AC0">
      <w:pPr>
        <w:pStyle w:val="Heading4"/>
      </w:pPr>
    </w:p>
    <w:p w:rsidR="009C480B" w:rsidRDefault="009C480B" w:rsidP="0076262B">
      <w:pPr>
        <w:pStyle w:val="Heading2"/>
      </w:pPr>
      <w:r>
        <w:t>Forward L</w:t>
      </w:r>
      <w:r w:rsidRPr="00E77C60">
        <w:t>ook</w:t>
      </w:r>
    </w:p>
    <w:p w:rsidR="009C480B" w:rsidRDefault="009C480B" w:rsidP="001E7AC0">
      <w:pPr>
        <w:numPr>
          <w:ilvl w:val="0"/>
          <w:numId w:val="18"/>
        </w:numPr>
      </w:pPr>
      <w:r>
        <w:t>The next Scoreboard is due in May 2014 and covers Directives outstanding up to and including 30</w:t>
      </w:r>
      <w:r w:rsidRPr="006B1D3A">
        <w:rPr>
          <w:vertAlign w:val="superscript"/>
        </w:rPr>
        <w:t>th</w:t>
      </w:r>
      <w:r>
        <w:t xml:space="preserve"> April 2014: the UK currently has 36 such Directives.  At the date of this report, the UK has a transposition deficit score of </w:t>
      </w:r>
      <w:r w:rsidR="003777A9">
        <w:t>0.4%</w:t>
      </w:r>
      <w:r>
        <w:t xml:space="preserve">with </w:t>
      </w:r>
      <w:r w:rsidR="003777A9">
        <w:t>just 5</w:t>
      </w:r>
      <w:r>
        <w:t xml:space="preserve"> Directives outstanding and </w:t>
      </w:r>
      <w:r w:rsidR="003777A9">
        <w:t xml:space="preserve">has already met and exceeded </w:t>
      </w:r>
      <w:r>
        <w:t>the 1% target</w:t>
      </w:r>
      <w:r w:rsidR="003777A9">
        <w:t xml:space="preserve"> – and the UK </w:t>
      </w:r>
      <w:r w:rsidR="00137E9D">
        <w:t xml:space="preserve">is </w:t>
      </w:r>
      <w:r w:rsidR="003777A9">
        <w:t xml:space="preserve">on track to achieving </w:t>
      </w:r>
      <w:r w:rsidR="00137E9D">
        <w:t xml:space="preserve">its </w:t>
      </w:r>
      <w:r w:rsidR="003777A9">
        <w:t>lowest transposition deficit score to date</w:t>
      </w:r>
      <w:r>
        <w:t>.</w:t>
      </w:r>
    </w:p>
    <w:p w:rsidR="009C480B" w:rsidRPr="000C2280" w:rsidRDefault="009C480B" w:rsidP="0076262B">
      <w:pPr>
        <w:pStyle w:val="Heading2"/>
      </w:pPr>
      <w:r w:rsidRPr="000C2280">
        <w:t>Further information</w:t>
      </w:r>
    </w:p>
    <w:p w:rsidR="009C480B" w:rsidRDefault="009C480B" w:rsidP="001E7AC0">
      <w:pPr>
        <w:numPr>
          <w:ilvl w:val="0"/>
          <w:numId w:val="18"/>
        </w:numPr>
      </w:pPr>
      <w:r w:rsidRPr="009C480B">
        <w:t>In 2013,</w:t>
      </w:r>
      <w:r>
        <w:t xml:space="preserve"> the Commission </w:t>
      </w:r>
      <w:r w:rsidRPr="000345A7">
        <w:t>decided to merge a number of different reports into an online only Single Market Scoreboard covering 13 different tool</w:t>
      </w:r>
      <w:r>
        <w:t>s.  E</w:t>
      </w:r>
      <w:r w:rsidRPr="000345A7">
        <w:t xml:space="preserve">xcept for the statistics on transposition and infringement proceedings, which will </w:t>
      </w:r>
      <w:r>
        <w:t xml:space="preserve">continue to </w:t>
      </w:r>
      <w:r w:rsidRPr="000345A7">
        <w:t>be updated twice a year</w:t>
      </w:r>
      <w:r>
        <w:t>, the online Scoreboard will be updated annually</w:t>
      </w:r>
      <w:r w:rsidRPr="000345A7">
        <w:t>.</w:t>
      </w:r>
      <w:r>
        <w:t xml:space="preserve">  </w:t>
      </w:r>
    </w:p>
    <w:p w:rsidR="009C480B" w:rsidRDefault="009C480B" w:rsidP="001E7AC0">
      <w:pPr>
        <w:numPr>
          <w:ilvl w:val="0"/>
          <w:numId w:val="18"/>
        </w:numPr>
      </w:pPr>
      <w:r>
        <w:t xml:space="preserve">The full results of the </w:t>
      </w:r>
      <w:r w:rsidRPr="000345A7">
        <w:t>May 2013</w:t>
      </w:r>
      <w:r>
        <w:t xml:space="preserve"> and November 2013</w:t>
      </w:r>
      <w:r w:rsidRPr="000345A7">
        <w:t xml:space="preserve"> Scoreboard</w:t>
      </w:r>
      <w:r>
        <w:t>s</w:t>
      </w:r>
      <w:r w:rsidRPr="000345A7">
        <w:t xml:space="preserve"> can be found on the Commission website at:</w:t>
      </w:r>
      <w:r w:rsidRPr="00D80707">
        <w:t xml:space="preserve"> </w:t>
      </w:r>
    </w:p>
    <w:p w:rsidR="009C480B" w:rsidRPr="009C480B" w:rsidRDefault="003F1EE5" w:rsidP="001E7AC0">
      <w:pPr>
        <w:numPr>
          <w:ilvl w:val="0"/>
          <w:numId w:val="16"/>
        </w:numPr>
      </w:pPr>
      <w:hyperlink r:id="rId43" w:history="1">
        <w:r w:rsidR="009C480B" w:rsidRPr="009C480B">
          <w:rPr>
            <w:rStyle w:val="Hyperlink"/>
          </w:rPr>
          <w:t>http://ec.europa.eu/internal_market/scoreboard/_archives/2013/07/performance_by_governance_tool/transposition/index_en.htm</w:t>
        </w:r>
      </w:hyperlink>
      <w:r w:rsidR="009C480B" w:rsidRPr="009C480B">
        <w:t xml:space="preserve"> (for May 2013 Scoreboard)</w:t>
      </w:r>
    </w:p>
    <w:p w:rsidR="009C480B" w:rsidRPr="00CB7FC7" w:rsidRDefault="003F1EE5" w:rsidP="001E7AC0">
      <w:pPr>
        <w:numPr>
          <w:ilvl w:val="0"/>
          <w:numId w:val="16"/>
        </w:numPr>
      </w:pPr>
      <w:hyperlink r:id="rId44" w:history="1">
        <w:r w:rsidR="009C480B" w:rsidRPr="00CB7FC7">
          <w:rPr>
            <w:rStyle w:val="Hyperlink"/>
          </w:rPr>
          <w:t>www.ec.europa.eu/internal_market/scoreboard/performance_by_governance_tool/transposition/index_en.htm</w:t>
        </w:r>
      </w:hyperlink>
      <w:r w:rsidR="009C480B" w:rsidRPr="00CB7FC7">
        <w:t xml:space="preserve"> (for November 2013 Scoreboard).</w:t>
      </w:r>
    </w:p>
    <w:p w:rsidR="009C480B" w:rsidRDefault="009C480B" w:rsidP="001E7AC0">
      <w:pPr>
        <w:numPr>
          <w:ilvl w:val="0"/>
          <w:numId w:val="18"/>
        </w:numPr>
      </w:pPr>
      <w:r>
        <w:t>R</w:t>
      </w:r>
      <w:r w:rsidRPr="00D80707">
        <w:t xml:space="preserve">eports for </w:t>
      </w:r>
      <w:r>
        <w:t xml:space="preserve">previous Scoreboards can also be found on the Commission website at: </w:t>
      </w:r>
    </w:p>
    <w:p w:rsidR="009C480B" w:rsidRDefault="003F1EE5" w:rsidP="001E7AC0">
      <w:pPr>
        <w:numPr>
          <w:ilvl w:val="0"/>
          <w:numId w:val="17"/>
        </w:numPr>
      </w:pPr>
      <w:hyperlink r:id="rId45" w:history="1">
        <w:r w:rsidR="009C480B" w:rsidRPr="00117630">
          <w:rPr>
            <w:rStyle w:val="Hyperlink"/>
          </w:rPr>
          <w:t>www.ec.europa.eu/internal_market/score/index_en.htm</w:t>
        </w:r>
      </w:hyperlink>
      <w:r w:rsidR="009C480B">
        <w:t xml:space="preserve"> </w:t>
      </w:r>
    </w:p>
    <w:p w:rsidR="006704C3" w:rsidRDefault="009A13D9" w:rsidP="0027133E">
      <w:pPr>
        <w:pStyle w:val="Heading1"/>
      </w:pPr>
      <w:bookmarkStart w:id="17" w:name="_Conclusion"/>
      <w:bookmarkStart w:id="18" w:name="_Toc389036236"/>
      <w:bookmarkEnd w:id="17"/>
      <w:r>
        <w:lastRenderedPageBreak/>
        <w:t>Conclusion</w:t>
      </w:r>
      <w:bookmarkEnd w:id="18"/>
    </w:p>
    <w:p w:rsidR="009A13D9" w:rsidRPr="009A13D9" w:rsidRDefault="009A13D9" w:rsidP="0027133E">
      <w:pPr>
        <w:numPr>
          <w:ilvl w:val="0"/>
          <w:numId w:val="32"/>
        </w:numPr>
      </w:pPr>
      <w:r w:rsidRPr="009A13D9">
        <w:t>This first year’s performance of the UK Single Market Centre marks a significant step forward in providing a more comprehensive and coordinated resource for both businesses and citizens wanting to work, live, shop and trade in the EU.  In the next year, we will be looking to further improve our website, as well as attending key events and conferences, in order to raise our profile and increase awareness of our services, especially with SMEs, and the range of guidance and support that is already available to them.  In particular, we will be working to improve and embed the current policy feedback mechanisms to ensure that all the evidence we collect, including case studies and other examples of the “real life” problems people come up against when trying to access the Single Market and exercise their legal rights, is taken into account when considering new policy initiatives.  We are also keen to ensure that this evidence is more widely available and accessible to those both inside and outside of Government.</w:t>
      </w:r>
    </w:p>
    <w:p w:rsidR="009A13D9" w:rsidRPr="009A13D9" w:rsidRDefault="009A13D9" w:rsidP="0027133E">
      <w:pPr>
        <w:numPr>
          <w:ilvl w:val="0"/>
          <w:numId w:val="32"/>
        </w:numPr>
      </w:pPr>
      <w:r w:rsidRPr="009A13D9">
        <w:t>We are also working with a number of Single Market Centres in other EU countries to identify and share best practice as well as developing the business case that will help support and encourage other Member States to set up their own Single Market Centres.</w:t>
      </w:r>
    </w:p>
    <w:p w:rsidR="009A13D9" w:rsidRDefault="009A13D9" w:rsidP="001E7AC0"/>
    <w:p w:rsidR="009A13D9" w:rsidRDefault="009A13D9" w:rsidP="001E7AC0"/>
    <w:p w:rsidR="009A13D9" w:rsidRDefault="009A13D9" w:rsidP="001E7AC0"/>
    <w:p w:rsidR="009A13D9" w:rsidRPr="00FC508A" w:rsidRDefault="009A13D9" w:rsidP="001E7AC0">
      <w:pPr>
        <w:sectPr w:rsidR="009A13D9" w:rsidRPr="00FC508A" w:rsidSect="00B5752E">
          <w:headerReference w:type="even" r:id="rId46"/>
          <w:headerReference w:type="default" r:id="rId47"/>
          <w:headerReference w:type="first" r:id="rId48"/>
          <w:type w:val="continuous"/>
          <w:pgSz w:w="11906" w:h="16838" w:code="9"/>
          <w:pgMar w:top="1701" w:right="1134" w:bottom="1134" w:left="1134" w:header="437" w:footer="266" w:gutter="0"/>
          <w:cols w:space="720"/>
          <w:titlePg/>
        </w:sectPr>
      </w:pPr>
    </w:p>
    <w:p w:rsidR="00E32ED5" w:rsidRDefault="00E32ED5" w:rsidP="001E7AC0">
      <w:pPr>
        <w:pStyle w:val="EndpageText"/>
        <w:spacing w:line="360" w:lineRule="auto"/>
      </w:pPr>
      <w:r>
        <w:lastRenderedPageBreak/>
        <w:t xml:space="preserve">© Crown copyright </w:t>
      </w:r>
      <w:r w:rsidR="007C3A0F">
        <w:t>201</w:t>
      </w:r>
      <w:r w:rsidR="00E17803">
        <w:t>4</w:t>
      </w:r>
    </w:p>
    <w:p w:rsidR="00E30C7E" w:rsidRDefault="00FB1EB0" w:rsidP="001E7AC0">
      <w:pPr>
        <w:rPr>
          <w:sz w:val="20"/>
          <w:szCs w:val="20"/>
        </w:rPr>
      </w:pPr>
      <w:r w:rsidRPr="00FB1EB0">
        <w:rPr>
          <w:sz w:val="20"/>
          <w:szCs w:val="20"/>
        </w:rPr>
        <w:t xml:space="preserve">You may re-use this information (not including logos) free of charge in any format or medium, under the terms of the Open Government Licence. </w:t>
      </w:r>
      <w:r w:rsidR="003F6FD2">
        <w:rPr>
          <w:sz w:val="20"/>
          <w:szCs w:val="20"/>
        </w:rPr>
        <w:t>V</w:t>
      </w:r>
      <w:r w:rsidRPr="00FB1EB0">
        <w:rPr>
          <w:sz w:val="20"/>
          <w:szCs w:val="20"/>
        </w:rPr>
        <w:t xml:space="preserve">isit </w:t>
      </w:r>
      <w:hyperlink r:id="rId49" w:history="1">
        <w:r w:rsidR="004F2A57">
          <w:rPr>
            <w:rStyle w:val="Hyperlink"/>
            <w:sz w:val="20"/>
            <w:szCs w:val="20"/>
          </w:rPr>
          <w:t>www.nationalarchives.gov.uk/doc/open-government-licence</w:t>
        </w:r>
      </w:hyperlink>
      <w:r w:rsidR="004F2A57">
        <w:rPr>
          <w:sz w:val="20"/>
          <w:szCs w:val="20"/>
        </w:rPr>
        <w:t>,</w:t>
      </w:r>
      <w:r w:rsidRPr="00FB1EB0">
        <w:rPr>
          <w:sz w:val="20"/>
          <w:szCs w:val="20"/>
        </w:rPr>
        <w:t xml:space="preserve"> write to the Information Policy Team, The National Archives, Kew, </w:t>
      </w:r>
      <w:proofErr w:type="gramStart"/>
      <w:r w:rsidRPr="00FB1EB0">
        <w:rPr>
          <w:sz w:val="20"/>
          <w:szCs w:val="20"/>
        </w:rPr>
        <w:t>London</w:t>
      </w:r>
      <w:proofErr w:type="gramEnd"/>
      <w:r w:rsidRPr="00FB1EB0">
        <w:rPr>
          <w:sz w:val="20"/>
          <w:szCs w:val="20"/>
        </w:rPr>
        <w:t xml:space="preserve"> TW9 4DU, or email: </w:t>
      </w:r>
      <w:hyperlink r:id="rId50" w:history="1">
        <w:r w:rsidRPr="001A3ADE">
          <w:rPr>
            <w:rStyle w:val="Hyperlink"/>
            <w:sz w:val="20"/>
            <w:szCs w:val="20"/>
          </w:rPr>
          <w:t>psi@nationalarchives.gsi.gov.uk</w:t>
        </w:r>
      </w:hyperlink>
      <w:r w:rsidRPr="00FB1EB0">
        <w:rPr>
          <w:sz w:val="20"/>
          <w:szCs w:val="20"/>
        </w:rPr>
        <w:t>.</w:t>
      </w:r>
    </w:p>
    <w:p w:rsidR="00331FF7" w:rsidRPr="008E6C2D" w:rsidRDefault="00331FF7" w:rsidP="001E7AC0">
      <w:pPr>
        <w:rPr>
          <w:sz w:val="20"/>
          <w:szCs w:val="20"/>
        </w:rPr>
      </w:pPr>
      <w:r w:rsidRPr="00CD3BAA">
        <w:rPr>
          <w:sz w:val="20"/>
          <w:szCs w:val="20"/>
        </w:rPr>
        <w:t xml:space="preserve">This publication available </w:t>
      </w:r>
      <w:r w:rsidRPr="008E6C2D">
        <w:rPr>
          <w:sz w:val="20"/>
          <w:szCs w:val="20"/>
        </w:rPr>
        <w:t xml:space="preserve">from </w:t>
      </w:r>
      <w:hyperlink r:id="rId51" w:history="1">
        <w:r w:rsidR="008E6C2D" w:rsidRPr="008E6C2D">
          <w:rPr>
            <w:rStyle w:val="Hyperlink"/>
            <w:sz w:val="20"/>
            <w:szCs w:val="20"/>
          </w:rPr>
          <w:t>www.gov.uk/bis</w:t>
        </w:r>
      </w:hyperlink>
      <w:r w:rsidRPr="008E6C2D">
        <w:rPr>
          <w:sz w:val="20"/>
          <w:szCs w:val="20"/>
        </w:rPr>
        <w:t xml:space="preserve"> </w:t>
      </w:r>
    </w:p>
    <w:p w:rsidR="00E30C7E" w:rsidRDefault="00E30C7E" w:rsidP="001E7AC0">
      <w:pPr>
        <w:spacing w:line="360" w:lineRule="auto"/>
      </w:pPr>
      <w:r>
        <w:rPr>
          <w:sz w:val="20"/>
          <w:szCs w:val="20"/>
        </w:rPr>
        <w:t>Any enquiries regarding this publication should be sent to:</w:t>
      </w:r>
    </w:p>
    <w:p w:rsidR="00E30C7E" w:rsidRDefault="00E30C7E" w:rsidP="001E7AC0">
      <w:pPr>
        <w:pStyle w:val="EndpageText"/>
        <w:spacing w:line="240" w:lineRule="auto"/>
      </w:pPr>
      <w:r>
        <w:t>Department for Business, Innovation and Skills</w:t>
      </w:r>
    </w:p>
    <w:p w:rsidR="00E30C7E" w:rsidRDefault="00E30C7E" w:rsidP="001E7AC0">
      <w:pPr>
        <w:pStyle w:val="EndpageText"/>
        <w:spacing w:line="240" w:lineRule="auto"/>
      </w:pPr>
      <w:r>
        <w:t>1 Victoria Street</w:t>
      </w:r>
    </w:p>
    <w:p w:rsidR="00E30C7E" w:rsidRDefault="00E30C7E" w:rsidP="001E7AC0">
      <w:pPr>
        <w:pStyle w:val="EndpageText"/>
      </w:pPr>
      <w:r>
        <w:t>London SW1H 0ET</w:t>
      </w:r>
    </w:p>
    <w:p w:rsidR="003D57B6" w:rsidRDefault="003D57B6" w:rsidP="001E7AC0">
      <w:pPr>
        <w:pStyle w:val="EndpageText"/>
      </w:pPr>
      <w:r>
        <w:t>Tel: 020 7215 5000</w:t>
      </w:r>
    </w:p>
    <w:p w:rsidR="003D57B6" w:rsidRDefault="003D57B6" w:rsidP="001E7AC0">
      <w:pPr>
        <w:pStyle w:val="EndpageText"/>
      </w:pPr>
    </w:p>
    <w:p w:rsidR="00E30C7E" w:rsidRDefault="003D57B6" w:rsidP="001E7AC0">
      <w:pPr>
        <w:pStyle w:val="EndpageText"/>
        <w:rPr>
          <w:b/>
          <w:bCs/>
        </w:rPr>
      </w:pPr>
      <w:r>
        <w:t xml:space="preserve">If you require this publication in an alternative format, </w:t>
      </w:r>
      <w:r w:rsidRPr="003D57B6">
        <w:rPr>
          <w:szCs w:val="20"/>
        </w:rPr>
        <w:t xml:space="preserve">email </w:t>
      </w:r>
      <w:hyperlink r:id="rId52" w:history="1">
        <w:r w:rsidRPr="003D57B6">
          <w:rPr>
            <w:rStyle w:val="Hyperlink"/>
            <w:sz w:val="20"/>
            <w:szCs w:val="20"/>
          </w:rPr>
          <w:t>enquiries@bis.gsi.gov.uk</w:t>
        </w:r>
      </w:hyperlink>
      <w:r w:rsidR="00C378B1">
        <w:rPr>
          <w:szCs w:val="20"/>
        </w:rPr>
        <w:t>,</w:t>
      </w:r>
      <w:r w:rsidRPr="003D57B6">
        <w:rPr>
          <w:szCs w:val="20"/>
        </w:rPr>
        <w:t xml:space="preserve"> or</w:t>
      </w:r>
      <w:r>
        <w:t xml:space="preserve"> call 020 7215 5000.</w:t>
      </w:r>
    </w:p>
    <w:p w:rsidR="00FB1EB0" w:rsidRPr="00E30C7E" w:rsidRDefault="00F86663" w:rsidP="001E7AC0">
      <w:pPr>
        <w:pStyle w:val="EndpageText"/>
        <w:rPr>
          <w:b/>
          <w:bCs/>
        </w:rPr>
      </w:pPr>
      <w:r>
        <w:rPr>
          <w:b/>
        </w:rPr>
        <w:t>BIS/</w:t>
      </w:r>
      <w:r w:rsidR="007C3A0F">
        <w:rPr>
          <w:b/>
        </w:rPr>
        <w:t>1</w:t>
      </w:r>
      <w:r w:rsidR="00E17803">
        <w:rPr>
          <w:b/>
        </w:rPr>
        <w:t>4</w:t>
      </w:r>
      <w:r w:rsidR="003D57B6">
        <w:rPr>
          <w:b/>
        </w:rPr>
        <w:t>/</w:t>
      </w:r>
      <w:r w:rsidR="005354CF">
        <w:rPr>
          <w:b/>
        </w:rPr>
        <w:t>798</w:t>
      </w:r>
    </w:p>
    <w:sectPr w:rsidR="00FB1EB0" w:rsidRPr="00E30C7E" w:rsidSect="00D40482">
      <w:headerReference w:type="even" r:id="rId53"/>
      <w:headerReference w:type="default" r:id="rId54"/>
      <w:headerReference w:type="first" r:id="rId55"/>
      <w:footerReference w:type="first" r:id="rId56"/>
      <w:pgSz w:w="11906" w:h="16838" w:code="9"/>
      <w:pgMar w:top="11341" w:right="680" w:bottom="680" w:left="964" w:header="437" w:footer="2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325" w:rsidRDefault="006B6325">
      <w:r>
        <w:separator/>
      </w:r>
    </w:p>
  </w:endnote>
  <w:endnote w:type="continuationSeparator" w:id="0">
    <w:p w:rsidR="006B6325" w:rsidRDefault="006B6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90B" w:rsidRDefault="002A490B" w:rsidP="006645DC">
    <w:pPr>
      <w:pStyle w:val="EvenPageNumber"/>
      <w:jc w:val="right"/>
    </w:pPr>
    <w:r w:rsidRPr="003966DE">
      <w:rPr>
        <w:rFonts w:cs="Arial"/>
      </w:rPr>
      <w:fldChar w:fldCharType="begin"/>
    </w:r>
    <w:r w:rsidRPr="003966DE">
      <w:rPr>
        <w:rFonts w:cs="Arial"/>
      </w:rPr>
      <w:instrText xml:space="preserve">PAGE  </w:instrText>
    </w:r>
    <w:r w:rsidRPr="003966DE">
      <w:rPr>
        <w:rFonts w:cs="Arial"/>
      </w:rPr>
      <w:fldChar w:fldCharType="separate"/>
    </w:r>
    <w:r>
      <w:rPr>
        <w:rFonts w:cs="Arial"/>
        <w:noProof/>
      </w:rPr>
      <w:t>6</w:t>
    </w:r>
    <w:r w:rsidRPr="003966DE">
      <w:rPr>
        <w:rFonts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90B" w:rsidRPr="004D6DE1" w:rsidRDefault="002A490B" w:rsidP="006645DC">
    <w:pPr>
      <w:jc w:val="right"/>
    </w:pPr>
    <w:r w:rsidRPr="004D6DE1">
      <w:fldChar w:fldCharType="begin"/>
    </w:r>
    <w:r w:rsidRPr="004D6DE1">
      <w:instrText xml:space="preserve">PAGE  </w:instrText>
    </w:r>
    <w:r w:rsidRPr="004D6DE1">
      <w:fldChar w:fldCharType="separate"/>
    </w:r>
    <w:r w:rsidR="003F1EE5">
      <w:rPr>
        <w:noProof/>
      </w:rPr>
      <w:t>15</w:t>
    </w:r>
    <w:r w:rsidRPr="004D6DE1">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90B" w:rsidRPr="00FC3779" w:rsidRDefault="002A490B" w:rsidP="00FC3779">
    <w:pPr>
      <w:rPr>
        <w:rStyle w:val="Page1White"/>
        <w:rFonts w:ascii="Times New Roman" w:hAnsi="Times New Roman"/>
        <w:color w:val="auto"/>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325" w:rsidRDefault="006B6325">
      <w:r>
        <w:separator/>
      </w:r>
    </w:p>
  </w:footnote>
  <w:footnote w:type="continuationSeparator" w:id="0">
    <w:p w:rsidR="006B6325" w:rsidRDefault="006B63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90B" w:rsidRPr="00D90412" w:rsidRDefault="004A5899" w:rsidP="00D90412">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-33655</wp:posOffset>
              </wp:positionH>
              <wp:positionV relativeFrom="paragraph">
                <wp:posOffset>167640</wp:posOffset>
              </wp:positionV>
              <wp:extent cx="6559550" cy="0"/>
              <wp:effectExtent l="0" t="0" r="0" b="0"/>
              <wp:wrapTight wrapText="bothSides">
                <wp:wrapPolygon edited="0">
                  <wp:start x="0" y="-2147483648"/>
                  <wp:lineTo x="690" y="-2147483648"/>
                  <wp:lineTo x="690" y="-2147483648"/>
                  <wp:lineTo x="0" y="-2147483648"/>
                  <wp:lineTo x="0" y="-2147483648"/>
                </wp:wrapPolygon>
              </wp:wrapTight>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9550" cy="0"/>
                      </a:xfrm>
                      <a:prstGeom prst="line">
                        <a:avLst/>
                      </a:prstGeom>
                      <a:noFill/>
                      <a:ln w="12700">
                        <a:solidFill>
                          <a:srgbClr val="0066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13.2pt" to="513.8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" strokecolor="#06c" strokeweight="1pt">
              <w10:wrap type="tight"/>
            </v:line>
          </w:pict>
        </mc:Fallback>
      </mc:AlternateContent>
    </w:r>
    <w:r w:rsidR="002A490B" w:rsidRPr="00D90412">
      <w:t>DECC running header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90B" w:rsidRDefault="004A5899">
    <w:pPr>
      <w:pStyle w:val="Header"/>
    </w:pPr>
    <w:r>
      <w:rPr>
        <w:noProof/>
        <w:lang w:eastAsia="en-GB"/>
      </w:rPr>
      <w:drawing>
        <wp:anchor distT="0" distB="0" distL="114300" distR="114300" simplePos="0" relativeHeight="251658240" behindDoc="1" locked="0" layoutInCell="1" allowOverlap="1">
          <wp:simplePos x="0" y="0"/>
          <wp:positionH relativeFrom="column">
            <wp:posOffset>-781050</wp:posOffset>
          </wp:positionH>
          <wp:positionV relativeFrom="paragraph">
            <wp:posOffset>-454660</wp:posOffset>
          </wp:positionV>
          <wp:extent cx="7604125" cy="10744200"/>
          <wp:effectExtent l="0" t="0" r="0" b="0"/>
          <wp:wrapNone/>
          <wp:docPr id="3" name="Picture 3" descr="Department for Business, Innovation and Sk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partment for Business, Innovation and Skil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4125" cy="10744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90B" w:rsidRDefault="002A490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90B" w:rsidRPr="00D90412" w:rsidRDefault="004A5899" w:rsidP="00A95640">
    <w:pPr>
      <w:pStyle w:val="BISOddHeader"/>
    </w:pPr>
    <w:r>
      <w:rPr>
        <w:noProof/>
        <w:lang w:eastAsia="en-GB"/>
      </w:rPr>
      <mc:AlternateContent>
        <mc:Choice Requires="wps">
          <w:drawing>
            <wp:anchor distT="0" distB="0" distL="114300" distR="114300" simplePos="0" relativeHeight="251657216" behindDoc="0" locked="0" layoutInCell="1" allowOverlap="1">
              <wp:simplePos x="0" y="0"/>
              <wp:positionH relativeFrom="page">
                <wp:posOffset>0</wp:posOffset>
              </wp:positionH>
              <wp:positionV relativeFrom="page">
                <wp:posOffset>431800</wp:posOffset>
              </wp:positionV>
              <wp:extent cx="7560310" cy="0"/>
              <wp:effectExtent l="0" t="0" r="0" b="0"/>
              <wp:wrapTight wrapText="bothSides">
                <wp:wrapPolygon edited="0">
                  <wp:start x="2" y="-2147483648"/>
                  <wp:lineTo x="689" y="-2147483648"/>
                  <wp:lineTo x="689" y="-2147483648"/>
                  <wp:lineTo x="2" y="-2147483648"/>
                  <wp:lineTo x="2" y="-2147483648"/>
                </wp:wrapPolygon>
              </wp:wrapTight>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12700">
                        <a:solidFill>
                          <a:srgbClr val="00347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34pt" to="595.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" strokecolor="#003478" strokeweight="1pt">
              <w10:wrap type="tight" anchorx="page" anchory="page"/>
            </v:line>
          </w:pict>
        </mc:Fallback>
      </mc:AlternateContent>
    </w:r>
    <w:r w:rsidR="002A490B" w:rsidRPr="005354CF">
      <w:t xml:space="preserve"> </w:t>
    </w:r>
    <w:r w:rsidR="002A490B">
      <w:t>UK Single Market Centre Annual Report 2013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90B" w:rsidRDefault="002A490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90B" w:rsidRDefault="002A490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90B" w:rsidRDefault="002A490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90B" w:rsidRPr="00015C4E" w:rsidRDefault="004A5899" w:rsidP="00015C4E">
    <w:r>
      <w:rPr>
        <w:noProof/>
        <w:lang w:eastAsia="en-GB"/>
      </w:rPr>
      <mc:AlternateContent>
        <mc:Choice Requires="wps">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7560310" cy="1069213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noFill/>
                      <a:ln w="9525">
                        <a:solidFill>
                          <a:srgbClr val="003478"/>
                        </a:solidFill>
                        <a:miter lim="800000"/>
                        <a:headEnd/>
                        <a:tailEnd/>
                      </a:ln>
                      <a:extLst>
                        <a:ext uri="{909E8E84-426E-40DD-AFC4-6F175D3DCCD1}">
                          <a14:hiddenFill xmlns:a14="http://schemas.microsoft.com/office/drawing/2010/main">
                            <a:solidFill>
                              <a:srgbClr val="003478"/>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0;width:595.3pt;height:841.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" filled="f" fillcolor="#003478" strokecolor="#003478">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A82E10"/>
    <w:lvl w:ilvl="0">
      <w:start w:val="1"/>
      <w:numFmt w:val="decimal"/>
      <w:lvlText w:val="%1."/>
      <w:lvlJc w:val="left"/>
      <w:pPr>
        <w:tabs>
          <w:tab w:val="num" w:pos="1492"/>
        </w:tabs>
        <w:ind w:left="1492" w:hanging="360"/>
      </w:pPr>
    </w:lvl>
  </w:abstractNum>
  <w:abstractNum w:abstractNumId="1">
    <w:nsid w:val="FFFFFF7D"/>
    <w:multiLevelType w:val="singleLevel"/>
    <w:tmpl w:val="186C52C6"/>
    <w:lvl w:ilvl="0">
      <w:start w:val="1"/>
      <w:numFmt w:val="decimal"/>
      <w:lvlText w:val="%1."/>
      <w:lvlJc w:val="left"/>
      <w:pPr>
        <w:tabs>
          <w:tab w:val="num" w:pos="1209"/>
        </w:tabs>
        <w:ind w:left="1209" w:hanging="360"/>
      </w:pPr>
    </w:lvl>
  </w:abstractNum>
  <w:abstractNum w:abstractNumId="2">
    <w:nsid w:val="FFFFFF7E"/>
    <w:multiLevelType w:val="singleLevel"/>
    <w:tmpl w:val="507869F4"/>
    <w:lvl w:ilvl="0">
      <w:start w:val="1"/>
      <w:numFmt w:val="decimal"/>
      <w:lvlText w:val="%1."/>
      <w:lvlJc w:val="left"/>
      <w:pPr>
        <w:tabs>
          <w:tab w:val="num" w:pos="926"/>
        </w:tabs>
        <w:ind w:left="926" w:hanging="360"/>
      </w:pPr>
    </w:lvl>
  </w:abstractNum>
  <w:abstractNum w:abstractNumId="3">
    <w:nsid w:val="FFFFFF7F"/>
    <w:multiLevelType w:val="singleLevel"/>
    <w:tmpl w:val="ED0A4270"/>
    <w:lvl w:ilvl="0">
      <w:start w:val="1"/>
      <w:numFmt w:val="decimal"/>
      <w:lvlText w:val="%1."/>
      <w:lvlJc w:val="left"/>
      <w:pPr>
        <w:tabs>
          <w:tab w:val="num" w:pos="643"/>
        </w:tabs>
        <w:ind w:left="643" w:hanging="360"/>
      </w:pPr>
    </w:lvl>
  </w:abstractNum>
  <w:abstractNum w:abstractNumId="4">
    <w:nsid w:val="FFFFFF80"/>
    <w:multiLevelType w:val="singleLevel"/>
    <w:tmpl w:val="E9F279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AEE176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9F0B0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307AE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E645FEC"/>
    <w:lvl w:ilvl="0">
      <w:start w:val="1"/>
      <w:numFmt w:val="decimal"/>
      <w:lvlText w:val="%1."/>
      <w:lvlJc w:val="left"/>
      <w:pPr>
        <w:tabs>
          <w:tab w:val="num" w:pos="360"/>
        </w:tabs>
        <w:ind w:left="360" w:hanging="360"/>
      </w:pPr>
    </w:lvl>
  </w:abstractNum>
  <w:abstractNum w:abstractNumId="9">
    <w:nsid w:val="FFFFFF89"/>
    <w:multiLevelType w:val="singleLevel"/>
    <w:tmpl w:val="C3AC523A"/>
    <w:lvl w:ilvl="0">
      <w:start w:val="1"/>
      <w:numFmt w:val="bullet"/>
      <w:lvlText w:val=""/>
      <w:lvlJc w:val="left"/>
      <w:pPr>
        <w:tabs>
          <w:tab w:val="num" w:pos="360"/>
        </w:tabs>
        <w:ind w:left="360" w:hanging="360"/>
      </w:pPr>
      <w:rPr>
        <w:rFonts w:ascii="Symbol" w:hAnsi="Symbol" w:hint="default"/>
      </w:rPr>
    </w:lvl>
  </w:abstractNum>
  <w:abstractNum w:abstractNumId="10">
    <w:nsid w:val="07090296"/>
    <w:multiLevelType w:val="hybridMultilevel"/>
    <w:tmpl w:val="D2385C9A"/>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nsid w:val="0AB15824"/>
    <w:multiLevelType w:val="multilevel"/>
    <w:tmpl w:val="FE105B6C"/>
    <w:styleLink w:val="StyleOutlinenumberedLeft089cmHanging063cm"/>
    <w:lvl w:ilvl="0">
      <w:start w:val="1"/>
      <w:numFmt w:val="decimal"/>
      <w:lvlText w:val="%1."/>
      <w:lvlJc w:val="left"/>
      <w:pPr>
        <w:ind w:left="567" w:firstLine="0"/>
      </w:pPr>
      <w:rPr>
        <w:rFonts w:ascii="Arial" w:hAnsi="Arial" w:hint="default"/>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0C3E6298"/>
    <w:multiLevelType w:val="hybridMultilevel"/>
    <w:tmpl w:val="38FC7DBC"/>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nsid w:val="118D0CC8"/>
    <w:multiLevelType w:val="hybridMultilevel"/>
    <w:tmpl w:val="35A0A5B2"/>
    <w:lvl w:ilvl="0" w:tplc="7608976A">
      <w:start w:val="1"/>
      <w:numFmt w:val="bullet"/>
      <w:pStyle w:val="ListBullet"/>
      <w:lvlText w:val=""/>
      <w:lvlJc w:val="left"/>
      <w:pPr>
        <w:tabs>
          <w:tab w:val="num" w:pos="284"/>
        </w:tabs>
        <w:ind w:left="284" w:hanging="284"/>
      </w:pPr>
      <w:rPr>
        <w:rFonts w:ascii="Symbol" w:hAnsi="Symbol" w:hint="default"/>
        <w:color w:val="000000"/>
        <w:sz w:val="24"/>
      </w:rPr>
    </w:lvl>
    <w:lvl w:ilvl="1" w:tplc="08090003">
      <w:start w:val="1"/>
      <w:numFmt w:val="bullet"/>
      <w:lvlText w:val="o"/>
      <w:lvlJc w:val="left"/>
      <w:pPr>
        <w:tabs>
          <w:tab w:val="num" w:pos="1327"/>
        </w:tabs>
        <w:ind w:left="1327" w:hanging="360"/>
      </w:pPr>
      <w:rPr>
        <w:rFonts w:ascii="Courier New" w:hAnsi="Courier New" w:hint="default"/>
      </w:rPr>
    </w:lvl>
    <w:lvl w:ilvl="2" w:tplc="08090005" w:tentative="1">
      <w:start w:val="1"/>
      <w:numFmt w:val="bullet"/>
      <w:lvlText w:val=""/>
      <w:lvlJc w:val="left"/>
      <w:pPr>
        <w:tabs>
          <w:tab w:val="num" w:pos="2047"/>
        </w:tabs>
        <w:ind w:left="2047" w:hanging="360"/>
      </w:pPr>
      <w:rPr>
        <w:rFonts w:ascii="Wingdings" w:hAnsi="Wingdings" w:hint="default"/>
      </w:rPr>
    </w:lvl>
    <w:lvl w:ilvl="3" w:tplc="08090001" w:tentative="1">
      <w:start w:val="1"/>
      <w:numFmt w:val="bullet"/>
      <w:lvlText w:val=""/>
      <w:lvlJc w:val="left"/>
      <w:pPr>
        <w:tabs>
          <w:tab w:val="num" w:pos="2767"/>
        </w:tabs>
        <w:ind w:left="2767" w:hanging="360"/>
      </w:pPr>
      <w:rPr>
        <w:rFonts w:ascii="Symbol" w:hAnsi="Symbol" w:hint="default"/>
      </w:rPr>
    </w:lvl>
    <w:lvl w:ilvl="4" w:tplc="08090003" w:tentative="1">
      <w:start w:val="1"/>
      <w:numFmt w:val="bullet"/>
      <w:lvlText w:val="o"/>
      <w:lvlJc w:val="left"/>
      <w:pPr>
        <w:tabs>
          <w:tab w:val="num" w:pos="3487"/>
        </w:tabs>
        <w:ind w:left="3487" w:hanging="360"/>
      </w:pPr>
      <w:rPr>
        <w:rFonts w:ascii="Courier New" w:hAnsi="Courier New" w:hint="default"/>
      </w:rPr>
    </w:lvl>
    <w:lvl w:ilvl="5" w:tplc="08090005" w:tentative="1">
      <w:start w:val="1"/>
      <w:numFmt w:val="bullet"/>
      <w:lvlText w:val=""/>
      <w:lvlJc w:val="left"/>
      <w:pPr>
        <w:tabs>
          <w:tab w:val="num" w:pos="4207"/>
        </w:tabs>
        <w:ind w:left="4207" w:hanging="360"/>
      </w:pPr>
      <w:rPr>
        <w:rFonts w:ascii="Wingdings" w:hAnsi="Wingdings" w:hint="default"/>
      </w:rPr>
    </w:lvl>
    <w:lvl w:ilvl="6" w:tplc="08090001" w:tentative="1">
      <w:start w:val="1"/>
      <w:numFmt w:val="bullet"/>
      <w:lvlText w:val=""/>
      <w:lvlJc w:val="left"/>
      <w:pPr>
        <w:tabs>
          <w:tab w:val="num" w:pos="4927"/>
        </w:tabs>
        <w:ind w:left="4927" w:hanging="360"/>
      </w:pPr>
      <w:rPr>
        <w:rFonts w:ascii="Symbol" w:hAnsi="Symbol" w:hint="default"/>
      </w:rPr>
    </w:lvl>
    <w:lvl w:ilvl="7" w:tplc="08090003" w:tentative="1">
      <w:start w:val="1"/>
      <w:numFmt w:val="bullet"/>
      <w:lvlText w:val="o"/>
      <w:lvlJc w:val="left"/>
      <w:pPr>
        <w:tabs>
          <w:tab w:val="num" w:pos="5647"/>
        </w:tabs>
        <w:ind w:left="5647" w:hanging="360"/>
      </w:pPr>
      <w:rPr>
        <w:rFonts w:ascii="Courier New" w:hAnsi="Courier New" w:hint="default"/>
      </w:rPr>
    </w:lvl>
    <w:lvl w:ilvl="8" w:tplc="08090005" w:tentative="1">
      <w:start w:val="1"/>
      <w:numFmt w:val="bullet"/>
      <w:lvlText w:val=""/>
      <w:lvlJc w:val="left"/>
      <w:pPr>
        <w:tabs>
          <w:tab w:val="num" w:pos="6367"/>
        </w:tabs>
        <w:ind w:left="6367" w:hanging="360"/>
      </w:pPr>
      <w:rPr>
        <w:rFonts w:ascii="Wingdings" w:hAnsi="Wingdings" w:hint="default"/>
      </w:rPr>
    </w:lvl>
  </w:abstractNum>
  <w:abstractNum w:abstractNumId="14">
    <w:nsid w:val="188672AC"/>
    <w:multiLevelType w:val="multilevel"/>
    <w:tmpl w:val="DEF4BCB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nsid w:val="24D65E2B"/>
    <w:multiLevelType w:val="hybridMultilevel"/>
    <w:tmpl w:val="CC5213AE"/>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nsid w:val="2847668E"/>
    <w:multiLevelType w:val="hybridMultilevel"/>
    <w:tmpl w:val="307A1108"/>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nsid w:val="29887258"/>
    <w:multiLevelType w:val="multilevel"/>
    <w:tmpl w:val="8F74D43C"/>
    <w:styleLink w:val="TableBullets"/>
    <w:lvl w:ilvl="0">
      <w:start w:val="1"/>
      <w:numFmt w:val="bullet"/>
      <w:lvlText w:val=""/>
      <w:lvlJc w:val="left"/>
      <w:pPr>
        <w:tabs>
          <w:tab w:val="num" w:pos="171"/>
        </w:tabs>
        <w:ind w:left="171" w:hanging="171"/>
      </w:pPr>
      <w:rPr>
        <w:rFonts w:ascii="Symbol" w:hAnsi="Symbol" w:hint="default"/>
        <w:color w:val="000000"/>
        <w:sz w:val="24"/>
      </w:rPr>
    </w:lvl>
    <w:lvl w:ilvl="1">
      <w:start w:val="1"/>
      <w:numFmt w:val="bullet"/>
      <w:lvlText w:val=""/>
      <w:lvlJc w:val="left"/>
      <w:pPr>
        <w:tabs>
          <w:tab w:val="num" w:pos="113"/>
        </w:tabs>
        <w:ind w:left="227" w:hanging="114"/>
      </w:pPr>
      <w:rPr>
        <w:rFonts w:ascii="Symbol" w:hAnsi="Symbol"/>
        <w:color w:val="000000"/>
        <w:sz w:val="24"/>
        <w:szCs w:val="24"/>
      </w:rPr>
    </w:lvl>
    <w:lvl w:ilvl="2">
      <w:start w:val="1"/>
      <w:numFmt w:val="bullet"/>
      <w:lvlText w:val=""/>
      <w:lvlJc w:val="left"/>
      <w:pPr>
        <w:tabs>
          <w:tab w:val="num" w:pos="2047"/>
        </w:tabs>
        <w:ind w:left="2047" w:hanging="360"/>
      </w:pPr>
      <w:rPr>
        <w:rFonts w:ascii="Wingdings" w:hAnsi="Wingdings" w:hint="default"/>
      </w:rPr>
    </w:lvl>
    <w:lvl w:ilvl="3">
      <w:start w:val="1"/>
      <w:numFmt w:val="bullet"/>
      <w:lvlText w:val=""/>
      <w:lvlJc w:val="left"/>
      <w:pPr>
        <w:tabs>
          <w:tab w:val="num" w:pos="2767"/>
        </w:tabs>
        <w:ind w:left="2767" w:hanging="360"/>
      </w:pPr>
      <w:rPr>
        <w:rFonts w:ascii="Symbol" w:hAnsi="Symbol" w:hint="default"/>
      </w:rPr>
    </w:lvl>
    <w:lvl w:ilvl="4">
      <w:start w:val="1"/>
      <w:numFmt w:val="bullet"/>
      <w:lvlText w:val="o"/>
      <w:lvlJc w:val="left"/>
      <w:pPr>
        <w:tabs>
          <w:tab w:val="num" w:pos="3487"/>
        </w:tabs>
        <w:ind w:left="3487" w:hanging="360"/>
      </w:pPr>
      <w:rPr>
        <w:rFonts w:ascii="Courier New" w:hAnsi="Courier New" w:hint="default"/>
      </w:rPr>
    </w:lvl>
    <w:lvl w:ilvl="5">
      <w:start w:val="1"/>
      <w:numFmt w:val="bullet"/>
      <w:lvlText w:val=""/>
      <w:lvlJc w:val="left"/>
      <w:pPr>
        <w:tabs>
          <w:tab w:val="num" w:pos="4207"/>
        </w:tabs>
        <w:ind w:left="4207" w:hanging="360"/>
      </w:pPr>
      <w:rPr>
        <w:rFonts w:ascii="Wingdings" w:hAnsi="Wingdings" w:hint="default"/>
      </w:rPr>
    </w:lvl>
    <w:lvl w:ilvl="6">
      <w:start w:val="1"/>
      <w:numFmt w:val="bullet"/>
      <w:lvlText w:val=""/>
      <w:lvlJc w:val="left"/>
      <w:pPr>
        <w:tabs>
          <w:tab w:val="num" w:pos="4927"/>
        </w:tabs>
        <w:ind w:left="4927" w:hanging="360"/>
      </w:pPr>
      <w:rPr>
        <w:rFonts w:ascii="Symbol" w:hAnsi="Symbol" w:hint="default"/>
      </w:rPr>
    </w:lvl>
    <w:lvl w:ilvl="7">
      <w:start w:val="1"/>
      <w:numFmt w:val="bullet"/>
      <w:lvlText w:val="o"/>
      <w:lvlJc w:val="left"/>
      <w:pPr>
        <w:tabs>
          <w:tab w:val="num" w:pos="5647"/>
        </w:tabs>
        <w:ind w:left="5647" w:hanging="360"/>
      </w:pPr>
      <w:rPr>
        <w:rFonts w:ascii="Courier New" w:hAnsi="Courier New" w:hint="default"/>
      </w:rPr>
    </w:lvl>
    <w:lvl w:ilvl="8">
      <w:start w:val="1"/>
      <w:numFmt w:val="bullet"/>
      <w:lvlText w:val=""/>
      <w:lvlJc w:val="left"/>
      <w:pPr>
        <w:tabs>
          <w:tab w:val="num" w:pos="6367"/>
        </w:tabs>
        <w:ind w:left="6367" w:hanging="360"/>
      </w:pPr>
      <w:rPr>
        <w:rFonts w:ascii="Wingdings" w:hAnsi="Wingdings" w:hint="default"/>
      </w:rPr>
    </w:lvl>
  </w:abstractNum>
  <w:abstractNum w:abstractNumId="18">
    <w:nsid w:val="3D54045A"/>
    <w:multiLevelType w:val="hybridMultilevel"/>
    <w:tmpl w:val="08EA70C2"/>
    <w:lvl w:ilvl="0" w:tplc="BB1E2244">
      <w:start w:val="1"/>
      <w:numFmt w:val="decimal"/>
      <w:lvlText w:val="%1."/>
      <w:lvlJc w:val="left"/>
      <w:pPr>
        <w:ind w:left="720" w:hanging="360"/>
      </w:pPr>
      <w:rPr>
        <w:rFonts w:hint="default"/>
        <w:b w:val="0"/>
        <w:kern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06642C4"/>
    <w:multiLevelType w:val="hybridMultilevel"/>
    <w:tmpl w:val="A73E71F0"/>
    <w:lvl w:ilvl="0" w:tplc="15C6BBB6">
      <w:start w:val="5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1C72044"/>
    <w:multiLevelType w:val="multilevel"/>
    <w:tmpl w:val="21C84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55929EC"/>
    <w:multiLevelType w:val="hybridMultilevel"/>
    <w:tmpl w:val="DEF4BCB2"/>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nsid w:val="4B803F89"/>
    <w:multiLevelType w:val="multilevel"/>
    <w:tmpl w:val="FC54A81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3">
    <w:nsid w:val="520A186C"/>
    <w:multiLevelType w:val="hybridMultilevel"/>
    <w:tmpl w:val="3DD09F28"/>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nsid w:val="56216946"/>
    <w:multiLevelType w:val="hybridMultilevel"/>
    <w:tmpl w:val="F192F026"/>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nsid w:val="5CE931B4"/>
    <w:multiLevelType w:val="hybridMultilevel"/>
    <w:tmpl w:val="FC54A81C"/>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nsid w:val="658F74B1"/>
    <w:multiLevelType w:val="hybridMultilevel"/>
    <w:tmpl w:val="F5D23040"/>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nsid w:val="6E1E3B21"/>
    <w:multiLevelType w:val="multilevel"/>
    <w:tmpl w:val="CD386BF2"/>
    <w:styleLink w:val="Numberlist"/>
    <w:lvl w:ilvl="0">
      <w:start w:val="1"/>
      <w:numFmt w:val="decimal"/>
      <w:lvlText w:val="%1."/>
      <w:lvlJc w:val="left"/>
      <w:pPr>
        <w:ind w:left="862" w:hanging="357"/>
      </w:pPr>
      <w:rPr>
        <w:rFonts w:ascii="Arial" w:hAnsi="Arial" w:hint="default"/>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6FF846E7"/>
    <w:multiLevelType w:val="hybridMultilevel"/>
    <w:tmpl w:val="880A589C"/>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nsid w:val="73943769"/>
    <w:multiLevelType w:val="hybridMultilevel"/>
    <w:tmpl w:val="3A3A129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5CA136F"/>
    <w:multiLevelType w:val="hybridMultilevel"/>
    <w:tmpl w:val="BD8AD63C"/>
    <w:lvl w:ilvl="0" w:tplc="37541278">
      <w:start w:val="1"/>
      <w:numFmt w:val="bullet"/>
      <w:pStyle w:val="BISInsidebullets"/>
      <w:lvlText w:val=""/>
      <w:lvlJc w:val="left"/>
      <w:pPr>
        <w:tabs>
          <w:tab w:val="num" w:pos="360"/>
        </w:tabs>
        <w:ind w:left="360" w:hanging="360"/>
      </w:pPr>
      <w:rPr>
        <w:rFonts w:ascii="Wingdings 2" w:hAnsi="Wingdings 2" w:hint="default"/>
        <w:color w:val="FFFFFF"/>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nsid w:val="78EC5099"/>
    <w:multiLevelType w:val="hybridMultilevel"/>
    <w:tmpl w:val="019CFAB2"/>
    <w:lvl w:ilvl="0" w:tplc="260846F8">
      <w:start w:val="1"/>
      <w:numFmt w:val="decimal"/>
      <w:pStyle w:val="BISnumberingBold"/>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30"/>
  </w:num>
  <w:num w:numId="2">
    <w:abstractNumId w:val="13"/>
  </w:num>
  <w:num w:numId="3">
    <w:abstractNumId w:val="17"/>
  </w:num>
  <w:num w:numId="4">
    <w:abstractNumId w:val="31"/>
  </w:num>
  <w:num w:numId="5">
    <w:abstractNumId w:val="27"/>
  </w:num>
  <w:num w:numId="6">
    <w:abstractNumId w:val="11"/>
  </w:num>
  <w:num w:numId="7">
    <w:abstractNumId w:val="29"/>
  </w:num>
  <w:num w:numId="8">
    <w:abstractNumId w:val="12"/>
  </w:num>
  <w:num w:numId="9">
    <w:abstractNumId w:val="10"/>
  </w:num>
  <w:num w:numId="10">
    <w:abstractNumId w:val="21"/>
  </w:num>
  <w:num w:numId="11">
    <w:abstractNumId w:val="24"/>
  </w:num>
  <w:num w:numId="12">
    <w:abstractNumId w:val="15"/>
  </w:num>
  <w:num w:numId="13">
    <w:abstractNumId w:val="26"/>
  </w:num>
  <w:num w:numId="14">
    <w:abstractNumId w:val="28"/>
  </w:num>
  <w:num w:numId="15">
    <w:abstractNumId w:val="25"/>
  </w:num>
  <w:num w:numId="16">
    <w:abstractNumId w:val="23"/>
  </w:num>
  <w:num w:numId="17">
    <w:abstractNumId w:val="16"/>
  </w:num>
  <w:num w:numId="18">
    <w:abstractNumId w:val="18"/>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4"/>
  </w:num>
  <w:num w:numId="30">
    <w:abstractNumId w:val="22"/>
  </w:num>
  <w:num w:numId="31">
    <w:abstractNumId w:val="20"/>
  </w:num>
  <w:num w:numId="32">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revisionView w:markup="0"/>
  <w:documentProtection w:edit="readOnly" w:enforcement="1" w:cryptProviderType="rsaFull" w:cryptAlgorithmClass="hash" w:cryptAlgorithmType="typeAny" w:cryptAlgorithmSid="4" w:cryptSpinCount="100000" w:hash="FvVZPFMj9/venHb22mf962XfZ0Q=" w:salt="MBFrNuQeNcSOM19AQUpzWQ=="/>
  <w:defaultTabStop w:val="720"/>
  <w:displayHorizontalDrawingGridEvery w:val="0"/>
  <w:displayVerticalDrawingGridEvery w:val="0"/>
  <w:doNotUseMarginsForDrawingGridOrigin/>
  <w:noPunctuationKerning/>
  <w:characterSpacingControl w:val="doNotCompress"/>
  <w:hdrShapeDefaults>
    <o:shapedefaults v:ext="edit" spidmax="9217" style="mso-position-horizontal-relative:page;mso-position-vertical-relative:page" fillcolor="#003478" strokecolor="#003478">
      <v:fill color="#003478"/>
      <v:stroke color="#003478"/>
      <o:colormru v:ext="edit" colors="#009ee3,#aa0721,#06c,#00aeef,#9a9b00,#009ee0,#f08015,#742f8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42F"/>
    <w:rsid w:val="00001470"/>
    <w:rsid w:val="00004FAC"/>
    <w:rsid w:val="00006159"/>
    <w:rsid w:val="00012915"/>
    <w:rsid w:val="00015C4E"/>
    <w:rsid w:val="00025E44"/>
    <w:rsid w:val="0003394A"/>
    <w:rsid w:val="00034384"/>
    <w:rsid w:val="0004001C"/>
    <w:rsid w:val="0004279D"/>
    <w:rsid w:val="000478CD"/>
    <w:rsid w:val="00052A95"/>
    <w:rsid w:val="00053C78"/>
    <w:rsid w:val="000571CC"/>
    <w:rsid w:val="000604AF"/>
    <w:rsid w:val="00072613"/>
    <w:rsid w:val="00074492"/>
    <w:rsid w:val="0008288A"/>
    <w:rsid w:val="000839E6"/>
    <w:rsid w:val="00086288"/>
    <w:rsid w:val="000906E4"/>
    <w:rsid w:val="00091B5F"/>
    <w:rsid w:val="00091DE9"/>
    <w:rsid w:val="00096FAD"/>
    <w:rsid w:val="000B6352"/>
    <w:rsid w:val="000B7B04"/>
    <w:rsid w:val="000C26E1"/>
    <w:rsid w:val="000C2C1D"/>
    <w:rsid w:val="000D42C5"/>
    <w:rsid w:val="000E1F17"/>
    <w:rsid w:val="000E50CC"/>
    <w:rsid w:val="000E6439"/>
    <w:rsid w:val="000F5F3C"/>
    <w:rsid w:val="00103F41"/>
    <w:rsid w:val="0010466E"/>
    <w:rsid w:val="001100D6"/>
    <w:rsid w:val="00121991"/>
    <w:rsid w:val="00137E9D"/>
    <w:rsid w:val="0014731E"/>
    <w:rsid w:val="00155A9C"/>
    <w:rsid w:val="001573ED"/>
    <w:rsid w:val="00162A0F"/>
    <w:rsid w:val="001634C8"/>
    <w:rsid w:val="00166D1A"/>
    <w:rsid w:val="001705EB"/>
    <w:rsid w:val="001710B3"/>
    <w:rsid w:val="001726DF"/>
    <w:rsid w:val="0018767B"/>
    <w:rsid w:val="00191B54"/>
    <w:rsid w:val="00193033"/>
    <w:rsid w:val="0019491F"/>
    <w:rsid w:val="001A3FE6"/>
    <w:rsid w:val="001B3241"/>
    <w:rsid w:val="001C1FE5"/>
    <w:rsid w:val="001C6A9E"/>
    <w:rsid w:val="001C78F8"/>
    <w:rsid w:val="001D6D05"/>
    <w:rsid w:val="001E554A"/>
    <w:rsid w:val="001E79E8"/>
    <w:rsid w:val="001E7AC0"/>
    <w:rsid w:val="001F0FC6"/>
    <w:rsid w:val="001F21FE"/>
    <w:rsid w:val="001F2C2F"/>
    <w:rsid w:val="001F668F"/>
    <w:rsid w:val="001F72B1"/>
    <w:rsid w:val="00201B9C"/>
    <w:rsid w:val="0022300C"/>
    <w:rsid w:val="00224C7F"/>
    <w:rsid w:val="00226F71"/>
    <w:rsid w:val="00232B67"/>
    <w:rsid w:val="0023304D"/>
    <w:rsid w:val="00236F78"/>
    <w:rsid w:val="00244FC1"/>
    <w:rsid w:val="002451F0"/>
    <w:rsid w:val="00246F54"/>
    <w:rsid w:val="00247E8F"/>
    <w:rsid w:val="0025397C"/>
    <w:rsid w:val="002670F6"/>
    <w:rsid w:val="0027133E"/>
    <w:rsid w:val="0027224E"/>
    <w:rsid w:val="00272572"/>
    <w:rsid w:val="00273593"/>
    <w:rsid w:val="002800BB"/>
    <w:rsid w:val="0028755F"/>
    <w:rsid w:val="002A490B"/>
    <w:rsid w:val="002A5728"/>
    <w:rsid w:val="002B3CC2"/>
    <w:rsid w:val="002C3AFC"/>
    <w:rsid w:val="002C733F"/>
    <w:rsid w:val="002C7C81"/>
    <w:rsid w:val="002D12B5"/>
    <w:rsid w:val="002D7C4C"/>
    <w:rsid w:val="002E70DB"/>
    <w:rsid w:val="002F1CC6"/>
    <w:rsid w:val="002F1FF4"/>
    <w:rsid w:val="00300710"/>
    <w:rsid w:val="00307095"/>
    <w:rsid w:val="003072EB"/>
    <w:rsid w:val="00313932"/>
    <w:rsid w:val="003213B0"/>
    <w:rsid w:val="003219ED"/>
    <w:rsid w:val="00323E14"/>
    <w:rsid w:val="00324D1E"/>
    <w:rsid w:val="0032647B"/>
    <w:rsid w:val="003318CE"/>
    <w:rsid w:val="00331FF7"/>
    <w:rsid w:val="00334308"/>
    <w:rsid w:val="00336FC1"/>
    <w:rsid w:val="0033783A"/>
    <w:rsid w:val="00345BCB"/>
    <w:rsid w:val="00352391"/>
    <w:rsid w:val="00352686"/>
    <w:rsid w:val="00365381"/>
    <w:rsid w:val="003654E6"/>
    <w:rsid w:val="00371895"/>
    <w:rsid w:val="00371900"/>
    <w:rsid w:val="00373222"/>
    <w:rsid w:val="00377603"/>
    <w:rsid w:val="003777A9"/>
    <w:rsid w:val="00381CB9"/>
    <w:rsid w:val="00390385"/>
    <w:rsid w:val="003921D2"/>
    <w:rsid w:val="00396504"/>
    <w:rsid w:val="003966DE"/>
    <w:rsid w:val="003A14B5"/>
    <w:rsid w:val="003A7C94"/>
    <w:rsid w:val="003B321A"/>
    <w:rsid w:val="003C00D0"/>
    <w:rsid w:val="003C2743"/>
    <w:rsid w:val="003D5428"/>
    <w:rsid w:val="003D57B6"/>
    <w:rsid w:val="003E26A0"/>
    <w:rsid w:val="003E3EA2"/>
    <w:rsid w:val="003E6E7C"/>
    <w:rsid w:val="003F1EE5"/>
    <w:rsid w:val="003F35D6"/>
    <w:rsid w:val="003F6FD2"/>
    <w:rsid w:val="00400C1E"/>
    <w:rsid w:val="00404759"/>
    <w:rsid w:val="00424C33"/>
    <w:rsid w:val="00426583"/>
    <w:rsid w:val="00427592"/>
    <w:rsid w:val="004304A6"/>
    <w:rsid w:val="0043287E"/>
    <w:rsid w:val="00436587"/>
    <w:rsid w:val="004367F6"/>
    <w:rsid w:val="00442169"/>
    <w:rsid w:val="00443BB2"/>
    <w:rsid w:val="0044797C"/>
    <w:rsid w:val="00452858"/>
    <w:rsid w:val="004547A4"/>
    <w:rsid w:val="004720BE"/>
    <w:rsid w:val="00472AF2"/>
    <w:rsid w:val="004805D2"/>
    <w:rsid w:val="00484140"/>
    <w:rsid w:val="00484B18"/>
    <w:rsid w:val="00484E7A"/>
    <w:rsid w:val="004A5899"/>
    <w:rsid w:val="004A7500"/>
    <w:rsid w:val="004B0934"/>
    <w:rsid w:val="004B10B7"/>
    <w:rsid w:val="004B68DA"/>
    <w:rsid w:val="004C424C"/>
    <w:rsid w:val="004C6198"/>
    <w:rsid w:val="004D6DE1"/>
    <w:rsid w:val="004E6E64"/>
    <w:rsid w:val="004F2A57"/>
    <w:rsid w:val="004F4F6E"/>
    <w:rsid w:val="004F5C6B"/>
    <w:rsid w:val="00523377"/>
    <w:rsid w:val="00523821"/>
    <w:rsid w:val="00530EB4"/>
    <w:rsid w:val="0053221C"/>
    <w:rsid w:val="00533C58"/>
    <w:rsid w:val="0053548E"/>
    <w:rsid w:val="005354CF"/>
    <w:rsid w:val="005359CD"/>
    <w:rsid w:val="00545FB2"/>
    <w:rsid w:val="00546612"/>
    <w:rsid w:val="0054671C"/>
    <w:rsid w:val="00564B29"/>
    <w:rsid w:val="005658B8"/>
    <w:rsid w:val="005729C4"/>
    <w:rsid w:val="005731A0"/>
    <w:rsid w:val="00576565"/>
    <w:rsid w:val="00581ECD"/>
    <w:rsid w:val="005917D7"/>
    <w:rsid w:val="005937E6"/>
    <w:rsid w:val="00595F47"/>
    <w:rsid w:val="005A169D"/>
    <w:rsid w:val="005A5354"/>
    <w:rsid w:val="005A5682"/>
    <w:rsid w:val="005A5E01"/>
    <w:rsid w:val="005A6936"/>
    <w:rsid w:val="005B402C"/>
    <w:rsid w:val="005B5177"/>
    <w:rsid w:val="005C11C2"/>
    <w:rsid w:val="005D1574"/>
    <w:rsid w:val="005D361A"/>
    <w:rsid w:val="005D58CC"/>
    <w:rsid w:val="005D6B39"/>
    <w:rsid w:val="005D7CA8"/>
    <w:rsid w:val="005E3265"/>
    <w:rsid w:val="005E7802"/>
    <w:rsid w:val="005F064A"/>
    <w:rsid w:val="00615012"/>
    <w:rsid w:val="00623D8F"/>
    <w:rsid w:val="00624791"/>
    <w:rsid w:val="00627DE3"/>
    <w:rsid w:val="006304BD"/>
    <w:rsid w:val="00632B1E"/>
    <w:rsid w:val="00641597"/>
    <w:rsid w:val="006420D3"/>
    <w:rsid w:val="00646737"/>
    <w:rsid w:val="00660C9A"/>
    <w:rsid w:val="00661A05"/>
    <w:rsid w:val="006645DC"/>
    <w:rsid w:val="006704C3"/>
    <w:rsid w:val="00680482"/>
    <w:rsid w:val="0068134A"/>
    <w:rsid w:val="00687425"/>
    <w:rsid w:val="00687DE2"/>
    <w:rsid w:val="00695264"/>
    <w:rsid w:val="0069635D"/>
    <w:rsid w:val="006968F7"/>
    <w:rsid w:val="006A1178"/>
    <w:rsid w:val="006A640A"/>
    <w:rsid w:val="006B1D3A"/>
    <w:rsid w:val="006B6325"/>
    <w:rsid w:val="006C1E05"/>
    <w:rsid w:val="006C2034"/>
    <w:rsid w:val="006C7FAF"/>
    <w:rsid w:val="006D45CC"/>
    <w:rsid w:val="006D5937"/>
    <w:rsid w:val="006D7AAD"/>
    <w:rsid w:val="00701629"/>
    <w:rsid w:val="007073CE"/>
    <w:rsid w:val="00715067"/>
    <w:rsid w:val="007263F1"/>
    <w:rsid w:val="00742E83"/>
    <w:rsid w:val="007464B0"/>
    <w:rsid w:val="007559C1"/>
    <w:rsid w:val="0076262B"/>
    <w:rsid w:val="007633BF"/>
    <w:rsid w:val="007652B3"/>
    <w:rsid w:val="007771C1"/>
    <w:rsid w:val="007A408C"/>
    <w:rsid w:val="007B35DF"/>
    <w:rsid w:val="007B36FA"/>
    <w:rsid w:val="007C3A0F"/>
    <w:rsid w:val="007D0048"/>
    <w:rsid w:val="007D6EA5"/>
    <w:rsid w:val="007E2FC0"/>
    <w:rsid w:val="00801DC1"/>
    <w:rsid w:val="0082011F"/>
    <w:rsid w:val="0082342F"/>
    <w:rsid w:val="00834C66"/>
    <w:rsid w:val="00834D3E"/>
    <w:rsid w:val="008571A1"/>
    <w:rsid w:val="00857773"/>
    <w:rsid w:val="0086018B"/>
    <w:rsid w:val="008637EB"/>
    <w:rsid w:val="0086654B"/>
    <w:rsid w:val="00867CDB"/>
    <w:rsid w:val="00870A19"/>
    <w:rsid w:val="0087154A"/>
    <w:rsid w:val="008724AD"/>
    <w:rsid w:val="00885FD3"/>
    <w:rsid w:val="00887C02"/>
    <w:rsid w:val="00890B43"/>
    <w:rsid w:val="0089227F"/>
    <w:rsid w:val="008A7BD8"/>
    <w:rsid w:val="008B1850"/>
    <w:rsid w:val="008B1DC2"/>
    <w:rsid w:val="008B49B1"/>
    <w:rsid w:val="008B723C"/>
    <w:rsid w:val="008C6170"/>
    <w:rsid w:val="008D1257"/>
    <w:rsid w:val="008D4AA9"/>
    <w:rsid w:val="008D5767"/>
    <w:rsid w:val="008D5B41"/>
    <w:rsid w:val="008E38E7"/>
    <w:rsid w:val="008E5F5F"/>
    <w:rsid w:val="008E6C2D"/>
    <w:rsid w:val="008F1D84"/>
    <w:rsid w:val="008F5ED4"/>
    <w:rsid w:val="008F5F95"/>
    <w:rsid w:val="00900791"/>
    <w:rsid w:val="00902FB0"/>
    <w:rsid w:val="0091120E"/>
    <w:rsid w:val="00913BC7"/>
    <w:rsid w:val="009210DE"/>
    <w:rsid w:val="00923859"/>
    <w:rsid w:val="009259CF"/>
    <w:rsid w:val="00933563"/>
    <w:rsid w:val="009448C3"/>
    <w:rsid w:val="00954CE8"/>
    <w:rsid w:val="00955202"/>
    <w:rsid w:val="00955223"/>
    <w:rsid w:val="0095568B"/>
    <w:rsid w:val="00955D2A"/>
    <w:rsid w:val="00962749"/>
    <w:rsid w:val="009637E7"/>
    <w:rsid w:val="00965A03"/>
    <w:rsid w:val="00972CE4"/>
    <w:rsid w:val="00973E65"/>
    <w:rsid w:val="009836D5"/>
    <w:rsid w:val="00985261"/>
    <w:rsid w:val="009910A8"/>
    <w:rsid w:val="0099401C"/>
    <w:rsid w:val="009946FA"/>
    <w:rsid w:val="009A13D9"/>
    <w:rsid w:val="009C1373"/>
    <w:rsid w:val="009C480B"/>
    <w:rsid w:val="009C7346"/>
    <w:rsid w:val="009D6FCA"/>
    <w:rsid w:val="009E06E1"/>
    <w:rsid w:val="009E46D2"/>
    <w:rsid w:val="009E6F74"/>
    <w:rsid w:val="009F117E"/>
    <w:rsid w:val="009F34E9"/>
    <w:rsid w:val="00A14146"/>
    <w:rsid w:val="00A143A9"/>
    <w:rsid w:val="00A148A4"/>
    <w:rsid w:val="00A15456"/>
    <w:rsid w:val="00A229D9"/>
    <w:rsid w:val="00A23AC3"/>
    <w:rsid w:val="00A264DD"/>
    <w:rsid w:val="00A31C9E"/>
    <w:rsid w:val="00A40201"/>
    <w:rsid w:val="00A44650"/>
    <w:rsid w:val="00A4725E"/>
    <w:rsid w:val="00A60F98"/>
    <w:rsid w:val="00A74691"/>
    <w:rsid w:val="00A7638C"/>
    <w:rsid w:val="00A769B9"/>
    <w:rsid w:val="00A77434"/>
    <w:rsid w:val="00A84411"/>
    <w:rsid w:val="00A85D49"/>
    <w:rsid w:val="00A91CB7"/>
    <w:rsid w:val="00A9261F"/>
    <w:rsid w:val="00A95640"/>
    <w:rsid w:val="00A95C77"/>
    <w:rsid w:val="00AA4BE3"/>
    <w:rsid w:val="00AA4C61"/>
    <w:rsid w:val="00AA6AD5"/>
    <w:rsid w:val="00AA7040"/>
    <w:rsid w:val="00AA7649"/>
    <w:rsid w:val="00AB3869"/>
    <w:rsid w:val="00AB3B99"/>
    <w:rsid w:val="00AB4AF1"/>
    <w:rsid w:val="00AD1AFC"/>
    <w:rsid w:val="00AF0891"/>
    <w:rsid w:val="00B161E4"/>
    <w:rsid w:val="00B328AD"/>
    <w:rsid w:val="00B4442F"/>
    <w:rsid w:val="00B468B7"/>
    <w:rsid w:val="00B47C7E"/>
    <w:rsid w:val="00B516B7"/>
    <w:rsid w:val="00B5334C"/>
    <w:rsid w:val="00B5752E"/>
    <w:rsid w:val="00B60C67"/>
    <w:rsid w:val="00B635F8"/>
    <w:rsid w:val="00B64E3D"/>
    <w:rsid w:val="00B673B5"/>
    <w:rsid w:val="00B7595E"/>
    <w:rsid w:val="00B80A46"/>
    <w:rsid w:val="00B80BC9"/>
    <w:rsid w:val="00B932AD"/>
    <w:rsid w:val="00B938EE"/>
    <w:rsid w:val="00B958C1"/>
    <w:rsid w:val="00BA4A9E"/>
    <w:rsid w:val="00BA54CC"/>
    <w:rsid w:val="00BA758C"/>
    <w:rsid w:val="00BB18FE"/>
    <w:rsid w:val="00BC1F9D"/>
    <w:rsid w:val="00BC5059"/>
    <w:rsid w:val="00BD352F"/>
    <w:rsid w:val="00BE07CA"/>
    <w:rsid w:val="00BE4DA9"/>
    <w:rsid w:val="00BE71F8"/>
    <w:rsid w:val="00BF7695"/>
    <w:rsid w:val="00BF7CC3"/>
    <w:rsid w:val="00C01A03"/>
    <w:rsid w:val="00C041B2"/>
    <w:rsid w:val="00C20F5A"/>
    <w:rsid w:val="00C36F9A"/>
    <w:rsid w:val="00C378B1"/>
    <w:rsid w:val="00C50E53"/>
    <w:rsid w:val="00C67206"/>
    <w:rsid w:val="00C74967"/>
    <w:rsid w:val="00C80005"/>
    <w:rsid w:val="00C811BA"/>
    <w:rsid w:val="00C81B52"/>
    <w:rsid w:val="00C913EC"/>
    <w:rsid w:val="00C945EC"/>
    <w:rsid w:val="00CA012D"/>
    <w:rsid w:val="00CA755B"/>
    <w:rsid w:val="00CB1158"/>
    <w:rsid w:val="00CB685D"/>
    <w:rsid w:val="00CB7FC7"/>
    <w:rsid w:val="00CC08BD"/>
    <w:rsid w:val="00CC2842"/>
    <w:rsid w:val="00CD086F"/>
    <w:rsid w:val="00CD2016"/>
    <w:rsid w:val="00CD5818"/>
    <w:rsid w:val="00CE50B7"/>
    <w:rsid w:val="00CF24D9"/>
    <w:rsid w:val="00CF6874"/>
    <w:rsid w:val="00CF692C"/>
    <w:rsid w:val="00CF6A23"/>
    <w:rsid w:val="00D01A0B"/>
    <w:rsid w:val="00D11596"/>
    <w:rsid w:val="00D16544"/>
    <w:rsid w:val="00D23089"/>
    <w:rsid w:val="00D3374C"/>
    <w:rsid w:val="00D33863"/>
    <w:rsid w:val="00D36CD7"/>
    <w:rsid w:val="00D40482"/>
    <w:rsid w:val="00D44A1B"/>
    <w:rsid w:val="00D54E88"/>
    <w:rsid w:val="00D566AC"/>
    <w:rsid w:val="00D56F67"/>
    <w:rsid w:val="00D5710C"/>
    <w:rsid w:val="00D57863"/>
    <w:rsid w:val="00D62329"/>
    <w:rsid w:val="00D661A1"/>
    <w:rsid w:val="00D754BB"/>
    <w:rsid w:val="00D90412"/>
    <w:rsid w:val="00D93992"/>
    <w:rsid w:val="00D95991"/>
    <w:rsid w:val="00D96D16"/>
    <w:rsid w:val="00D971BD"/>
    <w:rsid w:val="00D97EB6"/>
    <w:rsid w:val="00DB3EC5"/>
    <w:rsid w:val="00DB52ED"/>
    <w:rsid w:val="00DB5BD0"/>
    <w:rsid w:val="00DB6889"/>
    <w:rsid w:val="00DC3198"/>
    <w:rsid w:val="00DD2CEF"/>
    <w:rsid w:val="00DD3546"/>
    <w:rsid w:val="00DE1E27"/>
    <w:rsid w:val="00DF0A4E"/>
    <w:rsid w:val="00E024DB"/>
    <w:rsid w:val="00E05591"/>
    <w:rsid w:val="00E07842"/>
    <w:rsid w:val="00E17803"/>
    <w:rsid w:val="00E17BD3"/>
    <w:rsid w:val="00E21B30"/>
    <w:rsid w:val="00E230AB"/>
    <w:rsid w:val="00E30C7E"/>
    <w:rsid w:val="00E32ED5"/>
    <w:rsid w:val="00E36608"/>
    <w:rsid w:val="00E4370A"/>
    <w:rsid w:val="00E54417"/>
    <w:rsid w:val="00E56420"/>
    <w:rsid w:val="00E62005"/>
    <w:rsid w:val="00E66320"/>
    <w:rsid w:val="00E73FEF"/>
    <w:rsid w:val="00E74499"/>
    <w:rsid w:val="00E84B66"/>
    <w:rsid w:val="00E86B6E"/>
    <w:rsid w:val="00EA1376"/>
    <w:rsid w:val="00EA6756"/>
    <w:rsid w:val="00EA7FED"/>
    <w:rsid w:val="00EB0AA8"/>
    <w:rsid w:val="00EC052D"/>
    <w:rsid w:val="00EC44C5"/>
    <w:rsid w:val="00ED47D3"/>
    <w:rsid w:val="00EE2C68"/>
    <w:rsid w:val="00EF66BC"/>
    <w:rsid w:val="00EF78FA"/>
    <w:rsid w:val="00F00D89"/>
    <w:rsid w:val="00F026F3"/>
    <w:rsid w:val="00F02B14"/>
    <w:rsid w:val="00F03601"/>
    <w:rsid w:val="00F05030"/>
    <w:rsid w:val="00F1019D"/>
    <w:rsid w:val="00F20D34"/>
    <w:rsid w:val="00F23570"/>
    <w:rsid w:val="00F25ED1"/>
    <w:rsid w:val="00F332F9"/>
    <w:rsid w:val="00F33FD1"/>
    <w:rsid w:val="00F36A32"/>
    <w:rsid w:val="00F41169"/>
    <w:rsid w:val="00F47950"/>
    <w:rsid w:val="00F51A8E"/>
    <w:rsid w:val="00F52076"/>
    <w:rsid w:val="00F646CD"/>
    <w:rsid w:val="00F82884"/>
    <w:rsid w:val="00F828EE"/>
    <w:rsid w:val="00F85942"/>
    <w:rsid w:val="00F86663"/>
    <w:rsid w:val="00F86688"/>
    <w:rsid w:val="00F90D09"/>
    <w:rsid w:val="00F93625"/>
    <w:rsid w:val="00F941F7"/>
    <w:rsid w:val="00F947B1"/>
    <w:rsid w:val="00F9543B"/>
    <w:rsid w:val="00F96BAB"/>
    <w:rsid w:val="00F978F6"/>
    <w:rsid w:val="00FA0EE3"/>
    <w:rsid w:val="00FA1A97"/>
    <w:rsid w:val="00FA43A2"/>
    <w:rsid w:val="00FA4471"/>
    <w:rsid w:val="00FB07C8"/>
    <w:rsid w:val="00FB1EB0"/>
    <w:rsid w:val="00FB2ED2"/>
    <w:rsid w:val="00FB3AFE"/>
    <w:rsid w:val="00FB4904"/>
    <w:rsid w:val="00FB71C3"/>
    <w:rsid w:val="00FC3779"/>
    <w:rsid w:val="00FC3FB2"/>
    <w:rsid w:val="00FC508A"/>
    <w:rsid w:val="00FC7E1E"/>
    <w:rsid w:val="00FD19FD"/>
    <w:rsid w:val="00FE1680"/>
    <w:rsid w:val="00FE3CE2"/>
    <w:rsid w:val="00FF09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style="mso-position-horizontal-relative:page;mso-position-vertical-relative:page" fillcolor="#003478" strokecolor="#003478">
      <v:fill color="#003478"/>
      <v:stroke color="#003478"/>
      <o:colormru v:ext="edit" colors="#009ee3,#aa0721,#06c,#00aeef,#9a9b00,#009ee0,#f08015,#742f8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374C"/>
    <w:pPr>
      <w:spacing w:after="288"/>
    </w:pPr>
    <w:rPr>
      <w:rFonts w:ascii="Arial" w:hAnsi="Arial"/>
      <w:sz w:val="24"/>
      <w:szCs w:val="24"/>
      <w:lang w:eastAsia="en-US"/>
    </w:rPr>
  </w:style>
  <w:style w:type="paragraph" w:styleId="Heading1">
    <w:name w:val="heading 1"/>
    <w:basedOn w:val="Normal"/>
    <w:next w:val="Normal"/>
    <w:autoRedefine/>
    <w:qFormat/>
    <w:rsid w:val="0076262B"/>
    <w:pPr>
      <w:spacing w:after="324"/>
      <w:outlineLvl w:val="0"/>
    </w:pPr>
    <w:rPr>
      <w:b/>
      <w:bCs/>
      <w:color w:val="003478"/>
      <w:kern w:val="32"/>
      <w:sz w:val="40"/>
      <w:szCs w:val="32"/>
    </w:rPr>
  </w:style>
  <w:style w:type="paragraph" w:styleId="Heading2">
    <w:name w:val="heading 2"/>
    <w:basedOn w:val="Normal"/>
    <w:next w:val="Normal"/>
    <w:link w:val="Heading2Char"/>
    <w:qFormat/>
    <w:rsid w:val="0068134A"/>
    <w:pPr>
      <w:spacing w:before="120" w:after="240"/>
      <w:outlineLvl w:val="1"/>
    </w:pPr>
    <w:rPr>
      <w:b/>
      <w:bCs/>
      <w:iCs/>
      <w:color w:val="003478"/>
      <w:sz w:val="32"/>
      <w:szCs w:val="28"/>
    </w:rPr>
  </w:style>
  <w:style w:type="paragraph" w:styleId="Heading3">
    <w:name w:val="heading 3"/>
    <w:basedOn w:val="Normal"/>
    <w:next w:val="Normal"/>
    <w:link w:val="Heading3Char"/>
    <w:qFormat/>
    <w:rsid w:val="00D3374C"/>
    <w:pPr>
      <w:spacing w:after="120"/>
      <w:outlineLvl w:val="2"/>
    </w:pPr>
    <w:rPr>
      <w:b/>
      <w:bCs/>
      <w:color w:val="009BBB"/>
      <w:sz w:val="26"/>
      <w:szCs w:val="26"/>
    </w:rPr>
  </w:style>
  <w:style w:type="paragraph" w:styleId="Heading4">
    <w:name w:val="heading 4"/>
    <w:basedOn w:val="Normal"/>
    <w:next w:val="Normal"/>
    <w:link w:val="Heading4Char"/>
    <w:qFormat/>
    <w:rsid w:val="0068134A"/>
    <w:pPr>
      <w:spacing w:after="60"/>
      <w:outlineLvl w:val="3"/>
    </w:pPr>
    <w:rPr>
      <w:b/>
    </w:rPr>
  </w:style>
  <w:style w:type="paragraph" w:styleId="Heading5">
    <w:name w:val="heading 5"/>
    <w:basedOn w:val="Normal"/>
    <w:next w:val="Normal"/>
    <w:qFormat/>
    <w:rsid w:val="00C811BA"/>
    <w:pPr>
      <w:keepNext/>
      <w:jc w:val="both"/>
      <w:outlineLvl w:val="4"/>
    </w:pPr>
    <w:rPr>
      <w:b/>
    </w:rPr>
  </w:style>
  <w:style w:type="paragraph" w:styleId="Heading6">
    <w:name w:val="heading 6"/>
    <w:basedOn w:val="Normal"/>
    <w:next w:val="Normal"/>
    <w:qFormat/>
    <w:rsid w:val="00C01A03"/>
    <w:pPr>
      <w:keepNext/>
      <w:jc w:val="both"/>
      <w:outlineLvl w:val="5"/>
    </w:pPr>
    <w:rPr>
      <w:rFonts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STitle">
    <w:name w:val="BIS Title"/>
    <w:basedOn w:val="Normal"/>
    <w:autoRedefine/>
    <w:rsid w:val="00E17803"/>
    <w:pPr>
      <w:spacing w:line="240" w:lineRule="atLeast"/>
      <w:ind w:left="142"/>
    </w:pPr>
    <w:rPr>
      <w:b/>
      <w:noProof/>
      <w:color w:val="FFFFFF"/>
      <w:lang w:val="en-US"/>
    </w:rPr>
  </w:style>
  <w:style w:type="paragraph" w:customStyle="1" w:styleId="BISCovertext">
    <w:name w:val="BIS Cover text"/>
    <w:basedOn w:val="BISTitle"/>
    <w:autoRedefine/>
    <w:rsid w:val="00D90412"/>
    <w:rPr>
      <w:b w:val="0"/>
      <w:sz w:val="28"/>
      <w:szCs w:val="28"/>
    </w:rPr>
  </w:style>
  <w:style w:type="paragraph" w:styleId="TOC1">
    <w:name w:val="toc 1"/>
    <w:basedOn w:val="Normal"/>
    <w:next w:val="Normal"/>
    <w:autoRedefine/>
    <w:uiPriority w:val="39"/>
    <w:pPr>
      <w:spacing w:line="280" w:lineRule="exact"/>
    </w:pPr>
    <w:rPr>
      <w:b/>
      <w:sz w:val="22"/>
    </w:rPr>
  </w:style>
  <w:style w:type="paragraph" w:styleId="TOC2">
    <w:name w:val="toc 2"/>
    <w:basedOn w:val="Normal"/>
    <w:next w:val="Normal"/>
    <w:autoRedefine/>
    <w:semiHidden/>
    <w:rsid w:val="00E54417"/>
    <w:pPr>
      <w:tabs>
        <w:tab w:val="right" w:leader="dot" w:pos="9628"/>
      </w:tabs>
      <w:spacing w:line="280" w:lineRule="exact"/>
    </w:pPr>
    <w:rPr>
      <w:noProof/>
      <w:sz w:val="22"/>
    </w:rPr>
  </w:style>
  <w:style w:type="paragraph" w:styleId="TOC3">
    <w:name w:val="toc 3"/>
    <w:basedOn w:val="Normal"/>
    <w:next w:val="Normal"/>
    <w:autoRedefine/>
    <w:semiHidden/>
    <w:pPr>
      <w:spacing w:line="280" w:lineRule="exact"/>
      <w:ind w:left="482"/>
    </w:pPr>
    <w:rPr>
      <w:sz w:val="22"/>
    </w:rPr>
  </w:style>
  <w:style w:type="numbering" w:customStyle="1" w:styleId="Numberlist">
    <w:name w:val="Number list"/>
    <w:basedOn w:val="NoList"/>
    <w:rsid w:val="007464B0"/>
    <w:pPr>
      <w:numPr>
        <w:numId w:val="5"/>
      </w:numPr>
    </w:pPr>
  </w:style>
  <w:style w:type="paragraph" w:styleId="Header">
    <w:name w:val="header"/>
    <w:basedOn w:val="Normal"/>
    <w:link w:val="HeaderChar"/>
    <w:rsid w:val="00D5710C"/>
    <w:pPr>
      <w:tabs>
        <w:tab w:val="center" w:pos="4513"/>
        <w:tab w:val="right" w:pos="9026"/>
      </w:tabs>
    </w:pPr>
  </w:style>
  <w:style w:type="paragraph" w:customStyle="1" w:styleId="BISInsidebullets">
    <w:name w:val="BIS Inside bullets"/>
    <w:basedOn w:val="Normal"/>
    <w:autoRedefine/>
    <w:rsid w:val="00FC508A"/>
    <w:pPr>
      <w:numPr>
        <w:numId w:val="1"/>
      </w:numPr>
      <w:tabs>
        <w:tab w:val="clear" w:pos="360"/>
        <w:tab w:val="left" w:pos="284"/>
      </w:tabs>
      <w:spacing w:before="120"/>
      <w:ind w:left="284" w:hanging="284"/>
      <w:outlineLvl w:val="0"/>
    </w:pPr>
    <w:rPr>
      <w:rFonts w:cs="Arial"/>
      <w:bCs/>
      <w:color w:val="FFFFFF"/>
      <w:kern w:val="32"/>
      <w:szCs w:val="56"/>
    </w:rPr>
  </w:style>
  <w:style w:type="character" w:customStyle="1" w:styleId="HeaderChar">
    <w:name w:val="Header Char"/>
    <w:link w:val="Header"/>
    <w:rsid w:val="00D5710C"/>
    <w:rPr>
      <w:rFonts w:ascii="Arial" w:hAnsi="Arial"/>
      <w:sz w:val="24"/>
      <w:szCs w:val="24"/>
      <w:lang w:eastAsia="en-US"/>
    </w:rPr>
  </w:style>
  <w:style w:type="paragraph" w:customStyle="1" w:styleId="TableTitleRomanWhite">
    <w:name w:val="Table Title Roman White"/>
    <w:basedOn w:val="TableTitle"/>
    <w:rsid w:val="00C913EC"/>
    <w:rPr>
      <w:b/>
      <w:color w:val="FFFFFF"/>
    </w:rPr>
  </w:style>
  <w:style w:type="paragraph" w:customStyle="1" w:styleId="BISOddHeader">
    <w:name w:val="BIS Odd Header"/>
    <w:basedOn w:val="Normal"/>
    <w:autoRedefine/>
    <w:rsid w:val="009946FA"/>
    <w:pPr>
      <w:tabs>
        <w:tab w:val="center" w:pos="4153"/>
        <w:tab w:val="right" w:pos="8306"/>
      </w:tabs>
      <w:jc w:val="right"/>
    </w:pPr>
    <w:rPr>
      <w:color w:val="003478"/>
      <w:sz w:val="18"/>
    </w:rPr>
  </w:style>
  <w:style w:type="paragraph" w:customStyle="1" w:styleId="Introparagraph">
    <w:name w:val="Intro paragraph"/>
    <w:basedOn w:val="Normal"/>
    <w:autoRedefine/>
    <w:rsid w:val="00955D2A"/>
    <w:pPr>
      <w:keepNext/>
      <w:spacing w:before="120" w:after="360"/>
      <w:outlineLvl w:val="0"/>
    </w:pPr>
    <w:rPr>
      <w:b/>
      <w:bCs/>
      <w:noProof/>
      <w:kern w:val="32"/>
      <w:sz w:val="28"/>
      <w:szCs w:val="56"/>
    </w:rPr>
  </w:style>
  <w:style w:type="paragraph" w:customStyle="1" w:styleId="TintBox">
    <w:name w:val="Tint Box"/>
    <w:basedOn w:val="Normal"/>
    <w:next w:val="Normal"/>
    <w:pPr>
      <w:pBdr>
        <w:top w:val="single" w:sz="2" w:space="6" w:color="FFFFFF"/>
        <w:left w:val="single" w:sz="2" w:space="8" w:color="FFFFFF"/>
        <w:bottom w:val="single" w:sz="2" w:space="8" w:color="FFFFFF"/>
        <w:right w:val="single" w:sz="2" w:space="8" w:color="FFFFFF"/>
      </w:pBdr>
      <w:shd w:val="pct10" w:color="auto" w:fill="auto"/>
      <w:spacing w:line="280" w:lineRule="exact"/>
    </w:pPr>
    <w:rPr>
      <w:b/>
      <w:sz w:val="22"/>
    </w:rPr>
  </w:style>
  <w:style w:type="paragraph" w:styleId="Footer">
    <w:name w:val="footer"/>
    <w:basedOn w:val="Normal"/>
    <w:link w:val="FooterChar"/>
    <w:rsid w:val="00D5710C"/>
    <w:pPr>
      <w:tabs>
        <w:tab w:val="center" w:pos="4513"/>
        <w:tab w:val="right" w:pos="9026"/>
      </w:tabs>
    </w:pPr>
  </w:style>
  <w:style w:type="character" w:customStyle="1" w:styleId="FooterChar">
    <w:name w:val="Footer Char"/>
    <w:link w:val="Footer"/>
    <w:rsid w:val="00D5710C"/>
    <w:rPr>
      <w:rFonts w:ascii="Arial" w:hAnsi="Arial"/>
      <w:sz w:val="24"/>
      <w:szCs w:val="24"/>
      <w:lang w:eastAsia="en-US"/>
    </w:rPr>
  </w:style>
  <w:style w:type="character" w:styleId="FollowedHyperlink">
    <w:name w:val="FollowedHyperlink"/>
    <w:rsid w:val="007073CE"/>
    <w:rPr>
      <w:rFonts w:ascii="Arial" w:hAnsi="Arial"/>
      <w:color w:val="800080"/>
      <w:sz w:val="24"/>
      <w:u w:val="single"/>
    </w:rPr>
  </w:style>
  <w:style w:type="character" w:styleId="Hyperlink">
    <w:name w:val="Hyperlink"/>
    <w:uiPriority w:val="99"/>
    <w:rsid w:val="007073CE"/>
    <w:rPr>
      <w:rFonts w:ascii="Arial" w:hAnsi="Arial"/>
      <w:color w:val="0000FF"/>
      <w:sz w:val="24"/>
      <w:u w:val="single"/>
    </w:rPr>
  </w:style>
  <w:style w:type="paragraph" w:customStyle="1" w:styleId="BISnumberingBold">
    <w:name w:val="BIS numbering Bold"/>
    <w:basedOn w:val="Normal"/>
    <w:autoRedefine/>
    <w:rsid w:val="00B5752E"/>
    <w:pPr>
      <w:numPr>
        <w:numId w:val="4"/>
      </w:numPr>
      <w:tabs>
        <w:tab w:val="left" w:pos="567"/>
      </w:tabs>
      <w:ind w:left="567" w:right="11" w:hanging="425"/>
    </w:pPr>
  </w:style>
  <w:style w:type="numbering" w:customStyle="1" w:styleId="TableBullets">
    <w:name w:val="Table Bullets"/>
    <w:basedOn w:val="NoList"/>
    <w:rsid w:val="00F332F9"/>
    <w:pPr>
      <w:numPr>
        <w:numId w:val="3"/>
      </w:numPr>
    </w:pPr>
  </w:style>
  <w:style w:type="character" w:customStyle="1" w:styleId="StylePantoneCyanBold">
    <w:name w:val="Style Pantone Cyan + Bold"/>
    <w:rsid w:val="000D42C5"/>
    <w:rPr>
      <w:b/>
      <w:bCs/>
      <w:color w:val="003478"/>
    </w:rPr>
  </w:style>
  <w:style w:type="character" w:customStyle="1" w:styleId="Page1White">
    <w:name w:val="Page 1 White"/>
    <w:rsid w:val="00FC508A"/>
    <w:rPr>
      <w:rFonts w:ascii="Arial" w:hAnsi="Arial"/>
      <w:color w:val="FFFFFF"/>
      <w:sz w:val="24"/>
    </w:rPr>
  </w:style>
  <w:style w:type="paragraph" w:customStyle="1" w:styleId="EvenPageNumber">
    <w:name w:val="Even Page Number"/>
    <w:basedOn w:val="Normal"/>
    <w:rsid w:val="009946FA"/>
    <w:rPr>
      <w:color w:val="003478"/>
    </w:rPr>
  </w:style>
  <w:style w:type="paragraph" w:customStyle="1" w:styleId="BISEvenHeader">
    <w:name w:val="BIS Even Header"/>
    <w:basedOn w:val="BISOddHeader"/>
    <w:rsid w:val="00A95640"/>
    <w:pPr>
      <w:jc w:val="left"/>
    </w:pPr>
  </w:style>
  <w:style w:type="character" w:customStyle="1" w:styleId="StylePantone144Bold">
    <w:name w:val="Style Pantone 144 + Bold"/>
    <w:rsid w:val="001E554A"/>
    <w:rPr>
      <w:b/>
      <w:bCs/>
      <w:color w:val="FFCC11"/>
    </w:rPr>
  </w:style>
  <w:style w:type="paragraph" w:customStyle="1" w:styleId="BoxText">
    <w:name w:val="Box Text"/>
    <w:basedOn w:val="Normal"/>
    <w:rsid w:val="00442169"/>
    <w:pPr>
      <w:spacing w:line="288" w:lineRule="exact"/>
      <w:jc w:val="center"/>
    </w:pPr>
    <w:rPr>
      <w:rFonts w:ascii="Arial Bold" w:hAnsi="Arial Bold"/>
      <w:b/>
      <w:color w:val="FFFFFF"/>
    </w:rPr>
  </w:style>
  <w:style w:type="table" w:styleId="TableGrid">
    <w:name w:val="Table Grid"/>
    <w:basedOn w:val="TableNormal"/>
    <w:rsid w:val="00015C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rsid w:val="00FC508A"/>
    <w:pPr>
      <w:spacing w:after="80"/>
      <w:ind w:left="113" w:right="113"/>
    </w:pPr>
    <w:rPr>
      <w:b/>
    </w:rPr>
  </w:style>
  <w:style w:type="paragraph" w:customStyle="1" w:styleId="TableTitle">
    <w:name w:val="Table Title"/>
    <w:basedOn w:val="TableText"/>
    <w:rsid w:val="00533C58"/>
    <w:pPr>
      <w:spacing w:after="0"/>
    </w:pPr>
    <w:rPr>
      <w:b w:val="0"/>
    </w:rPr>
  </w:style>
  <w:style w:type="character" w:customStyle="1" w:styleId="PantoneCyan">
    <w:name w:val="Pantone Cyan"/>
    <w:rsid w:val="00533C58"/>
    <w:rPr>
      <w:color w:val="009EE3"/>
    </w:rPr>
  </w:style>
  <w:style w:type="character" w:customStyle="1" w:styleId="Pantone144">
    <w:name w:val="Pantone 144"/>
    <w:rsid w:val="001E554A"/>
    <w:rPr>
      <w:color w:val="FFCC11"/>
    </w:rPr>
  </w:style>
  <w:style w:type="character" w:customStyle="1" w:styleId="Pantone187">
    <w:name w:val="Pantone 187"/>
    <w:rsid w:val="001E554A"/>
    <w:rPr>
      <w:color w:val="CC0033"/>
    </w:rPr>
  </w:style>
  <w:style w:type="character" w:customStyle="1" w:styleId="Pantone2593">
    <w:name w:val="Pantone 2593"/>
    <w:rsid w:val="00533C58"/>
    <w:rPr>
      <w:color w:val="742F89"/>
    </w:rPr>
  </w:style>
  <w:style w:type="character" w:customStyle="1" w:styleId="PantoneWhite">
    <w:name w:val="Pantone White"/>
    <w:rsid w:val="003F35D6"/>
    <w:rPr>
      <w:color w:val="FFFFFF"/>
    </w:rPr>
  </w:style>
  <w:style w:type="paragraph" w:styleId="ListBullet">
    <w:name w:val="List Bullet"/>
    <w:basedOn w:val="Normal"/>
    <w:rsid w:val="00F90D09"/>
    <w:pPr>
      <w:numPr>
        <w:numId w:val="2"/>
      </w:numPr>
      <w:spacing w:line="288" w:lineRule="exact"/>
    </w:pPr>
  </w:style>
  <w:style w:type="paragraph" w:customStyle="1" w:styleId="Dateonfirstpage">
    <w:name w:val="Date on first page"/>
    <w:basedOn w:val="Normal"/>
    <w:rsid w:val="00CF24D9"/>
    <w:pPr>
      <w:spacing w:line="360" w:lineRule="exact"/>
      <w:ind w:right="28"/>
      <w:jc w:val="right"/>
    </w:pPr>
    <w:rPr>
      <w:color w:val="FFFFFF"/>
      <w:sz w:val="30"/>
    </w:rPr>
  </w:style>
  <w:style w:type="paragraph" w:customStyle="1" w:styleId="ZeroLead">
    <w:name w:val="Zero Lead"/>
    <w:basedOn w:val="BISCovertext"/>
    <w:rsid w:val="00624791"/>
    <w:pPr>
      <w:spacing w:after="0" w:line="20" w:lineRule="exact"/>
    </w:pPr>
  </w:style>
  <w:style w:type="paragraph" w:customStyle="1" w:styleId="EndpageText">
    <w:name w:val="End page Text"/>
    <w:basedOn w:val="Normal"/>
    <w:rsid w:val="001E554A"/>
    <w:pPr>
      <w:spacing w:after="0" w:line="260" w:lineRule="exact"/>
    </w:pPr>
    <w:rPr>
      <w:sz w:val="20"/>
    </w:rPr>
  </w:style>
  <w:style w:type="numbering" w:customStyle="1" w:styleId="StyleOutlinenumberedLeft089cmHanging063cm">
    <w:name w:val="Style Outline numbered Left:  0.89 cm Hanging:  0.63 cm"/>
    <w:basedOn w:val="NoList"/>
    <w:rsid w:val="005F064A"/>
    <w:pPr>
      <w:numPr>
        <w:numId w:val="6"/>
      </w:numPr>
    </w:pPr>
  </w:style>
  <w:style w:type="paragraph" w:customStyle="1" w:styleId="Tabletitle-ConsulatationQuestionWhite">
    <w:name w:val="Table title - Consulatation Question White"/>
    <w:basedOn w:val="TableTitle"/>
    <w:rsid w:val="008571A1"/>
    <w:rPr>
      <w:rFonts w:ascii="Arial Bold" w:hAnsi="Arial Bold"/>
      <w:b/>
      <w:color w:val="FFFFFF"/>
    </w:rPr>
  </w:style>
  <w:style w:type="paragraph" w:styleId="DocumentMap">
    <w:name w:val="Document Map"/>
    <w:basedOn w:val="Normal"/>
    <w:semiHidden/>
    <w:rsid w:val="008B723C"/>
    <w:pPr>
      <w:shd w:val="clear" w:color="auto" w:fill="000080"/>
    </w:pPr>
    <w:rPr>
      <w:rFonts w:ascii="Tahoma" w:hAnsi="Tahoma" w:cs="Tahoma"/>
      <w:sz w:val="20"/>
      <w:szCs w:val="20"/>
    </w:rPr>
  </w:style>
  <w:style w:type="paragraph" w:customStyle="1" w:styleId="Documenttitle">
    <w:name w:val="Document title"/>
    <w:basedOn w:val="Normal"/>
    <w:rsid w:val="00ED47D3"/>
    <w:pPr>
      <w:spacing w:after="0" w:line="240" w:lineRule="atLeast"/>
    </w:pPr>
    <w:rPr>
      <w:b/>
      <w:caps/>
    </w:rPr>
  </w:style>
  <w:style w:type="paragraph" w:customStyle="1" w:styleId="Secondarytitle">
    <w:name w:val="Secondary title"/>
    <w:basedOn w:val="Normal"/>
    <w:rsid w:val="00034384"/>
    <w:pPr>
      <w:spacing w:after="0" w:line="240" w:lineRule="atLeast"/>
    </w:pPr>
    <w:rPr>
      <w:sz w:val="28"/>
    </w:rPr>
  </w:style>
  <w:style w:type="character" w:customStyle="1" w:styleId="Heading2Char">
    <w:name w:val="Heading 2 Char"/>
    <w:link w:val="Heading2"/>
    <w:rsid w:val="0068134A"/>
    <w:rPr>
      <w:rFonts w:ascii="Arial" w:hAnsi="Arial"/>
      <w:b/>
      <w:bCs/>
      <w:iCs/>
      <w:color w:val="003478"/>
      <w:sz w:val="32"/>
      <w:szCs w:val="28"/>
      <w:lang w:val="en-GB" w:eastAsia="en-US" w:bidi="ar-SA"/>
    </w:rPr>
  </w:style>
  <w:style w:type="character" w:customStyle="1" w:styleId="Heading3Char">
    <w:name w:val="Heading 3 Char"/>
    <w:link w:val="Heading3"/>
    <w:rsid w:val="00D3374C"/>
    <w:rPr>
      <w:rFonts w:ascii="Arial" w:hAnsi="Arial"/>
      <w:b/>
      <w:bCs/>
      <w:color w:val="009BBB"/>
      <w:sz w:val="26"/>
      <w:szCs w:val="26"/>
      <w:lang w:val="en-GB" w:eastAsia="en-US" w:bidi="ar-SA"/>
    </w:rPr>
  </w:style>
  <w:style w:type="character" w:customStyle="1" w:styleId="Heading4Char">
    <w:name w:val="Heading 4 Char"/>
    <w:link w:val="Heading4"/>
    <w:rsid w:val="0068134A"/>
    <w:rPr>
      <w:rFonts w:ascii="Arial" w:hAnsi="Arial"/>
      <w:b/>
      <w:sz w:val="24"/>
      <w:szCs w:val="24"/>
      <w:lang w:val="en-GB" w:eastAsia="en-US" w:bidi="ar-SA"/>
    </w:rPr>
  </w:style>
  <w:style w:type="paragraph" w:customStyle="1" w:styleId="Tabletextnon-bold">
    <w:name w:val="Table text non-bold"/>
    <w:basedOn w:val="TableText"/>
    <w:qFormat/>
    <w:rsid w:val="00484B18"/>
    <w:rPr>
      <w:b w:val="0"/>
    </w:rPr>
  </w:style>
  <w:style w:type="paragraph" w:styleId="Caption">
    <w:name w:val="caption"/>
    <w:basedOn w:val="Normal"/>
    <w:next w:val="Normal"/>
    <w:qFormat/>
    <w:rsid w:val="00FC508A"/>
    <w:rPr>
      <w:b/>
    </w:rPr>
  </w:style>
  <w:style w:type="paragraph" w:customStyle="1" w:styleId="Supplementarytitle">
    <w:name w:val="Supplementary title"/>
    <w:basedOn w:val="Normal"/>
    <w:rsid w:val="00ED47D3"/>
    <w:pPr>
      <w:spacing w:after="0" w:line="240" w:lineRule="atLeast"/>
    </w:pPr>
    <w:rPr>
      <w:caps/>
      <w:sz w:val="20"/>
    </w:rPr>
  </w:style>
  <w:style w:type="character" w:customStyle="1" w:styleId="StylePantone187Bold">
    <w:name w:val="Style Pantone 187 + Bold"/>
    <w:rsid w:val="001E554A"/>
    <w:rPr>
      <w:b/>
      <w:bCs/>
      <w:color w:val="CC0033"/>
    </w:rPr>
  </w:style>
  <w:style w:type="paragraph" w:styleId="BalloonText">
    <w:name w:val="Balloon Text"/>
    <w:basedOn w:val="Normal"/>
    <w:semiHidden/>
    <w:rsid w:val="001C78F8"/>
    <w:rPr>
      <w:rFonts w:ascii="Tahoma" w:hAnsi="Tahoma" w:cs="Tahoma"/>
      <w:sz w:val="16"/>
      <w:szCs w:val="16"/>
    </w:rPr>
  </w:style>
  <w:style w:type="character" w:styleId="PageNumber">
    <w:name w:val="page number"/>
    <w:basedOn w:val="DefaultParagraphFont"/>
    <w:rsid w:val="006645DC"/>
  </w:style>
  <w:style w:type="paragraph" w:styleId="BodyText">
    <w:name w:val="Body Text"/>
    <w:basedOn w:val="Normal"/>
    <w:link w:val="BodyTextChar"/>
    <w:rsid w:val="003A14B5"/>
    <w:pPr>
      <w:widowControl w:val="0"/>
      <w:suppressAutoHyphens/>
      <w:spacing w:after="120"/>
    </w:pPr>
    <w:rPr>
      <w:rFonts w:ascii="Times New Roman" w:eastAsia="Arial Unicode MS" w:hAnsi="Times New Roman" w:cs="Arial Unicode MS"/>
      <w:kern w:val="1"/>
      <w:lang w:eastAsia="zh-CN" w:bidi="hi-IN"/>
    </w:rPr>
  </w:style>
  <w:style w:type="paragraph" w:styleId="BodyText2">
    <w:name w:val="Body Text 2"/>
    <w:basedOn w:val="Normal"/>
    <w:rsid w:val="00EA1376"/>
    <w:pPr>
      <w:jc w:val="both"/>
    </w:pPr>
    <w:rPr>
      <w:rFonts w:cs="Arial"/>
    </w:rPr>
  </w:style>
  <w:style w:type="paragraph" w:styleId="NormalWeb">
    <w:name w:val="Normal (Web)"/>
    <w:basedOn w:val="Normal"/>
    <w:rsid w:val="00E4370A"/>
    <w:pPr>
      <w:spacing w:before="100" w:beforeAutospacing="1" w:after="100" w:afterAutospacing="1"/>
    </w:pPr>
    <w:rPr>
      <w:rFonts w:cs="Arial"/>
      <w:lang w:eastAsia="en-GB"/>
    </w:rPr>
  </w:style>
  <w:style w:type="character" w:styleId="Strong">
    <w:name w:val="Strong"/>
    <w:qFormat/>
    <w:rsid w:val="00890B43"/>
    <w:rPr>
      <w:b/>
      <w:bCs/>
    </w:rPr>
  </w:style>
  <w:style w:type="character" w:styleId="CommentReference">
    <w:name w:val="annotation reference"/>
    <w:semiHidden/>
    <w:rsid w:val="009210DE"/>
    <w:rPr>
      <w:sz w:val="16"/>
      <w:szCs w:val="16"/>
    </w:rPr>
  </w:style>
  <w:style w:type="paragraph" w:styleId="CommentText">
    <w:name w:val="annotation text"/>
    <w:basedOn w:val="Normal"/>
    <w:semiHidden/>
    <w:rsid w:val="009210DE"/>
    <w:rPr>
      <w:sz w:val="20"/>
      <w:szCs w:val="20"/>
    </w:rPr>
  </w:style>
  <w:style w:type="paragraph" w:styleId="CommentSubject">
    <w:name w:val="annotation subject"/>
    <w:basedOn w:val="CommentText"/>
    <w:next w:val="CommentText"/>
    <w:semiHidden/>
    <w:rsid w:val="009210DE"/>
    <w:rPr>
      <w:b/>
      <w:bCs/>
    </w:rPr>
  </w:style>
  <w:style w:type="table" w:styleId="TableList5">
    <w:name w:val="Table List 5"/>
    <w:basedOn w:val="TableNormal"/>
    <w:rsid w:val="005354CF"/>
    <w:pPr>
      <w:spacing w:after="288"/>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character" w:customStyle="1" w:styleId="BodyTextChar">
    <w:name w:val="Body Text Char"/>
    <w:link w:val="BodyText"/>
    <w:rsid w:val="003C00D0"/>
    <w:rPr>
      <w:rFonts w:eastAsia="Arial Unicode MS" w:cs="Arial Unicode MS"/>
      <w:kern w:val="1"/>
      <w:sz w:val="24"/>
      <w:szCs w:val="24"/>
      <w:lang w:eastAsia="zh-CN" w:bidi="hi-IN"/>
    </w:rPr>
  </w:style>
  <w:style w:type="paragraph" w:customStyle="1" w:styleId="StyleHeading1After0pt">
    <w:name w:val="Style Heading 1 + After:  0 pt"/>
    <w:basedOn w:val="Heading1"/>
    <w:rsid w:val="0076262B"/>
    <w:pPr>
      <w:spacing w:after="0"/>
    </w:pPr>
    <w:rPr>
      <w:szCs w:val="20"/>
    </w:rPr>
  </w:style>
  <w:style w:type="paragraph" w:styleId="Index1">
    <w:name w:val="index 1"/>
    <w:basedOn w:val="Normal"/>
    <w:next w:val="Normal"/>
    <w:autoRedefine/>
    <w:rsid w:val="0022300C"/>
    <w:pPr>
      <w:ind w:left="240" w:hanging="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374C"/>
    <w:pPr>
      <w:spacing w:after="288"/>
    </w:pPr>
    <w:rPr>
      <w:rFonts w:ascii="Arial" w:hAnsi="Arial"/>
      <w:sz w:val="24"/>
      <w:szCs w:val="24"/>
      <w:lang w:eastAsia="en-US"/>
    </w:rPr>
  </w:style>
  <w:style w:type="paragraph" w:styleId="Heading1">
    <w:name w:val="heading 1"/>
    <w:basedOn w:val="Normal"/>
    <w:next w:val="Normal"/>
    <w:autoRedefine/>
    <w:qFormat/>
    <w:rsid w:val="0076262B"/>
    <w:pPr>
      <w:spacing w:after="324"/>
      <w:outlineLvl w:val="0"/>
    </w:pPr>
    <w:rPr>
      <w:b/>
      <w:bCs/>
      <w:color w:val="003478"/>
      <w:kern w:val="32"/>
      <w:sz w:val="40"/>
      <w:szCs w:val="32"/>
    </w:rPr>
  </w:style>
  <w:style w:type="paragraph" w:styleId="Heading2">
    <w:name w:val="heading 2"/>
    <w:basedOn w:val="Normal"/>
    <w:next w:val="Normal"/>
    <w:link w:val="Heading2Char"/>
    <w:qFormat/>
    <w:rsid w:val="0068134A"/>
    <w:pPr>
      <w:spacing w:before="120" w:after="240"/>
      <w:outlineLvl w:val="1"/>
    </w:pPr>
    <w:rPr>
      <w:b/>
      <w:bCs/>
      <w:iCs/>
      <w:color w:val="003478"/>
      <w:sz w:val="32"/>
      <w:szCs w:val="28"/>
    </w:rPr>
  </w:style>
  <w:style w:type="paragraph" w:styleId="Heading3">
    <w:name w:val="heading 3"/>
    <w:basedOn w:val="Normal"/>
    <w:next w:val="Normal"/>
    <w:link w:val="Heading3Char"/>
    <w:qFormat/>
    <w:rsid w:val="00D3374C"/>
    <w:pPr>
      <w:spacing w:after="120"/>
      <w:outlineLvl w:val="2"/>
    </w:pPr>
    <w:rPr>
      <w:b/>
      <w:bCs/>
      <w:color w:val="009BBB"/>
      <w:sz w:val="26"/>
      <w:szCs w:val="26"/>
    </w:rPr>
  </w:style>
  <w:style w:type="paragraph" w:styleId="Heading4">
    <w:name w:val="heading 4"/>
    <w:basedOn w:val="Normal"/>
    <w:next w:val="Normal"/>
    <w:link w:val="Heading4Char"/>
    <w:qFormat/>
    <w:rsid w:val="0068134A"/>
    <w:pPr>
      <w:spacing w:after="60"/>
      <w:outlineLvl w:val="3"/>
    </w:pPr>
    <w:rPr>
      <w:b/>
    </w:rPr>
  </w:style>
  <w:style w:type="paragraph" w:styleId="Heading5">
    <w:name w:val="heading 5"/>
    <w:basedOn w:val="Normal"/>
    <w:next w:val="Normal"/>
    <w:qFormat/>
    <w:rsid w:val="00C811BA"/>
    <w:pPr>
      <w:keepNext/>
      <w:jc w:val="both"/>
      <w:outlineLvl w:val="4"/>
    </w:pPr>
    <w:rPr>
      <w:b/>
    </w:rPr>
  </w:style>
  <w:style w:type="paragraph" w:styleId="Heading6">
    <w:name w:val="heading 6"/>
    <w:basedOn w:val="Normal"/>
    <w:next w:val="Normal"/>
    <w:qFormat/>
    <w:rsid w:val="00C01A03"/>
    <w:pPr>
      <w:keepNext/>
      <w:jc w:val="both"/>
      <w:outlineLvl w:val="5"/>
    </w:pPr>
    <w:rPr>
      <w:rFonts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STitle">
    <w:name w:val="BIS Title"/>
    <w:basedOn w:val="Normal"/>
    <w:autoRedefine/>
    <w:rsid w:val="00E17803"/>
    <w:pPr>
      <w:spacing w:line="240" w:lineRule="atLeast"/>
      <w:ind w:left="142"/>
    </w:pPr>
    <w:rPr>
      <w:b/>
      <w:noProof/>
      <w:color w:val="FFFFFF"/>
      <w:lang w:val="en-US"/>
    </w:rPr>
  </w:style>
  <w:style w:type="paragraph" w:customStyle="1" w:styleId="BISCovertext">
    <w:name w:val="BIS Cover text"/>
    <w:basedOn w:val="BISTitle"/>
    <w:autoRedefine/>
    <w:rsid w:val="00D90412"/>
    <w:rPr>
      <w:b w:val="0"/>
      <w:sz w:val="28"/>
      <w:szCs w:val="28"/>
    </w:rPr>
  </w:style>
  <w:style w:type="paragraph" w:styleId="TOC1">
    <w:name w:val="toc 1"/>
    <w:basedOn w:val="Normal"/>
    <w:next w:val="Normal"/>
    <w:autoRedefine/>
    <w:uiPriority w:val="39"/>
    <w:pPr>
      <w:spacing w:line="280" w:lineRule="exact"/>
    </w:pPr>
    <w:rPr>
      <w:b/>
      <w:sz w:val="22"/>
    </w:rPr>
  </w:style>
  <w:style w:type="paragraph" w:styleId="TOC2">
    <w:name w:val="toc 2"/>
    <w:basedOn w:val="Normal"/>
    <w:next w:val="Normal"/>
    <w:autoRedefine/>
    <w:semiHidden/>
    <w:rsid w:val="00E54417"/>
    <w:pPr>
      <w:tabs>
        <w:tab w:val="right" w:leader="dot" w:pos="9628"/>
      </w:tabs>
      <w:spacing w:line="280" w:lineRule="exact"/>
    </w:pPr>
    <w:rPr>
      <w:noProof/>
      <w:sz w:val="22"/>
    </w:rPr>
  </w:style>
  <w:style w:type="paragraph" w:styleId="TOC3">
    <w:name w:val="toc 3"/>
    <w:basedOn w:val="Normal"/>
    <w:next w:val="Normal"/>
    <w:autoRedefine/>
    <w:semiHidden/>
    <w:pPr>
      <w:spacing w:line="280" w:lineRule="exact"/>
      <w:ind w:left="482"/>
    </w:pPr>
    <w:rPr>
      <w:sz w:val="22"/>
    </w:rPr>
  </w:style>
  <w:style w:type="numbering" w:customStyle="1" w:styleId="Numberlist">
    <w:name w:val="Number list"/>
    <w:basedOn w:val="NoList"/>
    <w:rsid w:val="007464B0"/>
    <w:pPr>
      <w:numPr>
        <w:numId w:val="5"/>
      </w:numPr>
    </w:pPr>
  </w:style>
  <w:style w:type="paragraph" w:styleId="Header">
    <w:name w:val="header"/>
    <w:basedOn w:val="Normal"/>
    <w:link w:val="HeaderChar"/>
    <w:rsid w:val="00D5710C"/>
    <w:pPr>
      <w:tabs>
        <w:tab w:val="center" w:pos="4513"/>
        <w:tab w:val="right" w:pos="9026"/>
      </w:tabs>
    </w:pPr>
  </w:style>
  <w:style w:type="paragraph" w:customStyle="1" w:styleId="BISInsidebullets">
    <w:name w:val="BIS Inside bullets"/>
    <w:basedOn w:val="Normal"/>
    <w:autoRedefine/>
    <w:rsid w:val="00FC508A"/>
    <w:pPr>
      <w:numPr>
        <w:numId w:val="1"/>
      </w:numPr>
      <w:tabs>
        <w:tab w:val="clear" w:pos="360"/>
        <w:tab w:val="left" w:pos="284"/>
      </w:tabs>
      <w:spacing w:before="120"/>
      <w:ind w:left="284" w:hanging="284"/>
      <w:outlineLvl w:val="0"/>
    </w:pPr>
    <w:rPr>
      <w:rFonts w:cs="Arial"/>
      <w:bCs/>
      <w:color w:val="FFFFFF"/>
      <w:kern w:val="32"/>
      <w:szCs w:val="56"/>
    </w:rPr>
  </w:style>
  <w:style w:type="character" w:customStyle="1" w:styleId="HeaderChar">
    <w:name w:val="Header Char"/>
    <w:link w:val="Header"/>
    <w:rsid w:val="00D5710C"/>
    <w:rPr>
      <w:rFonts w:ascii="Arial" w:hAnsi="Arial"/>
      <w:sz w:val="24"/>
      <w:szCs w:val="24"/>
      <w:lang w:eastAsia="en-US"/>
    </w:rPr>
  </w:style>
  <w:style w:type="paragraph" w:customStyle="1" w:styleId="TableTitleRomanWhite">
    <w:name w:val="Table Title Roman White"/>
    <w:basedOn w:val="TableTitle"/>
    <w:rsid w:val="00C913EC"/>
    <w:rPr>
      <w:b/>
      <w:color w:val="FFFFFF"/>
    </w:rPr>
  </w:style>
  <w:style w:type="paragraph" w:customStyle="1" w:styleId="BISOddHeader">
    <w:name w:val="BIS Odd Header"/>
    <w:basedOn w:val="Normal"/>
    <w:autoRedefine/>
    <w:rsid w:val="009946FA"/>
    <w:pPr>
      <w:tabs>
        <w:tab w:val="center" w:pos="4153"/>
        <w:tab w:val="right" w:pos="8306"/>
      </w:tabs>
      <w:jc w:val="right"/>
    </w:pPr>
    <w:rPr>
      <w:color w:val="003478"/>
      <w:sz w:val="18"/>
    </w:rPr>
  </w:style>
  <w:style w:type="paragraph" w:customStyle="1" w:styleId="Introparagraph">
    <w:name w:val="Intro paragraph"/>
    <w:basedOn w:val="Normal"/>
    <w:autoRedefine/>
    <w:rsid w:val="00955D2A"/>
    <w:pPr>
      <w:keepNext/>
      <w:spacing w:before="120" w:after="360"/>
      <w:outlineLvl w:val="0"/>
    </w:pPr>
    <w:rPr>
      <w:b/>
      <w:bCs/>
      <w:noProof/>
      <w:kern w:val="32"/>
      <w:sz w:val="28"/>
      <w:szCs w:val="56"/>
    </w:rPr>
  </w:style>
  <w:style w:type="paragraph" w:customStyle="1" w:styleId="TintBox">
    <w:name w:val="Tint Box"/>
    <w:basedOn w:val="Normal"/>
    <w:next w:val="Normal"/>
    <w:pPr>
      <w:pBdr>
        <w:top w:val="single" w:sz="2" w:space="6" w:color="FFFFFF"/>
        <w:left w:val="single" w:sz="2" w:space="8" w:color="FFFFFF"/>
        <w:bottom w:val="single" w:sz="2" w:space="8" w:color="FFFFFF"/>
        <w:right w:val="single" w:sz="2" w:space="8" w:color="FFFFFF"/>
      </w:pBdr>
      <w:shd w:val="pct10" w:color="auto" w:fill="auto"/>
      <w:spacing w:line="280" w:lineRule="exact"/>
    </w:pPr>
    <w:rPr>
      <w:b/>
      <w:sz w:val="22"/>
    </w:rPr>
  </w:style>
  <w:style w:type="paragraph" w:styleId="Footer">
    <w:name w:val="footer"/>
    <w:basedOn w:val="Normal"/>
    <w:link w:val="FooterChar"/>
    <w:rsid w:val="00D5710C"/>
    <w:pPr>
      <w:tabs>
        <w:tab w:val="center" w:pos="4513"/>
        <w:tab w:val="right" w:pos="9026"/>
      </w:tabs>
    </w:pPr>
  </w:style>
  <w:style w:type="character" w:customStyle="1" w:styleId="FooterChar">
    <w:name w:val="Footer Char"/>
    <w:link w:val="Footer"/>
    <w:rsid w:val="00D5710C"/>
    <w:rPr>
      <w:rFonts w:ascii="Arial" w:hAnsi="Arial"/>
      <w:sz w:val="24"/>
      <w:szCs w:val="24"/>
      <w:lang w:eastAsia="en-US"/>
    </w:rPr>
  </w:style>
  <w:style w:type="character" w:styleId="FollowedHyperlink">
    <w:name w:val="FollowedHyperlink"/>
    <w:rsid w:val="007073CE"/>
    <w:rPr>
      <w:rFonts w:ascii="Arial" w:hAnsi="Arial"/>
      <w:color w:val="800080"/>
      <w:sz w:val="24"/>
      <w:u w:val="single"/>
    </w:rPr>
  </w:style>
  <w:style w:type="character" w:styleId="Hyperlink">
    <w:name w:val="Hyperlink"/>
    <w:uiPriority w:val="99"/>
    <w:rsid w:val="007073CE"/>
    <w:rPr>
      <w:rFonts w:ascii="Arial" w:hAnsi="Arial"/>
      <w:color w:val="0000FF"/>
      <w:sz w:val="24"/>
      <w:u w:val="single"/>
    </w:rPr>
  </w:style>
  <w:style w:type="paragraph" w:customStyle="1" w:styleId="BISnumberingBold">
    <w:name w:val="BIS numbering Bold"/>
    <w:basedOn w:val="Normal"/>
    <w:autoRedefine/>
    <w:rsid w:val="00B5752E"/>
    <w:pPr>
      <w:numPr>
        <w:numId w:val="4"/>
      </w:numPr>
      <w:tabs>
        <w:tab w:val="left" w:pos="567"/>
      </w:tabs>
      <w:ind w:left="567" w:right="11" w:hanging="425"/>
    </w:pPr>
  </w:style>
  <w:style w:type="numbering" w:customStyle="1" w:styleId="TableBullets">
    <w:name w:val="Table Bullets"/>
    <w:basedOn w:val="NoList"/>
    <w:rsid w:val="00F332F9"/>
    <w:pPr>
      <w:numPr>
        <w:numId w:val="3"/>
      </w:numPr>
    </w:pPr>
  </w:style>
  <w:style w:type="character" w:customStyle="1" w:styleId="StylePantoneCyanBold">
    <w:name w:val="Style Pantone Cyan + Bold"/>
    <w:rsid w:val="000D42C5"/>
    <w:rPr>
      <w:b/>
      <w:bCs/>
      <w:color w:val="003478"/>
    </w:rPr>
  </w:style>
  <w:style w:type="character" w:customStyle="1" w:styleId="Page1White">
    <w:name w:val="Page 1 White"/>
    <w:rsid w:val="00FC508A"/>
    <w:rPr>
      <w:rFonts w:ascii="Arial" w:hAnsi="Arial"/>
      <w:color w:val="FFFFFF"/>
      <w:sz w:val="24"/>
    </w:rPr>
  </w:style>
  <w:style w:type="paragraph" w:customStyle="1" w:styleId="EvenPageNumber">
    <w:name w:val="Even Page Number"/>
    <w:basedOn w:val="Normal"/>
    <w:rsid w:val="009946FA"/>
    <w:rPr>
      <w:color w:val="003478"/>
    </w:rPr>
  </w:style>
  <w:style w:type="paragraph" w:customStyle="1" w:styleId="BISEvenHeader">
    <w:name w:val="BIS Even Header"/>
    <w:basedOn w:val="BISOddHeader"/>
    <w:rsid w:val="00A95640"/>
    <w:pPr>
      <w:jc w:val="left"/>
    </w:pPr>
  </w:style>
  <w:style w:type="character" w:customStyle="1" w:styleId="StylePantone144Bold">
    <w:name w:val="Style Pantone 144 + Bold"/>
    <w:rsid w:val="001E554A"/>
    <w:rPr>
      <w:b/>
      <w:bCs/>
      <w:color w:val="FFCC11"/>
    </w:rPr>
  </w:style>
  <w:style w:type="paragraph" w:customStyle="1" w:styleId="BoxText">
    <w:name w:val="Box Text"/>
    <w:basedOn w:val="Normal"/>
    <w:rsid w:val="00442169"/>
    <w:pPr>
      <w:spacing w:line="288" w:lineRule="exact"/>
      <w:jc w:val="center"/>
    </w:pPr>
    <w:rPr>
      <w:rFonts w:ascii="Arial Bold" w:hAnsi="Arial Bold"/>
      <w:b/>
      <w:color w:val="FFFFFF"/>
    </w:rPr>
  </w:style>
  <w:style w:type="table" w:styleId="TableGrid">
    <w:name w:val="Table Grid"/>
    <w:basedOn w:val="TableNormal"/>
    <w:rsid w:val="00015C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rsid w:val="00FC508A"/>
    <w:pPr>
      <w:spacing w:after="80"/>
      <w:ind w:left="113" w:right="113"/>
    </w:pPr>
    <w:rPr>
      <w:b/>
    </w:rPr>
  </w:style>
  <w:style w:type="paragraph" w:customStyle="1" w:styleId="TableTitle">
    <w:name w:val="Table Title"/>
    <w:basedOn w:val="TableText"/>
    <w:rsid w:val="00533C58"/>
    <w:pPr>
      <w:spacing w:after="0"/>
    </w:pPr>
    <w:rPr>
      <w:b w:val="0"/>
    </w:rPr>
  </w:style>
  <w:style w:type="character" w:customStyle="1" w:styleId="PantoneCyan">
    <w:name w:val="Pantone Cyan"/>
    <w:rsid w:val="00533C58"/>
    <w:rPr>
      <w:color w:val="009EE3"/>
    </w:rPr>
  </w:style>
  <w:style w:type="character" w:customStyle="1" w:styleId="Pantone144">
    <w:name w:val="Pantone 144"/>
    <w:rsid w:val="001E554A"/>
    <w:rPr>
      <w:color w:val="FFCC11"/>
    </w:rPr>
  </w:style>
  <w:style w:type="character" w:customStyle="1" w:styleId="Pantone187">
    <w:name w:val="Pantone 187"/>
    <w:rsid w:val="001E554A"/>
    <w:rPr>
      <w:color w:val="CC0033"/>
    </w:rPr>
  </w:style>
  <w:style w:type="character" w:customStyle="1" w:styleId="Pantone2593">
    <w:name w:val="Pantone 2593"/>
    <w:rsid w:val="00533C58"/>
    <w:rPr>
      <w:color w:val="742F89"/>
    </w:rPr>
  </w:style>
  <w:style w:type="character" w:customStyle="1" w:styleId="PantoneWhite">
    <w:name w:val="Pantone White"/>
    <w:rsid w:val="003F35D6"/>
    <w:rPr>
      <w:color w:val="FFFFFF"/>
    </w:rPr>
  </w:style>
  <w:style w:type="paragraph" w:styleId="ListBullet">
    <w:name w:val="List Bullet"/>
    <w:basedOn w:val="Normal"/>
    <w:rsid w:val="00F90D09"/>
    <w:pPr>
      <w:numPr>
        <w:numId w:val="2"/>
      </w:numPr>
      <w:spacing w:line="288" w:lineRule="exact"/>
    </w:pPr>
  </w:style>
  <w:style w:type="paragraph" w:customStyle="1" w:styleId="Dateonfirstpage">
    <w:name w:val="Date on first page"/>
    <w:basedOn w:val="Normal"/>
    <w:rsid w:val="00CF24D9"/>
    <w:pPr>
      <w:spacing w:line="360" w:lineRule="exact"/>
      <w:ind w:right="28"/>
      <w:jc w:val="right"/>
    </w:pPr>
    <w:rPr>
      <w:color w:val="FFFFFF"/>
      <w:sz w:val="30"/>
    </w:rPr>
  </w:style>
  <w:style w:type="paragraph" w:customStyle="1" w:styleId="ZeroLead">
    <w:name w:val="Zero Lead"/>
    <w:basedOn w:val="BISCovertext"/>
    <w:rsid w:val="00624791"/>
    <w:pPr>
      <w:spacing w:after="0" w:line="20" w:lineRule="exact"/>
    </w:pPr>
  </w:style>
  <w:style w:type="paragraph" w:customStyle="1" w:styleId="EndpageText">
    <w:name w:val="End page Text"/>
    <w:basedOn w:val="Normal"/>
    <w:rsid w:val="001E554A"/>
    <w:pPr>
      <w:spacing w:after="0" w:line="260" w:lineRule="exact"/>
    </w:pPr>
    <w:rPr>
      <w:sz w:val="20"/>
    </w:rPr>
  </w:style>
  <w:style w:type="numbering" w:customStyle="1" w:styleId="StyleOutlinenumberedLeft089cmHanging063cm">
    <w:name w:val="Style Outline numbered Left:  0.89 cm Hanging:  0.63 cm"/>
    <w:basedOn w:val="NoList"/>
    <w:rsid w:val="005F064A"/>
    <w:pPr>
      <w:numPr>
        <w:numId w:val="6"/>
      </w:numPr>
    </w:pPr>
  </w:style>
  <w:style w:type="paragraph" w:customStyle="1" w:styleId="Tabletitle-ConsulatationQuestionWhite">
    <w:name w:val="Table title - Consulatation Question White"/>
    <w:basedOn w:val="TableTitle"/>
    <w:rsid w:val="008571A1"/>
    <w:rPr>
      <w:rFonts w:ascii="Arial Bold" w:hAnsi="Arial Bold"/>
      <w:b/>
      <w:color w:val="FFFFFF"/>
    </w:rPr>
  </w:style>
  <w:style w:type="paragraph" w:styleId="DocumentMap">
    <w:name w:val="Document Map"/>
    <w:basedOn w:val="Normal"/>
    <w:semiHidden/>
    <w:rsid w:val="008B723C"/>
    <w:pPr>
      <w:shd w:val="clear" w:color="auto" w:fill="000080"/>
    </w:pPr>
    <w:rPr>
      <w:rFonts w:ascii="Tahoma" w:hAnsi="Tahoma" w:cs="Tahoma"/>
      <w:sz w:val="20"/>
      <w:szCs w:val="20"/>
    </w:rPr>
  </w:style>
  <w:style w:type="paragraph" w:customStyle="1" w:styleId="Documenttitle">
    <w:name w:val="Document title"/>
    <w:basedOn w:val="Normal"/>
    <w:rsid w:val="00ED47D3"/>
    <w:pPr>
      <w:spacing w:after="0" w:line="240" w:lineRule="atLeast"/>
    </w:pPr>
    <w:rPr>
      <w:b/>
      <w:caps/>
    </w:rPr>
  </w:style>
  <w:style w:type="paragraph" w:customStyle="1" w:styleId="Secondarytitle">
    <w:name w:val="Secondary title"/>
    <w:basedOn w:val="Normal"/>
    <w:rsid w:val="00034384"/>
    <w:pPr>
      <w:spacing w:after="0" w:line="240" w:lineRule="atLeast"/>
    </w:pPr>
    <w:rPr>
      <w:sz w:val="28"/>
    </w:rPr>
  </w:style>
  <w:style w:type="character" w:customStyle="1" w:styleId="Heading2Char">
    <w:name w:val="Heading 2 Char"/>
    <w:link w:val="Heading2"/>
    <w:rsid w:val="0068134A"/>
    <w:rPr>
      <w:rFonts w:ascii="Arial" w:hAnsi="Arial"/>
      <w:b/>
      <w:bCs/>
      <w:iCs/>
      <w:color w:val="003478"/>
      <w:sz w:val="32"/>
      <w:szCs w:val="28"/>
      <w:lang w:val="en-GB" w:eastAsia="en-US" w:bidi="ar-SA"/>
    </w:rPr>
  </w:style>
  <w:style w:type="character" w:customStyle="1" w:styleId="Heading3Char">
    <w:name w:val="Heading 3 Char"/>
    <w:link w:val="Heading3"/>
    <w:rsid w:val="00D3374C"/>
    <w:rPr>
      <w:rFonts w:ascii="Arial" w:hAnsi="Arial"/>
      <w:b/>
      <w:bCs/>
      <w:color w:val="009BBB"/>
      <w:sz w:val="26"/>
      <w:szCs w:val="26"/>
      <w:lang w:val="en-GB" w:eastAsia="en-US" w:bidi="ar-SA"/>
    </w:rPr>
  </w:style>
  <w:style w:type="character" w:customStyle="1" w:styleId="Heading4Char">
    <w:name w:val="Heading 4 Char"/>
    <w:link w:val="Heading4"/>
    <w:rsid w:val="0068134A"/>
    <w:rPr>
      <w:rFonts w:ascii="Arial" w:hAnsi="Arial"/>
      <w:b/>
      <w:sz w:val="24"/>
      <w:szCs w:val="24"/>
      <w:lang w:val="en-GB" w:eastAsia="en-US" w:bidi="ar-SA"/>
    </w:rPr>
  </w:style>
  <w:style w:type="paragraph" w:customStyle="1" w:styleId="Tabletextnon-bold">
    <w:name w:val="Table text non-bold"/>
    <w:basedOn w:val="TableText"/>
    <w:qFormat/>
    <w:rsid w:val="00484B18"/>
    <w:rPr>
      <w:b w:val="0"/>
    </w:rPr>
  </w:style>
  <w:style w:type="paragraph" w:styleId="Caption">
    <w:name w:val="caption"/>
    <w:basedOn w:val="Normal"/>
    <w:next w:val="Normal"/>
    <w:qFormat/>
    <w:rsid w:val="00FC508A"/>
    <w:rPr>
      <w:b/>
    </w:rPr>
  </w:style>
  <w:style w:type="paragraph" w:customStyle="1" w:styleId="Supplementarytitle">
    <w:name w:val="Supplementary title"/>
    <w:basedOn w:val="Normal"/>
    <w:rsid w:val="00ED47D3"/>
    <w:pPr>
      <w:spacing w:after="0" w:line="240" w:lineRule="atLeast"/>
    </w:pPr>
    <w:rPr>
      <w:caps/>
      <w:sz w:val="20"/>
    </w:rPr>
  </w:style>
  <w:style w:type="character" w:customStyle="1" w:styleId="StylePantone187Bold">
    <w:name w:val="Style Pantone 187 + Bold"/>
    <w:rsid w:val="001E554A"/>
    <w:rPr>
      <w:b/>
      <w:bCs/>
      <w:color w:val="CC0033"/>
    </w:rPr>
  </w:style>
  <w:style w:type="paragraph" w:styleId="BalloonText">
    <w:name w:val="Balloon Text"/>
    <w:basedOn w:val="Normal"/>
    <w:semiHidden/>
    <w:rsid w:val="001C78F8"/>
    <w:rPr>
      <w:rFonts w:ascii="Tahoma" w:hAnsi="Tahoma" w:cs="Tahoma"/>
      <w:sz w:val="16"/>
      <w:szCs w:val="16"/>
    </w:rPr>
  </w:style>
  <w:style w:type="character" w:styleId="PageNumber">
    <w:name w:val="page number"/>
    <w:basedOn w:val="DefaultParagraphFont"/>
    <w:rsid w:val="006645DC"/>
  </w:style>
  <w:style w:type="paragraph" w:styleId="BodyText">
    <w:name w:val="Body Text"/>
    <w:basedOn w:val="Normal"/>
    <w:link w:val="BodyTextChar"/>
    <w:rsid w:val="003A14B5"/>
    <w:pPr>
      <w:widowControl w:val="0"/>
      <w:suppressAutoHyphens/>
      <w:spacing w:after="120"/>
    </w:pPr>
    <w:rPr>
      <w:rFonts w:ascii="Times New Roman" w:eastAsia="Arial Unicode MS" w:hAnsi="Times New Roman" w:cs="Arial Unicode MS"/>
      <w:kern w:val="1"/>
      <w:lang w:eastAsia="zh-CN" w:bidi="hi-IN"/>
    </w:rPr>
  </w:style>
  <w:style w:type="paragraph" w:styleId="BodyText2">
    <w:name w:val="Body Text 2"/>
    <w:basedOn w:val="Normal"/>
    <w:rsid w:val="00EA1376"/>
    <w:pPr>
      <w:jc w:val="both"/>
    </w:pPr>
    <w:rPr>
      <w:rFonts w:cs="Arial"/>
    </w:rPr>
  </w:style>
  <w:style w:type="paragraph" w:styleId="NormalWeb">
    <w:name w:val="Normal (Web)"/>
    <w:basedOn w:val="Normal"/>
    <w:rsid w:val="00E4370A"/>
    <w:pPr>
      <w:spacing w:before="100" w:beforeAutospacing="1" w:after="100" w:afterAutospacing="1"/>
    </w:pPr>
    <w:rPr>
      <w:rFonts w:cs="Arial"/>
      <w:lang w:eastAsia="en-GB"/>
    </w:rPr>
  </w:style>
  <w:style w:type="character" w:styleId="Strong">
    <w:name w:val="Strong"/>
    <w:qFormat/>
    <w:rsid w:val="00890B43"/>
    <w:rPr>
      <w:b/>
      <w:bCs/>
    </w:rPr>
  </w:style>
  <w:style w:type="character" w:styleId="CommentReference">
    <w:name w:val="annotation reference"/>
    <w:semiHidden/>
    <w:rsid w:val="009210DE"/>
    <w:rPr>
      <w:sz w:val="16"/>
      <w:szCs w:val="16"/>
    </w:rPr>
  </w:style>
  <w:style w:type="paragraph" w:styleId="CommentText">
    <w:name w:val="annotation text"/>
    <w:basedOn w:val="Normal"/>
    <w:semiHidden/>
    <w:rsid w:val="009210DE"/>
    <w:rPr>
      <w:sz w:val="20"/>
      <w:szCs w:val="20"/>
    </w:rPr>
  </w:style>
  <w:style w:type="paragraph" w:styleId="CommentSubject">
    <w:name w:val="annotation subject"/>
    <w:basedOn w:val="CommentText"/>
    <w:next w:val="CommentText"/>
    <w:semiHidden/>
    <w:rsid w:val="009210DE"/>
    <w:rPr>
      <w:b/>
      <w:bCs/>
    </w:rPr>
  </w:style>
  <w:style w:type="table" w:styleId="TableList5">
    <w:name w:val="Table List 5"/>
    <w:basedOn w:val="TableNormal"/>
    <w:rsid w:val="005354CF"/>
    <w:pPr>
      <w:spacing w:after="288"/>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character" w:customStyle="1" w:styleId="BodyTextChar">
    <w:name w:val="Body Text Char"/>
    <w:link w:val="BodyText"/>
    <w:rsid w:val="003C00D0"/>
    <w:rPr>
      <w:rFonts w:eastAsia="Arial Unicode MS" w:cs="Arial Unicode MS"/>
      <w:kern w:val="1"/>
      <w:sz w:val="24"/>
      <w:szCs w:val="24"/>
      <w:lang w:eastAsia="zh-CN" w:bidi="hi-IN"/>
    </w:rPr>
  </w:style>
  <w:style w:type="paragraph" w:customStyle="1" w:styleId="StyleHeading1After0pt">
    <w:name w:val="Style Heading 1 + After:  0 pt"/>
    <w:basedOn w:val="Heading1"/>
    <w:rsid w:val="0076262B"/>
    <w:pPr>
      <w:spacing w:after="0"/>
    </w:pPr>
    <w:rPr>
      <w:szCs w:val="20"/>
    </w:rPr>
  </w:style>
  <w:style w:type="paragraph" w:styleId="Index1">
    <w:name w:val="index 1"/>
    <w:basedOn w:val="Normal"/>
    <w:next w:val="Normal"/>
    <w:autoRedefine/>
    <w:rsid w:val="0022300C"/>
    <w:pPr>
      <w:ind w:left="24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7464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groups/uk-single-market-centre" TargetMode="External"/><Relationship Id="rId18" Type="http://schemas.openxmlformats.org/officeDocument/2006/relationships/hyperlink" Target="https://www.gov.uk/government/publications/technical-standards-and-regulations-directive-9834ec-guidance-for-officials" TargetMode="External"/><Relationship Id="rId26" Type="http://schemas.openxmlformats.org/officeDocument/2006/relationships/image" Target="media/image2.emf"/><Relationship Id="rId39" Type="http://schemas.openxmlformats.org/officeDocument/2006/relationships/hyperlink" Target="http://ec.europa.eu/enterprise/tris/index_en.htm" TargetMode="External"/><Relationship Id="rId21" Type="http://schemas.openxmlformats.org/officeDocument/2006/relationships/hyperlink" Target="https://www.gov.uk/government/collections/uk-trade-and-investment-services-for-exporters" TargetMode="External"/><Relationship Id="rId34" Type="http://schemas.openxmlformats.org/officeDocument/2006/relationships/hyperlink" Target="https://www.gov.uk/government/organisations/department-for-transport" TargetMode="External"/><Relationship Id="rId42" Type="http://schemas.openxmlformats.org/officeDocument/2006/relationships/image" Target="media/image5.emf"/><Relationship Id="rId47" Type="http://schemas.openxmlformats.org/officeDocument/2006/relationships/header" Target="header4.xml"/><Relationship Id="rId50" Type="http://schemas.openxmlformats.org/officeDocument/2006/relationships/hyperlink" Target="mailto:psi@nationalarchives.gsi.gov.uk" TargetMode="External"/><Relationship Id="rId55"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ec.europa.eu/internal_market/eu-go/index_en.htm" TargetMode="External"/><Relationship Id="rId25" Type="http://schemas.openxmlformats.org/officeDocument/2006/relationships/hyperlink" Target="https://www.gov.uk/ukwelcomes" TargetMode="External"/><Relationship Id="rId33" Type="http://schemas.openxmlformats.org/officeDocument/2006/relationships/hyperlink" Target="https://www.gov.uk/government/organisations/department-for-culture-media-sport" TargetMode="External"/><Relationship Id="rId38" Type="http://schemas.openxmlformats.org/officeDocument/2006/relationships/hyperlink" Target="http://www.marinemanagement.org.uk/" TargetMode="Externa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ec.europa.eu/solvit/index_en.htm" TargetMode="External"/><Relationship Id="rId20" Type="http://schemas.openxmlformats.org/officeDocument/2006/relationships/hyperlink" Target="https://www.gov.uk/government/collections/uk-single-market-centre-newsletter" TargetMode="External"/><Relationship Id="rId29" Type="http://schemas.openxmlformats.org/officeDocument/2006/relationships/hyperlink" Target="https://www.gov.uk/government/organisations/department-for-environment-food-rural-affairs" TargetMode="External"/><Relationship Id="rId41" Type="http://schemas.openxmlformats.org/officeDocument/2006/relationships/image" Target="media/image4.emf"/><Relationship Id="rId54"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GOV.UK" TargetMode="External"/><Relationship Id="rId32" Type="http://schemas.openxmlformats.org/officeDocument/2006/relationships/hyperlink" Target="http://www.ofcom.org.uk/" TargetMode="External"/><Relationship Id="rId37" Type="http://schemas.openxmlformats.org/officeDocument/2006/relationships/hyperlink" Target="http://www.mhra.gov.uk/" TargetMode="External"/><Relationship Id="rId40" Type="http://schemas.openxmlformats.org/officeDocument/2006/relationships/image" Target="media/image3.emf"/><Relationship Id="rId45" Type="http://schemas.openxmlformats.org/officeDocument/2006/relationships/hyperlink" Target="http://www.ec.europa.eu/internal_market/score/index_en.htm" TargetMode="External"/><Relationship Id="rId53" Type="http://schemas.openxmlformats.org/officeDocument/2006/relationships/header" Target="header6.xm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gov.uk/eu-internal-market-information-system" TargetMode="External"/><Relationship Id="rId23" Type="http://schemas.openxmlformats.org/officeDocument/2006/relationships/hyperlink" Target="http://een.ec.europa.eu/about/about" TargetMode="External"/><Relationship Id="rId28" Type="http://schemas.openxmlformats.org/officeDocument/2006/relationships/hyperlink" Target="https://www.gov.uk/eu-internal-market-information-system" TargetMode="External"/><Relationship Id="rId36" Type="http://schemas.openxmlformats.org/officeDocument/2006/relationships/hyperlink" Target="https://www.gov.uk/government/organisations/wales-office" TargetMode="External"/><Relationship Id="rId49" Type="http://schemas.openxmlformats.org/officeDocument/2006/relationships/hyperlink" Target="http://www.nationalarchives.gov.uk/doc/open-government-licence/" TargetMode="External"/><Relationship Id="rId57"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ebarchive.nationalarchives.gov.uk/20130626202747/https:/www.gov.uk/government/uploads/system/uploads/attachment_data/file/206568/uk-single-market-centre-flyer.pdf" TargetMode="External"/><Relationship Id="rId31" Type="http://schemas.openxmlformats.org/officeDocument/2006/relationships/hyperlink" Target="https://www.gov.uk/government/organisations/northern-ireland-office" TargetMode="External"/><Relationship Id="rId44" Type="http://schemas.openxmlformats.org/officeDocument/2006/relationships/hyperlink" Target="http://www.ec.europa.eu/internal_market/scoreboard/performance_by_governance_tool/transposition/index_en.htm" TargetMode="External"/><Relationship Id="rId52" Type="http://schemas.openxmlformats.org/officeDocument/2006/relationships/hyperlink" Target="mailto:enquiries@bis.gsi.gov.uk"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ec.europa.eu/internal_market/score/index_en.htm" TargetMode="External"/><Relationship Id="rId22" Type="http://schemas.openxmlformats.org/officeDocument/2006/relationships/hyperlink" Target="http://www.ukecc.net/" TargetMode="External"/><Relationship Id="rId27" Type="http://schemas.openxmlformats.org/officeDocument/2006/relationships/oleObject" Target="embeddings/oleObject1.bin"/><Relationship Id="rId30" Type="http://schemas.openxmlformats.org/officeDocument/2006/relationships/hyperlink" Target="https://www.gov.uk/government/organisations/department-of-energy-climate-change" TargetMode="External"/><Relationship Id="rId35" Type="http://schemas.openxmlformats.org/officeDocument/2006/relationships/hyperlink" Target="https://www.gov.uk/government/organisations/scotland-office" TargetMode="External"/><Relationship Id="rId43" Type="http://schemas.openxmlformats.org/officeDocument/2006/relationships/hyperlink" Target="http://ec.europa.eu/internal_market/scoreboard/_archives/2013/07/performance_by_governance_tool/transposition/index_en.htm" TargetMode="External"/><Relationship Id="rId48" Type="http://schemas.openxmlformats.org/officeDocument/2006/relationships/header" Target="header5.xml"/><Relationship Id="rId56" Type="http://schemas.openxmlformats.org/officeDocument/2006/relationships/footer" Target="footer3.xml"/><Relationship Id="rId8" Type="http://schemas.openxmlformats.org/officeDocument/2006/relationships/endnotes" Target="endnotes.xml"/><Relationship Id="rId51" Type="http://schemas.openxmlformats.org/officeDocument/2006/relationships/hyperlink" Target="https://www.gov.uk/government/organisations/department-for-business-innovation-skills"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BIS%20repo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B8DDC-CE39-4AFE-AE34-FA9189316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BIS report template</Template>
  <TotalTime>9</TotalTime>
  <Pages>16</Pages>
  <Words>3446</Words>
  <Characters>21717</Characters>
  <Application>Microsoft Office Word</Application>
  <DocSecurity>8</DocSecurity>
  <Lines>586</Lines>
  <Paragraphs>289</Paragraphs>
  <ScaleCrop>false</ScaleCrop>
  <HeadingPairs>
    <vt:vector size="2" baseType="variant">
      <vt:variant>
        <vt:lpstr>Title</vt:lpstr>
      </vt:variant>
      <vt:variant>
        <vt:i4>1</vt:i4>
      </vt:variant>
    </vt:vector>
  </HeadingPairs>
  <TitlesOfParts>
    <vt:vector size="1" baseType="lpstr">
      <vt:lpstr>UK Single Market Centre Annual Report 2013</vt:lpstr>
    </vt:vector>
  </TitlesOfParts>
  <Company>BIS</Company>
  <LinksUpToDate>false</LinksUpToDate>
  <CharactersWithSpaces>24874</CharactersWithSpaces>
  <SharedDoc>false</SharedDoc>
  <HLinks>
    <vt:vector size="234" baseType="variant">
      <vt:variant>
        <vt:i4>8257629</vt:i4>
      </vt:variant>
      <vt:variant>
        <vt:i4>138</vt:i4>
      </vt:variant>
      <vt:variant>
        <vt:i4>0</vt:i4>
      </vt:variant>
      <vt:variant>
        <vt:i4>5</vt:i4>
      </vt:variant>
      <vt:variant>
        <vt:lpwstr>mailto:enquiries@bis.gsi.gov.uk</vt:lpwstr>
      </vt:variant>
      <vt:variant>
        <vt:lpwstr/>
      </vt:variant>
      <vt:variant>
        <vt:i4>5963843</vt:i4>
      </vt:variant>
      <vt:variant>
        <vt:i4>135</vt:i4>
      </vt:variant>
      <vt:variant>
        <vt:i4>0</vt:i4>
      </vt:variant>
      <vt:variant>
        <vt:i4>5</vt:i4>
      </vt:variant>
      <vt:variant>
        <vt:lpwstr>https://www.gov.uk/government/organisations/department-for-business-innovation-skills</vt:lpwstr>
      </vt:variant>
      <vt:variant>
        <vt:lpwstr/>
      </vt:variant>
      <vt:variant>
        <vt:i4>3670022</vt:i4>
      </vt:variant>
      <vt:variant>
        <vt:i4>132</vt:i4>
      </vt:variant>
      <vt:variant>
        <vt:i4>0</vt:i4>
      </vt:variant>
      <vt:variant>
        <vt:i4>5</vt:i4>
      </vt:variant>
      <vt:variant>
        <vt:lpwstr>mailto:psi@nationalarchives.gsi.gov.uk</vt:lpwstr>
      </vt:variant>
      <vt:variant>
        <vt:lpwstr/>
      </vt:variant>
      <vt:variant>
        <vt:i4>6553714</vt:i4>
      </vt:variant>
      <vt:variant>
        <vt:i4>129</vt:i4>
      </vt:variant>
      <vt:variant>
        <vt:i4>0</vt:i4>
      </vt:variant>
      <vt:variant>
        <vt:i4>5</vt:i4>
      </vt:variant>
      <vt:variant>
        <vt:lpwstr>http://www.nationalarchives.gov.uk/doc/open-government-licence/</vt:lpwstr>
      </vt:variant>
      <vt:variant>
        <vt:lpwstr/>
      </vt:variant>
      <vt:variant>
        <vt:i4>786451</vt:i4>
      </vt:variant>
      <vt:variant>
        <vt:i4>126</vt:i4>
      </vt:variant>
      <vt:variant>
        <vt:i4>0</vt:i4>
      </vt:variant>
      <vt:variant>
        <vt:i4>5</vt:i4>
      </vt:variant>
      <vt:variant>
        <vt:lpwstr>http://www.ec.europa.eu/internal_market/score/index_en.htm</vt:lpwstr>
      </vt:variant>
      <vt:variant>
        <vt:lpwstr/>
      </vt:variant>
      <vt:variant>
        <vt:i4>131118</vt:i4>
      </vt:variant>
      <vt:variant>
        <vt:i4>123</vt:i4>
      </vt:variant>
      <vt:variant>
        <vt:i4>0</vt:i4>
      </vt:variant>
      <vt:variant>
        <vt:i4>5</vt:i4>
      </vt:variant>
      <vt:variant>
        <vt:lpwstr>http://www.ec.europa.eu/internal_market/scoreboard/performance_by_governance_tool/transposition/index_en.htm</vt:lpwstr>
      </vt:variant>
      <vt:variant>
        <vt:lpwstr/>
      </vt:variant>
      <vt:variant>
        <vt:i4>5832778</vt:i4>
      </vt:variant>
      <vt:variant>
        <vt:i4>120</vt:i4>
      </vt:variant>
      <vt:variant>
        <vt:i4>0</vt:i4>
      </vt:variant>
      <vt:variant>
        <vt:i4>5</vt:i4>
      </vt:variant>
      <vt:variant>
        <vt:lpwstr>http://ec.europa.eu/internal_market/scoreboard/_archives/2013/07/performance_by_governance_tool/transposition/index_en.htm</vt:lpwstr>
      </vt:variant>
      <vt:variant>
        <vt:lpwstr/>
      </vt:variant>
      <vt:variant>
        <vt:i4>2818128</vt:i4>
      </vt:variant>
      <vt:variant>
        <vt:i4>117</vt:i4>
      </vt:variant>
      <vt:variant>
        <vt:i4>0</vt:i4>
      </vt:variant>
      <vt:variant>
        <vt:i4>5</vt:i4>
      </vt:variant>
      <vt:variant>
        <vt:lpwstr>http://ec.europa.eu/enterprise/tris/index_en.htm</vt:lpwstr>
      </vt:variant>
      <vt:variant>
        <vt:lpwstr/>
      </vt:variant>
      <vt:variant>
        <vt:i4>2359348</vt:i4>
      </vt:variant>
      <vt:variant>
        <vt:i4>114</vt:i4>
      </vt:variant>
      <vt:variant>
        <vt:i4>0</vt:i4>
      </vt:variant>
      <vt:variant>
        <vt:i4>5</vt:i4>
      </vt:variant>
      <vt:variant>
        <vt:lpwstr>http://www.marinemanagement.org.uk/</vt:lpwstr>
      </vt:variant>
      <vt:variant>
        <vt:lpwstr/>
      </vt:variant>
      <vt:variant>
        <vt:i4>3145789</vt:i4>
      </vt:variant>
      <vt:variant>
        <vt:i4>111</vt:i4>
      </vt:variant>
      <vt:variant>
        <vt:i4>0</vt:i4>
      </vt:variant>
      <vt:variant>
        <vt:i4>5</vt:i4>
      </vt:variant>
      <vt:variant>
        <vt:lpwstr>http://www.mhra.gov.uk/</vt:lpwstr>
      </vt:variant>
      <vt:variant>
        <vt:lpwstr/>
      </vt:variant>
      <vt:variant>
        <vt:i4>6094849</vt:i4>
      </vt:variant>
      <vt:variant>
        <vt:i4>108</vt:i4>
      </vt:variant>
      <vt:variant>
        <vt:i4>0</vt:i4>
      </vt:variant>
      <vt:variant>
        <vt:i4>5</vt:i4>
      </vt:variant>
      <vt:variant>
        <vt:lpwstr>https://www.gov.uk/government/organisations/wales-office</vt:lpwstr>
      </vt:variant>
      <vt:variant>
        <vt:lpwstr/>
      </vt:variant>
      <vt:variant>
        <vt:i4>6684735</vt:i4>
      </vt:variant>
      <vt:variant>
        <vt:i4>105</vt:i4>
      </vt:variant>
      <vt:variant>
        <vt:i4>0</vt:i4>
      </vt:variant>
      <vt:variant>
        <vt:i4>5</vt:i4>
      </vt:variant>
      <vt:variant>
        <vt:lpwstr>https://www.gov.uk/government/organisations/scotland-office</vt:lpwstr>
      </vt:variant>
      <vt:variant>
        <vt:lpwstr/>
      </vt:variant>
      <vt:variant>
        <vt:i4>1441815</vt:i4>
      </vt:variant>
      <vt:variant>
        <vt:i4>102</vt:i4>
      </vt:variant>
      <vt:variant>
        <vt:i4>0</vt:i4>
      </vt:variant>
      <vt:variant>
        <vt:i4>5</vt:i4>
      </vt:variant>
      <vt:variant>
        <vt:lpwstr>https://www.gov.uk/government/organisations/department-for-transport</vt:lpwstr>
      </vt:variant>
      <vt:variant>
        <vt:lpwstr/>
      </vt:variant>
      <vt:variant>
        <vt:i4>7602292</vt:i4>
      </vt:variant>
      <vt:variant>
        <vt:i4>99</vt:i4>
      </vt:variant>
      <vt:variant>
        <vt:i4>0</vt:i4>
      </vt:variant>
      <vt:variant>
        <vt:i4>5</vt:i4>
      </vt:variant>
      <vt:variant>
        <vt:lpwstr>https://www.gov.uk/government/organisations/department-for-culture-media-sport</vt:lpwstr>
      </vt:variant>
      <vt:variant>
        <vt:lpwstr/>
      </vt:variant>
      <vt:variant>
        <vt:i4>1572928</vt:i4>
      </vt:variant>
      <vt:variant>
        <vt:i4>96</vt:i4>
      </vt:variant>
      <vt:variant>
        <vt:i4>0</vt:i4>
      </vt:variant>
      <vt:variant>
        <vt:i4>5</vt:i4>
      </vt:variant>
      <vt:variant>
        <vt:lpwstr>http://www.ofcom.org.uk/</vt:lpwstr>
      </vt:variant>
      <vt:variant>
        <vt:lpwstr/>
      </vt:variant>
      <vt:variant>
        <vt:i4>7143546</vt:i4>
      </vt:variant>
      <vt:variant>
        <vt:i4>93</vt:i4>
      </vt:variant>
      <vt:variant>
        <vt:i4>0</vt:i4>
      </vt:variant>
      <vt:variant>
        <vt:i4>5</vt:i4>
      </vt:variant>
      <vt:variant>
        <vt:lpwstr>https://www.gov.uk/government/organisations/northern-ireland-office</vt:lpwstr>
      </vt:variant>
      <vt:variant>
        <vt:lpwstr/>
      </vt:variant>
      <vt:variant>
        <vt:i4>3342393</vt:i4>
      </vt:variant>
      <vt:variant>
        <vt:i4>90</vt:i4>
      </vt:variant>
      <vt:variant>
        <vt:i4>0</vt:i4>
      </vt:variant>
      <vt:variant>
        <vt:i4>5</vt:i4>
      </vt:variant>
      <vt:variant>
        <vt:lpwstr>https://www.gov.uk/government/organisations/department-of-energy-climate-change</vt:lpwstr>
      </vt:variant>
      <vt:variant>
        <vt:lpwstr/>
      </vt:variant>
      <vt:variant>
        <vt:i4>1900614</vt:i4>
      </vt:variant>
      <vt:variant>
        <vt:i4>87</vt:i4>
      </vt:variant>
      <vt:variant>
        <vt:i4>0</vt:i4>
      </vt:variant>
      <vt:variant>
        <vt:i4>5</vt:i4>
      </vt:variant>
      <vt:variant>
        <vt:lpwstr>https://www.gov.uk/government/organisations/department-for-environment-food-rural-affairs</vt:lpwstr>
      </vt:variant>
      <vt:variant>
        <vt:lpwstr/>
      </vt:variant>
      <vt:variant>
        <vt:i4>5111901</vt:i4>
      </vt:variant>
      <vt:variant>
        <vt:i4>84</vt:i4>
      </vt:variant>
      <vt:variant>
        <vt:i4>0</vt:i4>
      </vt:variant>
      <vt:variant>
        <vt:i4>5</vt:i4>
      </vt:variant>
      <vt:variant>
        <vt:lpwstr>https://www.gov.uk/eu-internal-market-information-system</vt:lpwstr>
      </vt:variant>
      <vt:variant>
        <vt:lpwstr/>
      </vt:variant>
      <vt:variant>
        <vt:i4>393227</vt:i4>
      </vt:variant>
      <vt:variant>
        <vt:i4>81</vt:i4>
      </vt:variant>
      <vt:variant>
        <vt:i4>0</vt:i4>
      </vt:variant>
      <vt:variant>
        <vt:i4>5</vt:i4>
      </vt:variant>
      <vt:variant>
        <vt:lpwstr>https://www.gov.uk/ukwelcomes</vt:lpwstr>
      </vt:variant>
      <vt:variant>
        <vt:lpwstr/>
      </vt:variant>
      <vt:variant>
        <vt:i4>6291578</vt:i4>
      </vt:variant>
      <vt:variant>
        <vt:i4>78</vt:i4>
      </vt:variant>
      <vt:variant>
        <vt:i4>0</vt:i4>
      </vt:variant>
      <vt:variant>
        <vt:i4>5</vt:i4>
      </vt:variant>
      <vt:variant>
        <vt:lpwstr>http://www.gov.uk/</vt:lpwstr>
      </vt:variant>
      <vt:variant>
        <vt:lpwstr/>
      </vt:variant>
      <vt:variant>
        <vt:i4>7667817</vt:i4>
      </vt:variant>
      <vt:variant>
        <vt:i4>75</vt:i4>
      </vt:variant>
      <vt:variant>
        <vt:i4>0</vt:i4>
      </vt:variant>
      <vt:variant>
        <vt:i4>5</vt:i4>
      </vt:variant>
      <vt:variant>
        <vt:lpwstr>http://een.ec.europa.eu/about/about</vt:lpwstr>
      </vt:variant>
      <vt:variant>
        <vt:lpwstr/>
      </vt:variant>
      <vt:variant>
        <vt:i4>4325395</vt:i4>
      </vt:variant>
      <vt:variant>
        <vt:i4>72</vt:i4>
      </vt:variant>
      <vt:variant>
        <vt:i4>0</vt:i4>
      </vt:variant>
      <vt:variant>
        <vt:i4>5</vt:i4>
      </vt:variant>
      <vt:variant>
        <vt:lpwstr>http://www.ukecc.net/</vt:lpwstr>
      </vt:variant>
      <vt:variant>
        <vt:lpwstr/>
      </vt:variant>
      <vt:variant>
        <vt:i4>6225985</vt:i4>
      </vt:variant>
      <vt:variant>
        <vt:i4>69</vt:i4>
      </vt:variant>
      <vt:variant>
        <vt:i4>0</vt:i4>
      </vt:variant>
      <vt:variant>
        <vt:i4>5</vt:i4>
      </vt:variant>
      <vt:variant>
        <vt:lpwstr>https://www.gov.uk/government/collections/uk-trade-and-investment-services-for-exporters</vt:lpwstr>
      </vt:variant>
      <vt:variant>
        <vt:lpwstr/>
      </vt:variant>
      <vt:variant>
        <vt:i4>720904</vt:i4>
      </vt:variant>
      <vt:variant>
        <vt:i4>66</vt:i4>
      </vt:variant>
      <vt:variant>
        <vt:i4>0</vt:i4>
      </vt:variant>
      <vt:variant>
        <vt:i4>5</vt:i4>
      </vt:variant>
      <vt:variant>
        <vt:lpwstr>https://www.gov.uk/government/collections/uk-single-market-centre-newsletter</vt:lpwstr>
      </vt:variant>
      <vt:variant>
        <vt:lpwstr/>
      </vt:variant>
      <vt:variant>
        <vt:i4>721001</vt:i4>
      </vt:variant>
      <vt:variant>
        <vt:i4>63</vt:i4>
      </vt:variant>
      <vt:variant>
        <vt:i4>0</vt:i4>
      </vt:variant>
      <vt:variant>
        <vt:i4>5</vt:i4>
      </vt:variant>
      <vt:variant>
        <vt:lpwstr>http://webarchive.nationalarchives.gov.uk/20130626202747/https:/www.gov.uk/government/uploads/system/uploads/attachment_data/file/206568/uk-single-market-centre-flyer.pdf</vt:lpwstr>
      </vt:variant>
      <vt:variant>
        <vt:lpwstr/>
      </vt:variant>
      <vt:variant>
        <vt:i4>6750315</vt:i4>
      </vt:variant>
      <vt:variant>
        <vt:i4>60</vt:i4>
      </vt:variant>
      <vt:variant>
        <vt:i4>0</vt:i4>
      </vt:variant>
      <vt:variant>
        <vt:i4>5</vt:i4>
      </vt:variant>
      <vt:variant>
        <vt:lpwstr>https://www.gov.uk/government/publications/technical-standards-and-regulations-directive-9834ec-guidance-for-officials</vt:lpwstr>
      </vt:variant>
      <vt:variant>
        <vt:lpwstr/>
      </vt:variant>
      <vt:variant>
        <vt:i4>983060</vt:i4>
      </vt:variant>
      <vt:variant>
        <vt:i4>57</vt:i4>
      </vt:variant>
      <vt:variant>
        <vt:i4>0</vt:i4>
      </vt:variant>
      <vt:variant>
        <vt:i4>5</vt:i4>
      </vt:variant>
      <vt:variant>
        <vt:lpwstr>http://ec.europa.eu/internal_market/eu-go/index_en.htm</vt:lpwstr>
      </vt:variant>
      <vt:variant>
        <vt:lpwstr/>
      </vt:variant>
      <vt:variant>
        <vt:i4>7733341</vt:i4>
      </vt:variant>
      <vt:variant>
        <vt:i4>54</vt:i4>
      </vt:variant>
      <vt:variant>
        <vt:i4>0</vt:i4>
      </vt:variant>
      <vt:variant>
        <vt:i4>5</vt:i4>
      </vt:variant>
      <vt:variant>
        <vt:lpwstr>http://ec.europa.eu/solvit/index_en.htm</vt:lpwstr>
      </vt:variant>
      <vt:variant>
        <vt:lpwstr/>
      </vt:variant>
      <vt:variant>
        <vt:i4>5111901</vt:i4>
      </vt:variant>
      <vt:variant>
        <vt:i4>51</vt:i4>
      </vt:variant>
      <vt:variant>
        <vt:i4>0</vt:i4>
      </vt:variant>
      <vt:variant>
        <vt:i4>5</vt:i4>
      </vt:variant>
      <vt:variant>
        <vt:lpwstr>https://www.gov.uk/eu-internal-market-information-system</vt:lpwstr>
      </vt:variant>
      <vt:variant>
        <vt:lpwstr/>
      </vt:variant>
      <vt:variant>
        <vt:i4>786506</vt:i4>
      </vt:variant>
      <vt:variant>
        <vt:i4>48</vt:i4>
      </vt:variant>
      <vt:variant>
        <vt:i4>0</vt:i4>
      </vt:variant>
      <vt:variant>
        <vt:i4>5</vt:i4>
      </vt:variant>
      <vt:variant>
        <vt:lpwstr>http://ec.europa.eu/internal_market/score/index_en.htm</vt:lpwstr>
      </vt:variant>
      <vt:variant>
        <vt:lpwstr/>
      </vt:variant>
      <vt:variant>
        <vt:i4>4784159</vt:i4>
      </vt:variant>
      <vt:variant>
        <vt:i4>45</vt:i4>
      </vt:variant>
      <vt:variant>
        <vt:i4>0</vt:i4>
      </vt:variant>
      <vt:variant>
        <vt:i4>5</vt:i4>
      </vt:variant>
      <vt:variant>
        <vt:lpwstr>https://www.gov.uk/government/groups/uk-single-market-centre</vt:lpwstr>
      </vt:variant>
      <vt:variant>
        <vt:lpwstr/>
      </vt:variant>
      <vt:variant>
        <vt:i4>1703995</vt:i4>
      </vt:variant>
      <vt:variant>
        <vt:i4>38</vt:i4>
      </vt:variant>
      <vt:variant>
        <vt:i4>0</vt:i4>
      </vt:variant>
      <vt:variant>
        <vt:i4>5</vt:i4>
      </vt:variant>
      <vt:variant>
        <vt:lpwstr/>
      </vt:variant>
      <vt:variant>
        <vt:lpwstr>_Toc389036236</vt:lpwstr>
      </vt:variant>
      <vt:variant>
        <vt:i4>1703995</vt:i4>
      </vt:variant>
      <vt:variant>
        <vt:i4>32</vt:i4>
      </vt:variant>
      <vt:variant>
        <vt:i4>0</vt:i4>
      </vt:variant>
      <vt:variant>
        <vt:i4>5</vt:i4>
      </vt:variant>
      <vt:variant>
        <vt:lpwstr/>
      </vt:variant>
      <vt:variant>
        <vt:lpwstr>_Toc389036235</vt:lpwstr>
      </vt:variant>
      <vt:variant>
        <vt:i4>1703995</vt:i4>
      </vt:variant>
      <vt:variant>
        <vt:i4>26</vt:i4>
      </vt:variant>
      <vt:variant>
        <vt:i4>0</vt:i4>
      </vt:variant>
      <vt:variant>
        <vt:i4>5</vt:i4>
      </vt:variant>
      <vt:variant>
        <vt:lpwstr/>
      </vt:variant>
      <vt:variant>
        <vt:lpwstr>_Toc389036234</vt:lpwstr>
      </vt:variant>
      <vt:variant>
        <vt:i4>1703995</vt:i4>
      </vt:variant>
      <vt:variant>
        <vt:i4>20</vt:i4>
      </vt:variant>
      <vt:variant>
        <vt:i4>0</vt:i4>
      </vt:variant>
      <vt:variant>
        <vt:i4>5</vt:i4>
      </vt:variant>
      <vt:variant>
        <vt:lpwstr/>
      </vt:variant>
      <vt:variant>
        <vt:lpwstr>_Toc389036233</vt:lpwstr>
      </vt:variant>
      <vt:variant>
        <vt:i4>1703995</vt:i4>
      </vt:variant>
      <vt:variant>
        <vt:i4>14</vt:i4>
      </vt:variant>
      <vt:variant>
        <vt:i4>0</vt:i4>
      </vt:variant>
      <vt:variant>
        <vt:i4>5</vt:i4>
      </vt:variant>
      <vt:variant>
        <vt:lpwstr/>
      </vt:variant>
      <vt:variant>
        <vt:lpwstr>_Toc389036232</vt:lpwstr>
      </vt:variant>
      <vt:variant>
        <vt:i4>1703995</vt:i4>
      </vt:variant>
      <vt:variant>
        <vt:i4>8</vt:i4>
      </vt:variant>
      <vt:variant>
        <vt:i4>0</vt:i4>
      </vt:variant>
      <vt:variant>
        <vt:i4>5</vt:i4>
      </vt:variant>
      <vt:variant>
        <vt:lpwstr/>
      </vt:variant>
      <vt:variant>
        <vt:lpwstr>_Toc389036231</vt:lpwstr>
      </vt:variant>
      <vt:variant>
        <vt:i4>1703995</vt:i4>
      </vt:variant>
      <vt:variant>
        <vt:i4>2</vt:i4>
      </vt:variant>
      <vt:variant>
        <vt:i4>0</vt:i4>
      </vt:variant>
      <vt:variant>
        <vt:i4>5</vt:i4>
      </vt:variant>
      <vt:variant>
        <vt:lpwstr/>
      </vt:variant>
      <vt:variant>
        <vt:lpwstr>_Toc389036230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 Single Market Centre Annual Report 2013</dc:title>
  <dc:creator>Department for Business, Innovation and Skills</dc:creator>
  <cp:keywords>BIS/14/798</cp:keywords>
  <cp:lastModifiedBy>Smith Timothy (Communications)</cp:lastModifiedBy>
  <cp:revision>6</cp:revision>
  <cp:lastPrinted>2014-05-29T10:16:00Z</cp:lastPrinted>
  <dcterms:created xsi:type="dcterms:W3CDTF">2014-06-02T15:53:00Z</dcterms:created>
  <dcterms:modified xsi:type="dcterms:W3CDTF">2014-06-05T09:23:00Z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Department for Business, Innovation and Skills</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