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470DA" w14:textId="77777777" w:rsidR="00435158" w:rsidRPr="00D67C9B" w:rsidRDefault="00435158" w:rsidP="00435158">
      <w:pPr>
        <w:pStyle w:val="CoverSubTitle"/>
        <w:rPr>
          <w:rFonts w:cs="Arial"/>
        </w:rPr>
      </w:pPr>
      <w:bookmarkStart w:id="0" w:name="_GoBack"/>
      <w:bookmarkEnd w:id="0"/>
    </w:p>
    <w:p w14:paraId="06B470DB" w14:textId="77777777" w:rsidR="00435158" w:rsidRPr="00D67C9B" w:rsidRDefault="00BD592B" w:rsidP="00435158">
      <w:pPr>
        <w:pStyle w:val="CoverSubTitle"/>
        <w:rPr>
          <w:rFonts w:cs="Arial"/>
        </w:rPr>
      </w:pPr>
      <w:r w:rsidRPr="00D67C9B">
        <w:rPr>
          <w:rFonts w:cs="Arial"/>
          <w:noProof/>
          <w:sz w:val="24"/>
        </w:rPr>
        <w:drawing>
          <wp:anchor distT="0" distB="0" distL="114300" distR="114300" simplePos="0" relativeHeight="251663872" behindDoc="0" locked="0" layoutInCell="0" allowOverlap="1" wp14:anchorId="06B47A38" wp14:editId="06B47A39">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anchor>
        </w:drawing>
      </w:r>
    </w:p>
    <w:p w14:paraId="06B470DC" w14:textId="77777777" w:rsidR="00435158" w:rsidRPr="00D67C9B" w:rsidRDefault="00435158" w:rsidP="00435158">
      <w:pPr>
        <w:pStyle w:val="BodyText"/>
        <w:rPr>
          <w:rFonts w:cs="Arial"/>
        </w:rPr>
      </w:pPr>
    </w:p>
    <w:p w14:paraId="06B470DD" w14:textId="77777777" w:rsidR="00435158" w:rsidRPr="00D67C9B" w:rsidRDefault="00435158" w:rsidP="00435158">
      <w:pPr>
        <w:pStyle w:val="BodyText"/>
        <w:rPr>
          <w:rFonts w:cs="Arial"/>
        </w:rPr>
      </w:pPr>
    </w:p>
    <w:p w14:paraId="06B470DE" w14:textId="77777777" w:rsidR="00435158" w:rsidRPr="00D67C9B" w:rsidRDefault="00435158" w:rsidP="00435158">
      <w:pPr>
        <w:pStyle w:val="BodyText"/>
        <w:rPr>
          <w:rFonts w:cs="Arial"/>
        </w:rPr>
      </w:pPr>
    </w:p>
    <w:p w14:paraId="06B470DF" w14:textId="77777777" w:rsidR="005D3906" w:rsidRPr="00D67C9B" w:rsidRDefault="005D3906" w:rsidP="00435158">
      <w:pPr>
        <w:pStyle w:val="BodyText"/>
        <w:rPr>
          <w:rFonts w:cs="Arial"/>
        </w:rPr>
      </w:pPr>
    </w:p>
    <w:p w14:paraId="06B470E0" w14:textId="77777777" w:rsidR="001369EA" w:rsidRPr="00D67C9B" w:rsidRDefault="001369EA" w:rsidP="00435158">
      <w:pPr>
        <w:pStyle w:val="BodyText"/>
        <w:rPr>
          <w:rFonts w:cs="Arial"/>
        </w:rPr>
      </w:pPr>
    </w:p>
    <w:p w14:paraId="06B470E1" w14:textId="77777777" w:rsidR="005D3906" w:rsidRPr="00D67C9B" w:rsidRDefault="005D3906" w:rsidP="005D3906">
      <w:pPr>
        <w:rPr>
          <w:rFonts w:cs="Arial"/>
        </w:rPr>
      </w:pPr>
    </w:p>
    <w:p w14:paraId="06B470E2" w14:textId="77777777" w:rsidR="005D3906" w:rsidRPr="00D67C9B" w:rsidRDefault="005D3906" w:rsidP="005D3906">
      <w:pPr>
        <w:rPr>
          <w:rFonts w:cs="Arial"/>
        </w:rPr>
      </w:pPr>
    </w:p>
    <w:p w14:paraId="06B470E3" w14:textId="77777777" w:rsidR="00435158" w:rsidRPr="00D67C9B" w:rsidRDefault="00435158" w:rsidP="005D3906">
      <w:pPr>
        <w:rPr>
          <w:rFonts w:cs="Arial"/>
        </w:rPr>
      </w:pPr>
    </w:p>
    <w:p w14:paraId="06B470E4" w14:textId="77777777" w:rsidR="005D3906" w:rsidRPr="00D67C9B" w:rsidRDefault="005D3906" w:rsidP="005D3906">
      <w:pPr>
        <w:rPr>
          <w:rFonts w:cs="Arial"/>
        </w:rPr>
      </w:pPr>
    </w:p>
    <w:p w14:paraId="06B470E5" w14:textId="43071A62" w:rsidR="005D3906" w:rsidRPr="00D67C9B" w:rsidRDefault="00C04AC9" w:rsidP="005D3906">
      <w:pPr>
        <w:rPr>
          <w:rFonts w:cs="Arial"/>
        </w:rPr>
      </w:pPr>
      <w:r>
        <w:rPr>
          <w:rFonts w:cs="Arial"/>
          <w:noProof/>
        </w:rPr>
        <mc:AlternateContent>
          <mc:Choice Requires="wps">
            <w:drawing>
              <wp:anchor distT="0" distB="0" distL="114300" distR="114300" simplePos="0" relativeHeight="251656704" behindDoc="0" locked="0" layoutInCell="1" allowOverlap="1" wp14:anchorId="06B47A3B" wp14:editId="56C0F1BF">
                <wp:simplePos x="0" y="0"/>
                <wp:positionH relativeFrom="column">
                  <wp:posOffset>-342900</wp:posOffset>
                </wp:positionH>
                <wp:positionV relativeFrom="paragraph">
                  <wp:posOffset>48895</wp:posOffset>
                </wp:positionV>
                <wp:extent cx="6983730" cy="6983730"/>
                <wp:effectExtent l="0" t="0" r="2667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06B47A6E" w14:textId="77777777" w:rsidR="00213078" w:rsidRDefault="00213078" w:rsidP="00EF55CC"/>
                          <w:p w14:paraId="06B47A6F" w14:textId="05F09AC1" w:rsidR="00213078" w:rsidRDefault="00213078" w:rsidP="00DA248B">
                            <w:pPr>
                              <w:pStyle w:val="CoverDocumentTitle"/>
                              <w:ind w:left="454"/>
                            </w:pPr>
                            <w:r>
                              <w:t xml:space="preserve">Quantifying and Valuing the Wellbeing Impacts of Culture and Sport   </w:t>
                            </w:r>
                          </w:p>
                          <w:p w14:paraId="06B47A70" w14:textId="77777777" w:rsidR="00213078" w:rsidRDefault="00213078" w:rsidP="00DA248B">
                            <w:pPr>
                              <w:pStyle w:val="CoverSubTitle"/>
                              <w:ind w:left="454"/>
                            </w:pPr>
                            <w:r>
                              <w:t xml:space="preserve">    </w:t>
                            </w:r>
                          </w:p>
                          <w:p w14:paraId="06B47A71" w14:textId="3F7F6276" w:rsidR="00213078" w:rsidRDefault="00213078" w:rsidP="00DA248B">
                            <w:pPr>
                              <w:pStyle w:val="CoverDate"/>
                              <w:ind w:left="454"/>
                            </w:pPr>
                            <w:r>
                              <w:t>April 2014</w:t>
                            </w:r>
                          </w:p>
                          <w:p w14:paraId="06B47A72" w14:textId="77777777" w:rsidR="00213078" w:rsidRDefault="00213078" w:rsidP="00C95C8D">
                            <w:pPr>
                              <w:pStyle w:val="CoverDate"/>
                            </w:pPr>
                          </w:p>
                          <w:p w14:paraId="06B47A78" w14:textId="77777777" w:rsidR="00213078" w:rsidRPr="002B1D7B" w:rsidRDefault="00213078" w:rsidP="00C95C8D">
                            <w:pPr>
                              <w:pStyle w:val="CoverDate"/>
                              <w:rPr>
                                <w:b/>
                              </w:rPr>
                            </w:pPr>
                          </w:p>
                          <w:p w14:paraId="06B47A79" w14:textId="77777777" w:rsidR="00213078" w:rsidRPr="002B1D7B" w:rsidRDefault="00213078" w:rsidP="00C95C8D">
                            <w:pPr>
                              <w:pStyle w:val="CoverDate"/>
                              <w:rPr>
                                <w:b/>
                              </w:rPr>
                            </w:pPr>
                            <w:r>
                              <w:rPr>
                                <w:b/>
                              </w:rPr>
                              <w:t xml:space="preserve">     </w:t>
                            </w:r>
                            <w:r w:rsidRPr="002B1D7B">
                              <w:rPr>
                                <w:b/>
                              </w:rPr>
                              <w:t>Daniel Fujiwara</w:t>
                            </w:r>
                          </w:p>
                          <w:p w14:paraId="06B47A7A" w14:textId="77777777" w:rsidR="00213078" w:rsidRPr="002B1D7B" w:rsidRDefault="00213078" w:rsidP="00C95C8D">
                            <w:pPr>
                              <w:pStyle w:val="CoverDate"/>
                              <w:rPr>
                                <w:b/>
                              </w:rPr>
                            </w:pPr>
                            <w:r>
                              <w:rPr>
                                <w:b/>
                              </w:rPr>
                              <w:t xml:space="preserve">     </w:t>
                            </w:r>
                            <w:r w:rsidRPr="002B1D7B">
                              <w:rPr>
                                <w:b/>
                              </w:rPr>
                              <w:t>Laura Kudrna</w:t>
                            </w:r>
                          </w:p>
                          <w:p w14:paraId="06B47A7B" w14:textId="77777777" w:rsidR="00213078" w:rsidRPr="002B1D7B" w:rsidRDefault="00213078" w:rsidP="00C95C8D">
                            <w:pPr>
                              <w:pStyle w:val="CoverDate"/>
                              <w:rPr>
                                <w:b/>
                              </w:rPr>
                            </w:pPr>
                            <w:r>
                              <w:rPr>
                                <w:b/>
                              </w:rPr>
                              <w:t xml:space="preserve">     Paul Dol</w:t>
                            </w:r>
                            <w:r w:rsidRPr="002B1D7B">
                              <w:rPr>
                                <w:b/>
                              </w:rPr>
                              <w: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fGD91iYCAABRBAAADgAAAAAAAAAAAAAAAAAuAgAAZHJzL2Uy&#10;b0RvYy54bWxQSwECLQAUAAYACAAAACEATl9sGOEAAAALAQAADwAAAAAAAAAAAAAAAACABAAAZHJz&#10;L2Rvd25yZXYueG1sUEsFBgAAAAAEAAQA8wAAAI4FAAAAAA==&#10;">
                <v:textbox>
                  <w:txbxContent>
                    <w:p w14:paraId="06B47A6E" w14:textId="77777777" w:rsidR="00213078" w:rsidRDefault="00213078" w:rsidP="00EF55CC"/>
                    <w:p w14:paraId="06B47A6F" w14:textId="05F09AC1" w:rsidR="00213078" w:rsidRDefault="00213078" w:rsidP="00DA248B">
                      <w:pPr>
                        <w:pStyle w:val="CoverDocumentTitle"/>
                        <w:ind w:left="454"/>
                      </w:pPr>
                      <w:r>
                        <w:t xml:space="preserve">Quantifying and Valuing the Wellbeing Impacts of Culture and Sport   </w:t>
                      </w:r>
                    </w:p>
                    <w:p w14:paraId="06B47A70" w14:textId="77777777" w:rsidR="00213078" w:rsidRDefault="00213078" w:rsidP="00DA248B">
                      <w:pPr>
                        <w:pStyle w:val="CoverSubTitle"/>
                        <w:ind w:left="454"/>
                      </w:pPr>
                      <w:r>
                        <w:t xml:space="preserve">    </w:t>
                      </w:r>
                    </w:p>
                    <w:p w14:paraId="06B47A71" w14:textId="3F7F6276" w:rsidR="00213078" w:rsidRDefault="00213078" w:rsidP="00DA248B">
                      <w:pPr>
                        <w:pStyle w:val="CoverDate"/>
                        <w:ind w:left="454"/>
                      </w:pPr>
                      <w:r>
                        <w:t>April 2014</w:t>
                      </w:r>
                    </w:p>
                    <w:p w14:paraId="06B47A72" w14:textId="77777777" w:rsidR="00213078" w:rsidRDefault="00213078" w:rsidP="00C95C8D">
                      <w:pPr>
                        <w:pStyle w:val="CoverDate"/>
                      </w:pPr>
                    </w:p>
                    <w:p w14:paraId="06B47A78" w14:textId="77777777" w:rsidR="00213078" w:rsidRPr="002B1D7B" w:rsidRDefault="00213078" w:rsidP="00C95C8D">
                      <w:pPr>
                        <w:pStyle w:val="CoverDate"/>
                        <w:rPr>
                          <w:b/>
                        </w:rPr>
                      </w:pPr>
                    </w:p>
                    <w:p w14:paraId="06B47A79" w14:textId="77777777" w:rsidR="00213078" w:rsidRPr="002B1D7B" w:rsidRDefault="00213078" w:rsidP="00C95C8D">
                      <w:pPr>
                        <w:pStyle w:val="CoverDate"/>
                        <w:rPr>
                          <w:b/>
                        </w:rPr>
                      </w:pPr>
                      <w:r>
                        <w:rPr>
                          <w:b/>
                        </w:rPr>
                        <w:t xml:space="preserve">     </w:t>
                      </w:r>
                      <w:r w:rsidRPr="002B1D7B">
                        <w:rPr>
                          <w:b/>
                        </w:rPr>
                        <w:t>Daniel Fujiwara</w:t>
                      </w:r>
                    </w:p>
                    <w:p w14:paraId="06B47A7A" w14:textId="77777777" w:rsidR="00213078" w:rsidRPr="002B1D7B" w:rsidRDefault="00213078" w:rsidP="00C95C8D">
                      <w:pPr>
                        <w:pStyle w:val="CoverDate"/>
                        <w:rPr>
                          <w:b/>
                        </w:rPr>
                      </w:pPr>
                      <w:r>
                        <w:rPr>
                          <w:b/>
                        </w:rPr>
                        <w:t xml:space="preserve">     </w:t>
                      </w:r>
                      <w:r w:rsidRPr="002B1D7B">
                        <w:rPr>
                          <w:b/>
                        </w:rPr>
                        <w:t>Laura Kudrna</w:t>
                      </w:r>
                    </w:p>
                    <w:p w14:paraId="06B47A7B" w14:textId="77777777" w:rsidR="00213078" w:rsidRPr="002B1D7B" w:rsidRDefault="00213078" w:rsidP="00C95C8D">
                      <w:pPr>
                        <w:pStyle w:val="CoverDate"/>
                        <w:rPr>
                          <w:b/>
                        </w:rPr>
                      </w:pPr>
                      <w:r>
                        <w:rPr>
                          <w:b/>
                        </w:rPr>
                        <w:t xml:space="preserve">     Paul Dol</w:t>
                      </w:r>
                      <w:r w:rsidRPr="002B1D7B">
                        <w:rPr>
                          <w:b/>
                        </w:rPr>
                        <w:t>an</w:t>
                      </w:r>
                    </w:p>
                  </w:txbxContent>
                </v:textbox>
              </v:shape>
            </w:pict>
          </mc:Fallback>
        </mc:AlternateContent>
      </w:r>
    </w:p>
    <w:p w14:paraId="06B470E6" w14:textId="77777777" w:rsidR="005D3906" w:rsidRPr="00D67C9B" w:rsidRDefault="005D3906" w:rsidP="005D3906">
      <w:pPr>
        <w:rPr>
          <w:rFonts w:cs="Arial"/>
        </w:rPr>
      </w:pPr>
    </w:p>
    <w:p w14:paraId="06B470E7" w14:textId="77777777" w:rsidR="00FD27B8" w:rsidRPr="00D67C9B" w:rsidRDefault="00FD27B8" w:rsidP="005D3906">
      <w:pPr>
        <w:rPr>
          <w:rFonts w:cs="Arial"/>
        </w:rPr>
      </w:pPr>
    </w:p>
    <w:p w14:paraId="06B470E8" w14:textId="77777777" w:rsidR="005D3906" w:rsidRPr="00D67C9B" w:rsidRDefault="005D3906" w:rsidP="005D3906">
      <w:pPr>
        <w:rPr>
          <w:rFonts w:cs="Arial"/>
        </w:rPr>
      </w:pPr>
    </w:p>
    <w:p w14:paraId="06B470E9" w14:textId="77777777" w:rsidR="005D3906" w:rsidRPr="00D67C9B" w:rsidRDefault="005D3906" w:rsidP="005D3906">
      <w:pPr>
        <w:rPr>
          <w:rFonts w:cs="Arial"/>
        </w:rPr>
      </w:pPr>
    </w:p>
    <w:p w14:paraId="06B470EA" w14:textId="77777777" w:rsidR="005D3906" w:rsidRPr="00D67C9B" w:rsidRDefault="005D3906" w:rsidP="005D3906">
      <w:pPr>
        <w:rPr>
          <w:rFonts w:cs="Arial"/>
        </w:rPr>
      </w:pPr>
    </w:p>
    <w:p w14:paraId="06B470EB" w14:textId="77777777" w:rsidR="005D3906" w:rsidRPr="00D67C9B" w:rsidRDefault="005D3906" w:rsidP="005D3906">
      <w:pPr>
        <w:rPr>
          <w:rFonts w:cs="Arial"/>
        </w:rPr>
      </w:pPr>
    </w:p>
    <w:p w14:paraId="06B470EC" w14:textId="77777777" w:rsidR="005D3906" w:rsidRPr="00D67C9B" w:rsidRDefault="005D3906" w:rsidP="005D3906">
      <w:pPr>
        <w:rPr>
          <w:rFonts w:cs="Arial"/>
        </w:rPr>
      </w:pPr>
    </w:p>
    <w:p w14:paraId="06B470ED" w14:textId="77777777" w:rsidR="005D3906" w:rsidRPr="00D67C9B" w:rsidRDefault="005D3906" w:rsidP="005D3906">
      <w:pPr>
        <w:rPr>
          <w:rFonts w:cs="Arial"/>
        </w:rPr>
      </w:pPr>
    </w:p>
    <w:p w14:paraId="06B470EE" w14:textId="77777777" w:rsidR="005D3906" w:rsidRPr="00D67C9B" w:rsidRDefault="005D3906" w:rsidP="005D3906">
      <w:pPr>
        <w:rPr>
          <w:rFonts w:cs="Arial"/>
        </w:rPr>
      </w:pPr>
    </w:p>
    <w:p w14:paraId="06B470EF" w14:textId="77777777" w:rsidR="005D3906" w:rsidRPr="00D67C9B" w:rsidRDefault="005D3906" w:rsidP="005D3906">
      <w:pPr>
        <w:rPr>
          <w:rFonts w:cs="Arial"/>
        </w:rPr>
      </w:pPr>
    </w:p>
    <w:p w14:paraId="06B470F0" w14:textId="77777777" w:rsidR="005D3906" w:rsidRPr="00D67C9B" w:rsidRDefault="005D3906" w:rsidP="005D3906">
      <w:pPr>
        <w:rPr>
          <w:rFonts w:cs="Arial"/>
        </w:rPr>
      </w:pPr>
    </w:p>
    <w:p w14:paraId="06B470F1" w14:textId="77777777" w:rsidR="005D3906" w:rsidRPr="00D67C9B" w:rsidRDefault="005D3906" w:rsidP="005D3906">
      <w:pPr>
        <w:rPr>
          <w:rFonts w:cs="Arial"/>
        </w:rPr>
      </w:pPr>
    </w:p>
    <w:p w14:paraId="06B470F2" w14:textId="77777777" w:rsidR="005D3906" w:rsidRPr="00D67C9B" w:rsidRDefault="005D3906" w:rsidP="005D3906">
      <w:pPr>
        <w:rPr>
          <w:rFonts w:cs="Arial"/>
        </w:rPr>
      </w:pPr>
    </w:p>
    <w:p w14:paraId="06B470F3" w14:textId="77777777" w:rsidR="00841BC2" w:rsidRPr="00D67C9B" w:rsidRDefault="00841BC2" w:rsidP="005D3906">
      <w:pPr>
        <w:rPr>
          <w:rFonts w:cs="Arial"/>
        </w:rPr>
      </w:pPr>
    </w:p>
    <w:p w14:paraId="06B470F4" w14:textId="77777777" w:rsidR="00841BC2" w:rsidRPr="00D67C9B" w:rsidRDefault="00841BC2" w:rsidP="005D3906">
      <w:pPr>
        <w:rPr>
          <w:rFonts w:cs="Arial"/>
        </w:rPr>
      </w:pPr>
    </w:p>
    <w:p w14:paraId="06B470F5" w14:textId="77777777" w:rsidR="00841BC2" w:rsidRPr="00D67C9B" w:rsidRDefault="00841BC2" w:rsidP="005D3906">
      <w:pPr>
        <w:rPr>
          <w:rFonts w:cs="Arial"/>
        </w:rPr>
      </w:pPr>
    </w:p>
    <w:p w14:paraId="06B470F6" w14:textId="77777777" w:rsidR="00841BC2" w:rsidRPr="00D67C9B" w:rsidRDefault="00841BC2" w:rsidP="005D3906">
      <w:pPr>
        <w:rPr>
          <w:rFonts w:cs="Arial"/>
        </w:rPr>
      </w:pPr>
    </w:p>
    <w:p w14:paraId="06B470F7" w14:textId="77777777" w:rsidR="00841BC2" w:rsidRPr="00D67C9B" w:rsidRDefault="00841BC2" w:rsidP="005D3906">
      <w:pPr>
        <w:rPr>
          <w:rFonts w:cs="Arial"/>
        </w:rPr>
      </w:pPr>
    </w:p>
    <w:p w14:paraId="06B470F8" w14:textId="77777777" w:rsidR="00841BC2" w:rsidRPr="00D67C9B" w:rsidRDefault="00841BC2" w:rsidP="005D3906">
      <w:pPr>
        <w:rPr>
          <w:rFonts w:cs="Arial"/>
        </w:rPr>
      </w:pPr>
    </w:p>
    <w:p w14:paraId="06B470F9" w14:textId="77777777" w:rsidR="00841BC2" w:rsidRPr="00D67C9B" w:rsidRDefault="00841BC2" w:rsidP="00B35F26">
      <w:pPr>
        <w:ind w:left="0"/>
        <w:rPr>
          <w:rFonts w:cs="Arial"/>
        </w:rPr>
        <w:sectPr w:rsidR="00841BC2" w:rsidRPr="00D67C9B" w:rsidSect="00CC02EF">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794" w:right="1021" w:bottom="1134" w:left="1021" w:header="709" w:footer="709" w:gutter="0"/>
          <w:cols w:space="708"/>
          <w:docGrid w:linePitch="360"/>
        </w:sectPr>
      </w:pPr>
    </w:p>
    <w:p w14:paraId="06B470FA" w14:textId="77777777" w:rsidR="004A5B9D" w:rsidRPr="00052AA1" w:rsidRDefault="004A5B9D" w:rsidP="004A5B9D">
      <w:pPr>
        <w:ind w:left="0"/>
      </w:pPr>
    </w:p>
    <w:p w14:paraId="06B470FB" w14:textId="77777777" w:rsidR="00841BC2" w:rsidRPr="00D67C9B" w:rsidRDefault="00841BC2" w:rsidP="009B069B">
      <w:pPr>
        <w:rPr>
          <w:rFonts w:cs="Arial"/>
        </w:rPr>
      </w:pPr>
    </w:p>
    <w:p w14:paraId="06B470FC" w14:textId="77777777" w:rsidR="00841BC2" w:rsidRPr="00D67C9B" w:rsidRDefault="00841BC2" w:rsidP="009B069B">
      <w:pPr>
        <w:rPr>
          <w:rFonts w:cs="Arial"/>
        </w:rPr>
      </w:pPr>
    </w:p>
    <w:p w14:paraId="06B470FD" w14:textId="77777777" w:rsidR="009B069B" w:rsidRPr="00D67C9B" w:rsidRDefault="009B069B" w:rsidP="009B069B">
      <w:pPr>
        <w:rPr>
          <w:rFonts w:cs="Arial"/>
        </w:rPr>
      </w:pPr>
    </w:p>
    <w:p w14:paraId="06B470FE" w14:textId="77777777" w:rsidR="00401C56" w:rsidRPr="00D67C9B" w:rsidRDefault="00401C56" w:rsidP="00401C56">
      <w:pPr>
        <w:rPr>
          <w:rFonts w:cs="Arial"/>
        </w:rPr>
      </w:pPr>
    </w:p>
    <w:p w14:paraId="06B470FF" w14:textId="77777777" w:rsidR="005E332B" w:rsidRPr="00D67C9B" w:rsidRDefault="005E332B" w:rsidP="005D3906">
      <w:pPr>
        <w:rPr>
          <w:rFonts w:cs="Arial"/>
        </w:rPr>
        <w:sectPr w:rsidR="005E332B" w:rsidRPr="00D67C9B" w:rsidSect="005A5D21">
          <w:headerReference w:type="even" r:id="rId16"/>
          <w:pgSz w:w="11906" w:h="16838" w:code="9"/>
          <w:pgMar w:top="1418" w:right="1021" w:bottom="1134" w:left="1021" w:header="540" w:footer="709" w:gutter="0"/>
          <w:cols w:space="708"/>
          <w:docGrid w:linePitch="360"/>
        </w:sectPr>
      </w:pPr>
    </w:p>
    <w:p w14:paraId="06B47100" w14:textId="77777777" w:rsidR="00FD27B8" w:rsidRPr="00D67C9B" w:rsidRDefault="00FD27B8" w:rsidP="00FB74E7">
      <w:pPr>
        <w:pStyle w:val="StyleTOCHeadingBottomSinglesolidlineAuto05ptLine"/>
        <w:rPr>
          <w:rFonts w:cs="Arial"/>
        </w:rPr>
      </w:pPr>
      <w:r w:rsidRPr="00D67C9B">
        <w:rPr>
          <w:rFonts w:cs="Arial"/>
        </w:rPr>
        <w:lastRenderedPageBreak/>
        <w:t>Contents</w:t>
      </w:r>
    </w:p>
    <w:p w14:paraId="45D30BB9" w14:textId="77777777" w:rsidR="00490DAD" w:rsidRDefault="00EA267B">
      <w:pPr>
        <w:pStyle w:val="TOC2"/>
        <w:tabs>
          <w:tab w:val="right" w:pos="9854"/>
        </w:tabs>
        <w:rPr>
          <w:rFonts w:asciiTheme="minorHAnsi" w:eastAsiaTheme="minorEastAsia" w:hAnsiTheme="minorHAnsi" w:cstheme="minorBidi"/>
          <w:noProof/>
          <w:sz w:val="22"/>
          <w:szCs w:val="22"/>
        </w:rPr>
      </w:pPr>
      <w:r w:rsidRPr="00D67C9B">
        <w:rPr>
          <w:rFonts w:cs="Arial"/>
        </w:rPr>
        <w:fldChar w:fldCharType="begin"/>
      </w:r>
      <w:r w:rsidR="002F69CC" w:rsidRPr="00D67C9B">
        <w:rPr>
          <w:rFonts w:cs="Arial"/>
        </w:rPr>
        <w:instrText xml:space="preserve"> TOC \o "1-2" </w:instrText>
      </w:r>
      <w:r w:rsidRPr="00D67C9B">
        <w:rPr>
          <w:rFonts w:cs="Arial"/>
        </w:rPr>
        <w:fldChar w:fldCharType="separate"/>
      </w:r>
      <w:r w:rsidR="00490DAD">
        <w:rPr>
          <w:noProof/>
        </w:rPr>
        <w:t>About the authors</w:t>
      </w:r>
      <w:r w:rsidR="00490DAD">
        <w:rPr>
          <w:noProof/>
        </w:rPr>
        <w:tab/>
      </w:r>
      <w:r w:rsidR="00490DAD">
        <w:rPr>
          <w:noProof/>
        </w:rPr>
        <w:fldChar w:fldCharType="begin"/>
      </w:r>
      <w:r w:rsidR="00490DAD">
        <w:rPr>
          <w:noProof/>
        </w:rPr>
        <w:instrText xml:space="preserve"> PAGEREF _Toc385423387 \h </w:instrText>
      </w:r>
      <w:r w:rsidR="00490DAD">
        <w:rPr>
          <w:noProof/>
        </w:rPr>
      </w:r>
      <w:r w:rsidR="00490DAD">
        <w:rPr>
          <w:noProof/>
        </w:rPr>
        <w:fldChar w:fldCharType="separate"/>
      </w:r>
      <w:r w:rsidR="00C04AC9">
        <w:rPr>
          <w:noProof/>
        </w:rPr>
        <w:t>4</w:t>
      </w:r>
      <w:r w:rsidR="00490DAD">
        <w:rPr>
          <w:noProof/>
        </w:rPr>
        <w:fldChar w:fldCharType="end"/>
      </w:r>
    </w:p>
    <w:p w14:paraId="4C759B43" w14:textId="77777777" w:rsidR="00490DAD" w:rsidRDefault="00490DAD">
      <w:pPr>
        <w:pStyle w:val="TOC1"/>
        <w:tabs>
          <w:tab w:val="right" w:pos="9854"/>
        </w:tabs>
        <w:rPr>
          <w:rFonts w:asciiTheme="minorHAnsi" w:eastAsiaTheme="minorEastAsia" w:hAnsiTheme="minorHAnsi" w:cstheme="minorBidi"/>
          <w:noProof/>
          <w:sz w:val="22"/>
          <w:szCs w:val="22"/>
        </w:rPr>
      </w:pPr>
      <w:r w:rsidRPr="00B207B6">
        <w:rPr>
          <w:rFonts w:cs="Arial"/>
          <w:noProof/>
        </w:rPr>
        <w:t>Chapter 1: Introduction</w:t>
      </w:r>
      <w:r>
        <w:rPr>
          <w:noProof/>
        </w:rPr>
        <w:tab/>
      </w:r>
      <w:r>
        <w:rPr>
          <w:noProof/>
        </w:rPr>
        <w:fldChar w:fldCharType="begin"/>
      </w:r>
      <w:r>
        <w:rPr>
          <w:noProof/>
        </w:rPr>
        <w:instrText xml:space="preserve"> PAGEREF _Toc385423388 \h </w:instrText>
      </w:r>
      <w:r>
        <w:rPr>
          <w:noProof/>
        </w:rPr>
      </w:r>
      <w:r>
        <w:rPr>
          <w:noProof/>
        </w:rPr>
        <w:fldChar w:fldCharType="separate"/>
      </w:r>
      <w:r w:rsidR="00C04AC9">
        <w:rPr>
          <w:noProof/>
        </w:rPr>
        <w:t>6</w:t>
      </w:r>
      <w:r>
        <w:rPr>
          <w:noProof/>
        </w:rPr>
        <w:fldChar w:fldCharType="end"/>
      </w:r>
    </w:p>
    <w:p w14:paraId="56D23820" w14:textId="77777777" w:rsidR="00490DAD" w:rsidRDefault="00490DAD">
      <w:pPr>
        <w:pStyle w:val="TOC2"/>
        <w:tabs>
          <w:tab w:val="left" w:pos="2482"/>
          <w:tab w:val="right" w:pos="9854"/>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Aims and objectives</w:t>
      </w:r>
      <w:r>
        <w:rPr>
          <w:noProof/>
        </w:rPr>
        <w:tab/>
      </w:r>
      <w:r>
        <w:rPr>
          <w:noProof/>
        </w:rPr>
        <w:fldChar w:fldCharType="begin"/>
      </w:r>
      <w:r>
        <w:rPr>
          <w:noProof/>
        </w:rPr>
        <w:instrText xml:space="preserve"> PAGEREF _Toc385423389 \h </w:instrText>
      </w:r>
      <w:r>
        <w:rPr>
          <w:noProof/>
        </w:rPr>
      </w:r>
      <w:r>
        <w:rPr>
          <w:noProof/>
        </w:rPr>
        <w:fldChar w:fldCharType="separate"/>
      </w:r>
      <w:r w:rsidR="00C04AC9">
        <w:rPr>
          <w:noProof/>
        </w:rPr>
        <w:t>6</w:t>
      </w:r>
      <w:r>
        <w:rPr>
          <w:noProof/>
        </w:rPr>
        <w:fldChar w:fldCharType="end"/>
      </w:r>
    </w:p>
    <w:p w14:paraId="59BFF4D9" w14:textId="77777777" w:rsidR="00490DAD" w:rsidRDefault="00490DAD">
      <w:pPr>
        <w:pStyle w:val="TOC2"/>
        <w:tabs>
          <w:tab w:val="left" w:pos="2482"/>
          <w:tab w:val="right" w:pos="9854"/>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_Toc385423390 \h </w:instrText>
      </w:r>
      <w:r>
        <w:rPr>
          <w:noProof/>
        </w:rPr>
      </w:r>
      <w:r>
        <w:rPr>
          <w:noProof/>
        </w:rPr>
        <w:fldChar w:fldCharType="separate"/>
      </w:r>
      <w:r w:rsidR="00C04AC9">
        <w:rPr>
          <w:noProof/>
        </w:rPr>
        <w:t>6</w:t>
      </w:r>
      <w:r>
        <w:rPr>
          <w:noProof/>
        </w:rPr>
        <w:fldChar w:fldCharType="end"/>
      </w:r>
    </w:p>
    <w:p w14:paraId="3420FEC7" w14:textId="77777777" w:rsidR="00490DAD" w:rsidRDefault="00490DAD">
      <w:pPr>
        <w:pStyle w:val="TOC1"/>
        <w:tabs>
          <w:tab w:val="right" w:pos="9854"/>
        </w:tabs>
        <w:rPr>
          <w:rFonts w:asciiTheme="minorHAnsi" w:eastAsiaTheme="minorEastAsia" w:hAnsiTheme="minorHAnsi" w:cstheme="minorBidi"/>
          <w:noProof/>
          <w:sz w:val="22"/>
          <w:szCs w:val="22"/>
        </w:rPr>
      </w:pPr>
      <w:r w:rsidRPr="00B207B6">
        <w:rPr>
          <w:rFonts w:cs="Arial"/>
          <w:noProof/>
        </w:rPr>
        <w:t>Chapter 2: Summary of findings</w:t>
      </w:r>
      <w:r>
        <w:rPr>
          <w:noProof/>
        </w:rPr>
        <w:tab/>
      </w:r>
      <w:r>
        <w:rPr>
          <w:noProof/>
        </w:rPr>
        <w:fldChar w:fldCharType="begin"/>
      </w:r>
      <w:r>
        <w:rPr>
          <w:noProof/>
        </w:rPr>
        <w:instrText xml:space="preserve"> PAGEREF _Toc385423391 \h </w:instrText>
      </w:r>
      <w:r>
        <w:rPr>
          <w:noProof/>
        </w:rPr>
      </w:r>
      <w:r>
        <w:rPr>
          <w:noProof/>
        </w:rPr>
        <w:fldChar w:fldCharType="separate"/>
      </w:r>
      <w:r w:rsidR="00C04AC9">
        <w:rPr>
          <w:noProof/>
        </w:rPr>
        <w:t>9</w:t>
      </w:r>
      <w:r>
        <w:rPr>
          <w:noProof/>
        </w:rPr>
        <w:fldChar w:fldCharType="end"/>
      </w:r>
    </w:p>
    <w:p w14:paraId="70DAD8E1" w14:textId="77777777" w:rsidR="00490DAD" w:rsidRDefault="00490DAD">
      <w:pPr>
        <w:pStyle w:val="TOC1"/>
        <w:tabs>
          <w:tab w:val="right" w:pos="9854"/>
        </w:tabs>
        <w:rPr>
          <w:rFonts w:asciiTheme="minorHAnsi" w:eastAsiaTheme="minorEastAsia" w:hAnsiTheme="minorHAnsi" w:cstheme="minorBidi"/>
          <w:noProof/>
          <w:sz w:val="22"/>
          <w:szCs w:val="22"/>
        </w:rPr>
      </w:pPr>
      <w:r w:rsidRPr="00B207B6">
        <w:rPr>
          <w:rFonts w:cs="Arial"/>
          <w:noProof/>
        </w:rPr>
        <w:t>Annex A: Methodology</w:t>
      </w:r>
      <w:r>
        <w:rPr>
          <w:noProof/>
        </w:rPr>
        <w:tab/>
      </w:r>
      <w:r>
        <w:rPr>
          <w:noProof/>
        </w:rPr>
        <w:fldChar w:fldCharType="begin"/>
      </w:r>
      <w:r>
        <w:rPr>
          <w:noProof/>
        </w:rPr>
        <w:instrText xml:space="preserve"> PAGEREF _Toc385423392 \h </w:instrText>
      </w:r>
      <w:r>
        <w:rPr>
          <w:noProof/>
        </w:rPr>
      </w:r>
      <w:r>
        <w:rPr>
          <w:noProof/>
        </w:rPr>
        <w:fldChar w:fldCharType="separate"/>
      </w:r>
      <w:r w:rsidR="00C04AC9">
        <w:rPr>
          <w:noProof/>
        </w:rPr>
        <w:t>11</w:t>
      </w:r>
      <w:r>
        <w:rPr>
          <w:noProof/>
        </w:rPr>
        <w:fldChar w:fldCharType="end"/>
      </w:r>
    </w:p>
    <w:p w14:paraId="16BF1F9C" w14:textId="77777777" w:rsidR="00490DAD" w:rsidRDefault="00490DAD">
      <w:pPr>
        <w:pStyle w:val="TOC1"/>
        <w:tabs>
          <w:tab w:val="right" w:pos="9854"/>
        </w:tabs>
        <w:rPr>
          <w:rFonts w:asciiTheme="minorHAnsi" w:eastAsiaTheme="minorEastAsia" w:hAnsiTheme="minorHAnsi" w:cstheme="minorBidi"/>
          <w:noProof/>
          <w:sz w:val="22"/>
          <w:szCs w:val="22"/>
        </w:rPr>
      </w:pPr>
      <w:r w:rsidRPr="00B207B6">
        <w:rPr>
          <w:rFonts w:cs="Arial"/>
          <w:noProof/>
        </w:rPr>
        <w:t>Annex B: Full results</w:t>
      </w:r>
      <w:r>
        <w:rPr>
          <w:noProof/>
        </w:rPr>
        <w:tab/>
      </w:r>
      <w:r>
        <w:rPr>
          <w:noProof/>
        </w:rPr>
        <w:fldChar w:fldCharType="begin"/>
      </w:r>
      <w:r>
        <w:rPr>
          <w:noProof/>
        </w:rPr>
        <w:instrText xml:space="preserve"> PAGEREF _Toc385423393 \h </w:instrText>
      </w:r>
      <w:r>
        <w:rPr>
          <w:noProof/>
        </w:rPr>
      </w:r>
      <w:r>
        <w:rPr>
          <w:noProof/>
        </w:rPr>
        <w:fldChar w:fldCharType="separate"/>
      </w:r>
      <w:r w:rsidR="00C04AC9">
        <w:rPr>
          <w:noProof/>
        </w:rPr>
        <w:t>23</w:t>
      </w:r>
      <w:r>
        <w:rPr>
          <w:noProof/>
        </w:rPr>
        <w:fldChar w:fldCharType="end"/>
      </w:r>
    </w:p>
    <w:p w14:paraId="3D2C5E7E" w14:textId="77777777" w:rsidR="00490DAD" w:rsidRDefault="00490DAD">
      <w:pPr>
        <w:pStyle w:val="TOC1"/>
        <w:tabs>
          <w:tab w:val="right" w:pos="9854"/>
        </w:tabs>
        <w:rPr>
          <w:rFonts w:asciiTheme="minorHAnsi" w:eastAsiaTheme="minorEastAsia" w:hAnsiTheme="minorHAnsi" w:cstheme="minorBidi"/>
          <w:noProof/>
          <w:sz w:val="22"/>
          <w:szCs w:val="22"/>
        </w:rPr>
      </w:pPr>
      <w:r w:rsidRPr="00B207B6">
        <w:rPr>
          <w:rFonts w:cs="Arial"/>
          <w:noProof/>
        </w:rPr>
        <w:t>Annex C: Regression outputs</w:t>
      </w:r>
      <w:r>
        <w:rPr>
          <w:noProof/>
        </w:rPr>
        <w:tab/>
      </w:r>
      <w:r>
        <w:rPr>
          <w:noProof/>
        </w:rPr>
        <w:fldChar w:fldCharType="begin"/>
      </w:r>
      <w:r>
        <w:rPr>
          <w:noProof/>
        </w:rPr>
        <w:instrText xml:space="preserve"> PAGEREF _Toc385423394 \h </w:instrText>
      </w:r>
      <w:r>
        <w:rPr>
          <w:noProof/>
        </w:rPr>
      </w:r>
      <w:r>
        <w:rPr>
          <w:noProof/>
        </w:rPr>
        <w:fldChar w:fldCharType="separate"/>
      </w:r>
      <w:r w:rsidR="00C04AC9">
        <w:rPr>
          <w:noProof/>
        </w:rPr>
        <w:t>32</w:t>
      </w:r>
      <w:r>
        <w:rPr>
          <w:noProof/>
        </w:rPr>
        <w:fldChar w:fldCharType="end"/>
      </w:r>
    </w:p>
    <w:p w14:paraId="6A31D1CD" w14:textId="77777777" w:rsidR="00490DAD" w:rsidRDefault="00490DAD">
      <w:pPr>
        <w:pStyle w:val="TOC1"/>
        <w:tabs>
          <w:tab w:val="right" w:pos="9854"/>
        </w:tabs>
        <w:rPr>
          <w:rFonts w:asciiTheme="minorHAnsi" w:eastAsiaTheme="minorEastAsia" w:hAnsiTheme="minorHAnsi" w:cstheme="minorBidi"/>
          <w:noProof/>
          <w:sz w:val="22"/>
          <w:szCs w:val="22"/>
        </w:rPr>
      </w:pPr>
      <w:r w:rsidRPr="00B207B6">
        <w:rPr>
          <w:rFonts w:cs="Arial"/>
          <w:noProof/>
        </w:rPr>
        <w:t>Annex D: Further research</w:t>
      </w:r>
      <w:r>
        <w:rPr>
          <w:noProof/>
        </w:rPr>
        <w:tab/>
      </w:r>
      <w:r>
        <w:rPr>
          <w:noProof/>
        </w:rPr>
        <w:fldChar w:fldCharType="begin"/>
      </w:r>
      <w:r>
        <w:rPr>
          <w:noProof/>
        </w:rPr>
        <w:instrText xml:space="preserve"> PAGEREF _Toc385423395 \h </w:instrText>
      </w:r>
      <w:r>
        <w:rPr>
          <w:noProof/>
        </w:rPr>
      </w:r>
      <w:r>
        <w:rPr>
          <w:noProof/>
        </w:rPr>
        <w:fldChar w:fldCharType="separate"/>
      </w:r>
      <w:r w:rsidR="00C04AC9">
        <w:rPr>
          <w:noProof/>
        </w:rPr>
        <w:t>41</w:t>
      </w:r>
      <w:r>
        <w:rPr>
          <w:noProof/>
        </w:rPr>
        <w:fldChar w:fldCharType="end"/>
      </w:r>
    </w:p>
    <w:p w14:paraId="144A90FF" w14:textId="77777777" w:rsidR="00490DAD" w:rsidRDefault="00490DAD">
      <w:pPr>
        <w:pStyle w:val="TOC1"/>
        <w:tabs>
          <w:tab w:val="right" w:pos="9854"/>
        </w:tabs>
        <w:rPr>
          <w:rFonts w:asciiTheme="minorHAnsi" w:eastAsiaTheme="minorEastAsia" w:hAnsiTheme="minorHAnsi" w:cstheme="minorBidi"/>
          <w:noProof/>
          <w:sz w:val="22"/>
          <w:szCs w:val="22"/>
        </w:rPr>
      </w:pPr>
      <w:r w:rsidRPr="00B207B6">
        <w:rPr>
          <w:rFonts w:cs="Arial"/>
          <w:noProof/>
        </w:rPr>
        <w:t>Annex E: References</w:t>
      </w:r>
      <w:r>
        <w:rPr>
          <w:noProof/>
        </w:rPr>
        <w:tab/>
      </w:r>
      <w:r>
        <w:rPr>
          <w:noProof/>
        </w:rPr>
        <w:fldChar w:fldCharType="begin"/>
      </w:r>
      <w:r>
        <w:rPr>
          <w:noProof/>
        </w:rPr>
        <w:instrText xml:space="preserve"> PAGEREF _Toc385423396 \h </w:instrText>
      </w:r>
      <w:r>
        <w:rPr>
          <w:noProof/>
        </w:rPr>
      </w:r>
      <w:r>
        <w:rPr>
          <w:noProof/>
        </w:rPr>
        <w:fldChar w:fldCharType="separate"/>
      </w:r>
      <w:r w:rsidR="00C04AC9">
        <w:rPr>
          <w:noProof/>
        </w:rPr>
        <w:t>42</w:t>
      </w:r>
      <w:r>
        <w:rPr>
          <w:noProof/>
        </w:rPr>
        <w:fldChar w:fldCharType="end"/>
      </w:r>
    </w:p>
    <w:p w14:paraId="06B4710B" w14:textId="77777777" w:rsidR="00283206" w:rsidRPr="00D67C9B" w:rsidRDefault="00EA267B">
      <w:pPr>
        <w:rPr>
          <w:rFonts w:cs="Arial"/>
        </w:rPr>
      </w:pPr>
      <w:r w:rsidRPr="00D67C9B">
        <w:rPr>
          <w:rFonts w:cs="Arial"/>
        </w:rPr>
        <w:fldChar w:fldCharType="end"/>
      </w:r>
    </w:p>
    <w:p w14:paraId="06B4710C" w14:textId="77777777" w:rsidR="0023155C" w:rsidRPr="00D67C9B" w:rsidRDefault="0023155C">
      <w:pPr>
        <w:rPr>
          <w:rFonts w:cs="Arial"/>
        </w:rPr>
      </w:pPr>
    </w:p>
    <w:p w14:paraId="06B4710E" w14:textId="7C97A066" w:rsidR="00B35F26" w:rsidRDefault="00B35F26">
      <w:pPr>
        <w:spacing w:before="0"/>
        <w:ind w:left="0"/>
        <w:rPr>
          <w:rFonts w:cs="Arial"/>
        </w:rPr>
      </w:pPr>
      <w:r>
        <w:rPr>
          <w:rFonts w:cs="Arial"/>
        </w:rPr>
        <w:br w:type="page"/>
      </w:r>
    </w:p>
    <w:p w14:paraId="06B4710F" w14:textId="77777777" w:rsidR="00B35F26" w:rsidRDefault="00B35F26" w:rsidP="00213078">
      <w:pPr>
        <w:pStyle w:val="Heading2Numbered"/>
        <w:numPr>
          <w:ilvl w:val="0"/>
          <w:numId w:val="0"/>
        </w:numPr>
        <w:spacing w:after="0"/>
        <w:ind w:left="1928"/>
        <w:rPr>
          <w:sz w:val="24"/>
          <w:szCs w:val="24"/>
        </w:rPr>
      </w:pPr>
      <w:bookmarkStart w:id="1" w:name="_Toc385423387"/>
      <w:r w:rsidRPr="003566D9">
        <w:rPr>
          <w:sz w:val="24"/>
          <w:szCs w:val="24"/>
        </w:rPr>
        <w:lastRenderedPageBreak/>
        <w:t>About the authors</w:t>
      </w:r>
      <w:bookmarkEnd w:id="1"/>
    </w:p>
    <w:p w14:paraId="06B47110" w14:textId="77777777" w:rsidR="00B35F26" w:rsidRPr="0035631A" w:rsidRDefault="00B35F26" w:rsidP="00213078"/>
    <w:p w14:paraId="1F29FADC" w14:textId="77777777" w:rsidR="005365D1" w:rsidRPr="002F2BE6" w:rsidRDefault="005365D1" w:rsidP="00213078">
      <w:pPr>
        <w:pStyle w:val="PlainText"/>
        <w:ind w:left="1928"/>
        <w:rPr>
          <w:rFonts w:ascii="Arial" w:hAnsi="Arial" w:cs="Arial"/>
          <w:sz w:val="24"/>
          <w:szCs w:val="24"/>
        </w:rPr>
      </w:pPr>
      <w:r w:rsidRPr="002F2BE6">
        <w:rPr>
          <w:rFonts w:ascii="Arial" w:hAnsi="Arial" w:cs="Arial"/>
          <w:b/>
          <w:sz w:val="24"/>
          <w:szCs w:val="24"/>
        </w:rPr>
        <w:t>Daniel Fujiwara</w:t>
      </w:r>
      <w:r w:rsidRPr="002F2BE6">
        <w:rPr>
          <w:rFonts w:ascii="Arial" w:hAnsi="Arial" w:cs="Arial"/>
          <w:sz w:val="24"/>
          <w:szCs w:val="24"/>
        </w:rPr>
        <w:t xml:space="preserve"> is Director of Social Impact Metrics (SImetrica) and a member of the Centre for Economic Performance at the London School of Economics and Political Science. His research focuses on policy evaluation methods and techniques for valuing non-market goods.</w:t>
      </w:r>
    </w:p>
    <w:p w14:paraId="288981E5" w14:textId="77777777" w:rsidR="005365D1" w:rsidRPr="002F2BE6" w:rsidRDefault="005365D1" w:rsidP="00213078">
      <w:pPr>
        <w:pStyle w:val="PlainText"/>
        <w:ind w:left="1928"/>
        <w:rPr>
          <w:rFonts w:ascii="Arial" w:hAnsi="Arial" w:cs="Arial"/>
          <w:sz w:val="24"/>
          <w:szCs w:val="24"/>
        </w:rPr>
      </w:pPr>
    </w:p>
    <w:p w14:paraId="3E48FBF8" w14:textId="77777777" w:rsidR="005365D1" w:rsidRPr="002F2BE6" w:rsidRDefault="005365D1" w:rsidP="00213078">
      <w:pPr>
        <w:pStyle w:val="PlainText"/>
        <w:ind w:left="1928"/>
        <w:rPr>
          <w:rFonts w:ascii="Arial" w:hAnsi="Arial" w:cs="Arial"/>
          <w:sz w:val="24"/>
          <w:szCs w:val="24"/>
        </w:rPr>
      </w:pPr>
      <w:r w:rsidRPr="002F2BE6">
        <w:rPr>
          <w:rFonts w:ascii="Arial" w:hAnsi="Arial" w:cs="Arial"/>
          <w:sz w:val="24"/>
          <w:szCs w:val="24"/>
        </w:rPr>
        <w:t xml:space="preserve">He has recently published guidelines on non-market valuation and subjective wellbeing for the UK Government, including an update to the HM Treasury Green Book manual. Daniel previously led on cost-benefit analysis at the Department for Work and Pensions and was senior economist at the Cabinet Office, where he won the 2012 John Hoy Prize in Economics for his work on evaluation methodology. He is currently scientific advisor to the SROI Network and works with a number of OECD governments and public sector organisations on policy evaluation. </w:t>
      </w:r>
    </w:p>
    <w:p w14:paraId="06B47113" w14:textId="10F72167" w:rsidR="00B35F26" w:rsidRDefault="00B35F26" w:rsidP="00213078">
      <w:r>
        <w:t xml:space="preserve"> </w:t>
      </w:r>
    </w:p>
    <w:p w14:paraId="06B47114" w14:textId="784BA5C5" w:rsidR="00B35F26" w:rsidRDefault="00B35F26" w:rsidP="00213078">
      <w:r w:rsidRPr="004A5B9D">
        <w:rPr>
          <w:b/>
        </w:rPr>
        <w:t>Laura Kudrna</w:t>
      </w:r>
      <w:r>
        <w:t xml:space="preserve"> is a Research Assistant at the LSE where she contributes to work on the best way to measure and value subjective wellbeing. She holds a BSc in Psychology, MSc in Social Research Methodology. She has over five years of experience in the healthcare, technology, and financial service market research sectors, as well as experience in the voluntary sector.</w:t>
      </w:r>
    </w:p>
    <w:p w14:paraId="06B47115" w14:textId="77777777" w:rsidR="00B35F26" w:rsidRDefault="00B35F26" w:rsidP="00213078">
      <w:r>
        <w:t>Her research centres upon understanding the causes and consequences of social comparisons as they apply to behaviour and subjective wellbeing.</w:t>
      </w:r>
    </w:p>
    <w:p w14:paraId="06B47116" w14:textId="77777777" w:rsidR="00B35F26" w:rsidRDefault="00B35F26" w:rsidP="00213078"/>
    <w:p w14:paraId="06B47117" w14:textId="77777777" w:rsidR="00B35F26" w:rsidRDefault="00B35F26" w:rsidP="00213078">
      <w:r w:rsidRPr="004A5B9D">
        <w:rPr>
          <w:b/>
        </w:rPr>
        <w:t>Paul Dolan</w:t>
      </w:r>
      <w:r>
        <w:t xml:space="preserve"> is Professor of Behavioural Science at the LSE. He has 100 peer-reviewed journal publications and has won many research grants from various funding bodies. One of his main research activities is developing measures of wellbeing and happiness that can be used in policy. </w:t>
      </w:r>
    </w:p>
    <w:p w14:paraId="06B47118" w14:textId="77777777" w:rsidR="00B35F26" w:rsidRDefault="00B35F26" w:rsidP="00213078">
      <w:r>
        <w:t>Amongst current professional roles, he is a member of the Office for National Statistics advisory forum on wellbeing  (he recommended the questions for large scale surveys), on a National Academy of Sciences Panel on wellbeing in the US, and Chief Academic Advisor on Economic Appraisal to the Government Economic Service.</w:t>
      </w:r>
    </w:p>
    <w:p w14:paraId="06B4711A" w14:textId="28923A5F" w:rsidR="00B35F26" w:rsidRDefault="00B35F26" w:rsidP="00213078">
      <w:pPr>
        <w:spacing w:before="0"/>
        <w:ind w:left="0"/>
        <w:rPr>
          <w:b/>
        </w:rPr>
      </w:pPr>
    </w:p>
    <w:p w14:paraId="06B4711C" w14:textId="7BB7117A" w:rsidR="00B35F26" w:rsidRPr="003566D9" w:rsidRDefault="00B35F26" w:rsidP="00213078">
      <w:pPr>
        <w:rPr>
          <w:b/>
        </w:rPr>
      </w:pPr>
      <w:r w:rsidRPr="004A5B9D">
        <w:rPr>
          <w:b/>
        </w:rPr>
        <w:t>Acknowledgements</w:t>
      </w:r>
    </w:p>
    <w:p w14:paraId="18686A95" w14:textId="39268003" w:rsidR="00FC5368" w:rsidRDefault="00FC5368" w:rsidP="00213078">
      <w:r>
        <w:t>We are grateful to Lee Smith and Harman Sagger from the Department for Culture, Media and Sport for their valuable input and comments on the research.</w:t>
      </w:r>
    </w:p>
    <w:p w14:paraId="354989A6" w14:textId="6193C273" w:rsidR="00213078" w:rsidRDefault="00B35F26" w:rsidP="007F2E27">
      <w:r>
        <w:t>This analysis was conducted using Understanding Society data supplied under the standard End User Licence (EUL) agreement from the Economic and Social Data Service (ESDS). Responsibility for the analysis and interpretation of these data</w:t>
      </w:r>
      <w:r w:rsidR="007F2E27">
        <w:t xml:space="preserve"> are solely that of the authors.</w:t>
      </w:r>
    </w:p>
    <w:p w14:paraId="61327D7E" w14:textId="77777777" w:rsidR="00213078" w:rsidRDefault="00213078" w:rsidP="00213078">
      <w:pPr>
        <w:ind w:left="0"/>
      </w:pPr>
    </w:p>
    <w:p w14:paraId="44418358" w14:textId="77777777" w:rsidR="00213078" w:rsidRPr="00D67C9B" w:rsidRDefault="00213078" w:rsidP="00213078">
      <w:pPr>
        <w:ind w:left="0"/>
        <w:rPr>
          <w:rFonts w:cs="Arial"/>
        </w:rPr>
        <w:sectPr w:rsidR="00213078" w:rsidRPr="00D67C9B" w:rsidSect="00D73CC1">
          <w:headerReference w:type="even" r:id="rId17"/>
          <w:headerReference w:type="default" r:id="rId18"/>
          <w:type w:val="oddPage"/>
          <w:pgSz w:w="11906" w:h="16838" w:code="9"/>
          <w:pgMar w:top="1418" w:right="1021" w:bottom="1134" w:left="1021" w:header="539" w:footer="709" w:gutter="0"/>
          <w:cols w:space="708"/>
          <w:docGrid w:linePitch="360"/>
        </w:sectPr>
      </w:pPr>
    </w:p>
    <w:p w14:paraId="06B47121" w14:textId="77777777" w:rsidR="00FD27B8" w:rsidRPr="00D67C9B" w:rsidRDefault="00F42092" w:rsidP="008D3B91">
      <w:pPr>
        <w:pStyle w:val="Heading1Numbered"/>
        <w:rPr>
          <w:rFonts w:cs="Arial"/>
        </w:rPr>
      </w:pPr>
      <w:bookmarkStart w:id="2" w:name="_Toc385423388"/>
      <w:r>
        <w:rPr>
          <w:rFonts w:cs="Arial"/>
        </w:rPr>
        <w:lastRenderedPageBreak/>
        <w:t>Introduction</w:t>
      </w:r>
      <w:bookmarkEnd w:id="2"/>
    </w:p>
    <w:p w14:paraId="06B47122" w14:textId="77777777" w:rsidR="00F066E3" w:rsidRDefault="00F42092" w:rsidP="00F42092">
      <w:pPr>
        <w:pStyle w:val="Heading2Numbered"/>
      </w:pPr>
      <w:bookmarkStart w:id="3" w:name="_Toc385423389"/>
      <w:r>
        <w:t>Aims and objectives</w:t>
      </w:r>
      <w:bookmarkEnd w:id="3"/>
    </w:p>
    <w:p w14:paraId="06B47123" w14:textId="77777777" w:rsidR="00577D31" w:rsidRDefault="00577D31" w:rsidP="00052AA1">
      <w:pPr>
        <w:rPr>
          <w:rFonts w:asciiTheme="majorHAnsi" w:hAnsiTheme="majorHAnsi" w:cstheme="majorHAnsi"/>
        </w:rPr>
      </w:pPr>
    </w:p>
    <w:p w14:paraId="06B47124" w14:textId="77777777" w:rsidR="00577D31" w:rsidRDefault="004052AB" w:rsidP="00577D31">
      <w:pPr>
        <w:widowControl w:val="0"/>
        <w:spacing w:before="20"/>
        <w:rPr>
          <w:rFonts w:cs="Arial"/>
        </w:rPr>
      </w:pPr>
      <w:r>
        <w:rPr>
          <w:rFonts w:cs="Arial"/>
        </w:rPr>
        <w:t xml:space="preserve">The Department for Culture, Media and Sport (DCMS) commissioned </w:t>
      </w:r>
      <w:r w:rsidR="000971E8">
        <w:rPr>
          <w:rFonts w:cs="Arial"/>
        </w:rPr>
        <w:t xml:space="preserve">researchers from </w:t>
      </w:r>
      <w:r>
        <w:rPr>
          <w:rFonts w:cs="Arial"/>
        </w:rPr>
        <w:t>t</w:t>
      </w:r>
      <w:r w:rsidR="00577D31" w:rsidRPr="00577D31">
        <w:rPr>
          <w:rFonts w:cs="Arial"/>
        </w:rPr>
        <w:t xml:space="preserve">he London School of Economics (LSE) </w:t>
      </w:r>
      <w:r>
        <w:rPr>
          <w:rFonts w:cs="Arial"/>
        </w:rPr>
        <w:t>to undertake analysis</w:t>
      </w:r>
      <w:r w:rsidR="0049714D">
        <w:rPr>
          <w:rFonts w:cs="Arial"/>
        </w:rPr>
        <w:t xml:space="preserve"> of Understanding Society data to develop the evidence base on the</w:t>
      </w:r>
      <w:r>
        <w:rPr>
          <w:rFonts w:cs="Arial"/>
        </w:rPr>
        <w:t xml:space="preserve"> </w:t>
      </w:r>
      <w:r w:rsidR="008A74E9">
        <w:rPr>
          <w:rFonts w:cs="Arial"/>
        </w:rPr>
        <w:t>wellbeing</w:t>
      </w:r>
      <w:r w:rsidR="00577D31" w:rsidRPr="00577D31">
        <w:rPr>
          <w:rFonts w:cs="Arial"/>
        </w:rPr>
        <w:t xml:space="preserve"> </w:t>
      </w:r>
      <w:r>
        <w:rPr>
          <w:rFonts w:cs="Arial"/>
        </w:rPr>
        <w:t>impacts of cultural e</w:t>
      </w:r>
      <w:r w:rsidR="00577D31" w:rsidRPr="00577D31">
        <w:rPr>
          <w:rFonts w:cs="Arial"/>
        </w:rPr>
        <w:t>nga</w:t>
      </w:r>
      <w:r>
        <w:rPr>
          <w:rFonts w:cs="Arial"/>
        </w:rPr>
        <w:t>gement and sport p</w:t>
      </w:r>
      <w:r w:rsidR="00577D31" w:rsidRPr="00577D31">
        <w:rPr>
          <w:rFonts w:cs="Arial"/>
        </w:rPr>
        <w:t>articipation.  This work gives us new evidence of the link between our policies and the social impacts of engagement</w:t>
      </w:r>
      <w:r w:rsidR="00577D31" w:rsidRPr="00577D31" w:rsidDel="002F6C23">
        <w:rPr>
          <w:rFonts w:cs="Arial"/>
        </w:rPr>
        <w:t xml:space="preserve"> </w:t>
      </w:r>
      <w:r w:rsidR="00577D31" w:rsidRPr="00577D31">
        <w:rPr>
          <w:rFonts w:cs="Arial"/>
        </w:rPr>
        <w:t xml:space="preserve">in both sport and culture. </w:t>
      </w:r>
    </w:p>
    <w:p w14:paraId="06B47125" w14:textId="77777777" w:rsidR="00B35F26" w:rsidRDefault="00B35F26" w:rsidP="00577D31">
      <w:pPr>
        <w:widowControl w:val="0"/>
        <w:spacing w:before="20"/>
        <w:rPr>
          <w:rFonts w:cs="Arial"/>
        </w:rPr>
      </w:pPr>
    </w:p>
    <w:p w14:paraId="06B47126" w14:textId="77777777" w:rsidR="00B35F26" w:rsidRPr="00577D31" w:rsidRDefault="00B35F26" w:rsidP="00B35F26">
      <w:pPr>
        <w:rPr>
          <w:rFonts w:cs="Arial"/>
        </w:rPr>
      </w:pPr>
      <w:r>
        <w:rPr>
          <w:rFonts w:cs="Arial"/>
        </w:rPr>
        <w:t>This report is the second of two outputs from the analysis carried out by the researchers.  This report presents the results of an analysis of the association between culture, sport and measures of subjective wellbeing.</w:t>
      </w:r>
      <w:r w:rsidRPr="00B22864">
        <w:rPr>
          <w:rFonts w:cstheme="minorHAnsi"/>
        </w:rPr>
        <w:t xml:space="preserve"> </w:t>
      </w:r>
      <w:r>
        <w:rPr>
          <w:rFonts w:cstheme="minorHAnsi"/>
        </w:rPr>
        <w:t>This paper</w:t>
      </w:r>
      <w:r w:rsidRPr="00B22864">
        <w:rPr>
          <w:rFonts w:cstheme="minorHAnsi"/>
        </w:rPr>
        <w:t xml:space="preserve"> </w:t>
      </w:r>
      <w:r>
        <w:rPr>
          <w:rFonts w:cstheme="minorHAnsi"/>
        </w:rPr>
        <w:t xml:space="preserve">therefore </w:t>
      </w:r>
      <w:r w:rsidRPr="00B22864">
        <w:rPr>
          <w:rFonts w:cstheme="minorHAnsi"/>
        </w:rPr>
        <w:t xml:space="preserve">looks at the perceived benefits for the individual using wellbeing valuation. </w:t>
      </w:r>
      <w:r>
        <w:rPr>
          <w:rFonts w:cstheme="minorHAnsi"/>
        </w:rPr>
        <w:t>The first report</w:t>
      </w:r>
      <w:r>
        <w:rPr>
          <w:rStyle w:val="FootnoteReference"/>
          <w:rFonts w:cstheme="minorHAnsi"/>
        </w:rPr>
        <w:footnoteReference w:id="1"/>
      </w:r>
      <w:r>
        <w:rPr>
          <w:rFonts w:cstheme="minorHAnsi"/>
        </w:rPr>
        <w:t xml:space="preserve"> presented </w:t>
      </w:r>
      <w:r>
        <w:rPr>
          <w:rFonts w:cs="Arial"/>
        </w:rPr>
        <w:t xml:space="preserve">an analysis of the association between culture and sport participation and a range of social outcomes.  </w:t>
      </w:r>
      <w:r>
        <w:rPr>
          <w:rFonts w:cstheme="minorHAnsi"/>
        </w:rPr>
        <w:t>The first report therefore focused</w:t>
      </w:r>
      <w:r w:rsidRPr="00B22864">
        <w:rPr>
          <w:rFonts w:cstheme="minorHAnsi"/>
        </w:rPr>
        <w:t xml:space="preserve"> on cashable or financial benefits and savings</w:t>
      </w:r>
      <w:r>
        <w:rPr>
          <w:rFonts w:cstheme="minorHAnsi"/>
        </w:rPr>
        <w:t xml:space="preserve"> of a range of social outcomes.</w:t>
      </w:r>
      <w:r w:rsidRPr="00B22864">
        <w:rPr>
          <w:rFonts w:cstheme="minorHAnsi"/>
        </w:rPr>
        <w:t xml:space="preserve"> Both are important aspects of the Green Book and policy evaluation.</w:t>
      </w:r>
    </w:p>
    <w:p w14:paraId="06B47127" w14:textId="77777777" w:rsidR="00577D31" w:rsidRDefault="00577D31" w:rsidP="00052AA1">
      <w:pPr>
        <w:rPr>
          <w:rFonts w:asciiTheme="majorHAnsi" w:hAnsiTheme="majorHAnsi" w:cstheme="majorHAnsi"/>
        </w:rPr>
      </w:pPr>
    </w:p>
    <w:p w14:paraId="06B47128" w14:textId="77777777" w:rsidR="00052AA1" w:rsidRPr="004052AB" w:rsidRDefault="004052AB" w:rsidP="009E2A20">
      <w:pPr>
        <w:rPr>
          <w:rFonts w:cs="Arial"/>
        </w:rPr>
      </w:pPr>
      <w:r>
        <w:rPr>
          <w:rFonts w:cs="Arial"/>
        </w:rPr>
        <w:t>The</w:t>
      </w:r>
      <w:r w:rsidR="00052AA1" w:rsidRPr="004052AB">
        <w:rPr>
          <w:rFonts w:cs="Arial"/>
        </w:rPr>
        <w:t xml:space="preserve"> aims</w:t>
      </w:r>
      <w:r>
        <w:rPr>
          <w:rFonts w:cs="Arial"/>
        </w:rPr>
        <w:t xml:space="preserve"> of </w:t>
      </w:r>
      <w:r w:rsidR="00B35F26">
        <w:rPr>
          <w:rFonts w:cs="Arial"/>
        </w:rPr>
        <w:t>the analysis presented within this report</w:t>
      </w:r>
      <w:r>
        <w:rPr>
          <w:rFonts w:cs="Arial"/>
        </w:rPr>
        <w:t xml:space="preserve"> were</w:t>
      </w:r>
      <w:r w:rsidR="00052AA1" w:rsidRPr="004052AB">
        <w:rPr>
          <w:rFonts w:cs="Arial"/>
        </w:rPr>
        <w:t xml:space="preserve"> to:</w:t>
      </w:r>
    </w:p>
    <w:p w14:paraId="06B47129" w14:textId="1B5141BD" w:rsidR="008A74E9" w:rsidRPr="008A74E9" w:rsidRDefault="008A74E9" w:rsidP="008A74E9">
      <w:pPr>
        <w:pStyle w:val="ListParagraph"/>
        <w:numPr>
          <w:ilvl w:val="0"/>
          <w:numId w:val="48"/>
        </w:numPr>
        <w:rPr>
          <w:rFonts w:ascii="Arial" w:hAnsi="Arial" w:cs="Arial"/>
          <w:lang w:val="en-GB"/>
        </w:rPr>
      </w:pPr>
      <w:r w:rsidRPr="008A74E9">
        <w:rPr>
          <w:rFonts w:ascii="Arial" w:hAnsi="Arial" w:cs="Arial"/>
          <w:lang w:val="en-GB"/>
        </w:rPr>
        <w:t>Identify the impacts of culture and sport engagement on individuals’ well</w:t>
      </w:r>
      <w:r w:rsidR="00213078">
        <w:rPr>
          <w:rFonts w:ascii="Arial" w:hAnsi="Arial" w:cs="Arial"/>
          <w:lang w:val="en-GB"/>
        </w:rPr>
        <w:t>being</w:t>
      </w:r>
      <w:r w:rsidRPr="008A74E9">
        <w:rPr>
          <w:rFonts w:ascii="Arial" w:hAnsi="Arial" w:cs="Arial"/>
          <w:lang w:val="en-GB"/>
        </w:rPr>
        <w:t>.</w:t>
      </w:r>
    </w:p>
    <w:p w14:paraId="06B4712A" w14:textId="77777777" w:rsidR="00B35F26" w:rsidRDefault="008A74E9" w:rsidP="00B35F26">
      <w:pPr>
        <w:pStyle w:val="ListParagraph"/>
        <w:numPr>
          <w:ilvl w:val="0"/>
          <w:numId w:val="48"/>
        </w:numPr>
        <w:rPr>
          <w:rFonts w:ascii="Arial" w:hAnsi="Arial" w:cs="Arial"/>
          <w:lang w:val="en-GB"/>
        </w:rPr>
      </w:pPr>
      <w:r w:rsidRPr="008A74E9">
        <w:rPr>
          <w:rFonts w:ascii="Arial" w:hAnsi="Arial" w:cs="Arial"/>
          <w:lang w:val="en-GB"/>
        </w:rPr>
        <w:t>Estimate monetary values for those wellbeing impacts using the Wellbeing Valuation approach.</w:t>
      </w:r>
    </w:p>
    <w:p w14:paraId="06B4712B" w14:textId="77777777" w:rsidR="00B35F26" w:rsidRDefault="00B35F26" w:rsidP="00B35F26">
      <w:pPr>
        <w:ind w:left="1800"/>
        <w:rPr>
          <w:rFonts w:cs="Arial"/>
        </w:rPr>
      </w:pPr>
    </w:p>
    <w:p w14:paraId="06B4712C" w14:textId="77777777" w:rsidR="0078217C" w:rsidRDefault="00B35F26" w:rsidP="00B35F26">
      <w:pPr>
        <w:ind w:left="1800"/>
        <w:rPr>
          <w:rFonts w:cs="Arial"/>
        </w:rPr>
      </w:pPr>
      <w:r w:rsidRPr="00B35F26">
        <w:rPr>
          <w:rFonts w:cs="Arial"/>
        </w:rPr>
        <w:t xml:space="preserve">Each report presents background to the consideration of social and wellbeing impacts along with the key findings.  The annexes contain the full papers and analysis produced by the authors from the LSE. </w:t>
      </w:r>
    </w:p>
    <w:p w14:paraId="06B4712D" w14:textId="77777777" w:rsidR="004A5B9D" w:rsidRPr="004A5B9D" w:rsidRDefault="00F42092" w:rsidP="004A5B9D">
      <w:pPr>
        <w:pStyle w:val="Heading2Numbered"/>
      </w:pPr>
      <w:bookmarkStart w:id="4" w:name="_Toc385423390"/>
      <w:r>
        <w:t>Background</w:t>
      </w:r>
      <w:bookmarkEnd w:id="4"/>
    </w:p>
    <w:p w14:paraId="06B4712E" w14:textId="77777777" w:rsidR="008A74E9" w:rsidRPr="008A74E9" w:rsidRDefault="008A74E9" w:rsidP="008A74E9">
      <w:pPr>
        <w:rPr>
          <w:rFonts w:cs="Arial"/>
        </w:rPr>
      </w:pPr>
      <w:r w:rsidRPr="008A74E9">
        <w:rPr>
          <w:rFonts w:cs="Arial"/>
        </w:rPr>
        <w:t xml:space="preserve">When allocating scarce public resources, we would ideally like to know the costs and benefits of different allocating decisions. The costs are typically relatively easy to measure and value and there now exists a range of </w:t>
      </w:r>
      <w:r w:rsidRPr="008A74E9">
        <w:rPr>
          <w:rFonts w:cs="Arial"/>
        </w:rPr>
        <w:lastRenderedPageBreak/>
        <w:t xml:space="preserve">established methods for providing estimates of the costs of a programme. It is the benefits that present the main challenge. So that we can determine whether or not an intervention creates a net benefit, we would ideally like to express benefits in monetary units thus allowing direct comparison with costs. In standard cost-benefit analysis, monetary values are estimated by making inferences about people’s willingness to pay from market data or from asking them directly for their willingness to pay in a contingent valuation study. So, if we wanted to value engagement in culture and sports, we would typically look for market data and/or we could ask people hypothetical questions about their willingness to pay for particular activities and benefits.  </w:t>
      </w:r>
    </w:p>
    <w:p w14:paraId="06B4712F" w14:textId="77777777" w:rsidR="008A74E9" w:rsidRPr="008A74E9" w:rsidRDefault="008A74E9" w:rsidP="008A74E9">
      <w:pPr>
        <w:rPr>
          <w:rFonts w:cs="Arial"/>
        </w:rPr>
      </w:pPr>
    </w:p>
    <w:p w14:paraId="06B47130" w14:textId="77777777" w:rsidR="008A74E9" w:rsidRPr="008A74E9" w:rsidRDefault="008A74E9" w:rsidP="008A74E9">
      <w:pPr>
        <w:rPr>
          <w:rFonts w:cs="Arial"/>
        </w:rPr>
      </w:pPr>
      <w:r w:rsidRPr="008A74E9">
        <w:rPr>
          <w:rFonts w:cs="Arial"/>
        </w:rPr>
        <w:t xml:space="preserve">These methods are not without their problems, however. Despite decades of research into improving the methods, some substantive challenges still remain. Revealed preferences are often not available and, where they are, it is often questionable whether they capture the true impact on ‘utility’ of a good or service. One of the main problems is that our preferences are often ill-informed and influenced heavily by context and sometimes by irrelevant cues and framing. Stated preference data suffer from the same challenges but are arguably compounded further by the hypothetical nature of a contingent valuation exercise. </w:t>
      </w:r>
    </w:p>
    <w:p w14:paraId="06B47131" w14:textId="77777777" w:rsidR="008A74E9" w:rsidRPr="008A74E9" w:rsidRDefault="008A74E9" w:rsidP="008A74E9">
      <w:pPr>
        <w:rPr>
          <w:rFonts w:cs="Arial"/>
        </w:rPr>
      </w:pPr>
    </w:p>
    <w:p w14:paraId="06B47132" w14:textId="77777777" w:rsidR="008A74E9" w:rsidRPr="008A74E9" w:rsidRDefault="008A74E9" w:rsidP="008A74E9">
      <w:pPr>
        <w:rPr>
          <w:rFonts w:cs="Arial"/>
        </w:rPr>
      </w:pPr>
      <w:r w:rsidRPr="008A74E9">
        <w:rPr>
          <w:rFonts w:cs="Arial"/>
        </w:rPr>
        <w:t>An alternative approach to valuation which shows considerable promise and which is increasingly being used in the public policy context (Dolan &amp; Fujiwara, 2012). The Wellbeing Valuation approach looks at the impact of a range of factors on subjective wellbeing (SWB) (see Fujiwara &amp; Campbell, 2011 and the Green Book update 2011). If we also gather data on income, we can look at effect on SWB of a change in income alongside the effect of a policy intervention (or expected benefit from that intervention). In so doing, we are able to estimate the income required to bring about the same impact on SWB as the policy intervention, thus enabling us to express the benefits of the intervention in monetary units. So, if we wanted to value engagement in culture and sports, we can now look for the impact on subjective wellbeing that particular activities have and compare that to the impact from income.</w:t>
      </w:r>
    </w:p>
    <w:p w14:paraId="06B47133" w14:textId="77777777" w:rsidR="008A74E9" w:rsidRPr="008A74E9" w:rsidRDefault="008A74E9" w:rsidP="008A74E9">
      <w:pPr>
        <w:rPr>
          <w:rFonts w:cs="Arial"/>
        </w:rPr>
      </w:pPr>
    </w:p>
    <w:p w14:paraId="06B47134" w14:textId="3DD13259" w:rsidR="008A74E9" w:rsidRPr="008A74E9" w:rsidRDefault="008A74E9" w:rsidP="008A74E9">
      <w:pPr>
        <w:rPr>
          <w:rFonts w:cs="Arial"/>
        </w:rPr>
      </w:pPr>
      <w:r w:rsidRPr="008A74E9">
        <w:rPr>
          <w:rFonts w:cs="Arial"/>
        </w:rPr>
        <w:t xml:space="preserve">It is worth saying that wellbeing measurement, quite apart from whether the impacts are subsequently valued for the purposes of economic appraisal, is an increasingly prominent part of policy discussions. The recent developments in monitoring national wellbeing in the UK, including large national surveys undertaken by the Office for National Statistics (ONS), have provided </w:t>
      </w:r>
      <w:r w:rsidR="00510723">
        <w:rPr>
          <w:rFonts w:cs="Arial"/>
        </w:rPr>
        <w:t>an important catalyst for this.  Since May 2013 the ONS’ annual reporting of national well</w:t>
      </w:r>
      <w:r w:rsidR="00213078">
        <w:rPr>
          <w:rFonts w:cs="Arial"/>
        </w:rPr>
        <w:t>being</w:t>
      </w:r>
      <w:r w:rsidR="00510723">
        <w:rPr>
          <w:rFonts w:cs="Arial"/>
        </w:rPr>
        <w:t xml:space="preserve"> has also included measures of cultural engagement and sports participation reflecting the significant role of DCMS’ sectors in individual’s well</w:t>
      </w:r>
      <w:r w:rsidR="00213078">
        <w:rPr>
          <w:rFonts w:cs="Arial"/>
        </w:rPr>
        <w:t>being</w:t>
      </w:r>
      <w:r w:rsidR="00510723">
        <w:rPr>
          <w:rFonts w:cs="Arial"/>
        </w:rPr>
        <w:t>.</w:t>
      </w:r>
    </w:p>
    <w:p w14:paraId="06B47135" w14:textId="77777777" w:rsidR="008A74E9" w:rsidRPr="00052AA1" w:rsidRDefault="008A74E9" w:rsidP="008A74E9">
      <w:pPr>
        <w:ind w:left="0"/>
        <w:rPr>
          <w:rFonts w:cs="Arial"/>
        </w:rPr>
      </w:pPr>
    </w:p>
    <w:p w14:paraId="06B47136" w14:textId="64339D9C" w:rsidR="00052AA1" w:rsidRDefault="00052AA1" w:rsidP="00052AA1">
      <w:pPr>
        <w:rPr>
          <w:rFonts w:cs="Arial"/>
        </w:rPr>
      </w:pPr>
      <w:r w:rsidRPr="00052AA1">
        <w:rPr>
          <w:rFonts w:cs="Arial"/>
        </w:rPr>
        <w:t>This analysis use</w:t>
      </w:r>
      <w:r w:rsidR="000971E8">
        <w:rPr>
          <w:rFonts w:cs="Arial"/>
        </w:rPr>
        <w:t>s</w:t>
      </w:r>
      <w:r w:rsidRPr="00052AA1">
        <w:rPr>
          <w:rFonts w:cs="Arial"/>
        </w:rPr>
        <w:t xml:space="preserve"> data from the Understanding Society survey, which is a large and representative sample of the UK population. </w:t>
      </w:r>
      <w:r w:rsidR="00B4688B">
        <w:rPr>
          <w:rFonts w:cs="Arial"/>
        </w:rPr>
        <w:t xml:space="preserve">With DCMS </w:t>
      </w:r>
      <w:r w:rsidR="00B4688B">
        <w:rPr>
          <w:rFonts w:cs="Arial"/>
        </w:rPr>
        <w:lastRenderedPageBreak/>
        <w:t>engagement as a co-government funder of the Understanding Society study, t</w:t>
      </w:r>
      <w:r w:rsidR="004052AB">
        <w:rPr>
          <w:rFonts w:cs="Arial"/>
        </w:rPr>
        <w:t xml:space="preserve">he second wave of the survey </w:t>
      </w:r>
      <w:r w:rsidRPr="00052AA1">
        <w:rPr>
          <w:rFonts w:cs="Arial"/>
        </w:rPr>
        <w:t xml:space="preserve">contained information on a wealth of activities relating to engagement in sports and culture. </w:t>
      </w:r>
      <w:r w:rsidR="00B4688B">
        <w:rPr>
          <w:rFonts w:cs="Arial"/>
        </w:rPr>
        <w:t>The Wave 2 d</w:t>
      </w:r>
      <w:r w:rsidR="004052AB" w:rsidRPr="00052AA1">
        <w:rPr>
          <w:rFonts w:cs="Arial"/>
        </w:rPr>
        <w:t>ata released in January 2013</w:t>
      </w:r>
      <w:r w:rsidR="00B4688B">
        <w:rPr>
          <w:rFonts w:cs="Arial"/>
        </w:rPr>
        <w:t xml:space="preserve"> contained both the measures of sports and culture activities alongside </w:t>
      </w:r>
      <w:r w:rsidR="008A74E9">
        <w:rPr>
          <w:rFonts w:cs="Arial"/>
        </w:rPr>
        <w:t>subjective well</w:t>
      </w:r>
      <w:r w:rsidR="00213078">
        <w:rPr>
          <w:rFonts w:cs="Arial"/>
        </w:rPr>
        <w:t>being</w:t>
      </w:r>
      <w:r w:rsidR="008A74E9">
        <w:rPr>
          <w:rFonts w:cs="Arial"/>
        </w:rPr>
        <w:t xml:space="preserve"> </w:t>
      </w:r>
      <w:r w:rsidR="00B4688B">
        <w:rPr>
          <w:rFonts w:cs="Arial"/>
        </w:rPr>
        <w:t>measures.</w:t>
      </w:r>
      <w:r w:rsidR="004052AB" w:rsidRPr="00052AA1">
        <w:rPr>
          <w:rFonts w:cs="Arial"/>
        </w:rPr>
        <w:t xml:space="preserve"> </w:t>
      </w:r>
      <w:r w:rsidRPr="00052AA1">
        <w:rPr>
          <w:rFonts w:cs="Arial"/>
        </w:rPr>
        <w:t xml:space="preserve">These data have never been analysed to show such activities’ impact upon </w:t>
      </w:r>
      <w:r w:rsidR="008A74E9">
        <w:rPr>
          <w:rFonts w:cs="Arial"/>
        </w:rPr>
        <w:t>well</w:t>
      </w:r>
      <w:r w:rsidR="00213078">
        <w:rPr>
          <w:rFonts w:cs="Arial"/>
        </w:rPr>
        <w:t>being</w:t>
      </w:r>
      <w:r w:rsidRPr="00052AA1">
        <w:rPr>
          <w:rFonts w:cs="Arial"/>
        </w:rPr>
        <w:t xml:space="preserve"> and therefore provide a valuable opportunity to do so. </w:t>
      </w:r>
    </w:p>
    <w:p w14:paraId="06B47137" w14:textId="77777777" w:rsidR="00052AA1" w:rsidRDefault="00052AA1" w:rsidP="00052AA1">
      <w:pPr>
        <w:rPr>
          <w:rFonts w:cs="Arial"/>
        </w:rPr>
      </w:pPr>
    </w:p>
    <w:p w14:paraId="06B47138" w14:textId="41D1AE13" w:rsidR="008A74E9" w:rsidRPr="008A74E9" w:rsidRDefault="000971E8" w:rsidP="008A74E9">
      <w:pPr>
        <w:rPr>
          <w:rFonts w:cs="Arial"/>
        </w:rPr>
      </w:pPr>
      <w:r>
        <w:rPr>
          <w:rFonts w:cs="Arial"/>
        </w:rPr>
        <w:t xml:space="preserve">It is important to estimate causal relationships in this analysis so that we can single out the effects on SWB. </w:t>
      </w:r>
      <w:r w:rsidR="008A74E9" w:rsidRPr="008A74E9">
        <w:rPr>
          <w:rFonts w:cs="Arial"/>
        </w:rPr>
        <w:t xml:space="preserve">The data available to us in this study are one wave of Understanding Society. The main difficulty in inferring causality from these data is that there may be a host of factors and attributes that people differ on in addition to the difference in engagement or participation status. To deal with the issue of causality in wellbeing models, we use an instrumental variable (IV) approach for income. We hold constant many of the potential differences between the groups that do and do not engage in the arts and sport, but we can never be sure that we have controlled for enough of the differences because we are reliant on having a good working theory of the possible confounding variables and available data on these variables. The statistical approach that we adopt is the best available given the nature of the data, and </w:t>
      </w:r>
      <w:r>
        <w:rPr>
          <w:rFonts w:cs="Arial"/>
        </w:rPr>
        <w:t xml:space="preserve">generally </w:t>
      </w:r>
      <w:r w:rsidR="008A74E9" w:rsidRPr="008A74E9">
        <w:rPr>
          <w:rFonts w:cs="Arial"/>
        </w:rPr>
        <w:t>more rigorous than many previous studies which make no attempt to control for the possible confounding factors. Going forwards, we recommend the use of experimental methods to more conclusively establish causality</w:t>
      </w:r>
      <w:r>
        <w:rPr>
          <w:rFonts w:cs="Arial"/>
        </w:rPr>
        <w:t xml:space="preserve"> (see discussion in Annex </w:t>
      </w:r>
      <w:r w:rsidR="00FC5368">
        <w:rPr>
          <w:rFonts w:cs="Arial"/>
        </w:rPr>
        <w:t>D</w:t>
      </w:r>
      <w:r>
        <w:rPr>
          <w:rFonts w:cs="Arial"/>
        </w:rPr>
        <w:t>).</w:t>
      </w:r>
    </w:p>
    <w:p w14:paraId="06B47139" w14:textId="77777777" w:rsidR="008A74E9" w:rsidRDefault="008A74E9" w:rsidP="004A5B9D">
      <w:pPr>
        <w:rPr>
          <w:rFonts w:cs="Arial"/>
        </w:rPr>
      </w:pPr>
    </w:p>
    <w:p w14:paraId="06B4713A" w14:textId="77777777" w:rsidR="00052AA1" w:rsidRPr="004A5B9D" w:rsidRDefault="00577D31" w:rsidP="004A5B9D">
      <w:pPr>
        <w:rPr>
          <w:rFonts w:cs="Arial"/>
        </w:rPr>
      </w:pPr>
      <w:r>
        <w:rPr>
          <w:rFonts w:cs="Arial"/>
        </w:rPr>
        <w:t xml:space="preserve">A further report expanding this analysis to measure and value the impact of sport and culture on </w:t>
      </w:r>
      <w:r w:rsidR="008A74E9">
        <w:rPr>
          <w:rFonts w:cs="Arial"/>
        </w:rPr>
        <w:t xml:space="preserve">wider </w:t>
      </w:r>
      <w:r>
        <w:rPr>
          <w:rFonts w:cs="Arial"/>
        </w:rPr>
        <w:t xml:space="preserve">measures of </w:t>
      </w:r>
      <w:r w:rsidR="008A74E9">
        <w:rPr>
          <w:rFonts w:cs="Arial"/>
        </w:rPr>
        <w:t>social impact has been</w:t>
      </w:r>
      <w:r>
        <w:rPr>
          <w:rFonts w:cs="Arial"/>
        </w:rPr>
        <w:t xml:space="preserve"> released separately.  </w:t>
      </w:r>
    </w:p>
    <w:p w14:paraId="06B4713B" w14:textId="77777777" w:rsidR="004A5B9D" w:rsidRDefault="004A5B9D" w:rsidP="004A5B9D"/>
    <w:p w14:paraId="06B4713C" w14:textId="77777777" w:rsidR="004A5B9D" w:rsidRDefault="004A5B9D" w:rsidP="004A5B9D">
      <w:r>
        <w:t> </w:t>
      </w:r>
    </w:p>
    <w:p w14:paraId="06B4713D" w14:textId="1BB81EE2" w:rsidR="000B1FC6" w:rsidRPr="00D67C9B" w:rsidRDefault="00FD1F00" w:rsidP="000B1FC6">
      <w:pPr>
        <w:pStyle w:val="Heading1Numbered"/>
        <w:rPr>
          <w:rFonts w:cs="Arial"/>
        </w:rPr>
      </w:pPr>
      <w:bookmarkStart w:id="5" w:name="_Toc385423391"/>
      <w:r>
        <w:rPr>
          <w:rFonts w:cs="Arial"/>
        </w:rPr>
        <w:lastRenderedPageBreak/>
        <w:t xml:space="preserve">Summary of </w:t>
      </w:r>
      <w:r w:rsidR="000B1FC6" w:rsidRPr="00D67C9B">
        <w:rPr>
          <w:rFonts w:cs="Arial"/>
        </w:rPr>
        <w:t>findings</w:t>
      </w:r>
      <w:bookmarkEnd w:id="5"/>
    </w:p>
    <w:p w14:paraId="40C81B68" w14:textId="099E08FC" w:rsidR="00213078" w:rsidRDefault="00213078" w:rsidP="00213078">
      <w:pPr>
        <w:spacing w:before="0"/>
        <w:ind w:left="1440"/>
        <w:rPr>
          <w:rFonts w:cs="Arial"/>
          <w:b/>
          <w:sz w:val="28"/>
          <w:szCs w:val="28"/>
        </w:rPr>
      </w:pPr>
      <w:r>
        <w:rPr>
          <w:rFonts w:cs="Arial"/>
          <w:b/>
          <w:sz w:val="28"/>
          <w:szCs w:val="28"/>
        </w:rPr>
        <w:t>Key Findings</w:t>
      </w:r>
    </w:p>
    <w:p w14:paraId="128B6B3F" w14:textId="77777777" w:rsidR="00213078" w:rsidRPr="00213078" w:rsidRDefault="00213078" w:rsidP="00213078">
      <w:pPr>
        <w:spacing w:before="0"/>
        <w:ind w:left="1440"/>
        <w:rPr>
          <w:rFonts w:cs="Arial"/>
          <w:b/>
          <w:sz w:val="28"/>
          <w:szCs w:val="28"/>
        </w:rPr>
      </w:pPr>
    </w:p>
    <w:p w14:paraId="6B86455A" w14:textId="77777777" w:rsidR="00213078" w:rsidRPr="008A74E9" w:rsidRDefault="00213078" w:rsidP="00213078">
      <w:pPr>
        <w:spacing w:before="0"/>
        <w:ind w:left="2160"/>
        <w:rPr>
          <w:rFonts w:cs="Arial"/>
          <w:b/>
        </w:rPr>
      </w:pPr>
      <w:r>
        <w:rPr>
          <w:rFonts w:cs="Arial"/>
          <w:b/>
        </w:rPr>
        <w:t>Arts engagement</w:t>
      </w:r>
    </w:p>
    <w:p w14:paraId="191F8B94" w14:textId="77777777" w:rsidR="00213078" w:rsidRPr="00A53319" w:rsidRDefault="00213078" w:rsidP="00213078">
      <w:pPr>
        <w:spacing w:before="0"/>
        <w:ind w:left="2160"/>
        <w:rPr>
          <w:rFonts w:cs="Arial"/>
        </w:rPr>
      </w:pPr>
      <w:r w:rsidRPr="00A53319">
        <w:rPr>
          <w:rFonts w:cs="Arial"/>
        </w:rPr>
        <w:t>Arts engagement was found to be associated with higher well</w:t>
      </w:r>
      <w:r>
        <w:rPr>
          <w:rFonts w:cs="Arial"/>
        </w:rPr>
        <w:t>being</w:t>
      </w:r>
      <w:r w:rsidRPr="00A53319">
        <w:rPr>
          <w:rFonts w:cs="Arial"/>
        </w:rPr>
        <w:t xml:space="preserve">.  This is valued at £1,084 per person per year, or £90 per person per month.  </w:t>
      </w:r>
    </w:p>
    <w:p w14:paraId="6A3A663C" w14:textId="77777777" w:rsidR="00213078" w:rsidRPr="00A53319" w:rsidRDefault="00213078" w:rsidP="00213078">
      <w:pPr>
        <w:spacing w:before="0"/>
        <w:ind w:left="0"/>
        <w:rPr>
          <w:rFonts w:cs="Arial"/>
        </w:rPr>
      </w:pPr>
    </w:p>
    <w:p w14:paraId="5D70F1D9" w14:textId="77777777" w:rsidR="00213078" w:rsidRPr="008A74E9" w:rsidRDefault="00213078" w:rsidP="00213078">
      <w:pPr>
        <w:spacing w:before="0"/>
        <w:ind w:left="2160"/>
        <w:rPr>
          <w:rFonts w:cs="Arial"/>
          <w:b/>
        </w:rPr>
      </w:pPr>
      <w:r>
        <w:rPr>
          <w:rFonts w:cs="Arial"/>
          <w:b/>
        </w:rPr>
        <w:t xml:space="preserve">Library engagement </w:t>
      </w:r>
    </w:p>
    <w:p w14:paraId="50FAFACE" w14:textId="7807D044" w:rsidR="00213078" w:rsidRDefault="00213078" w:rsidP="00213078">
      <w:pPr>
        <w:spacing w:before="0"/>
        <w:ind w:left="2160"/>
        <w:rPr>
          <w:rFonts w:cs="Arial"/>
        </w:rPr>
      </w:pPr>
      <w:r w:rsidRPr="00A53319">
        <w:rPr>
          <w:rFonts w:cs="Arial"/>
        </w:rPr>
        <w:t>A significant association was also found between frequent library use and reported well</w:t>
      </w:r>
      <w:r>
        <w:rPr>
          <w:rFonts w:cs="Arial"/>
        </w:rPr>
        <w:t>being</w:t>
      </w:r>
      <w:r w:rsidRPr="00A53319">
        <w:rPr>
          <w:rFonts w:cs="Arial"/>
        </w:rPr>
        <w:t xml:space="preserve">.  </w:t>
      </w:r>
      <w:r>
        <w:rPr>
          <w:rFonts w:cs="Arial"/>
        </w:rPr>
        <w:t xml:space="preserve">Using </w:t>
      </w:r>
      <w:r w:rsidRPr="00A53319">
        <w:rPr>
          <w:rFonts w:cs="Arial"/>
        </w:rPr>
        <w:t>librar</w:t>
      </w:r>
      <w:r>
        <w:rPr>
          <w:rFonts w:cs="Arial"/>
        </w:rPr>
        <w:t xml:space="preserve">ies frequently was valued </w:t>
      </w:r>
      <w:r w:rsidRPr="00A53319">
        <w:rPr>
          <w:rFonts w:cs="Arial"/>
        </w:rPr>
        <w:t>at £1,359 per person per year</w:t>
      </w:r>
      <w:r>
        <w:rPr>
          <w:rFonts w:cs="Arial"/>
        </w:rPr>
        <w:t xml:space="preserve"> for library users, or £113 per person per month. </w:t>
      </w:r>
    </w:p>
    <w:p w14:paraId="47749D08" w14:textId="77777777" w:rsidR="00213078" w:rsidRDefault="00213078" w:rsidP="00213078">
      <w:pPr>
        <w:spacing w:before="0"/>
        <w:ind w:left="2160"/>
        <w:rPr>
          <w:rFonts w:cs="Arial"/>
          <w:b/>
        </w:rPr>
      </w:pPr>
    </w:p>
    <w:p w14:paraId="5FB920D5" w14:textId="69A2582B" w:rsidR="00213078" w:rsidRPr="008A74E9" w:rsidRDefault="00213078" w:rsidP="00213078">
      <w:pPr>
        <w:spacing w:before="0"/>
        <w:ind w:left="2160"/>
        <w:rPr>
          <w:rFonts w:cs="Arial"/>
          <w:b/>
        </w:rPr>
      </w:pPr>
      <w:r>
        <w:rPr>
          <w:rFonts w:cs="Arial"/>
          <w:b/>
        </w:rPr>
        <w:t>Sport participation</w:t>
      </w:r>
    </w:p>
    <w:p w14:paraId="5C2D7EEB" w14:textId="141D6089" w:rsidR="00213078" w:rsidRDefault="00213078" w:rsidP="00213078">
      <w:pPr>
        <w:spacing w:before="0"/>
        <w:ind w:left="2160"/>
        <w:rPr>
          <w:rFonts w:cs="Arial"/>
        </w:rPr>
      </w:pPr>
      <w:r w:rsidRPr="00A53319">
        <w:rPr>
          <w:rFonts w:cs="Arial"/>
        </w:rPr>
        <w:t>Sport participation was also found to be associated with higher well</w:t>
      </w:r>
      <w:r>
        <w:rPr>
          <w:rFonts w:cs="Arial"/>
        </w:rPr>
        <w:t>being</w:t>
      </w:r>
      <w:r w:rsidRPr="00A53319">
        <w:rPr>
          <w:rFonts w:cs="Arial"/>
        </w:rPr>
        <w:t xml:space="preserve">.  This increase is valued at £1,127 per person per year, or £94 per person per month.  </w:t>
      </w:r>
    </w:p>
    <w:p w14:paraId="696237E9" w14:textId="77777777" w:rsidR="00213078" w:rsidRDefault="00213078" w:rsidP="00213078">
      <w:pPr>
        <w:spacing w:before="0"/>
        <w:ind w:left="2160"/>
        <w:rPr>
          <w:rFonts w:cs="Arial"/>
        </w:rPr>
      </w:pPr>
    </w:p>
    <w:p w14:paraId="0ECB6EC3" w14:textId="6B48F815" w:rsidR="00213078" w:rsidRDefault="00213078" w:rsidP="00213078">
      <w:pPr>
        <w:spacing w:before="0"/>
        <w:ind w:left="0"/>
        <w:rPr>
          <w:rFonts w:cs="Arial"/>
          <w:b/>
          <w:sz w:val="28"/>
        </w:rPr>
      </w:pPr>
      <w:r>
        <w:rPr>
          <w:rFonts w:cs="Arial"/>
        </w:rPr>
        <w:tab/>
      </w:r>
      <w:r>
        <w:rPr>
          <w:rFonts w:cs="Arial"/>
        </w:rPr>
        <w:tab/>
      </w:r>
      <w:r>
        <w:rPr>
          <w:rFonts w:cs="Arial"/>
          <w:b/>
          <w:sz w:val="28"/>
        </w:rPr>
        <w:t>Context</w:t>
      </w:r>
    </w:p>
    <w:p w14:paraId="50EE914C" w14:textId="77777777" w:rsidR="00213078" w:rsidRPr="00213078" w:rsidRDefault="00213078" w:rsidP="00213078">
      <w:pPr>
        <w:spacing w:before="0"/>
        <w:ind w:left="0"/>
        <w:rPr>
          <w:rFonts w:cs="Arial"/>
          <w:b/>
          <w:sz w:val="28"/>
        </w:rPr>
      </w:pPr>
    </w:p>
    <w:p w14:paraId="06B4713E" w14:textId="453A68E5" w:rsidR="0051626E" w:rsidRPr="0051626E" w:rsidRDefault="00EA267B" w:rsidP="0051626E">
      <w:pPr>
        <w:spacing w:before="0"/>
        <w:ind w:left="2160"/>
        <w:rPr>
          <w:rFonts w:cs="Arial"/>
        </w:rPr>
      </w:pPr>
      <w:r w:rsidRPr="00485B3F">
        <w:rPr>
          <w:rFonts w:cs="Arial"/>
        </w:rPr>
        <w:t>We identify statistically significant associations</w:t>
      </w:r>
      <w:r w:rsidR="0051626E" w:rsidRPr="00C71605">
        <w:rPr>
          <w:rFonts w:cs="Arial"/>
        </w:rPr>
        <w:t xml:space="preserve"> between cultural and</w:t>
      </w:r>
      <w:r w:rsidR="0051626E" w:rsidRPr="0051626E">
        <w:rPr>
          <w:rFonts w:cs="Arial"/>
        </w:rPr>
        <w:t xml:space="preserve"> sport engagement and individual well</w:t>
      </w:r>
      <w:r w:rsidR="00213078">
        <w:rPr>
          <w:rFonts w:cs="Arial"/>
        </w:rPr>
        <w:t>being</w:t>
      </w:r>
      <w:r w:rsidR="0051626E" w:rsidRPr="0051626E">
        <w:rPr>
          <w:rFonts w:cs="Arial"/>
        </w:rPr>
        <w:t xml:space="preserve"> and a range of other social impacts.  Holistic consideration of all identified impacts will help to build a broad narrative on the social impacts of culture and sport.</w:t>
      </w:r>
    </w:p>
    <w:p w14:paraId="06B4713F" w14:textId="77777777" w:rsidR="0051626E" w:rsidRPr="0051626E" w:rsidRDefault="0051626E" w:rsidP="0051626E">
      <w:pPr>
        <w:spacing w:before="0"/>
        <w:ind w:left="2160"/>
        <w:rPr>
          <w:rFonts w:cs="Arial"/>
        </w:rPr>
      </w:pPr>
    </w:p>
    <w:p w14:paraId="06B47140" w14:textId="77777777" w:rsidR="0051626E" w:rsidRDefault="0051626E" w:rsidP="0051626E">
      <w:pPr>
        <w:spacing w:before="0"/>
        <w:ind w:left="2160"/>
        <w:rPr>
          <w:rFonts w:cs="Arial"/>
        </w:rPr>
      </w:pPr>
      <w:r w:rsidRPr="0051626E">
        <w:rPr>
          <w:rFonts w:cs="Arial"/>
        </w:rPr>
        <w:t>Although causal direction needs to be considered further, this analysis has controlled for a range of other</w:t>
      </w:r>
      <w:r w:rsidR="00C71605">
        <w:rPr>
          <w:rFonts w:cs="Arial"/>
        </w:rPr>
        <w:t xml:space="preserve"> determinants of SWB</w:t>
      </w:r>
      <w:r w:rsidRPr="0051626E">
        <w:rPr>
          <w:rFonts w:cs="Arial"/>
        </w:rPr>
        <w:t xml:space="preserve"> e.g. income, gender</w:t>
      </w:r>
      <w:r w:rsidR="00C71605">
        <w:rPr>
          <w:rFonts w:cs="Arial"/>
        </w:rPr>
        <w:t>, health, region, marital status, employment status</w:t>
      </w:r>
      <w:r w:rsidRPr="0051626E">
        <w:rPr>
          <w:rFonts w:cs="Arial"/>
        </w:rPr>
        <w:t xml:space="preserve">. </w:t>
      </w:r>
      <w:r w:rsidR="00C71605">
        <w:rPr>
          <w:rFonts w:cs="Arial"/>
        </w:rPr>
        <w:t>This is the optimal statistical strategy for this kind of non-experimental data (where interventions have not been randomised) in order to identify cause and effect relationships and we control for all of the main determinants of SWB as set out in Fujiwara and Campbell (2011).</w:t>
      </w:r>
      <w:r w:rsidRPr="0051626E">
        <w:rPr>
          <w:rFonts w:cs="Arial"/>
        </w:rPr>
        <w:t xml:space="preserve"> </w:t>
      </w:r>
    </w:p>
    <w:p w14:paraId="06B47141" w14:textId="77777777" w:rsidR="00C71605" w:rsidRDefault="00C71605" w:rsidP="0051626E">
      <w:pPr>
        <w:spacing w:before="0"/>
        <w:ind w:left="2160"/>
        <w:rPr>
          <w:rFonts w:cs="Arial"/>
        </w:rPr>
      </w:pPr>
    </w:p>
    <w:p w14:paraId="06B47142" w14:textId="61921724" w:rsidR="00A53319" w:rsidRPr="00A53319" w:rsidRDefault="00A53319" w:rsidP="0051626E">
      <w:pPr>
        <w:spacing w:before="0"/>
        <w:ind w:left="2160"/>
        <w:rPr>
          <w:rFonts w:cs="Arial"/>
        </w:rPr>
      </w:pPr>
      <w:r w:rsidRPr="00A53319">
        <w:rPr>
          <w:rFonts w:cs="Arial"/>
        </w:rPr>
        <w:t>The analysis considered the extent to which culture and sport engagement is associated with well</w:t>
      </w:r>
      <w:r w:rsidR="00213078">
        <w:rPr>
          <w:rFonts w:cs="Arial"/>
        </w:rPr>
        <w:t>being</w:t>
      </w:r>
      <w:r w:rsidRPr="00A53319">
        <w:rPr>
          <w:rFonts w:cs="Arial"/>
        </w:rPr>
        <w:t xml:space="preserve"> impacts once other </w:t>
      </w:r>
      <w:r w:rsidR="00C71605">
        <w:rPr>
          <w:rFonts w:cs="Arial"/>
        </w:rPr>
        <w:t xml:space="preserve">determinants of </w:t>
      </w:r>
      <w:r w:rsidRPr="00A53319">
        <w:rPr>
          <w:rFonts w:cs="Arial"/>
        </w:rPr>
        <w:t>well</w:t>
      </w:r>
      <w:r w:rsidR="00213078">
        <w:rPr>
          <w:rFonts w:cs="Arial"/>
        </w:rPr>
        <w:t>being</w:t>
      </w:r>
      <w:r w:rsidRPr="00A53319">
        <w:rPr>
          <w:rFonts w:cs="Arial"/>
        </w:rPr>
        <w:t xml:space="preserve"> have been controlled for</w:t>
      </w:r>
      <w:r w:rsidR="00C71605">
        <w:rPr>
          <w:rFonts w:cs="Arial"/>
        </w:rPr>
        <w:t xml:space="preserve"> in regression analysis</w:t>
      </w:r>
      <w:r w:rsidRPr="00A53319">
        <w:rPr>
          <w:rFonts w:cs="Arial"/>
        </w:rPr>
        <w:t xml:space="preserve">. The measure used in the analysis is self-reported life satisfaction.  </w:t>
      </w:r>
    </w:p>
    <w:p w14:paraId="06B47143" w14:textId="77777777" w:rsidR="00A53319" w:rsidRPr="00A53319" w:rsidRDefault="00A53319" w:rsidP="00A53319">
      <w:pPr>
        <w:spacing w:before="0"/>
        <w:ind w:left="2160"/>
        <w:rPr>
          <w:rFonts w:cs="Arial"/>
        </w:rPr>
      </w:pPr>
    </w:p>
    <w:p w14:paraId="06B47144" w14:textId="7524264B" w:rsidR="00A53319" w:rsidRPr="00A53319" w:rsidRDefault="00A53319" w:rsidP="00A53319">
      <w:pPr>
        <w:spacing w:before="0"/>
        <w:ind w:left="2160"/>
        <w:rPr>
          <w:rFonts w:cs="Arial"/>
        </w:rPr>
      </w:pPr>
      <w:r w:rsidRPr="00A53319">
        <w:rPr>
          <w:rFonts w:cs="Arial"/>
        </w:rPr>
        <w:t>Values have been calculated only for those well</w:t>
      </w:r>
      <w:r w:rsidR="00213078">
        <w:rPr>
          <w:rFonts w:cs="Arial"/>
        </w:rPr>
        <w:t>being</w:t>
      </w:r>
      <w:r w:rsidRPr="00A53319">
        <w:rPr>
          <w:rFonts w:cs="Arial"/>
        </w:rPr>
        <w:t xml:space="preserve"> impacts identified as </w:t>
      </w:r>
      <w:r w:rsidR="00C71605">
        <w:rPr>
          <w:rFonts w:cs="Arial"/>
        </w:rPr>
        <w:t xml:space="preserve">statistically </w:t>
      </w:r>
      <w:r w:rsidRPr="00A53319">
        <w:rPr>
          <w:rFonts w:cs="Arial"/>
        </w:rPr>
        <w:t>significant.  The values use a robust well</w:t>
      </w:r>
      <w:r w:rsidR="00213078">
        <w:rPr>
          <w:rFonts w:cs="Arial"/>
        </w:rPr>
        <w:t>being</w:t>
      </w:r>
      <w:r w:rsidRPr="00A53319">
        <w:rPr>
          <w:rFonts w:cs="Arial"/>
        </w:rPr>
        <w:t xml:space="preserve"> valuation technique outlined within the HMT Green Book</w:t>
      </w:r>
      <w:r w:rsidR="00C71605">
        <w:rPr>
          <w:rFonts w:cs="Arial"/>
        </w:rPr>
        <w:t xml:space="preserve"> and that features in a number of high-profile academic publications</w:t>
      </w:r>
      <w:r w:rsidRPr="00A53319">
        <w:rPr>
          <w:rFonts w:cs="Arial"/>
        </w:rPr>
        <w:t xml:space="preserve">. </w:t>
      </w:r>
      <w:r w:rsidR="00C71605">
        <w:rPr>
          <w:rFonts w:cs="Arial"/>
        </w:rPr>
        <w:t xml:space="preserve">The derived values show </w:t>
      </w:r>
      <w:r w:rsidR="00C71605">
        <w:rPr>
          <w:rFonts w:cs="Arial"/>
        </w:rPr>
        <w:lastRenderedPageBreak/>
        <w:t xml:space="preserve">the increase in </w:t>
      </w:r>
      <w:r w:rsidRPr="00A53319">
        <w:rPr>
          <w:rFonts w:cs="Arial"/>
        </w:rPr>
        <w:t xml:space="preserve">income that would be </w:t>
      </w:r>
      <w:r w:rsidR="00C71605">
        <w:rPr>
          <w:rFonts w:cs="Arial"/>
        </w:rPr>
        <w:t xml:space="preserve">required </w:t>
      </w:r>
      <w:r w:rsidRPr="00A53319">
        <w:rPr>
          <w:rFonts w:cs="Arial"/>
        </w:rPr>
        <w:t xml:space="preserve">to result in the same wellbeing increase. </w:t>
      </w:r>
    </w:p>
    <w:p w14:paraId="06B47145" w14:textId="77777777" w:rsidR="00A53319" w:rsidRPr="00A53319" w:rsidRDefault="00A53319" w:rsidP="00A53319">
      <w:pPr>
        <w:spacing w:before="0"/>
        <w:ind w:left="2160"/>
        <w:rPr>
          <w:rFonts w:cs="Arial"/>
        </w:rPr>
      </w:pPr>
    </w:p>
    <w:p w14:paraId="06B47146" w14:textId="4E63ABEB" w:rsidR="00A53319" w:rsidRPr="00A53319" w:rsidRDefault="00A53319" w:rsidP="00A53319">
      <w:pPr>
        <w:spacing w:before="0"/>
        <w:ind w:left="2160"/>
        <w:rPr>
          <w:rFonts w:cs="Arial"/>
        </w:rPr>
      </w:pPr>
      <w:r w:rsidRPr="00A53319">
        <w:rPr>
          <w:rFonts w:cs="Arial"/>
        </w:rPr>
        <w:t xml:space="preserve">In each case the </w:t>
      </w:r>
      <w:r w:rsidR="00C71605">
        <w:rPr>
          <w:rFonts w:cs="Arial"/>
        </w:rPr>
        <w:t>monetary</w:t>
      </w:r>
      <w:r w:rsidR="00C71605" w:rsidRPr="00A53319">
        <w:rPr>
          <w:rFonts w:cs="Arial"/>
        </w:rPr>
        <w:t xml:space="preserve"> </w:t>
      </w:r>
      <w:r w:rsidRPr="00A53319">
        <w:rPr>
          <w:rFonts w:cs="Arial"/>
        </w:rPr>
        <w:t>well</w:t>
      </w:r>
      <w:r w:rsidR="00213078">
        <w:rPr>
          <w:rFonts w:cs="Arial"/>
        </w:rPr>
        <w:t>being</w:t>
      </w:r>
      <w:r w:rsidRPr="00A53319">
        <w:rPr>
          <w:rFonts w:cs="Arial"/>
        </w:rPr>
        <w:t xml:space="preserve"> value is based on individuals’ own perceived value to themselves of engagement rather than a wider value to society.  Any findings should also be considered in light of the wider social impacts in order to provide a more holistic consideration of the full non-economic impacts of culture and sport engagement</w:t>
      </w:r>
      <w:r w:rsidR="00C71605">
        <w:rPr>
          <w:rFonts w:cs="Arial"/>
        </w:rPr>
        <w:t xml:space="preserve"> as per g</w:t>
      </w:r>
      <w:r w:rsidR="000F22F8">
        <w:rPr>
          <w:rFonts w:cs="Arial"/>
        </w:rPr>
        <w:t>uidelines in the HMT Green Book.</w:t>
      </w:r>
    </w:p>
    <w:p w14:paraId="06B47152" w14:textId="77777777" w:rsidR="00DC483B" w:rsidRPr="00A53319" w:rsidRDefault="00DC483B" w:rsidP="00A53319">
      <w:pPr>
        <w:spacing w:before="0"/>
        <w:ind w:left="2160"/>
        <w:rPr>
          <w:rFonts w:cs="Arial"/>
        </w:rPr>
      </w:pPr>
    </w:p>
    <w:p w14:paraId="06B47154" w14:textId="77777777" w:rsidR="00A53319" w:rsidRPr="00A53319" w:rsidRDefault="00A53319" w:rsidP="00A53319">
      <w:pPr>
        <w:spacing w:before="0"/>
        <w:ind w:left="2160"/>
        <w:rPr>
          <w:rFonts w:cs="Arial"/>
        </w:rPr>
      </w:pPr>
    </w:p>
    <w:p w14:paraId="06B47155" w14:textId="77777777" w:rsidR="000B1FC6" w:rsidRPr="00D67C9B" w:rsidRDefault="00A53319" w:rsidP="00A53319">
      <w:pPr>
        <w:spacing w:before="0"/>
        <w:ind w:left="2160"/>
        <w:rPr>
          <w:rFonts w:cs="Arial"/>
        </w:rPr>
      </w:pPr>
      <w:r w:rsidRPr="00A53319">
        <w:rPr>
          <w:rFonts w:cs="Arial"/>
        </w:rPr>
        <w:t xml:space="preserve">  </w:t>
      </w:r>
    </w:p>
    <w:p w14:paraId="06B47157" w14:textId="5ECDACC0" w:rsidR="000B1FC6" w:rsidRPr="00D67C9B" w:rsidRDefault="000B1FC6" w:rsidP="00213078">
      <w:pPr>
        <w:spacing w:before="0"/>
        <w:ind w:left="0"/>
        <w:rPr>
          <w:rFonts w:cs="Arial"/>
        </w:rPr>
      </w:pPr>
      <w:r w:rsidRPr="00D67C9B">
        <w:rPr>
          <w:rFonts w:cs="Arial"/>
        </w:rPr>
        <w:br w:type="page"/>
      </w:r>
    </w:p>
    <w:p w14:paraId="06B47158" w14:textId="77777777" w:rsidR="000B1FC6" w:rsidRPr="00D67C9B" w:rsidRDefault="00296AED" w:rsidP="000B1FC6">
      <w:pPr>
        <w:pStyle w:val="Heading1Numbered"/>
        <w:numPr>
          <w:ilvl w:val="0"/>
          <w:numId w:val="0"/>
        </w:numPr>
        <w:rPr>
          <w:rFonts w:cs="Arial"/>
        </w:rPr>
      </w:pPr>
      <w:bookmarkStart w:id="6" w:name="_Toc385423392"/>
      <w:r>
        <w:rPr>
          <w:rFonts w:cs="Arial"/>
        </w:rPr>
        <w:lastRenderedPageBreak/>
        <w:t>Annex A</w:t>
      </w:r>
      <w:r w:rsidR="000B1FC6" w:rsidRPr="00D67C9B">
        <w:rPr>
          <w:rFonts w:cs="Arial"/>
        </w:rPr>
        <w:t>: Methodology</w:t>
      </w:r>
      <w:bookmarkEnd w:id="6"/>
    </w:p>
    <w:p w14:paraId="06B47159" w14:textId="77777777" w:rsidR="00296AED" w:rsidRPr="00296AED" w:rsidRDefault="00296AED" w:rsidP="00296AED">
      <w:pPr>
        <w:spacing w:before="0"/>
        <w:ind w:left="0"/>
        <w:rPr>
          <w:rFonts w:ascii="Calibri" w:eastAsia="MS Mincho" w:hAnsi="Calibri" w:cs="Calibri"/>
          <w:b/>
          <w:sz w:val="32"/>
          <w:lang w:eastAsia="en-US"/>
        </w:rPr>
      </w:pPr>
    </w:p>
    <w:p w14:paraId="06B4715A" w14:textId="77777777" w:rsidR="00296AED" w:rsidRPr="00213078" w:rsidRDefault="00953499" w:rsidP="00953499">
      <w:pPr>
        <w:spacing w:before="0"/>
        <w:ind w:left="2160"/>
        <w:rPr>
          <w:rFonts w:eastAsia="MS Mincho" w:cs="Arial"/>
          <w:b/>
          <w:sz w:val="32"/>
          <w:lang w:eastAsia="en-US"/>
        </w:rPr>
      </w:pPr>
      <w:r w:rsidRPr="00213078">
        <w:rPr>
          <w:rFonts w:eastAsia="MS Mincho" w:cs="Arial"/>
          <w:b/>
          <w:sz w:val="32"/>
          <w:lang w:eastAsia="en-US"/>
        </w:rPr>
        <w:t>A</w:t>
      </w:r>
      <w:r w:rsidR="00296AED" w:rsidRPr="00213078">
        <w:rPr>
          <w:rFonts w:eastAsia="MS Mincho" w:cs="Arial"/>
          <w:b/>
          <w:sz w:val="32"/>
          <w:lang w:eastAsia="en-US"/>
        </w:rPr>
        <w:t>.1. Background</w:t>
      </w:r>
    </w:p>
    <w:p w14:paraId="06B4715B" w14:textId="77777777" w:rsidR="00296AED" w:rsidRPr="00213078" w:rsidRDefault="00296AED" w:rsidP="00953499">
      <w:pPr>
        <w:widowControl w:val="0"/>
        <w:autoSpaceDE w:val="0"/>
        <w:autoSpaceDN w:val="0"/>
        <w:adjustRightInd w:val="0"/>
        <w:spacing w:before="0"/>
        <w:ind w:left="2160"/>
        <w:rPr>
          <w:rFonts w:eastAsia="MS Mincho" w:cs="Arial"/>
          <w:lang w:eastAsia="en-US"/>
        </w:rPr>
      </w:pPr>
    </w:p>
    <w:p w14:paraId="06B4715C" w14:textId="77777777"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lang w:eastAsia="en-US"/>
        </w:rPr>
        <w:t>The HM Treasury Green Book stipulates cost-benefit analysis (CBA) for the evaluation of public policies. The welfare economic theory of valuation that underpins CBA was developed by John Hicks and colleagues (Hicks and Allen, 1934). This states that the value of a good or service is subjective and should reflect the utility that people derive from it, where utility refers to the notion of underlying welfare or wellbeing. In other words, a monetary value should reflect the change in an individual’s utility or wellbeing due to experiencing or consuming the good. In technical terms, value is measured as compensating surplus or equivalent surplus</w:t>
      </w:r>
      <w:r w:rsidRPr="00213078">
        <w:rPr>
          <w:rFonts w:eastAsia="MS Mincho" w:cs="Arial"/>
          <w:vertAlign w:val="superscript"/>
          <w:lang w:val="en-US" w:eastAsia="en-US"/>
        </w:rPr>
        <w:footnoteReference w:id="2"/>
      </w:r>
      <w:r w:rsidRPr="00213078">
        <w:rPr>
          <w:rFonts w:eastAsia="MS Mincho" w:cs="Arial"/>
          <w:lang w:eastAsia="en-US"/>
        </w:rPr>
        <w:t>.</w:t>
      </w:r>
    </w:p>
    <w:p w14:paraId="06B4715D" w14:textId="77777777" w:rsidR="00296AED" w:rsidRPr="00213078" w:rsidRDefault="00296AED" w:rsidP="00953499">
      <w:pPr>
        <w:widowControl w:val="0"/>
        <w:autoSpaceDE w:val="0"/>
        <w:autoSpaceDN w:val="0"/>
        <w:adjustRightInd w:val="0"/>
        <w:spacing w:before="0"/>
        <w:ind w:left="2160"/>
        <w:rPr>
          <w:rFonts w:eastAsia="MS Mincho" w:cs="Arial"/>
          <w:lang w:eastAsia="en-US"/>
        </w:rPr>
      </w:pPr>
    </w:p>
    <w:p w14:paraId="06B4715E" w14:textId="77777777" w:rsidR="00296AED" w:rsidRPr="00213078" w:rsidRDefault="00296AED" w:rsidP="00953499">
      <w:pPr>
        <w:spacing w:before="0"/>
        <w:ind w:left="2160"/>
        <w:rPr>
          <w:rFonts w:eastAsia="MS Mincho" w:cs="Arial"/>
          <w:lang w:eastAsia="en-US"/>
        </w:rPr>
      </w:pPr>
      <w:r w:rsidRPr="00213078">
        <w:rPr>
          <w:rFonts w:eastAsia="MS Mincho" w:cs="Arial"/>
          <w:b/>
          <w:lang w:eastAsia="en-US"/>
        </w:rPr>
        <w:t xml:space="preserve">Compensating surplus </w:t>
      </w:r>
      <w:r w:rsidRPr="00213078">
        <w:rPr>
          <w:rFonts w:eastAsia="MS Mincho" w:cs="Arial"/>
          <w:lang w:eastAsia="en-US"/>
        </w:rPr>
        <w:t>(</w:t>
      </w:r>
      <w:r w:rsidRPr="00213078">
        <w:rPr>
          <w:rFonts w:eastAsia="MS Mincho" w:cs="Arial"/>
          <w:b/>
          <w:lang w:eastAsia="en-US"/>
        </w:rPr>
        <w:t>CS</w:t>
      </w:r>
      <w:r w:rsidRPr="00213078">
        <w:rPr>
          <w:rFonts w:eastAsia="MS Mincho" w:cs="Arial"/>
          <w:lang w:eastAsia="en-US"/>
        </w:rPr>
        <w:t xml:space="preserve">) is the amount of money, paid or received, that will leave the agent in his </w:t>
      </w:r>
      <w:r w:rsidRPr="00213078">
        <w:rPr>
          <w:rFonts w:eastAsia="MS Mincho" w:cs="Arial"/>
          <w:u w:val="single"/>
          <w:lang w:eastAsia="en-US"/>
        </w:rPr>
        <w:t>initial</w:t>
      </w:r>
      <w:r w:rsidRPr="00213078">
        <w:rPr>
          <w:rFonts w:eastAsia="MS Mincho" w:cs="Arial"/>
          <w:lang w:eastAsia="en-US"/>
        </w:rPr>
        <w:t xml:space="preserve"> welfare position </w:t>
      </w:r>
      <w:r w:rsidRPr="00213078">
        <w:rPr>
          <w:rFonts w:eastAsia="MS Mincho" w:cs="Arial"/>
          <w:u w:val="single"/>
          <w:lang w:eastAsia="en-US"/>
        </w:rPr>
        <w:t>following</w:t>
      </w:r>
      <w:r w:rsidRPr="00213078">
        <w:rPr>
          <w:rFonts w:eastAsia="MS Mincho" w:cs="Arial"/>
          <w:lang w:eastAsia="en-US"/>
        </w:rPr>
        <w:t xml:space="preserve"> a change in the (level of a) good</w:t>
      </w:r>
      <w:r w:rsidRPr="00213078">
        <w:rPr>
          <w:rFonts w:eastAsia="MS Mincho" w:cs="Arial"/>
          <w:vertAlign w:val="superscript"/>
          <w:lang w:val="en-US" w:eastAsia="en-US"/>
        </w:rPr>
        <w:footnoteReference w:id="3"/>
      </w:r>
      <w:r w:rsidRPr="00213078">
        <w:rPr>
          <w:rFonts w:eastAsia="MS Mincho" w:cs="Arial"/>
          <w:lang w:eastAsia="en-US"/>
        </w:rPr>
        <w:t xml:space="preserve">. </w:t>
      </w:r>
    </w:p>
    <w:p w14:paraId="06B4715F" w14:textId="77777777" w:rsidR="00296AED" w:rsidRPr="00213078" w:rsidRDefault="00296AED" w:rsidP="00953499">
      <w:pPr>
        <w:spacing w:before="0"/>
        <w:ind w:left="2160"/>
        <w:rPr>
          <w:rFonts w:eastAsia="MS Mincho" w:cs="Arial"/>
          <w:lang w:eastAsia="en-US"/>
        </w:rPr>
      </w:pPr>
    </w:p>
    <w:p w14:paraId="06B47160" w14:textId="77777777" w:rsidR="00296AED" w:rsidRPr="00213078" w:rsidRDefault="00296AED" w:rsidP="00953499">
      <w:pPr>
        <w:spacing w:before="0"/>
        <w:ind w:left="2160"/>
        <w:rPr>
          <w:rFonts w:eastAsia="MS Mincho" w:cs="Arial"/>
          <w:lang w:eastAsia="en-US"/>
        </w:rPr>
      </w:pPr>
      <w:r w:rsidRPr="00213078">
        <w:rPr>
          <w:rFonts w:eastAsia="MS Mincho" w:cs="Arial"/>
          <w:b/>
          <w:lang w:eastAsia="en-US"/>
        </w:rPr>
        <w:t>Equivalent Surplus</w:t>
      </w:r>
      <w:r w:rsidRPr="00213078">
        <w:rPr>
          <w:rFonts w:eastAsia="MS Mincho" w:cs="Arial"/>
          <w:lang w:eastAsia="en-US"/>
        </w:rPr>
        <w:t xml:space="preserve"> (</w:t>
      </w:r>
      <w:r w:rsidRPr="00213078">
        <w:rPr>
          <w:rFonts w:eastAsia="MS Mincho" w:cs="Arial"/>
          <w:b/>
          <w:lang w:eastAsia="en-US"/>
        </w:rPr>
        <w:t>ES</w:t>
      </w:r>
      <w:r w:rsidRPr="00213078">
        <w:rPr>
          <w:rFonts w:eastAsia="MS Mincho" w:cs="Arial"/>
          <w:lang w:eastAsia="en-US"/>
        </w:rPr>
        <w:t xml:space="preserve">) is the amount of money, to be paid or received, that will leave the agent in his </w:t>
      </w:r>
      <w:r w:rsidRPr="00213078">
        <w:rPr>
          <w:rFonts w:eastAsia="MS Mincho" w:cs="Arial"/>
          <w:u w:val="single"/>
          <w:lang w:eastAsia="en-US"/>
        </w:rPr>
        <w:t xml:space="preserve">subsequent </w:t>
      </w:r>
      <w:r w:rsidRPr="00213078">
        <w:rPr>
          <w:rFonts w:eastAsia="MS Mincho" w:cs="Arial"/>
          <w:lang w:eastAsia="en-US"/>
        </w:rPr>
        <w:t>welfare position in</w:t>
      </w:r>
      <w:r w:rsidRPr="00213078">
        <w:rPr>
          <w:rFonts w:eastAsia="MS Mincho" w:cs="Arial"/>
          <w:u w:val="single"/>
          <w:lang w:eastAsia="en-US"/>
        </w:rPr>
        <w:t xml:space="preserve"> absence</w:t>
      </w:r>
      <w:r w:rsidRPr="00213078">
        <w:rPr>
          <w:rFonts w:eastAsia="MS Mincho" w:cs="Arial"/>
          <w:lang w:eastAsia="en-US"/>
        </w:rPr>
        <w:t xml:space="preserve"> of a change in the (level of a) good. </w:t>
      </w:r>
    </w:p>
    <w:p w14:paraId="06B47161" w14:textId="77777777" w:rsidR="00296AED" w:rsidRPr="00213078" w:rsidRDefault="00296AED" w:rsidP="00953499">
      <w:pPr>
        <w:spacing w:before="0"/>
        <w:ind w:left="2160"/>
        <w:rPr>
          <w:rFonts w:eastAsia="MS Mincho" w:cs="Arial"/>
          <w:lang w:eastAsia="en-US"/>
        </w:rPr>
      </w:pPr>
    </w:p>
    <w:p w14:paraId="06B47162" w14:textId="77777777"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lang w:eastAsia="en-US"/>
        </w:rPr>
        <w:t xml:space="preserve">Traditionally, economists have sought to measure CS and ES by equating the satisfaction of preference with welfare. In order to estimate value where markets exist, economists have traced out demand curves for a good or used proxy markets where direct markets do not exist – for example the use of house prices to infer the value of environmental goods or amenities, such as good schools. These are known as </w:t>
      </w:r>
      <w:r w:rsidRPr="00213078">
        <w:rPr>
          <w:rFonts w:eastAsia="MS Mincho" w:cs="Arial"/>
          <w:b/>
          <w:lang w:eastAsia="en-US"/>
        </w:rPr>
        <w:t>revealed preference valuation methods</w:t>
      </w:r>
      <w:r w:rsidRPr="00213078">
        <w:rPr>
          <w:rFonts w:eastAsia="MS Mincho" w:cs="Arial"/>
          <w:lang w:eastAsia="en-US"/>
        </w:rPr>
        <w:t xml:space="preserve">. These markets do not always exist, however, and, even if they do, they may not work perfectly. </w:t>
      </w:r>
    </w:p>
    <w:p w14:paraId="06B47163" w14:textId="77777777" w:rsidR="00296AED" w:rsidRPr="00213078" w:rsidRDefault="00296AED" w:rsidP="00953499">
      <w:pPr>
        <w:widowControl w:val="0"/>
        <w:autoSpaceDE w:val="0"/>
        <w:autoSpaceDN w:val="0"/>
        <w:adjustRightInd w:val="0"/>
        <w:spacing w:before="0"/>
        <w:ind w:left="2160"/>
        <w:rPr>
          <w:rFonts w:eastAsia="MS Mincho" w:cs="Arial"/>
          <w:lang w:eastAsia="en-US"/>
        </w:rPr>
      </w:pPr>
    </w:p>
    <w:p w14:paraId="06B47164" w14:textId="77777777"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lang w:eastAsia="en-US"/>
        </w:rPr>
        <w:t xml:space="preserve">Economists have therefore further developed procedures to measure CS and ES by eliciting hypothetical choices in what is known as </w:t>
      </w:r>
      <w:r w:rsidRPr="00213078">
        <w:rPr>
          <w:rFonts w:eastAsia="MS Mincho" w:cs="Arial"/>
          <w:b/>
          <w:lang w:eastAsia="en-US"/>
        </w:rPr>
        <w:t>stated preference valuation</w:t>
      </w:r>
      <w:r w:rsidRPr="00213078">
        <w:rPr>
          <w:rFonts w:eastAsia="MS Mincho" w:cs="Arial"/>
          <w:lang w:eastAsia="en-US"/>
        </w:rPr>
        <w:t xml:space="preserve">. Contingent valuation is a frequently used stated preference method to value non-market goods, especially in the context of environmental litigation where suitable markets often do not exist. The </w:t>
      </w:r>
      <w:r w:rsidRPr="00213078">
        <w:rPr>
          <w:rFonts w:eastAsia="MS Mincho" w:cs="Arial"/>
          <w:lang w:eastAsia="en-US"/>
        </w:rPr>
        <w:lastRenderedPageBreak/>
        <w:t xml:space="preserve">method involves surveys in which respondents are asked how much they would pay for a given benefit. </w:t>
      </w:r>
    </w:p>
    <w:p w14:paraId="06B47165" w14:textId="77777777" w:rsidR="00296AED" w:rsidRPr="00213078" w:rsidRDefault="00296AED" w:rsidP="00953499">
      <w:pPr>
        <w:widowControl w:val="0"/>
        <w:autoSpaceDE w:val="0"/>
        <w:autoSpaceDN w:val="0"/>
        <w:adjustRightInd w:val="0"/>
        <w:spacing w:before="0"/>
        <w:ind w:left="2160"/>
        <w:rPr>
          <w:rFonts w:eastAsia="MS Mincho" w:cs="Arial"/>
          <w:lang w:eastAsia="en-US"/>
        </w:rPr>
      </w:pPr>
    </w:p>
    <w:p w14:paraId="06B47166" w14:textId="77777777"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lang w:eastAsia="en-US"/>
        </w:rPr>
        <w:t>Preference based valuation methods aim to measure people’s willingness to pay (WTP) for a beneficial outcome or willingness to accept (WTA) a negative outcome and WTP and WTA can be linked back to CS and ES as follows:</w:t>
      </w:r>
    </w:p>
    <w:p w14:paraId="06B47167" w14:textId="77777777" w:rsidR="00296AED" w:rsidRPr="00296AED" w:rsidRDefault="00296AED" w:rsidP="00953499">
      <w:pPr>
        <w:widowControl w:val="0"/>
        <w:autoSpaceDE w:val="0"/>
        <w:autoSpaceDN w:val="0"/>
        <w:adjustRightInd w:val="0"/>
        <w:spacing w:before="0"/>
        <w:ind w:left="2160"/>
        <w:rPr>
          <w:rFonts w:ascii="Calibri" w:eastAsia="MS Mincho" w:hAnsi="Calibri" w:cs="Calibri"/>
          <w:lang w:eastAsia="en-US"/>
        </w:rPr>
      </w:pPr>
    </w:p>
    <w:p w14:paraId="06B47168" w14:textId="77777777" w:rsidR="00296AED" w:rsidRPr="00296AED" w:rsidRDefault="00296AED" w:rsidP="00953499">
      <w:pPr>
        <w:spacing w:before="0"/>
        <w:ind w:left="2160"/>
        <w:rPr>
          <w:rFonts w:ascii="Calibri" w:eastAsia="MS Mincho" w:hAnsi="Calibri" w:cs="Calibri"/>
          <w:b/>
          <w:lang w:eastAsia="en-US"/>
        </w:rPr>
      </w:pPr>
    </w:p>
    <w:p w14:paraId="06B47169" w14:textId="77777777" w:rsidR="00296AED" w:rsidRPr="00213078" w:rsidRDefault="00296AED" w:rsidP="00953499">
      <w:pPr>
        <w:spacing w:before="0"/>
        <w:ind w:left="2160"/>
        <w:rPr>
          <w:rFonts w:eastAsia="MS Mincho" w:cs="Arial"/>
          <w:b/>
          <w:lang w:eastAsia="en-US"/>
        </w:rPr>
      </w:pPr>
      <w:r w:rsidRPr="00213078">
        <w:rPr>
          <w:rFonts w:eastAsia="MS Mincho" w:cs="Arial"/>
          <w:b/>
          <w:lang w:eastAsia="en-US"/>
        </w:rPr>
        <w:t>Table 1. The relationship between Equivalent Surplus, Compensating Surplus, WTP and WTA</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3060"/>
      </w:tblGrid>
      <w:tr w:rsidR="00296AED" w:rsidRPr="00296AED" w14:paraId="06B4716D" w14:textId="77777777" w:rsidTr="00953499">
        <w:tc>
          <w:tcPr>
            <w:tcW w:w="1368" w:type="dxa"/>
            <w:shd w:val="clear" w:color="auto" w:fill="auto"/>
          </w:tcPr>
          <w:p w14:paraId="06B4716A" w14:textId="77777777" w:rsidR="00296AED" w:rsidRPr="00296AED" w:rsidRDefault="00296AED" w:rsidP="00296AED">
            <w:pPr>
              <w:spacing w:before="0"/>
              <w:ind w:left="0"/>
              <w:rPr>
                <w:rFonts w:ascii="Calibri" w:eastAsia="MS Mincho" w:hAnsi="Calibri" w:cs="Calibri"/>
                <w:sz w:val="20"/>
                <w:szCs w:val="20"/>
                <w:lang w:eastAsia="en-US"/>
              </w:rPr>
            </w:pPr>
          </w:p>
        </w:tc>
        <w:tc>
          <w:tcPr>
            <w:tcW w:w="2880" w:type="dxa"/>
            <w:shd w:val="clear" w:color="auto" w:fill="auto"/>
          </w:tcPr>
          <w:p w14:paraId="06B4716B" w14:textId="77777777" w:rsidR="00296AED" w:rsidRPr="00296AED" w:rsidRDefault="00296AED" w:rsidP="00296AED">
            <w:pPr>
              <w:spacing w:before="0"/>
              <w:ind w:left="0"/>
              <w:jc w:val="center"/>
              <w:rPr>
                <w:rFonts w:ascii="Calibri" w:eastAsia="MS Mincho" w:hAnsi="Calibri" w:cs="Calibri"/>
                <w:b/>
                <w:sz w:val="20"/>
                <w:szCs w:val="20"/>
                <w:lang w:eastAsia="en-US"/>
              </w:rPr>
            </w:pPr>
            <w:r w:rsidRPr="00296AED">
              <w:rPr>
                <w:rFonts w:ascii="Calibri" w:eastAsia="MS Mincho" w:hAnsi="Calibri" w:cs="Calibri"/>
                <w:b/>
                <w:sz w:val="20"/>
                <w:szCs w:val="20"/>
                <w:lang w:eastAsia="en-US"/>
              </w:rPr>
              <w:t>Compensating Surplus</w:t>
            </w:r>
          </w:p>
        </w:tc>
        <w:tc>
          <w:tcPr>
            <w:tcW w:w="3060" w:type="dxa"/>
            <w:shd w:val="clear" w:color="auto" w:fill="auto"/>
          </w:tcPr>
          <w:p w14:paraId="06B4716C" w14:textId="77777777" w:rsidR="00296AED" w:rsidRPr="00296AED" w:rsidRDefault="00296AED" w:rsidP="00296AED">
            <w:pPr>
              <w:spacing w:before="0"/>
              <w:ind w:left="0"/>
              <w:jc w:val="center"/>
              <w:rPr>
                <w:rFonts w:ascii="Calibri" w:eastAsia="MS Mincho" w:hAnsi="Calibri" w:cs="Calibri"/>
                <w:b/>
                <w:sz w:val="20"/>
                <w:szCs w:val="20"/>
                <w:lang w:eastAsia="en-US"/>
              </w:rPr>
            </w:pPr>
            <w:r w:rsidRPr="00296AED">
              <w:rPr>
                <w:rFonts w:ascii="Calibri" w:eastAsia="MS Mincho" w:hAnsi="Calibri" w:cs="Calibri"/>
                <w:b/>
                <w:sz w:val="20"/>
                <w:szCs w:val="20"/>
                <w:lang w:eastAsia="en-US"/>
              </w:rPr>
              <w:t>Equivalent Surplus</w:t>
            </w:r>
          </w:p>
        </w:tc>
      </w:tr>
      <w:tr w:rsidR="00296AED" w:rsidRPr="00296AED" w14:paraId="06B47176" w14:textId="77777777" w:rsidTr="00953499">
        <w:tc>
          <w:tcPr>
            <w:tcW w:w="1368" w:type="dxa"/>
            <w:shd w:val="clear" w:color="auto" w:fill="auto"/>
          </w:tcPr>
          <w:p w14:paraId="06B4716E" w14:textId="77777777" w:rsidR="00296AED" w:rsidRPr="00296AED" w:rsidRDefault="00296AED" w:rsidP="00296AED">
            <w:pPr>
              <w:spacing w:before="0"/>
              <w:ind w:left="0"/>
              <w:jc w:val="center"/>
              <w:rPr>
                <w:rFonts w:ascii="Calibri" w:eastAsia="MS Mincho" w:hAnsi="Calibri" w:cs="Calibri"/>
                <w:b/>
                <w:sz w:val="20"/>
                <w:szCs w:val="20"/>
                <w:lang w:eastAsia="en-US"/>
              </w:rPr>
            </w:pPr>
          </w:p>
          <w:p w14:paraId="06B4716F" w14:textId="77777777" w:rsidR="00296AED" w:rsidRPr="00296AED" w:rsidRDefault="00296AED" w:rsidP="00296AED">
            <w:pPr>
              <w:spacing w:before="0"/>
              <w:ind w:left="0"/>
              <w:jc w:val="center"/>
              <w:rPr>
                <w:rFonts w:ascii="Calibri" w:eastAsia="MS Mincho" w:hAnsi="Calibri" w:cs="Calibri"/>
                <w:b/>
                <w:sz w:val="20"/>
                <w:szCs w:val="20"/>
                <w:lang w:eastAsia="en-US"/>
              </w:rPr>
            </w:pPr>
            <w:r w:rsidRPr="00296AED">
              <w:rPr>
                <w:rFonts w:ascii="Calibri" w:eastAsia="MS Mincho" w:hAnsi="Calibri" w:cs="Calibri"/>
                <w:b/>
                <w:sz w:val="20"/>
                <w:szCs w:val="20"/>
                <w:lang w:eastAsia="en-US"/>
              </w:rPr>
              <w:t>Welfare gain</w:t>
            </w:r>
          </w:p>
        </w:tc>
        <w:tc>
          <w:tcPr>
            <w:tcW w:w="2880" w:type="dxa"/>
            <w:shd w:val="clear" w:color="auto" w:fill="auto"/>
          </w:tcPr>
          <w:p w14:paraId="06B47170" w14:textId="77777777" w:rsidR="00296AED" w:rsidRPr="00296AED" w:rsidRDefault="00296AED" w:rsidP="00296AED">
            <w:pPr>
              <w:spacing w:before="0"/>
              <w:ind w:left="0"/>
              <w:jc w:val="center"/>
              <w:rPr>
                <w:rFonts w:ascii="Calibri" w:eastAsia="MS Mincho" w:hAnsi="Calibri" w:cs="Calibri"/>
                <w:sz w:val="20"/>
                <w:szCs w:val="20"/>
                <w:lang w:eastAsia="en-US"/>
              </w:rPr>
            </w:pPr>
          </w:p>
          <w:p w14:paraId="06B47171" w14:textId="77777777" w:rsidR="00296AED" w:rsidRPr="00296AED" w:rsidRDefault="00296AED" w:rsidP="00296AED">
            <w:pPr>
              <w:spacing w:before="0"/>
              <w:ind w:left="0"/>
              <w:jc w:val="center"/>
              <w:rPr>
                <w:rFonts w:ascii="Calibri" w:eastAsia="MS Mincho" w:hAnsi="Calibri" w:cs="Calibri"/>
                <w:i/>
                <w:sz w:val="20"/>
                <w:szCs w:val="20"/>
                <w:lang w:eastAsia="en-US"/>
              </w:rPr>
            </w:pPr>
            <w:r w:rsidRPr="00296AED">
              <w:rPr>
                <w:rFonts w:ascii="Calibri" w:eastAsia="MS Mincho" w:hAnsi="Calibri" w:cs="Calibri"/>
                <w:i/>
                <w:sz w:val="20"/>
                <w:szCs w:val="20"/>
                <w:lang w:eastAsia="en-US"/>
              </w:rPr>
              <w:t>WTP for the positive change</w:t>
            </w:r>
          </w:p>
          <w:p w14:paraId="06B47172" w14:textId="77777777" w:rsidR="00296AED" w:rsidRPr="00296AED" w:rsidRDefault="00296AED" w:rsidP="00296AED">
            <w:pPr>
              <w:spacing w:before="0"/>
              <w:ind w:left="0"/>
              <w:jc w:val="center"/>
              <w:rPr>
                <w:rFonts w:ascii="Calibri" w:eastAsia="MS Mincho" w:hAnsi="Calibri" w:cs="Calibri"/>
                <w:i/>
                <w:sz w:val="20"/>
                <w:szCs w:val="20"/>
                <w:lang w:eastAsia="en-US"/>
              </w:rPr>
            </w:pPr>
          </w:p>
        </w:tc>
        <w:tc>
          <w:tcPr>
            <w:tcW w:w="3060" w:type="dxa"/>
            <w:shd w:val="clear" w:color="auto" w:fill="auto"/>
          </w:tcPr>
          <w:p w14:paraId="06B47173" w14:textId="77777777" w:rsidR="00296AED" w:rsidRPr="00296AED" w:rsidRDefault="00296AED" w:rsidP="00296AED">
            <w:pPr>
              <w:spacing w:before="0"/>
              <w:ind w:left="0"/>
              <w:jc w:val="center"/>
              <w:rPr>
                <w:rFonts w:ascii="Calibri" w:eastAsia="MS Mincho" w:hAnsi="Calibri" w:cs="Calibri"/>
                <w:sz w:val="20"/>
                <w:szCs w:val="20"/>
                <w:lang w:eastAsia="en-US"/>
              </w:rPr>
            </w:pPr>
          </w:p>
          <w:p w14:paraId="06B47174" w14:textId="77777777" w:rsidR="00296AED" w:rsidRPr="00296AED" w:rsidRDefault="00296AED" w:rsidP="00296AED">
            <w:pPr>
              <w:spacing w:before="0"/>
              <w:ind w:left="0"/>
              <w:jc w:val="center"/>
              <w:rPr>
                <w:rFonts w:ascii="Calibri" w:eastAsia="MS Mincho" w:hAnsi="Calibri" w:cs="Calibri"/>
                <w:i/>
                <w:sz w:val="20"/>
                <w:szCs w:val="20"/>
                <w:lang w:eastAsia="en-US"/>
              </w:rPr>
            </w:pPr>
            <w:r w:rsidRPr="00296AED">
              <w:rPr>
                <w:rFonts w:ascii="Calibri" w:eastAsia="MS Mincho" w:hAnsi="Calibri" w:cs="Calibri"/>
                <w:i/>
                <w:sz w:val="20"/>
                <w:szCs w:val="20"/>
                <w:lang w:eastAsia="en-US"/>
              </w:rPr>
              <w:t>WTA to forego the positive change</w:t>
            </w:r>
          </w:p>
          <w:p w14:paraId="06B47175" w14:textId="77777777" w:rsidR="00296AED" w:rsidRPr="00296AED" w:rsidRDefault="00296AED" w:rsidP="00296AED">
            <w:pPr>
              <w:spacing w:before="0"/>
              <w:ind w:left="0"/>
              <w:jc w:val="center"/>
              <w:rPr>
                <w:rFonts w:ascii="Calibri" w:eastAsia="MS Mincho" w:hAnsi="Calibri" w:cs="Calibri"/>
                <w:i/>
                <w:sz w:val="20"/>
                <w:szCs w:val="20"/>
                <w:lang w:eastAsia="en-US"/>
              </w:rPr>
            </w:pPr>
          </w:p>
        </w:tc>
      </w:tr>
      <w:tr w:rsidR="00296AED" w:rsidRPr="00296AED" w14:paraId="06B4717E" w14:textId="77777777" w:rsidTr="00953499">
        <w:tc>
          <w:tcPr>
            <w:tcW w:w="1368" w:type="dxa"/>
            <w:shd w:val="clear" w:color="auto" w:fill="auto"/>
          </w:tcPr>
          <w:p w14:paraId="06B47177" w14:textId="77777777" w:rsidR="00296AED" w:rsidRPr="00296AED" w:rsidRDefault="00296AED" w:rsidP="00296AED">
            <w:pPr>
              <w:spacing w:before="0"/>
              <w:ind w:left="0"/>
              <w:jc w:val="center"/>
              <w:rPr>
                <w:rFonts w:ascii="Calibri" w:eastAsia="MS Mincho" w:hAnsi="Calibri" w:cs="Calibri"/>
                <w:b/>
                <w:sz w:val="20"/>
                <w:szCs w:val="20"/>
                <w:lang w:eastAsia="en-US"/>
              </w:rPr>
            </w:pPr>
          </w:p>
          <w:p w14:paraId="06B47178" w14:textId="77777777" w:rsidR="00296AED" w:rsidRPr="00296AED" w:rsidRDefault="00296AED" w:rsidP="00296AED">
            <w:pPr>
              <w:spacing w:before="0"/>
              <w:ind w:left="0"/>
              <w:jc w:val="center"/>
              <w:rPr>
                <w:rFonts w:ascii="Calibri" w:eastAsia="MS Mincho" w:hAnsi="Calibri" w:cs="Calibri"/>
                <w:b/>
                <w:sz w:val="20"/>
                <w:szCs w:val="20"/>
                <w:lang w:eastAsia="en-US"/>
              </w:rPr>
            </w:pPr>
            <w:r w:rsidRPr="00296AED">
              <w:rPr>
                <w:rFonts w:ascii="Calibri" w:eastAsia="MS Mincho" w:hAnsi="Calibri" w:cs="Calibri"/>
                <w:b/>
                <w:sz w:val="20"/>
                <w:szCs w:val="20"/>
                <w:lang w:eastAsia="en-US"/>
              </w:rPr>
              <w:t>Welfare loss</w:t>
            </w:r>
          </w:p>
        </w:tc>
        <w:tc>
          <w:tcPr>
            <w:tcW w:w="2880" w:type="dxa"/>
            <w:shd w:val="clear" w:color="auto" w:fill="auto"/>
          </w:tcPr>
          <w:p w14:paraId="06B47179" w14:textId="77777777" w:rsidR="00296AED" w:rsidRPr="00296AED" w:rsidRDefault="00296AED" w:rsidP="00296AED">
            <w:pPr>
              <w:spacing w:before="0"/>
              <w:ind w:left="0"/>
              <w:jc w:val="center"/>
              <w:rPr>
                <w:rFonts w:ascii="Calibri" w:eastAsia="MS Mincho" w:hAnsi="Calibri" w:cs="Calibri"/>
                <w:sz w:val="20"/>
                <w:szCs w:val="20"/>
                <w:lang w:eastAsia="en-US"/>
              </w:rPr>
            </w:pPr>
          </w:p>
          <w:p w14:paraId="06B4717A" w14:textId="77777777" w:rsidR="00296AED" w:rsidRPr="00296AED" w:rsidRDefault="00296AED" w:rsidP="00296AED">
            <w:pPr>
              <w:spacing w:before="0"/>
              <w:ind w:left="0"/>
              <w:jc w:val="center"/>
              <w:rPr>
                <w:rFonts w:ascii="Calibri" w:eastAsia="MS Mincho" w:hAnsi="Calibri" w:cs="Calibri"/>
                <w:i/>
                <w:sz w:val="20"/>
                <w:szCs w:val="20"/>
                <w:lang w:eastAsia="en-US"/>
              </w:rPr>
            </w:pPr>
            <w:r w:rsidRPr="00296AED">
              <w:rPr>
                <w:rFonts w:ascii="Calibri" w:eastAsia="MS Mincho" w:hAnsi="Calibri" w:cs="Calibri"/>
                <w:i/>
                <w:sz w:val="20"/>
                <w:szCs w:val="20"/>
                <w:lang w:eastAsia="en-US"/>
              </w:rPr>
              <w:t>WTA the negative change</w:t>
            </w:r>
          </w:p>
          <w:p w14:paraId="06B4717B" w14:textId="77777777" w:rsidR="00296AED" w:rsidRPr="00296AED" w:rsidRDefault="00296AED" w:rsidP="00296AED">
            <w:pPr>
              <w:spacing w:before="0"/>
              <w:ind w:left="0"/>
              <w:jc w:val="center"/>
              <w:rPr>
                <w:rFonts w:ascii="Calibri" w:eastAsia="MS Mincho" w:hAnsi="Calibri" w:cs="Calibri"/>
                <w:i/>
                <w:sz w:val="20"/>
                <w:szCs w:val="20"/>
                <w:lang w:eastAsia="en-US"/>
              </w:rPr>
            </w:pPr>
          </w:p>
        </w:tc>
        <w:tc>
          <w:tcPr>
            <w:tcW w:w="3060" w:type="dxa"/>
            <w:shd w:val="clear" w:color="auto" w:fill="auto"/>
          </w:tcPr>
          <w:p w14:paraId="06B4717C" w14:textId="77777777" w:rsidR="00296AED" w:rsidRPr="00296AED" w:rsidRDefault="00296AED" w:rsidP="00296AED">
            <w:pPr>
              <w:spacing w:before="0"/>
              <w:ind w:left="0"/>
              <w:jc w:val="center"/>
              <w:rPr>
                <w:rFonts w:ascii="Calibri" w:eastAsia="MS Mincho" w:hAnsi="Calibri" w:cs="Calibri"/>
                <w:sz w:val="20"/>
                <w:szCs w:val="20"/>
                <w:lang w:eastAsia="en-US"/>
              </w:rPr>
            </w:pPr>
          </w:p>
          <w:p w14:paraId="06B4717D" w14:textId="77777777" w:rsidR="00296AED" w:rsidRPr="00296AED" w:rsidRDefault="00296AED" w:rsidP="00296AED">
            <w:pPr>
              <w:spacing w:before="0"/>
              <w:ind w:left="0"/>
              <w:jc w:val="center"/>
              <w:rPr>
                <w:rFonts w:ascii="Calibri" w:eastAsia="MS Mincho" w:hAnsi="Calibri" w:cs="Calibri"/>
                <w:i/>
                <w:sz w:val="20"/>
                <w:szCs w:val="20"/>
                <w:lang w:eastAsia="en-US"/>
              </w:rPr>
            </w:pPr>
            <w:r w:rsidRPr="00296AED">
              <w:rPr>
                <w:rFonts w:ascii="Calibri" w:eastAsia="MS Mincho" w:hAnsi="Calibri" w:cs="Calibri"/>
                <w:i/>
                <w:sz w:val="20"/>
                <w:szCs w:val="20"/>
                <w:lang w:eastAsia="en-US"/>
              </w:rPr>
              <w:t>WTP to avoid the negative change</w:t>
            </w:r>
          </w:p>
        </w:tc>
      </w:tr>
    </w:tbl>
    <w:p w14:paraId="06B4717F" w14:textId="77777777" w:rsidR="00296AED" w:rsidRPr="00296AED" w:rsidRDefault="00296AED" w:rsidP="00953499">
      <w:pPr>
        <w:widowControl w:val="0"/>
        <w:autoSpaceDE w:val="0"/>
        <w:autoSpaceDN w:val="0"/>
        <w:adjustRightInd w:val="0"/>
        <w:spacing w:before="0"/>
        <w:ind w:left="2160"/>
        <w:rPr>
          <w:rFonts w:ascii="Calibri" w:eastAsia="MS Mincho" w:hAnsi="Calibri" w:cs="Calibri"/>
          <w:lang w:eastAsia="en-US"/>
        </w:rPr>
      </w:pPr>
    </w:p>
    <w:p w14:paraId="06B47180" w14:textId="77777777"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lang w:eastAsia="en-US"/>
        </w:rPr>
        <w:t>Many aspects of engagement in arts, culture and sports will not be traded in markets and hence we will not be able to infer the value that people place on these activities purely from their revealed behaviours. In many cases, we are likely to be reliant on stated preference methods and this methodology has been used with increasing frequency in the arts sector (e.g. Colombino &amp; Nese, 2009). There are, however, many problems with preference-based approaches, not least of which is the assumption that people are able to forecast the impact of changed circumstances on their future lives and welfare – which they rarely can (see Dolan and Kahneman, 2008 and Fujiwara and Campbell, 2011 for in-depth discussions).</w:t>
      </w:r>
    </w:p>
    <w:p w14:paraId="06B47181" w14:textId="77777777" w:rsidR="00296AED" w:rsidRPr="00213078" w:rsidRDefault="00296AED" w:rsidP="00953499">
      <w:pPr>
        <w:widowControl w:val="0"/>
        <w:autoSpaceDE w:val="0"/>
        <w:autoSpaceDN w:val="0"/>
        <w:adjustRightInd w:val="0"/>
        <w:spacing w:before="0"/>
        <w:ind w:left="2160"/>
        <w:rPr>
          <w:rFonts w:eastAsia="MS Mincho" w:cs="Arial"/>
          <w:b/>
          <w:lang w:eastAsia="en-US"/>
        </w:rPr>
      </w:pPr>
    </w:p>
    <w:p w14:paraId="06B47182" w14:textId="77777777"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lang w:eastAsia="en-US"/>
        </w:rPr>
        <w:t xml:space="preserve">In this study, we use a relatively new method for non-market valuation: the </w:t>
      </w:r>
      <w:r w:rsidRPr="00213078">
        <w:rPr>
          <w:rFonts w:eastAsia="MS Mincho" w:cs="Arial"/>
          <w:b/>
          <w:lang w:eastAsia="en-US"/>
        </w:rPr>
        <w:t>Wellbeing Valuation Approach</w:t>
      </w:r>
      <w:r w:rsidRPr="00213078">
        <w:rPr>
          <w:rFonts w:eastAsia="MS Mincho" w:cs="Arial"/>
          <w:lang w:eastAsia="en-US"/>
        </w:rPr>
        <w:t xml:space="preserve">. Rather than relying on preferences to measure welfare, this method uses people’s self-reports of their levels of wellbeing. As we show below, the Wellbeing Valuation (WV) approach can derive estimates of value that are fully consistent with the welfare economic theory of CS and ES and hence it is a valid alternative methodology to preference-based valuation methods. </w:t>
      </w:r>
    </w:p>
    <w:p w14:paraId="06B47183" w14:textId="77777777" w:rsidR="00296AED" w:rsidRPr="00213078" w:rsidRDefault="00296AED" w:rsidP="00953499">
      <w:pPr>
        <w:widowControl w:val="0"/>
        <w:autoSpaceDE w:val="0"/>
        <w:autoSpaceDN w:val="0"/>
        <w:adjustRightInd w:val="0"/>
        <w:spacing w:before="0"/>
        <w:ind w:left="2160"/>
        <w:rPr>
          <w:rFonts w:eastAsia="MS Mincho" w:cs="Arial"/>
          <w:lang w:eastAsia="en-US"/>
        </w:rPr>
      </w:pPr>
    </w:p>
    <w:p w14:paraId="06B47184" w14:textId="77777777"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lang w:eastAsia="en-US"/>
        </w:rPr>
        <w:t>The WV approach has been gaining popularity in the academic literature and is now a recognised methodology in the HM Treasury Green Book (see Fujiwara &amp; Campbell, 2011 and the Green Book update 2011). Here we will assess the extent to which engagement in arts and sports impacts on people’s subjective wellbeing and then place monetary values on these impacts.</w:t>
      </w:r>
    </w:p>
    <w:p w14:paraId="06B47185" w14:textId="77777777" w:rsidR="00296AED" w:rsidRPr="00213078" w:rsidRDefault="00296AED" w:rsidP="00953499">
      <w:pPr>
        <w:widowControl w:val="0"/>
        <w:autoSpaceDE w:val="0"/>
        <w:autoSpaceDN w:val="0"/>
        <w:adjustRightInd w:val="0"/>
        <w:spacing w:before="0"/>
        <w:ind w:left="2160"/>
        <w:rPr>
          <w:rFonts w:eastAsia="MS Mincho" w:cs="Arial"/>
          <w:b/>
          <w:lang w:eastAsia="en-US"/>
        </w:rPr>
      </w:pPr>
    </w:p>
    <w:p w14:paraId="06B47186" w14:textId="77777777" w:rsidR="00296AED" w:rsidRPr="00213078" w:rsidRDefault="00296AED" w:rsidP="00953499">
      <w:pPr>
        <w:widowControl w:val="0"/>
        <w:autoSpaceDE w:val="0"/>
        <w:autoSpaceDN w:val="0"/>
        <w:adjustRightInd w:val="0"/>
        <w:spacing w:before="0"/>
        <w:ind w:left="2160"/>
        <w:rPr>
          <w:rFonts w:eastAsia="MS Mincho" w:cs="Arial"/>
          <w:szCs w:val="32"/>
          <w:lang w:eastAsia="en-US"/>
        </w:rPr>
      </w:pPr>
      <w:r w:rsidRPr="00213078">
        <w:rPr>
          <w:rFonts w:eastAsia="MS Mincho" w:cs="Arial"/>
          <w:szCs w:val="32"/>
          <w:lang w:eastAsia="en-US"/>
        </w:rPr>
        <w:t xml:space="preserve">The WV approach uses measures of subjective wellbeing (SWB), ideally from large national datasets. It is assumed that SWB represents a good proxy for an individual’s welfare (or underlying ‘utility’ in the language of economics). By measuring welfare in this way, and running statistical analysis on the determinants of SWB, we are able to calculate the marginal rates of substitution between money and any other good. In </w:t>
      </w:r>
      <w:r w:rsidRPr="00213078">
        <w:rPr>
          <w:rFonts w:eastAsia="MS Mincho" w:cs="Arial"/>
          <w:szCs w:val="32"/>
          <w:lang w:eastAsia="en-US"/>
        </w:rPr>
        <w:lastRenderedPageBreak/>
        <w:t xml:space="preserve">other words, </w:t>
      </w:r>
      <w:r w:rsidRPr="00213078">
        <w:rPr>
          <w:rFonts w:eastAsia="MS Mincho" w:cs="Arial"/>
          <w:b/>
          <w:szCs w:val="32"/>
          <w:lang w:eastAsia="en-US"/>
        </w:rPr>
        <w:t>we can see how much money would be required to keep SWB constant in absence of the good</w:t>
      </w:r>
      <w:r w:rsidRPr="00213078">
        <w:rPr>
          <w:rFonts w:eastAsia="MS Mincho" w:cs="Arial"/>
          <w:szCs w:val="32"/>
          <w:lang w:eastAsia="en-US"/>
        </w:rPr>
        <w:t xml:space="preserve">, which would equate to CS in this instance. </w:t>
      </w:r>
    </w:p>
    <w:p w14:paraId="06B47187" w14:textId="77777777" w:rsidR="00296AED" w:rsidRPr="00213078" w:rsidRDefault="00296AED" w:rsidP="00953499">
      <w:pPr>
        <w:widowControl w:val="0"/>
        <w:autoSpaceDE w:val="0"/>
        <w:autoSpaceDN w:val="0"/>
        <w:adjustRightInd w:val="0"/>
        <w:spacing w:before="0"/>
        <w:ind w:left="2160"/>
        <w:rPr>
          <w:rFonts w:eastAsia="MS Mincho" w:cs="Arial"/>
          <w:szCs w:val="32"/>
          <w:lang w:eastAsia="en-US"/>
        </w:rPr>
      </w:pPr>
    </w:p>
    <w:p w14:paraId="06B47188" w14:textId="35F31C9F" w:rsidR="00296AED" w:rsidRPr="00213078" w:rsidRDefault="00296AED" w:rsidP="00953499">
      <w:pPr>
        <w:widowControl w:val="0"/>
        <w:autoSpaceDE w:val="0"/>
        <w:autoSpaceDN w:val="0"/>
        <w:adjustRightInd w:val="0"/>
        <w:spacing w:before="0"/>
        <w:ind w:left="2160"/>
        <w:rPr>
          <w:rFonts w:eastAsia="MS Mincho" w:cs="Arial"/>
          <w:szCs w:val="32"/>
          <w:lang w:eastAsia="en-US"/>
        </w:rPr>
      </w:pPr>
      <w:r w:rsidRPr="00213078">
        <w:rPr>
          <w:rFonts w:eastAsia="MS Mincho" w:cs="Arial"/>
          <w:szCs w:val="32"/>
          <w:lang w:eastAsia="en-US"/>
        </w:rPr>
        <w:t>For example, if a 20% reduction in local crime rates increases the SWB of an individual by one index point and an increase in household income of £5,000 per year also increases SWB by one index point, t</w:t>
      </w:r>
      <w:r w:rsidR="000F10ED" w:rsidRPr="00213078">
        <w:rPr>
          <w:rFonts w:eastAsia="MS Mincho" w:cs="Arial"/>
          <w:szCs w:val="32"/>
          <w:lang w:eastAsia="en-US"/>
        </w:rPr>
        <w:t>hen we would conclude that the</w:t>
      </w:r>
      <w:r w:rsidRPr="00213078">
        <w:rPr>
          <w:rFonts w:eastAsia="MS Mincho" w:cs="Arial"/>
          <w:szCs w:val="32"/>
          <w:lang w:eastAsia="en-US"/>
        </w:rPr>
        <w:t xml:space="preserve"> 20% reduction in crime is worth £5,000 per year to them. In the present study, we will look at the impacts that engagement in arts and sports has on SWB and assess the amount of money that people could forego and still leave them at their initial level of welfare. This is the CS for engagement in arts and sport and is related to the notion of WTP, as shown in Table 1. </w:t>
      </w:r>
    </w:p>
    <w:p w14:paraId="06B47189" w14:textId="77777777" w:rsidR="00296AED" w:rsidRPr="00213078" w:rsidRDefault="00296AED" w:rsidP="00953499">
      <w:pPr>
        <w:widowControl w:val="0"/>
        <w:autoSpaceDE w:val="0"/>
        <w:autoSpaceDN w:val="0"/>
        <w:adjustRightInd w:val="0"/>
        <w:spacing w:before="0"/>
        <w:ind w:left="2160"/>
        <w:rPr>
          <w:rFonts w:eastAsia="MS Mincho" w:cs="Arial"/>
          <w:szCs w:val="32"/>
          <w:lang w:eastAsia="en-US"/>
        </w:rPr>
      </w:pPr>
    </w:p>
    <w:p w14:paraId="06B4718A" w14:textId="77777777" w:rsidR="00296AED" w:rsidRPr="00213078" w:rsidRDefault="00296AED" w:rsidP="00953499">
      <w:pPr>
        <w:widowControl w:val="0"/>
        <w:autoSpaceDE w:val="0"/>
        <w:autoSpaceDN w:val="0"/>
        <w:adjustRightInd w:val="0"/>
        <w:spacing w:before="0"/>
        <w:ind w:left="2160"/>
        <w:rPr>
          <w:rFonts w:eastAsia="MS Mincho" w:cs="Arial"/>
          <w:szCs w:val="32"/>
          <w:lang w:eastAsia="en-US"/>
        </w:rPr>
      </w:pPr>
      <w:r w:rsidRPr="00213078">
        <w:rPr>
          <w:rFonts w:eastAsia="MS Mincho" w:cs="Arial"/>
          <w:szCs w:val="32"/>
          <w:lang w:eastAsia="en-US"/>
        </w:rPr>
        <w:t xml:space="preserve">It is important to note, however, that </w:t>
      </w:r>
      <w:r w:rsidRPr="00213078">
        <w:rPr>
          <w:rFonts w:eastAsia="MS Mincho" w:cs="Arial"/>
          <w:b/>
          <w:szCs w:val="32"/>
          <w:lang w:eastAsia="en-US"/>
        </w:rPr>
        <w:t xml:space="preserve">values derived using WV should not generally be seen as </w:t>
      </w:r>
      <w:r w:rsidRPr="00213078">
        <w:rPr>
          <w:rFonts w:eastAsia="MS Mincho" w:cs="Arial"/>
          <w:b/>
          <w:i/>
          <w:szCs w:val="32"/>
          <w:lang w:eastAsia="en-US"/>
        </w:rPr>
        <w:t>actual</w:t>
      </w:r>
      <w:r w:rsidRPr="00213078">
        <w:rPr>
          <w:rFonts w:eastAsia="MS Mincho" w:cs="Arial"/>
          <w:b/>
          <w:szCs w:val="32"/>
          <w:lang w:eastAsia="en-US"/>
        </w:rPr>
        <w:t xml:space="preserve"> </w:t>
      </w:r>
      <w:r w:rsidRPr="00213078">
        <w:rPr>
          <w:rFonts w:eastAsia="MS Mincho" w:cs="Arial"/>
          <w:b/>
          <w:i/>
          <w:szCs w:val="32"/>
          <w:lang w:eastAsia="en-US"/>
        </w:rPr>
        <w:t>amounts</w:t>
      </w:r>
      <w:r w:rsidRPr="00213078">
        <w:rPr>
          <w:rFonts w:eastAsia="MS Mincho" w:cs="Arial"/>
          <w:b/>
          <w:szCs w:val="32"/>
          <w:lang w:eastAsia="en-US"/>
        </w:rPr>
        <w:t xml:space="preserve"> that people would be willing to pay</w:t>
      </w:r>
      <w:r w:rsidRPr="00213078">
        <w:rPr>
          <w:rFonts w:eastAsia="MS Mincho" w:cs="Arial"/>
          <w:szCs w:val="32"/>
          <w:lang w:eastAsia="en-US"/>
        </w:rPr>
        <w:t xml:space="preserve">. This is because we have not looked at people’s preferences, which form the basis of purchasing decisions and market behaviour. This does not discredit the results derived from WV approach – they are simply values derived from a different theoretical measure of welfare and as we will show they are estimates of monetary value that are fully consistent with welfare economic theory (CS and ES). </w:t>
      </w:r>
    </w:p>
    <w:p w14:paraId="06B4718B" w14:textId="77777777" w:rsidR="00296AED" w:rsidRPr="00213078" w:rsidRDefault="00296AED" w:rsidP="00953499">
      <w:pPr>
        <w:widowControl w:val="0"/>
        <w:autoSpaceDE w:val="0"/>
        <w:autoSpaceDN w:val="0"/>
        <w:adjustRightInd w:val="0"/>
        <w:spacing w:before="0"/>
        <w:ind w:left="2160"/>
        <w:rPr>
          <w:rFonts w:eastAsia="MS Mincho" w:cs="Arial"/>
          <w:szCs w:val="32"/>
          <w:lang w:eastAsia="en-US"/>
        </w:rPr>
      </w:pPr>
    </w:p>
    <w:p w14:paraId="06B4718C" w14:textId="77777777" w:rsidR="00296AED" w:rsidRPr="00213078" w:rsidRDefault="00296AED" w:rsidP="00953499">
      <w:pPr>
        <w:widowControl w:val="0"/>
        <w:autoSpaceDE w:val="0"/>
        <w:autoSpaceDN w:val="0"/>
        <w:adjustRightInd w:val="0"/>
        <w:spacing w:before="0"/>
        <w:ind w:left="2160"/>
        <w:rPr>
          <w:rFonts w:eastAsia="MS Mincho" w:cs="Arial"/>
          <w:szCs w:val="32"/>
          <w:lang w:eastAsia="en-US"/>
        </w:rPr>
      </w:pPr>
      <w:r w:rsidRPr="00213078">
        <w:rPr>
          <w:rFonts w:eastAsia="MS Mincho" w:cs="Arial"/>
          <w:szCs w:val="32"/>
          <w:lang w:eastAsia="en-US"/>
        </w:rPr>
        <w:t xml:space="preserve">Indeed, </w:t>
      </w:r>
      <w:r w:rsidRPr="00213078">
        <w:rPr>
          <w:rFonts w:eastAsia="MS Mincho" w:cs="Arial"/>
          <w:b/>
          <w:szCs w:val="32"/>
          <w:lang w:eastAsia="en-US"/>
        </w:rPr>
        <w:t>given the many conceptual and methodological problems with a preference-based account of welfare, it can be argued that wellbeing valuation should be the preferred approach.</w:t>
      </w:r>
      <w:r w:rsidRPr="00213078">
        <w:rPr>
          <w:rFonts w:eastAsia="MS Mincho" w:cs="Arial"/>
          <w:szCs w:val="32"/>
          <w:lang w:eastAsia="en-US"/>
        </w:rPr>
        <w:t xml:space="preserve"> The derivations and calculations involved in estimating monetary values (CS and ES) using wellbeing valuation are set out in the Annex (section A.1).</w:t>
      </w:r>
    </w:p>
    <w:p w14:paraId="06B4718D" w14:textId="77777777" w:rsidR="00296AED" w:rsidRPr="00213078" w:rsidRDefault="00296AED" w:rsidP="00953499">
      <w:pPr>
        <w:spacing w:before="0"/>
        <w:ind w:left="2160"/>
        <w:rPr>
          <w:rFonts w:eastAsia="MS Mincho" w:cs="Arial"/>
          <w:lang w:eastAsia="en-US"/>
        </w:rPr>
      </w:pPr>
    </w:p>
    <w:p w14:paraId="06B4718E"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r w:rsidRPr="00213078">
        <w:rPr>
          <w:rFonts w:eastAsia="MS Mincho" w:cs="Arial"/>
          <w:szCs w:val="30"/>
          <w:lang w:eastAsia="en-US"/>
        </w:rPr>
        <w:t xml:space="preserve">There are a number of advantages in using the WV approach compared to preference-based valuation methods. First, we are not reliant on a proxy market to reveal a value as in the revealed preference method. Indeed, the WV approach can work in cases where proxy markets do not exist or where they are not in equilibrium. </w:t>
      </w:r>
    </w:p>
    <w:p w14:paraId="06B4718F"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p>
    <w:p w14:paraId="06B47190"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r w:rsidRPr="00213078">
        <w:rPr>
          <w:rFonts w:eastAsia="MS Mincho" w:cs="Arial"/>
          <w:szCs w:val="30"/>
          <w:lang w:eastAsia="en-US"/>
        </w:rPr>
        <w:t xml:space="preserve">It is possible to create markets in stated preference (contingent valuation) studies of course. There are, however, some well-known and pervasive biases inherent in contingent valuation. These include protest values, where respondents have a principled objection to providing a monetary value and strategic bias, where respondents seek to ‘game’ the study by providing values that they think will influence the final resource allocation decision. </w:t>
      </w:r>
    </w:p>
    <w:p w14:paraId="06B47191"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p>
    <w:p w14:paraId="06B47192"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r w:rsidRPr="00213078">
        <w:rPr>
          <w:rFonts w:eastAsia="MS Mincho" w:cs="Arial"/>
          <w:b/>
          <w:szCs w:val="30"/>
          <w:lang w:eastAsia="en-US"/>
        </w:rPr>
        <w:t xml:space="preserve">One of the most serious problems with stated preferences is known as scope effects, where willingness to pay values are insensitive to the size of the good being valued, so that estimating a meaningful marginal rate of substitution between money and the good in question is impossible. </w:t>
      </w:r>
      <w:r w:rsidRPr="00213078">
        <w:rPr>
          <w:rFonts w:eastAsia="MS Mincho" w:cs="Arial"/>
          <w:szCs w:val="30"/>
          <w:lang w:eastAsia="en-US"/>
        </w:rPr>
        <w:t>As well as being insensitive to theoretical relevant factors, responses are also sensitive to theoretically irrelevant factors, such as the starting point and question order.</w:t>
      </w:r>
    </w:p>
    <w:p w14:paraId="06B47193"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p>
    <w:p w14:paraId="06B47194"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r w:rsidRPr="00213078">
        <w:rPr>
          <w:rFonts w:eastAsia="MS Mincho" w:cs="Arial"/>
          <w:szCs w:val="30"/>
          <w:lang w:eastAsia="en-US"/>
        </w:rPr>
        <w:lastRenderedPageBreak/>
        <w:t xml:space="preserve">Finally, faith in stated preferences is shaken by the finding across many studies that we are guilty of ‘miswanting’; that is, of wanting things that do not make us feel better and not wanting things that would (Wilson and Gilbert, 2003). Economists have typically assumed, usually implicitly, that our preferences are a good guide to our subsequent experiences yet there is a </w:t>
      </w:r>
      <w:r w:rsidRPr="00213078">
        <w:rPr>
          <w:rFonts w:eastAsia="MS Mincho" w:cs="Arial"/>
          <w:b/>
          <w:szCs w:val="30"/>
          <w:lang w:eastAsia="en-US"/>
        </w:rPr>
        <w:t>weak association between the strength of our desires and the impact on our lives from satisfying those preferences</w:t>
      </w:r>
      <w:r w:rsidRPr="00213078">
        <w:rPr>
          <w:rFonts w:eastAsia="MS Mincho" w:cs="Arial"/>
          <w:szCs w:val="30"/>
          <w:lang w:eastAsia="en-US"/>
        </w:rPr>
        <w:t xml:space="preserve">. </w:t>
      </w:r>
    </w:p>
    <w:p w14:paraId="06B47195"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p>
    <w:p w14:paraId="06B47196"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r w:rsidRPr="00213078">
        <w:rPr>
          <w:rFonts w:eastAsia="MS Mincho" w:cs="Arial"/>
          <w:szCs w:val="30"/>
          <w:lang w:eastAsia="en-US"/>
        </w:rPr>
        <w:t xml:space="preserve">In contrast, the wellbeing valuation method takes data from large national datasets, and so protest and strategic responses are not a problem. We allow regression analysis to tell us how important a factor is in someone’s life without asking them to attribute its value, and so scope effects are no longer an issue. Wellbeing responses can of course be heavily influenced by contextual factors that also influence willingness to pay responses (such as question order) but in large samples across many years we can better understand these effects, and control for them as required. </w:t>
      </w:r>
    </w:p>
    <w:p w14:paraId="06B47197"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p>
    <w:p w14:paraId="06B47198"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r w:rsidRPr="00213078">
        <w:rPr>
          <w:rFonts w:eastAsia="MS Mincho" w:cs="Arial"/>
          <w:b/>
          <w:szCs w:val="30"/>
          <w:lang w:eastAsia="en-US"/>
        </w:rPr>
        <w:t xml:space="preserve">Significantly, the wellbeing valuation approach is based on real experiences and not, as in stated preference studies, on people’s imaginations of how they will be affected by a change. </w:t>
      </w:r>
      <w:r w:rsidRPr="00213078">
        <w:rPr>
          <w:rFonts w:eastAsia="MS Mincho" w:cs="Arial"/>
          <w:szCs w:val="30"/>
          <w:lang w:eastAsia="en-US"/>
        </w:rPr>
        <w:t xml:space="preserve">In the modelling, we look at how policy changes actually impact on people and their experiences of their lives and ascertain values based on these experiences, which will be a better reflection of the true impact than our imagination, which is a notoriously suspect guide to our future wellbeing. </w:t>
      </w:r>
    </w:p>
    <w:p w14:paraId="06B47199" w14:textId="77777777" w:rsidR="00296AED" w:rsidRPr="00213078" w:rsidRDefault="00296AED" w:rsidP="00953499">
      <w:pPr>
        <w:widowControl w:val="0"/>
        <w:autoSpaceDE w:val="0"/>
        <w:autoSpaceDN w:val="0"/>
        <w:adjustRightInd w:val="0"/>
        <w:spacing w:before="0"/>
        <w:ind w:left="2160"/>
        <w:rPr>
          <w:rFonts w:eastAsia="MS Mincho" w:cs="Arial"/>
          <w:b/>
          <w:szCs w:val="30"/>
          <w:lang w:eastAsia="en-US"/>
        </w:rPr>
      </w:pPr>
    </w:p>
    <w:p w14:paraId="06B4719A" w14:textId="77777777" w:rsidR="00296AED" w:rsidRPr="00213078" w:rsidRDefault="00953499" w:rsidP="00953499">
      <w:pPr>
        <w:widowControl w:val="0"/>
        <w:autoSpaceDE w:val="0"/>
        <w:autoSpaceDN w:val="0"/>
        <w:adjustRightInd w:val="0"/>
        <w:spacing w:before="0"/>
        <w:ind w:left="2160"/>
        <w:rPr>
          <w:rFonts w:eastAsia="MS Mincho" w:cs="Arial"/>
          <w:b/>
          <w:sz w:val="32"/>
          <w:szCs w:val="30"/>
          <w:lang w:eastAsia="en-US"/>
        </w:rPr>
      </w:pPr>
      <w:r w:rsidRPr="00213078">
        <w:rPr>
          <w:rFonts w:eastAsia="MS Mincho" w:cs="Arial"/>
          <w:b/>
          <w:sz w:val="32"/>
          <w:szCs w:val="30"/>
          <w:lang w:eastAsia="en-US"/>
        </w:rPr>
        <w:t>A</w:t>
      </w:r>
      <w:r w:rsidR="00296AED" w:rsidRPr="00213078">
        <w:rPr>
          <w:rFonts w:eastAsia="MS Mincho" w:cs="Arial"/>
          <w:b/>
          <w:sz w:val="32"/>
          <w:szCs w:val="30"/>
          <w:lang w:eastAsia="en-US"/>
        </w:rPr>
        <w:t xml:space="preserve">.2. Literature review </w:t>
      </w:r>
    </w:p>
    <w:p w14:paraId="06B4719B" w14:textId="77777777" w:rsidR="00296AED" w:rsidRPr="00213078" w:rsidRDefault="00296AED" w:rsidP="00953499">
      <w:pPr>
        <w:widowControl w:val="0"/>
        <w:autoSpaceDE w:val="0"/>
        <w:autoSpaceDN w:val="0"/>
        <w:adjustRightInd w:val="0"/>
        <w:spacing w:before="0"/>
        <w:ind w:left="2160"/>
        <w:rPr>
          <w:rFonts w:eastAsia="MS Mincho" w:cs="Arial"/>
          <w:szCs w:val="30"/>
          <w:lang w:eastAsia="en-US"/>
        </w:rPr>
      </w:pPr>
    </w:p>
    <w:p w14:paraId="06B4719C" w14:textId="77777777"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szCs w:val="30"/>
          <w:lang w:eastAsia="en-US"/>
        </w:rPr>
        <w:t>We h</w:t>
      </w:r>
      <w:r w:rsidRPr="00213078">
        <w:rPr>
          <w:rFonts w:eastAsia="MS Mincho" w:cs="Arial"/>
          <w:lang w:eastAsia="en-US"/>
        </w:rPr>
        <w:t>ave undertaken literature reviews in the past on culture and wellbeing, which can be found in Fujiwara (2013a</w:t>
      </w:r>
      <w:r w:rsidRPr="00213078">
        <w:rPr>
          <w:rFonts w:eastAsia="MS Mincho" w:cs="Arial"/>
          <w:vertAlign w:val="superscript"/>
          <w:lang w:val="en-US" w:eastAsia="en-US"/>
        </w:rPr>
        <w:footnoteReference w:id="4"/>
      </w:r>
      <w:r w:rsidRPr="00213078">
        <w:rPr>
          <w:rFonts w:eastAsia="MS Mincho" w:cs="Arial"/>
          <w:lang w:eastAsia="en-US"/>
        </w:rPr>
        <w:t xml:space="preserve">), and the CASE (forthcoming) programme also provides extensive overviews of the previous literature in this area. These are recent and extensive reviews of the literature and hence we did not feel that another review was warranted here. In general, a number of studies have found positive associations between engagement in culture and sports and wellbeing, as measured for example by life satisfaction. </w:t>
      </w:r>
    </w:p>
    <w:p w14:paraId="06B4719D" w14:textId="77777777" w:rsidR="00296AED" w:rsidRPr="00213078" w:rsidRDefault="00296AED" w:rsidP="00953499">
      <w:pPr>
        <w:widowControl w:val="0"/>
        <w:autoSpaceDE w:val="0"/>
        <w:autoSpaceDN w:val="0"/>
        <w:adjustRightInd w:val="0"/>
        <w:spacing w:before="0"/>
        <w:ind w:left="2160"/>
        <w:rPr>
          <w:rFonts w:eastAsia="MS Mincho" w:cs="Arial"/>
          <w:lang w:eastAsia="en-US"/>
        </w:rPr>
      </w:pPr>
    </w:p>
    <w:p w14:paraId="06B4719E" w14:textId="6FE956BD"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lang w:eastAsia="en-US"/>
        </w:rPr>
        <w:t xml:space="preserve">The type of evidence used varies and includes qualitative survey evidence as well as quantitative methods that are better suited at assessing causal claims. </w:t>
      </w:r>
      <w:r w:rsidRPr="00213078">
        <w:rPr>
          <w:rFonts w:eastAsia="MS Mincho" w:cs="Arial"/>
          <w:b/>
          <w:lang w:eastAsia="en-US"/>
        </w:rPr>
        <w:t>In general, there seem to be only a few studies that have used large national datasets as we do here</w:t>
      </w:r>
      <w:r w:rsidRPr="00213078">
        <w:rPr>
          <w:rFonts w:eastAsia="MS Mincho" w:cs="Arial"/>
          <w:lang w:eastAsia="en-US"/>
        </w:rPr>
        <w:t>. Readers are directed to Fujiwara (2013a) and the work under the CASE (</w:t>
      </w:r>
      <w:r w:rsidR="00BF3A98" w:rsidRPr="00213078">
        <w:rPr>
          <w:rFonts w:eastAsia="MS Mincho" w:cs="Arial"/>
          <w:lang w:eastAsia="en-US"/>
        </w:rPr>
        <w:t>forthcoming</w:t>
      </w:r>
      <w:r w:rsidRPr="00213078">
        <w:rPr>
          <w:rFonts w:eastAsia="MS Mincho" w:cs="Arial"/>
          <w:lang w:eastAsia="en-US"/>
        </w:rPr>
        <w:t>) programme for detailed literature reviews.</w:t>
      </w:r>
    </w:p>
    <w:p w14:paraId="06B4719F" w14:textId="77777777" w:rsidR="00296AED" w:rsidRPr="00213078" w:rsidRDefault="00296AED" w:rsidP="00953499">
      <w:pPr>
        <w:widowControl w:val="0"/>
        <w:autoSpaceDE w:val="0"/>
        <w:autoSpaceDN w:val="0"/>
        <w:adjustRightInd w:val="0"/>
        <w:spacing w:before="0"/>
        <w:ind w:left="2160"/>
        <w:rPr>
          <w:rFonts w:eastAsia="MS Mincho" w:cs="Arial"/>
          <w:b/>
          <w:szCs w:val="30"/>
          <w:lang w:eastAsia="en-US"/>
        </w:rPr>
      </w:pPr>
    </w:p>
    <w:p w14:paraId="06B471A0" w14:textId="77777777" w:rsidR="00296AED" w:rsidRPr="00213078" w:rsidRDefault="00953499" w:rsidP="00953499">
      <w:pPr>
        <w:widowControl w:val="0"/>
        <w:autoSpaceDE w:val="0"/>
        <w:autoSpaceDN w:val="0"/>
        <w:adjustRightInd w:val="0"/>
        <w:spacing w:before="0"/>
        <w:ind w:left="2160"/>
        <w:rPr>
          <w:rFonts w:eastAsia="MS Mincho" w:cs="Arial"/>
          <w:b/>
          <w:sz w:val="32"/>
          <w:szCs w:val="30"/>
          <w:lang w:eastAsia="en-US"/>
        </w:rPr>
      </w:pPr>
      <w:r w:rsidRPr="00213078">
        <w:rPr>
          <w:rFonts w:eastAsia="MS Mincho" w:cs="Arial"/>
          <w:b/>
          <w:sz w:val="32"/>
          <w:szCs w:val="30"/>
          <w:lang w:eastAsia="en-US"/>
        </w:rPr>
        <w:lastRenderedPageBreak/>
        <w:br/>
        <w:t>A</w:t>
      </w:r>
      <w:r w:rsidR="00296AED" w:rsidRPr="00213078">
        <w:rPr>
          <w:rFonts w:eastAsia="MS Mincho" w:cs="Arial"/>
          <w:b/>
          <w:sz w:val="32"/>
          <w:szCs w:val="30"/>
          <w:lang w:eastAsia="en-US"/>
        </w:rPr>
        <w:t>.3. Methodology</w:t>
      </w:r>
    </w:p>
    <w:p w14:paraId="06B471A1" w14:textId="77777777" w:rsidR="00296AED" w:rsidRPr="00213078" w:rsidRDefault="00296AED" w:rsidP="00953499">
      <w:pPr>
        <w:widowControl w:val="0"/>
        <w:autoSpaceDE w:val="0"/>
        <w:autoSpaceDN w:val="0"/>
        <w:adjustRightInd w:val="0"/>
        <w:spacing w:before="0"/>
        <w:ind w:left="2160"/>
        <w:rPr>
          <w:rFonts w:eastAsia="MS Mincho" w:cs="Arial"/>
          <w:b/>
          <w:szCs w:val="30"/>
          <w:lang w:eastAsia="en-US"/>
        </w:rPr>
      </w:pPr>
    </w:p>
    <w:p w14:paraId="06B471A2" w14:textId="77777777" w:rsidR="00296AED" w:rsidRPr="00213078" w:rsidRDefault="00953499" w:rsidP="00953499">
      <w:pPr>
        <w:widowControl w:val="0"/>
        <w:autoSpaceDE w:val="0"/>
        <w:autoSpaceDN w:val="0"/>
        <w:adjustRightInd w:val="0"/>
        <w:spacing w:before="0"/>
        <w:ind w:left="2160"/>
        <w:rPr>
          <w:rFonts w:eastAsia="MS Mincho" w:cs="Arial"/>
          <w:b/>
          <w:sz w:val="28"/>
          <w:szCs w:val="30"/>
          <w:lang w:eastAsia="en-US"/>
        </w:rPr>
      </w:pPr>
      <w:r w:rsidRPr="00213078">
        <w:rPr>
          <w:rFonts w:eastAsia="MS Mincho" w:cs="Arial"/>
          <w:b/>
          <w:sz w:val="28"/>
          <w:szCs w:val="30"/>
          <w:lang w:eastAsia="en-US"/>
        </w:rPr>
        <w:t>A</w:t>
      </w:r>
      <w:r w:rsidR="00296AED" w:rsidRPr="00213078">
        <w:rPr>
          <w:rFonts w:eastAsia="MS Mincho" w:cs="Arial"/>
          <w:b/>
          <w:sz w:val="28"/>
          <w:szCs w:val="30"/>
          <w:lang w:eastAsia="en-US"/>
        </w:rPr>
        <w:t>.3.1. Data</w:t>
      </w:r>
    </w:p>
    <w:p w14:paraId="06B471A3" w14:textId="77777777" w:rsidR="00296AED" w:rsidRPr="00213078" w:rsidRDefault="00296AED" w:rsidP="00953499">
      <w:pPr>
        <w:spacing w:before="0"/>
        <w:ind w:left="2160"/>
        <w:rPr>
          <w:rFonts w:eastAsia="MS Mincho" w:cs="Arial"/>
          <w:lang w:eastAsia="en-US"/>
        </w:rPr>
      </w:pPr>
    </w:p>
    <w:p w14:paraId="06B471A4"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In this study, we use two UK datasets. </w:t>
      </w:r>
      <w:r w:rsidRPr="00213078">
        <w:rPr>
          <w:rFonts w:eastAsia="MS Mincho" w:cs="Arial"/>
          <w:b/>
          <w:lang w:eastAsia="en-US"/>
        </w:rPr>
        <w:t xml:space="preserve">Data on arts and sport engagement come from Wave 2 of </w:t>
      </w:r>
      <w:r w:rsidRPr="00213078">
        <w:rPr>
          <w:rFonts w:eastAsia="MS Mincho" w:cs="Arial"/>
          <w:b/>
          <w:i/>
          <w:lang w:eastAsia="en-US"/>
        </w:rPr>
        <w:t>Understanding Society</w:t>
      </w:r>
      <w:r w:rsidRPr="00213078">
        <w:rPr>
          <w:rFonts w:eastAsia="MS Mincho" w:cs="Arial"/>
          <w:i/>
          <w:lang w:eastAsia="en-US"/>
        </w:rPr>
        <w:t xml:space="preserve"> </w:t>
      </w:r>
      <w:r w:rsidRPr="00213078">
        <w:rPr>
          <w:rFonts w:eastAsia="MS Mincho" w:cs="Arial"/>
          <w:lang w:eastAsia="en-US"/>
        </w:rPr>
        <w:t xml:space="preserve">(2010-2011), which is a nationally representative sample of 40,000 households conducted annually in a panel format. Wave 2 of Understanding Society includes for the first time a wide variety of variables related to engagement in arts and sport, taken from the DCMS </w:t>
      </w:r>
      <w:r w:rsidRPr="00213078">
        <w:rPr>
          <w:rFonts w:eastAsia="MS Mincho" w:cs="Arial"/>
          <w:i/>
          <w:lang w:eastAsia="en-US"/>
        </w:rPr>
        <w:t xml:space="preserve">Taking Part </w:t>
      </w:r>
      <w:r w:rsidRPr="00213078">
        <w:rPr>
          <w:rFonts w:eastAsia="MS Mincho" w:cs="Arial"/>
          <w:lang w:eastAsia="en-US"/>
        </w:rPr>
        <w:t xml:space="preserve">survey. Hence we will use Wave 2 as a cross-sectional dataset in the analysis. </w:t>
      </w:r>
    </w:p>
    <w:p w14:paraId="06B471A5" w14:textId="77777777" w:rsidR="00296AED" w:rsidRPr="00213078" w:rsidRDefault="00296AED" w:rsidP="00953499">
      <w:pPr>
        <w:spacing w:before="0"/>
        <w:ind w:left="2160"/>
        <w:rPr>
          <w:rFonts w:eastAsia="MS Mincho" w:cs="Arial"/>
          <w:lang w:eastAsia="en-US"/>
        </w:rPr>
      </w:pPr>
    </w:p>
    <w:p w14:paraId="06B471A6"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For reasons we shall discuss in more detail below, it is necessary </w:t>
      </w:r>
      <w:r w:rsidRPr="00213078">
        <w:rPr>
          <w:rFonts w:eastAsia="MS Mincho" w:cs="Arial"/>
          <w:b/>
          <w:lang w:eastAsia="en-US"/>
        </w:rPr>
        <w:t>to estimate the impact of income (</w:t>
      </w:r>
      <m:oMath>
        <m:sSub>
          <m:sSubPr>
            <m:ctrlPr>
              <w:rPr>
                <w:rFonts w:ascii="Cambria Math" w:eastAsia="MS Mincho" w:hAnsi="Cambria Math" w:cs="Arial"/>
                <w:b/>
                <w:i/>
                <w:lang w:eastAsia="en-US"/>
              </w:rPr>
            </m:ctrlPr>
          </m:sSubPr>
          <m:e>
            <m:r>
              <m:rPr>
                <m:sty m:val="bi"/>
              </m:rPr>
              <w:rPr>
                <w:rFonts w:ascii="Cambria Math" w:eastAsia="MS Mincho" w:hAnsi="Cambria Math" w:cs="Arial"/>
                <w:lang w:eastAsia="en-US"/>
              </w:rPr>
              <m:t>β</m:t>
            </m:r>
          </m:e>
          <m:sub>
            <m:r>
              <m:rPr>
                <m:sty m:val="bi"/>
              </m:rPr>
              <w:rPr>
                <w:rFonts w:ascii="Cambria Math" w:eastAsia="MS Mincho" w:hAnsi="Cambria Math" w:cs="Arial"/>
                <w:lang w:eastAsia="en-US"/>
              </w:rPr>
              <m:t>1</m:t>
            </m:r>
          </m:sub>
        </m:sSub>
      </m:oMath>
      <w:r w:rsidRPr="00213078">
        <w:rPr>
          <w:rFonts w:eastAsia="MS Mincho" w:cs="Arial"/>
          <w:b/>
          <w:lang w:eastAsia="en-US"/>
        </w:rPr>
        <w:t xml:space="preserve"> in equation (6) from Annex A.1) using data from the British Household Panel Survey (BHPS).</w:t>
      </w:r>
      <w:r w:rsidRPr="00213078">
        <w:rPr>
          <w:rFonts w:eastAsia="MS Mincho" w:cs="Arial"/>
          <w:lang w:eastAsia="en-US"/>
        </w:rPr>
        <w:t xml:space="preserve"> This is not problematic because the BHPS is the predecessor to Understanding Society (Understanding Society contains more variables and a larger sample size) and it has now been merged in to the latter dataset, hence they are essentially the same nationally representative survey of the UK (but with much larger sample sizes in Understanding Society). We use the BHPS here because data on income are not as detailed in Understanding Society (discussed in detail below).</w:t>
      </w:r>
    </w:p>
    <w:p w14:paraId="06B471A7" w14:textId="77777777" w:rsidR="00296AED" w:rsidRPr="00213078" w:rsidRDefault="00296AED" w:rsidP="00953499">
      <w:pPr>
        <w:spacing w:before="0"/>
        <w:ind w:left="2160"/>
        <w:rPr>
          <w:rFonts w:eastAsia="MS Mincho" w:cs="Arial"/>
          <w:b/>
          <w:lang w:eastAsia="en-US"/>
        </w:rPr>
      </w:pPr>
    </w:p>
    <w:p w14:paraId="06B471A8" w14:textId="77777777" w:rsidR="00296AED" w:rsidRPr="00213078" w:rsidRDefault="00953499" w:rsidP="00953499">
      <w:pPr>
        <w:spacing w:before="0"/>
        <w:ind w:left="2160"/>
        <w:rPr>
          <w:rFonts w:eastAsia="MS Mincho" w:cs="Arial"/>
          <w:b/>
          <w:sz w:val="28"/>
          <w:lang w:eastAsia="en-US"/>
        </w:rPr>
      </w:pPr>
      <w:r w:rsidRPr="00213078">
        <w:rPr>
          <w:rFonts w:eastAsia="MS Mincho" w:cs="Arial"/>
          <w:b/>
          <w:sz w:val="28"/>
          <w:lang w:eastAsia="en-US"/>
        </w:rPr>
        <w:t>A</w:t>
      </w:r>
      <w:r w:rsidR="00296AED" w:rsidRPr="00213078">
        <w:rPr>
          <w:rFonts w:eastAsia="MS Mincho" w:cs="Arial"/>
          <w:b/>
          <w:sz w:val="28"/>
          <w:lang w:eastAsia="en-US"/>
        </w:rPr>
        <w:t>.3.2. Estimation</w:t>
      </w:r>
    </w:p>
    <w:p w14:paraId="06B471A9" w14:textId="77777777" w:rsidR="00296AED" w:rsidRPr="00213078" w:rsidRDefault="00296AED" w:rsidP="00953499">
      <w:pPr>
        <w:spacing w:before="0"/>
        <w:ind w:left="2160"/>
        <w:rPr>
          <w:rFonts w:eastAsia="MS Mincho" w:cs="Arial"/>
          <w:lang w:eastAsia="en-US"/>
        </w:rPr>
      </w:pPr>
    </w:p>
    <w:p w14:paraId="06B471AA"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In order to estimate the value of engagement in arts and sport, we need to estimate the impact that engagement and income have on SWB - in line with the wellbeing valuation literature we focus on life satisfaction as our measure of SWB (a discussion of the use of life satisfaction in this context can be found in Annex section A.1). These impacts on life satisfaction are respectively </w:t>
      </w:r>
      <m:oMath>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2</m:t>
            </m:r>
          </m:sub>
        </m:sSub>
      </m:oMath>
      <w:r w:rsidRPr="00213078">
        <w:rPr>
          <w:rFonts w:eastAsia="MS Mincho" w:cs="Arial"/>
          <w:lang w:eastAsia="en-US"/>
        </w:rPr>
        <w:t xml:space="preserve"> and </w:t>
      </w:r>
      <m:oMath>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1</m:t>
            </m:r>
          </m:sub>
        </m:sSub>
      </m:oMath>
      <w:r w:rsidRPr="00213078">
        <w:rPr>
          <w:rFonts w:eastAsia="MS Mincho" w:cs="Arial"/>
          <w:lang w:eastAsia="en-US"/>
        </w:rPr>
        <w:t xml:space="preserve"> in equation (6) from Annex section A.1 (and repeated below), which will allow us to derive the compensating surplus. This has traditionally been done using a single-equation model in regression analysis as in equation (7):</w:t>
      </w:r>
    </w:p>
    <w:p w14:paraId="06B471AB" w14:textId="77777777" w:rsidR="00296AED" w:rsidRPr="00296AED" w:rsidRDefault="00296AED" w:rsidP="00953499">
      <w:pPr>
        <w:spacing w:before="0"/>
        <w:ind w:left="2160"/>
        <w:rPr>
          <w:rFonts w:ascii="Calibri" w:eastAsia="MS Mincho" w:hAnsi="Calibri" w:cs="Calibri"/>
          <w:lang w:eastAsia="en-US"/>
        </w:rPr>
      </w:pPr>
    </w:p>
    <w:p w14:paraId="06B471AC" w14:textId="77777777" w:rsidR="00296AED" w:rsidRPr="00296AED" w:rsidRDefault="00C04AC9" w:rsidP="00953499">
      <w:pPr>
        <w:spacing w:before="0"/>
        <w:ind w:left="2160"/>
        <w:rPr>
          <w:rFonts w:ascii="Calibri" w:eastAsia="MS Mincho" w:hAnsi="Calibri" w:cs="Calibri"/>
          <w:lang w:eastAsia="en-US"/>
        </w:rPr>
      </w:pPr>
      <m:oMath>
        <m:sSub>
          <m:sSubPr>
            <m:ctrlPr>
              <w:rPr>
                <w:rFonts w:ascii="Cambria Math" w:eastAsia="MS Mincho" w:hAnsi="Cambria Math" w:cs="Calibri"/>
                <w:i/>
                <w:lang w:eastAsia="en-US"/>
              </w:rPr>
            </m:ctrlPr>
          </m:sSubPr>
          <m:e>
            <m:r>
              <w:rPr>
                <w:rFonts w:ascii="Cambria Math" w:eastAsia="MS Mincho" w:hAnsi="Cambria Math" w:cs="Calibri"/>
                <w:lang w:eastAsia="en-US"/>
              </w:rPr>
              <m:t>LS</m:t>
            </m:r>
          </m:e>
          <m:sub>
            <m:r>
              <w:rPr>
                <w:rFonts w:ascii="Cambria Math" w:eastAsia="MS Mincho" w:hAnsi="Cambria Math" w:cs="Calibri"/>
                <w:lang w:eastAsia="en-US"/>
              </w:rPr>
              <m:t>i</m:t>
            </m:r>
          </m:sub>
        </m:sSub>
        <m:r>
          <w:rPr>
            <w:rFonts w:ascii="Cambria Math" w:eastAsia="MS Mincho" w:hAnsi="Cambria Math" w:cs="Calibri"/>
            <w:lang w:eastAsia="en-US"/>
          </w:rPr>
          <m:t>=α</m:t>
        </m:r>
        <m:r>
          <m:rPr>
            <m:sty m:val="p"/>
          </m:rPr>
          <w:rPr>
            <w:rFonts w:ascii="Cambria Math" w:eastAsia="MS Mincho" w:hAnsi="Cambria Math" w:cs="Calibri"/>
            <w:lang w:eastAsia="en-US"/>
          </w:rPr>
          <m:t>+</m:t>
        </m:r>
        <m:sSub>
          <m:sSubPr>
            <m:ctrlPr>
              <w:rPr>
                <w:rFonts w:ascii="Cambria Math" w:eastAsia="MS Mincho" w:hAnsi="Cambria Math" w:cs="Calibr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1</m:t>
            </m:r>
          </m:sub>
        </m:sSub>
        <m:sSub>
          <m:sSubPr>
            <m:ctrlPr>
              <w:rPr>
                <w:rFonts w:ascii="Cambria Math" w:eastAsia="MS Mincho" w:hAnsi="Cambria Math" w:cs="Calibri"/>
                <w:i/>
                <w:lang w:eastAsia="en-US"/>
              </w:rPr>
            </m:ctrlPr>
          </m:sSubPr>
          <m:e>
            <m:r>
              <w:rPr>
                <w:rFonts w:ascii="Cambria Math" w:eastAsia="MS Mincho" w:hAnsi="Cambria Math" w:cs="Calibri"/>
                <w:lang w:eastAsia="en-US"/>
              </w:rPr>
              <m:t>M</m:t>
            </m:r>
          </m:e>
          <m:sub>
            <m:r>
              <w:rPr>
                <w:rFonts w:ascii="Cambria Math" w:eastAsia="MS Mincho" w:hAnsi="Cambria Math" w:cs="Calibri"/>
                <w:lang w:eastAsia="en-US"/>
              </w:rPr>
              <m:t>i</m:t>
            </m:r>
          </m:sub>
        </m:sSub>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2</m:t>
            </m:r>
          </m:sub>
        </m:sSub>
        <m:sSub>
          <m:sSubPr>
            <m:ctrlPr>
              <w:rPr>
                <w:rFonts w:ascii="Cambria Math" w:eastAsia="MS Mincho" w:hAnsi="Cambria Math" w:cs="Calibri"/>
                <w:i/>
                <w:lang w:eastAsia="en-US"/>
              </w:rPr>
            </m:ctrlPr>
          </m:sSubPr>
          <m:e>
            <m:r>
              <w:rPr>
                <w:rFonts w:ascii="Cambria Math" w:eastAsia="MS Mincho" w:hAnsi="Cambria Math" w:cs="Calibri"/>
                <w:lang w:eastAsia="en-US"/>
              </w:rPr>
              <m:t>Q</m:t>
            </m:r>
          </m:e>
          <m:sub>
            <m:r>
              <w:rPr>
                <w:rFonts w:ascii="Cambria Math" w:eastAsia="MS Mincho" w:hAnsi="Cambria Math" w:cs="Calibri"/>
                <w:lang w:eastAsia="en-US"/>
              </w:rPr>
              <m:t>i</m:t>
            </m:r>
          </m:sub>
        </m:sSub>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3</m:t>
            </m:r>
          </m:sub>
        </m:sSub>
        <m:sSub>
          <m:sSubPr>
            <m:ctrlPr>
              <w:rPr>
                <w:rFonts w:ascii="Cambria Math" w:eastAsia="MS Mincho" w:hAnsi="Cambria Math" w:cs="Calibri"/>
                <w:i/>
                <w:lang w:eastAsia="en-US"/>
              </w:rPr>
            </m:ctrlPr>
          </m:sSubPr>
          <m:e>
            <m:r>
              <w:rPr>
                <w:rFonts w:ascii="Cambria Math" w:eastAsia="MS Mincho" w:hAnsi="Cambria Math" w:cs="Calibri"/>
                <w:lang w:eastAsia="en-US"/>
              </w:rPr>
              <m:t>X</m:t>
            </m:r>
          </m:e>
          <m:sub>
            <m:r>
              <w:rPr>
                <w:rFonts w:ascii="Cambria Math" w:eastAsia="MS Mincho" w:hAnsi="Cambria Math" w:cs="Calibri"/>
                <w:lang w:eastAsia="en-US"/>
              </w:rPr>
              <m:t>i</m:t>
            </m:r>
          </m:sub>
        </m:sSub>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ε</m:t>
            </m:r>
          </m:e>
          <m:sub>
            <m:r>
              <w:rPr>
                <w:rFonts w:ascii="Cambria Math" w:eastAsia="MS Mincho" w:hAnsi="Cambria Math" w:cs="Calibri"/>
                <w:lang w:eastAsia="en-US"/>
              </w:rPr>
              <m:t>i</m:t>
            </m:r>
          </m:sub>
        </m:sSub>
      </m:oMath>
      <w:r w:rsidR="00296AED" w:rsidRPr="00296AED">
        <w:rPr>
          <w:rFonts w:ascii="Calibri" w:eastAsia="MS Mincho" w:hAnsi="Calibri" w:cs="Calibri"/>
          <w:lang w:eastAsia="en-US"/>
        </w:rPr>
        <w:t xml:space="preserve"> </w:t>
      </w:r>
      <w:r w:rsidR="00296AED" w:rsidRPr="00296AED">
        <w:rPr>
          <w:rFonts w:ascii="Calibri" w:eastAsia="MS Mincho" w:hAnsi="Calibri" w:cs="Calibri"/>
          <w:lang w:eastAsia="en-US"/>
        </w:rPr>
        <w:tab/>
      </w:r>
      <w:r w:rsidR="00296AED" w:rsidRPr="00296AED">
        <w:rPr>
          <w:rFonts w:ascii="Calibri" w:eastAsia="MS Mincho" w:hAnsi="Calibri" w:cs="Calibri"/>
          <w:lang w:eastAsia="en-US"/>
        </w:rPr>
        <w:tab/>
        <w:t>(7)</w:t>
      </w:r>
    </w:p>
    <w:p w14:paraId="06B471AD" w14:textId="77777777" w:rsidR="00296AED" w:rsidRPr="00296AED" w:rsidRDefault="00296AED" w:rsidP="00953499">
      <w:pPr>
        <w:spacing w:before="0"/>
        <w:ind w:left="2160"/>
        <w:rPr>
          <w:rFonts w:ascii="Calibri" w:eastAsia="MS Mincho" w:hAnsi="Calibri" w:cs="Calibri"/>
          <w:lang w:eastAsia="en-US"/>
        </w:rPr>
      </w:pPr>
    </w:p>
    <w:p w14:paraId="06B471AE"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where the impact of income (</w:t>
      </w:r>
      <m:oMath>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1</m:t>
            </m:r>
          </m:sub>
        </m:sSub>
        <m:r>
          <w:rPr>
            <w:rFonts w:ascii="Cambria Math" w:eastAsia="MS Mincho" w:hAnsi="Cambria Math" w:cs="Arial"/>
            <w:lang w:eastAsia="en-US"/>
          </w:rPr>
          <m:t>)</m:t>
        </m:r>
      </m:oMath>
      <w:r w:rsidRPr="00213078">
        <w:rPr>
          <w:rFonts w:eastAsia="MS Mincho" w:cs="Arial"/>
          <w:lang w:eastAsia="en-US"/>
        </w:rPr>
        <w:t xml:space="preserve"> and the non-market good (</w:t>
      </w:r>
      <m:oMath>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2</m:t>
            </m:r>
          </m:sub>
        </m:sSub>
      </m:oMath>
      <w:r w:rsidRPr="00213078">
        <w:rPr>
          <w:rFonts w:eastAsia="MS Mincho" w:cs="Arial"/>
          <w:lang w:eastAsia="en-US"/>
        </w:rPr>
        <w:t>) are taken from the same model. Fujiwara (2013b) shows that this single-equation method need not be the only approach; it would be possible to estimate the impact of income and the non-market good from two separate models, provided that the samples used were relatively similar across the two study sources, and input these results in equation (6) from Annex A.1:</w:t>
      </w:r>
    </w:p>
    <w:p w14:paraId="06B471AF" w14:textId="77777777" w:rsidR="00296AED" w:rsidRPr="00296AED" w:rsidRDefault="00296AED" w:rsidP="00953499">
      <w:pPr>
        <w:spacing w:before="0"/>
        <w:ind w:left="2160"/>
        <w:rPr>
          <w:rFonts w:ascii="Calibri" w:eastAsia="MS Mincho" w:hAnsi="Calibri" w:cs="Calibri"/>
          <w:lang w:eastAsia="en-US"/>
        </w:rPr>
      </w:pPr>
    </w:p>
    <w:p w14:paraId="06B471B0" w14:textId="77777777" w:rsidR="00296AED" w:rsidRPr="00296AED" w:rsidRDefault="00296AED" w:rsidP="00953499">
      <w:pPr>
        <w:spacing w:before="0"/>
        <w:ind w:left="2160"/>
        <w:rPr>
          <w:rFonts w:ascii="Calibri" w:eastAsia="MS Mincho" w:hAnsi="Calibri" w:cs="Calibri"/>
          <w:lang w:eastAsia="en-US"/>
        </w:rPr>
      </w:pPr>
      <m:oMath>
        <m:r>
          <w:rPr>
            <w:rFonts w:ascii="Cambria Math" w:eastAsia="MS Mincho" w:hAnsi="Cambria Math" w:cs="Calibri"/>
            <w:lang w:eastAsia="en-US"/>
          </w:rPr>
          <m:t>CS=</m:t>
        </m:r>
        <m:sSup>
          <m:sSupPr>
            <m:ctrlPr>
              <w:rPr>
                <w:rFonts w:ascii="Cambria Math" w:eastAsia="MS Mincho" w:hAnsi="Cambria Math" w:cs="Calibri"/>
                <w:i/>
                <w:lang w:eastAsia="en-US"/>
              </w:rPr>
            </m:ctrlPr>
          </m:sSupPr>
          <m:e>
            <m:sSup>
              <m:sSupPr>
                <m:ctrlPr>
                  <w:rPr>
                    <w:rFonts w:ascii="Cambria Math" w:eastAsia="MS Mincho" w:hAnsi="Cambria Math" w:cs="Calibri"/>
                    <w:i/>
                    <w:lang w:eastAsia="en-US"/>
                  </w:rPr>
                </m:ctrlPr>
              </m:sSupPr>
              <m:e>
                <m:r>
                  <w:rPr>
                    <w:rFonts w:ascii="Cambria Math" w:eastAsia="MS Mincho" w:hAnsi="Cambria Math" w:cs="Calibri"/>
                    <w:lang w:eastAsia="en-US"/>
                  </w:rPr>
                  <m:t>M</m:t>
                </m:r>
              </m:e>
              <m:sup>
                <m:r>
                  <w:rPr>
                    <w:rFonts w:ascii="Cambria Math" w:eastAsia="MS Mincho" w:hAnsi="Cambria Math" w:cs="Calibri"/>
                    <w:lang w:eastAsia="en-US"/>
                  </w:rPr>
                  <m:t>0</m:t>
                </m:r>
              </m:sup>
            </m:sSup>
            <m:r>
              <w:rPr>
                <w:rFonts w:ascii="Cambria Math" w:eastAsia="MS Mincho" w:hAnsi="Cambria Math" w:cs="Calibri"/>
                <w:lang w:eastAsia="en-US"/>
              </w:rPr>
              <m:t>-e</m:t>
            </m:r>
          </m:e>
          <m:sup>
            <m:d>
              <m:dPr>
                <m:begChr m:val="["/>
                <m:endChr m:val="]"/>
                <m:ctrlPr>
                  <w:rPr>
                    <w:rFonts w:ascii="Cambria Math" w:eastAsia="MS Mincho" w:hAnsi="Cambria Math" w:cs="Calibri"/>
                    <w:i/>
                    <w:lang w:eastAsia="en-US"/>
                  </w:rPr>
                </m:ctrlPr>
              </m:dPr>
              <m:e>
                <m:func>
                  <m:funcPr>
                    <m:ctrlPr>
                      <w:rPr>
                        <w:rFonts w:ascii="Cambria Math" w:eastAsia="MS Mincho" w:hAnsi="Cambria Math" w:cs="Calibri"/>
                        <w:lang w:eastAsia="en-US"/>
                      </w:rPr>
                    </m:ctrlPr>
                  </m:funcPr>
                  <m:fName>
                    <m:r>
                      <m:rPr>
                        <m:sty m:val="p"/>
                      </m:rPr>
                      <w:rPr>
                        <w:rFonts w:ascii="Cambria Math" w:eastAsia="MS Mincho" w:hAnsi="Cambria Math" w:cs="Calibri"/>
                        <w:lang w:eastAsia="en-US"/>
                      </w:rPr>
                      <m:t>ln</m:t>
                    </m:r>
                  </m:fName>
                  <m:e>
                    <m:d>
                      <m:dPr>
                        <m:ctrlPr>
                          <w:rPr>
                            <w:rFonts w:ascii="Cambria Math" w:eastAsia="MS Mincho" w:hAnsi="Cambria Math" w:cs="Calibri"/>
                            <w:i/>
                            <w:lang w:eastAsia="en-US"/>
                          </w:rPr>
                        </m:ctrlPr>
                      </m:dPr>
                      <m:e>
                        <m:sSup>
                          <m:sSupPr>
                            <m:ctrlPr>
                              <w:rPr>
                                <w:rFonts w:ascii="Cambria Math" w:eastAsia="MS Mincho" w:hAnsi="Cambria Math" w:cs="Calibri"/>
                                <w:i/>
                                <w:lang w:eastAsia="en-US"/>
                              </w:rPr>
                            </m:ctrlPr>
                          </m:sSupPr>
                          <m:e>
                            <m:r>
                              <w:rPr>
                                <w:rFonts w:ascii="Cambria Math" w:eastAsia="MS Mincho" w:hAnsi="Cambria Math" w:cs="Calibri"/>
                                <w:lang w:eastAsia="en-US"/>
                              </w:rPr>
                              <m:t>M</m:t>
                            </m:r>
                          </m:e>
                          <m:sup>
                            <m:r>
                              <w:rPr>
                                <w:rFonts w:ascii="Cambria Math" w:eastAsia="MS Mincho" w:hAnsi="Cambria Math" w:cs="Calibri"/>
                                <w:lang w:eastAsia="en-US"/>
                              </w:rPr>
                              <m:t>0</m:t>
                            </m:r>
                          </m:sup>
                        </m:sSup>
                      </m:e>
                    </m:d>
                  </m:e>
                </m:func>
                <m:r>
                  <w:rPr>
                    <w:rFonts w:ascii="Cambria Math" w:eastAsia="MS Mincho" w:hAnsi="Cambria Math" w:cs="Calibri"/>
                    <w:lang w:eastAsia="en-US"/>
                  </w:rPr>
                  <m:t xml:space="preserve"> - </m:t>
                </m:r>
                <m:f>
                  <m:fPr>
                    <m:ctrlPr>
                      <w:rPr>
                        <w:rFonts w:ascii="Cambria Math" w:eastAsia="MS Mincho" w:hAnsi="Cambria Math" w:cs="Calibri"/>
                        <w:i/>
                        <w:lang w:eastAsia="en-US"/>
                      </w:rPr>
                    </m:ctrlPr>
                  </m:fPr>
                  <m:num>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2</m:t>
                        </m:r>
                      </m:sub>
                    </m:sSub>
                  </m:num>
                  <m:den>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1</m:t>
                        </m:r>
                      </m:sub>
                    </m:sSub>
                  </m:den>
                </m:f>
                <m:r>
                  <w:rPr>
                    <w:rFonts w:ascii="Cambria Math" w:eastAsia="MS Mincho" w:hAnsi="Cambria Math" w:cs="Calibri"/>
                    <w:lang w:eastAsia="en-US"/>
                  </w:rPr>
                  <m:t xml:space="preserve"> </m:t>
                </m:r>
              </m:e>
            </m:d>
          </m:sup>
        </m:sSup>
      </m:oMath>
      <w:r w:rsidRPr="00296AED">
        <w:rPr>
          <w:rFonts w:ascii="Calibri" w:eastAsia="MS Mincho" w:hAnsi="Calibri" w:cs="Calibri"/>
          <w:lang w:eastAsia="en-US"/>
        </w:rPr>
        <w:tab/>
      </w:r>
      <w:r w:rsidRPr="00296AED">
        <w:rPr>
          <w:rFonts w:ascii="Calibri" w:eastAsia="MS Mincho" w:hAnsi="Calibri" w:cs="Calibri"/>
          <w:lang w:eastAsia="en-US"/>
        </w:rPr>
        <w:tab/>
      </w:r>
      <w:r w:rsidRPr="00296AED">
        <w:rPr>
          <w:rFonts w:ascii="Calibri" w:eastAsia="MS Mincho" w:hAnsi="Calibri" w:cs="Calibri"/>
          <w:lang w:eastAsia="en-US"/>
        </w:rPr>
        <w:tab/>
        <w:t>(6)</w:t>
      </w:r>
    </w:p>
    <w:p w14:paraId="06B471B1" w14:textId="77777777" w:rsidR="00296AED" w:rsidRPr="00296AED" w:rsidRDefault="00296AED" w:rsidP="00953499">
      <w:pPr>
        <w:spacing w:before="0"/>
        <w:ind w:left="2160"/>
        <w:rPr>
          <w:rFonts w:ascii="Calibri" w:eastAsia="MS Mincho" w:hAnsi="Calibri" w:cs="Calibri"/>
          <w:lang w:eastAsia="en-US"/>
        </w:rPr>
      </w:pPr>
    </w:p>
    <w:p w14:paraId="06B471B2" w14:textId="77777777" w:rsidR="00296AED" w:rsidRPr="00296AED" w:rsidRDefault="00296AED" w:rsidP="00953499">
      <w:pPr>
        <w:spacing w:before="0"/>
        <w:ind w:left="2160"/>
        <w:rPr>
          <w:rFonts w:ascii="Calibri" w:eastAsia="MS Mincho" w:hAnsi="Calibri" w:cs="Calibri"/>
          <w:lang w:eastAsia="en-US"/>
        </w:rPr>
      </w:pPr>
    </w:p>
    <w:p w14:paraId="06B471B3"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lastRenderedPageBreak/>
        <w:t xml:space="preserve">Indeed, there are advantages to doing so. The main technical issue involved in estimating equation (6) is that we have a robust estimate of the </w:t>
      </w:r>
      <w:r w:rsidRPr="00213078">
        <w:rPr>
          <w:rFonts w:eastAsia="MS Mincho" w:cs="Arial"/>
          <w:i/>
          <w:lang w:eastAsia="en-US"/>
        </w:rPr>
        <w:t>causal effect</w:t>
      </w:r>
      <w:r w:rsidRPr="00213078">
        <w:rPr>
          <w:rFonts w:eastAsia="MS Mincho" w:cs="Arial"/>
          <w:lang w:eastAsia="en-US"/>
        </w:rPr>
        <w:t xml:space="preserve"> of income and the non-market good on life satisfaction. In other words, </w:t>
      </w:r>
      <w:r w:rsidRPr="00213078">
        <w:rPr>
          <w:rFonts w:eastAsia="MS Mincho" w:cs="Arial"/>
          <w:b/>
          <w:lang w:eastAsia="en-US"/>
        </w:rPr>
        <w:t xml:space="preserve">we require unbiased estimates of </w:t>
      </w:r>
      <m:oMath>
        <m:sSub>
          <m:sSubPr>
            <m:ctrlPr>
              <w:rPr>
                <w:rFonts w:ascii="Cambria Math" w:eastAsia="MS Mincho" w:hAnsi="Cambria Math" w:cs="Arial"/>
                <w:b/>
                <w:i/>
                <w:lang w:eastAsia="en-US"/>
              </w:rPr>
            </m:ctrlPr>
          </m:sSubPr>
          <m:e>
            <m:r>
              <m:rPr>
                <m:sty m:val="bi"/>
              </m:rPr>
              <w:rPr>
                <w:rFonts w:ascii="Cambria Math" w:eastAsia="MS Mincho" w:hAnsi="Cambria Math" w:cs="Arial"/>
                <w:lang w:eastAsia="en-US"/>
              </w:rPr>
              <m:t>β</m:t>
            </m:r>
          </m:e>
          <m:sub>
            <m:r>
              <m:rPr>
                <m:sty m:val="bi"/>
              </m:rPr>
              <w:rPr>
                <w:rFonts w:ascii="Cambria Math" w:eastAsia="MS Mincho" w:hAnsi="Cambria Math" w:cs="Arial"/>
                <w:lang w:eastAsia="en-US"/>
              </w:rPr>
              <m:t>1</m:t>
            </m:r>
          </m:sub>
        </m:sSub>
      </m:oMath>
      <w:r w:rsidRPr="00213078">
        <w:rPr>
          <w:rFonts w:eastAsia="MS Mincho" w:cs="Arial"/>
          <w:b/>
          <w:lang w:eastAsia="en-US"/>
        </w:rPr>
        <w:t xml:space="preserve"> and </w:t>
      </w:r>
      <m:oMath>
        <m:sSub>
          <m:sSubPr>
            <m:ctrlPr>
              <w:rPr>
                <w:rFonts w:ascii="Cambria Math" w:eastAsia="MS Mincho" w:hAnsi="Cambria Math" w:cs="Arial"/>
                <w:b/>
                <w:i/>
                <w:lang w:eastAsia="en-US"/>
              </w:rPr>
            </m:ctrlPr>
          </m:sSubPr>
          <m:e>
            <m:r>
              <m:rPr>
                <m:sty m:val="bi"/>
              </m:rPr>
              <w:rPr>
                <w:rFonts w:ascii="Cambria Math" w:eastAsia="MS Mincho" w:hAnsi="Cambria Math" w:cs="Arial"/>
                <w:lang w:eastAsia="en-US"/>
              </w:rPr>
              <m:t>β</m:t>
            </m:r>
          </m:e>
          <m:sub>
            <m:r>
              <m:rPr>
                <m:sty m:val="bi"/>
              </m:rPr>
              <w:rPr>
                <w:rFonts w:ascii="Cambria Math" w:eastAsia="MS Mincho" w:hAnsi="Cambria Math" w:cs="Arial"/>
                <w:lang w:eastAsia="en-US"/>
              </w:rPr>
              <m:t>2</m:t>
            </m:r>
          </m:sub>
        </m:sSub>
      </m:oMath>
      <w:r w:rsidRPr="00213078">
        <w:rPr>
          <w:rFonts w:eastAsia="MS Mincho" w:cs="Arial"/>
          <w:b/>
          <w:lang w:eastAsia="en-US"/>
        </w:rPr>
        <w:t>.</w:t>
      </w:r>
      <w:r w:rsidRPr="00213078">
        <w:rPr>
          <w:rFonts w:eastAsia="MS Mincho" w:cs="Arial"/>
          <w:lang w:eastAsia="en-US"/>
        </w:rPr>
        <w:t xml:space="preserve"> This has been especially problematic for income. The income variable in life satisfaction models suffers from endogeneity due to reverse causality and selection effects and measurement error which all tend to lead to </w:t>
      </w:r>
      <w:r w:rsidRPr="00213078">
        <w:rPr>
          <w:rFonts w:eastAsia="MS Mincho" w:cs="Arial"/>
          <w:i/>
          <w:lang w:eastAsia="en-US"/>
        </w:rPr>
        <w:t>downward</w:t>
      </w:r>
      <w:r w:rsidRPr="00213078">
        <w:rPr>
          <w:rFonts w:eastAsia="MS Mincho" w:cs="Arial"/>
          <w:lang w:eastAsia="en-US"/>
        </w:rPr>
        <w:t xml:space="preserve"> bias in the income coefficient in models like equation (7). Since the income coefficient acts as the denominator in the calculation of value in equation (6), this leads to an </w:t>
      </w:r>
      <w:r w:rsidRPr="00213078">
        <w:rPr>
          <w:rFonts w:eastAsia="MS Mincho" w:cs="Arial"/>
          <w:i/>
          <w:lang w:eastAsia="en-US"/>
        </w:rPr>
        <w:t>upward bias</w:t>
      </w:r>
      <w:r w:rsidRPr="00213078">
        <w:rPr>
          <w:rFonts w:eastAsia="MS Mincho" w:cs="Arial"/>
          <w:lang w:eastAsia="en-US"/>
        </w:rPr>
        <w:t xml:space="preserve"> in the value of non-market goods using the WV method. As a result, we have seen implausibly high values for non-market goods in the WV literature in the past. For example, according to a study by Clark and Oswald (2002), the value of employment is about £20,000 per month in addition to wage income. Previous work using the WV approach for the CASE programme that used the BHPS to look at the value of going to the cinema, concerts and taking part in sports also derived very high values. For example, they estimated that going to the cinema at least once per week had a value of about £9,000 per year, which equates to more than £100 per visit. The evidence tends to suggest that happier people may be more likely to earn less or that there are important unobservable (to the econometrician) factors that cause people to earn less, whilst also helping them to be happy anyway</w:t>
      </w:r>
      <w:r w:rsidRPr="00213078">
        <w:rPr>
          <w:rFonts w:eastAsia="MS Mincho" w:cs="Arial"/>
          <w:vertAlign w:val="superscript"/>
          <w:lang w:val="en-US" w:eastAsia="en-US"/>
        </w:rPr>
        <w:footnoteReference w:id="5"/>
      </w:r>
      <w:r w:rsidRPr="00213078">
        <w:rPr>
          <w:rFonts w:eastAsia="MS Mincho" w:cs="Arial"/>
          <w:lang w:eastAsia="en-US"/>
        </w:rPr>
        <w:t>. This in addition to the downward bias created by measurement error in the income variable will lead to an underestimate of the impact of income on SWB.</w:t>
      </w:r>
    </w:p>
    <w:p w14:paraId="06B471B4" w14:textId="77777777" w:rsidR="00296AED" w:rsidRPr="00213078" w:rsidRDefault="00296AED" w:rsidP="00953499">
      <w:pPr>
        <w:spacing w:before="0"/>
        <w:ind w:left="2160"/>
        <w:rPr>
          <w:rFonts w:eastAsia="MS Mincho" w:cs="Arial"/>
          <w:lang w:eastAsia="en-US"/>
        </w:rPr>
      </w:pPr>
    </w:p>
    <w:p w14:paraId="06B471B5"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The main difficulty in inferring causality from the available data is that there may be a host of factors and attributes that people differ on in addition to the difference in engagement or participation status. It may be these differences that drive changes in the outcomes we are interested in. In other words, using museum ‘goers’ as an example, we can see museum goers and non-goers in the data. Clearly, if we simply look at the group of people that go to museums compared to those that do not, then there are likely to be many differences between these groups. For example, the museum goers may be richer, more educated and less likely to have young children, and so the problem is that these attributes may be what is driving the differences in outcomes we see across the two groups. Certainly, if we were interested in life satisfaction we know that income impacts on life satisfaction and hence any positive association we may see between museum visits and life satisfaction could be due to income rather than any beneficial impact of museum visits on the individual.</w:t>
      </w:r>
    </w:p>
    <w:p w14:paraId="06B471B6" w14:textId="77777777" w:rsidR="00296AED" w:rsidRPr="00213078" w:rsidRDefault="00296AED" w:rsidP="00953499">
      <w:pPr>
        <w:spacing w:before="0"/>
        <w:ind w:left="2160"/>
        <w:rPr>
          <w:rFonts w:eastAsia="MS Mincho" w:cs="Arial"/>
          <w:lang w:eastAsia="en-US"/>
        </w:rPr>
      </w:pPr>
    </w:p>
    <w:p w14:paraId="06B471B7" w14:textId="77777777" w:rsidR="00296AED" w:rsidRPr="00213078" w:rsidRDefault="00296AED" w:rsidP="00953499">
      <w:pPr>
        <w:spacing w:before="0"/>
        <w:ind w:left="2160"/>
        <w:rPr>
          <w:rFonts w:eastAsia="MS Mincho" w:cs="Arial"/>
          <w:b/>
          <w:lang w:eastAsia="en-US"/>
        </w:rPr>
      </w:pPr>
      <w:r w:rsidRPr="00213078">
        <w:rPr>
          <w:rFonts w:eastAsia="MS Mincho" w:cs="Arial"/>
          <w:b/>
          <w:lang w:eastAsia="en-US"/>
        </w:rPr>
        <w:t xml:space="preserve">The general strategy used in this paper has been to control for as many of the determinants of a given outcome as possible using </w:t>
      </w:r>
      <w:r w:rsidRPr="00213078">
        <w:rPr>
          <w:rFonts w:eastAsia="MS Mincho" w:cs="Arial"/>
          <w:b/>
          <w:lang w:eastAsia="en-US"/>
        </w:rPr>
        <w:lastRenderedPageBreak/>
        <w:t>regression analysis</w:t>
      </w:r>
      <w:r w:rsidRPr="00213078">
        <w:rPr>
          <w:rFonts w:eastAsia="MS Mincho" w:cs="Arial"/>
          <w:lang w:eastAsia="en-US"/>
        </w:rPr>
        <w:t xml:space="preserve">. This methodology for causal inference is at least as robust as most research in this area (certainly, there are many studies that make no attempt to control for any differences across the two groups of interest). </w:t>
      </w:r>
      <w:r w:rsidRPr="00213078">
        <w:rPr>
          <w:rFonts w:eastAsia="MS Mincho" w:cs="Arial"/>
          <w:b/>
          <w:lang w:eastAsia="en-US"/>
        </w:rPr>
        <w:t>It is the optimal method given the nature of the data and hence we believe that the results presented in this paper are informative for policy-making purposes.</w:t>
      </w:r>
    </w:p>
    <w:p w14:paraId="06B471B8" w14:textId="77777777" w:rsidR="00296AED" w:rsidRPr="00213078" w:rsidRDefault="00296AED" w:rsidP="00953499">
      <w:pPr>
        <w:spacing w:before="0"/>
        <w:ind w:left="2160"/>
        <w:rPr>
          <w:rFonts w:eastAsia="MS Mincho" w:cs="Arial"/>
          <w:lang w:eastAsia="en-US"/>
        </w:rPr>
      </w:pPr>
    </w:p>
    <w:p w14:paraId="06B471B9"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To further deal with the issue of causality in wellbeing models </w:t>
      </w:r>
      <w:r w:rsidRPr="00213078">
        <w:rPr>
          <w:rFonts w:eastAsia="MS Mincho" w:cs="Arial"/>
          <w:b/>
          <w:lang w:eastAsia="en-US"/>
        </w:rPr>
        <w:t>we use an instrumental variable (IV) approach</w:t>
      </w:r>
      <w:r w:rsidRPr="00213078">
        <w:rPr>
          <w:rFonts w:eastAsia="MS Mincho" w:cs="Arial"/>
          <w:lang w:eastAsia="en-US"/>
        </w:rPr>
        <w:t xml:space="preserve">, which eliminates the correlation between the error term and the income variable due to measurement error and/or endogeneity. A number of IVs for income have been proposed and employed in the SWB literature. These include spouse’s income, industrial sector and spouse’s education level (Pischke, 2010). These IVs are problematic as it is not clear that they satisfy the exclusion restriction and exogeneity criteria (especially the latter). </w:t>
      </w:r>
    </w:p>
    <w:p w14:paraId="06B471BA" w14:textId="77777777" w:rsidR="00296AED" w:rsidRPr="00213078" w:rsidRDefault="00296AED" w:rsidP="00953499">
      <w:pPr>
        <w:spacing w:before="0"/>
        <w:ind w:left="2160"/>
        <w:rPr>
          <w:rFonts w:eastAsia="MS Mincho" w:cs="Arial"/>
          <w:lang w:eastAsia="en-US"/>
        </w:rPr>
      </w:pPr>
    </w:p>
    <w:p w14:paraId="06B471BB" w14:textId="77777777" w:rsidR="00296AED" w:rsidRPr="00213078" w:rsidRDefault="00296AED" w:rsidP="00953499">
      <w:pPr>
        <w:spacing w:before="0"/>
        <w:ind w:left="2160"/>
        <w:rPr>
          <w:rFonts w:eastAsia="MS Mincho" w:cs="Arial"/>
          <w:lang w:eastAsia="en-US"/>
        </w:rPr>
      </w:pPr>
      <w:r w:rsidRPr="00213078">
        <w:rPr>
          <w:rFonts w:eastAsia="MS Mincho" w:cs="Arial"/>
          <w:b/>
          <w:lang w:eastAsia="en-US"/>
        </w:rPr>
        <w:t>A more robust IV for income is lottery wins amongst lottery players</w:t>
      </w:r>
      <w:r w:rsidRPr="00213078">
        <w:rPr>
          <w:rFonts w:eastAsia="MS Mincho" w:cs="Arial"/>
          <w:lang w:eastAsia="en-US"/>
        </w:rPr>
        <w:t>, since by law they are random among lottery players and, by comparing small versus mid-sized lottery winners, we can assume that the exclusion restriction also holds. Lottery wins have been used in the SWB literature before by Lindahl (2002), Apouey and Clark (2009), Fujiwara (2013b) and Gardner and Oswald (2007) and here we closely follow Fujiwara (2013b). Understanding Society does not ask people about lottery wins, but we do have extensive data on lottery playing in the BHPS and hence use the BHPS dataset to estimate the causal impact of income on life satisfaction (</w:t>
      </w:r>
      <m:oMath>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1</m:t>
            </m:r>
          </m:sub>
        </m:sSub>
      </m:oMath>
      <w:r w:rsidRPr="00213078">
        <w:rPr>
          <w:rFonts w:eastAsia="MS Mincho" w:cs="Arial"/>
          <w:lang w:eastAsia="en-US"/>
        </w:rPr>
        <w:t xml:space="preserve">) in equation (6). The description of the methodology is set out in Annex section A.2. </w:t>
      </w:r>
    </w:p>
    <w:p w14:paraId="06B471BC" w14:textId="77777777" w:rsidR="00296AED" w:rsidRPr="00213078" w:rsidRDefault="00296AED" w:rsidP="00953499">
      <w:pPr>
        <w:widowControl w:val="0"/>
        <w:autoSpaceDE w:val="0"/>
        <w:autoSpaceDN w:val="0"/>
        <w:adjustRightInd w:val="0"/>
        <w:spacing w:before="0"/>
        <w:ind w:left="2160"/>
        <w:rPr>
          <w:rFonts w:eastAsia="MS Mincho" w:cs="Arial"/>
          <w:lang w:eastAsia="en-US"/>
        </w:rPr>
      </w:pPr>
    </w:p>
    <w:p w14:paraId="06B471BD" w14:textId="77777777"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lang w:eastAsia="en-US"/>
        </w:rPr>
        <w:t>We estimate the parameters needed to calculate CS in equation (6) in two separate models as follows:</w:t>
      </w:r>
    </w:p>
    <w:p w14:paraId="06B471BE" w14:textId="77777777" w:rsidR="00296AED" w:rsidRPr="00296AED" w:rsidRDefault="00296AED" w:rsidP="00953499">
      <w:pPr>
        <w:widowControl w:val="0"/>
        <w:autoSpaceDE w:val="0"/>
        <w:autoSpaceDN w:val="0"/>
        <w:adjustRightInd w:val="0"/>
        <w:spacing w:before="0"/>
        <w:ind w:left="2160"/>
        <w:rPr>
          <w:rFonts w:ascii="Calibri" w:eastAsia="MS Mincho" w:hAnsi="Calibri" w:cs="Calibri"/>
          <w:lang w:eastAsia="en-US"/>
        </w:rPr>
      </w:pPr>
    </w:p>
    <w:p w14:paraId="06B471BF" w14:textId="77777777" w:rsidR="00296AED" w:rsidRPr="00213078" w:rsidRDefault="00296AED" w:rsidP="00953499">
      <w:pPr>
        <w:widowControl w:val="0"/>
        <w:autoSpaceDE w:val="0"/>
        <w:autoSpaceDN w:val="0"/>
        <w:adjustRightInd w:val="0"/>
        <w:spacing w:before="0"/>
        <w:ind w:left="2160"/>
        <w:rPr>
          <w:rFonts w:eastAsia="MS Mincho" w:cs="Arial"/>
          <w:b/>
          <w:lang w:eastAsia="en-US"/>
        </w:rPr>
      </w:pPr>
      <w:r w:rsidRPr="00213078">
        <w:rPr>
          <w:rFonts w:eastAsia="MS Mincho" w:cs="Arial"/>
          <w:b/>
          <w:lang w:eastAsia="en-US"/>
        </w:rPr>
        <w:t>Arts and sports model</w:t>
      </w:r>
    </w:p>
    <w:p w14:paraId="06B471C0" w14:textId="77777777" w:rsidR="00296AED" w:rsidRPr="00296AED" w:rsidRDefault="00296AED" w:rsidP="00953499">
      <w:pPr>
        <w:spacing w:before="0"/>
        <w:ind w:left="2160"/>
        <w:rPr>
          <w:rFonts w:ascii="Calibri" w:eastAsia="MS Mincho" w:hAnsi="Calibri" w:cs="Calibri"/>
          <w:lang w:eastAsia="en-US"/>
        </w:rPr>
      </w:pPr>
    </w:p>
    <w:p w14:paraId="06B471C1" w14:textId="77777777" w:rsidR="00296AED" w:rsidRPr="00296AED" w:rsidRDefault="00C04AC9" w:rsidP="00953499">
      <w:pPr>
        <w:spacing w:before="0"/>
        <w:ind w:left="2160"/>
        <w:rPr>
          <w:rFonts w:ascii="Calibri" w:eastAsia="MS Mincho" w:hAnsi="Calibri" w:cs="Calibri"/>
          <w:lang w:eastAsia="en-US"/>
        </w:rPr>
      </w:pPr>
      <m:oMath>
        <m:sSub>
          <m:sSubPr>
            <m:ctrlPr>
              <w:rPr>
                <w:rFonts w:ascii="Cambria Math" w:eastAsia="MS Mincho" w:hAnsi="Cambria Math" w:cs="Calibri"/>
                <w:i/>
                <w:lang w:eastAsia="en-US"/>
              </w:rPr>
            </m:ctrlPr>
          </m:sSubPr>
          <m:e>
            <m:r>
              <w:rPr>
                <w:rFonts w:ascii="Cambria Math" w:eastAsia="MS Mincho" w:hAnsi="Cambria Math" w:cs="Calibri"/>
                <w:lang w:eastAsia="en-US"/>
              </w:rPr>
              <m:t>LS</m:t>
            </m:r>
          </m:e>
          <m:sub>
            <m:r>
              <w:rPr>
                <w:rFonts w:ascii="Cambria Math" w:eastAsia="MS Mincho" w:hAnsi="Cambria Math" w:cs="Calibri"/>
                <w:lang w:eastAsia="en-US"/>
              </w:rPr>
              <m:t>i</m:t>
            </m:r>
          </m:sub>
        </m:sSub>
        <m:r>
          <w:rPr>
            <w:rFonts w:ascii="Cambria Math" w:eastAsia="MS Mincho" w:hAnsi="Cambria Math" w:cs="Calibri"/>
            <w:lang w:eastAsia="en-US"/>
          </w:rPr>
          <m:t>=α</m:t>
        </m:r>
        <m:r>
          <m:rPr>
            <m:sty m:val="p"/>
          </m:rPr>
          <w:rPr>
            <w:rFonts w:ascii="Cambria Math" w:eastAsia="MS Mincho" w:hAnsi="Cambria Math" w:cs="Calibri"/>
            <w:lang w:eastAsia="en-US"/>
          </w:rPr>
          <m:t>+</m:t>
        </m:r>
        <m:sSub>
          <m:sSubPr>
            <m:ctrlPr>
              <w:rPr>
                <w:rFonts w:ascii="Cambria Math" w:eastAsia="MS Mincho" w:hAnsi="Cambria Math" w:cs="Calibr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1</m:t>
            </m:r>
          </m:sub>
        </m:sSub>
        <m:sSub>
          <m:sSubPr>
            <m:ctrlPr>
              <w:rPr>
                <w:rFonts w:ascii="Cambria Math" w:eastAsia="MS Mincho" w:hAnsi="Cambria Math" w:cs="Calibri"/>
                <w:i/>
                <w:lang w:eastAsia="en-US"/>
              </w:rPr>
            </m:ctrlPr>
          </m:sSubPr>
          <m:e>
            <m:r>
              <w:rPr>
                <w:rFonts w:ascii="Cambria Math" w:eastAsia="MS Mincho" w:hAnsi="Cambria Math" w:cs="Calibri"/>
                <w:lang w:eastAsia="en-US"/>
              </w:rPr>
              <m:t>M</m:t>
            </m:r>
          </m:e>
          <m:sub>
            <m:r>
              <w:rPr>
                <w:rFonts w:ascii="Cambria Math" w:eastAsia="MS Mincho" w:hAnsi="Cambria Math" w:cs="Calibri"/>
                <w:lang w:eastAsia="en-US"/>
              </w:rPr>
              <m:t>i</m:t>
            </m:r>
          </m:sub>
        </m:sSub>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2</m:t>
            </m:r>
          </m:sub>
        </m:sSub>
        <m:sSub>
          <m:sSubPr>
            <m:ctrlPr>
              <w:rPr>
                <w:rFonts w:ascii="Cambria Math" w:eastAsia="MS Mincho" w:hAnsi="Cambria Math" w:cs="Calibri"/>
                <w:i/>
                <w:lang w:eastAsia="en-US"/>
              </w:rPr>
            </m:ctrlPr>
          </m:sSubPr>
          <m:e>
            <m:r>
              <w:rPr>
                <w:rFonts w:ascii="Cambria Math" w:eastAsia="MS Mincho" w:hAnsi="Cambria Math" w:cs="Calibri"/>
                <w:lang w:eastAsia="en-US"/>
              </w:rPr>
              <m:t>Q</m:t>
            </m:r>
          </m:e>
          <m:sub>
            <m:r>
              <w:rPr>
                <w:rFonts w:ascii="Cambria Math" w:eastAsia="MS Mincho" w:hAnsi="Cambria Math" w:cs="Calibri"/>
                <w:lang w:eastAsia="en-US"/>
              </w:rPr>
              <m:t>i</m:t>
            </m:r>
          </m:sub>
        </m:sSub>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3</m:t>
            </m:r>
          </m:sub>
        </m:sSub>
        <m:sSub>
          <m:sSubPr>
            <m:ctrlPr>
              <w:rPr>
                <w:rFonts w:ascii="Cambria Math" w:eastAsia="MS Mincho" w:hAnsi="Cambria Math" w:cs="Calibri"/>
                <w:i/>
                <w:lang w:eastAsia="en-US"/>
              </w:rPr>
            </m:ctrlPr>
          </m:sSubPr>
          <m:e>
            <m:r>
              <w:rPr>
                <w:rFonts w:ascii="Cambria Math" w:eastAsia="MS Mincho" w:hAnsi="Cambria Math" w:cs="Calibri"/>
                <w:lang w:eastAsia="en-US"/>
              </w:rPr>
              <m:t>X</m:t>
            </m:r>
          </m:e>
          <m:sub>
            <m:r>
              <w:rPr>
                <w:rFonts w:ascii="Cambria Math" w:eastAsia="MS Mincho" w:hAnsi="Cambria Math" w:cs="Calibri"/>
                <w:lang w:eastAsia="en-US"/>
              </w:rPr>
              <m:t>1i</m:t>
            </m:r>
          </m:sub>
        </m:sSub>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ε</m:t>
            </m:r>
          </m:e>
          <m:sub>
            <m:r>
              <w:rPr>
                <w:rFonts w:ascii="Cambria Math" w:eastAsia="MS Mincho" w:hAnsi="Cambria Math" w:cs="Calibri"/>
                <w:lang w:eastAsia="en-US"/>
              </w:rPr>
              <m:t>i</m:t>
            </m:r>
          </m:sub>
        </m:sSub>
      </m:oMath>
      <w:r w:rsidR="00296AED" w:rsidRPr="00296AED">
        <w:rPr>
          <w:rFonts w:ascii="Calibri" w:eastAsia="MS Mincho" w:hAnsi="Calibri" w:cs="Calibri"/>
          <w:lang w:eastAsia="en-US"/>
        </w:rPr>
        <w:t xml:space="preserve"> </w:t>
      </w:r>
      <w:r w:rsidR="00296AED" w:rsidRPr="00296AED">
        <w:rPr>
          <w:rFonts w:ascii="Calibri" w:eastAsia="MS Mincho" w:hAnsi="Calibri" w:cs="Calibri"/>
          <w:lang w:eastAsia="en-US"/>
        </w:rPr>
        <w:tab/>
      </w:r>
      <w:r w:rsidR="00296AED" w:rsidRPr="00296AED">
        <w:rPr>
          <w:rFonts w:ascii="Calibri" w:eastAsia="MS Mincho" w:hAnsi="Calibri" w:cs="Calibri"/>
          <w:lang w:eastAsia="en-US"/>
        </w:rPr>
        <w:tab/>
        <w:t>(8)</w:t>
      </w:r>
    </w:p>
    <w:p w14:paraId="06B471C2" w14:textId="77777777" w:rsidR="00296AED" w:rsidRPr="00296AED" w:rsidRDefault="00296AED" w:rsidP="00953499">
      <w:pPr>
        <w:spacing w:before="0"/>
        <w:ind w:left="2160"/>
        <w:rPr>
          <w:rFonts w:ascii="Calibri" w:eastAsia="MS Mincho" w:hAnsi="Calibri" w:cs="Calibri"/>
          <w:lang w:eastAsia="en-US"/>
        </w:rPr>
      </w:pPr>
    </w:p>
    <w:p w14:paraId="06B471C3" w14:textId="77777777" w:rsidR="00296AED" w:rsidRPr="00296AED" w:rsidRDefault="00296AED" w:rsidP="00953499">
      <w:pPr>
        <w:spacing w:before="0"/>
        <w:ind w:left="2160"/>
        <w:rPr>
          <w:rFonts w:ascii="Calibri" w:eastAsia="MS Mincho" w:hAnsi="Calibri" w:cs="Calibri"/>
          <w:lang w:eastAsia="en-US"/>
        </w:rPr>
      </w:pPr>
    </w:p>
    <w:p w14:paraId="06B471C4" w14:textId="77777777" w:rsidR="00296AED" w:rsidRPr="00213078" w:rsidRDefault="00296AED" w:rsidP="00953499">
      <w:pPr>
        <w:spacing w:before="0"/>
        <w:ind w:left="2160"/>
        <w:rPr>
          <w:rFonts w:eastAsia="MS Mincho" w:cs="Arial"/>
          <w:b/>
          <w:lang w:eastAsia="en-US"/>
        </w:rPr>
      </w:pPr>
      <w:r w:rsidRPr="00213078">
        <w:rPr>
          <w:rFonts w:eastAsia="MS Mincho" w:cs="Arial"/>
          <w:b/>
          <w:lang w:eastAsia="en-US"/>
        </w:rPr>
        <w:t>Two-stage least squares income model</w:t>
      </w:r>
    </w:p>
    <w:p w14:paraId="06B471C5" w14:textId="77777777" w:rsidR="00296AED" w:rsidRPr="00296AED" w:rsidRDefault="00296AED" w:rsidP="00953499">
      <w:pPr>
        <w:spacing w:before="0"/>
        <w:ind w:left="2160"/>
        <w:rPr>
          <w:rFonts w:ascii="Calibri" w:eastAsia="MS Mincho" w:hAnsi="Calibri" w:cs="Calibri"/>
          <w:sz w:val="20"/>
          <w:lang w:eastAsia="en-US"/>
        </w:rPr>
      </w:pPr>
    </w:p>
    <w:p w14:paraId="06B471C6" w14:textId="77777777" w:rsidR="00296AED" w:rsidRPr="00296AED" w:rsidRDefault="00C04AC9" w:rsidP="00953499">
      <w:pPr>
        <w:spacing w:before="0"/>
        <w:ind w:left="2160"/>
        <w:rPr>
          <w:rFonts w:ascii="Calibri" w:eastAsia="MS Mincho" w:hAnsi="Calibri" w:cs="Calibri"/>
          <w:lang w:eastAsia="en-US"/>
        </w:rPr>
      </w:pPr>
      <m:oMath>
        <m:sSub>
          <m:sSubPr>
            <m:ctrlPr>
              <w:rPr>
                <w:rFonts w:ascii="Cambria Math" w:eastAsia="MS Mincho" w:hAnsi="Cambria Math" w:cs="Calibri"/>
                <w:i/>
                <w:lang w:eastAsia="en-US"/>
              </w:rPr>
            </m:ctrlPr>
          </m:sSubPr>
          <m:e>
            <m:r>
              <w:rPr>
                <w:rFonts w:ascii="Cambria Math" w:eastAsia="MS Mincho" w:hAnsi="Cambria Math" w:cs="Calibri"/>
                <w:lang w:eastAsia="en-US"/>
              </w:rPr>
              <m:t>LS</m:t>
            </m:r>
          </m:e>
          <m:sub>
            <m:r>
              <w:rPr>
                <w:rFonts w:ascii="Cambria Math" w:eastAsia="MS Mincho" w:hAnsi="Cambria Math" w:cs="Calibri"/>
                <w:lang w:eastAsia="en-US"/>
              </w:rPr>
              <m:t>i</m:t>
            </m:r>
          </m:sub>
        </m:sSub>
        <m:r>
          <w:rPr>
            <w:rFonts w:ascii="Cambria Math" w:eastAsia="MS Mincho" w:hAnsi="Cambria Math" w:cs="Calibri"/>
            <w:lang w:eastAsia="en-US"/>
          </w:rPr>
          <m:t>=π+</m:t>
        </m:r>
        <m:sSubSup>
          <m:sSubSupPr>
            <m:ctrlPr>
              <w:rPr>
                <w:rFonts w:ascii="Cambria Math" w:eastAsia="MS Mincho" w:hAnsi="Cambria Math" w:cs="Calibri"/>
                <w:i/>
                <w:lang w:eastAsia="en-US"/>
              </w:rPr>
            </m:ctrlPr>
          </m:sSubSupPr>
          <m:e>
            <m:r>
              <w:rPr>
                <w:rFonts w:ascii="Cambria Math" w:eastAsia="MS Mincho" w:hAnsi="Cambria Math" w:cs="Calibri"/>
                <w:lang w:eastAsia="en-US"/>
              </w:rPr>
              <m:t>β</m:t>
            </m:r>
          </m:e>
          <m:sub>
            <m:r>
              <w:rPr>
                <w:rFonts w:ascii="Cambria Math" w:eastAsia="MS Mincho" w:hAnsi="Cambria Math" w:cs="Calibri"/>
                <w:lang w:eastAsia="en-US"/>
              </w:rPr>
              <m:t>1</m:t>
            </m:r>
          </m:sub>
          <m:sup>
            <m:r>
              <w:rPr>
                <w:rFonts w:ascii="Cambria Math" w:eastAsia="MS Mincho" w:hAnsi="Cambria Math" w:cs="Calibri"/>
                <w:lang w:eastAsia="en-US"/>
              </w:rPr>
              <m:t>*</m:t>
            </m:r>
          </m:sup>
        </m:sSubSup>
        <m:func>
          <m:funcPr>
            <m:ctrlPr>
              <w:rPr>
                <w:rFonts w:ascii="Cambria Math" w:eastAsia="MS Mincho" w:hAnsi="Cambria Math" w:cs="Calibri"/>
                <w:lang w:eastAsia="en-US"/>
              </w:rPr>
            </m:ctrlPr>
          </m:funcPr>
          <m:fName>
            <m:r>
              <m:rPr>
                <m:sty m:val="p"/>
              </m:rPr>
              <w:rPr>
                <w:rFonts w:ascii="Cambria Math" w:eastAsia="MS Mincho" w:hAnsi="Cambria Math" w:cs="Calibri"/>
                <w:lang w:eastAsia="en-US"/>
              </w:rPr>
              <m:t>ln</m:t>
            </m:r>
          </m:fName>
          <m:e>
            <m:d>
              <m:dPr>
                <m:ctrlPr>
                  <w:rPr>
                    <w:rFonts w:ascii="Cambria Math" w:eastAsia="MS Mincho" w:hAnsi="Cambria Math" w:cs="Calibri"/>
                    <w:i/>
                    <w:lang w:eastAsia="en-US"/>
                  </w:rPr>
                </m:ctrlPr>
              </m:dPr>
              <m:e>
                <m:sSub>
                  <m:sSubPr>
                    <m:ctrlPr>
                      <w:rPr>
                        <w:rFonts w:ascii="Cambria Math" w:eastAsia="MS Mincho" w:hAnsi="Cambria Math" w:cs="Calibri"/>
                        <w:i/>
                        <w:lang w:eastAsia="en-US"/>
                      </w:rPr>
                    </m:ctrlPr>
                  </m:sSubPr>
                  <m:e>
                    <m:r>
                      <w:rPr>
                        <w:rFonts w:ascii="Cambria Math" w:eastAsia="MS Mincho" w:hAnsi="Cambria Math" w:cs="Calibri"/>
                        <w:lang w:eastAsia="en-US"/>
                      </w:rPr>
                      <m:t>M</m:t>
                    </m:r>
                  </m:e>
                  <m:sub>
                    <m:r>
                      <w:rPr>
                        <w:rFonts w:ascii="Cambria Math" w:eastAsia="MS Mincho" w:hAnsi="Cambria Math" w:cs="Calibri"/>
                        <w:lang w:eastAsia="en-US"/>
                      </w:rPr>
                      <m:t>i</m:t>
                    </m:r>
                  </m:sub>
                </m:sSub>
              </m:e>
            </m:d>
          </m:e>
        </m:func>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2</m:t>
            </m:r>
          </m:sub>
        </m:sSub>
        <m:sSub>
          <m:sSubPr>
            <m:ctrlPr>
              <w:rPr>
                <w:rFonts w:ascii="Cambria Math" w:eastAsia="MS Mincho" w:hAnsi="Cambria Math" w:cs="Calibri"/>
                <w:i/>
                <w:lang w:eastAsia="en-US"/>
              </w:rPr>
            </m:ctrlPr>
          </m:sSubPr>
          <m:e>
            <m:r>
              <w:rPr>
                <w:rFonts w:ascii="Cambria Math" w:eastAsia="MS Mincho" w:hAnsi="Cambria Math" w:cs="Calibri"/>
                <w:lang w:eastAsia="en-US"/>
              </w:rPr>
              <m:t>X</m:t>
            </m:r>
          </m:e>
          <m:sub>
            <m:r>
              <w:rPr>
                <w:rFonts w:ascii="Cambria Math" w:eastAsia="MS Mincho" w:hAnsi="Cambria Math" w:cs="Calibri"/>
                <w:lang w:eastAsia="en-US"/>
              </w:rPr>
              <m:t>2i</m:t>
            </m:r>
          </m:sub>
        </m:sSub>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ε</m:t>
            </m:r>
          </m:e>
          <m:sub>
            <m:r>
              <w:rPr>
                <w:rFonts w:ascii="Cambria Math" w:eastAsia="MS Mincho" w:hAnsi="Cambria Math" w:cs="Calibri"/>
                <w:lang w:eastAsia="en-US"/>
              </w:rPr>
              <m:t>i</m:t>
            </m:r>
          </m:sub>
        </m:sSub>
      </m:oMath>
      <w:r w:rsidR="00296AED" w:rsidRPr="00296AED">
        <w:rPr>
          <w:rFonts w:ascii="Calibri" w:eastAsia="MS Mincho" w:hAnsi="Calibri" w:cs="Calibri"/>
          <w:lang w:eastAsia="en-US"/>
        </w:rPr>
        <w:t xml:space="preserve"> </w:t>
      </w:r>
      <w:r w:rsidR="00296AED" w:rsidRPr="00296AED">
        <w:rPr>
          <w:rFonts w:ascii="Calibri" w:eastAsia="MS Mincho" w:hAnsi="Calibri" w:cs="Calibri"/>
          <w:lang w:eastAsia="en-US"/>
        </w:rPr>
        <w:tab/>
      </w:r>
      <w:r w:rsidR="00296AED" w:rsidRPr="00296AED">
        <w:rPr>
          <w:rFonts w:ascii="Calibri" w:eastAsia="MS Mincho" w:hAnsi="Calibri" w:cs="Calibri"/>
          <w:lang w:eastAsia="en-US"/>
        </w:rPr>
        <w:tab/>
        <w:t>(9)</w:t>
      </w:r>
    </w:p>
    <w:p w14:paraId="06B471C7" w14:textId="77777777" w:rsidR="00296AED" w:rsidRPr="00296AED" w:rsidRDefault="00296AED" w:rsidP="00953499">
      <w:pPr>
        <w:spacing w:before="0"/>
        <w:ind w:left="2160"/>
        <w:rPr>
          <w:rFonts w:ascii="Calibri" w:eastAsia="MS Mincho" w:hAnsi="Calibri" w:cs="Calibri"/>
          <w:lang w:eastAsia="en-US"/>
        </w:rPr>
      </w:pPr>
    </w:p>
    <w:p w14:paraId="06B471C8" w14:textId="77777777" w:rsidR="00296AED" w:rsidRPr="00296AED" w:rsidRDefault="00296AED" w:rsidP="00953499">
      <w:pPr>
        <w:spacing w:before="0"/>
        <w:ind w:left="2160"/>
        <w:rPr>
          <w:rFonts w:ascii="Calibri" w:eastAsia="MS Mincho" w:hAnsi="Calibri" w:cs="Calibri"/>
          <w:lang w:eastAsia="en-US"/>
        </w:rPr>
      </w:pPr>
      <m:oMath>
        <m:r>
          <m:rPr>
            <m:sty m:val="p"/>
          </m:rPr>
          <w:rPr>
            <w:rFonts w:ascii="Cambria Math" w:eastAsia="MS Mincho" w:hAnsi="Cambria Math" w:cs="Calibri"/>
            <w:lang w:eastAsia="en-US"/>
          </w:rPr>
          <m:t>ln⁡</m:t>
        </m:r>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M</m:t>
            </m:r>
          </m:e>
          <m:sub>
            <m:r>
              <w:rPr>
                <w:rFonts w:ascii="Cambria Math" w:eastAsia="MS Mincho" w:hAnsi="Cambria Math" w:cs="Calibri"/>
                <w:lang w:eastAsia="en-US"/>
              </w:rPr>
              <m:t>i</m:t>
            </m:r>
          </m:sub>
        </m:sSub>
        <m:r>
          <w:rPr>
            <w:rFonts w:ascii="Cambria Math" w:eastAsia="MS Mincho" w:hAnsi="Cambria Math" w:cs="Calibri"/>
            <w:lang w:eastAsia="en-US"/>
          </w:rPr>
          <m:t>)=π+γ</m:t>
        </m:r>
        <m:sSub>
          <m:sSubPr>
            <m:ctrlPr>
              <w:rPr>
                <w:rFonts w:ascii="Cambria Math" w:eastAsia="MS Mincho" w:hAnsi="Cambria Math" w:cs="Calibri"/>
                <w:i/>
                <w:lang w:eastAsia="en-US"/>
              </w:rPr>
            </m:ctrlPr>
          </m:sSubPr>
          <m:e>
            <m:r>
              <w:rPr>
                <w:rFonts w:ascii="Cambria Math" w:eastAsia="MS Mincho" w:hAnsi="Cambria Math" w:cs="Calibri"/>
                <w:lang w:eastAsia="en-US"/>
              </w:rPr>
              <m:t>Z</m:t>
            </m:r>
          </m:e>
          <m:sub>
            <m:r>
              <w:rPr>
                <w:rFonts w:ascii="Cambria Math" w:eastAsia="MS Mincho" w:hAnsi="Cambria Math" w:cs="Calibri"/>
                <w:lang w:eastAsia="en-US"/>
              </w:rPr>
              <m:t>i</m:t>
            </m:r>
          </m:sub>
        </m:sSub>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ϑ</m:t>
            </m:r>
          </m:e>
          <m:sub>
            <m:r>
              <w:rPr>
                <w:rFonts w:ascii="Cambria Math" w:eastAsia="MS Mincho" w:hAnsi="Cambria Math" w:cs="Calibri"/>
                <w:lang w:eastAsia="en-US"/>
              </w:rPr>
              <m:t>i</m:t>
            </m:r>
          </m:sub>
        </m:sSub>
      </m:oMath>
      <w:r w:rsidRPr="00296AED">
        <w:rPr>
          <w:rFonts w:ascii="Calibri" w:eastAsia="MS Mincho" w:hAnsi="Calibri" w:cs="Calibri"/>
          <w:lang w:eastAsia="en-US"/>
        </w:rPr>
        <w:t xml:space="preserve"> </w:t>
      </w:r>
      <w:r w:rsidRPr="00296AED">
        <w:rPr>
          <w:rFonts w:ascii="Calibri" w:eastAsia="MS Mincho" w:hAnsi="Calibri" w:cs="Calibri"/>
          <w:lang w:eastAsia="en-US"/>
        </w:rPr>
        <w:tab/>
      </w:r>
      <w:r w:rsidRPr="00296AED">
        <w:rPr>
          <w:rFonts w:ascii="Calibri" w:eastAsia="MS Mincho" w:hAnsi="Calibri" w:cs="Calibri"/>
          <w:lang w:eastAsia="en-US"/>
        </w:rPr>
        <w:tab/>
      </w:r>
      <w:r w:rsidRPr="00296AED">
        <w:rPr>
          <w:rFonts w:ascii="Calibri" w:eastAsia="MS Mincho" w:hAnsi="Calibri" w:cs="Calibri"/>
          <w:lang w:eastAsia="en-US"/>
        </w:rPr>
        <w:tab/>
        <w:t>(10)</w:t>
      </w:r>
    </w:p>
    <w:p w14:paraId="06B471C9" w14:textId="77777777" w:rsidR="00296AED" w:rsidRPr="00296AED" w:rsidRDefault="00296AED" w:rsidP="00953499">
      <w:pPr>
        <w:spacing w:before="0"/>
        <w:ind w:left="2160"/>
        <w:rPr>
          <w:rFonts w:ascii="Calibri" w:eastAsia="MS Mincho" w:hAnsi="Calibri" w:cs="Calibri"/>
          <w:lang w:eastAsia="en-US"/>
        </w:rPr>
      </w:pPr>
    </w:p>
    <w:p w14:paraId="06B471CA"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Equation (8) is estimated using Wave 2 of Understanding Society and equations (9) and (10) are estimated using the BHPS. </w:t>
      </w:r>
      <m:oMath>
        <m:sSub>
          <m:sSubPr>
            <m:ctrlPr>
              <w:rPr>
                <w:rFonts w:ascii="Cambria Math" w:eastAsia="MS Mincho" w:hAnsi="Cambria Math" w:cs="Arial"/>
                <w:i/>
                <w:lang w:eastAsia="en-US"/>
              </w:rPr>
            </m:ctrlPr>
          </m:sSubPr>
          <m:e>
            <m:r>
              <w:rPr>
                <w:rFonts w:ascii="Cambria Math" w:eastAsia="MS Mincho" w:hAnsi="Cambria Math" w:cs="Arial"/>
                <w:lang w:eastAsia="en-US"/>
              </w:rPr>
              <m:t>Q</m:t>
            </m:r>
          </m:e>
          <m:sub>
            <m:r>
              <w:rPr>
                <w:rFonts w:ascii="Cambria Math" w:eastAsia="MS Mincho" w:hAnsi="Cambria Math" w:cs="Arial"/>
                <w:lang w:eastAsia="en-US"/>
              </w:rPr>
              <m:t>i</m:t>
            </m:r>
          </m:sub>
        </m:sSub>
      </m:oMath>
      <w:r w:rsidRPr="00213078">
        <w:rPr>
          <w:rFonts w:eastAsia="MS Mincho" w:cs="Arial"/>
          <w:lang w:eastAsia="en-US"/>
        </w:rPr>
        <w:t xml:space="preserve"> is a vector of arts and sport engagement variables; </w:t>
      </w:r>
      <m:oMath>
        <m:sSub>
          <m:sSubPr>
            <m:ctrlPr>
              <w:rPr>
                <w:rFonts w:ascii="Cambria Math" w:eastAsia="MS Mincho" w:hAnsi="Cambria Math" w:cs="Arial"/>
                <w:i/>
                <w:lang w:eastAsia="en-US"/>
              </w:rPr>
            </m:ctrlPr>
          </m:sSubPr>
          <m:e>
            <m:r>
              <w:rPr>
                <w:rFonts w:ascii="Cambria Math" w:eastAsia="MS Mincho" w:hAnsi="Cambria Math" w:cs="Arial"/>
                <w:lang w:eastAsia="en-US"/>
              </w:rPr>
              <m:t>X</m:t>
            </m:r>
          </m:e>
          <m:sub>
            <m:r>
              <w:rPr>
                <w:rFonts w:ascii="Cambria Math" w:eastAsia="MS Mincho" w:hAnsi="Cambria Math" w:cs="Arial"/>
                <w:lang w:eastAsia="en-US"/>
              </w:rPr>
              <m:t>1i</m:t>
            </m:r>
          </m:sub>
        </m:sSub>
      </m:oMath>
      <w:r w:rsidRPr="00213078">
        <w:rPr>
          <w:rFonts w:eastAsia="MS Mincho" w:cs="Arial"/>
          <w:lang w:eastAsia="en-US"/>
        </w:rPr>
        <w:t xml:space="preserve"> is a vector of determinants of LS; </w:t>
      </w:r>
      <m:oMath>
        <m:sSub>
          <m:sSubPr>
            <m:ctrlPr>
              <w:rPr>
                <w:rFonts w:ascii="Cambria Math" w:eastAsia="MS Mincho" w:hAnsi="Cambria Math" w:cs="Arial"/>
                <w:i/>
                <w:lang w:eastAsia="en-US"/>
              </w:rPr>
            </m:ctrlPr>
          </m:sSubPr>
          <m:e>
            <m:r>
              <w:rPr>
                <w:rFonts w:ascii="Cambria Math" w:eastAsia="MS Mincho" w:hAnsi="Cambria Math" w:cs="Arial"/>
                <w:lang w:eastAsia="en-US"/>
              </w:rPr>
              <m:t>X</m:t>
            </m:r>
          </m:e>
          <m:sub>
            <m:r>
              <w:rPr>
                <w:rFonts w:ascii="Cambria Math" w:eastAsia="MS Mincho" w:hAnsi="Cambria Math" w:cs="Arial"/>
                <w:lang w:eastAsia="en-US"/>
              </w:rPr>
              <m:t>2i</m:t>
            </m:r>
          </m:sub>
        </m:sSub>
      </m:oMath>
      <w:r w:rsidRPr="00213078">
        <w:rPr>
          <w:rFonts w:eastAsia="MS Mincho" w:cs="Arial"/>
          <w:lang w:eastAsia="en-US"/>
        </w:rPr>
        <w:t xml:space="preserve"> is a vector of socioeconomic variables that are determinants of lottery playing frequency and </w:t>
      </w:r>
      <m:oMath>
        <m:sSub>
          <m:sSubPr>
            <m:ctrlPr>
              <w:rPr>
                <w:rFonts w:ascii="Cambria Math" w:eastAsia="MS Mincho" w:hAnsi="Cambria Math" w:cs="Arial"/>
                <w:i/>
                <w:lang w:eastAsia="en-US"/>
              </w:rPr>
            </m:ctrlPr>
          </m:sSubPr>
          <m:e>
            <m:r>
              <w:rPr>
                <w:rFonts w:ascii="Cambria Math" w:eastAsia="MS Mincho" w:hAnsi="Cambria Math" w:cs="Arial"/>
                <w:lang w:eastAsia="en-US"/>
              </w:rPr>
              <m:t>Z</m:t>
            </m:r>
          </m:e>
          <m:sub>
            <m:r>
              <w:rPr>
                <w:rFonts w:ascii="Cambria Math" w:eastAsia="MS Mincho" w:hAnsi="Cambria Math" w:cs="Arial"/>
                <w:lang w:eastAsia="en-US"/>
              </w:rPr>
              <m:t>i</m:t>
            </m:r>
          </m:sub>
        </m:sSub>
      </m:oMath>
      <w:r w:rsidRPr="00213078">
        <w:rPr>
          <w:rFonts w:eastAsia="MS Mincho" w:cs="Arial"/>
          <w:lang w:eastAsia="en-US"/>
        </w:rPr>
        <w:t xml:space="preserve"> is the lottery IV, which is a binary variable taking on a value of 1 if annual lottery wins are between £200 - £10,000 and a value of 0 if lottery wins are positive but under £200 per year (see Annex A.2).</w:t>
      </w:r>
    </w:p>
    <w:p w14:paraId="06B471CB" w14:textId="77777777" w:rsidR="00296AED" w:rsidRPr="00213078" w:rsidRDefault="00296AED" w:rsidP="00953499">
      <w:pPr>
        <w:spacing w:before="0"/>
        <w:ind w:left="2160"/>
        <w:rPr>
          <w:rFonts w:eastAsia="MS Mincho" w:cs="Arial"/>
          <w:lang w:eastAsia="en-US"/>
        </w:rPr>
      </w:pPr>
    </w:p>
    <w:p w14:paraId="06B471CC"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Using equations (8) to (10), compensating surplus is estimated in a modified version of equation (6) as follows:</w:t>
      </w:r>
    </w:p>
    <w:p w14:paraId="06B471CD" w14:textId="77777777" w:rsidR="00296AED" w:rsidRPr="00296AED" w:rsidRDefault="00296AED" w:rsidP="00953499">
      <w:pPr>
        <w:spacing w:before="0"/>
        <w:ind w:left="2160"/>
        <w:rPr>
          <w:rFonts w:ascii="Calibri" w:eastAsia="MS Mincho" w:hAnsi="Calibri" w:cs="Calibri"/>
          <w:lang w:eastAsia="en-US"/>
        </w:rPr>
      </w:pPr>
    </w:p>
    <w:p w14:paraId="06B471CE" w14:textId="77777777" w:rsidR="00296AED" w:rsidRPr="00296AED" w:rsidRDefault="00296AED" w:rsidP="00953499">
      <w:pPr>
        <w:spacing w:before="0"/>
        <w:ind w:left="2160"/>
        <w:rPr>
          <w:rFonts w:ascii="Calibri" w:eastAsia="MS Mincho" w:hAnsi="Calibri" w:cs="Calibri"/>
          <w:lang w:eastAsia="en-US"/>
        </w:rPr>
      </w:pPr>
      <m:oMath>
        <m:r>
          <w:rPr>
            <w:rFonts w:ascii="Cambria Math" w:eastAsia="MS Mincho" w:hAnsi="Cambria Math" w:cs="Calibri"/>
            <w:lang w:eastAsia="en-US"/>
          </w:rPr>
          <m:t>CS=</m:t>
        </m:r>
        <m:sSup>
          <m:sSupPr>
            <m:ctrlPr>
              <w:rPr>
                <w:rFonts w:ascii="Cambria Math" w:eastAsia="MS Mincho" w:hAnsi="Cambria Math" w:cs="Calibri"/>
                <w:i/>
                <w:lang w:eastAsia="en-US"/>
              </w:rPr>
            </m:ctrlPr>
          </m:sSupPr>
          <m:e>
            <m:sSup>
              <m:sSupPr>
                <m:ctrlPr>
                  <w:rPr>
                    <w:rFonts w:ascii="Cambria Math" w:eastAsia="MS Mincho" w:hAnsi="Cambria Math" w:cs="Calibri"/>
                    <w:i/>
                    <w:lang w:eastAsia="en-US"/>
                  </w:rPr>
                </m:ctrlPr>
              </m:sSupPr>
              <m:e>
                <m:r>
                  <w:rPr>
                    <w:rFonts w:ascii="Cambria Math" w:eastAsia="MS Mincho" w:hAnsi="Cambria Math" w:cs="Calibri"/>
                    <w:lang w:eastAsia="en-US"/>
                  </w:rPr>
                  <m:t>M</m:t>
                </m:r>
              </m:e>
              <m:sup>
                <m:r>
                  <w:rPr>
                    <w:rFonts w:ascii="Cambria Math" w:eastAsia="MS Mincho" w:hAnsi="Cambria Math" w:cs="Calibri"/>
                    <w:lang w:eastAsia="en-US"/>
                  </w:rPr>
                  <m:t>0</m:t>
                </m:r>
              </m:sup>
            </m:sSup>
            <m:r>
              <w:rPr>
                <w:rFonts w:ascii="Cambria Math" w:eastAsia="MS Mincho" w:hAnsi="Cambria Math" w:cs="Calibri"/>
                <w:lang w:eastAsia="en-US"/>
              </w:rPr>
              <m:t>-e</m:t>
            </m:r>
          </m:e>
          <m:sup>
            <m:d>
              <m:dPr>
                <m:begChr m:val="["/>
                <m:endChr m:val="]"/>
                <m:ctrlPr>
                  <w:rPr>
                    <w:rFonts w:ascii="Cambria Math" w:eastAsia="MS Mincho" w:hAnsi="Cambria Math" w:cs="Calibri"/>
                    <w:i/>
                    <w:lang w:eastAsia="en-US"/>
                  </w:rPr>
                </m:ctrlPr>
              </m:dPr>
              <m:e>
                <m:func>
                  <m:funcPr>
                    <m:ctrlPr>
                      <w:rPr>
                        <w:rFonts w:ascii="Cambria Math" w:eastAsia="MS Mincho" w:hAnsi="Cambria Math" w:cs="Calibri"/>
                        <w:lang w:eastAsia="en-US"/>
                      </w:rPr>
                    </m:ctrlPr>
                  </m:funcPr>
                  <m:fName>
                    <m:r>
                      <m:rPr>
                        <m:sty m:val="p"/>
                      </m:rPr>
                      <w:rPr>
                        <w:rFonts w:ascii="Cambria Math" w:eastAsia="MS Mincho" w:hAnsi="Cambria Math" w:cs="Calibri"/>
                        <w:lang w:eastAsia="en-US"/>
                      </w:rPr>
                      <m:t>ln</m:t>
                    </m:r>
                  </m:fName>
                  <m:e>
                    <m:d>
                      <m:dPr>
                        <m:ctrlPr>
                          <w:rPr>
                            <w:rFonts w:ascii="Cambria Math" w:eastAsia="MS Mincho" w:hAnsi="Cambria Math" w:cs="Calibri"/>
                            <w:i/>
                            <w:lang w:eastAsia="en-US"/>
                          </w:rPr>
                        </m:ctrlPr>
                      </m:dPr>
                      <m:e>
                        <m:sSup>
                          <m:sSupPr>
                            <m:ctrlPr>
                              <w:rPr>
                                <w:rFonts w:ascii="Cambria Math" w:eastAsia="MS Mincho" w:hAnsi="Cambria Math" w:cs="Calibri"/>
                                <w:i/>
                                <w:lang w:eastAsia="en-US"/>
                              </w:rPr>
                            </m:ctrlPr>
                          </m:sSupPr>
                          <m:e>
                            <m:r>
                              <w:rPr>
                                <w:rFonts w:ascii="Cambria Math" w:eastAsia="MS Mincho" w:hAnsi="Cambria Math" w:cs="Calibri"/>
                                <w:lang w:eastAsia="en-US"/>
                              </w:rPr>
                              <m:t>M</m:t>
                            </m:r>
                          </m:e>
                          <m:sup>
                            <m:r>
                              <w:rPr>
                                <w:rFonts w:ascii="Cambria Math" w:eastAsia="MS Mincho" w:hAnsi="Cambria Math" w:cs="Calibri"/>
                                <w:lang w:eastAsia="en-US"/>
                              </w:rPr>
                              <m:t>0</m:t>
                            </m:r>
                          </m:sup>
                        </m:sSup>
                      </m:e>
                    </m:d>
                  </m:e>
                </m:func>
                <m:r>
                  <w:rPr>
                    <w:rFonts w:ascii="Cambria Math" w:eastAsia="MS Mincho" w:hAnsi="Cambria Math" w:cs="Calibri"/>
                    <w:lang w:eastAsia="en-US"/>
                  </w:rPr>
                  <m:t xml:space="preserve"> - </m:t>
                </m:r>
                <m:f>
                  <m:fPr>
                    <m:ctrlPr>
                      <w:rPr>
                        <w:rFonts w:ascii="Cambria Math" w:eastAsia="MS Mincho" w:hAnsi="Cambria Math" w:cs="Calibri"/>
                        <w:i/>
                        <w:lang w:eastAsia="en-US"/>
                      </w:rPr>
                    </m:ctrlPr>
                  </m:fPr>
                  <m:num>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2</m:t>
                        </m:r>
                      </m:sub>
                    </m:sSub>
                  </m:num>
                  <m:den>
                    <m:sSubSup>
                      <m:sSubSupPr>
                        <m:ctrlPr>
                          <w:rPr>
                            <w:rFonts w:ascii="Cambria Math" w:eastAsia="MS Mincho" w:hAnsi="Cambria Math" w:cs="Calibri"/>
                            <w:i/>
                            <w:lang w:eastAsia="en-US"/>
                          </w:rPr>
                        </m:ctrlPr>
                      </m:sSubSupPr>
                      <m:e>
                        <m:r>
                          <w:rPr>
                            <w:rFonts w:ascii="Cambria Math" w:eastAsia="MS Mincho" w:hAnsi="Cambria Math" w:cs="Calibri"/>
                            <w:lang w:eastAsia="en-US"/>
                          </w:rPr>
                          <m:t>β</m:t>
                        </m:r>
                      </m:e>
                      <m:sub>
                        <m:r>
                          <w:rPr>
                            <w:rFonts w:ascii="Cambria Math" w:eastAsia="MS Mincho" w:hAnsi="Cambria Math" w:cs="Calibri"/>
                            <w:lang w:eastAsia="en-US"/>
                          </w:rPr>
                          <m:t>1</m:t>
                        </m:r>
                      </m:sub>
                      <m:sup>
                        <m:r>
                          <w:rPr>
                            <w:rFonts w:ascii="Cambria Math" w:eastAsia="MS Mincho" w:hAnsi="Cambria Math" w:cs="Calibri"/>
                            <w:lang w:eastAsia="en-US"/>
                          </w:rPr>
                          <m:t>*</m:t>
                        </m:r>
                      </m:sup>
                    </m:sSubSup>
                  </m:den>
                </m:f>
                <m:r>
                  <w:rPr>
                    <w:rFonts w:ascii="Cambria Math" w:eastAsia="MS Mincho" w:hAnsi="Cambria Math" w:cs="Calibri"/>
                    <w:lang w:eastAsia="en-US"/>
                  </w:rPr>
                  <m:t xml:space="preserve"> </m:t>
                </m:r>
              </m:e>
            </m:d>
          </m:sup>
        </m:sSup>
      </m:oMath>
      <w:r w:rsidRPr="00296AED">
        <w:rPr>
          <w:rFonts w:ascii="Calibri" w:eastAsia="MS Mincho" w:hAnsi="Calibri" w:cs="Calibri"/>
          <w:lang w:eastAsia="en-US"/>
        </w:rPr>
        <w:tab/>
      </w:r>
      <w:r w:rsidRPr="00296AED">
        <w:rPr>
          <w:rFonts w:ascii="Calibri" w:eastAsia="MS Mincho" w:hAnsi="Calibri" w:cs="Calibri"/>
          <w:lang w:eastAsia="en-US"/>
        </w:rPr>
        <w:tab/>
      </w:r>
      <w:r w:rsidRPr="00296AED">
        <w:rPr>
          <w:rFonts w:ascii="Calibri" w:eastAsia="MS Mincho" w:hAnsi="Calibri" w:cs="Calibri"/>
          <w:lang w:eastAsia="en-US"/>
        </w:rPr>
        <w:tab/>
        <w:t>(6*)</w:t>
      </w:r>
    </w:p>
    <w:p w14:paraId="06B471CF" w14:textId="77777777" w:rsidR="00296AED" w:rsidRPr="00296AED" w:rsidRDefault="00296AED" w:rsidP="00953499">
      <w:pPr>
        <w:spacing w:before="0"/>
        <w:ind w:left="2160"/>
        <w:rPr>
          <w:rFonts w:ascii="Calibri" w:eastAsia="MS Mincho" w:hAnsi="Calibri" w:cs="Calibri"/>
          <w:lang w:eastAsia="en-US"/>
        </w:rPr>
      </w:pPr>
    </w:p>
    <w:p w14:paraId="06B471D0"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where </w:t>
      </w:r>
      <m:oMath>
        <m:sSubSup>
          <m:sSubSupPr>
            <m:ctrlPr>
              <w:rPr>
                <w:rFonts w:ascii="Cambria Math" w:eastAsia="MS Mincho" w:hAnsi="Cambria Math" w:cs="Arial"/>
                <w:i/>
                <w:lang w:eastAsia="en-US"/>
              </w:rPr>
            </m:ctrlPr>
          </m:sSubSupPr>
          <m:e>
            <m:r>
              <w:rPr>
                <w:rFonts w:ascii="Cambria Math" w:eastAsia="MS Mincho" w:hAnsi="Cambria Math" w:cs="Arial"/>
                <w:lang w:eastAsia="en-US"/>
              </w:rPr>
              <m:t>β</m:t>
            </m:r>
          </m:e>
          <m:sub>
            <m:r>
              <w:rPr>
                <w:rFonts w:ascii="Cambria Math" w:eastAsia="MS Mincho" w:hAnsi="Cambria Math" w:cs="Arial"/>
                <w:lang w:eastAsia="en-US"/>
              </w:rPr>
              <m:t>1</m:t>
            </m:r>
          </m:sub>
          <m:sup>
            <m:r>
              <w:rPr>
                <w:rFonts w:ascii="Cambria Math" w:eastAsia="MS Mincho" w:hAnsi="Cambria Math" w:cs="Arial"/>
                <w:lang w:eastAsia="en-US"/>
              </w:rPr>
              <m:t>*</m:t>
            </m:r>
          </m:sup>
        </m:sSubSup>
      </m:oMath>
      <w:r w:rsidRPr="00213078">
        <w:rPr>
          <w:rFonts w:eastAsia="MS Mincho" w:cs="Arial"/>
          <w:lang w:eastAsia="en-US"/>
        </w:rPr>
        <w:t xml:space="preserve"> depicts the more robust measure of the impact of income on life satisfaction from the 2SLS income model and </w:t>
      </w:r>
      <m:oMath>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2</m:t>
            </m:r>
          </m:sub>
        </m:sSub>
      </m:oMath>
      <w:r w:rsidRPr="00213078">
        <w:rPr>
          <w:rFonts w:eastAsia="MS Mincho" w:cs="Arial"/>
          <w:lang w:eastAsia="en-US"/>
        </w:rPr>
        <w:t xml:space="preserve"> is the coefficient on </w:t>
      </w:r>
      <m:oMath>
        <m:sSub>
          <m:sSubPr>
            <m:ctrlPr>
              <w:rPr>
                <w:rFonts w:ascii="Cambria Math" w:eastAsia="MS Mincho" w:hAnsi="Cambria Math" w:cs="Arial"/>
                <w:i/>
                <w:lang w:eastAsia="en-US"/>
              </w:rPr>
            </m:ctrlPr>
          </m:sSubPr>
          <m:e>
            <m:r>
              <w:rPr>
                <w:rFonts w:ascii="Cambria Math" w:eastAsia="MS Mincho" w:hAnsi="Cambria Math" w:cs="Arial"/>
                <w:lang w:eastAsia="en-US"/>
              </w:rPr>
              <m:t>Q</m:t>
            </m:r>
          </m:e>
          <m:sub>
            <m:r>
              <w:rPr>
                <w:rFonts w:ascii="Cambria Math" w:eastAsia="MS Mincho" w:hAnsi="Cambria Math" w:cs="Arial"/>
                <w:lang w:eastAsia="en-US"/>
              </w:rPr>
              <m:t>i</m:t>
            </m:r>
          </m:sub>
        </m:sSub>
      </m:oMath>
      <w:r w:rsidRPr="00213078">
        <w:rPr>
          <w:rFonts w:eastAsia="MS Mincho" w:cs="Arial"/>
          <w:lang w:eastAsia="en-US"/>
        </w:rPr>
        <w:t xml:space="preserve"> from equation (8).</w:t>
      </w:r>
    </w:p>
    <w:p w14:paraId="06B471D1" w14:textId="77777777" w:rsidR="00296AED" w:rsidRPr="00213078" w:rsidRDefault="00296AED" w:rsidP="00953499">
      <w:pPr>
        <w:spacing w:before="0"/>
        <w:ind w:left="2160"/>
        <w:rPr>
          <w:rFonts w:eastAsia="MS Mincho" w:cs="Arial"/>
          <w:lang w:eastAsia="en-US"/>
        </w:rPr>
      </w:pPr>
    </w:p>
    <w:p w14:paraId="06B471D2"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In </w:t>
      </w:r>
      <m:oMath>
        <m:sSub>
          <m:sSubPr>
            <m:ctrlPr>
              <w:rPr>
                <w:rFonts w:ascii="Cambria Math" w:eastAsia="MS Mincho" w:hAnsi="Cambria Math" w:cs="Arial"/>
                <w:i/>
                <w:lang w:eastAsia="en-US"/>
              </w:rPr>
            </m:ctrlPr>
          </m:sSubPr>
          <m:e>
            <m:r>
              <w:rPr>
                <w:rFonts w:ascii="Cambria Math" w:eastAsia="MS Mincho" w:hAnsi="Cambria Math" w:cs="Arial"/>
                <w:lang w:eastAsia="en-US"/>
              </w:rPr>
              <m:t>X</m:t>
            </m:r>
          </m:e>
          <m:sub>
            <m:r>
              <w:rPr>
                <w:rFonts w:ascii="Cambria Math" w:eastAsia="MS Mincho" w:hAnsi="Cambria Math" w:cs="Arial"/>
                <w:lang w:eastAsia="en-US"/>
              </w:rPr>
              <m:t>1i</m:t>
            </m:r>
          </m:sub>
        </m:sSub>
      </m:oMath>
      <w:r w:rsidRPr="00213078">
        <w:rPr>
          <w:rFonts w:eastAsia="MS Mincho" w:cs="Arial"/>
          <w:lang w:eastAsia="en-US"/>
        </w:rPr>
        <w:t xml:space="preserve"> </w:t>
      </w:r>
      <w:r w:rsidRPr="00213078">
        <w:rPr>
          <w:rFonts w:eastAsia="MS Mincho" w:cs="Arial"/>
          <w:b/>
          <w:lang w:eastAsia="en-US"/>
        </w:rPr>
        <w:t xml:space="preserve">we control for the main determinants of life satisfaction </w:t>
      </w:r>
      <w:r w:rsidRPr="00213078">
        <w:rPr>
          <w:rFonts w:eastAsia="MS Mincho" w:cs="Arial"/>
          <w:lang w:eastAsia="en-US"/>
        </w:rPr>
        <w:t>as set out in Fujiwara and Campbell (2011):</w:t>
      </w:r>
    </w:p>
    <w:p w14:paraId="06B471D3" w14:textId="77777777" w:rsidR="00296AED" w:rsidRPr="00213078" w:rsidRDefault="00296AED" w:rsidP="00953499">
      <w:pPr>
        <w:spacing w:before="0"/>
        <w:ind w:left="2160"/>
        <w:rPr>
          <w:rFonts w:eastAsia="MS Mincho" w:cs="Arial"/>
          <w:lang w:eastAsia="en-US"/>
        </w:rPr>
      </w:pPr>
    </w:p>
    <w:p w14:paraId="06B471D4"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Household income</w:t>
      </w:r>
    </w:p>
    <w:p w14:paraId="06B471D5"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Health status</w:t>
      </w:r>
    </w:p>
    <w:p w14:paraId="06B471D6"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 xml:space="preserve">Marital status </w:t>
      </w:r>
    </w:p>
    <w:p w14:paraId="06B471D7"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 xml:space="preserve">Employment status </w:t>
      </w:r>
    </w:p>
    <w:p w14:paraId="06B471D8"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Social relationships</w:t>
      </w:r>
    </w:p>
    <w:p w14:paraId="06B471D9"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Gender</w:t>
      </w:r>
    </w:p>
    <w:p w14:paraId="06B471DA"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Children and dependents, including caring duties</w:t>
      </w:r>
    </w:p>
    <w:p w14:paraId="06B471DB"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 xml:space="preserve">Age </w:t>
      </w:r>
    </w:p>
    <w:p w14:paraId="06B471DC"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Housing</w:t>
      </w:r>
    </w:p>
    <w:p w14:paraId="06B471DD"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 xml:space="preserve">Voluntary work </w:t>
      </w:r>
    </w:p>
    <w:p w14:paraId="06B471DE"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Geographic region</w:t>
      </w:r>
    </w:p>
    <w:p w14:paraId="06B471DF" w14:textId="77777777" w:rsidR="00296AED" w:rsidRPr="00213078" w:rsidRDefault="00296AED" w:rsidP="00953499">
      <w:pPr>
        <w:numPr>
          <w:ilvl w:val="0"/>
          <w:numId w:val="14"/>
        </w:numPr>
        <w:spacing w:before="0"/>
        <w:ind w:left="2880"/>
        <w:contextualSpacing/>
        <w:rPr>
          <w:rFonts w:eastAsia="MS Mincho" w:cs="Arial"/>
          <w:lang w:eastAsia="en-US"/>
        </w:rPr>
      </w:pPr>
      <w:r w:rsidRPr="00213078">
        <w:rPr>
          <w:rFonts w:eastAsia="MS Mincho" w:cs="Arial"/>
          <w:lang w:eastAsia="en-US"/>
        </w:rPr>
        <w:t>Personality traits (where possible)</w:t>
      </w:r>
    </w:p>
    <w:p w14:paraId="06B471E0" w14:textId="77777777" w:rsidR="00296AED" w:rsidRPr="00213078" w:rsidRDefault="00296AED" w:rsidP="00953499">
      <w:pPr>
        <w:spacing w:before="0"/>
        <w:ind w:left="2160"/>
        <w:rPr>
          <w:rFonts w:eastAsia="MS Mincho" w:cs="Arial"/>
          <w:lang w:eastAsia="en-US"/>
        </w:rPr>
      </w:pPr>
    </w:p>
    <w:p w14:paraId="06B471E1"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We do not use education and religion which are often included in wellbeing regressions in the literature. Questions related to religion had low response rates in Understanding Society, which severely reduced sample sizes, jeopardising the models and education is usually found to have insignificant effects on wellbeing and is anyway arguably picked up (and covered to some extent) by variables on income and employment. The wellbeing literature has shown that personality traits explain a lot of the variation in individual wellbeing (DeNeve and Cooper, 1998) and so it is important to control for personality where possible as it may be an important confounding variable. There is a lack of data on personality in Understanding Society and we use whether the individual has home insurance as a measure of their risk preference.</w:t>
      </w:r>
    </w:p>
    <w:p w14:paraId="06B471E2" w14:textId="77777777" w:rsidR="00296AED" w:rsidRPr="00213078" w:rsidRDefault="00296AED" w:rsidP="00953499">
      <w:pPr>
        <w:spacing w:before="0"/>
        <w:ind w:left="2160"/>
        <w:rPr>
          <w:rFonts w:eastAsia="MS Mincho" w:cs="Arial"/>
          <w:lang w:eastAsia="en-US"/>
        </w:rPr>
      </w:pPr>
    </w:p>
    <w:p w14:paraId="06B471E3"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Since we use different definitions and permutations of the arts and sports variables in equation (8), these cannot all be added in one single model due to multicollinearity and so we actually estimate a number of different versions of equation (8). We therefore run a total of six separate base models as follows.</w:t>
      </w:r>
    </w:p>
    <w:p w14:paraId="06B471E4" w14:textId="77777777" w:rsidR="00296AED" w:rsidRPr="00213078" w:rsidRDefault="00296AED" w:rsidP="00953499">
      <w:pPr>
        <w:spacing w:before="0"/>
        <w:ind w:left="2160"/>
        <w:rPr>
          <w:rFonts w:eastAsia="MS Mincho" w:cs="Arial"/>
          <w:b/>
          <w:lang w:eastAsia="en-US"/>
        </w:rPr>
      </w:pPr>
    </w:p>
    <w:p w14:paraId="06B471E5" w14:textId="77777777" w:rsidR="00296AED" w:rsidRPr="00213078" w:rsidRDefault="00296AED" w:rsidP="00953499">
      <w:pPr>
        <w:spacing w:before="0"/>
        <w:ind w:left="2160"/>
        <w:rPr>
          <w:rFonts w:eastAsia="MS Mincho" w:cs="Arial"/>
          <w:b/>
          <w:lang w:eastAsia="en-US"/>
        </w:rPr>
      </w:pPr>
      <w:r w:rsidRPr="00213078">
        <w:rPr>
          <w:rFonts w:eastAsia="MS Mincho" w:cs="Arial"/>
          <w:b/>
          <w:lang w:eastAsia="en-US"/>
        </w:rPr>
        <w:t>1. Visits model (8.1)</w:t>
      </w:r>
    </w:p>
    <w:p w14:paraId="06B471E6"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Equation (8) where </w:t>
      </w:r>
      <m:oMath>
        <m:sSub>
          <m:sSubPr>
            <m:ctrlPr>
              <w:rPr>
                <w:rFonts w:ascii="Cambria Math" w:eastAsia="MS Mincho" w:hAnsi="Cambria Math" w:cs="Arial"/>
                <w:i/>
                <w:lang w:eastAsia="en-US"/>
              </w:rPr>
            </m:ctrlPr>
          </m:sSubPr>
          <m:e>
            <m:r>
              <w:rPr>
                <w:rFonts w:ascii="Cambria Math" w:eastAsia="MS Mincho" w:hAnsi="Cambria Math" w:cs="Arial"/>
                <w:lang w:eastAsia="en-US"/>
              </w:rPr>
              <m:t>Q</m:t>
            </m:r>
          </m:e>
          <m:sub>
            <m:r>
              <w:rPr>
                <w:rFonts w:ascii="Cambria Math" w:eastAsia="MS Mincho" w:hAnsi="Cambria Math" w:cs="Arial"/>
                <w:lang w:eastAsia="en-US"/>
              </w:rPr>
              <m:t>i</m:t>
            </m:r>
          </m:sub>
        </m:sSub>
      </m:oMath>
      <w:r w:rsidRPr="00213078">
        <w:rPr>
          <w:rFonts w:eastAsia="MS Mincho" w:cs="Arial"/>
          <w:lang w:eastAsia="en-US"/>
        </w:rPr>
        <w:t xml:space="preserve"> = [visited museums frequently, visited libraries frequently, visited heritage sites frequently]</w:t>
      </w:r>
    </w:p>
    <w:p w14:paraId="06B471E7" w14:textId="77777777" w:rsidR="00296AED" w:rsidRPr="00213078" w:rsidRDefault="00296AED" w:rsidP="00953499">
      <w:pPr>
        <w:spacing w:before="0"/>
        <w:ind w:left="2160"/>
        <w:rPr>
          <w:rFonts w:eastAsia="MS Mincho" w:cs="Arial"/>
          <w:b/>
          <w:lang w:eastAsia="en-US"/>
        </w:rPr>
      </w:pPr>
    </w:p>
    <w:p w14:paraId="2A9E5A7B" w14:textId="77777777" w:rsidR="00E75B44" w:rsidRDefault="00E75B44" w:rsidP="00953499">
      <w:pPr>
        <w:spacing w:before="0"/>
        <w:ind w:left="2160"/>
        <w:rPr>
          <w:rFonts w:eastAsia="MS Mincho" w:cs="Arial"/>
          <w:b/>
          <w:lang w:eastAsia="en-US"/>
        </w:rPr>
      </w:pPr>
    </w:p>
    <w:p w14:paraId="06B471E8" w14:textId="77777777" w:rsidR="00296AED" w:rsidRPr="00213078" w:rsidRDefault="00296AED" w:rsidP="00953499">
      <w:pPr>
        <w:spacing w:before="0"/>
        <w:ind w:left="2160"/>
        <w:rPr>
          <w:rFonts w:eastAsia="MS Mincho" w:cs="Arial"/>
          <w:b/>
          <w:lang w:eastAsia="en-US"/>
        </w:rPr>
      </w:pPr>
      <w:r w:rsidRPr="00213078">
        <w:rPr>
          <w:rFonts w:eastAsia="MS Mincho" w:cs="Arial"/>
          <w:b/>
          <w:lang w:eastAsia="en-US"/>
        </w:rPr>
        <w:lastRenderedPageBreak/>
        <w:t>2. Overall arts and sports model (8.2)</w:t>
      </w:r>
    </w:p>
    <w:p w14:paraId="06B471E9"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Equation (8) where </w:t>
      </w:r>
      <m:oMath>
        <m:sSub>
          <m:sSubPr>
            <m:ctrlPr>
              <w:rPr>
                <w:rFonts w:ascii="Cambria Math" w:eastAsia="MS Mincho" w:hAnsi="Cambria Math" w:cs="Arial"/>
                <w:i/>
                <w:lang w:eastAsia="en-US"/>
              </w:rPr>
            </m:ctrlPr>
          </m:sSubPr>
          <m:e>
            <m:r>
              <w:rPr>
                <w:rFonts w:ascii="Cambria Math" w:eastAsia="MS Mincho" w:hAnsi="Cambria Math" w:cs="Arial"/>
                <w:lang w:eastAsia="en-US"/>
              </w:rPr>
              <m:t>Q</m:t>
            </m:r>
          </m:e>
          <m:sub>
            <m:r>
              <w:rPr>
                <w:rFonts w:ascii="Cambria Math" w:eastAsia="MS Mincho" w:hAnsi="Cambria Math" w:cs="Arial"/>
                <w:lang w:eastAsia="en-US"/>
              </w:rPr>
              <m:t>i</m:t>
            </m:r>
          </m:sub>
        </m:sSub>
      </m:oMath>
      <w:r w:rsidRPr="00213078">
        <w:rPr>
          <w:rFonts w:eastAsia="MS Mincho" w:cs="Arial"/>
          <w:lang w:eastAsia="en-US"/>
        </w:rPr>
        <w:t xml:space="preserve"> = [all arts, all sports]</w:t>
      </w:r>
    </w:p>
    <w:p w14:paraId="06B471EA" w14:textId="77777777" w:rsidR="00296AED" w:rsidRPr="00213078" w:rsidRDefault="00296AED" w:rsidP="00953499">
      <w:pPr>
        <w:spacing w:before="0"/>
        <w:ind w:left="2160"/>
        <w:rPr>
          <w:rFonts w:eastAsia="MS Mincho" w:cs="Arial"/>
          <w:b/>
          <w:lang w:eastAsia="en-US"/>
        </w:rPr>
      </w:pPr>
    </w:p>
    <w:p w14:paraId="06B471EB" w14:textId="77777777" w:rsidR="00296AED" w:rsidRPr="00213078" w:rsidRDefault="00296AED" w:rsidP="00953499">
      <w:pPr>
        <w:spacing w:before="0"/>
        <w:ind w:left="2160"/>
        <w:rPr>
          <w:rFonts w:eastAsia="MS Mincho" w:cs="Arial"/>
          <w:lang w:eastAsia="en-US"/>
        </w:rPr>
      </w:pPr>
      <w:r w:rsidRPr="00213078">
        <w:rPr>
          <w:rFonts w:eastAsia="MS Mincho" w:cs="Arial"/>
          <w:b/>
          <w:lang w:eastAsia="en-US"/>
        </w:rPr>
        <w:t>3. Sports model 1</w:t>
      </w:r>
      <w:r w:rsidRPr="00213078">
        <w:rPr>
          <w:rFonts w:eastAsia="MS Mincho" w:cs="Arial"/>
          <w:lang w:eastAsia="en-US"/>
        </w:rPr>
        <w:t xml:space="preserve"> </w:t>
      </w:r>
      <w:r w:rsidRPr="00213078">
        <w:rPr>
          <w:rFonts w:eastAsia="MS Mincho" w:cs="Arial"/>
          <w:b/>
          <w:lang w:eastAsia="en-US"/>
        </w:rPr>
        <w:t>(8.3)</w:t>
      </w:r>
    </w:p>
    <w:p w14:paraId="06B471EC"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Equation (8) where </w:t>
      </w:r>
      <m:oMath>
        <m:sSub>
          <m:sSubPr>
            <m:ctrlPr>
              <w:rPr>
                <w:rFonts w:ascii="Cambria Math" w:eastAsia="MS Mincho" w:hAnsi="Cambria Math" w:cs="Arial"/>
                <w:i/>
                <w:lang w:eastAsia="en-US"/>
              </w:rPr>
            </m:ctrlPr>
          </m:sSubPr>
          <m:e>
            <m:r>
              <w:rPr>
                <w:rFonts w:ascii="Cambria Math" w:eastAsia="MS Mincho" w:hAnsi="Cambria Math" w:cs="Arial"/>
                <w:lang w:eastAsia="en-US"/>
              </w:rPr>
              <m:t>Q</m:t>
            </m:r>
          </m:e>
          <m:sub>
            <m:r>
              <w:rPr>
                <w:rFonts w:ascii="Cambria Math" w:eastAsia="MS Mincho" w:hAnsi="Cambria Math" w:cs="Arial"/>
                <w:lang w:eastAsia="en-US"/>
              </w:rPr>
              <m:t>i</m:t>
            </m:r>
          </m:sub>
        </m:sSub>
      </m:oMath>
      <w:r w:rsidRPr="00213078">
        <w:rPr>
          <w:rFonts w:eastAsia="MS Mincho" w:cs="Arial"/>
          <w:lang w:eastAsia="en-US"/>
        </w:rPr>
        <w:t xml:space="preserve"> = [team sports, individual sports, all arts]</w:t>
      </w:r>
    </w:p>
    <w:p w14:paraId="06B471ED" w14:textId="77777777" w:rsidR="00296AED" w:rsidRPr="00213078" w:rsidRDefault="00296AED" w:rsidP="00953499">
      <w:pPr>
        <w:spacing w:before="0"/>
        <w:ind w:left="2160"/>
        <w:rPr>
          <w:rFonts w:eastAsia="MS Mincho" w:cs="Arial"/>
          <w:b/>
          <w:lang w:eastAsia="en-US"/>
        </w:rPr>
      </w:pPr>
    </w:p>
    <w:p w14:paraId="06B471EE" w14:textId="77777777" w:rsidR="00296AED" w:rsidRPr="00213078" w:rsidRDefault="00296AED" w:rsidP="00953499">
      <w:pPr>
        <w:spacing w:before="0"/>
        <w:ind w:left="2160"/>
        <w:rPr>
          <w:rFonts w:eastAsia="MS Mincho" w:cs="Arial"/>
          <w:b/>
          <w:lang w:eastAsia="en-US"/>
        </w:rPr>
      </w:pPr>
      <w:r w:rsidRPr="00213078">
        <w:rPr>
          <w:rFonts w:eastAsia="MS Mincho" w:cs="Arial"/>
          <w:b/>
          <w:lang w:eastAsia="en-US"/>
        </w:rPr>
        <w:t>4. Sports model 2 (8.4)</w:t>
      </w:r>
    </w:p>
    <w:p w14:paraId="06B471EF"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Equation (8) where </w:t>
      </w:r>
      <m:oMath>
        <m:sSub>
          <m:sSubPr>
            <m:ctrlPr>
              <w:rPr>
                <w:rFonts w:ascii="Cambria Math" w:eastAsia="MS Mincho" w:hAnsi="Cambria Math" w:cs="Arial"/>
                <w:i/>
                <w:lang w:eastAsia="en-US"/>
              </w:rPr>
            </m:ctrlPr>
          </m:sSubPr>
          <m:e>
            <m:r>
              <w:rPr>
                <w:rFonts w:ascii="Cambria Math" w:eastAsia="MS Mincho" w:hAnsi="Cambria Math" w:cs="Arial"/>
                <w:lang w:eastAsia="en-US"/>
              </w:rPr>
              <m:t>Q</m:t>
            </m:r>
          </m:e>
          <m:sub>
            <m:r>
              <w:rPr>
                <w:rFonts w:ascii="Cambria Math" w:eastAsia="MS Mincho" w:hAnsi="Cambria Math" w:cs="Arial"/>
                <w:lang w:eastAsia="en-US"/>
              </w:rPr>
              <m:t>i</m:t>
            </m:r>
          </m:sub>
        </m:sSub>
      </m:oMath>
      <w:r w:rsidRPr="00213078">
        <w:rPr>
          <w:rFonts w:eastAsia="MS Mincho" w:cs="Arial"/>
          <w:lang w:eastAsia="en-US"/>
        </w:rPr>
        <w:t xml:space="preserve"> = [fitness, football, swimming, cycling, sports, all arts]</w:t>
      </w:r>
    </w:p>
    <w:p w14:paraId="06B471F0" w14:textId="77777777" w:rsidR="00296AED" w:rsidRPr="00213078" w:rsidRDefault="00296AED" w:rsidP="00953499">
      <w:pPr>
        <w:spacing w:before="0"/>
        <w:ind w:left="2160"/>
        <w:rPr>
          <w:rFonts w:eastAsia="MS Mincho" w:cs="Arial"/>
          <w:lang w:eastAsia="en-US"/>
        </w:rPr>
      </w:pPr>
    </w:p>
    <w:p w14:paraId="06B471F1" w14:textId="77777777" w:rsidR="00296AED" w:rsidRPr="00213078" w:rsidRDefault="00296AED" w:rsidP="00953499">
      <w:pPr>
        <w:spacing w:before="0"/>
        <w:ind w:left="2160"/>
        <w:rPr>
          <w:rFonts w:eastAsia="MS Mincho" w:cs="Arial"/>
          <w:b/>
          <w:lang w:eastAsia="en-US"/>
        </w:rPr>
      </w:pPr>
      <w:r w:rsidRPr="00213078">
        <w:rPr>
          <w:rFonts w:eastAsia="MS Mincho" w:cs="Arial"/>
          <w:b/>
          <w:lang w:eastAsia="en-US"/>
        </w:rPr>
        <w:t>5. Arts model 1 (8.5)</w:t>
      </w:r>
    </w:p>
    <w:p w14:paraId="06B471F2"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Equation (8) where </w:t>
      </w:r>
      <m:oMath>
        <m:sSub>
          <m:sSubPr>
            <m:ctrlPr>
              <w:rPr>
                <w:rFonts w:ascii="Cambria Math" w:eastAsia="MS Mincho" w:hAnsi="Cambria Math" w:cs="Arial"/>
                <w:i/>
                <w:lang w:eastAsia="en-US"/>
              </w:rPr>
            </m:ctrlPr>
          </m:sSubPr>
          <m:e>
            <m:r>
              <w:rPr>
                <w:rFonts w:ascii="Cambria Math" w:eastAsia="MS Mincho" w:hAnsi="Cambria Math" w:cs="Arial"/>
                <w:lang w:eastAsia="en-US"/>
              </w:rPr>
              <m:t>Q</m:t>
            </m:r>
          </m:e>
          <m:sub>
            <m:r>
              <w:rPr>
                <w:rFonts w:ascii="Cambria Math" w:eastAsia="MS Mincho" w:hAnsi="Cambria Math" w:cs="Arial"/>
                <w:lang w:eastAsia="en-US"/>
              </w:rPr>
              <m:t>i</m:t>
            </m:r>
          </m:sub>
        </m:sSub>
      </m:oMath>
      <w:r w:rsidRPr="00213078">
        <w:rPr>
          <w:rFonts w:eastAsia="MS Mincho" w:cs="Arial"/>
          <w:lang w:eastAsia="en-US"/>
        </w:rPr>
        <w:t xml:space="preserve"> = [arts audience, arts participation, team sports, individual sports] </w:t>
      </w:r>
    </w:p>
    <w:p w14:paraId="06B471F3" w14:textId="77777777" w:rsidR="00296AED" w:rsidRPr="00213078" w:rsidRDefault="00296AED" w:rsidP="00953499">
      <w:pPr>
        <w:spacing w:before="0"/>
        <w:ind w:left="2160"/>
        <w:rPr>
          <w:rFonts w:eastAsia="MS Mincho" w:cs="Arial"/>
          <w:b/>
          <w:lang w:eastAsia="en-US"/>
        </w:rPr>
      </w:pPr>
    </w:p>
    <w:p w14:paraId="06B471F4" w14:textId="77777777" w:rsidR="00296AED" w:rsidRPr="00213078" w:rsidRDefault="00296AED" w:rsidP="00953499">
      <w:pPr>
        <w:spacing w:before="0"/>
        <w:ind w:left="2160"/>
        <w:rPr>
          <w:rFonts w:eastAsia="MS Mincho" w:cs="Arial"/>
          <w:b/>
          <w:lang w:eastAsia="en-US"/>
        </w:rPr>
      </w:pPr>
      <w:r w:rsidRPr="00213078">
        <w:rPr>
          <w:rFonts w:eastAsia="MS Mincho" w:cs="Arial"/>
          <w:b/>
          <w:lang w:eastAsia="en-US"/>
        </w:rPr>
        <w:t>6. Arts model 2 (8.6)</w:t>
      </w:r>
    </w:p>
    <w:p w14:paraId="06B471F5"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Equation (8) where </w:t>
      </w:r>
      <m:oMath>
        <m:sSub>
          <m:sSubPr>
            <m:ctrlPr>
              <w:rPr>
                <w:rFonts w:ascii="Cambria Math" w:eastAsia="MS Mincho" w:hAnsi="Cambria Math" w:cs="Arial"/>
                <w:i/>
                <w:lang w:eastAsia="en-US"/>
              </w:rPr>
            </m:ctrlPr>
          </m:sSubPr>
          <m:e>
            <m:r>
              <w:rPr>
                <w:rFonts w:ascii="Cambria Math" w:eastAsia="MS Mincho" w:hAnsi="Cambria Math" w:cs="Arial"/>
                <w:lang w:eastAsia="en-US"/>
              </w:rPr>
              <m:t>Q</m:t>
            </m:r>
          </m:e>
          <m:sub>
            <m:r>
              <w:rPr>
                <w:rFonts w:ascii="Cambria Math" w:eastAsia="MS Mincho" w:hAnsi="Cambria Math" w:cs="Arial"/>
                <w:lang w:eastAsia="en-US"/>
              </w:rPr>
              <m:t>i</m:t>
            </m:r>
          </m:sub>
        </m:sSub>
      </m:oMath>
      <w:r w:rsidRPr="00213078">
        <w:rPr>
          <w:rFonts w:eastAsia="MS Mincho" w:cs="Arial"/>
          <w:lang w:eastAsia="en-US"/>
        </w:rPr>
        <w:t xml:space="preserve"> = [dance participation, drama participation, music participation, art participation, crafts participation, literature participation, film audience, exhibition audience, music audience, drama audience, dance audience  team sports, individual sports]</w:t>
      </w:r>
    </w:p>
    <w:p w14:paraId="06B471F6" w14:textId="77777777" w:rsidR="00296AED" w:rsidRPr="00213078" w:rsidRDefault="00296AED" w:rsidP="00953499">
      <w:pPr>
        <w:spacing w:before="0"/>
        <w:ind w:left="2160"/>
        <w:rPr>
          <w:rFonts w:eastAsia="MS Mincho" w:cs="Arial"/>
          <w:lang w:eastAsia="en-US"/>
        </w:rPr>
      </w:pPr>
    </w:p>
    <w:p w14:paraId="06B471F7" w14:textId="77777777" w:rsidR="00296AED" w:rsidRPr="00213078" w:rsidRDefault="00296AED" w:rsidP="00953499">
      <w:pPr>
        <w:spacing w:before="0"/>
        <w:ind w:left="2160"/>
        <w:rPr>
          <w:rFonts w:eastAsia="MS Mincho" w:cs="Arial"/>
          <w:szCs w:val="22"/>
          <w:lang w:eastAsia="en-US"/>
        </w:rPr>
      </w:pPr>
      <w:r w:rsidRPr="00213078">
        <w:rPr>
          <w:rFonts w:eastAsia="MS Mincho" w:cs="Arial"/>
          <w:b/>
          <w:lang w:eastAsia="en-US"/>
        </w:rPr>
        <w:t xml:space="preserve">All life satisfaction models are estimated using ordinary least squares (OLS), which assumes that the life satisfaction reporting scale (1 to 7) is cardinal. </w:t>
      </w:r>
      <w:r w:rsidRPr="00213078">
        <w:rPr>
          <w:rFonts w:eastAsia="MS Mincho" w:cs="Arial"/>
          <w:szCs w:val="22"/>
          <w:lang w:eastAsia="en-US"/>
        </w:rPr>
        <w:t>Ferrer-i-Carbonell and Frijters (2004) show that it makes little difference in wellbeing models whether one assumes cardinality or ordinality in the wellbeing variable and hence for ease of interpretation we use OLS (as is standard in much of the literature).</w:t>
      </w:r>
    </w:p>
    <w:p w14:paraId="06B471F8" w14:textId="77777777" w:rsidR="00296AED" w:rsidRPr="00213078" w:rsidRDefault="00296AED" w:rsidP="00953499">
      <w:pPr>
        <w:spacing w:before="0"/>
        <w:ind w:left="2160"/>
        <w:rPr>
          <w:rFonts w:eastAsia="MS Mincho" w:cs="Arial"/>
          <w:sz w:val="28"/>
          <w:lang w:eastAsia="en-US"/>
        </w:rPr>
      </w:pPr>
    </w:p>
    <w:p w14:paraId="06B471F9"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‘Global level’ sports variables are included in the arts models and ‘global level’ arts variables are included in the sports models in order to control for these variables when looking and sports and arts in depth. As discussed below, these modelling frameworks will be closely followed by the analysis in Part 2 on wider individual and social impacts. In addition we interact the sports and arts variables with gender, age, income level and region (all set as binary variables) to assess for heterogenous impacts </w:t>
      </w:r>
      <w:r w:rsidRPr="00213078">
        <w:rPr>
          <w:rFonts w:eastAsia="MS Mincho" w:cs="Arial"/>
          <w:vertAlign w:val="superscript"/>
          <w:lang w:val="en-US" w:eastAsia="en-US"/>
        </w:rPr>
        <w:footnoteReference w:id="6"/>
      </w:r>
      <w:r w:rsidRPr="00213078">
        <w:rPr>
          <w:rFonts w:eastAsia="MS Mincho" w:cs="Arial"/>
          <w:lang w:eastAsia="en-US"/>
        </w:rPr>
        <w:t xml:space="preserve"> by different population groups.  </w:t>
      </w:r>
    </w:p>
    <w:p w14:paraId="06B471FA" w14:textId="77777777" w:rsidR="00296AED" w:rsidRPr="00213078" w:rsidRDefault="00296AED" w:rsidP="00953499">
      <w:pPr>
        <w:spacing w:before="0"/>
        <w:ind w:left="2160"/>
        <w:rPr>
          <w:rFonts w:eastAsia="MS Mincho" w:cs="Arial"/>
          <w:lang w:eastAsia="en-US"/>
        </w:rPr>
      </w:pPr>
    </w:p>
    <w:p w14:paraId="06B471FB"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It should be noted that the engagement variables in </w:t>
      </w:r>
      <m:oMath>
        <m:sSub>
          <m:sSubPr>
            <m:ctrlPr>
              <w:rPr>
                <w:rFonts w:ascii="Cambria Math" w:eastAsia="MS Mincho" w:hAnsi="Cambria Math" w:cs="Arial"/>
                <w:i/>
                <w:lang w:eastAsia="en-US"/>
              </w:rPr>
            </m:ctrlPr>
          </m:sSubPr>
          <m:e>
            <m:r>
              <w:rPr>
                <w:rFonts w:ascii="Cambria Math" w:eastAsia="MS Mincho" w:hAnsi="Cambria Math" w:cs="Arial"/>
                <w:lang w:eastAsia="en-US"/>
              </w:rPr>
              <m:t>Q</m:t>
            </m:r>
          </m:e>
          <m:sub>
            <m:r>
              <w:rPr>
                <w:rFonts w:ascii="Cambria Math" w:eastAsia="MS Mincho" w:hAnsi="Cambria Math" w:cs="Arial"/>
                <w:lang w:eastAsia="en-US"/>
              </w:rPr>
              <m:t>i</m:t>
            </m:r>
          </m:sub>
        </m:sSub>
      </m:oMath>
      <w:r w:rsidRPr="00213078">
        <w:rPr>
          <w:rFonts w:eastAsia="MS Mincho" w:cs="Arial"/>
          <w:lang w:eastAsia="en-US"/>
        </w:rPr>
        <w:t xml:space="preserve"> can also suffer from similar biases to the income coefficient. We examined the Understanding Society dataset for potential natural experiments or IVs that would allow us to get robust estimates of the causal effect of engagement in arts and sport on SWB, but there were no clear candidates in the dataset. We therefore rely on regression analysis and a ‘selection on observables’ assumption to motivate the arts and sports model in equation (8), with the caveat that </w:t>
      </w:r>
      <m:oMath>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2</m:t>
            </m:r>
          </m:sub>
        </m:sSub>
      </m:oMath>
      <w:r w:rsidRPr="00213078">
        <w:rPr>
          <w:rFonts w:eastAsia="MS Mincho" w:cs="Arial"/>
          <w:lang w:eastAsia="en-US"/>
        </w:rPr>
        <w:t xml:space="preserve"> may be biased if, for example, certain people are more likely to engage in arts and sport and be happier or more satisfied with their lives anyway. </w:t>
      </w:r>
    </w:p>
    <w:p w14:paraId="06B471FC" w14:textId="77777777" w:rsidR="00296AED" w:rsidRPr="00213078" w:rsidRDefault="00296AED" w:rsidP="00953499">
      <w:pPr>
        <w:spacing w:before="0"/>
        <w:ind w:left="2160"/>
        <w:rPr>
          <w:rFonts w:eastAsia="MS Mincho" w:cs="Arial"/>
          <w:lang w:eastAsia="en-US"/>
        </w:rPr>
      </w:pPr>
    </w:p>
    <w:p w14:paraId="06B471FD" w14:textId="77777777" w:rsidR="00296AED" w:rsidRPr="00213078" w:rsidRDefault="00296AED" w:rsidP="00953499">
      <w:pPr>
        <w:spacing w:before="0"/>
        <w:ind w:left="2160"/>
        <w:rPr>
          <w:rFonts w:eastAsia="MS Mincho" w:cs="Arial"/>
          <w:lang w:eastAsia="en-US"/>
        </w:rPr>
      </w:pPr>
      <w:r w:rsidRPr="00213078">
        <w:rPr>
          <w:rFonts w:eastAsia="MS Mincho" w:cs="Arial"/>
          <w:b/>
          <w:lang w:eastAsia="en-US"/>
        </w:rPr>
        <w:lastRenderedPageBreak/>
        <w:t>To maximise our ability to infer causality from these results we control for all the main determinants of life satisfaction</w:t>
      </w:r>
      <w:r w:rsidRPr="00213078">
        <w:rPr>
          <w:rFonts w:eastAsia="MS Mincho" w:cs="Arial"/>
          <w:lang w:eastAsia="en-US"/>
        </w:rPr>
        <w:t xml:space="preserve"> in </w:t>
      </w:r>
      <m:oMath>
        <m:sSub>
          <m:sSubPr>
            <m:ctrlPr>
              <w:rPr>
                <w:rFonts w:ascii="Cambria Math" w:eastAsia="MS Mincho" w:hAnsi="Cambria Math" w:cs="Arial"/>
                <w:i/>
                <w:lang w:eastAsia="en-US"/>
              </w:rPr>
            </m:ctrlPr>
          </m:sSubPr>
          <m:e>
            <m:r>
              <w:rPr>
                <w:rFonts w:ascii="Cambria Math" w:eastAsia="MS Mincho" w:hAnsi="Cambria Math" w:cs="Arial"/>
                <w:lang w:eastAsia="en-US"/>
              </w:rPr>
              <m:t>X</m:t>
            </m:r>
          </m:e>
          <m:sub>
            <m:r>
              <w:rPr>
                <w:rFonts w:ascii="Cambria Math" w:eastAsia="MS Mincho" w:hAnsi="Cambria Math" w:cs="Arial"/>
                <w:lang w:eastAsia="en-US"/>
              </w:rPr>
              <m:t>1i</m:t>
            </m:r>
          </m:sub>
        </m:sSub>
      </m:oMath>
      <w:r w:rsidRPr="00213078">
        <w:rPr>
          <w:rFonts w:eastAsia="MS Mincho" w:cs="Arial"/>
          <w:lang w:eastAsia="en-US"/>
        </w:rPr>
        <w:t xml:space="preserve"> as possible given the data. The selection on observables assumption is the standard assumption employed in nearly all SWB studies to date and hence our arts and sports models in equation (8) are as robust as the large majority of published academic journal papers on the subject. Overall, for the Wellbeing Valuation task </w:t>
      </w:r>
      <w:r w:rsidRPr="00213078">
        <w:rPr>
          <w:rFonts w:eastAsia="MS Mincho" w:cs="Arial"/>
          <w:b/>
          <w:lang w:eastAsia="en-US"/>
        </w:rPr>
        <w:t>our study is likely to be more robust due to the way we have estimated the income model</w:t>
      </w:r>
      <w:r w:rsidRPr="00213078">
        <w:rPr>
          <w:rFonts w:eastAsia="MS Mincho" w:cs="Arial"/>
          <w:lang w:eastAsia="en-US"/>
        </w:rPr>
        <w:t>.</w:t>
      </w:r>
    </w:p>
    <w:p w14:paraId="06B471FE" w14:textId="77777777" w:rsidR="00296AED" w:rsidRPr="00213078" w:rsidRDefault="00296AED" w:rsidP="00953499">
      <w:pPr>
        <w:spacing w:before="0"/>
        <w:ind w:left="2160"/>
        <w:rPr>
          <w:rFonts w:eastAsia="MS Mincho" w:cs="Arial"/>
          <w:lang w:eastAsia="en-US"/>
        </w:rPr>
      </w:pPr>
    </w:p>
    <w:p w14:paraId="06B471FF" w14:textId="77777777"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lang w:eastAsia="en-US"/>
        </w:rPr>
        <w:t xml:space="preserve">A main issue regarding the use of results from two separate models in estimating monetary value in equation (6*) is that samples from the different models need to be matched or at least be reasonably similar, which is of course something that comes naturally if the </w:t>
      </w:r>
      <m:oMath>
        <m:r>
          <w:rPr>
            <w:rFonts w:ascii="Cambria Math" w:eastAsia="MS Mincho" w:hAnsi="Cambria Math" w:cs="Arial"/>
            <w:lang w:eastAsia="en-US"/>
          </w:rPr>
          <m:t>β</m:t>
        </m:r>
      </m:oMath>
      <w:r w:rsidRPr="00213078">
        <w:rPr>
          <w:rFonts w:eastAsia="MS Mincho" w:cs="Arial"/>
          <w:lang w:eastAsia="en-US"/>
        </w:rPr>
        <w:t xml:space="preserve"> coefficients in (7) come from the same regression model as in equation (6). The arts and sport model will be representative of respondents in Understanding Society, which is itself intended to be representative of the UK population. IV methods, however, do not use data on the whole survey sample (those with no missing values) as regression methods do. Instead, IV estimates are the causal effect for a generally unidentifiable complier (to the instrument) sub-group. The IV estimates the local average treatment effect for compliers to the instrument, or in our case for lottery wins it is the local average response function for income. Since we cannot observe who the compliers are here, we cannot say anything about the distribution of their background characteristics, which makes it hard to extrapolate results from our income model to other sample groups</w:t>
      </w:r>
      <w:r w:rsidRPr="00213078">
        <w:rPr>
          <w:rFonts w:eastAsia="MS Mincho" w:cs="Arial"/>
          <w:vertAlign w:val="superscript"/>
          <w:lang w:val="en-US" w:eastAsia="en-US"/>
        </w:rPr>
        <w:footnoteReference w:id="7"/>
      </w:r>
      <w:r w:rsidRPr="00213078">
        <w:rPr>
          <w:rFonts w:eastAsia="MS Mincho" w:cs="Arial"/>
          <w:lang w:eastAsia="en-US"/>
        </w:rPr>
        <w:t xml:space="preserve">. </w:t>
      </w:r>
    </w:p>
    <w:p w14:paraId="06B47200" w14:textId="77777777" w:rsidR="00296AED" w:rsidRPr="00213078" w:rsidRDefault="00296AED" w:rsidP="00953499">
      <w:pPr>
        <w:widowControl w:val="0"/>
        <w:tabs>
          <w:tab w:val="left" w:pos="6352"/>
        </w:tabs>
        <w:autoSpaceDE w:val="0"/>
        <w:autoSpaceDN w:val="0"/>
        <w:adjustRightInd w:val="0"/>
        <w:spacing w:before="0"/>
        <w:ind w:left="2160"/>
        <w:rPr>
          <w:rFonts w:eastAsia="MS Mincho" w:cs="Arial"/>
          <w:lang w:eastAsia="en-US"/>
        </w:rPr>
      </w:pPr>
      <w:r w:rsidRPr="00213078">
        <w:rPr>
          <w:rFonts w:eastAsia="MS Mincho" w:cs="Arial"/>
          <w:lang w:eastAsia="en-US"/>
        </w:rPr>
        <w:tab/>
      </w:r>
    </w:p>
    <w:p w14:paraId="06B47201" w14:textId="77777777" w:rsidR="00296AED" w:rsidRPr="00213078" w:rsidRDefault="00296AED" w:rsidP="00953499">
      <w:pPr>
        <w:widowControl w:val="0"/>
        <w:autoSpaceDE w:val="0"/>
        <w:autoSpaceDN w:val="0"/>
        <w:adjustRightInd w:val="0"/>
        <w:spacing w:before="0"/>
        <w:ind w:left="2160"/>
        <w:rPr>
          <w:rFonts w:eastAsia="MS Mincho" w:cs="Arial"/>
          <w:lang w:eastAsia="en-US"/>
        </w:rPr>
      </w:pPr>
      <w:r w:rsidRPr="00213078">
        <w:rPr>
          <w:rFonts w:eastAsia="MS Mincho" w:cs="Arial"/>
          <w:lang w:eastAsia="en-US"/>
        </w:rPr>
        <w:t>As suggested by Apouey and Clark (2009), however, a large proportion of the UK population play lotteries (about 70%) and we look at small to medium-sized lottery winners, hence the results from our income model should be reasonably generalisable. Indeed, we find that when comparing differences in characteristics (such as age, income and educational background) between small to medium-sized lottery winners and the general population there are very few variables that are significantly different (statistically). If we assume that most lottery players in the BHPS are IV compliers</w:t>
      </w:r>
      <w:r w:rsidRPr="00213078">
        <w:rPr>
          <w:rFonts w:eastAsia="MS Mincho" w:cs="Arial"/>
          <w:vertAlign w:val="superscript"/>
          <w:lang w:val="en-US" w:eastAsia="en-US"/>
        </w:rPr>
        <w:footnoteReference w:id="8"/>
      </w:r>
      <w:r w:rsidRPr="00213078">
        <w:rPr>
          <w:rFonts w:eastAsia="MS Mincho" w:cs="Arial"/>
          <w:lang w:eastAsia="en-US"/>
        </w:rPr>
        <w:t xml:space="preserve"> then, </w:t>
      </w:r>
      <w:r w:rsidRPr="00213078">
        <w:rPr>
          <w:rFonts w:eastAsia="MS Mincho" w:cs="Arial"/>
          <w:b/>
          <w:lang w:eastAsia="en-US"/>
        </w:rPr>
        <w:t xml:space="preserve">we can assume that the results from the income model (for the complier sub-group) and </w:t>
      </w:r>
      <w:r w:rsidR="00A20911" w:rsidRPr="00213078">
        <w:rPr>
          <w:rFonts w:eastAsia="MS Mincho" w:cs="Arial"/>
          <w:b/>
          <w:lang w:eastAsia="en-US"/>
        </w:rPr>
        <w:t xml:space="preserve">the </w:t>
      </w:r>
      <w:r w:rsidRPr="00213078">
        <w:rPr>
          <w:rFonts w:eastAsia="MS Mincho" w:cs="Arial"/>
          <w:b/>
          <w:lang w:eastAsia="en-US"/>
        </w:rPr>
        <w:t>arts and sport model</w:t>
      </w:r>
      <w:r w:rsidR="00A20911" w:rsidRPr="00213078">
        <w:rPr>
          <w:rFonts w:eastAsia="MS Mincho" w:cs="Arial"/>
          <w:b/>
          <w:lang w:eastAsia="en-US"/>
        </w:rPr>
        <w:t>s</w:t>
      </w:r>
      <w:r w:rsidRPr="00213078">
        <w:rPr>
          <w:rFonts w:eastAsia="MS Mincho" w:cs="Arial"/>
          <w:b/>
          <w:lang w:eastAsia="en-US"/>
        </w:rPr>
        <w:t xml:space="preserve"> are both representative of the UK population </w:t>
      </w:r>
      <w:r w:rsidRPr="00213078">
        <w:rPr>
          <w:rFonts w:eastAsia="MS Mincho" w:cs="Arial"/>
          <w:lang w:eastAsia="en-US"/>
        </w:rPr>
        <w:t xml:space="preserve">- we will treat the causal estimate as the effect of income for the average person in the data sample - and hence </w:t>
      </w:r>
      <w:r w:rsidR="00A20911" w:rsidRPr="00213078">
        <w:rPr>
          <w:rFonts w:eastAsia="MS Mincho" w:cs="Arial"/>
          <w:lang w:eastAsia="en-US"/>
        </w:rPr>
        <w:t xml:space="preserve">they </w:t>
      </w:r>
      <w:r w:rsidRPr="00213078">
        <w:rPr>
          <w:rFonts w:eastAsia="MS Mincho" w:cs="Arial"/>
          <w:lang w:eastAsia="en-US"/>
        </w:rPr>
        <w:t>can be used in tandem in equation (6*) to estimate the compensating surplus</w:t>
      </w:r>
      <w:r w:rsidRPr="00213078">
        <w:rPr>
          <w:rFonts w:eastAsia="MS Mincho" w:cs="Arial"/>
          <w:vertAlign w:val="superscript"/>
          <w:lang w:val="en-US" w:eastAsia="en-US"/>
        </w:rPr>
        <w:footnoteReference w:id="9"/>
      </w:r>
      <w:r w:rsidRPr="00213078">
        <w:rPr>
          <w:rFonts w:eastAsia="MS Mincho" w:cs="Arial"/>
          <w:lang w:eastAsia="en-US"/>
        </w:rPr>
        <w:t xml:space="preserve"> of engagement in culture and sport. </w:t>
      </w:r>
    </w:p>
    <w:p w14:paraId="06B47202" w14:textId="77777777" w:rsidR="00296AED" w:rsidRPr="00213078" w:rsidRDefault="00296AED" w:rsidP="00953499">
      <w:pPr>
        <w:spacing w:before="0"/>
        <w:ind w:left="2160"/>
        <w:rPr>
          <w:rFonts w:eastAsia="MS Mincho" w:cs="Arial"/>
          <w:lang w:eastAsia="en-US"/>
        </w:rPr>
      </w:pPr>
    </w:p>
    <w:p w14:paraId="4270C5C7" w14:textId="77777777" w:rsidR="0079130D" w:rsidRDefault="0079130D" w:rsidP="00953499">
      <w:pPr>
        <w:spacing w:before="0"/>
        <w:ind w:left="2160"/>
        <w:rPr>
          <w:rFonts w:eastAsia="MS Mincho" w:cs="Arial"/>
          <w:b/>
          <w:sz w:val="28"/>
          <w:lang w:eastAsia="en-US"/>
        </w:rPr>
      </w:pPr>
    </w:p>
    <w:p w14:paraId="7B603244" w14:textId="77777777" w:rsidR="0079130D" w:rsidRDefault="0079130D" w:rsidP="00953499">
      <w:pPr>
        <w:spacing w:before="0"/>
        <w:ind w:left="2160"/>
        <w:rPr>
          <w:rFonts w:eastAsia="MS Mincho" w:cs="Arial"/>
          <w:b/>
          <w:sz w:val="28"/>
          <w:lang w:eastAsia="en-US"/>
        </w:rPr>
      </w:pPr>
    </w:p>
    <w:p w14:paraId="06B47203" w14:textId="77777777" w:rsidR="00296AED" w:rsidRPr="00213078" w:rsidRDefault="00953499" w:rsidP="00953499">
      <w:pPr>
        <w:spacing w:before="0"/>
        <w:ind w:left="2160"/>
        <w:rPr>
          <w:rFonts w:eastAsia="MS Mincho" w:cs="Arial"/>
          <w:b/>
          <w:sz w:val="28"/>
          <w:lang w:eastAsia="en-US"/>
        </w:rPr>
      </w:pPr>
      <w:r w:rsidRPr="00213078">
        <w:rPr>
          <w:rFonts w:eastAsia="MS Mincho" w:cs="Arial"/>
          <w:b/>
          <w:sz w:val="28"/>
          <w:lang w:eastAsia="en-US"/>
        </w:rPr>
        <w:t>A</w:t>
      </w:r>
      <w:r w:rsidR="00296AED" w:rsidRPr="00213078">
        <w:rPr>
          <w:rFonts w:eastAsia="MS Mincho" w:cs="Arial"/>
          <w:b/>
          <w:sz w:val="28"/>
          <w:lang w:eastAsia="en-US"/>
        </w:rPr>
        <w:t>.3.3. Variable descriptions</w:t>
      </w:r>
    </w:p>
    <w:p w14:paraId="06B47204" w14:textId="77777777" w:rsidR="00296AED" w:rsidRPr="00213078" w:rsidRDefault="00296AED" w:rsidP="00953499">
      <w:pPr>
        <w:spacing w:before="0"/>
        <w:ind w:left="2160"/>
        <w:rPr>
          <w:rFonts w:eastAsia="MS Mincho" w:cs="Arial"/>
          <w:lang w:eastAsia="en-US"/>
        </w:rPr>
      </w:pPr>
    </w:p>
    <w:p w14:paraId="06B47205"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In Understanding Society, all sports and cultural variables were asked for previous 12 months. </w:t>
      </w:r>
    </w:p>
    <w:p w14:paraId="06B47206" w14:textId="77777777" w:rsidR="00296AED" w:rsidRPr="00213078" w:rsidRDefault="00296AED" w:rsidP="00953499">
      <w:pPr>
        <w:spacing w:before="0"/>
        <w:ind w:left="2160"/>
        <w:rPr>
          <w:rFonts w:eastAsia="MS Mincho" w:cs="Arial"/>
          <w:lang w:eastAsia="en-US"/>
        </w:rPr>
      </w:pPr>
    </w:p>
    <w:p w14:paraId="06B47207"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The “</w:t>
      </w:r>
      <w:r w:rsidRPr="00213078">
        <w:rPr>
          <w:rFonts w:eastAsia="MS Mincho" w:cs="Arial"/>
          <w:b/>
          <w:i/>
          <w:lang w:eastAsia="en-US"/>
        </w:rPr>
        <w:t>team sports</w:t>
      </w:r>
      <w:r w:rsidRPr="00213078">
        <w:rPr>
          <w:rFonts w:eastAsia="MS Mincho" w:cs="Arial"/>
          <w:lang w:eastAsia="en-US"/>
        </w:rPr>
        <w:t>” variable includes football (including 5/6 aside), rugby or American football, water sports (including yachting, sailing, canoeing, windsurfing, and waterskiing), basketball, netball, volleyball, cricket, hockey, baseball, softball, and rounders.</w:t>
      </w:r>
    </w:p>
    <w:p w14:paraId="06B47208" w14:textId="77777777" w:rsidR="00296AED" w:rsidRPr="00213078" w:rsidRDefault="00296AED" w:rsidP="00953499">
      <w:pPr>
        <w:spacing w:before="0"/>
        <w:ind w:left="2160"/>
        <w:rPr>
          <w:rFonts w:eastAsia="MS Mincho" w:cs="Arial"/>
          <w:lang w:eastAsia="en-US"/>
        </w:rPr>
      </w:pPr>
    </w:p>
    <w:p w14:paraId="06B47209"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The “</w:t>
      </w:r>
      <w:r w:rsidRPr="00213078">
        <w:rPr>
          <w:rFonts w:eastAsia="MS Mincho" w:cs="Arial"/>
          <w:b/>
          <w:i/>
          <w:lang w:eastAsia="en-US"/>
        </w:rPr>
        <w:t>individual sports</w:t>
      </w:r>
      <w:r w:rsidRPr="00213078">
        <w:rPr>
          <w:rFonts w:eastAsia="MS Mincho" w:cs="Arial"/>
          <w:lang w:eastAsia="en-US"/>
        </w:rPr>
        <w:t>” variable includes health, fitness, gym or conditioning; gymnastics; swimming or diving; cycling, BMX, or mountain biking; track and field athletics, jogging, or running; hill trekking, backpacking, climbing, or mountaineering; golf; boxing; racquet sports like table tennis or squash; skiing; marital arts; and horse riding. Four sports variables were also analysed separately: health, fitness, gym, or conditioning; swimming or diving; cycling, BMX, or mountain biking; and football.</w:t>
      </w:r>
    </w:p>
    <w:p w14:paraId="06B4720A" w14:textId="77777777" w:rsidR="00296AED" w:rsidRPr="00213078" w:rsidRDefault="00296AED" w:rsidP="00953499">
      <w:pPr>
        <w:spacing w:before="0"/>
        <w:ind w:left="2160"/>
        <w:rPr>
          <w:rFonts w:eastAsia="MS Mincho" w:cs="Arial"/>
          <w:lang w:eastAsia="en-US"/>
        </w:rPr>
      </w:pPr>
    </w:p>
    <w:p w14:paraId="06B4720B"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The </w:t>
      </w:r>
      <w:r w:rsidRPr="00213078">
        <w:rPr>
          <w:rFonts w:eastAsia="MS Mincho" w:cs="Arial"/>
          <w:b/>
          <w:i/>
          <w:lang w:eastAsia="en-US"/>
        </w:rPr>
        <w:t>arts participation</w:t>
      </w:r>
      <w:r w:rsidRPr="00213078">
        <w:rPr>
          <w:rFonts w:eastAsia="MS Mincho" w:cs="Arial"/>
          <w:i/>
          <w:lang w:eastAsia="en-US"/>
        </w:rPr>
        <w:t xml:space="preserve"> </w:t>
      </w:r>
      <w:r w:rsidRPr="00213078">
        <w:rPr>
          <w:rFonts w:eastAsia="MS Mincho" w:cs="Arial"/>
          <w:lang w:eastAsia="en-US"/>
        </w:rPr>
        <w:t>variables are for dance, drama (singing to an audience, rehearsing or performing play or drama, or musician or dancer at a carnival), music (playing or writing), arts (painting, drawing, culture, photography, film, or using a computer for art), crafts (textiles, crafts, knitting, pottery, etc), and literature (reading, book club, or writing stories or poetry).</w:t>
      </w:r>
    </w:p>
    <w:p w14:paraId="06B4720C" w14:textId="77777777" w:rsidR="00296AED" w:rsidRPr="00213078" w:rsidRDefault="00296AED" w:rsidP="00953499">
      <w:pPr>
        <w:spacing w:before="0"/>
        <w:ind w:left="2160"/>
        <w:rPr>
          <w:rFonts w:eastAsia="MS Mincho" w:cs="Arial"/>
          <w:lang w:eastAsia="en-US"/>
        </w:rPr>
      </w:pPr>
    </w:p>
    <w:p w14:paraId="06B4720D"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The </w:t>
      </w:r>
      <w:r w:rsidRPr="00213078">
        <w:rPr>
          <w:rFonts w:eastAsia="MS Mincho" w:cs="Arial"/>
          <w:b/>
          <w:i/>
          <w:lang w:eastAsia="en-US"/>
        </w:rPr>
        <w:t>arts audience</w:t>
      </w:r>
      <w:r w:rsidRPr="00213078">
        <w:rPr>
          <w:rFonts w:eastAsia="MS Mincho" w:cs="Arial"/>
          <w:lang w:eastAsia="en-US"/>
        </w:rPr>
        <w:t xml:space="preserve"> variables are for watching a film, attending an exhibition (including video or electronic art, or street art), attending plays or dramas, attending a music performance event (including opera), and attending a dance event (including ballet, contemporary dance, and African dance). </w:t>
      </w:r>
    </w:p>
    <w:p w14:paraId="06B4720E" w14:textId="77777777" w:rsidR="00296AED" w:rsidRPr="00213078" w:rsidRDefault="00296AED" w:rsidP="00953499">
      <w:pPr>
        <w:spacing w:before="0"/>
        <w:ind w:left="2160"/>
        <w:rPr>
          <w:rFonts w:eastAsia="MS Mincho" w:cs="Arial"/>
          <w:lang w:eastAsia="en-US"/>
        </w:rPr>
      </w:pPr>
    </w:p>
    <w:p w14:paraId="06B4720F"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The </w:t>
      </w:r>
      <w:r w:rsidRPr="00213078">
        <w:rPr>
          <w:rFonts w:eastAsia="MS Mincho" w:cs="Arial"/>
          <w:b/>
          <w:i/>
          <w:lang w:eastAsia="en-US"/>
        </w:rPr>
        <w:t>museums</w:t>
      </w:r>
      <w:r w:rsidRPr="00213078">
        <w:rPr>
          <w:rFonts w:eastAsia="MS Mincho" w:cs="Arial"/>
          <w:i/>
          <w:lang w:eastAsia="en-US"/>
        </w:rPr>
        <w:t>/</w:t>
      </w:r>
      <w:r w:rsidRPr="00213078">
        <w:rPr>
          <w:rFonts w:eastAsia="MS Mincho" w:cs="Arial"/>
          <w:b/>
          <w:i/>
          <w:lang w:eastAsia="en-US"/>
        </w:rPr>
        <w:t>libraries</w:t>
      </w:r>
      <w:r w:rsidRPr="00213078">
        <w:rPr>
          <w:rFonts w:eastAsia="MS Mincho" w:cs="Arial"/>
          <w:i/>
          <w:lang w:eastAsia="en-US"/>
        </w:rPr>
        <w:t>/</w:t>
      </w:r>
      <w:r w:rsidRPr="00213078">
        <w:rPr>
          <w:rFonts w:eastAsia="MS Mincho" w:cs="Arial"/>
          <w:b/>
          <w:i/>
          <w:lang w:eastAsia="en-US"/>
        </w:rPr>
        <w:t>heritage</w:t>
      </w:r>
      <w:r w:rsidRPr="00213078">
        <w:rPr>
          <w:rFonts w:eastAsia="MS Mincho" w:cs="Arial"/>
          <w:i/>
          <w:lang w:eastAsia="en-US"/>
        </w:rPr>
        <w:t xml:space="preserve"> </w:t>
      </w:r>
      <w:r w:rsidRPr="00213078">
        <w:rPr>
          <w:rFonts w:eastAsia="MS Mincho" w:cs="Arial"/>
          <w:b/>
          <w:i/>
          <w:lang w:eastAsia="en-US"/>
        </w:rPr>
        <w:t>sites</w:t>
      </w:r>
      <w:r w:rsidRPr="00213078">
        <w:rPr>
          <w:rFonts w:eastAsia="MS Mincho" w:cs="Arial"/>
          <w:i/>
          <w:lang w:eastAsia="en-US"/>
        </w:rPr>
        <w:t xml:space="preserve"> </w:t>
      </w:r>
      <w:r w:rsidRPr="00213078">
        <w:rPr>
          <w:rFonts w:eastAsia="MS Mincho" w:cs="Arial"/>
          <w:b/>
          <w:i/>
          <w:lang w:eastAsia="en-US"/>
        </w:rPr>
        <w:t>visit</w:t>
      </w:r>
      <w:r w:rsidRPr="00213078">
        <w:rPr>
          <w:rFonts w:eastAsia="MS Mincho" w:cs="Arial"/>
          <w:lang w:eastAsia="en-US"/>
        </w:rPr>
        <w:t xml:space="preserve"> variables look at the frequency with which people visit museums or galleries/public libraries/heritage or historical sites in their own time over the past year.</w:t>
      </w:r>
    </w:p>
    <w:p w14:paraId="06B47210" w14:textId="77777777" w:rsidR="00296AED" w:rsidRPr="00213078" w:rsidRDefault="00296AED" w:rsidP="00953499">
      <w:pPr>
        <w:spacing w:before="0"/>
        <w:ind w:left="2160"/>
        <w:rPr>
          <w:rFonts w:eastAsia="MS Mincho" w:cs="Arial"/>
          <w:lang w:eastAsia="en-US"/>
        </w:rPr>
      </w:pPr>
    </w:p>
    <w:p w14:paraId="06B47211" w14:textId="77777777" w:rsidR="00296AED" w:rsidRPr="00213078" w:rsidRDefault="00296AED" w:rsidP="00953499">
      <w:pPr>
        <w:spacing w:before="0"/>
        <w:ind w:left="2160"/>
        <w:rPr>
          <w:rFonts w:eastAsia="MS Mincho" w:cs="Arial"/>
          <w:lang w:eastAsia="en-US"/>
        </w:rPr>
      </w:pPr>
      <w:r w:rsidRPr="00213078">
        <w:rPr>
          <w:rFonts w:eastAsia="MS Mincho" w:cs="Arial"/>
          <w:lang w:eastAsia="en-US"/>
        </w:rPr>
        <w:t xml:space="preserve">The majority of the sample had engaged in sport (58.77%) or art activity (86.19%) in the last year, and a higher proportion of the sample had been an audience member at an art/cultural event (70.71%) than had participated in an art/cultural activity (25.12%). </w:t>
      </w:r>
    </w:p>
    <w:p w14:paraId="06B47212" w14:textId="77777777" w:rsidR="00296AED" w:rsidRPr="00213078" w:rsidRDefault="00296AED" w:rsidP="00953499">
      <w:pPr>
        <w:spacing w:before="0"/>
        <w:ind w:left="2160"/>
        <w:rPr>
          <w:rFonts w:eastAsia="MS Mincho" w:cs="Arial"/>
          <w:lang w:eastAsia="en-US"/>
        </w:rPr>
      </w:pPr>
    </w:p>
    <w:p w14:paraId="496CBDA5" w14:textId="77777777" w:rsidR="00213078" w:rsidRDefault="00213078" w:rsidP="00953499">
      <w:pPr>
        <w:spacing w:before="0"/>
        <w:ind w:left="2160"/>
        <w:rPr>
          <w:rFonts w:eastAsia="MS Mincho" w:cs="Arial"/>
          <w:b/>
          <w:lang w:eastAsia="en-US"/>
        </w:rPr>
      </w:pPr>
    </w:p>
    <w:p w14:paraId="6BB43DAD" w14:textId="77777777" w:rsidR="00213078" w:rsidRDefault="00213078" w:rsidP="00953499">
      <w:pPr>
        <w:spacing w:before="0"/>
        <w:ind w:left="2160"/>
        <w:rPr>
          <w:rFonts w:eastAsia="MS Mincho" w:cs="Arial"/>
          <w:b/>
          <w:lang w:eastAsia="en-US"/>
        </w:rPr>
      </w:pPr>
    </w:p>
    <w:p w14:paraId="7CAF14C6" w14:textId="77777777" w:rsidR="00213078" w:rsidRDefault="00213078" w:rsidP="00953499">
      <w:pPr>
        <w:spacing w:before="0"/>
        <w:ind w:left="2160"/>
        <w:rPr>
          <w:rFonts w:eastAsia="MS Mincho" w:cs="Arial"/>
          <w:b/>
          <w:lang w:eastAsia="en-US"/>
        </w:rPr>
      </w:pPr>
    </w:p>
    <w:p w14:paraId="63BCE497" w14:textId="77777777" w:rsidR="00213078" w:rsidRDefault="00213078" w:rsidP="00953499">
      <w:pPr>
        <w:spacing w:before="0"/>
        <w:ind w:left="2160"/>
        <w:rPr>
          <w:rFonts w:eastAsia="MS Mincho" w:cs="Arial"/>
          <w:b/>
          <w:lang w:eastAsia="en-US"/>
        </w:rPr>
      </w:pPr>
    </w:p>
    <w:p w14:paraId="609A6E03" w14:textId="77777777" w:rsidR="00213078" w:rsidRDefault="00213078" w:rsidP="00953499">
      <w:pPr>
        <w:spacing w:before="0"/>
        <w:ind w:left="2160"/>
        <w:rPr>
          <w:rFonts w:eastAsia="MS Mincho" w:cs="Arial"/>
          <w:b/>
          <w:lang w:eastAsia="en-US"/>
        </w:rPr>
      </w:pPr>
    </w:p>
    <w:p w14:paraId="1F7B5E48" w14:textId="77777777" w:rsidR="00213078" w:rsidRDefault="00213078" w:rsidP="00953499">
      <w:pPr>
        <w:spacing w:before="0"/>
        <w:ind w:left="2160"/>
        <w:rPr>
          <w:rFonts w:eastAsia="MS Mincho" w:cs="Arial"/>
          <w:b/>
          <w:lang w:eastAsia="en-US"/>
        </w:rPr>
      </w:pPr>
    </w:p>
    <w:p w14:paraId="5ADCA6ED" w14:textId="77777777" w:rsidR="00213078" w:rsidRDefault="00213078" w:rsidP="00953499">
      <w:pPr>
        <w:spacing w:before="0"/>
        <w:ind w:left="2160"/>
        <w:rPr>
          <w:rFonts w:eastAsia="MS Mincho" w:cs="Arial"/>
          <w:b/>
          <w:lang w:eastAsia="en-US"/>
        </w:rPr>
      </w:pPr>
    </w:p>
    <w:p w14:paraId="2D311831" w14:textId="77777777" w:rsidR="00213078" w:rsidRDefault="00213078" w:rsidP="00E75B44">
      <w:pPr>
        <w:spacing w:before="0"/>
        <w:ind w:left="0"/>
        <w:rPr>
          <w:rFonts w:eastAsia="MS Mincho" w:cs="Arial"/>
          <w:b/>
          <w:lang w:eastAsia="en-US"/>
        </w:rPr>
      </w:pPr>
    </w:p>
    <w:p w14:paraId="06B47213" w14:textId="77777777" w:rsidR="00296AED" w:rsidRPr="00213078" w:rsidRDefault="00296AED" w:rsidP="00953499">
      <w:pPr>
        <w:spacing w:before="0"/>
        <w:ind w:left="2160"/>
        <w:rPr>
          <w:rFonts w:eastAsia="MS Mincho" w:cs="Arial"/>
          <w:b/>
          <w:lang w:eastAsia="en-US"/>
        </w:rPr>
      </w:pPr>
      <w:r w:rsidRPr="00213078">
        <w:rPr>
          <w:rFonts w:eastAsia="MS Mincho" w:cs="Arial"/>
          <w:b/>
          <w:lang w:eastAsia="en-US"/>
        </w:rPr>
        <w:lastRenderedPageBreak/>
        <w:t>Table 2: Proportion of respondents in each response category for variables where response options were “Yes” or “No”</w:t>
      </w:r>
    </w:p>
    <w:tbl>
      <w:tblPr>
        <w:tblW w:w="7211" w:type="dxa"/>
        <w:tblInd w:w="2253" w:type="dxa"/>
        <w:tblLayout w:type="fixed"/>
        <w:tblLook w:val="04A0" w:firstRow="1" w:lastRow="0" w:firstColumn="1" w:lastColumn="0" w:noHBand="0" w:noVBand="1"/>
      </w:tblPr>
      <w:tblGrid>
        <w:gridCol w:w="4234"/>
        <w:gridCol w:w="1488"/>
        <w:gridCol w:w="1489"/>
      </w:tblGrid>
      <w:tr w:rsidR="00296AED" w:rsidRPr="00296AED" w14:paraId="06B47217" w14:textId="77777777" w:rsidTr="0079130D">
        <w:trPr>
          <w:trHeight w:val="1020"/>
        </w:trPr>
        <w:tc>
          <w:tcPr>
            <w:tcW w:w="4234" w:type="dxa"/>
            <w:tcBorders>
              <w:top w:val="single" w:sz="8" w:space="0" w:color="auto"/>
              <w:left w:val="single" w:sz="8" w:space="0" w:color="auto"/>
              <w:bottom w:val="double" w:sz="6" w:space="0" w:color="auto"/>
              <w:right w:val="nil"/>
            </w:tcBorders>
            <w:shd w:val="clear" w:color="000000" w:fill="0070C0"/>
            <w:noWrap/>
            <w:vAlign w:val="center"/>
            <w:hideMark/>
          </w:tcPr>
          <w:p w14:paraId="06B47214" w14:textId="77777777" w:rsidR="00296AED" w:rsidRPr="00296AED" w:rsidRDefault="00296AED" w:rsidP="00296AED">
            <w:pPr>
              <w:spacing w:before="0"/>
              <w:ind w:left="0"/>
              <w:jc w:val="center"/>
              <w:rPr>
                <w:rFonts w:ascii="Calibri" w:hAnsi="Calibri" w:cs="Calibri"/>
                <w:b/>
                <w:bCs/>
                <w:color w:val="FFFFFF"/>
                <w:sz w:val="22"/>
                <w:szCs w:val="22"/>
                <w:lang w:eastAsia="en-US"/>
              </w:rPr>
            </w:pPr>
            <w:r w:rsidRPr="00296AED">
              <w:rPr>
                <w:rFonts w:ascii="Calibri" w:hAnsi="Calibri" w:cs="Calibri"/>
                <w:b/>
                <w:bCs/>
                <w:color w:val="FFFFFF"/>
                <w:sz w:val="22"/>
                <w:szCs w:val="22"/>
                <w:lang w:eastAsia="en-US"/>
              </w:rPr>
              <w:t>Variable</w:t>
            </w:r>
          </w:p>
        </w:tc>
        <w:tc>
          <w:tcPr>
            <w:tcW w:w="1488"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06B47215" w14:textId="77777777" w:rsidR="00296AED" w:rsidRPr="00296AED" w:rsidRDefault="00296AED" w:rsidP="00296AED">
            <w:pPr>
              <w:spacing w:before="0"/>
              <w:ind w:left="0"/>
              <w:jc w:val="center"/>
              <w:rPr>
                <w:rFonts w:ascii="Calibri" w:hAnsi="Calibri" w:cs="Calibri"/>
                <w:b/>
                <w:bCs/>
                <w:color w:val="FFFFFF"/>
                <w:sz w:val="22"/>
                <w:szCs w:val="22"/>
                <w:lang w:eastAsia="en-US"/>
              </w:rPr>
            </w:pPr>
            <w:r w:rsidRPr="00296AED">
              <w:rPr>
                <w:rFonts w:ascii="Calibri" w:hAnsi="Calibri" w:cs="Calibri"/>
                <w:b/>
                <w:bCs/>
                <w:color w:val="FFFFFF"/>
                <w:sz w:val="22"/>
                <w:szCs w:val="22"/>
                <w:lang w:eastAsia="en-US"/>
              </w:rPr>
              <w:t>% Yes</w:t>
            </w:r>
          </w:p>
        </w:tc>
        <w:tc>
          <w:tcPr>
            <w:tcW w:w="1489" w:type="dxa"/>
            <w:tcBorders>
              <w:top w:val="single" w:sz="8" w:space="0" w:color="auto"/>
              <w:left w:val="nil"/>
              <w:bottom w:val="double" w:sz="6" w:space="0" w:color="auto"/>
              <w:right w:val="nil"/>
            </w:tcBorders>
            <w:shd w:val="clear" w:color="000000" w:fill="0070C0"/>
            <w:noWrap/>
            <w:vAlign w:val="center"/>
            <w:hideMark/>
          </w:tcPr>
          <w:p w14:paraId="06B47216" w14:textId="77777777" w:rsidR="00296AED" w:rsidRPr="00296AED" w:rsidRDefault="00296AED" w:rsidP="00296AED">
            <w:pPr>
              <w:spacing w:before="0"/>
              <w:ind w:left="0"/>
              <w:jc w:val="center"/>
              <w:rPr>
                <w:rFonts w:ascii="Calibri" w:hAnsi="Calibri" w:cs="Calibri"/>
                <w:b/>
                <w:bCs/>
                <w:color w:val="FFFFFF"/>
                <w:sz w:val="22"/>
                <w:szCs w:val="22"/>
                <w:lang w:eastAsia="en-US"/>
              </w:rPr>
            </w:pPr>
            <w:r w:rsidRPr="00296AED">
              <w:rPr>
                <w:rFonts w:ascii="Calibri" w:hAnsi="Calibri" w:cs="Calibri"/>
                <w:b/>
                <w:bCs/>
                <w:color w:val="FFFFFF"/>
                <w:sz w:val="22"/>
                <w:szCs w:val="22"/>
                <w:lang w:eastAsia="en-US"/>
              </w:rPr>
              <w:t>% No</w:t>
            </w:r>
          </w:p>
        </w:tc>
      </w:tr>
      <w:tr w:rsidR="00296AED" w:rsidRPr="00296AED" w14:paraId="06B4721B"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18"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Engaged in any sport</w:t>
            </w:r>
          </w:p>
        </w:tc>
        <w:tc>
          <w:tcPr>
            <w:tcW w:w="1488" w:type="dxa"/>
            <w:tcBorders>
              <w:top w:val="nil"/>
              <w:left w:val="nil"/>
              <w:bottom w:val="nil"/>
              <w:right w:val="nil"/>
            </w:tcBorders>
            <w:shd w:val="clear" w:color="000000" w:fill="FFFFFF"/>
            <w:vAlign w:val="bottom"/>
            <w:hideMark/>
          </w:tcPr>
          <w:p w14:paraId="06B47219"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58.77</w:t>
            </w:r>
          </w:p>
        </w:tc>
        <w:tc>
          <w:tcPr>
            <w:tcW w:w="1489" w:type="dxa"/>
            <w:tcBorders>
              <w:top w:val="nil"/>
              <w:left w:val="nil"/>
              <w:bottom w:val="nil"/>
              <w:right w:val="single" w:sz="4" w:space="0" w:color="auto"/>
            </w:tcBorders>
            <w:shd w:val="clear" w:color="000000" w:fill="FFFFFF"/>
            <w:vAlign w:val="bottom"/>
            <w:hideMark/>
          </w:tcPr>
          <w:p w14:paraId="06B4721A"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41.23</w:t>
            </w:r>
          </w:p>
        </w:tc>
      </w:tr>
      <w:tr w:rsidR="00296AED" w:rsidRPr="00296AED" w14:paraId="06B4721F"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1C"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Engaged in any arts</w:t>
            </w:r>
          </w:p>
        </w:tc>
        <w:tc>
          <w:tcPr>
            <w:tcW w:w="1488" w:type="dxa"/>
            <w:tcBorders>
              <w:top w:val="nil"/>
              <w:left w:val="nil"/>
              <w:bottom w:val="nil"/>
              <w:right w:val="nil"/>
            </w:tcBorders>
            <w:shd w:val="clear" w:color="000000" w:fill="FFFFFF"/>
            <w:vAlign w:val="bottom"/>
            <w:hideMark/>
          </w:tcPr>
          <w:p w14:paraId="06B4721D"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86.19</w:t>
            </w:r>
          </w:p>
        </w:tc>
        <w:tc>
          <w:tcPr>
            <w:tcW w:w="1489" w:type="dxa"/>
            <w:tcBorders>
              <w:top w:val="nil"/>
              <w:left w:val="nil"/>
              <w:bottom w:val="nil"/>
              <w:right w:val="single" w:sz="4" w:space="0" w:color="auto"/>
            </w:tcBorders>
            <w:shd w:val="clear" w:color="000000" w:fill="FFFFFF"/>
            <w:vAlign w:val="bottom"/>
            <w:hideMark/>
          </w:tcPr>
          <w:p w14:paraId="06B4721E"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13.81</w:t>
            </w:r>
          </w:p>
        </w:tc>
      </w:tr>
      <w:tr w:rsidR="00296AED" w:rsidRPr="00296AED" w14:paraId="06B47223"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20"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Played any team sport</w:t>
            </w:r>
          </w:p>
        </w:tc>
        <w:tc>
          <w:tcPr>
            <w:tcW w:w="1488" w:type="dxa"/>
            <w:tcBorders>
              <w:top w:val="nil"/>
              <w:left w:val="nil"/>
              <w:bottom w:val="nil"/>
              <w:right w:val="nil"/>
            </w:tcBorders>
            <w:shd w:val="clear" w:color="000000" w:fill="FFFFFF"/>
            <w:vAlign w:val="bottom"/>
            <w:hideMark/>
          </w:tcPr>
          <w:p w14:paraId="06B47221"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17.63</w:t>
            </w:r>
          </w:p>
        </w:tc>
        <w:tc>
          <w:tcPr>
            <w:tcW w:w="1489" w:type="dxa"/>
            <w:tcBorders>
              <w:top w:val="nil"/>
              <w:left w:val="nil"/>
              <w:bottom w:val="nil"/>
              <w:right w:val="single" w:sz="4" w:space="0" w:color="auto"/>
            </w:tcBorders>
            <w:shd w:val="clear" w:color="000000" w:fill="FFFFFF"/>
            <w:vAlign w:val="bottom"/>
            <w:hideMark/>
          </w:tcPr>
          <w:p w14:paraId="06B47222"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82.37</w:t>
            </w:r>
          </w:p>
        </w:tc>
      </w:tr>
      <w:tr w:rsidR="00296AED" w:rsidRPr="00296AED" w14:paraId="06B47227"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24"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Played any individual sport</w:t>
            </w:r>
          </w:p>
        </w:tc>
        <w:tc>
          <w:tcPr>
            <w:tcW w:w="1488" w:type="dxa"/>
            <w:tcBorders>
              <w:top w:val="nil"/>
              <w:left w:val="nil"/>
              <w:bottom w:val="nil"/>
              <w:right w:val="nil"/>
            </w:tcBorders>
            <w:shd w:val="clear" w:color="000000" w:fill="FFFFFF"/>
            <w:vAlign w:val="bottom"/>
            <w:hideMark/>
          </w:tcPr>
          <w:p w14:paraId="06B47225"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56.86</w:t>
            </w:r>
          </w:p>
        </w:tc>
        <w:tc>
          <w:tcPr>
            <w:tcW w:w="1489" w:type="dxa"/>
            <w:tcBorders>
              <w:top w:val="nil"/>
              <w:left w:val="nil"/>
              <w:bottom w:val="nil"/>
              <w:right w:val="single" w:sz="4" w:space="0" w:color="auto"/>
            </w:tcBorders>
            <w:shd w:val="clear" w:color="000000" w:fill="FFFFFF"/>
            <w:vAlign w:val="bottom"/>
            <w:hideMark/>
          </w:tcPr>
          <w:p w14:paraId="06B47226"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43.14</w:t>
            </w:r>
          </w:p>
        </w:tc>
      </w:tr>
      <w:tr w:rsidR="00296AED" w:rsidRPr="00296AED" w14:paraId="06B4722B"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28"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Did fitness</w:t>
            </w:r>
          </w:p>
        </w:tc>
        <w:tc>
          <w:tcPr>
            <w:tcW w:w="1488" w:type="dxa"/>
            <w:tcBorders>
              <w:top w:val="nil"/>
              <w:left w:val="nil"/>
              <w:bottom w:val="nil"/>
              <w:right w:val="nil"/>
            </w:tcBorders>
            <w:shd w:val="clear" w:color="000000" w:fill="FFFFFF"/>
            <w:vAlign w:val="bottom"/>
            <w:hideMark/>
          </w:tcPr>
          <w:p w14:paraId="06B47229"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27.98</w:t>
            </w:r>
          </w:p>
        </w:tc>
        <w:tc>
          <w:tcPr>
            <w:tcW w:w="1489" w:type="dxa"/>
            <w:tcBorders>
              <w:top w:val="nil"/>
              <w:left w:val="nil"/>
              <w:bottom w:val="nil"/>
              <w:right w:val="single" w:sz="4" w:space="0" w:color="auto"/>
            </w:tcBorders>
            <w:shd w:val="clear" w:color="000000" w:fill="FFFFFF"/>
            <w:vAlign w:val="bottom"/>
            <w:hideMark/>
          </w:tcPr>
          <w:p w14:paraId="06B4722A"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72.02</w:t>
            </w:r>
          </w:p>
        </w:tc>
      </w:tr>
      <w:tr w:rsidR="00296AED" w:rsidRPr="00296AED" w14:paraId="06B4722F"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2C"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Played football</w:t>
            </w:r>
          </w:p>
        </w:tc>
        <w:tc>
          <w:tcPr>
            <w:tcW w:w="1488" w:type="dxa"/>
            <w:tcBorders>
              <w:top w:val="nil"/>
              <w:left w:val="nil"/>
              <w:bottom w:val="nil"/>
              <w:right w:val="nil"/>
            </w:tcBorders>
            <w:shd w:val="clear" w:color="000000" w:fill="FFFFFF"/>
            <w:vAlign w:val="bottom"/>
            <w:hideMark/>
          </w:tcPr>
          <w:p w14:paraId="06B4722D"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9.28</w:t>
            </w:r>
          </w:p>
        </w:tc>
        <w:tc>
          <w:tcPr>
            <w:tcW w:w="1489" w:type="dxa"/>
            <w:tcBorders>
              <w:top w:val="nil"/>
              <w:left w:val="nil"/>
              <w:bottom w:val="nil"/>
              <w:right w:val="single" w:sz="4" w:space="0" w:color="auto"/>
            </w:tcBorders>
            <w:shd w:val="clear" w:color="000000" w:fill="FFFFFF"/>
            <w:vAlign w:val="bottom"/>
            <w:hideMark/>
          </w:tcPr>
          <w:p w14:paraId="06B4722E"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90.72</w:t>
            </w:r>
          </w:p>
        </w:tc>
      </w:tr>
      <w:tr w:rsidR="00296AED" w:rsidRPr="00296AED" w14:paraId="06B47233"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30"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Did swimming</w:t>
            </w:r>
          </w:p>
        </w:tc>
        <w:tc>
          <w:tcPr>
            <w:tcW w:w="1488" w:type="dxa"/>
            <w:tcBorders>
              <w:top w:val="nil"/>
              <w:left w:val="nil"/>
              <w:bottom w:val="nil"/>
              <w:right w:val="nil"/>
            </w:tcBorders>
            <w:shd w:val="clear" w:color="000000" w:fill="FFFFFF"/>
            <w:vAlign w:val="bottom"/>
            <w:hideMark/>
          </w:tcPr>
          <w:p w14:paraId="06B47231"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32.71</w:t>
            </w:r>
          </w:p>
        </w:tc>
        <w:tc>
          <w:tcPr>
            <w:tcW w:w="1489" w:type="dxa"/>
            <w:tcBorders>
              <w:top w:val="nil"/>
              <w:left w:val="nil"/>
              <w:bottom w:val="nil"/>
              <w:right w:val="single" w:sz="4" w:space="0" w:color="auto"/>
            </w:tcBorders>
            <w:shd w:val="clear" w:color="000000" w:fill="FFFFFF"/>
            <w:vAlign w:val="bottom"/>
            <w:hideMark/>
          </w:tcPr>
          <w:p w14:paraId="06B47232"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67.29</w:t>
            </w:r>
          </w:p>
        </w:tc>
      </w:tr>
      <w:tr w:rsidR="00296AED" w:rsidRPr="00296AED" w14:paraId="06B47237"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34"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 xml:space="preserve">Did cycling </w:t>
            </w:r>
          </w:p>
        </w:tc>
        <w:tc>
          <w:tcPr>
            <w:tcW w:w="1488" w:type="dxa"/>
            <w:tcBorders>
              <w:top w:val="nil"/>
              <w:left w:val="nil"/>
              <w:bottom w:val="nil"/>
              <w:right w:val="nil"/>
            </w:tcBorders>
            <w:shd w:val="clear" w:color="000000" w:fill="FFFFFF"/>
            <w:vAlign w:val="bottom"/>
            <w:hideMark/>
          </w:tcPr>
          <w:p w14:paraId="06B47235"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17.77</w:t>
            </w:r>
          </w:p>
        </w:tc>
        <w:tc>
          <w:tcPr>
            <w:tcW w:w="1489" w:type="dxa"/>
            <w:tcBorders>
              <w:top w:val="nil"/>
              <w:left w:val="nil"/>
              <w:bottom w:val="nil"/>
              <w:right w:val="single" w:sz="4" w:space="0" w:color="auto"/>
            </w:tcBorders>
            <w:shd w:val="clear" w:color="000000" w:fill="FFFFFF"/>
            <w:vAlign w:val="bottom"/>
            <w:hideMark/>
          </w:tcPr>
          <w:p w14:paraId="06B47236"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82.23</w:t>
            </w:r>
          </w:p>
        </w:tc>
      </w:tr>
      <w:tr w:rsidR="00296AED" w:rsidRPr="00296AED" w14:paraId="06B4723B"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38"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Was an audience member at any art event</w:t>
            </w:r>
          </w:p>
        </w:tc>
        <w:tc>
          <w:tcPr>
            <w:tcW w:w="1488" w:type="dxa"/>
            <w:tcBorders>
              <w:top w:val="nil"/>
              <w:left w:val="nil"/>
              <w:bottom w:val="nil"/>
              <w:right w:val="nil"/>
            </w:tcBorders>
            <w:shd w:val="clear" w:color="000000" w:fill="FFFFFF"/>
            <w:vAlign w:val="bottom"/>
            <w:hideMark/>
          </w:tcPr>
          <w:p w14:paraId="06B47239"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70.71</w:t>
            </w:r>
          </w:p>
        </w:tc>
        <w:tc>
          <w:tcPr>
            <w:tcW w:w="1489" w:type="dxa"/>
            <w:tcBorders>
              <w:top w:val="nil"/>
              <w:left w:val="nil"/>
              <w:bottom w:val="nil"/>
              <w:right w:val="single" w:sz="4" w:space="0" w:color="auto"/>
            </w:tcBorders>
            <w:shd w:val="clear" w:color="000000" w:fill="FFFFFF"/>
            <w:vAlign w:val="bottom"/>
            <w:hideMark/>
          </w:tcPr>
          <w:p w14:paraId="06B4723A"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29.29</w:t>
            </w:r>
          </w:p>
        </w:tc>
      </w:tr>
      <w:tr w:rsidR="00296AED" w:rsidRPr="00296AED" w14:paraId="06B4723F"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3C"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Participated in any art event</w:t>
            </w:r>
          </w:p>
        </w:tc>
        <w:tc>
          <w:tcPr>
            <w:tcW w:w="1488" w:type="dxa"/>
            <w:tcBorders>
              <w:top w:val="nil"/>
              <w:left w:val="nil"/>
              <w:bottom w:val="nil"/>
              <w:right w:val="nil"/>
            </w:tcBorders>
            <w:shd w:val="clear" w:color="000000" w:fill="FFFFFF"/>
            <w:vAlign w:val="bottom"/>
            <w:hideMark/>
          </w:tcPr>
          <w:p w14:paraId="06B4723D"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25.12</w:t>
            </w:r>
          </w:p>
        </w:tc>
        <w:tc>
          <w:tcPr>
            <w:tcW w:w="1489" w:type="dxa"/>
            <w:tcBorders>
              <w:top w:val="nil"/>
              <w:left w:val="nil"/>
              <w:bottom w:val="nil"/>
              <w:right w:val="single" w:sz="4" w:space="0" w:color="auto"/>
            </w:tcBorders>
            <w:shd w:val="clear" w:color="000000" w:fill="FFFFFF"/>
            <w:vAlign w:val="bottom"/>
            <w:hideMark/>
          </w:tcPr>
          <w:p w14:paraId="06B4723E"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74.88</w:t>
            </w:r>
          </w:p>
        </w:tc>
      </w:tr>
      <w:tr w:rsidR="00296AED" w:rsidRPr="00296AED" w14:paraId="06B47243"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40"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Participated in any dance event</w:t>
            </w:r>
          </w:p>
        </w:tc>
        <w:tc>
          <w:tcPr>
            <w:tcW w:w="1488" w:type="dxa"/>
            <w:tcBorders>
              <w:top w:val="nil"/>
              <w:left w:val="nil"/>
              <w:bottom w:val="nil"/>
              <w:right w:val="nil"/>
            </w:tcBorders>
            <w:shd w:val="clear" w:color="000000" w:fill="FFFFFF"/>
            <w:vAlign w:val="bottom"/>
            <w:hideMark/>
          </w:tcPr>
          <w:p w14:paraId="06B47241"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11.26</w:t>
            </w:r>
          </w:p>
        </w:tc>
        <w:tc>
          <w:tcPr>
            <w:tcW w:w="1489" w:type="dxa"/>
            <w:tcBorders>
              <w:top w:val="nil"/>
              <w:left w:val="nil"/>
              <w:bottom w:val="nil"/>
              <w:right w:val="single" w:sz="4" w:space="0" w:color="auto"/>
            </w:tcBorders>
            <w:shd w:val="clear" w:color="000000" w:fill="FFFFFF"/>
            <w:vAlign w:val="bottom"/>
            <w:hideMark/>
          </w:tcPr>
          <w:p w14:paraId="06B47242"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88.74</w:t>
            </w:r>
          </w:p>
        </w:tc>
      </w:tr>
      <w:tr w:rsidR="00296AED" w:rsidRPr="00296AED" w14:paraId="06B47247"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44"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Participated in drama</w:t>
            </w:r>
          </w:p>
        </w:tc>
        <w:tc>
          <w:tcPr>
            <w:tcW w:w="1488" w:type="dxa"/>
            <w:tcBorders>
              <w:top w:val="nil"/>
              <w:left w:val="nil"/>
              <w:bottom w:val="nil"/>
              <w:right w:val="nil"/>
            </w:tcBorders>
            <w:shd w:val="clear" w:color="000000" w:fill="FFFFFF"/>
            <w:vAlign w:val="bottom"/>
            <w:hideMark/>
          </w:tcPr>
          <w:p w14:paraId="06B47245"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8.31</w:t>
            </w:r>
          </w:p>
        </w:tc>
        <w:tc>
          <w:tcPr>
            <w:tcW w:w="1489" w:type="dxa"/>
            <w:tcBorders>
              <w:top w:val="nil"/>
              <w:left w:val="nil"/>
              <w:bottom w:val="nil"/>
              <w:right w:val="single" w:sz="4" w:space="0" w:color="auto"/>
            </w:tcBorders>
            <w:shd w:val="clear" w:color="000000" w:fill="FFFFFF"/>
            <w:vAlign w:val="bottom"/>
            <w:hideMark/>
          </w:tcPr>
          <w:p w14:paraId="06B47246"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91.69</w:t>
            </w:r>
          </w:p>
        </w:tc>
      </w:tr>
      <w:tr w:rsidR="00296AED" w:rsidRPr="00296AED" w14:paraId="06B4724B"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48"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Participated in music</w:t>
            </w:r>
          </w:p>
        </w:tc>
        <w:tc>
          <w:tcPr>
            <w:tcW w:w="1488" w:type="dxa"/>
            <w:tcBorders>
              <w:top w:val="nil"/>
              <w:left w:val="nil"/>
              <w:bottom w:val="nil"/>
              <w:right w:val="nil"/>
            </w:tcBorders>
            <w:shd w:val="clear" w:color="000000" w:fill="FFFFFF"/>
            <w:vAlign w:val="bottom"/>
            <w:hideMark/>
          </w:tcPr>
          <w:p w14:paraId="06B47249"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10.44</w:t>
            </w:r>
          </w:p>
        </w:tc>
        <w:tc>
          <w:tcPr>
            <w:tcW w:w="1489" w:type="dxa"/>
            <w:tcBorders>
              <w:top w:val="nil"/>
              <w:left w:val="nil"/>
              <w:bottom w:val="nil"/>
              <w:right w:val="single" w:sz="4" w:space="0" w:color="auto"/>
            </w:tcBorders>
            <w:shd w:val="clear" w:color="000000" w:fill="FFFFFF"/>
            <w:vAlign w:val="bottom"/>
            <w:hideMark/>
          </w:tcPr>
          <w:p w14:paraId="06B4724A"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89.56</w:t>
            </w:r>
          </w:p>
        </w:tc>
      </w:tr>
      <w:tr w:rsidR="00296AED" w:rsidRPr="00296AED" w14:paraId="06B4724F"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4C"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Participated in arts</w:t>
            </w:r>
          </w:p>
        </w:tc>
        <w:tc>
          <w:tcPr>
            <w:tcW w:w="1488" w:type="dxa"/>
            <w:tcBorders>
              <w:top w:val="nil"/>
              <w:left w:val="nil"/>
              <w:bottom w:val="nil"/>
              <w:right w:val="nil"/>
            </w:tcBorders>
            <w:shd w:val="clear" w:color="000000" w:fill="FFFFFF"/>
            <w:vAlign w:val="bottom"/>
            <w:hideMark/>
          </w:tcPr>
          <w:p w14:paraId="06B4724D"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26.88</w:t>
            </w:r>
          </w:p>
        </w:tc>
        <w:tc>
          <w:tcPr>
            <w:tcW w:w="1489" w:type="dxa"/>
            <w:tcBorders>
              <w:top w:val="nil"/>
              <w:left w:val="nil"/>
              <w:bottom w:val="nil"/>
              <w:right w:val="single" w:sz="4" w:space="0" w:color="auto"/>
            </w:tcBorders>
            <w:shd w:val="clear" w:color="000000" w:fill="FFFFFF"/>
            <w:vAlign w:val="bottom"/>
            <w:hideMark/>
          </w:tcPr>
          <w:p w14:paraId="06B4724E"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73.12</w:t>
            </w:r>
          </w:p>
        </w:tc>
      </w:tr>
      <w:tr w:rsidR="00296AED" w:rsidRPr="00296AED" w14:paraId="06B47253"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50"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Participated in crafts</w:t>
            </w:r>
          </w:p>
        </w:tc>
        <w:tc>
          <w:tcPr>
            <w:tcW w:w="1488" w:type="dxa"/>
            <w:tcBorders>
              <w:top w:val="nil"/>
              <w:left w:val="nil"/>
              <w:bottom w:val="nil"/>
              <w:right w:val="nil"/>
            </w:tcBorders>
            <w:shd w:val="clear" w:color="000000" w:fill="FFFFFF"/>
            <w:vAlign w:val="bottom"/>
            <w:hideMark/>
          </w:tcPr>
          <w:p w14:paraId="06B47251"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17.25</w:t>
            </w:r>
          </w:p>
        </w:tc>
        <w:tc>
          <w:tcPr>
            <w:tcW w:w="1489" w:type="dxa"/>
            <w:tcBorders>
              <w:top w:val="nil"/>
              <w:left w:val="nil"/>
              <w:bottom w:val="nil"/>
              <w:right w:val="single" w:sz="4" w:space="0" w:color="auto"/>
            </w:tcBorders>
            <w:shd w:val="clear" w:color="000000" w:fill="FFFFFF"/>
            <w:vAlign w:val="bottom"/>
            <w:hideMark/>
          </w:tcPr>
          <w:p w14:paraId="06B47252"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82.75</w:t>
            </w:r>
          </w:p>
        </w:tc>
      </w:tr>
      <w:tr w:rsidR="00296AED" w:rsidRPr="00296AED" w14:paraId="06B47257"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54"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Participated in literature</w:t>
            </w:r>
          </w:p>
        </w:tc>
        <w:tc>
          <w:tcPr>
            <w:tcW w:w="1488" w:type="dxa"/>
            <w:tcBorders>
              <w:top w:val="nil"/>
              <w:left w:val="nil"/>
              <w:bottom w:val="nil"/>
              <w:right w:val="nil"/>
            </w:tcBorders>
            <w:shd w:val="clear" w:color="000000" w:fill="FFFFFF"/>
            <w:vAlign w:val="bottom"/>
            <w:hideMark/>
          </w:tcPr>
          <w:p w14:paraId="06B47255"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65.31</w:t>
            </w:r>
          </w:p>
        </w:tc>
        <w:tc>
          <w:tcPr>
            <w:tcW w:w="1489" w:type="dxa"/>
            <w:tcBorders>
              <w:top w:val="nil"/>
              <w:left w:val="nil"/>
              <w:bottom w:val="nil"/>
              <w:right w:val="single" w:sz="4" w:space="0" w:color="auto"/>
            </w:tcBorders>
            <w:shd w:val="clear" w:color="000000" w:fill="FFFFFF"/>
            <w:vAlign w:val="bottom"/>
            <w:hideMark/>
          </w:tcPr>
          <w:p w14:paraId="06B47256"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34.69</w:t>
            </w:r>
          </w:p>
        </w:tc>
      </w:tr>
      <w:tr w:rsidR="00296AED" w:rsidRPr="00296AED" w14:paraId="06B4725B"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58"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Audience of a film</w:t>
            </w:r>
          </w:p>
        </w:tc>
        <w:tc>
          <w:tcPr>
            <w:tcW w:w="1488" w:type="dxa"/>
            <w:tcBorders>
              <w:top w:val="nil"/>
              <w:left w:val="nil"/>
              <w:bottom w:val="nil"/>
              <w:right w:val="nil"/>
            </w:tcBorders>
            <w:shd w:val="clear" w:color="000000" w:fill="FFFFFF"/>
            <w:vAlign w:val="bottom"/>
            <w:hideMark/>
          </w:tcPr>
          <w:p w14:paraId="06B47259"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55.88</w:t>
            </w:r>
          </w:p>
        </w:tc>
        <w:tc>
          <w:tcPr>
            <w:tcW w:w="1489" w:type="dxa"/>
            <w:tcBorders>
              <w:top w:val="nil"/>
              <w:left w:val="nil"/>
              <w:bottom w:val="nil"/>
              <w:right w:val="single" w:sz="4" w:space="0" w:color="auto"/>
            </w:tcBorders>
            <w:shd w:val="clear" w:color="000000" w:fill="FFFFFF"/>
            <w:vAlign w:val="bottom"/>
            <w:hideMark/>
          </w:tcPr>
          <w:p w14:paraId="06B4725A"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44.12</w:t>
            </w:r>
          </w:p>
        </w:tc>
      </w:tr>
      <w:tr w:rsidR="00296AED" w:rsidRPr="00296AED" w14:paraId="06B4725F"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5C"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Audience at an exhibition</w:t>
            </w:r>
          </w:p>
        </w:tc>
        <w:tc>
          <w:tcPr>
            <w:tcW w:w="1488" w:type="dxa"/>
            <w:tcBorders>
              <w:top w:val="nil"/>
              <w:left w:val="nil"/>
              <w:bottom w:val="nil"/>
              <w:right w:val="nil"/>
            </w:tcBorders>
            <w:shd w:val="clear" w:color="000000" w:fill="FFFFFF"/>
            <w:vAlign w:val="bottom"/>
            <w:hideMark/>
          </w:tcPr>
          <w:p w14:paraId="06B4725D"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30.39</w:t>
            </w:r>
          </w:p>
        </w:tc>
        <w:tc>
          <w:tcPr>
            <w:tcW w:w="1489" w:type="dxa"/>
            <w:tcBorders>
              <w:top w:val="nil"/>
              <w:left w:val="nil"/>
              <w:bottom w:val="nil"/>
              <w:right w:val="single" w:sz="4" w:space="0" w:color="auto"/>
            </w:tcBorders>
            <w:shd w:val="clear" w:color="000000" w:fill="FFFFFF"/>
            <w:vAlign w:val="bottom"/>
            <w:hideMark/>
          </w:tcPr>
          <w:p w14:paraId="06B4725E"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69.61</w:t>
            </w:r>
          </w:p>
        </w:tc>
      </w:tr>
      <w:tr w:rsidR="00296AED" w:rsidRPr="00296AED" w14:paraId="06B47263" w14:textId="77777777" w:rsidTr="0079130D">
        <w:trPr>
          <w:trHeight w:val="552"/>
        </w:trPr>
        <w:tc>
          <w:tcPr>
            <w:tcW w:w="4234" w:type="dxa"/>
            <w:tcBorders>
              <w:top w:val="nil"/>
              <w:left w:val="single" w:sz="4" w:space="0" w:color="auto"/>
              <w:bottom w:val="nil"/>
              <w:right w:val="nil"/>
            </w:tcBorders>
            <w:shd w:val="clear" w:color="000000" w:fill="FFFFFF"/>
            <w:vAlign w:val="bottom"/>
            <w:hideMark/>
          </w:tcPr>
          <w:p w14:paraId="06B47260"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Audience at a play</w:t>
            </w:r>
          </w:p>
        </w:tc>
        <w:tc>
          <w:tcPr>
            <w:tcW w:w="1488" w:type="dxa"/>
            <w:tcBorders>
              <w:top w:val="nil"/>
              <w:left w:val="nil"/>
              <w:bottom w:val="nil"/>
              <w:right w:val="nil"/>
            </w:tcBorders>
            <w:shd w:val="clear" w:color="000000" w:fill="FFFFFF"/>
            <w:vAlign w:val="bottom"/>
            <w:hideMark/>
          </w:tcPr>
          <w:p w14:paraId="06B47261"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34.33</w:t>
            </w:r>
          </w:p>
        </w:tc>
        <w:tc>
          <w:tcPr>
            <w:tcW w:w="1489" w:type="dxa"/>
            <w:tcBorders>
              <w:top w:val="nil"/>
              <w:left w:val="nil"/>
              <w:bottom w:val="nil"/>
              <w:right w:val="single" w:sz="4" w:space="0" w:color="auto"/>
            </w:tcBorders>
            <w:shd w:val="clear" w:color="000000" w:fill="FFFFFF"/>
            <w:vAlign w:val="bottom"/>
            <w:hideMark/>
          </w:tcPr>
          <w:p w14:paraId="06B47262"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65.67</w:t>
            </w:r>
          </w:p>
        </w:tc>
      </w:tr>
      <w:tr w:rsidR="00296AED" w:rsidRPr="00296AED" w14:paraId="06B47267" w14:textId="77777777" w:rsidTr="0079130D">
        <w:trPr>
          <w:trHeight w:val="552"/>
        </w:trPr>
        <w:tc>
          <w:tcPr>
            <w:tcW w:w="4234" w:type="dxa"/>
            <w:tcBorders>
              <w:top w:val="nil"/>
              <w:left w:val="single" w:sz="4" w:space="0" w:color="auto"/>
              <w:bottom w:val="single" w:sz="4" w:space="0" w:color="auto"/>
              <w:right w:val="nil"/>
            </w:tcBorders>
            <w:shd w:val="clear" w:color="000000" w:fill="FFFFFF"/>
            <w:vAlign w:val="bottom"/>
            <w:hideMark/>
          </w:tcPr>
          <w:p w14:paraId="06B47264" w14:textId="77777777" w:rsidR="00296AED" w:rsidRPr="00296AED" w:rsidRDefault="00296AED" w:rsidP="00296AED">
            <w:pPr>
              <w:spacing w:before="0"/>
              <w:ind w:left="0"/>
              <w:rPr>
                <w:rFonts w:ascii="Calibri" w:hAnsi="Calibri" w:cs="Calibri"/>
                <w:color w:val="000000"/>
                <w:sz w:val="22"/>
                <w:szCs w:val="22"/>
                <w:lang w:eastAsia="en-US"/>
              </w:rPr>
            </w:pPr>
            <w:r w:rsidRPr="00296AED">
              <w:rPr>
                <w:rFonts w:ascii="Calibri" w:hAnsi="Calibri" w:cs="Calibri"/>
                <w:color w:val="000000"/>
                <w:sz w:val="22"/>
                <w:szCs w:val="22"/>
                <w:lang w:eastAsia="en-US"/>
              </w:rPr>
              <w:t>Audience at a dance event</w:t>
            </w:r>
          </w:p>
        </w:tc>
        <w:tc>
          <w:tcPr>
            <w:tcW w:w="1488" w:type="dxa"/>
            <w:tcBorders>
              <w:top w:val="nil"/>
              <w:left w:val="nil"/>
              <w:bottom w:val="single" w:sz="4" w:space="0" w:color="auto"/>
              <w:right w:val="nil"/>
            </w:tcBorders>
            <w:shd w:val="clear" w:color="000000" w:fill="FFFFFF"/>
            <w:vAlign w:val="bottom"/>
            <w:hideMark/>
          </w:tcPr>
          <w:p w14:paraId="06B47265"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8.14</w:t>
            </w:r>
          </w:p>
        </w:tc>
        <w:tc>
          <w:tcPr>
            <w:tcW w:w="1489" w:type="dxa"/>
            <w:tcBorders>
              <w:top w:val="nil"/>
              <w:left w:val="nil"/>
              <w:bottom w:val="single" w:sz="4" w:space="0" w:color="auto"/>
              <w:right w:val="single" w:sz="4" w:space="0" w:color="auto"/>
            </w:tcBorders>
            <w:shd w:val="clear" w:color="000000" w:fill="FFFFFF"/>
            <w:vAlign w:val="bottom"/>
            <w:hideMark/>
          </w:tcPr>
          <w:p w14:paraId="06B47266" w14:textId="77777777" w:rsidR="00296AED" w:rsidRPr="00296AED" w:rsidRDefault="00296AED" w:rsidP="00296AED">
            <w:pPr>
              <w:spacing w:before="0"/>
              <w:ind w:left="0"/>
              <w:jc w:val="center"/>
              <w:rPr>
                <w:rFonts w:ascii="Calibri" w:hAnsi="Calibri" w:cs="Calibri"/>
                <w:color w:val="000000"/>
                <w:sz w:val="22"/>
                <w:szCs w:val="22"/>
                <w:lang w:eastAsia="en-US"/>
              </w:rPr>
            </w:pPr>
            <w:r w:rsidRPr="00296AED">
              <w:rPr>
                <w:rFonts w:ascii="Calibri" w:hAnsi="Calibri" w:cs="Calibri"/>
                <w:color w:val="000000"/>
                <w:sz w:val="22"/>
                <w:szCs w:val="22"/>
                <w:lang w:eastAsia="en-US"/>
              </w:rPr>
              <w:t>91.86</w:t>
            </w:r>
          </w:p>
        </w:tc>
      </w:tr>
    </w:tbl>
    <w:p w14:paraId="06B47268" w14:textId="77777777" w:rsidR="00296AED" w:rsidRPr="00296AED" w:rsidRDefault="00296AED" w:rsidP="00953499">
      <w:pPr>
        <w:spacing w:before="0"/>
        <w:ind w:left="2160"/>
        <w:rPr>
          <w:rFonts w:ascii="Calibri" w:eastAsia="MS Mincho" w:hAnsi="Calibri" w:cs="Calibri"/>
          <w:color w:val="FF0000"/>
          <w:lang w:eastAsia="en-US"/>
        </w:rPr>
      </w:pPr>
    </w:p>
    <w:p w14:paraId="06B47269" w14:textId="1E3FA080" w:rsidR="00296AED" w:rsidRPr="0079130D" w:rsidRDefault="00296AED" w:rsidP="00953499">
      <w:pPr>
        <w:spacing w:before="0"/>
        <w:ind w:left="2160"/>
        <w:rPr>
          <w:rFonts w:eastAsia="MS Mincho" w:cs="Arial"/>
          <w:lang w:eastAsia="en-US"/>
        </w:rPr>
      </w:pPr>
      <w:r w:rsidRPr="0079130D">
        <w:rPr>
          <w:rFonts w:eastAsia="MS Mincho" w:cs="Arial"/>
          <w:lang w:eastAsia="en-US"/>
        </w:rPr>
        <w:t xml:space="preserve">Descriptions of the explanatory variables used in the regression analyses can be found at the Annex section </w:t>
      </w:r>
      <w:r w:rsidR="00E75B44">
        <w:rPr>
          <w:rFonts w:eastAsia="MS Mincho" w:cs="Arial"/>
          <w:lang w:eastAsia="en-US"/>
        </w:rPr>
        <w:t>C</w:t>
      </w:r>
      <w:r w:rsidRPr="0079130D">
        <w:rPr>
          <w:rFonts w:eastAsia="MS Mincho" w:cs="Arial"/>
          <w:lang w:eastAsia="en-US"/>
        </w:rPr>
        <w:t>.6.</w:t>
      </w:r>
    </w:p>
    <w:p w14:paraId="06B4726C" w14:textId="77777777" w:rsidR="000B1FC6" w:rsidRPr="00D67C9B" w:rsidRDefault="000B1FC6">
      <w:pPr>
        <w:spacing w:before="0"/>
        <w:ind w:left="0"/>
        <w:rPr>
          <w:rFonts w:cs="Arial"/>
        </w:rPr>
      </w:pPr>
    </w:p>
    <w:p w14:paraId="06B4726D" w14:textId="77777777" w:rsidR="000B1FC6" w:rsidRDefault="003F4A6A" w:rsidP="000B1FC6">
      <w:pPr>
        <w:pStyle w:val="Heading1Numbered"/>
        <w:numPr>
          <w:ilvl w:val="0"/>
          <w:numId w:val="0"/>
        </w:numPr>
        <w:rPr>
          <w:rFonts w:cs="Arial"/>
        </w:rPr>
      </w:pPr>
      <w:bookmarkStart w:id="7" w:name="_Toc385423393"/>
      <w:r>
        <w:rPr>
          <w:rFonts w:cs="Arial"/>
        </w:rPr>
        <w:lastRenderedPageBreak/>
        <w:t>An</w:t>
      </w:r>
      <w:r w:rsidR="00953499">
        <w:rPr>
          <w:rFonts w:cs="Arial"/>
        </w:rPr>
        <w:t>nex B</w:t>
      </w:r>
      <w:r>
        <w:rPr>
          <w:rFonts w:cs="Arial"/>
        </w:rPr>
        <w:t>: Full r</w:t>
      </w:r>
      <w:r w:rsidR="000B1FC6" w:rsidRPr="00D67C9B">
        <w:rPr>
          <w:rFonts w:cs="Arial"/>
        </w:rPr>
        <w:t>esults</w:t>
      </w:r>
      <w:bookmarkEnd w:id="7"/>
    </w:p>
    <w:p w14:paraId="06B4726E" w14:textId="77777777" w:rsidR="00296AED" w:rsidRPr="0079130D" w:rsidRDefault="00953499" w:rsidP="00296AED">
      <w:pPr>
        <w:spacing w:before="0"/>
        <w:ind w:left="2160"/>
        <w:rPr>
          <w:rFonts w:eastAsia="MS Mincho" w:cs="Arial"/>
          <w:b/>
          <w:sz w:val="28"/>
          <w:lang w:eastAsia="en-US"/>
        </w:rPr>
      </w:pPr>
      <w:r w:rsidRPr="0079130D">
        <w:rPr>
          <w:rFonts w:eastAsia="MS Mincho" w:cs="Arial"/>
          <w:b/>
          <w:sz w:val="28"/>
          <w:lang w:eastAsia="en-US"/>
        </w:rPr>
        <w:t>B</w:t>
      </w:r>
      <w:r w:rsidR="00296AED" w:rsidRPr="0079130D">
        <w:rPr>
          <w:rFonts w:eastAsia="MS Mincho" w:cs="Arial"/>
          <w:b/>
          <w:sz w:val="28"/>
          <w:lang w:eastAsia="en-US"/>
        </w:rPr>
        <w:t>.1. Life satisfaction models for culture and sports</w:t>
      </w:r>
    </w:p>
    <w:p w14:paraId="06B4726F" w14:textId="77777777" w:rsidR="00296AED" w:rsidRPr="0079130D" w:rsidRDefault="00296AED" w:rsidP="00296AED">
      <w:pPr>
        <w:spacing w:before="0"/>
        <w:ind w:left="2160"/>
        <w:rPr>
          <w:rFonts w:eastAsia="MS Mincho" w:cs="Arial"/>
          <w:lang w:eastAsia="en-US"/>
        </w:rPr>
      </w:pPr>
    </w:p>
    <w:p w14:paraId="06B47270" w14:textId="77777777" w:rsidR="00296AED" w:rsidRPr="0079130D" w:rsidRDefault="00296AED" w:rsidP="00296AED">
      <w:pPr>
        <w:spacing w:before="0"/>
        <w:ind w:left="2160"/>
        <w:rPr>
          <w:rFonts w:eastAsia="MS Mincho" w:cs="Arial"/>
          <w:b/>
          <w:lang w:eastAsia="en-US"/>
        </w:rPr>
      </w:pPr>
      <w:r w:rsidRPr="0079130D">
        <w:rPr>
          <w:rFonts w:eastAsia="MS Mincho" w:cs="Arial"/>
          <w:lang w:eastAsia="en-US"/>
        </w:rPr>
        <w:t>Here we present the results for the culture and sports models in equations (8.1) through (8.6). In total, there are 13 models estimated (including the interaction models) and so to manage the presentation of results we show in Table 3 the main (summary) regression outputs (excluding the interaction terms models). The table presents coefficient sizes, standard errors, sample sizes and R-Squared values for all culture and sports variables from all of the models. The full outputs for all of the models</w:t>
      </w:r>
      <w:r w:rsidR="001A1360" w:rsidRPr="0079130D">
        <w:rPr>
          <w:rFonts w:eastAsia="MS Mincho" w:cs="Arial"/>
          <w:lang w:eastAsia="en-US"/>
        </w:rPr>
        <w:t xml:space="preserve"> can be found in Annex section C</w:t>
      </w:r>
      <w:r w:rsidRPr="0079130D">
        <w:rPr>
          <w:rFonts w:eastAsia="MS Mincho" w:cs="Arial"/>
          <w:lang w:eastAsia="en-US"/>
        </w:rPr>
        <w:t>.3 and details of the robust checks/tests employed on the models</w:t>
      </w:r>
      <w:r w:rsidR="001A1360" w:rsidRPr="0079130D">
        <w:rPr>
          <w:rFonts w:eastAsia="MS Mincho" w:cs="Arial"/>
          <w:lang w:eastAsia="en-US"/>
        </w:rPr>
        <w:t xml:space="preserve"> can be found in Annex section C</w:t>
      </w:r>
      <w:r w:rsidRPr="0079130D">
        <w:rPr>
          <w:rFonts w:eastAsia="MS Mincho" w:cs="Arial"/>
          <w:lang w:eastAsia="en-US"/>
        </w:rPr>
        <w:t>.4.</w:t>
      </w:r>
      <w:r w:rsidRPr="0079130D">
        <w:rPr>
          <w:rFonts w:eastAsia="MS Mincho" w:cs="Arial"/>
          <w:b/>
          <w:lang w:eastAsia="en-US"/>
        </w:rPr>
        <w:t xml:space="preserve"> </w:t>
      </w:r>
    </w:p>
    <w:p w14:paraId="06B47271" w14:textId="77777777" w:rsidR="00296AED" w:rsidRPr="0079130D" w:rsidRDefault="00296AED" w:rsidP="00296AED">
      <w:pPr>
        <w:spacing w:before="0"/>
        <w:ind w:left="2160"/>
        <w:rPr>
          <w:rFonts w:eastAsia="MS Mincho" w:cs="Arial"/>
          <w:b/>
          <w:lang w:eastAsia="en-US"/>
        </w:rPr>
      </w:pPr>
    </w:p>
    <w:p w14:paraId="06B47272" w14:textId="77777777" w:rsidR="00296AED" w:rsidRPr="0079130D" w:rsidRDefault="00296AED" w:rsidP="00296AED">
      <w:pPr>
        <w:spacing w:before="0"/>
        <w:ind w:left="2160"/>
        <w:rPr>
          <w:rFonts w:eastAsia="MS Mincho" w:cs="Arial"/>
          <w:b/>
          <w:lang w:eastAsia="en-US"/>
        </w:rPr>
      </w:pPr>
      <w:r w:rsidRPr="0079130D">
        <w:rPr>
          <w:rFonts w:eastAsia="MS Mincho" w:cs="Arial"/>
          <w:b/>
          <w:lang w:eastAsia="en-US"/>
        </w:rPr>
        <w:t>The following activities are positively and significantly associated with life satisfaction:</w:t>
      </w:r>
    </w:p>
    <w:p w14:paraId="06B47273" w14:textId="77777777" w:rsidR="00296AED" w:rsidRPr="0079130D" w:rsidRDefault="00296AED" w:rsidP="00296AED">
      <w:pPr>
        <w:spacing w:before="0"/>
        <w:ind w:left="2160"/>
        <w:rPr>
          <w:rFonts w:eastAsia="MS Mincho" w:cs="Arial"/>
          <w:b/>
          <w:lang w:eastAsia="en-US"/>
        </w:rPr>
      </w:pPr>
    </w:p>
    <w:p w14:paraId="06B47274" w14:textId="77777777" w:rsidR="00296AED" w:rsidRPr="0079130D" w:rsidRDefault="00296AED" w:rsidP="00296AED">
      <w:pPr>
        <w:numPr>
          <w:ilvl w:val="0"/>
          <w:numId w:val="17"/>
        </w:numPr>
        <w:spacing w:before="0"/>
        <w:ind w:left="2920"/>
        <w:contextualSpacing/>
        <w:rPr>
          <w:rFonts w:eastAsia="MS Mincho" w:cs="Arial"/>
          <w:b/>
          <w:lang w:eastAsia="en-US"/>
        </w:rPr>
      </w:pPr>
      <w:r w:rsidRPr="0079130D">
        <w:rPr>
          <w:rFonts w:eastAsia="MS Mincho" w:cs="Arial"/>
          <w:b/>
          <w:lang w:eastAsia="en-US"/>
        </w:rPr>
        <w:t xml:space="preserve">Engagement in sports </w:t>
      </w:r>
    </w:p>
    <w:p w14:paraId="06B47275" w14:textId="77777777" w:rsidR="00296AED" w:rsidRPr="0079130D" w:rsidRDefault="00296AED" w:rsidP="00296AED">
      <w:pPr>
        <w:numPr>
          <w:ilvl w:val="0"/>
          <w:numId w:val="17"/>
        </w:numPr>
        <w:spacing w:before="0"/>
        <w:ind w:left="2920"/>
        <w:contextualSpacing/>
        <w:rPr>
          <w:rFonts w:eastAsia="MS Mincho" w:cs="Arial"/>
          <w:b/>
          <w:lang w:eastAsia="en-US"/>
        </w:rPr>
      </w:pPr>
      <w:r w:rsidRPr="0079130D">
        <w:rPr>
          <w:rFonts w:eastAsia="MS Mincho" w:cs="Arial"/>
          <w:b/>
          <w:lang w:eastAsia="en-US"/>
        </w:rPr>
        <w:t xml:space="preserve">Team </w:t>
      </w:r>
      <w:r w:rsidR="00AC5587" w:rsidRPr="0079130D">
        <w:rPr>
          <w:rFonts w:eastAsia="MS Mincho" w:cs="Arial"/>
          <w:b/>
          <w:lang w:eastAsia="en-US"/>
        </w:rPr>
        <w:t xml:space="preserve">sports </w:t>
      </w:r>
      <w:r w:rsidRPr="0079130D">
        <w:rPr>
          <w:rFonts w:eastAsia="MS Mincho" w:cs="Arial"/>
          <w:b/>
          <w:lang w:eastAsia="en-US"/>
        </w:rPr>
        <w:t xml:space="preserve">and individual sports (for former effect is greatest) </w:t>
      </w:r>
    </w:p>
    <w:p w14:paraId="06B47276" w14:textId="77777777" w:rsidR="00296AED" w:rsidRPr="0079130D" w:rsidRDefault="00296AED" w:rsidP="00296AED">
      <w:pPr>
        <w:numPr>
          <w:ilvl w:val="0"/>
          <w:numId w:val="17"/>
        </w:numPr>
        <w:spacing w:before="0"/>
        <w:ind w:left="2920"/>
        <w:contextualSpacing/>
        <w:rPr>
          <w:rFonts w:eastAsia="MS Mincho" w:cs="Arial"/>
          <w:b/>
          <w:lang w:eastAsia="en-US"/>
        </w:rPr>
      </w:pPr>
      <w:r w:rsidRPr="0079130D">
        <w:rPr>
          <w:rFonts w:eastAsia="MS Mincho" w:cs="Arial"/>
          <w:b/>
          <w:lang w:eastAsia="en-US"/>
        </w:rPr>
        <w:t xml:space="preserve">Swimming </w:t>
      </w:r>
    </w:p>
    <w:p w14:paraId="06B47277" w14:textId="77777777" w:rsidR="00296AED" w:rsidRPr="0079130D" w:rsidRDefault="00296AED" w:rsidP="00296AED">
      <w:pPr>
        <w:numPr>
          <w:ilvl w:val="0"/>
          <w:numId w:val="17"/>
        </w:numPr>
        <w:spacing w:before="0"/>
        <w:ind w:left="2920"/>
        <w:contextualSpacing/>
        <w:rPr>
          <w:rFonts w:eastAsia="MS Mincho" w:cs="Arial"/>
          <w:b/>
          <w:lang w:eastAsia="en-US"/>
        </w:rPr>
      </w:pPr>
      <w:r w:rsidRPr="0079130D">
        <w:rPr>
          <w:rFonts w:eastAsia="MS Mincho" w:cs="Arial"/>
          <w:b/>
          <w:lang w:eastAsia="en-US"/>
        </w:rPr>
        <w:t xml:space="preserve">Engagement in arts (about the same impact as for sports) </w:t>
      </w:r>
    </w:p>
    <w:p w14:paraId="06B47278" w14:textId="77777777" w:rsidR="00296AED" w:rsidRPr="0079130D" w:rsidRDefault="00296AED" w:rsidP="00296AED">
      <w:pPr>
        <w:numPr>
          <w:ilvl w:val="0"/>
          <w:numId w:val="17"/>
        </w:numPr>
        <w:spacing w:before="0"/>
        <w:ind w:left="2920"/>
        <w:contextualSpacing/>
        <w:rPr>
          <w:rFonts w:eastAsia="MS Mincho" w:cs="Arial"/>
          <w:b/>
          <w:lang w:eastAsia="en-US"/>
        </w:rPr>
      </w:pPr>
      <w:r w:rsidRPr="0079130D">
        <w:rPr>
          <w:rFonts w:eastAsia="MS Mincho" w:cs="Arial"/>
          <w:b/>
          <w:lang w:eastAsia="en-US"/>
        </w:rPr>
        <w:t xml:space="preserve">Attending the arts </w:t>
      </w:r>
    </w:p>
    <w:p w14:paraId="06B47279" w14:textId="77777777" w:rsidR="00296AED" w:rsidRPr="0079130D" w:rsidRDefault="00296AED" w:rsidP="00296AED">
      <w:pPr>
        <w:numPr>
          <w:ilvl w:val="0"/>
          <w:numId w:val="17"/>
        </w:numPr>
        <w:spacing w:before="0"/>
        <w:ind w:left="2920"/>
        <w:contextualSpacing/>
        <w:rPr>
          <w:rFonts w:eastAsia="MS Mincho" w:cs="Arial"/>
          <w:b/>
          <w:lang w:eastAsia="en-US"/>
        </w:rPr>
      </w:pPr>
      <w:r w:rsidRPr="0079130D">
        <w:rPr>
          <w:rFonts w:eastAsia="MS Mincho" w:cs="Arial"/>
          <w:b/>
          <w:lang w:eastAsia="en-US"/>
        </w:rPr>
        <w:t xml:space="preserve">Participation in dance and crafts </w:t>
      </w:r>
    </w:p>
    <w:p w14:paraId="06B4727A" w14:textId="77777777" w:rsidR="00296AED" w:rsidRPr="0079130D" w:rsidRDefault="00296AED" w:rsidP="00296AED">
      <w:pPr>
        <w:numPr>
          <w:ilvl w:val="0"/>
          <w:numId w:val="17"/>
        </w:numPr>
        <w:spacing w:before="0"/>
        <w:ind w:left="2920"/>
        <w:contextualSpacing/>
        <w:rPr>
          <w:rFonts w:eastAsia="MS Mincho" w:cs="Arial"/>
          <w:b/>
          <w:lang w:eastAsia="en-US"/>
        </w:rPr>
      </w:pPr>
      <w:r w:rsidRPr="0079130D">
        <w:rPr>
          <w:rFonts w:eastAsia="MS Mincho" w:cs="Arial"/>
          <w:b/>
          <w:lang w:eastAsia="en-US"/>
        </w:rPr>
        <w:t xml:space="preserve">Attending  musical events and plays </w:t>
      </w:r>
    </w:p>
    <w:p w14:paraId="06B4727B" w14:textId="77777777" w:rsidR="00296AED" w:rsidRPr="0079130D" w:rsidRDefault="00296AED" w:rsidP="00296AED">
      <w:pPr>
        <w:numPr>
          <w:ilvl w:val="0"/>
          <w:numId w:val="17"/>
        </w:numPr>
        <w:spacing w:before="0"/>
        <w:ind w:left="2920"/>
        <w:contextualSpacing/>
        <w:rPr>
          <w:rFonts w:eastAsia="MS Mincho" w:cs="Arial"/>
          <w:b/>
          <w:lang w:eastAsia="en-US"/>
        </w:rPr>
      </w:pPr>
      <w:r w:rsidRPr="0079130D">
        <w:rPr>
          <w:rFonts w:eastAsia="MS Mincho" w:cs="Arial"/>
          <w:b/>
          <w:lang w:eastAsia="en-US"/>
        </w:rPr>
        <w:t>Visiting libraries</w:t>
      </w:r>
    </w:p>
    <w:p w14:paraId="06B4727C" w14:textId="77777777" w:rsidR="00296AED" w:rsidRPr="0079130D" w:rsidRDefault="00296AED" w:rsidP="00296AED">
      <w:pPr>
        <w:spacing w:before="0"/>
        <w:ind w:left="2200"/>
        <w:rPr>
          <w:rFonts w:eastAsia="MS Mincho" w:cs="Arial"/>
          <w:b/>
          <w:lang w:eastAsia="en-US"/>
        </w:rPr>
      </w:pPr>
    </w:p>
    <w:p w14:paraId="06B4727D" w14:textId="77777777" w:rsidR="00296AED" w:rsidRPr="0079130D" w:rsidRDefault="00296AED" w:rsidP="00296AED">
      <w:pPr>
        <w:spacing w:before="0"/>
        <w:ind w:left="2200"/>
        <w:rPr>
          <w:rFonts w:eastAsia="MS Mincho" w:cs="Arial"/>
          <w:b/>
          <w:lang w:eastAsia="en-US"/>
        </w:rPr>
      </w:pPr>
      <w:r w:rsidRPr="0079130D">
        <w:rPr>
          <w:rFonts w:eastAsia="MS Mincho" w:cs="Arial"/>
          <w:b/>
          <w:lang w:eastAsia="en-US"/>
        </w:rPr>
        <w:t>The following activities are negatively and significantly associated with life satisfaction:</w:t>
      </w:r>
    </w:p>
    <w:p w14:paraId="06B4727E" w14:textId="77777777" w:rsidR="00296AED" w:rsidRPr="0079130D" w:rsidRDefault="00296AED" w:rsidP="00296AED">
      <w:pPr>
        <w:spacing w:before="0"/>
        <w:ind w:left="2200"/>
        <w:rPr>
          <w:rFonts w:eastAsia="MS Mincho" w:cs="Arial"/>
          <w:b/>
          <w:lang w:eastAsia="en-US"/>
        </w:rPr>
      </w:pPr>
    </w:p>
    <w:p w14:paraId="06B4727F" w14:textId="77777777" w:rsidR="00296AED" w:rsidRPr="0079130D" w:rsidRDefault="00296AED" w:rsidP="00296AED">
      <w:pPr>
        <w:numPr>
          <w:ilvl w:val="0"/>
          <w:numId w:val="21"/>
        </w:numPr>
        <w:spacing w:before="0"/>
        <w:ind w:left="2920"/>
        <w:contextualSpacing/>
        <w:rPr>
          <w:rFonts w:eastAsia="MS Mincho" w:cs="Arial"/>
          <w:b/>
          <w:lang w:eastAsia="en-US"/>
        </w:rPr>
      </w:pPr>
      <w:r w:rsidRPr="0079130D">
        <w:rPr>
          <w:rFonts w:eastAsia="MS Mincho" w:cs="Arial"/>
          <w:b/>
          <w:lang w:eastAsia="en-US"/>
        </w:rPr>
        <w:t>Fitness (such as going to the gym)</w:t>
      </w:r>
    </w:p>
    <w:p w14:paraId="06B47280" w14:textId="77777777" w:rsidR="00296AED" w:rsidRPr="0079130D" w:rsidRDefault="00296AED" w:rsidP="00296AED">
      <w:pPr>
        <w:numPr>
          <w:ilvl w:val="0"/>
          <w:numId w:val="21"/>
        </w:numPr>
        <w:spacing w:before="0"/>
        <w:ind w:left="2920"/>
        <w:contextualSpacing/>
        <w:rPr>
          <w:rFonts w:eastAsia="MS Mincho" w:cs="Arial"/>
          <w:b/>
          <w:lang w:eastAsia="en-US"/>
        </w:rPr>
      </w:pPr>
      <w:r w:rsidRPr="0079130D">
        <w:rPr>
          <w:rFonts w:eastAsia="MS Mincho" w:cs="Arial"/>
          <w:b/>
          <w:lang w:eastAsia="en-US"/>
        </w:rPr>
        <w:t>Performing music</w:t>
      </w:r>
    </w:p>
    <w:p w14:paraId="06B47281" w14:textId="77777777" w:rsidR="00296AED" w:rsidRPr="0079130D" w:rsidRDefault="00296AED" w:rsidP="00296AED">
      <w:pPr>
        <w:spacing w:before="0"/>
        <w:ind w:left="2200"/>
        <w:rPr>
          <w:rFonts w:eastAsia="MS Mincho" w:cs="Arial"/>
          <w:lang w:eastAsia="en-US"/>
        </w:rPr>
      </w:pPr>
    </w:p>
    <w:p w14:paraId="06B47282"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The aggregate variables (</w:t>
      </w:r>
      <w:r w:rsidRPr="0079130D">
        <w:rPr>
          <w:rFonts w:eastAsia="MS Mincho" w:cs="Arial"/>
          <w:i/>
          <w:lang w:eastAsia="en-US"/>
        </w:rPr>
        <w:t>All Sports, All Arts</w:t>
      </w:r>
      <w:r w:rsidRPr="0079130D">
        <w:rPr>
          <w:rFonts w:eastAsia="MS Mincho" w:cs="Arial"/>
          <w:lang w:eastAsia="en-US"/>
        </w:rPr>
        <w:t xml:space="preserve">) have larger coefficients than the coefficients of their constituent parts (i.e. </w:t>
      </w:r>
      <w:r w:rsidRPr="0079130D">
        <w:rPr>
          <w:rFonts w:eastAsia="MS Mincho" w:cs="Arial"/>
          <w:i/>
          <w:lang w:eastAsia="en-US"/>
        </w:rPr>
        <w:t>Team sports</w:t>
      </w:r>
      <w:r w:rsidRPr="0079130D">
        <w:rPr>
          <w:rFonts w:eastAsia="MS Mincho" w:cs="Arial"/>
          <w:lang w:eastAsia="en-US"/>
        </w:rPr>
        <w:t>/</w:t>
      </w:r>
      <w:r w:rsidRPr="0079130D">
        <w:rPr>
          <w:rFonts w:eastAsia="MS Mincho" w:cs="Arial"/>
          <w:i/>
          <w:lang w:eastAsia="en-US"/>
        </w:rPr>
        <w:t>Individual sports,</w:t>
      </w:r>
      <w:r w:rsidRPr="0079130D">
        <w:rPr>
          <w:rFonts w:eastAsia="MS Mincho" w:cs="Arial"/>
          <w:i/>
          <w:sz w:val="28"/>
          <w:lang w:eastAsia="en-US"/>
        </w:rPr>
        <w:t xml:space="preserve"> </w:t>
      </w:r>
      <w:r w:rsidRPr="0079130D">
        <w:rPr>
          <w:rFonts w:cs="Arial"/>
          <w:i/>
          <w:iCs/>
          <w:color w:val="000000"/>
          <w:szCs w:val="22"/>
        </w:rPr>
        <w:t>All audience arts/All participation arts</w:t>
      </w:r>
      <w:r w:rsidRPr="0079130D">
        <w:rPr>
          <w:rFonts w:cs="Arial"/>
          <w:iCs/>
          <w:color w:val="000000"/>
          <w:szCs w:val="22"/>
        </w:rPr>
        <w:t xml:space="preserve">), which may be due to a number of reasons, but the aggregate level variables will pick up interaction effects of the constituent parts and hence may be larger in magnitude. We </w:t>
      </w:r>
      <w:r w:rsidRPr="0079130D">
        <w:rPr>
          <w:rFonts w:eastAsia="MS Mincho" w:cs="Arial"/>
          <w:lang w:eastAsia="en-US"/>
        </w:rPr>
        <w:t xml:space="preserve">should note that for the visits model sample sizes were substantially reduced due to a high rate of non-response to the libraries, museums and heritage sites questions (approximately 30,000 observations were lost). With more data, then, the positive </w:t>
      </w:r>
      <w:r w:rsidRPr="0079130D">
        <w:rPr>
          <w:rFonts w:eastAsia="MS Mincho" w:cs="Arial"/>
          <w:lang w:eastAsia="en-US"/>
        </w:rPr>
        <w:lastRenderedPageBreak/>
        <w:t>effects of visits to museums and heritage sites on life satisfaction may become statistically significant.</w:t>
      </w:r>
    </w:p>
    <w:p w14:paraId="06B47283" w14:textId="77777777" w:rsidR="00296AED" w:rsidRPr="0079130D" w:rsidRDefault="00296AED" w:rsidP="00296AED">
      <w:pPr>
        <w:spacing w:before="0"/>
        <w:ind w:left="2160"/>
        <w:rPr>
          <w:rFonts w:eastAsia="MS Mincho" w:cs="Arial"/>
          <w:b/>
          <w:lang w:eastAsia="en-US"/>
        </w:rPr>
      </w:pPr>
    </w:p>
    <w:p w14:paraId="06B47284" w14:textId="77777777" w:rsidR="00296AED" w:rsidRPr="0079130D" w:rsidRDefault="00296AED" w:rsidP="00296AED">
      <w:pPr>
        <w:spacing w:before="0"/>
        <w:ind w:left="2160"/>
        <w:rPr>
          <w:rFonts w:eastAsia="MS Mincho" w:cs="Arial"/>
          <w:b/>
          <w:lang w:eastAsia="en-US"/>
        </w:rPr>
      </w:pPr>
    </w:p>
    <w:p w14:paraId="06B47285" w14:textId="77777777" w:rsidR="00296AED" w:rsidRPr="0079130D" w:rsidRDefault="00296AED" w:rsidP="00296AED">
      <w:pPr>
        <w:spacing w:before="0"/>
        <w:ind w:left="2160"/>
        <w:rPr>
          <w:rFonts w:eastAsia="MS Mincho" w:cs="Arial"/>
          <w:b/>
          <w:lang w:eastAsia="en-US"/>
        </w:rPr>
      </w:pPr>
      <w:r w:rsidRPr="0079130D">
        <w:rPr>
          <w:rFonts w:eastAsia="MS Mincho" w:cs="Arial"/>
          <w:b/>
          <w:lang w:eastAsia="en-US"/>
        </w:rPr>
        <w:t>Table 3. The effect of culture and sport on life satisfaction (scale of 1-7)</w:t>
      </w:r>
    </w:p>
    <w:tbl>
      <w:tblPr>
        <w:tblW w:w="7754" w:type="dxa"/>
        <w:tblInd w:w="2127" w:type="dxa"/>
        <w:tblLook w:val="04A0" w:firstRow="1" w:lastRow="0" w:firstColumn="1" w:lastColumn="0" w:noHBand="0" w:noVBand="1"/>
      </w:tblPr>
      <w:tblGrid>
        <w:gridCol w:w="2954"/>
        <w:gridCol w:w="1280"/>
        <w:gridCol w:w="960"/>
        <w:gridCol w:w="1320"/>
        <w:gridCol w:w="1240"/>
      </w:tblGrid>
      <w:tr w:rsidR="00296AED" w:rsidRPr="00296AED" w14:paraId="06B4728B" w14:textId="77777777" w:rsidTr="00553255">
        <w:trPr>
          <w:trHeight w:val="315"/>
        </w:trPr>
        <w:tc>
          <w:tcPr>
            <w:tcW w:w="2954" w:type="dxa"/>
            <w:tcBorders>
              <w:top w:val="single" w:sz="8" w:space="0" w:color="auto"/>
              <w:left w:val="single" w:sz="8" w:space="0" w:color="auto"/>
              <w:bottom w:val="double" w:sz="6" w:space="0" w:color="auto"/>
              <w:right w:val="nil"/>
            </w:tcBorders>
            <w:shd w:val="clear" w:color="000000" w:fill="0070C0"/>
            <w:noWrap/>
            <w:vAlign w:val="bottom"/>
            <w:hideMark/>
          </w:tcPr>
          <w:p w14:paraId="06B47286"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Model &amp; variables</w:t>
            </w:r>
          </w:p>
        </w:tc>
        <w:tc>
          <w:tcPr>
            <w:tcW w:w="1280"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06B47287"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Coefficient</w:t>
            </w:r>
          </w:p>
        </w:tc>
        <w:tc>
          <w:tcPr>
            <w:tcW w:w="960" w:type="dxa"/>
            <w:tcBorders>
              <w:top w:val="single" w:sz="8" w:space="0" w:color="auto"/>
              <w:left w:val="nil"/>
              <w:bottom w:val="double" w:sz="6" w:space="0" w:color="auto"/>
              <w:right w:val="nil"/>
            </w:tcBorders>
            <w:shd w:val="clear" w:color="000000" w:fill="0070C0"/>
            <w:noWrap/>
            <w:vAlign w:val="bottom"/>
            <w:hideMark/>
          </w:tcPr>
          <w:p w14:paraId="06B47288"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S.E.</w:t>
            </w:r>
          </w:p>
        </w:tc>
        <w:tc>
          <w:tcPr>
            <w:tcW w:w="1320"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06B47289"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Sample size</w:t>
            </w:r>
          </w:p>
        </w:tc>
        <w:tc>
          <w:tcPr>
            <w:tcW w:w="1240" w:type="dxa"/>
            <w:tcBorders>
              <w:top w:val="single" w:sz="8" w:space="0" w:color="auto"/>
              <w:left w:val="nil"/>
              <w:bottom w:val="double" w:sz="6" w:space="0" w:color="auto"/>
              <w:right w:val="single" w:sz="8" w:space="0" w:color="auto"/>
            </w:tcBorders>
            <w:shd w:val="clear" w:color="000000" w:fill="0070C0"/>
            <w:noWrap/>
            <w:vAlign w:val="bottom"/>
            <w:hideMark/>
          </w:tcPr>
          <w:p w14:paraId="06B4728A"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R-Squared</w:t>
            </w:r>
          </w:p>
        </w:tc>
      </w:tr>
      <w:tr w:rsidR="00296AED" w:rsidRPr="00296AED" w14:paraId="06B47291" w14:textId="77777777" w:rsidTr="00553255">
        <w:trPr>
          <w:trHeight w:val="315"/>
        </w:trPr>
        <w:tc>
          <w:tcPr>
            <w:tcW w:w="2954" w:type="dxa"/>
            <w:tcBorders>
              <w:top w:val="nil"/>
              <w:left w:val="single" w:sz="8" w:space="0" w:color="auto"/>
              <w:bottom w:val="single" w:sz="4" w:space="0" w:color="auto"/>
              <w:right w:val="nil"/>
            </w:tcBorders>
            <w:shd w:val="clear" w:color="000000" w:fill="0070C0"/>
            <w:noWrap/>
            <w:vAlign w:val="bottom"/>
            <w:hideMark/>
          </w:tcPr>
          <w:p w14:paraId="06B4728C"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Visits - Model (8.1)</w:t>
            </w:r>
          </w:p>
        </w:tc>
        <w:tc>
          <w:tcPr>
            <w:tcW w:w="1280" w:type="dxa"/>
            <w:tcBorders>
              <w:top w:val="nil"/>
              <w:left w:val="single" w:sz="4" w:space="0" w:color="auto"/>
              <w:bottom w:val="single" w:sz="4" w:space="0" w:color="auto"/>
              <w:right w:val="single" w:sz="4" w:space="0" w:color="auto"/>
            </w:tcBorders>
            <w:shd w:val="clear" w:color="000000" w:fill="0070C0"/>
            <w:noWrap/>
            <w:vAlign w:val="bottom"/>
            <w:hideMark/>
          </w:tcPr>
          <w:p w14:paraId="06B4728D" w14:textId="77777777" w:rsidR="00296AED" w:rsidRPr="00296AED" w:rsidRDefault="00296AED" w:rsidP="00296AED">
            <w:pPr>
              <w:spacing w:before="0"/>
              <w:ind w:left="0"/>
              <w:jc w:val="center"/>
              <w:rPr>
                <w:rFonts w:ascii="Calibri" w:hAnsi="Calibri" w:cs="Calibri"/>
                <w:color w:val="FFFFFF"/>
                <w:sz w:val="22"/>
                <w:szCs w:val="22"/>
              </w:rPr>
            </w:pPr>
          </w:p>
        </w:tc>
        <w:tc>
          <w:tcPr>
            <w:tcW w:w="960" w:type="dxa"/>
            <w:tcBorders>
              <w:top w:val="nil"/>
              <w:left w:val="nil"/>
              <w:bottom w:val="single" w:sz="4" w:space="0" w:color="auto"/>
              <w:right w:val="nil"/>
            </w:tcBorders>
            <w:shd w:val="clear" w:color="000000" w:fill="0070C0"/>
            <w:noWrap/>
            <w:vAlign w:val="bottom"/>
            <w:hideMark/>
          </w:tcPr>
          <w:p w14:paraId="06B4728E" w14:textId="77777777" w:rsidR="00296AED" w:rsidRPr="00296AED" w:rsidRDefault="00296AED" w:rsidP="00296AED">
            <w:pPr>
              <w:spacing w:before="0"/>
              <w:ind w:left="0"/>
              <w:jc w:val="center"/>
              <w:rPr>
                <w:rFonts w:ascii="Calibri" w:hAnsi="Calibri" w:cs="Calibri"/>
                <w:color w:val="FFFFFF"/>
                <w:sz w:val="22"/>
                <w:szCs w:val="22"/>
              </w:rPr>
            </w:pPr>
          </w:p>
        </w:tc>
        <w:tc>
          <w:tcPr>
            <w:tcW w:w="1320" w:type="dxa"/>
            <w:tcBorders>
              <w:top w:val="nil"/>
              <w:left w:val="single" w:sz="4" w:space="0" w:color="auto"/>
              <w:bottom w:val="single" w:sz="4" w:space="0" w:color="auto"/>
              <w:right w:val="single" w:sz="4" w:space="0" w:color="auto"/>
            </w:tcBorders>
            <w:shd w:val="clear" w:color="000000" w:fill="0070C0"/>
            <w:noWrap/>
            <w:vAlign w:val="bottom"/>
            <w:hideMark/>
          </w:tcPr>
          <w:p w14:paraId="06B4728F" w14:textId="77777777" w:rsidR="00296AED" w:rsidRPr="00296AED" w:rsidRDefault="00296AED" w:rsidP="00296AED">
            <w:pPr>
              <w:spacing w:before="0"/>
              <w:ind w:left="0"/>
              <w:jc w:val="center"/>
              <w:rPr>
                <w:rFonts w:ascii="Calibri" w:hAnsi="Calibri" w:cs="Calibri"/>
                <w:color w:val="FFFFFF"/>
                <w:sz w:val="22"/>
                <w:szCs w:val="22"/>
              </w:rPr>
            </w:pPr>
          </w:p>
        </w:tc>
        <w:tc>
          <w:tcPr>
            <w:tcW w:w="1240" w:type="dxa"/>
            <w:tcBorders>
              <w:top w:val="nil"/>
              <w:left w:val="nil"/>
              <w:bottom w:val="single" w:sz="4" w:space="0" w:color="auto"/>
              <w:right w:val="single" w:sz="8" w:space="0" w:color="auto"/>
            </w:tcBorders>
            <w:shd w:val="clear" w:color="000000" w:fill="0070C0"/>
            <w:noWrap/>
            <w:vAlign w:val="bottom"/>
            <w:hideMark/>
          </w:tcPr>
          <w:p w14:paraId="06B47290" w14:textId="77777777" w:rsidR="00296AED" w:rsidRPr="00296AED" w:rsidRDefault="00296AED" w:rsidP="00296AED">
            <w:pPr>
              <w:spacing w:before="0"/>
              <w:ind w:left="0"/>
              <w:jc w:val="center"/>
              <w:rPr>
                <w:rFonts w:ascii="Calibri" w:hAnsi="Calibri" w:cs="Calibri"/>
                <w:color w:val="FFFFFF"/>
                <w:sz w:val="22"/>
                <w:szCs w:val="22"/>
              </w:rPr>
            </w:pPr>
          </w:p>
        </w:tc>
      </w:tr>
      <w:tr w:rsidR="00296AED" w:rsidRPr="00296AED" w14:paraId="06B47297"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92"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Visit museums frequently</w:t>
            </w:r>
          </w:p>
        </w:tc>
        <w:tc>
          <w:tcPr>
            <w:tcW w:w="1280" w:type="dxa"/>
            <w:tcBorders>
              <w:top w:val="nil"/>
              <w:left w:val="single" w:sz="4" w:space="0" w:color="auto"/>
              <w:bottom w:val="nil"/>
              <w:right w:val="single" w:sz="4" w:space="0" w:color="auto"/>
            </w:tcBorders>
            <w:shd w:val="clear" w:color="auto" w:fill="auto"/>
            <w:noWrap/>
            <w:vAlign w:val="bottom"/>
            <w:hideMark/>
          </w:tcPr>
          <w:p w14:paraId="06B47293"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0.014</w:t>
            </w:r>
          </w:p>
        </w:tc>
        <w:tc>
          <w:tcPr>
            <w:tcW w:w="960" w:type="dxa"/>
            <w:tcBorders>
              <w:top w:val="nil"/>
              <w:left w:val="nil"/>
              <w:bottom w:val="nil"/>
              <w:right w:val="nil"/>
            </w:tcBorders>
            <w:shd w:val="clear" w:color="auto" w:fill="auto"/>
            <w:noWrap/>
            <w:vAlign w:val="bottom"/>
            <w:hideMark/>
          </w:tcPr>
          <w:p w14:paraId="06B47294"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(0.048)</w:t>
            </w:r>
          </w:p>
        </w:tc>
        <w:tc>
          <w:tcPr>
            <w:tcW w:w="1320" w:type="dxa"/>
            <w:tcBorders>
              <w:top w:val="nil"/>
              <w:left w:val="single" w:sz="4" w:space="0" w:color="auto"/>
              <w:bottom w:val="nil"/>
              <w:right w:val="single" w:sz="4" w:space="0" w:color="auto"/>
            </w:tcBorders>
            <w:shd w:val="clear" w:color="auto" w:fill="auto"/>
            <w:noWrap/>
            <w:vAlign w:val="bottom"/>
            <w:hideMark/>
          </w:tcPr>
          <w:p w14:paraId="06B47295"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6251</w:t>
            </w:r>
          </w:p>
        </w:tc>
        <w:tc>
          <w:tcPr>
            <w:tcW w:w="1240" w:type="dxa"/>
            <w:tcBorders>
              <w:top w:val="nil"/>
              <w:left w:val="nil"/>
              <w:bottom w:val="nil"/>
              <w:right w:val="single" w:sz="8" w:space="0" w:color="auto"/>
            </w:tcBorders>
            <w:shd w:val="clear" w:color="auto" w:fill="auto"/>
            <w:noWrap/>
            <w:vAlign w:val="bottom"/>
            <w:hideMark/>
          </w:tcPr>
          <w:p w14:paraId="06B47296"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0.14</w:t>
            </w:r>
          </w:p>
        </w:tc>
      </w:tr>
      <w:tr w:rsidR="00296AED" w:rsidRPr="00296AED" w14:paraId="06B4729D"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98"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Visit libraries frequently</w:t>
            </w:r>
          </w:p>
        </w:tc>
        <w:tc>
          <w:tcPr>
            <w:tcW w:w="1280" w:type="dxa"/>
            <w:tcBorders>
              <w:top w:val="nil"/>
              <w:left w:val="single" w:sz="4" w:space="0" w:color="auto"/>
              <w:bottom w:val="nil"/>
              <w:right w:val="single" w:sz="4" w:space="0" w:color="auto"/>
            </w:tcBorders>
            <w:shd w:val="clear" w:color="auto" w:fill="auto"/>
            <w:noWrap/>
            <w:vAlign w:val="bottom"/>
            <w:hideMark/>
          </w:tcPr>
          <w:p w14:paraId="06B47299"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0.063**</w:t>
            </w:r>
          </w:p>
        </w:tc>
        <w:tc>
          <w:tcPr>
            <w:tcW w:w="960" w:type="dxa"/>
            <w:tcBorders>
              <w:top w:val="nil"/>
              <w:left w:val="nil"/>
              <w:bottom w:val="nil"/>
              <w:right w:val="nil"/>
            </w:tcBorders>
            <w:shd w:val="clear" w:color="auto" w:fill="auto"/>
            <w:noWrap/>
            <w:vAlign w:val="bottom"/>
            <w:hideMark/>
          </w:tcPr>
          <w:p w14:paraId="06B4729A"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(0.032)</w:t>
            </w:r>
          </w:p>
        </w:tc>
        <w:tc>
          <w:tcPr>
            <w:tcW w:w="1320" w:type="dxa"/>
            <w:tcBorders>
              <w:top w:val="nil"/>
              <w:left w:val="single" w:sz="4" w:space="0" w:color="auto"/>
              <w:bottom w:val="nil"/>
              <w:right w:val="single" w:sz="4" w:space="0" w:color="auto"/>
            </w:tcBorders>
            <w:shd w:val="clear" w:color="auto" w:fill="auto"/>
            <w:noWrap/>
            <w:vAlign w:val="bottom"/>
            <w:hideMark/>
          </w:tcPr>
          <w:p w14:paraId="06B4729B"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6251</w:t>
            </w:r>
          </w:p>
        </w:tc>
        <w:tc>
          <w:tcPr>
            <w:tcW w:w="1240" w:type="dxa"/>
            <w:tcBorders>
              <w:top w:val="nil"/>
              <w:left w:val="nil"/>
              <w:bottom w:val="nil"/>
              <w:right w:val="single" w:sz="8" w:space="0" w:color="auto"/>
            </w:tcBorders>
            <w:shd w:val="clear" w:color="auto" w:fill="auto"/>
            <w:noWrap/>
            <w:vAlign w:val="bottom"/>
            <w:hideMark/>
          </w:tcPr>
          <w:p w14:paraId="06B4729C"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0.14</w:t>
            </w:r>
          </w:p>
        </w:tc>
      </w:tr>
      <w:tr w:rsidR="00296AED" w:rsidRPr="00296AED" w14:paraId="06B472A3" w14:textId="77777777" w:rsidTr="00553255">
        <w:trPr>
          <w:trHeight w:val="300"/>
        </w:trPr>
        <w:tc>
          <w:tcPr>
            <w:tcW w:w="2954" w:type="dxa"/>
            <w:tcBorders>
              <w:top w:val="nil"/>
              <w:left w:val="single" w:sz="8" w:space="0" w:color="auto"/>
              <w:bottom w:val="single" w:sz="4" w:space="0" w:color="auto"/>
              <w:right w:val="nil"/>
            </w:tcBorders>
            <w:shd w:val="clear" w:color="auto" w:fill="auto"/>
            <w:noWrap/>
            <w:vAlign w:val="bottom"/>
            <w:hideMark/>
          </w:tcPr>
          <w:p w14:paraId="06B4729E"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Visit heritage sites frequently</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6B4729F"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0.034</w:t>
            </w:r>
          </w:p>
        </w:tc>
        <w:tc>
          <w:tcPr>
            <w:tcW w:w="960" w:type="dxa"/>
            <w:tcBorders>
              <w:top w:val="nil"/>
              <w:left w:val="nil"/>
              <w:bottom w:val="single" w:sz="4" w:space="0" w:color="auto"/>
              <w:right w:val="nil"/>
            </w:tcBorders>
            <w:shd w:val="clear" w:color="auto" w:fill="auto"/>
            <w:noWrap/>
            <w:vAlign w:val="bottom"/>
            <w:hideMark/>
          </w:tcPr>
          <w:p w14:paraId="06B472A0"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(0.036)</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6B472A1"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6251</w:t>
            </w:r>
          </w:p>
        </w:tc>
        <w:tc>
          <w:tcPr>
            <w:tcW w:w="1240" w:type="dxa"/>
            <w:tcBorders>
              <w:top w:val="nil"/>
              <w:left w:val="nil"/>
              <w:bottom w:val="single" w:sz="4" w:space="0" w:color="auto"/>
              <w:right w:val="single" w:sz="8" w:space="0" w:color="auto"/>
            </w:tcBorders>
            <w:shd w:val="clear" w:color="auto" w:fill="auto"/>
            <w:noWrap/>
            <w:vAlign w:val="bottom"/>
            <w:hideMark/>
          </w:tcPr>
          <w:p w14:paraId="06B472A2"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0.14</w:t>
            </w:r>
          </w:p>
        </w:tc>
      </w:tr>
      <w:tr w:rsidR="00296AED" w:rsidRPr="00296AED" w14:paraId="06B472A9" w14:textId="77777777" w:rsidTr="00553255">
        <w:trPr>
          <w:trHeight w:val="300"/>
        </w:trPr>
        <w:tc>
          <w:tcPr>
            <w:tcW w:w="2954" w:type="dxa"/>
            <w:tcBorders>
              <w:top w:val="nil"/>
              <w:left w:val="single" w:sz="8" w:space="0" w:color="auto"/>
              <w:bottom w:val="single" w:sz="4" w:space="0" w:color="auto"/>
              <w:right w:val="nil"/>
            </w:tcBorders>
            <w:shd w:val="clear" w:color="000000" w:fill="0070C0"/>
            <w:noWrap/>
            <w:vAlign w:val="bottom"/>
            <w:hideMark/>
          </w:tcPr>
          <w:p w14:paraId="06B472A4"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Sports - Models (8.2)-(8.4)</w:t>
            </w:r>
          </w:p>
        </w:tc>
        <w:tc>
          <w:tcPr>
            <w:tcW w:w="1280" w:type="dxa"/>
            <w:tcBorders>
              <w:top w:val="nil"/>
              <w:left w:val="single" w:sz="4" w:space="0" w:color="auto"/>
              <w:bottom w:val="single" w:sz="4" w:space="0" w:color="auto"/>
              <w:right w:val="single" w:sz="4" w:space="0" w:color="auto"/>
            </w:tcBorders>
            <w:shd w:val="clear" w:color="000000" w:fill="0070C0"/>
            <w:noWrap/>
            <w:vAlign w:val="bottom"/>
            <w:hideMark/>
          </w:tcPr>
          <w:p w14:paraId="06B472A5" w14:textId="77777777" w:rsidR="00296AED" w:rsidRPr="00296AED" w:rsidRDefault="00296AED" w:rsidP="00296AED">
            <w:pPr>
              <w:spacing w:before="0"/>
              <w:ind w:left="0"/>
              <w:rPr>
                <w:rFonts w:ascii="Calibri" w:hAnsi="Calibri" w:cs="Calibri"/>
                <w:color w:val="FFFFFF"/>
                <w:sz w:val="22"/>
                <w:szCs w:val="22"/>
              </w:rPr>
            </w:pPr>
          </w:p>
        </w:tc>
        <w:tc>
          <w:tcPr>
            <w:tcW w:w="960" w:type="dxa"/>
            <w:tcBorders>
              <w:top w:val="nil"/>
              <w:left w:val="nil"/>
              <w:bottom w:val="single" w:sz="4" w:space="0" w:color="auto"/>
              <w:right w:val="nil"/>
            </w:tcBorders>
            <w:shd w:val="clear" w:color="000000" w:fill="0070C0"/>
            <w:noWrap/>
            <w:vAlign w:val="bottom"/>
            <w:hideMark/>
          </w:tcPr>
          <w:p w14:paraId="06B472A6" w14:textId="77777777" w:rsidR="00296AED" w:rsidRPr="00296AED" w:rsidRDefault="00296AED" w:rsidP="00296AED">
            <w:pPr>
              <w:spacing w:before="0"/>
              <w:ind w:left="0"/>
              <w:jc w:val="center"/>
              <w:rPr>
                <w:rFonts w:ascii="Calibri" w:hAnsi="Calibri" w:cs="Calibri"/>
                <w:color w:val="FFFFFF"/>
                <w:sz w:val="22"/>
                <w:szCs w:val="22"/>
              </w:rPr>
            </w:pPr>
          </w:p>
        </w:tc>
        <w:tc>
          <w:tcPr>
            <w:tcW w:w="1320" w:type="dxa"/>
            <w:tcBorders>
              <w:top w:val="nil"/>
              <w:left w:val="single" w:sz="4" w:space="0" w:color="auto"/>
              <w:bottom w:val="single" w:sz="4" w:space="0" w:color="auto"/>
              <w:right w:val="single" w:sz="4" w:space="0" w:color="auto"/>
            </w:tcBorders>
            <w:shd w:val="clear" w:color="000000" w:fill="0070C0"/>
            <w:noWrap/>
            <w:vAlign w:val="bottom"/>
            <w:hideMark/>
          </w:tcPr>
          <w:p w14:paraId="06B472A7" w14:textId="77777777" w:rsidR="00296AED" w:rsidRPr="00296AED" w:rsidRDefault="00296AED" w:rsidP="00296AED">
            <w:pPr>
              <w:spacing w:before="0"/>
              <w:ind w:left="0"/>
              <w:jc w:val="center"/>
              <w:rPr>
                <w:rFonts w:ascii="Calibri" w:hAnsi="Calibri" w:cs="Calibri"/>
                <w:color w:val="FFFFFF"/>
                <w:sz w:val="22"/>
                <w:szCs w:val="22"/>
              </w:rPr>
            </w:pPr>
          </w:p>
        </w:tc>
        <w:tc>
          <w:tcPr>
            <w:tcW w:w="1240" w:type="dxa"/>
            <w:tcBorders>
              <w:top w:val="nil"/>
              <w:left w:val="nil"/>
              <w:bottom w:val="single" w:sz="4" w:space="0" w:color="auto"/>
              <w:right w:val="single" w:sz="8" w:space="0" w:color="auto"/>
            </w:tcBorders>
            <w:shd w:val="clear" w:color="000000" w:fill="0070C0"/>
            <w:noWrap/>
            <w:vAlign w:val="bottom"/>
            <w:hideMark/>
          </w:tcPr>
          <w:p w14:paraId="06B472A8" w14:textId="77777777" w:rsidR="00296AED" w:rsidRPr="00296AED" w:rsidRDefault="00296AED" w:rsidP="00296AED">
            <w:pPr>
              <w:spacing w:before="0"/>
              <w:ind w:left="0"/>
              <w:jc w:val="center"/>
              <w:rPr>
                <w:rFonts w:ascii="Calibri" w:hAnsi="Calibri" w:cs="Calibri"/>
                <w:color w:val="FFFFFF"/>
                <w:sz w:val="22"/>
                <w:szCs w:val="22"/>
              </w:rPr>
            </w:pPr>
          </w:p>
        </w:tc>
      </w:tr>
      <w:tr w:rsidR="00296AED" w:rsidRPr="00296AED" w14:paraId="06B472AF"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AA"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All sports</w:t>
            </w:r>
          </w:p>
        </w:tc>
        <w:tc>
          <w:tcPr>
            <w:tcW w:w="1280" w:type="dxa"/>
            <w:tcBorders>
              <w:top w:val="nil"/>
              <w:left w:val="single" w:sz="4" w:space="0" w:color="auto"/>
              <w:bottom w:val="nil"/>
              <w:right w:val="single" w:sz="4" w:space="0" w:color="auto"/>
            </w:tcBorders>
            <w:shd w:val="clear" w:color="auto" w:fill="auto"/>
            <w:noWrap/>
            <w:vAlign w:val="bottom"/>
            <w:hideMark/>
          </w:tcPr>
          <w:p w14:paraId="06B472AB"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0.052***</w:t>
            </w:r>
          </w:p>
        </w:tc>
        <w:tc>
          <w:tcPr>
            <w:tcW w:w="960" w:type="dxa"/>
            <w:tcBorders>
              <w:top w:val="nil"/>
              <w:left w:val="nil"/>
              <w:bottom w:val="nil"/>
              <w:right w:val="nil"/>
            </w:tcBorders>
            <w:shd w:val="clear" w:color="auto" w:fill="auto"/>
            <w:noWrap/>
            <w:vAlign w:val="bottom"/>
            <w:hideMark/>
          </w:tcPr>
          <w:p w14:paraId="06B472AC"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(0.017)</w:t>
            </w:r>
          </w:p>
        </w:tc>
        <w:tc>
          <w:tcPr>
            <w:tcW w:w="1320" w:type="dxa"/>
            <w:tcBorders>
              <w:top w:val="nil"/>
              <w:left w:val="single" w:sz="4" w:space="0" w:color="auto"/>
              <w:bottom w:val="nil"/>
              <w:right w:val="single" w:sz="4" w:space="0" w:color="auto"/>
            </w:tcBorders>
            <w:shd w:val="clear" w:color="auto" w:fill="auto"/>
            <w:noWrap/>
            <w:vAlign w:val="bottom"/>
            <w:hideMark/>
          </w:tcPr>
          <w:p w14:paraId="06B472AD"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36530</w:t>
            </w:r>
          </w:p>
        </w:tc>
        <w:tc>
          <w:tcPr>
            <w:tcW w:w="1240" w:type="dxa"/>
            <w:tcBorders>
              <w:top w:val="nil"/>
              <w:left w:val="nil"/>
              <w:bottom w:val="nil"/>
              <w:right w:val="single" w:sz="8" w:space="0" w:color="auto"/>
            </w:tcBorders>
            <w:shd w:val="clear" w:color="auto" w:fill="auto"/>
            <w:noWrap/>
            <w:vAlign w:val="bottom"/>
            <w:hideMark/>
          </w:tcPr>
          <w:p w14:paraId="06B472AE"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2B5"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B0"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Team sports</w:t>
            </w:r>
          </w:p>
        </w:tc>
        <w:tc>
          <w:tcPr>
            <w:tcW w:w="1280" w:type="dxa"/>
            <w:tcBorders>
              <w:top w:val="nil"/>
              <w:left w:val="single" w:sz="4" w:space="0" w:color="auto"/>
              <w:bottom w:val="nil"/>
              <w:right w:val="single" w:sz="4" w:space="0" w:color="auto"/>
            </w:tcBorders>
            <w:shd w:val="clear" w:color="auto" w:fill="auto"/>
            <w:noWrap/>
            <w:vAlign w:val="bottom"/>
            <w:hideMark/>
          </w:tcPr>
          <w:p w14:paraId="06B472B1"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0.052***</w:t>
            </w:r>
          </w:p>
        </w:tc>
        <w:tc>
          <w:tcPr>
            <w:tcW w:w="960" w:type="dxa"/>
            <w:tcBorders>
              <w:top w:val="nil"/>
              <w:left w:val="nil"/>
              <w:bottom w:val="nil"/>
              <w:right w:val="nil"/>
            </w:tcBorders>
            <w:shd w:val="clear" w:color="auto" w:fill="auto"/>
            <w:noWrap/>
            <w:vAlign w:val="bottom"/>
            <w:hideMark/>
          </w:tcPr>
          <w:p w14:paraId="06B472B2"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(0.020)</w:t>
            </w:r>
          </w:p>
        </w:tc>
        <w:tc>
          <w:tcPr>
            <w:tcW w:w="1320" w:type="dxa"/>
            <w:tcBorders>
              <w:top w:val="nil"/>
              <w:left w:val="single" w:sz="4" w:space="0" w:color="auto"/>
              <w:bottom w:val="nil"/>
              <w:right w:val="single" w:sz="4" w:space="0" w:color="auto"/>
            </w:tcBorders>
            <w:shd w:val="clear" w:color="auto" w:fill="auto"/>
            <w:noWrap/>
            <w:vAlign w:val="bottom"/>
            <w:hideMark/>
          </w:tcPr>
          <w:p w14:paraId="06B472B3"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36530</w:t>
            </w:r>
          </w:p>
        </w:tc>
        <w:tc>
          <w:tcPr>
            <w:tcW w:w="1240" w:type="dxa"/>
            <w:tcBorders>
              <w:top w:val="nil"/>
              <w:left w:val="nil"/>
              <w:bottom w:val="nil"/>
              <w:right w:val="single" w:sz="8" w:space="0" w:color="auto"/>
            </w:tcBorders>
            <w:shd w:val="clear" w:color="auto" w:fill="auto"/>
            <w:noWrap/>
            <w:vAlign w:val="bottom"/>
            <w:hideMark/>
          </w:tcPr>
          <w:p w14:paraId="06B472B4"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2BB"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B6"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Individual sports</w:t>
            </w:r>
          </w:p>
        </w:tc>
        <w:tc>
          <w:tcPr>
            <w:tcW w:w="1280" w:type="dxa"/>
            <w:tcBorders>
              <w:top w:val="nil"/>
              <w:left w:val="single" w:sz="4" w:space="0" w:color="auto"/>
              <w:bottom w:val="nil"/>
              <w:right w:val="single" w:sz="4" w:space="0" w:color="auto"/>
            </w:tcBorders>
            <w:shd w:val="clear" w:color="auto" w:fill="auto"/>
            <w:noWrap/>
            <w:vAlign w:val="bottom"/>
            <w:hideMark/>
          </w:tcPr>
          <w:p w14:paraId="06B472B7"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0.038**</w:t>
            </w:r>
          </w:p>
        </w:tc>
        <w:tc>
          <w:tcPr>
            <w:tcW w:w="960" w:type="dxa"/>
            <w:tcBorders>
              <w:top w:val="nil"/>
              <w:left w:val="nil"/>
              <w:bottom w:val="nil"/>
              <w:right w:val="nil"/>
            </w:tcBorders>
            <w:shd w:val="clear" w:color="auto" w:fill="auto"/>
            <w:noWrap/>
            <w:vAlign w:val="bottom"/>
            <w:hideMark/>
          </w:tcPr>
          <w:p w14:paraId="06B472B8"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(0.017)</w:t>
            </w:r>
          </w:p>
        </w:tc>
        <w:tc>
          <w:tcPr>
            <w:tcW w:w="1320" w:type="dxa"/>
            <w:tcBorders>
              <w:top w:val="nil"/>
              <w:left w:val="single" w:sz="4" w:space="0" w:color="auto"/>
              <w:bottom w:val="nil"/>
              <w:right w:val="single" w:sz="4" w:space="0" w:color="auto"/>
            </w:tcBorders>
            <w:shd w:val="clear" w:color="auto" w:fill="auto"/>
            <w:noWrap/>
            <w:vAlign w:val="bottom"/>
            <w:hideMark/>
          </w:tcPr>
          <w:p w14:paraId="06B472B9"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36530</w:t>
            </w:r>
          </w:p>
        </w:tc>
        <w:tc>
          <w:tcPr>
            <w:tcW w:w="1240" w:type="dxa"/>
            <w:tcBorders>
              <w:top w:val="nil"/>
              <w:left w:val="nil"/>
              <w:bottom w:val="nil"/>
              <w:right w:val="single" w:sz="8" w:space="0" w:color="auto"/>
            </w:tcBorders>
            <w:shd w:val="clear" w:color="auto" w:fill="auto"/>
            <w:noWrap/>
            <w:vAlign w:val="bottom"/>
            <w:hideMark/>
          </w:tcPr>
          <w:p w14:paraId="06B472BA"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2C1"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BC"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Fitness</w:t>
            </w:r>
          </w:p>
        </w:tc>
        <w:tc>
          <w:tcPr>
            <w:tcW w:w="1280" w:type="dxa"/>
            <w:tcBorders>
              <w:top w:val="nil"/>
              <w:left w:val="single" w:sz="4" w:space="0" w:color="auto"/>
              <w:bottom w:val="nil"/>
              <w:right w:val="single" w:sz="4" w:space="0" w:color="auto"/>
            </w:tcBorders>
            <w:shd w:val="clear" w:color="auto" w:fill="auto"/>
            <w:noWrap/>
            <w:vAlign w:val="bottom"/>
            <w:hideMark/>
          </w:tcPr>
          <w:p w14:paraId="06B472BD"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-0.058***</w:t>
            </w:r>
          </w:p>
        </w:tc>
        <w:tc>
          <w:tcPr>
            <w:tcW w:w="960" w:type="dxa"/>
            <w:tcBorders>
              <w:top w:val="nil"/>
              <w:left w:val="nil"/>
              <w:bottom w:val="nil"/>
              <w:right w:val="nil"/>
            </w:tcBorders>
            <w:shd w:val="clear" w:color="auto" w:fill="auto"/>
            <w:noWrap/>
            <w:vAlign w:val="bottom"/>
            <w:hideMark/>
          </w:tcPr>
          <w:p w14:paraId="06B472BE"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(0.016)</w:t>
            </w:r>
          </w:p>
        </w:tc>
        <w:tc>
          <w:tcPr>
            <w:tcW w:w="1320" w:type="dxa"/>
            <w:tcBorders>
              <w:top w:val="nil"/>
              <w:left w:val="single" w:sz="4" w:space="0" w:color="auto"/>
              <w:bottom w:val="nil"/>
              <w:right w:val="single" w:sz="4" w:space="0" w:color="auto"/>
            </w:tcBorders>
            <w:shd w:val="clear" w:color="auto" w:fill="auto"/>
            <w:noWrap/>
            <w:vAlign w:val="bottom"/>
            <w:hideMark/>
          </w:tcPr>
          <w:p w14:paraId="06B472BF"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36530</w:t>
            </w:r>
          </w:p>
        </w:tc>
        <w:tc>
          <w:tcPr>
            <w:tcW w:w="1240" w:type="dxa"/>
            <w:tcBorders>
              <w:top w:val="nil"/>
              <w:left w:val="nil"/>
              <w:bottom w:val="nil"/>
              <w:right w:val="single" w:sz="8" w:space="0" w:color="auto"/>
            </w:tcBorders>
            <w:shd w:val="clear" w:color="auto" w:fill="auto"/>
            <w:noWrap/>
            <w:vAlign w:val="bottom"/>
            <w:hideMark/>
          </w:tcPr>
          <w:p w14:paraId="06B472C0"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2C7"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C2"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Football</w:t>
            </w:r>
          </w:p>
        </w:tc>
        <w:tc>
          <w:tcPr>
            <w:tcW w:w="1280" w:type="dxa"/>
            <w:tcBorders>
              <w:top w:val="nil"/>
              <w:left w:val="single" w:sz="4" w:space="0" w:color="auto"/>
              <w:bottom w:val="nil"/>
              <w:right w:val="single" w:sz="4" w:space="0" w:color="auto"/>
            </w:tcBorders>
            <w:shd w:val="clear" w:color="auto" w:fill="auto"/>
            <w:noWrap/>
            <w:vAlign w:val="bottom"/>
            <w:hideMark/>
          </w:tcPr>
          <w:p w14:paraId="06B472C3"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0.038</w:t>
            </w:r>
          </w:p>
        </w:tc>
        <w:tc>
          <w:tcPr>
            <w:tcW w:w="960" w:type="dxa"/>
            <w:tcBorders>
              <w:top w:val="nil"/>
              <w:left w:val="nil"/>
              <w:bottom w:val="nil"/>
              <w:right w:val="nil"/>
            </w:tcBorders>
            <w:shd w:val="clear" w:color="auto" w:fill="auto"/>
            <w:noWrap/>
            <w:vAlign w:val="bottom"/>
            <w:hideMark/>
          </w:tcPr>
          <w:p w14:paraId="06B472C4"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(0.026)</w:t>
            </w:r>
          </w:p>
        </w:tc>
        <w:tc>
          <w:tcPr>
            <w:tcW w:w="1320" w:type="dxa"/>
            <w:tcBorders>
              <w:top w:val="nil"/>
              <w:left w:val="single" w:sz="4" w:space="0" w:color="auto"/>
              <w:bottom w:val="nil"/>
              <w:right w:val="single" w:sz="4" w:space="0" w:color="auto"/>
            </w:tcBorders>
            <w:shd w:val="clear" w:color="auto" w:fill="auto"/>
            <w:noWrap/>
            <w:vAlign w:val="bottom"/>
            <w:hideMark/>
          </w:tcPr>
          <w:p w14:paraId="06B472C5"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36530</w:t>
            </w:r>
          </w:p>
        </w:tc>
        <w:tc>
          <w:tcPr>
            <w:tcW w:w="1240" w:type="dxa"/>
            <w:tcBorders>
              <w:top w:val="nil"/>
              <w:left w:val="nil"/>
              <w:bottom w:val="nil"/>
              <w:right w:val="single" w:sz="8" w:space="0" w:color="auto"/>
            </w:tcBorders>
            <w:shd w:val="clear" w:color="auto" w:fill="auto"/>
            <w:noWrap/>
            <w:vAlign w:val="bottom"/>
            <w:hideMark/>
          </w:tcPr>
          <w:p w14:paraId="06B472C6"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2CD"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C8"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Swimming</w:t>
            </w:r>
          </w:p>
        </w:tc>
        <w:tc>
          <w:tcPr>
            <w:tcW w:w="1280" w:type="dxa"/>
            <w:tcBorders>
              <w:top w:val="nil"/>
              <w:left w:val="single" w:sz="4" w:space="0" w:color="auto"/>
              <w:bottom w:val="nil"/>
              <w:right w:val="single" w:sz="4" w:space="0" w:color="auto"/>
            </w:tcBorders>
            <w:shd w:val="clear" w:color="auto" w:fill="auto"/>
            <w:noWrap/>
            <w:vAlign w:val="bottom"/>
            <w:hideMark/>
          </w:tcPr>
          <w:p w14:paraId="06B472C9"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0.076***</w:t>
            </w:r>
          </w:p>
        </w:tc>
        <w:tc>
          <w:tcPr>
            <w:tcW w:w="960" w:type="dxa"/>
            <w:tcBorders>
              <w:top w:val="nil"/>
              <w:left w:val="nil"/>
              <w:bottom w:val="nil"/>
              <w:right w:val="nil"/>
            </w:tcBorders>
            <w:shd w:val="clear" w:color="auto" w:fill="auto"/>
            <w:noWrap/>
            <w:vAlign w:val="bottom"/>
            <w:hideMark/>
          </w:tcPr>
          <w:p w14:paraId="06B472CA"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(0.016)</w:t>
            </w:r>
          </w:p>
        </w:tc>
        <w:tc>
          <w:tcPr>
            <w:tcW w:w="1320" w:type="dxa"/>
            <w:tcBorders>
              <w:top w:val="nil"/>
              <w:left w:val="single" w:sz="4" w:space="0" w:color="auto"/>
              <w:bottom w:val="nil"/>
              <w:right w:val="single" w:sz="4" w:space="0" w:color="auto"/>
            </w:tcBorders>
            <w:shd w:val="clear" w:color="auto" w:fill="auto"/>
            <w:noWrap/>
            <w:vAlign w:val="bottom"/>
            <w:hideMark/>
          </w:tcPr>
          <w:p w14:paraId="06B472CB"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36530</w:t>
            </w:r>
          </w:p>
        </w:tc>
        <w:tc>
          <w:tcPr>
            <w:tcW w:w="1240" w:type="dxa"/>
            <w:tcBorders>
              <w:top w:val="nil"/>
              <w:left w:val="nil"/>
              <w:bottom w:val="nil"/>
              <w:right w:val="single" w:sz="8" w:space="0" w:color="auto"/>
            </w:tcBorders>
            <w:shd w:val="clear" w:color="auto" w:fill="auto"/>
            <w:noWrap/>
            <w:vAlign w:val="bottom"/>
            <w:hideMark/>
          </w:tcPr>
          <w:p w14:paraId="06B472CC"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2D3" w14:textId="77777777" w:rsidTr="00553255">
        <w:trPr>
          <w:trHeight w:val="300"/>
        </w:trPr>
        <w:tc>
          <w:tcPr>
            <w:tcW w:w="2954" w:type="dxa"/>
            <w:tcBorders>
              <w:top w:val="nil"/>
              <w:left w:val="single" w:sz="8" w:space="0" w:color="auto"/>
              <w:bottom w:val="single" w:sz="4" w:space="0" w:color="auto"/>
              <w:right w:val="nil"/>
            </w:tcBorders>
            <w:shd w:val="clear" w:color="auto" w:fill="auto"/>
            <w:noWrap/>
            <w:vAlign w:val="bottom"/>
            <w:hideMark/>
          </w:tcPr>
          <w:p w14:paraId="06B472CE"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Cycling</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6B472CF"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0.028</w:t>
            </w:r>
          </w:p>
        </w:tc>
        <w:tc>
          <w:tcPr>
            <w:tcW w:w="960" w:type="dxa"/>
            <w:tcBorders>
              <w:top w:val="nil"/>
              <w:left w:val="nil"/>
              <w:bottom w:val="single" w:sz="4" w:space="0" w:color="auto"/>
              <w:right w:val="nil"/>
            </w:tcBorders>
            <w:shd w:val="clear" w:color="auto" w:fill="auto"/>
            <w:noWrap/>
            <w:vAlign w:val="bottom"/>
            <w:hideMark/>
          </w:tcPr>
          <w:p w14:paraId="06B472D0"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(0.018)</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6B472D1"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36530</w:t>
            </w:r>
          </w:p>
        </w:tc>
        <w:tc>
          <w:tcPr>
            <w:tcW w:w="1240" w:type="dxa"/>
            <w:tcBorders>
              <w:top w:val="nil"/>
              <w:left w:val="nil"/>
              <w:bottom w:val="single" w:sz="4" w:space="0" w:color="auto"/>
              <w:right w:val="single" w:sz="8" w:space="0" w:color="auto"/>
            </w:tcBorders>
            <w:shd w:val="clear" w:color="auto" w:fill="auto"/>
            <w:noWrap/>
            <w:vAlign w:val="bottom"/>
            <w:hideMark/>
          </w:tcPr>
          <w:p w14:paraId="06B472D2"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2D9" w14:textId="77777777" w:rsidTr="00553255">
        <w:trPr>
          <w:trHeight w:val="300"/>
        </w:trPr>
        <w:tc>
          <w:tcPr>
            <w:tcW w:w="2954" w:type="dxa"/>
            <w:tcBorders>
              <w:top w:val="nil"/>
              <w:left w:val="single" w:sz="8" w:space="0" w:color="auto"/>
              <w:bottom w:val="single" w:sz="4" w:space="0" w:color="auto"/>
              <w:right w:val="nil"/>
            </w:tcBorders>
            <w:shd w:val="clear" w:color="000000" w:fill="0070C0"/>
            <w:noWrap/>
            <w:vAlign w:val="bottom"/>
            <w:hideMark/>
          </w:tcPr>
          <w:p w14:paraId="06B472D4"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Culture - Models (8.5) &amp; (8.6)</w:t>
            </w:r>
          </w:p>
        </w:tc>
        <w:tc>
          <w:tcPr>
            <w:tcW w:w="1280" w:type="dxa"/>
            <w:tcBorders>
              <w:top w:val="nil"/>
              <w:left w:val="single" w:sz="4" w:space="0" w:color="auto"/>
              <w:bottom w:val="single" w:sz="4" w:space="0" w:color="auto"/>
              <w:right w:val="single" w:sz="4" w:space="0" w:color="auto"/>
            </w:tcBorders>
            <w:shd w:val="clear" w:color="000000" w:fill="0070C0"/>
            <w:noWrap/>
            <w:vAlign w:val="bottom"/>
            <w:hideMark/>
          </w:tcPr>
          <w:p w14:paraId="06B472D5" w14:textId="77777777" w:rsidR="00296AED" w:rsidRPr="00296AED" w:rsidRDefault="00296AED" w:rsidP="00296AED">
            <w:pPr>
              <w:spacing w:before="0"/>
              <w:ind w:left="0"/>
              <w:rPr>
                <w:rFonts w:ascii="Calibri" w:hAnsi="Calibri" w:cs="Calibri"/>
                <w:color w:val="FFFFFF"/>
                <w:sz w:val="22"/>
                <w:szCs w:val="22"/>
              </w:rPr>
            </w:pPr>
          </w:p>
        </w:tc>
        <w:tc>
          <w:tcPr>
            <w:tcW w:w="960" w:type="dxa"/>
            <w:tcBorders>
              <w:top w:val="nil"/>
              <w:left w:val="nil"/>
              <w:bottom w:val="single" w:sz="4" w:space="0" w:color="auto"/>
              <w:right w:val="nil"/>
            </w:tcBorders>
            <w:shd w:val="clear" w:color="000000" w:fill="0070C0"/>
            <w:noWrap/>
            <w:vAlign w:val="bottom"/>
            <w:hideMark/>
          </w:tcPr>
          <w:p w14:paraId="06B472D6" w14:textId="77777777" w:rsidR="00296AED" w:rsidRPr="00296AED" w:rsidRDefault="00296AED" w:rsidP="00296AED">
            <w:pPr>
              <w:spacing w:before="0"/>
              <w:ind w:left="0"/>
              <w:jc w:val="center"/>
              <w:rPr>
                <w:rFonts w:ascii="Calibri" w:hAnsi="Calibri" w:cs="Calibri"/>
                <w:color w:val="FFFFFF"/>
                <w:sz w:val="22"/>
                <w:szCs w:val="22"/>
              </w:rPr>
            </w:pPr>
          </w:p>
        </w:tc>
        <w:tc>
          <w:tcPr>
            <w:tcW w:w="1320" w:type="dxa"/>
            <w:tcBorders>
              <w:top w:val="nil"/>
              <w:left w:val="single" w:sz="4" w:space="0" w:color="auto"/>
              <w:bottom w:val="single" w:sz="4" w:space="0" w:color="auto"/>
              <w:right w:val="single" w:sz="4" w:space="0" w:color="auto"/>
            </w:tcBorders>
            <w:shd w:val="clear" w:color="000000" w:fill="0070C0"/>
            <w:noWrap/>
            <w:vAlign w:val="bottom"/>
            <w:hideMark/>
          </w:tcPr>
          <w:p w14:paraId="06B472D7" w14:textId="77777777" w:rsidR="00296AED" w:rsidRPr="00296AED" w:rsidRDefault="00296AED" w:rsidP="00296AED">
            <w:pPr>
              <w:spacing w:before="0"/>
              <w:ind w:left="0"/>
              <w:jc w:val="center"/>
              <w:rPr>
                <w:rFonts w:ascii="Calibri" w:hAnsi="Calibri" w:cs="Calibri"/>
                <w:color w:val="FFFFFF"/>
                <w:sz w:val="22"/>
                <w:szCs w:val="22"/>
              </w:rPr>
            </w:pPr>
          </w:p>
        </w:tc>
        <w:tc>
          <w:tcPr>
            <w:tcW w:w="1240" w:type="dxa"/>
            <w:tcBorders>
              <w:top w:val="nil"/>
              <w:left w:val="nil"/>
              <w:bottom w:val="single" w:sz="4" w:space="0" w:color="auto"/>
              <w:right w:val="single" w:sz="8" w:space="0" w:color="auto"/>
            </w:tcBorders>
            <w:shd w:val="clear" w:color="000000" w:fill="0070C0"/>
            <w:noWrap/>
            <w:vAlign w:val="bottom"/>
            <w:hideMark/>
          </w:tcPr>
          <w:p w14:paraId="06B472D8" w14:textId="77777777" w:rsidR="00296AED" w:rsidRPr="00296AED" w:rsidRDefault="00296AED" w:rsidP="00296AED">
            <w:pPr>
              <w:spacing w:before="0"/>
              <w:ind w:left="0"/>
              <w:jc w:val="center"/>
              <w:rPr>
                <w:rFonts w:ascii="Calibri" w:hAnsi="Calibri" w:cs="Calibri"/>
                <w:color w:val="FFFFFF"/>
                <w:sz w:val="22"/>
                <w:szCs w:val="22"/>
              </w:rPr>
            </w:pPr>
          </w:p>
        </w:tc>
      </w:tr>
      <w:tr w:rsidR="00296AED" w:rsidRPr="00296AED" w14:paraId="06B472DF"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DA"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All arts</w:t>
            </w:r>
          </w:p>
        </w:tc>
        <w:tc>
          <w:tcPr>
            <w:tcW w:w="1280" w:type="dxa"/>
            <w:tcBorders>
              <w:top w:val="nil"/>
              <w:left w:val="single" w:sz="4" w:space="0" w:color="auto"/>
              <w:bottom w:val="nil"/>
              <w:right w:val="single" w:sz="4" w:space="0" w:color="auto"/>
            </w:tcBorders>
            <w:shd w:val="clear" w:color="auto" w:fill="auto"/>
            <w:noWrap/>
            <w:vAlign w:val="bottom"/>
            <w:hideMark/>
          </w:tcPr>
          <w:p w14:paraId="06B472DB"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0.050*</w:t>
            </w:r>
          </w:p>
        </w:tc>
        <w:tc>
          <w:tcPr>
            <w:tcW w:w="960" w:type="dxa"/>
            <w:tcBorders>
              <w:top w:val="nil"/>
              <w:left w:val="nil"/>
              <w:bottom w:val="nil"/>
              <w:right w:val="nil"/>
            </w:tcBorders>
            <w:shd w:val="clear" w:color="auto" w:fill="auto"/>
            <w:noWrap/>
            <w:vAlign w:val="bottom"/>
            <w:hideMark/>
          </w:tcPr>
          <w:p w14:paraId="06B472DC"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(0.027)</w:t>
            </w:r>
          </w:p>
        </w:tc>
        <w:tc>
          <w:tcPr>
            <w:tcW w:w="1320" w:type="dxa"/>
            <w:tcBorders>
              <w:top w:val="nil"/>
              <w:left w:val="single" w:sz="4" w:space="0" w:color="auto"/>
              <w:bottom w:val="nil"/>
              <w:right w:val="single" w:sz="4" w:space="0" w:color="auto"/>
            </w:tcBorders>
            <w:shd w:val="clear" w:color="auto" w:fill="auto"/>
            <w:noWrap/>
            <w:vAlign w:val="bottom"/>
            <w:hideMark/>
          </w:tcPr>
          <w:p w14:paraId="06B472DD"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36531</w:t>
            </w:r>
          </w:p>
        </w:tc>
        <w:tc>
          <w:tcPr>
            <w:tcW w:w="1240" w:type="dxa"/>
            <w:tcBorders>
              <w:top w:val="nil"/>
              <w:left w:val="nil"/>
              <w:bottom w:val="nil"/>
              <w:right w:val="single" w:sz="8" w:space="0" w:color="auto"/>
            </w:tcBorders>
            <w:shd w:val="clear" w:color="auto" w:fill="auto"/>
            <w:noWrap/>
            <w:vAlign w:val="bottom"/>
            <w:hideMark/>
          </w:tcPr>
          <w:p w14:paraId="06B472DE"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2E5"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E0"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All audience arts</w:t>
            </w:r>
          </w:p>
        </w:tc>
        <w:tc>
          <w:tcPr>
            <w:tcW w:w="1280" w:type="dxa"/>
            <w:tcBorders>
              <w:top w:val="nil"/>
              <w:left w:val="single" w:sz="4" w:space="0" w:color="auto"/>
              <w:bottom w:val="nil"/>
              <w:right w:val="single" w:sz="4" w:space="0" w:color="auto"/>
            </w:tcBorders>
            <w:shd w:val="clear" w:color="auto" w:fill="auto"/>
            <w:noWrap/>
            <w:vAlign w:val="bottom"/>
            <w:hideMark/>
          </w:tcPr>
          <w:p w14:paraId="06B472E1"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0.043**</w:t>
            </w:r>
          </w:p>
        </w:tc>
        <w:tc>
          <w:tcPr>
            <w:tcW w:w="960" w:type="dxa"/>
            <w:tcBorders>
              <w:top w:val="nil"/>
              <w:left w:val="nil"/>
              <w:bottom w:val="nil"/>
              <w:right w:val="nil"/>
            </w:tcBorders>
            <w:shd w:val="clear" w:color="auto" w:fill="auto"/>
            <w:noWrap/>
            <w:vAlign w:val="bottom"/>
            <w:hideMark/>
          </w:tcPr>
          <w:p w14:paraId="06B472E2"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(0.020)</w:t>
            </w:r>
          </w:p>
        </w:tc>
        <w:tc>
          <w:tcPr>
            <w:tcW w:w="1320" w:type="dxa"/>
            <w:tcBorders>
              <w:top w:val="nil"/>
              <w:left w:val="single" w:sz="4" w:space="0" w:color="auto"/>
              <w:bottom w:val="nil"/>
              <w:right w:val="single" w:sz="4" w:space="0" w:color="auto"/>
            </w:tcBorders>
            <w:shd w:val="clear" w:color="auto" w:fill="auto"/>
            <w:noWrap/>
            <w:vAlign w:val="bottom"/>
            <w:hideMark/>
          </w:tcPr>
          <w:p w14:paraId="06B472E3"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36531</w:t>
            </w:r>
          </w:p>
        </w:tc>
        <w:tc>
          <w:tcPr>
            <w:tcW w:w="1240" w:type="dxa"/>
            <w:tcBorders>
              <w:top w:val="nil"/>
              <w:left w:val="nil"/>
              <w:bottom w:val="nil"/>
              <w:right w:val="single" w:sz="8" w:space="0" w:color="auto"/>
            </w:tcBorders>
            <w:shd w:val="clear" w:color="auto" w:fill="auto"/>
            <w:noWrap/>
            <w:vAlign w:val="bottom"/>
            <w:hideMark/>
          </w:tcPr>
          <w:p w14:paraId="06B472E4"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2EB"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E6"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All participation arts</w:t>
            </w:r>
          </w:p>
        </w:tc>
        <w:tc>
          <w:tcPr>
            <w:tcW w:w="1280" w:type="dxa"/>
            <w:tcBorders>
              <w:top w:val="nil"/>
              <w:left w:val="single" w:sz="4" w:space="0" w:color="auto"/>
              <w:bottom w:val="nil"/>
              <w:right w:val="single" w:sz="4" w:space="0" w:color="auto"/>
            </w:tcBorders>
            <w:shd w:val="clear" w:color="auto" w:fill="auto"/>
            <w:noWrap/>
            <w:vAlign w:val="bottom"/>
            <w:hideMark/>
          </w:tcPr>
          <w:p w14:paraId="06B472E7"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0.030</w:t>
            </w:r>
          </w:p>
        </w:tc>
        <w:tc>
          <w:tcPr>
            <w:tcW w:w="960" w:type="dxa"/>
            <w:tcBorders>
              <w:top w:val="nil"/>
              <w:left w:val="nil"/>
              <w:bottom w:val="nil"/>
              <w:right w:val="nil"/>
            </w:tcBorders>
            <w:shd w:val="clear" w:color="auto" w:fill="auto"/>
            <w:noWrap/>
            <w:vAlign w:val="bottom"/>
            <w:hideMark/>
          </w:tcPr>
          <w:p w14:paraId="06B472E8"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(0.019)</w:t>
            </w:r>
          </w:p>
        </w:tc>
        <w:tc>
          <w:tcPr>
            <w:tcW w:w="1320" w:type="dxa"/>
            <w:tcBorders>
              <w:top w:val="nil"/>
              <w:left w:val="single" w:sz="4" w:space="0" w:color="auto"/>
              <w:bottom w:val="nil"/>
              <w:right w:val="single" w:sz="4" w:space="0" w:color="auto"/>
            </w:tcBorders>
            <w:shd w:val="clear" w:color="auto" w:fill="auto"/>
            <w:noWrap/>
            <w:vAlign w:val="bottom"/>
            <w:hideMark/>
          </w:tcPr>
          <w:p w14:paraId="06B472E9"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36531</w:t>
            </w:r>
          </w:p>
        </w:tc>
        <w:tc>
          <w:tcPr>
            <w:tcW w:w="1240" w:type="dxa"/>
            <w:tcBorders>
              <w:top w:val="nil"/>
              <w:left w:val="nil"/>
              <w:bottom w:val="nil"/>
              <w:right w:val="single" w:sz="8" w:space="0" w:color="auto"/>
            </w:tcBorders>
            <w:shd w:val="clear" w:color="auto" w:fill="auto"/>
            <w:noWrap/>
            <w:vAlign w:val="bottom"/>
            <w:hideMark/>
          </w:tcPr>
          <w:p w14:paraId="06B472EA"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2F1"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EC" w14:textId="77777777" w:rsidR="00296AED" w:rsidRPr="00296AED" w:rsidRDefault="00296AED" w:rsidP="00296AED">
            <w:pPr>
              <w:spacing w:before="0"/>
              <w:ind w:left="0"/>
              <w:rPr>
                <w:rFonts w:ascii="Calibri" w:hAnsi="Calibri" w:cs="Calibri"/>
                <w:b/>
                <w:bCs/>
                <w:color w:val="000000"/>
                <w:sz w:val="22"/>
                <w:szCs w:val="22"/>
              </w:rPr>
            </w:pPr>
            <w:r w:rsidRPr="00296AED">
              <w:rPr>
                <w:rFonts w:ascii="Calibri" w:hAnsi="Calibri" w:cs="Calibri"/>
                <w:b/>
                <w:bCs/>
                <w:color w:val="000000"/>
                <w:sz w:val="22"/>
                <w:szCs w:val="22"/>
              </w:rPr>
              <w:t>Audience</w:t>
            </w:r>
          </w:p>
        </w:tc>
        <w:tc>
          <w:tcPr>
            <w:tcW w:w="1280" w:type="dxa"/>
            <w:tcBorders>
              <w:top w:val="nil"/>
              <w:left w:val="single" w:sz="4" w:space="0" w:color="auto"/>
              <w:bottom w:val="nil"/>
              <w:right w:val="single" w:sz="4" w:space="0" w:color="auto"/>
            </w:tcBorders>
            <w:shd w:val="clear" w:color="auto" w:fill="auto"/>
            <w:noWrap/>
            <w:vAlign w:val="bottom"/>
            <w:hideMark/>
          </w:tcPr>
          <w:p w14:paraId="06B472ED" w14:textId="77777777" w:rsidR="00296AED" w:rsidRPr="00296AED" w:rsidRDefault="00296AED" w:rsidP="00296AED">
            <w:pPr>
              <w:spacing w:before="0"/>
              <w:ind w:left="0"/>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6B472EE" w14:textId="77777777" w:rsidR="00296AED" w:rsidRPr="00296AED" w:rsidRDefault="00296AED" w:rsidP="00296AED">
            <w:pPr>
              <w:spacing w:before="0"/>
              <w:ind w:left="0"/>
              <w:jc w:val="center"/>
              <w:rPr>
                <w:rFonts w:ascii="Calibri" w:hAnsi="Calibri" w:cs="Calibri"/>
                <w:color w:val="000000"/>
                <w:sz w:val="22"/>
                <w:szCs w:val="22"/>
              </w:rPr>
            </w:pPr>
          </w:p>
        </w:tc>
        <w:tc>
          <w:tcPr>
            <w:tcW w:w="1320" w:type="dxa"/>
            <w:tcBorders>
              <w:top w:val="nil"/>
              <w:left w:val="single" w:sz="4" w:space="0" w:color="auto"/>
              <w:bottom w:val="nil"/>
              <w:right w:val="single" w:sz="4" w:space="0" w:color="auto"/>
            </w:tcBorders>
            <w:shd w:val="clear" w:color="auto" w:fill="auto"/>
            <w:noWrap/>
            <w:vAlign w:val="bottom"/>
            <w:hideMark/>
          </w:tcPr>
          <w:p w14:paraId="06B472EF" w14:textId="77777777" w:rsidR="00296AED" w:rsidRPr="00296AED" w:rsidRDefault="00296AED" w:rsidP="00296AED">
            <w:pPr>
              <w:spacing w:before="0"/>
              <w:ind w:left="0"/>
              <w:jc w:val="center"/>
              <w:rPr>
                <w:rFonts w:ascii="Calibri" w:hAnsi="Calibri" w:cs="Calibri"/>
                <w:color w:val="000000"/>
                <w:sz w:val="22"/>
                <w:szCs w:val="22"/>
              </w:rPr>
            </w:pPr>
          </w:p>
        </w:tc>
        <w:tc>
          <w:tcPr>
            <w:tcW w:w="1240" w:type="dxa"/>
            <w:tcBorders>
              <w:top w:val="nil"/>
              <w:left w:val="nil"/>
              <w:bottom w:val="nil"/>
              <w:right w:val="single" w:sz="8" w:space="0" w:color="auto"/>
            </w:tcBorders>
            <w:shd w:val="clear" w:color="auto" w:fill="auto"/>
            <w:noWrap/>
            <w:vAlign w:val="bottom"/>
            <w:hideMark/>
          </w:tcPr>
          <w:p w14:paraId="06B472F0" w14:textId="77777777" w:rsidR="00296AED" w:rsidRPr="00296AED" w:rsidRDefault="00296AED" w:rsidP="00296AED">
            <w:pPr>
              <w:spacing w:before="0"/>
              <w:ind w:left="0"/>
              <w:jc w:val="center"/>
              <w:rPr>
                <w:rFonts w:ascii="Calibri" w:hAnsi="Calibri" w:cs="Calibri"/>
                <w:color w:val="000000"/>
                <w:sz w:val="22"/>
                <w:szCs w:val="22"/>
              </w:rPr>
            </w:pPr>
          </w:p>
        </w:tc>
      </w:tr>
      <w:tr w:rsidR="00296AED" w:rsidRPr="00296AED" w14:paraId="06B472F7"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F2"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Film</w:t>
            </w:r>
          </w:p>
        </w:tc>
        <w:tc>
          <w:tcPr>
            <w:tcW w:w="1280" w:type="dxa"/>
            <w:tcBorders>
              <w:top w:val="nil"/>
              <w:left w:val="single" w:sz="4" w:space="0" w:color="auto"/>
              <w:bottom w:val="nil"/>
              <w:right w:val="single" w:sz="4" w:space="0" w:color="auto"/>
            </w:tcBorders>
            <w:shd w:val="clear" w:color="auto" w:fill="auto"/>
            <w:noWrap/>
            <w:vAlign w:val="bottom"/>
            <w:hideMark/>
          </w:tcPr>
          <w:p w14:paraId="06B472F3"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-0.008</w:t>
            </w:r>
          </w:p>
        </w:tc>
        <w:tc>
          <w:tcPr>
            <w:tcW w:w="960" w:type="dxa"/>
            <w:tcBorders>
              <w:top w:val="nil"/>
              <w:left w:val="nil"/>
              <w:bottom w:val="nil"/>
              <w:right w:val="nil"/>
            </w:tcBorders>
            <w:shd w:val="clear" w:color="auto" w:fill="auto"/>
            <w:noWrap/>
            <w:vAlign w:val="bottom"/>
            <w:hideMark/>
          </w:tcPr>
          <w:p w14:paraId="06B472F4"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(0.018)</w:t>
            </w:r>
          </w:p>
        </w:tc>
        <w:tc>
          <w:tcPr>
            <w:tcW w:w="1320" w:type="dxa"/>
            <w:tcBorders>
              <w:top w:val="nil"/>
              <w:left w:val="single" w:sz="4" w:space="0" w:color="auto"/>
              <w:bottom w:val="nil"/>
              <w:right w:val="single" w:sz="4" w:space="0" w:color="auto"/>
            </w:tcBorders>
            <w:shd w:val="clear" w:color="auto" w:fill="auto"/>
            <w:noWrap/>
            <w:vAlign w:val="bottom"/>
            <w:hideMark/>
          </w:tcPr>
          <w:p w14:paraId="06B472F5"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36526</w:t>
            </w:r>
          </w:p>
        </w:tc>
        <w:tc>
          <w:tcPr>
            <w:tcW w:w="1240" w:type="dxa"/>
            <w:tcBorders>
              <w:top w:val="nil"/>
              <w:left w:val="nil"/>
              <w:bottom w:val="nil"/>
              <w:right w:val="single" w:sz="8" w:space="0" w:color="auto"/>
            </w:tcBorders>
            <w:shd w:val="clear" w:color="auto" w:fill="auto"/>
            <w:noWrap/>
            <w:vAlign w:val="bottom"/>
            <w:hideMark/>
          </w:tcPr>
          <w:p w14:paraId="06B472F6"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2FD"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F8"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Exhibitions</w:t>
            </w:r>
          </w:p>
        </w:tc>
        <w:tc>
          <w:tcPr>
            <w:tcW w:w="1280" w:type="dxa"/>
            <w:tcBorders>
              <w:top w:val="nil"/>
              <w:left w:val="single" w:sz="4" w:space="0" w:color="auto"/>
              <w:bottom w:val="nil"/>
              <w:right w:val="single" w:sz="4" w:space="0" w:color="auto"/>
            </w:tcBorders>
            <w:shd w:val="clear" w:color="auto" w:fill="auto"/>
            <w:noWrap/>
            <w:vAlign w:val="bottom"/>
            <w:hideMark/>
          </w:tcPr>
          <w:p w14:paraId="06B472F9"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14:paraId="06B472FA"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(0.017)</w:t>
            </w:r>
          </w:p>
        </w:tc>
        <w:tc>
          <w:tcPr>
            <w:tcW w:w="1320" w:type="dxa"/>
            <w:tcBorders>
              <w:top w:val="nil"/>
              <w:left w:val="single" w:sz="4" w:space="0" w:color="auto"/>
              <w:bottom w:val="nil"/>
              <w:right w:val="single" w:sz="4" w:space="0" w:color="auto"/>
            </w:tcBorders>
            <w:shd w:val="clear" w:color="auto" w:fill="auto"/>
            <w:noWrap/>
            <w:vAlign w:val="bottom"/>
            <w:hideMark/>
          </w:tcPr>
          <w:p w14:paraId="06B472FB"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36526</w:t>
            </w:r>
          </w:p>
        </w:tc>
        <w:tc>
          <w:tcPr>
            <w:tcW w:w="1240" w:type="dxa"/>
            <w:tcBorders>
              <w:top w:val="nil"/>
              <w:left w:val="nil"/>
              <w:bottom w:val="nil"/>
              <w:right w:val="single" w:sz="8" w:space="0" w:color="auto"/>
            </w:tcBorders>
            <w:shd w:val="clear" w:color="auto" w:fill="auto"/>
            <w:noWrap/>
            <w:vAlign w:val="bottom"/>
            <w:hideMark/>
          </w:tcPr>
          <w:p w14:paraId="06B472FC"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303"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2FE"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Music</w:t>
            </w:r>
          </w:p>
        </w:tc>
        <w:tc>
          <w:tcPr>
            <w:tcW w:w="1280" w:type="dxa"/>
            <w:tcBorders>
              <w:top w:val="nil"/>
              <w:left w:val="single" w:sz="4" w:space="0" w:color="auto"/>
              <w:bottom w:val="nil"/>
              <w:right w:val="single" w:sz="4" w:space="0" w:color="auto"/>
            </w:tcBorders>
            <w:shd w:val="clear" w:color="auto" w:fill="auto"/>
            <w:noWrap/>
            <w:vAlign w:val="bottom"/>
            <w:hideMark/>
          </w:tcPr>
          <w:p w14:paraId="06B472FF"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0.034**</w:t>
            </w:r>
          </w:p>
        </w:tc>
        <w:tc>
          <w:tcPr>
            <w:tcW w:w="960" w:type="dxa"/>
            <w:tcBorders>
              <w:top w:val="nil"/>
              <w:left w:val="nil"/>
              <w:bottom w:val="nil"/>
              <w:right w:val="nil"/>
            </w:tcBorders>
            <w:shd w:val="clear" w:color="auto" w:fill="auto"/>
            <w:noWrap/>
            <w:vAlign w:val="bottom"/>
            <w:hideMark/>
          </w:tcPr>
          <w:p w14:paraId="06B47300"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(0.016)</w:t>
            </w:r>
          </w:p>
        </w:tc>
        <w:tc>
          <w:tcPr>
            <w:tcW w:w="1320" w:type="dxa"/>
            <w:tcBorders>
              <w:top w:val="nil"/>
              <w:left w:val="single" w:sz="4" w:space="0" w:color="auto"/>
              <w:bottom w:val="nil"/>
              <w:right w:val="single" w:sz="4" w:space="0" w:color="auto"/>
            </w:tcBorders>
            <w:shd w:val="clear" w:color="auto" w:fill="auto"/>
            <w:noWrap/>
            <w:vAlign w:val="bottom"/>
            <w:hideMark/>
          </w:tcPr>
          <w:p w14:paraId="06B47301"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36526</w:t>
            </w:r>
          </w:p>
        </w:tc>
        <w:tc>
          <w:tcPr>
            <w:tcW w:w="1240" w:type="dxa"/>
            <w:tcBorders>
              <w:top w:val="nil"/>
              <w:left w:val="nil"/>
              <w:bottom w:val="nil"/>
              <w:right w:val="single" w:sz="8" w:space="0" w:color="auto"/>
            </w:tcBorders>
            <w:shd w:val="clear" w:color="auto" w:fill="auto"/>
            <w:noWrap/>
            <w:vAlign w:val="bottom"/>
            <w:hideMark/>
          </w:tcPr>
          <w:p w14:paraId="06B47302"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309"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304"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Plays</w:t>
            </w:r>
          </w:p>
        </w:tc>
        <w:tc>
          <w:tcPr>
            <w:tcW w:w="1280" w:type="dxa"/>
            <w:tcBorders>
              <w:top w:val="nil"/>
              <w:left w:val="single" w:sz="4" w:space="0" w:color="auto"/>
              <w:bottom w:val="nil"/>
              <w:right w:val="single" w:sz="4" w:space="0" w:color="auto"/>
            </w:tcBorders>
            <w:shd w:val="clear" w:color="auto" w:fill="auto"/>
            <w:noWrap/>
            <w:vAlign w:val="bottom"/>
            <w:hideMark/>
          </w:tcPr>
          <w:p w14:paraId="06B47305"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0.046***</w:t>
            </w:r>
          </w:p>
        </w:tc>
        <w:tc>
          <w:tcPr>
            <w:tcW w:w="960" w:type="dxa"/>
            <w:tcBorders>
              <w:top w:val="nil"/>
              <w:left w:val="nil"/>
              <w:bottom w:val="nil"/>
              <w:right w:val="nil"/>
            </w:tcBorders>
            <w:shd w:val="clear" w:color="auto" w:fill="auto"/>
            <w:noWrap/>
            <w:vAlign w:val="bottom"/>
            <w:hideMark/>
          </w:tcPr>
          <w:p w14:paraId="06B47306"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(0.016)</w:t>
            </w:r>
          </w:p>
        </w:tc>
        <w:tc>
          <w:tcPr>
            <w:tcW w:w="1320" w:type="dxa"/>
            <w:tcBorders>
              <w:top w:val="nil"/>
              <w:left w:val="single" w:sz="4" w:space="0" w:color="auto"/>
              <w:bottom w:val="nil"/>
              <w:right w:val="single" w:sz="4" w:space="0" w:color="auto"/>
            </w:tcBorders>
            <w:shd w:val="clear" w:color="auto" w:fill="auto"/>
            <w:noWrap/>
            <w:vAlign w:val="bottom"/>
            <w:hideMark/>
          </w:tcPr>
          <w:p w14:paraId="06B47307"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36526</w:t>
            </w:r>
          </w:p>
        </w:tc>
        <w:tc>
          <w:tcPr>
            <w:tcW w:w="1240" w:type="dxa"/>
            <w:tcBorders>
              <w:top w:val="nil"/>
              <w:left w:val="nil"/>
              <w:bottom w:val="nil"/>
              <w:right w:val="single" w:sz="8" w:space="0" w:color="auto"/>
            </w:tcBorders>
            <w:shd w:val="clear" w:color="auto" w:fill="auto"/>
            <w:noWrap/>
            <w:vAlign w:val="bottom"/>
            <w:hideMark/>
          </w:tcPr>
          <w:p w14:paraId="06B47308"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30F"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30A"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Dance</w:t>
            </w:r>
          </w:p>
        </w:tc>
        <w:tc>
          <w:tcPr>
            <w:tcW w:w="1280" w:type="dxa"/>
            <w:tcBorders>
              <w:top w:val="nil"/>
              <w:left w:val="single" w:sz="4" w:space="0" w:color="auto"/>
              <w:bottom w:val="nil"/>
              <w:right w:val="single" w:sz="4" w:space="0" w:color="auto"/>
            </w:tcBorders>
            <w:shd w:val="clear" w:color="auto" w:fill="auto"/>
            <w:noWrap/>
            <w:vAlign w:val="bottom"/>
            <w:hideMark/>
          </w:tcPr>
          <w:p w14:paraId="06B4730B"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0.011</w:t>
            </w:r>
          </w:p>
        </w:tc>
        <w:tc>
          <w:tcPr>
            <w:tcW w:w="960" w:type="dxa"/>
            <w:tcBorders>
              <w:top w:val="nil"/>
              <w:left w:val="nil"/>
              <w:bottom w:val="nil"/>
              <w:right w:val="nil"/>
            </w:tcBorders>
            <w:shd w:val="clear" w:color="auto" w:fill="auto"/>
            <w:noWrap/>
            <w:vAlign w:val="bottom"/>
            <w:hideMark/>
          </w:tcPr>
          <w:p w14:paraId="06B4730C"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(0.025)</w:t>
            </w:r>
          </w:p>
        </w:tc>
        <w:tc>
          <w:tcPr>
            <w:tcW w:w="1320" w:type="dxa"/>
            <w:tcBorders>
              <w:top w:val="nil"/>
              <w:left w:val="single" w:sz="4" w:space="0" w:color="auto"/>
              <w:bottom w:val="nil"/>
              <w:right w:val="single" w:sz="4" w:space="0" w:color="auto"/>
            </w:tcBorders>
            <w:shd w:val="clear" w:color="auto" w:fill="auto"/>
            <w:noWrap/>
            <w:vAlign w:val="bottom"/>
            <w:hideMark/>
          </w:tcPr>
          <w:p w14:paraId="06B4730D"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36526</w:t>
            </w:r>
          </w:p>
        </w:tc>
        <w:tc>
          <w:tcPr>
            <w:tcW w:w="1240" w:type="dxa"/>
            <w:tcBorders>
              <w:top w:val="nil"/>
              <w:left w:val="nil"/>
              <w:bottom w:val="nil"/>
              <w:right w:val="single" w:sz="8" w:space="0" w:color="auto"/>
            </w:tcBorders>
            <w:shd w:val="clear" w:color="auto" w:fill="auto"/>
            <w:noWrap/>
            <w:vAlign w:val="bottom"/>
            <w:hideMark/>
          </w:tcPr>
          <w:p w14:paraId="06B4730E"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315"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310" w14:textId="77777777" w:rsidR="00296AED" w:rsidRPr="00296AED" w:rsidRDefault="00296AED" w:rsidP="00296AED">
            <w:pPr>
              <w:spacing w:before="0"/>
              <w:ind w:left="0"/>
              <w:rPr>
                <w:rFonts w:ascii="Calibri" w:hAnsi="Calibri" w:cs="Calibri"/>
                <w:b/>
                <w:bCs/>
                <w:color w:val="000000"/>
                <w:sz w:val="22"/>
                <w:szCs w:val="22"/>
              </w:rPr>
            </w:pPr>
            <w:r w:rsidRPr="00296AED">
              <w:rPr>
                <w:rFonts w:ascii="Calibri" w:hAnsi="Calibri" w:cs="Calibri"/>
                <w:b/>
                <w:bCs/>
                <w:color w:val="000000"/>
                <w:sz w:val="22"/>
                <w:szCs w:val="22"/>
              </w:rPr>
              <w:t>Participation</w:t>
            </w:r>
          </w:p>
        </w:tc>
        <w:tc>
          <w:tcPr>
            <w:tcW w:w="1280" w:type="dxa"/>
            <w:tcBorders>
              <w:top w:val="nil"/>
              <w:left w:val="single" w:sz="4" w:space="0" w:color="auto"/>
              <w:bottom w:val="nil"/>
              <w:right w:val="single" w:sz="4" w:space="0" w:color="auto"/>
            </w:tcBorders>
            <w:shd w:val="clear" w:color="auto" w:fill="auto"/>
            <w:noWrap/>
            <w:vAlign w:val="bottom"/>
            <w:hideMark/>
          </w:tcPr>
          <w:p w14:paraId="06B47311" w14:textId="77777777" w:rsidR="00296AED" w:rsidRPr="00296AED" w:rsidRDefault="00296AED" w:rsidP="00296AED">
            <w:pPr>
              <w:spacing w:before="0"/>
              <w:ind w:left="0"/>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6B47312" w14:textId="77777777" w:rsidR="00296AED" w:rsidRPr="00296AED" w:rsidRDefault="00296AED" w:rsidP="00296AED">
            <w:pPr>
              <w:spacing w:before="0"/>
              <w:ind w:left="0"/>
              <w:jc w:val="center"/>
              <w:rPr>
                <w:rFonts w:ascii="Calibri" w:hAnsi="Calibri" w:cs="Calibri"/>
                <w:color w:val="000000"/>
                <w:sz w:val="22"/>
                <w:szCs w:val="22"/>
              </w:rPr>
            </w:pPr>
          </w:p>
        </w:tc>
        <w:tc>
          <w:tcPr>
            <w:tcW w:w="1320" w:type="dxa"/>
            <w:tcBorders>
              <w:top w:val="nil"/>
              <w:left w:val="single" w:sz="4" w:space="0" w:color="auto"/>
              <w:bottom w:val="nil"/>
              <w:right w:val="single" w:sz="4" w:space="0" w:color="auto"/>
            </w:tcBorders>
            <w:shd w:val="clear" w:color="auto" w:fill="auto"/>
            <w:noWrap/>
            <w:vAlign w:val="bottom"/>
            <w:hideMark/>
          </w:tcPr>
          <w:p w14:paraId="06B47313" w14:textId="77777777" w:rsidR="00296AED" w:rsidRPr="00296AED" w:rsidRDefault="00296AED" w:rsidP="00296AED">
            <w:pPr>
              <w:spacing w:before="0"/>
              <w:ind w:left="0"/>
              <w:jc w:val="center"/>
              <w:rPr>
                <w:rFonts w:ascii="Calibri" w:hAnsi="Calibri" w:cs="Calibri"/>
                <w:color w:val="000000"/>
                <w:sz w:val="22"/>
                <w:szCs w:val="22"/>
              </w:rPr>
            </w:pPr>
          </w:p>
        </w:tc>
        <w:tc>
          <w:tcPr>
            <w:tcW w:w="1240" w:type="dxa"/>
            <w:tcBorders>
              <w:top w:val="nil"/>
              <w:left w:val="nil"/>
              <w:bottom w:val="nil"/>
              <w:right w:val="single" w:sz="8" w:space="0" w:color="auto"/>
            </w:tcBorders>
            <w:shd w:val="clear" w:color="auto" w:fill="auto"/>
            <w:noWrap/>
            <w:vAlign w:val="bottom"/>
            <w:hideMark/>
          </w:tcPr>
          <w:p w14:paraId="06B47314" w14:textId="77777777" w:rsidR="00296AED" w:rsidRPr="00296AED" w:rsidRDefault="00296AED" w:rsidP="00296AED">
            <w:pPr>
              <w:spacing w:before="0"/>
              <w:ind w:left="0"/>
              <w:jc w:val="center"/>
              <w:rPr>
                <w:rFonts w:ascii="Calibri" w:hAnsi="Calibri" w:cs="Calibri"/>
                <w:color w:val="000000"/>
                <w:sz w:val="22"/>
                <w:szCs w:val="22"/>
              </w:rPr>
            </w:pPr>
          </w:p>
        </w:tc>
      </w:tr>
      <w:tr w:rsidR="00296AED" w:rsidRPr="00296AED" w14:paraId="06B4731B"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316"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Dance</w:t>
            </w:r>
          </w:p>
        </w:tc>
        <w:tc>
          <w:tcPr>
            <w:tcW w:w="1280" w:type="dxa"/>
            <w:tcBorders>
              <w:top w:val="nil"/>
              <w:left w:val="single" w:sz="4" w:space="0" w:color="auto"/>
              <w:bottom w:val="nil"/>
              <w:right w:val="single" w:sz="4" w:space="0" w:color="auto"/>
            </w:tcBorders>
            <w:shd w:val="clear" w:color="auto" w:fill="auto"/>
            <w:noWrap/>
            <w:vAlign w:val="bottom"/>
            <w:hideMark/>
          </w:tcPr>
          <w:p w14:paraId="06B47317"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0.078***</w:t>
            </w:r>
          </w:p>
        </w:tc>
        <w:tc>
          <w:tcPr>
            <w:tcW w:w="960" w:type="dxa"/>
            <w:tcBorders>
              <w:top w:val="nil"/>
              <w:left w:val="nil"/>
              <w:bottom w:val="nil"/>
              <w:right w:val="nil"/>
            </w:tcBorders>
            <w:shd w:val="clear" w:color="auto" w:fill="auto"/>
            <w:noWrap/>
            <w:vAlign w:val="bottom"/>
            <w:hideMark/>
          </w:tcPr>
          <w:p w14:paraId="06B47318"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(0.022)</w:t>
            </w:r>
          </w:p>
        </w:tc>
        <w:tc>
          <w:tcPr>
            <w:tcW w:w="1320" w:type="dxa"/>
            <w:tcBorders>
              <w:top w:val="nil"/>
              <w:left w:val="single" w:sz="4" w:space="0" w:color="auto"/>
              <w:bottom w:val="nil"/>
              <w:right w:val="single" w:sz="4" w:space="0" w:color="auto"/>
            </w:tcBorders>
            <w:shd w:val="clear" w:color="auto" w:fill="auto"/>
            <w:noWrap/>
            <w:vAlign w:val="bottom"/>
            <w:hideMark/>
          </w:tcPr>
          <w:p w14:paraId="06B47319"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36526</w:t>
            </w:r>
          </w:p>
        </w:tc>
        <w:tc>
          <w:tcPr>
            <w:tcW w:w="1240" w:type="dxa"/>
            <w:tcBorders>
              <w:top w:val="nil"/>
              <w:left w:val="nil"/>
              <w:bottom w:val="nil"/>
              <w:right w:val="single" w:sz="8" w:space="0" w:color="auto"/>
            </w:tcBorders>
            <w:shd w:val="clear" w:color="auto" w:fill="auto"/>
            <w:noWrap/>
            <w:vAlign w:val="bottom"/>
            <w:hideMark/>
          </w:tcPr>
          <w:p w14:paraId="06B4731A"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321"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31C"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Drama</w:t>
            </w:r>
          </w:p>
        </w:tc>
        <w:tc>
          <w:tcPr>
            <w:tcW w:w="1280" w:type="dxa"/>
            <w:tcBorders>
              <w:top w:val="nil"/>
              <w:left w:val="single" w:sz="4" w:space="0" w:color="auto"/>
              <w:bottom w:val="nil"/>
              <w:right w:val="single" w:sz="4" w:space="0" w:color="auto"/>
            </w:tcBorders>
            <w:shd w:val="clear" w:color="auto" w:fill="auto"/>
            <w:noWrap/>
            <w:vAlign w:val="bottom"/>
            <w:hideMark/>
          </w:tcPr>
          <w:p w14:paraId="06B4731D"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0.026</w:t>
            </w:r>
          </w:p>
        </w:tc>
        <w:tc>
          <w:tcPr>
            <w:tcW w:w="960" w:type="dxa"/>
            <w:tcBorders>
              <w:top w:val="nil"/>
              <w:left w:val="nil"/>
              <w:bottom w:val="nil"/>
              <w:right w:val="nil"/>
            </w:tcBorders>
            <w:shd w:val="clear" w:color="auto" w:fill="auto"/>
            <w:noWrap/>
            <w:vAlign w:val="bottom"/>
            <w:hideMark/>
          </w:tcPr>
          <w:p w14:paraId="06B4731E"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(0.026)</w:t>
            </w:r>
          </w:p>
        </w:tc>
        <w:tc>
          <w:tcPr>
            <w:tcW w:w="1320" w:type="dxa"/>
            <w:tcBorders>
              <w:top w:val="nil"/>
              <w:left w:val="single" w:sz="4" w:space="0" w:color="auto"/>
              <w:bottom w:val="nil"/>
              <w:right w:val="single" w:sz="4" w:space="0" w:color="auto"/>
            </w:tcBorders>
            <w:shd w:val="clear" w:color="auto" w:fill="auto"/>
            <w:noWrap/>
            <w:vAlign w:val="bottom"/>
            <w:hideMark/>
          </w:tcPr>
          <w:p w14:paraId="06B4731F"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36526</w:t>
            </w:r>
          </w:p>
        </w:tc>
        <w:tc>
          <w:tcPr>
            <w:tcW w:w="1240" w:type="dxa"/>
            <w:tcBorders>
              <w:top w:val="nil"/>
              <w:left w:val="nil"/>
              <w:bottom w:val="nil"/>
              <w:right w:val="single" w:sz="8" w:space="0" w:color="auto"/>
            </w:tcBorders>
            <w:shd w:val="clear" w:color="auto" w:fill="auto"/>
            <w:noWrap/>
            <w:vAlign w:val="bottom"/>
            <w:hideMark/>
          </w:tcPr>
          <w:p w14:paraId="06B47320"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327"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322"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Music</w:t>
            </w:r>
          </w:p>
        </w:tc>
        <w:tc>
          <w:tcPr>
            <w:tcW w:w="1280" w:type="dxa"/>
            <w:tcBorders>
              <w:top w:val="nil"/>
              <w:left w:val="single" w:sz="4" w:space="0" w:color="auto"/>
              <w:bottom w:val="nil"/>
              <w:right w:val="single" w:sz="4" w:space="0" w:color="auto"/>
            </w:tcBorders>
            <w:shd w:val="clear" w:color="auto" w:fill="auto"/>
            <w:noWrap/>
            <w:vAlign w:val="bottom"/>
            <w:hideMark/>
          </w:tcPr>
          <w:p w14:paraId="06B47323"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-0.055**</w:t>
            </w:r>
          </w:p>
        </w:tc>
        <w:tc>
          <w:tcPr>
            <w:tcW w:w="960" w:type="dxa"/>
            <w:tcBorders>
              <w:top w:val="nil"/>
              <w:left w:val="nil"/>
              <w:bottom w:val="nil"/>
              <w:right w:val="nil"/>
            </w:tcBorders>
            <w:shd w:val="clear" w:color="auto" w:fill="auto"/>
            <w:noWrap/>
            <w:vAlign w:val="bottom"/>
            <w:hideMark/>
          </w:tcPr>
          <w:p w14:paraId="06B47324"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(0.023)</w:t>
            </w:r>
          </w:p>
        </w:tc>
        <w:tc>
          <w:tcPr>
            <w:tcW w:w="1320" w:type="dxa"/>
            <w:tcBorders>
              <w:top w:val="nil"/>
              <w:left w:val="single" w:sz="4" w:space="0" w:color="auto"/>
              <w:bottom w:val="nil"/>
              <w:right w:val="single" w:sz="4" w:space="0" w:color="auto"/>
            </w:tcBorders>
            <w:shd w:val="clear" w:color="auto" w:fill="auto"/>
            <w:noWrap/>
            <w:vAlign w:val="bottom"/>
            <w:hideMark/>
          </w:tcPr>
          <w:p w14:paraId="06B47325"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36526</w:t>
            </w:r>
          </w:p>
        </w:tc>
        <w:tc>
          <w:tcPr>
            <w:tcW w:w="1240" w:type="dxa"/>
            <w:tcBorders>
              <w:top w:val="nil"/>
              <w:left w:val="nil"/>
              <w:bottom w:val="nil"/>
              <w:right w:val="single" w:sz="8" w:space="0" w:color="auto"/>
            </w:tcBorders>
            <w:shd w:val="clear" w:color="auto" w:fill="auto"/>
            <w:noWrap/>
            <w:vAlign w:val="bottom"/>
            <w:hideMark/>
          </w:tcPr>
          <w:p w14:paraId="06B47326"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32D"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328"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Art</w:t>
            </w:r>
          </w:p>
        </w:tc>
        <w:tc>
          <w:tcPr>
            <w:tcW w:w="1280" w:type="dxa"/>
            <w:tcBorders>
              <w:top w:val="nil"/>
              <w:left w:val="single" w:sz="4" w:space="0" w:color="auto"/>
              <w:bottom w:val="nil"/>
              <w:right w:val="single" w:sz="4" w:space="0" w:color="auto"/>
            </w:tcBorders>
            <w:shd w:val="clear" w:color="auto" w:fill="auto"/>
            <w:noWrap/>
            <w:vAlign w:val="bottom"/>
            <w:hideMark/>
          </w:tcPr>
          <w:p w14:paraId="06B47329"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-0.016</w:t>
            </w:r>
          </w:p>
        </w:tc>
        <w:tc>
          <w:tcPr>
            <w:tcW w:w="960" w:type="dxa"/>
            <w:tcBorders>
              <w:top w:val="nil"/>
              <w:left w:val="nil"/>
              <w:bottom w:val="nil"/>
              <w:right w:val="nil"/>
            </w:tcBorders>
            <w:shd w:val="clear" w:color="auto" w:fill="auto"/>
            <w:noWrap/>
            <w:vAlign w:val="bottom"/>
            <w:hideMark/>
          </w:tcPr>
          <w:p w14:paraId="06B4732A"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(0.017)</w:t>
            </w:r>
          </w:p>
        </w:tc>
        <w:tc>
          <w:tcPr>
            <w:tcW w:w="1320" w:type="dxa"/>
            <w:tcBorders>
              <w:top w:val="nil"/>
              <w:left w:val="single" w:sz="4" w:space="0" w:color="auto"/>
              <w:bottom w:val="nil"/>
              <w:right w:val="single" w:sz="4" w:space="0" w:color="auto"/>
            </w:tcBorders>
            <w:shd w:val="clear" w:color="auto" w:fill="auto"/>
            <w:noWrap/>
            <w:vAlign w:val="bottom"/>
            <w:hideMark/>
          </w:tcPr>
          <w:p w14:paraId="06B4732B"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36526</w:t>
            </w:r>
          </w:p>
        </w:tc>
        <w:tc>
          <w:tcPr>
            <w:tcW w:w="1240" w:type="dxa"/>
            <w:tcBorders>
              <w:top w:val="nil"/>
              <w:left w:val="nil"/>
              <w:bottom w:val="nil"/>
              <w:right w:val="single" w:sz="8" w:space="0" w:color="auto"/>
            </w:tcBorders>
            <w:shd w:val="clear" w:color="auto" w:fill="auto"/>
            <w:noWrap/>
            <w:vAlign w:val="bottom"/>
            <w:hideMark/>
          </w:tcPr>
          <w:p w14:paraId="06B4732C"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333" w14:textId="77777777" w:rsidTr="00553255">
        <w:trPr>
          <w:trHeight w:val="300"/>
        </w:trPr>
        <w:tc>
          <w:tcPr>
            <w:tcW w:w="2954" w:type="dxa"/>
            <w:tcBorders>
              <w:top w:val="nil"/>
              <w:left w:val="single" w:sz="8" w:space="0" w:color="auto"/>
              <w:bottom w:val="nil"/>
              <w:right w:val="nil"/>
            </w:tcBorders>
            <w:shd w:val="clear" w:color="auto" w:fill="auto"/>
            <w:noWrap/>
            <w:vAlign w:val="bottom"/>
            <w:hideMark/>
          </w:tcPr>
          <w:p w14:paraId="06B4732E"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Craft</w:t>
            </w:r>
          </w:p>
        </w:tc>
        <w:tc>
          <w:tcPr>
            <w:tcW w:w="1280" w:type="dxa"/>
            <w:tcBorders>
              <w:top w:val="nil"/>
              <w:left w:val="single" w:sz="4" w:space="0" w:color="auto"/>
              <w:bottom w:val="nil"/>
              <w:right w:val="single" w:sz="4" w:space="0" w:color="auto"/>
            </w:tcBorders>
            <w:shd w:val="clear" w:color="auto" w:fill="auto"/>
            <w:noWrap/>
            <w:vAlign w:val="bottom"/>
            <w:hideMark/>
          </w:tcPr>
          <w:p w14:paraId="06B4732F"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0.047**</w:t>
            </w:r>
          </w:p>
        </w:tc>
        <w:tc>
          <w:tcPr>
            <w:tcW w:w="960" w:type="dxa"/>
            <w:tcBorders>
              <w:top w:val="nil"/>
              <w:left w:val="nil"/>
              <w:bottom w:val="nil"/>
              <w:right w:val="nil"/>
            </w:tcBorders>
            <w:shd w:val="clear" w:color="auto" w:fill="auto"/>
            <w:noWrap/>
            <w:vAlign w:val="bottom"/>
            <w:hideMark/>
          </w:tcPr>
          <w:p w14:paraId="06B47330"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(0.019)</w:t>
            </w:r>
          </w:p>
        </w:tc>
        <w:tc>
          <w:tcPr>
            <w:tcW w:w="1320" w:type="dxa"/>
            <w:tcBorders>
              <w:top w:val="nil"/>
              <w:left w:val="single" w:sz="4" w:space="0" w:color="auto"/>
              <w:bottom w:val="nil"/>
              <w:right w:val="single" w:sz="4" w:space="0" w:color="auto"/>
            </w:tcBorders>
            <w:shd w:val="clear" w:color="auto" w:fill="auto"/>
            <w:noWrap/>
            <w:vAlign w:val="bottom"/>
            <w:hideMark/>
          </w:tcPr>
          <w:p w14:paraId="06B47331"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36526</w:t>
            </w:r>
          </w:p>
        </w:tc>
        <w:tc>
          <w:tcPr>
            <w:tcW w:w="1240" w:type="dxa"/>
            <w:tcBorders>
              <w:top w:val="nil"/>
              <w:left w:val="nil"/>
              <w:bottom w:val="nil"/>
              <w:right w:val="single" w:sz="8" w:space="0" w:color="auto"/>
            </w:tcBorders>
            <w:shd w:val="clear" w:color="auto" w:fill="auto"/>
            <w:noWrap/>
            <w:vAlign w:val="bottom"/>
            <w:hideMark/>
          </w:tcPr>
          <w:p w14:paraId="06B47332"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r w:rsidR="00296AED" w:rsidRPr="00296AED" w14:paraId="06B47339" w14:textId="77777777" w:rsidTr="00553255">
        <w:trPr>
          <w:trHeight w:val="315"/>
        </w:trPr>
        <w:tc>
          <w:tcPr>
            <w:tcW w:w="2954" w:type="dxa"/>
            <w:tcBorders>
              <w:top w:val="nil"/>
              <w:left w:val="single" w:sz="8" w:space="0" w:color="auto"/>
              <w:bottom w:val="single" w:sz="8" w:space="0" w:color="auto"/>
              <w:right w:val="nil"/>
            </w:tcBorders>
            <w:shd w:val="clear" w:color="auto" w:fill="auto"/>
            <w:noWrap/>
            <w:vAlign w:val="bottom"/>
            <w:hideMark/>
          </w:tcPr>
          <w:p w14:paraId="06B47334"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Literature</w:t>
            </w:r>
          </w:p>
        </w:tc>
        <w:tc>
          <w:tcPr>
            <w:tcW w:w="1280" w:type="dxa"/>
            <w:tcBorders>
              <w:top w:val="nil"/>
              <w:left w:val="single" w:sz="4" w:space="0" w:color="auto"/>
              <w:bottom w:val="single" w:sz="8" w:space="0" w:color="auto"/>
              <w:right w:val="single" w:sz="4" w:space="0" w:color="auto"/>
            </w:tcBorders>
            <w:shd w:val="clear" w:color="auto" w:fill="auto"/>
            <w:noWrap/>
            <w:vAlign w:val="bottom"/>
            <w:hideMark/>
          </w:tcPr>
          <w:p w14:paraId="06B47335" w14:textId="77777777" w:rsidR="00296AED" w:rsidRPr="00296AED" w:rsidRDefault="00296AED" w:rsidP="00296AED">
            <w:pPr>
              <w:spacing w:before="0"/>
              <w:ind w:left="0"/>
              <w:rPr>
                <w:rFonts w:ascii="Calibri" w:hAnsi="Calibri" w:cs="Calibri"/>
                <w:color w:val="000000"/>
                <w:sz w:val="22"/>
                <w:szCs w:val="22"/>
              </w:rPr>
            </w:pPr>
            <w:r w:rsidRPr="00296AED">
              <w:rPr>
                <w:rFonts w:ascii="Calibri" w:hAnsi="Calibri" w:cs="Calibri"/>
                <w:color w:val="000000"/>
                <w:sz w:val="22"/>
                <w:szCs w:val="22"/>
              </w:rPr>
              <w:t>0.003</w:t>
            </w:r>
          </w:p>
        </w:tc>
        <w:tc>
          <w:tcPr>
            <w:tcW w:w="960" w:type="dxa"/>
            <w:tcBorders>
              <w:top w:val="nil"/>
              <w:left w:val="nil"/>
              <w:bottom w:val="single" w:sz="8" w:space="0" w:color="auto"/>
              <w:right w:val="nil"/>
            </w:tcBorders>
            <w:shd w:val="clear" w:color="auto" w:fill="auto"/>
            <w:noWrap/>
            <w:vAlign w:val="bottom"/>
            <w:hideMark/>
          </w:tcPr>
          <w:p w14:paraId="06B47336"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(0.017)</w:t>
            </w:r>
          </w:p>
        </w:tc>
        <w:tc>
          <w:tcPr>
            <w:tcW w:w="1320" w:type="dxa"/>
            <w:tcBorders>
              <w:top w:val="nil"/>
              <w:left w:val="single" w:sz="4" w:space="0" w:color="auto"/>
              <w:bottom w:val="single" w:sz="8" w:space="0" w:color="auto"/>
              <w:right w:val="single" w:sz="4" w:space="0" w:color="auto"/>
            </w:tcBorders>
            <w:shd w:val="clear" w:color="auto" w:fill="auto"/>
            <w:noWrap/>
            <w:vAlign w:val="bottom"/>
            <w:hideMark/>
          </w:tcPr>
          <w:p w14:paraId="06B47337"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36526</w:t>
            </w:r>
          </w:p>
        </w:tc>
        <w:tc>
          <w:tcPr>
            <w:tcW w:w="1240" w:type="dxa"/>
            <w:tcBorders>
              <w:top w:val="nil"/>
              <w:left w:val="nil"/>
              <w:bottom w:val="single" w:sz="8" w:space="0" w:color="auto"/>
              <w:right w:val="single" w:sz="8" w:space="0" w:color="auto"/>
            </w:tcBorders>
            <w:shd w:val="clear" w:color="auto" w:fill="auto"/>
            <w:noWrap/>
            <w:vAlign w:val="bottom"/>
            <w:hideMark/>
          </w:tcPr>
          <w:p w14:paraId="06B47338"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0.15</w:t>
            </w:r>
          </w:p>
        </w:tc>
      </w:tr>
    </w:tbl>
    <w:p w14:paraId="06B4733A" w14:textId="77777777" w:rsidR="00296AED" w:rsidRPr="00296AED" w:rsidRDefault="00296AED" w:rsidP="00296AED">
      <w:pPr>
        <w:spacing w:before="0"/>
        <w:ind w:left="2160"/>
        <w:rPr>
          <w:rFonts w:ascii="Calibri" w:hAnsi="Calibri" w:cs="Calibri"/>
          <w:sz w:val="18"/>
          <w:szCs w:val="18"/>
        </w:rPr>
      </w:pPr>
      <w:r w:rsidRPr="00296AED">
        <w:rPr>
          <w:rFonts w:ascii="Calibri" w:hAnsi="Calibri" w:cs="Calibri"/>
          <w:sz w:val="18"/>
          <w:szCs w:val="18"/>
        </w:rPr>
        <w:t>Notes: *** 0.01 significance level, ** 0.05 significance level, * 0.10 significance level. S.E. = Standard errors (in parentheses).  Results from cross-sectional OLS models.</w:t>
      </w:r>
    </w:p>
    <w:p w14:paraId="06B4733B" w14:textId="77777777" w:rsidR="00296AED" w:rsidRPr="00296AED" w:rsidRDefault="00296AED" w:rsidP="00296AED">
      <w:pPr>
        <w:spacing w:before="0"/>
        <w:ind w:left="2160"/>
        <w:rPr>
          <w:rFonts w:ascii="Calibri" w:eastAsia="MS Mincho" w:hAnsi="Calibri" w:cs="Calibri"/>
          <w:b/>
          <w:lang w:eastAsia="en-US"/>
        </w:rPr>
      </w:pPr>
    </w:p>
    <w:p w14:paraId="347545C7" w14:textId="77777777" w:rsidR="0079130D" w:rsidRDefault="0079130D" w:rsidP="00296AED">
      <w:pPr>
        <w:spacing w:before="0"/>
        <w:ind w:left="2160"/>
        <w:rPr>
          <w:rFonts w:eastAsia="MS Mincho" w:cs="Arial"/>
          <w:b/>
          <w:sz w:val="28"/>
          <w:lang w:eastAsia="en-US"/>
        </w:rPr>
      </w:pPr>
    </w:p>
    <w:p w14:paraId="1202AC80" w14:textId="77777777" w:rsidR="0079130D" w:rsidRDefault="0079130D" w:rsidP="00296AED">
      <w:pPr>
        <w:spacing w:before="0"/>
        <w:ind w:left="2160"/>
        <w:rPr>
          <w:rFonts w:eastAsia="MS Mincho" w:cs="Arial"/>
          <w:b/>
          <w:sz w:val="28"/>
          <w:lang w:eastAsia="en-US"/>
        </w:rPr>
      </w:pPr>
    </w:p>
    <w:p w14:paraId="0BA06FBD" w14:textId="77777777" w:rsidR="0079130D" w:rsidRDefault="0079130D" w:rsidP="00296AED">
      <w:pPr>
        <w:spacing w:before="0"/>
        <w:ind w:left="2160"/>
        <w:rPr>
          <w:rFonts w:eastAsia="MS Mincho" w:cs="Arial"/>
          <w:b/>
          <w:sz w:val="28"/>
          <w:lang w:eastAsia="en-US"/>
        </w:rPr>
      </w:pPr>
    </w:p>
    <w:p w14:paraId="24EB52D8" w14:textId="77777777" w:rsidR="0079130D" w:rsidRDefault="0079130D" w:rsidP="00296AED">
      <w:pPr>
        <w:spacing w:before="0"/>
        <w:ind w:left="2160"/>
        <w:rPr>
          <w:rFonts w:eastAsia="MS Mincho" w:cs="Arial"/>
          <w:b/>
          <w:sz w:val="28"/>
          <w:lang w:eastAsia="en-US"/>
        </w:rPr>
      </w:pPr>
    </w:p>
    <w:p w14:paraId="72D5F03F" w14:textId="77777777" w:rsidR="0079130D" w:rsidRDefault="0079130D" w:rsidP="00296AED">
      <w:pPr>
        <w:spacing w:before="0"/>
        <w:ind w:left="2160"/>
        <w:rPr>
          <w:rFonts w:eastAsia="MS Mincho" w:cs="Arial"/>
          <w:b/>
          <w:sz w:val="28"/>
          <w:lang w:eastAsia="en-US"/>
        </w:rPr>
      </w:pPr>
    </w:p>
    <w:p w14:paraId="146EA18B" w14:textId="77777777" w:rsidR="0079130D" w:rsidRDefault="0079130D" w:rsidP="00296AED">
      <w:pPr>
        <w:spacing w:before="0"/>
        <w:ind w:left="2160"/>
        <w:rPr>
          <w:rFonts w:eastAsia="MS Mincho" w:cs="Arial"/>
          <w:b/>
          <w:sz w:val="28"/>
          <w:lang w:eastAsia="en-US"/>
        </w:rPr>
      </w:pPr>
    </w:p>
    <w:p w14:paraId="73380053" w14:textId="77777777" w:rsidR="0079130D" w:rsidRDefault="0079130D" w:rsidP="00296AED">
      <w:pPr>
        <w:spacing w:before="0"/>
        <w:ind w:left="2160"/>
        <w:rPr>
          <w:rFonts w:eastAsia="MS Mincho" w:cs="Arial"/>
          <w:b/>
          <w:sz w:val="28"/>
          <w:lang w:eastAsia="en-US"/>
        </w:rPr>
      </w:pPr>
    </w:p>
    <w:p w14:paraId="46715E26" w14:textId="77777777" w:rsidR="0079130D" w:rsidRDefault="0079130D" w:rsidP="00296AED">
      <w:pPr>
        <w:spacing w:before="0"/>
        <w:ind w:left="2160"/>
        <w:rPr>
          <w:rFonts w:eastAsia="MS Mincho" w:cs="Arial"/>
          <w:b/>
          <w:sz w:val="28"/>
          <w:lang w:eastAsia="en-US"/>
        </w:rPr>
      </w:pPr>
    </w:p>
    <w:p w14:paraId="06B4733C" w14:textId="77777777" w:rsidR="00296AED" w:rsidRPr="0079130D" w:rsidRDefault="00953499" w:rsidP="00296AED">
      <w:pPr>
        <w:spacing w:before="0"/>
        <w:ind w:left="2160"/>
        <w:rPr>
          <w:rFonts w:eastAsia="MS Mincho" w:cs="Arial"/>
          <w:b/>
          <w:sz w:val="28"/>
          <w:lang w:eastAsia="en-US"/>
        </w:rPr>
      </w:pPr>
      <w:r w:rsidRPr="0079130D">
        <w:rPr>
          <w:rFonts w:eastAsia="MS Mincho" w:cs="Arial"/>
          <w:b/>
          <w:sz w:val="28"/>
          <w:lang w:eastAsia="en-US"/>
        </w:rPr>
        <w:lastRenderedPageBreak/>
        <w:t>B</w:t>
      </w:r>
      <w:r w:rsidR="00296AED" w:rsidRPr="0079130D">
        <w:rPr>
          <w:rFonts w:eastAsia="MS Mincho" w:cs="Arial"/>
          <w:b/>
          <w:sz w:val="28"/>
          <w:lang w:eastAsia="en-US"/>
        </w:rPr>
        <w:t xml:space="preserve">.2. Distributional impacts </w:t>
      </w:r>
    </w:p>
    <w:p w14:paraId="06B4733D" w14:textId="77777777" w:rsidR="00296AED" w:rsidRPr="0079130D" w:rsidRDefault="00296AED" w:rsidP="00296AED">
      <w:pPr>
        <w:spacing w:before="0"/>
        <w:ind w:left="2160"/>
        <w:rPr>
          <w:rFonts w:eastAsia="MS Mincho" w:cs="Arial"/>
          <w:lang w:eastAsia="en-US"/>
        </w:rPr>
      </w:pPr>
    </w:p>
    <w:p w14:paraId="06B4733E"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We assess whether the impacts demonstrated in Table 3 differ across different population groups</w:t>
      </w:r>
      <w:r w:rsidRPr="0079130D">
        <w:rPr>
          <w:rFonts w:eastAsia="MS Mincho" w:cs="Arial"/>
          <w:vertAlign w:val="superscript"/>
          <w:lang w:val="en-US" w:eastAsia="en-US"/>
        </w:rPr>
        <w:footnoteReference w:id="10"/>
      </w:r>
      <w:r w:rsidRPr="0079130D">
        <w:rPr>
          <w:rFonts w:eastAsia="MS Mincho" w:cs="Arial"/>
          <w:lang w:eastAsia="en-US"/>
        </w:rPr>
        <w:t xml:space="preserve"> - for example whether the positive impact of sports is larger for men or women or for younger age groups. The large sample size in Understanding Society allows us to test whether impacts differ. We look at whether there are heterogenous impacts of culture and sports by (i) gender; (ii) age; (iii) income level and (iv) region by interacting these variables with culture and sports. In order to balance samples in each group we set these demographic and socio-economic variables as binary variables determined by the sample median value as follows:</w:t>
      </w:r>
    </w:p>
    <w:p w14:paraId="06B4733F" w14:textId="77777777" w:rsidR="00296AED" w:rsidRPr="0079130D" w:rsidRDefault="00296AED" w:rsidP="00296AED">
      <w:pPr>
        <w:spacing w:before="0"/>
        <w:ind w:left="2160"/>
        <w:rPr>
          <w:rFonts w:eastAsia="MS Mincho" w:cs="Arial"/>
          <w:lang w:eastAsia="en-US"/>
        </w:rPr>
      </w:pPr>
    </w:p>
    <w:p w14:paraId="06B47340" w14:textId="77777777" w:rsidR="00296AED" w:rsidRPr="0079130D" w:rsidRDefault="00296AED" w:rsidP="00296AED">
      <w:pPr>
        <w:numPr>
          <w:ilvl w:val="0"/>
          <w:numId w:val="16"/>
        </w:numPr>
        <w:spacing w:before="0"/>
        <w:ind w:left="2880"/>
        <w:contextualSpacing/>
        <w:rPr>
          <w:rFonts w:eastAsia="MS Mincho" w:cs="Arial"/>
          <w:lang w:eastAsia="en-US"/>
        </w:rPr>
      </w:pPr>
      <w:r w:rsidRPr="0079130D">
        <w:rPr>
          <w:rFonts w:eastAsia="MS Mincho" w:cs="Arial"/>
          <w:lang w:eastAsia="en-US"/>
        </w:rPr>
        <w:t>Gender = male/female</w:t>
      </w:r>
    </w:p>
    <w:p w14:paraId="06B47341" w14:textId="77777777" w:rsidR="00296AED" w:rsidRPr="0079130D" w:rsidRDefault="00296AED" w:rsidP="00296AED">
      <w:pPr>
        <w:numPr>
          <w:ilvl w:val="0"/>
          <w:numId w:val="16"/>
        </w:numPr>
        <w:spacing w:before="0"/>
        <w:ind w:left="2880"/>
        <w:contextualSpacing/>
        <w:rPr>
          <w:rFonts w:eastAsia="MS Mincho" w:cs="Arial"/>
          <w:lang w:eastAsia="en-US"/>
        </w:rPr>
      </w:pPr>
      <w:r w:rsidRPr="0079130D">
        <w:rPr>
          <w:rFonts w:eastAsia="MS Mincho" w:cs="Arial"/>
          <w:lang w:eastAsia="en-US"/>
        </w:rPr>
        <w:t>Age = &gt;46/&lt;47 (we split age around the median sample age of 46.6 years)</w:t>
      </w:r>
    </w:p>
    <w:p w14:paraId="06B47342" w14:textId="77777777" w:rsidR="00296AED" w:rsidRPr="0079130D" w:rsidRDefault="00296AED" w:rsidP="00296AED">
      <w:pPr>
        <w:numPr>
          <w:ilvl w:val="0"/>
          <w:numId w:val="16"/>
        </w:numPr>
        <w:spacing w:before="0"/>
        <w:ind w:left="2880"/>
        <w:contextualSpacing/>
        <w:rPr>
          <w:rFonts w:eastAsia="MS Mincho" w:cs="Arial"/>
          <w:lang w:eastAsia="en-US"/>
        </w:rPr>
      </w:pPr>
      <w:r w:rsidRPr="0079130D">
        <w:rPr>
          <w:rFonts w:eastAsia="MS Mincho" w:cs="Arial"/>
          <w:lang w:eastAsia="en-US"/>
        </w:rPr>
        <w:t>Income group = &gt;£2,868 gross household income pm/&lt;£2,868 gross household income pm. This is a bit higher than the national average in 2010/2011 which was £2,425 (Office for National Statistics, 2013)</w:t>
      </w:r>
    </w:p>
    <w:p w14:paraId="06B47343" w14:textId="77777777" w:rsidR="00296AED" w:rsidRPr="0079130D" w:rsidRDefault="00296AED" w:rsidP="00296AED">
      <w:pPr>
        <w:numPr>
          <w:ilvl w:val="0"/>
          <w:numId w:val="16"/>
        </w:numPr>
        <w:spacing w:before="0"/>
        <w:ind w:left="2880"/>
        <w:contextualSpacing/>
        <w:rPr>
          <w:rFonts w:eastAsia="MS Mincho" w:cs="Arial"/>
          <w:lang w:eastAsia="en-US"/>
        </w:rPr>
      </w:pPr>
      <w:r w:rsidRPr="0079130D">
        <w:rPr>
          <w:rFonts w:eastAsia="MS Mincho" w:cs="Arial"/>
          <w:lang w:eastAsia="en-US"/>
        </w:rPr>
        <w:t>Region = London/not London</w:t>
      </w:r>
    </w:p>
    <w:p w14:paraId="06B47344" w14:textId="77777777" w:rsidR="00296AED" w:rsidRPr="0079130D" w:rsidRDefault="00296AED" w:rsidP="00296AED">
      <w:pPr>
        <w:spacing w:before="0"/>
        <w:ind w:left="2160"/>
        <w:rPr>
          <w:rFonts w:eastAsia="MS Mincho" w:cs="Arial"/>
          <w:lang w:eastAsia="en-US"/>
        </w:rPr>
      </w:pPr>
    </w:p>
    <w:p w14:paraId="06B47345"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and apply these interactions in Sports Model 1 and Arts Model 1. In other words, we look at the heterogenous impacts of team sports, individual sports, arts audience and arts participation.</w:t>
      </w:r>
    </w:p>
    <w:p w14:paraId="06B47346" w14:textId="77777777" w:rsidR="00296AED" w:rsidRPr="0079130D" w:rsidRDefault="00296AED" w:rsidP="00296AED">
      <w:pPr>
        <w:spacing w:before="0"/>
        <w:ind w:left="2160"/>
        <w:rPr>
          <w:rFonts w:eastAsia="MS Mincho" w:cs="Arial"/>
          <w:lang w:eastAsia="en-US"/>
        </w:rPr>
      </w:pPr>
    </w:p>
    <w:p w14:paraId="06B47347"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In general, we find very few significant interactive terms, implying that overall </w:t>
      </w:r>
      <w:r w:rsidRPr="0079130D">
        <w:rPr>
          <w:rFonts w:eastAsia="MS Mincho" w:cs="Arial"/>
          <w:b/>
          <w:lang w:eastAsia="en-US"/>
        </w:rPr>
        <w:t>there are few significant differences in the magnitudes of the impact of culture and sports on life satisfaction across different demographic and socio-economic groups.</w:t>
      </w:r>
      <w:r w:rsidRPr="0079130D">
        <w:rPr>
          <w:rFonts w:eastAsia="MS Mincho" w:cs="Arial"/>
          <w:lang w:eastAsia="en-US"/>
        </w:rPr>
        <w:t xml:space="preserve"> There were no effects by gender or location. We only find there to be a differing effect by age for arts participation and for individual sports. When broken down, there is a larger positive effect on life satisfaction from individual sports for people over the age of 46. The same can also be said of arts participation: there is a larger positive effect on life satisfaction from arts participation for people over the age of 46. In line with the rest of the analysis here, the results may not have a full causal attribution due to the effect of unobserved factors that we cannot control for here (see the following discussion). Therefore, the reasons or factors driving these differences should the basis of future research.</w:t>
      </w:r>
    </w:p>
    <w:p w14:paraId="06B47348" w14:textId="77777777" w:rsidR="00296AED" w:rsidRPr="0079130D" w:rsidRDefault="00296AED" w:rsidP="00296AED">
      <w:pPr>
        <w:spacing w:before="0"/>
        <w:ind w:left="2200"/>
        <w:rPr>
          <w:rFonts w:cs="Arial"/>
          <w:iCs/>
          <w:color w:val="000000"/>
          <w:szCs w:val="22"/>
        </w:rPr>
      </w:pPr>
    </w:p>
    <w:p w14:paraId="06B47349"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The results should be taken with some caveats and caution. As with any study using observational data and a selection on observables assumption (whereby differences in characteristics between participating and non-participating groups are assumed to be observable in the data and hence can be controlled for), we cannot fully claim </w:t>
      </w:r>
      <w:r w:rsidRPr="0079130D">
        <w:rPr>
          <w:rFonts w:eastAsia="MS Mincho" w:cs="Arial"/>
          <w:lang w:eastAsia="en-US"/>
        </w:rPr>
        <w:lastRenderedPageBreak/>
        <w:t>causality in these findings. It may be that the results are affected by reverse causality or that there are some unobserved confounding factors that are driving the relationships. For example, the negative relationship between life satisfaction and fitness and gym exercise might be due to people with lower life satisfaction in the first place 'selecting' into gym exercise - in other words, that people who feel bad about themselves (overweight, unfit etc.) may be more likely to go to the gym. In this case we would be wrong to conclude that fitness and gym exercise are bad for life satisfaction. A similar story could be said of the other negative relationship between playing music and life satisfaction – i.e., the sad musician. Likewise, the positive relationships we see may be being driven to some extent by unobservable factors such as personality traits.</w:t>
      </w:r>
    </w:p>
    <w:p w14:paraId="06B4734A" w14:textId="77777777" w:rsidR="00296AED" w:rsidRPr="0079130D" w:rsidRDefault="00296AED" w:rsidP="00296AED">
      <w:pPr>
        <w:spacing w:before="0"/>
        <w:ind w:left="2160"/>
        <w:rPr>
          <w:rFonts w:eastAsia="MS Mincho" w:cs="Arial"/>
          <w:lang w:eastAsia="en-US"/>
        </w:rPr>
      </w:pPr>
    </w:p>
    <w:p w14:paraId="06B4734B"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Technically, in the current study the multivariate regression analyses derive </w:t>
      </w:r>
      <w:r w:rsidRPr="0079130D">
        <w:rPr>
          <w:rFonts w:eastAsia="MS Mincho" w:cs="Arial"/>
          <w:i/>
          <w:lang w:eastAsia="en-US"/>
        </w:rPr>
        <w:t>conditional associations</w:t>
      </w:r>
      <w:r w:rsidRPr="0079130D">
        <w:rPr>
          <w:rFonts w:eastAsia="MS Mincho" w:cs="Arial"/>
          <w:lang w:eastAsia="en-US"/>
        </w:rPr>
        <w:t xml:space="preserve"> between engagement in culture and sport and wellbeing (or for Part 2 culture, sport and wider outcomes). They are associations conditional on controlling for a host of other factors that we believe confound the relationships and these associations will have a causal interpretation if the selection on observables assumption holds</w:t>
      </w:r>
      <w:r w:rsidRPr="0079130D">
        <w:rPr>
          <w:rFonts w:eastAsia="MS Mincho" w:cs="Arial"/>
          <w:vertAlign w:val="superscript"/>
          <w:lang w:val="en-US" w:eastAsia="en-US"/>
        </w:rPr>
        <w:footnoteReference w:id="11"/>
      </w:r>
      <w:r w:rsidRPr="0079130D">
        <w:rPr>
          <w:rFonts w:eastAsia="MS Mincho" w:cs="Arial"/>
          <w:lang w:eastAsia="en-US"/>
        </w:rPr>
        <w:t xml:space="preserve">. In any event, and as discussed above, these are arguably the best methods available to us for this type of analysis given the data and since we have controlled for most of the main determinants of life satisfaction the results are clearly informative for policy purposes.  </w:t>
      </w:r>
    </w:p>
    <w:p w14:paraId="06B4734C" w14:textId="77777777" w:rsidR="00296AED" w:rsidRPr="0079130D" w:rsidRDefault="00296AED" w:rsidP="00296AED">
      <w:pPr>
        <w:spacing w:before="0"/>
        <w:ind w:left="2160"/>
        <w:rPr>
          <w:rFonts w:eastAsia="MS Mincho" w:cs="Arial"/>
          <w:b/>
          <w:sz w:val="28"/>
          <w:lang w:eastAsia="en-US"/>
        </w:rPr>
      </w:pPr>
    </w:p>
    <w:p w14:paraId="06B4734D" w14:textId="77777777" w:rsidR="00296AED" w:rsidRPr="0079130D" w:rsidRDefault="00B96BC4" w:rsidP="00296AED">
      <w:pPr>
        <w:spacing w:before="0"/>
        <w:ind w:left="2160"/>
        <w:rPr>
          <w:rFonts w:eastAsia="MS Mincho" w:cs="Arial"/>
          <w:b/>
          <w:sz w:val="28"/>
          <w:lang w:eastAsia="en-US"/>
        </w:rPr>
      </w:pPr>
      <w:r w:rsidRPr="0079130D">
        <w:rPr>
          <w:rFonts w:eastAsia="MS Mincho" w:cs="Arial"/>
          <w:b/>
          <w:sz w:val="28"/>
          <w:lang w:eastAsia="en-US"/>
        </w:rPr>
        <w:t>B</w:t>
      </w:r>
      <w:r w:rsidR="00296AED" w:rsidRPr="0079130D">
        <w:rPr>
          <w:rFonts w:eastAsia="MS Mincho" w:cs="Arial"/>
          <w:b/>
          <w:sz w:val="28"/>
          <w:lang w:eastAsia="en-US"/>
        </w:rPr>
        <w:t>.3. Two stage least squares income model (equations (9) and (10))</w:t>
      </w:r>
    </w:p>
    <w:p w14:paraId="06B4734E" w14:textId="77777777" w:rsidR="00296AED" w:rsidRPr="0079130D" w:rsidRDefault="00296AED" w:rsidP="00296AED">
      <w:pPr>
        <w:spacing w:before="0"/>
        <w:ind w:left="2160"/>
        <w:rPr>
          <w:rFonts w:eastAsia="MS Mincho" w:cs="Arial"/>
          <w:lang w:eastAsia="en-US"/>
        </w:rPr>
      </w:pPr>
    </w:p>
    <w:p w14:paraId="06B4734F"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Table 4 in Annex A.5 shows the results of our 2SLS model for lottery wins. The second stage presents the income coefficient for our valuation model (6*). For reasons discussed, we control for gender, age, educational status and health, which are all associated with annual lottery win size, in order to ensure exogeneity in the lottery instrument in the first stage. </w:t>
      </w:r>
    </w:p>
    <w:p w14:paraId="06B47350" w14:textId="77777777" w:rsidR="00296AED" w:rsidRPr="0079130D" w:rsidRDefault="00296AED" w:rsidP="00296AED">
      <w:pPr>
        <w:spacing w:before="0"/>
        <w:ind w:left="2160"/>
        <w:rPr>
          <w:rFonts w:eastAsia="MS Mincho" w:cs="Arial"/>
          <w:lang w:eastAsia="en-US"/>
        </w:rPr>
      </w:pPr>
    </w:p>
    <w:p w14:paraId="06B47351" w14:textId="77777777" w:rsidR="00296AED" w:rsidRPr="0079130D" w:rsidRDefault="00296AED" w:rsidP="00296AED">
      <w:pPr>
        <w:spacing w:before="0"/>
        <w:ind w:left="2160"/>
        <w:rPr>
          <w:rFonts w:eastAsia="MS Mincho" w:cs="Arial"/>
          <w:lang w:eastAsia="en-US"/>
        </w:rPr>
      </w:pPr>
      <w:r w:rsidRPr="0079130D">
        <w:rPr>
          <w:rFonts w:eastAsia="MS Mincho" w:cs="Arial"/>
          <w:b/>
          <w:lang w:eastAsia="en-US"/>
        </w:rPr>
        <w:t xml:space="preserve">We find that log of annual household income increases life satisfaction by 1.16 </w:t>
      </w:r>
      <w:r w:rsidRPr="0079130D">
        <w:rPr>
          <w:rFonts w:eastAsia="MS Mincho" w:cs="Arial"/>
          <w:lang w:eastAsia="en-US"/>
        </w:rPr>
        <w:t xml:space="preserve">and this is significant at the 5% level. This is based on a reasonably large sample of 10,334 lottery players. This can be interpreted as the </w:t>
      </w:r>
      <w:r w:rsidRPr="0079130D">
        <w:rPr>
          <w:rFonts w:eastAsia="MS Mincho" w:cs="Arial"/>
          <w:i/>
          <w:lang w:eastAsia="en-US"/>
        </w:rPr>
        <w:t>causal effect</w:t>
      </w:r>
      <w:r w:rsidRPr="0079130D">
        <w:rPr>
          <w:rFonts w:eastAsia="MS Mincho" w:cs="Arial"/>
          <w:lang w:eastAsia="en-US"/>
        </w:rPr>
        <w:t xml:space="preserve"> of income on life satisfaction that does not suffer from issues related to endogeneity bias and measurement error and hence in equation (6*) we use </w:t>
      </w:r>
      <m:oMath>
        <m:sSubSup>
          <m:sSubSupPr>
            <m:ctrlPr>
              <w:rPr>
                <w:rFonts w:ascii="Cambria Math" w:eastAsia="MS Mincho" w:hAnsi="Cambria Math" w:cs="Arial"/>
                <w:i/>
                <w:lang w:eastAsia="en-US"/>
              </w:rPr>
            </m:ctrlPr>
          </m:sSubSupPr>
          <m:e>
            <m:r>
              <w:rPr>
                <w:rFonts w:ascii="Cambria Math" w:eastAsia="MS Mincho" w:hAnsi="Cambria Math" w:cs="Arial"/>
                <w:lang w:eastAsia="en-US"/>
              </w:rPr>
              <m:t>β</m:t>
            </m:r>
          </m:e>
          <m:sub>
            <m:r>
              <w:rPr>
                <w:rFonts w:ascii="Cambria Math" w:eastAsia="MS Mincho" w:hAnsi="Cambria Math" w:cs="Arial"/>
                <w:lang w:eastAsia="en-US"/>
              </w:rPr>
              <m:t>1</m:t>
            </m:r>
          </m:sub>
          <m:sup>
            <m:r>
              <w:rPr>
                <w:rFonts w:ascii="Cambria Math" w:eastAsia="MS Mincho" w:hAnsi="Cambria Math" w:cs="Arial"/>
                <w:lang w:eastAsia="en-US"/>
              </w:rPr>
              <m:t>*</m:t>
            </m:r>
          </m:sup>
        </m:sSubSup>
      </m:oMath>
      <w:r w:rsidRPr="0079130D">
        <w:rPr>
          <w:rFonts w:eastAsia="MS Mincho" w:cs="Arial"/>
          <w:lang w:eastAsia="en-US"/>
        </w:rPr>
        <w:t xml:space="preserve"> = 1.16 from Table 4b).</w:t>
      </w:r>
    </w:p>
    <w:p w14:paraId="06B47352" w14:textId="77777777" w:rsidR="00296AED" w:rsidRPr="0079130D" w:rsidRDefault="00296AED" w:rsidP="00296AED">
      <w:pPr>
        <w:spacing w:before="0"/>
        <w:ind w:left="2160"/>
        <w:rPr>
          <w:rFonts w:eastAsia="MS Mincho" w:cs="Arial"/>
          <w:b/>
          <w:lang w:eastAsia="en-US"/>
        </w:rPr>
      </w:pPr>
    </w:p>
    <w:p w14:paraId="0635A429" w14:textId="77777777" w:rsidR="0079130D" w:rsidRDefault="0079130D" w:rsidP="00296AED">
      <w:pPr>
        <w:spacing w:before="0"/>
        <w:ind w:left="2160"/>
        <w:rPr>
          <w:rFonts w:eastAsia="MS Mincho" w:cs="Arial"/>
          <w:b/>
          <w:sz w:val="28"/>
          <w:lang w:eastAsia="en-US"/>
        </w:rPr>
      </w:pPr>
    </w:p>
    <w:p w14:paraId="06B47353" w14:textId="77777777" w:rsidR="00296AED" w:rsidRPr="0079130D" w:rsidRDefault="00B96BC4" w:rsidP="00296AED">
      <w:pPr>
        <w:spacing w:before="0"/>
        <w:ind w:left="2160"/>
        <w:rPr>
          <w:rFonts w:eastAsia="MS Mincho" w:cs="Arial"/>
          <w:b/>
          <w:sz w:val="28"/>
          <w:lang w:eastAsia="en-US"/>
        </w:rPr>
      </w:pPr>
      <w:r w:rsidRPr="0079130D">
        <w:rPr>
          <w:rFonts w:eastAsia="MS Mincho" w:cs="Arial"/>
          <w:b/>
          <w:sz w:val="28"/>
          <w:lang w:eastAsia="en-US"/>
        </w:rPr>
        <w:lastRenderedPageBreak/>
        <w:t>B</w:t>
      </w:r>
      <w:r w:rsidR="00296AED" w:rsidRPr="0079130D">
        <w:rPr>
          <w:rFonts w:eastAsia="MS Mincho" w:cs="Arial"/>
          <w:b/>
          <w:sz w:val="28"/>
          <w:lang w:eastAsia="en-US"/>
        </w:rPr>
        <w:t>.4. Monetary valuation of engagement in culture and sport</w:t>
      </w:r>
    </w:p>
    <w:p w14:paraId="06B47354" w14:textId="77777777" w:rsidR="00296AED" w:rsidRPr="0079130D" w:rsidRDefault="00296AED" w:rsidP="00296AED">
      <w:pPr>
        <w:spacing w:before="0"/>
        <w:ind w:left="2160"/>
        <w:rPr>
          <w:rFonts w:eastAsia="MS Mincho" w:cs="Arial"/>
          <w:lang w:eastAsia="en-US"/>
        </w:rPr>
      </w:pPr>
    </w:p>
    <w:p w14:paraId="06B47355"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In this section we estimate monetary values (technically speaking compensating surplus) for all arts and sport related variables that were statistically significant in models (8.1) to (8.6) using the CS formula:</w:t>
      </w:r>
    </w:p>
    <w:p w14:paraId="06B47356" w14:textId="77777777" w:rsidR="00296AED" w:rsidRPr="0079130D" w:rsidRDefault="00296AED" w:rsidP="00296AED">
      <w:pPr>
        <w:spacing w:before="0"/>
        <w:ind w:left="2160"/>
        <w:rPr>
          <w:rFonts w:eastAsia="MS Mincho" w:cs="Arial"/>
          <w:lang w:eastAsia="en-US"/>
        </w:rPr>
      </w:pPr>
    </w:p>
    <w:p w14:paraId="06B47357" w14:textId="77777777" w:rsidR="00296AED" w:rsidRPr="0079130D" w:rsidRDefault="00296AED" w:rsidP="00296AED">
      <w:pPr>
        <w:spacing w:before="0"/>
        <w:ind w:left="2160"/>
        <w:rPr>
          <w:rFonts w:eastAsia="MS Mincho" w:cs="Arial"/>
          <w:lang w:eastAsia="en-US"/>
        </w:rPr>
      </w:pPr>
      <m:oMath>
        <m:r>
          <w:rPr>
            <w:rFonts w:ascii="Cambria Math" w:eastAsia="MS Mincho" w:hAnsi="Cambria Math" w:cs="Arial"/>
            <w:lang w:eastAsia="en-US"/>
          </w:rPr>
          <m:t>CS=</m:t>
        </m:r>
        <m:sSup>
          <m:sSupPr>
            <m:ctrlPr>
              <w:rPr>
                <w:rFonts w:ascii="Cambria Math" w:eastAsia="MS Mincho" w:hAnsi="Cambria Math" w:cs="Arial"/>
                <w:i/>
                <w:lang w:eastAsia="en-US"/>
              </w:rPr>
            </m:ctrlPr>
          </m:sSupPr>
          <m:e>
            <m:sSup>
              <m:sSupPr>
                <m:ctrlPr>
                  <w:rPr>
                    <w:rFonts w:ascii="Cambria Math" w:eastAsia="MS Mincho" w:hAnsi="Cambria Math" w:cs="Arial"/>
                    <w:i/>
                    <w:lang w:eastAsia="en-US"/>
                  </w:rPr>
                </m:ctrlPr>
              </m:sSupPr>
              <m:e>
                <m:r>
                  <w:rPr>
                    <w:rFonts w:ascii="Cambria Math" w:eastAsia="MS Mincho" w:hAnsi="Cambria Math" w:cs="Arial"/>
                    <w:lang w:eastAsia="en-US"/>
                  </w:rPr>
                  <m:t>M</m:t>
                </m:r>
              </m:e>
              <m:sup>
                <m:r>
                  <w:rPr>
                    <w:rFonts w:ascii="Cambria Math" w:eastAsia="MS Mincho" w:hAnsi="Cambria Math" w:cs="Arial"/>
                    <w:lang w:eastAsia="en-US"/>
                  </w:rPr>
                  <m:t>0</m:t>
                </m:r>
              </m:sup>
            </m:sSup>
            <m:r>
              <w:rPr>
                <w:rFonts w:ascii="Cambria Math" w:eastAsia="MS Mincho" w:hAnsi="Cambria Math" w:cs="Arial"/>
                <w:lang w:eastAsia="en-US"/>
              </w:rPr>
              <m:t>-e</m:t>
            </m:r>
          </m:e>
          <m:sup>
            <m:d>
              <m:dPr>
                <m:begChr m:val="["/>
                <m:endChr m:val="]"/>
                <m:ctrlPr>
                  <w:rPr>
                    <w:rFonts w:ascii="Cambria Math" w:eastAsia="MS Mincho" w:hAnsi="Cambria Math" w:cs="Arial"/>
                    <w:i/>
                    <w:lang w:eastAsia="en-US"/>
                  </w:rPr>
                </m:ctrlPr>
              </m:dPr>
              <m:e>
                <m:func>
                  <m:funcPr>
                    <m:ctrlPr>
                      <w:rPr>
                        <w:rFonts w:ascii="Cambria Math" w:eastAsia="MS Mincho" w:hAnsi="Cambria Math" w:cs="Arial"/>
                        <w:lang w:eastAsia="en-US"/>
                      </w:rPr>
                    </m:ctrlPr>
                  </m:funcPr>
                  <m:fName>
                    <m:r>
                      <m:rPr>
                        <m:sty m:val="p"/>
                      </m:rPr>
                      <w:rPr>
                        <w:rFonts w:ascii="Cambria Math" w:eastAsia="MS Mincho" w:hAnsi="Cambria Math" w:cs="Arial"/>
                        <w:lang w:eastAsia="en-US"/>
                      </w:rPr>
                      <m:t>ln</m:t>
                    </m:r>
                  </m:fName>
                  <m:e>
                    <m:d>
                      <m:dPr>
                        <m:ctrlPr>
                          <w:rPr>
                            <w:rFonts w:ascii="Cambria Math" w:eastAsia="MS Mincho" w:hAnsi="Cambria Math" w:cs="Arial"/>
                            <w:i/>
                            <w:lang w:eastAsia="en-US"/>
                          </w:rPr>
                        </m:ctrlPr>
                      </m:dPr>
                      <m:e>
                        <m:sSup>
                          <m:sSupPr>
                            <m:ctrlPr>
                              <w:rPr>
                                <w:rFonts w:ascii="Cambria Math" w:eastAsia="MS Mincho" w:hAnsi="Cambria Math" w:cs="Arial"/>
                                <w:i/>
                                <w:lang w:eastAsia="en-US"/>
                              </w:rPr>
                            </m:ctrlPr>
                          </m:sSupPr>
                          <m:e>
                            <m:r>
                              <w:rPr>
                                <w:rFonts w:ascii="Cambria Math" w:eastAsia="MS Mincho" w:hAnsi="Cambria Math" w:cs="Arial"/>
                                <w:lang w:eastAsia="en-US"/>
                              </w:rPr>
                              <m:t>M</m:t>
                            </m:r>
                          </m:e>
                          <m:sup>
                            <m:r>
                              <w:rPr>
                                <w:rFonts w:ascii="Cambria Math" w:eastAsia="MS Mincho" w:hAnsi="Cambria Math" w:cs="Arial"/>
                                <w:lang w:eastAsia="en-US"/>
                              </w:rPr>
                              <m:t>0</m:t>
                            </m:r>
                          </m:sup>
                        </m:sSup>
                      </m:e>
                    </m:d>
                  </m:e>
                </m:func>
                <m:r>
                  <w:rPr>
                    <w:rFonts w:ascii="Cambria Math" w:eastAsia="MS Mincho" w:hAnsi="Cambria Math" w:cs="Arial"/>
                    <w:lang w:eastAsia="en-US"/>
                  </w:rPr>
                  <m:t xml:space="preserve"> - </m:t>
                </m:r>
                <m:f>
                  <m:fPr>
                    <m:ctrlPr>
                      <w:rPr>
                        <w:rFonts w:ascii="Cambria Math" w:eastAsia="MS Mincho" w:hAnsi="Cambria Math" w:cs="Arial"/>
                        <w:i/>
                        <w:lang w:eastAsia="en-US"/>
                      </w:rPr>
                    </m:ctrlPr>
                  </m:fPr>
                  <m:num>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2</m:t>
                        </m:r>
                      </m:sub>
                    </m:sSub>
                  </m:num>
                  <m:den>
                    <m:sSubSup>
                      <m:sSubSupPr>
                        <m:ctrlPr>
                          <w:rPr>
                            <w:rFonts w:ascii="Cambria Math" w:eastAsia="MS Mincho" w:hAnsi="Cambria Math" w:cs="Arial"/>
                            <w:i/>
                            <w:lang w:eastAsia="en-US"/>
                          </w:rPr>
                        </m:ctrlPr>
                      </m:sSubSupPr>
                      <m:e>
                        <m:r>
                          <w:rPr>
                            <w:rFonts w:ascii="Cambria Math" w:eastAsia="MS Mincho" w:hAnsi="Cambria Math" w:cs="Arial"/>
                            <w:lang w:eastAsia="en-US"/>
                          </w:rPr>
                          <m:t>β</m:t>
                        </m:r>
                      </m:e>
                      <m:sub>
                        <m:r>
                          <w:rPr>
                            <w:rFonts w:ascii="Cambria Math" w:eastAsia="MS Mincho" w:hAnsi="Cambria Math" w:cs="Arial"/>
                            <w:lang w:eastAsia="en-US"/>
                          </w:rPr>
                          <m:t>1</m:t>
                        </m:r>
                      </m:sub>
                      <m:sup>
                        <m:r>
                          <w:rPr>
                            <w:rFonts w:ascii="Cambria Math" w:eastAsia="MS Mincho" w:hAnsi="Cambria Math" w:cs="Arial"/>
                            <w:lang w:eastAsia="en-US"/>
                          </w:rPr>
                          <m:t>*</m:t>
                        </m:r>
                      </m:sup>
                    </m:sSubSup>
                  </m:den>
                </m:f>
                <m:r>
                  <w:rPr>
                    <w:rFonts w:ascii="Cambria Math" w:eastAsia="MS Mincho" w:hAnsi="Cambria Math" w:cs="Arial"/>
                    <w:lang w:eastAsia="en-US"/>
                  </w:rPr>
                  <m:t xml:space="preserve"> </m:t>
                </m:r>
              </m:e>
            </m:d>
          </m:sup>
        </m:sSup>
      </m:oMath>
      <w:r w:rsidRPr="0079130D">
        <w:rPr>
          <w:rFonts w:eastAsia="MS Mincho" w:cs="Arial"/>
          <w:lang w:eastAsia="en-US"/>
        </w:rPr>
        <w:tab/>
      </w:r>
      <w:r w:rsidRPr="0079130D">
        <w:rPr>
          <w:rFonts w:eastAsia="MS Mincho" w:cs="Arial"/>
          <w:lang w:eastAsia="en-US"/>
        </w:rPr>
        <w:tab/>
      </w:r>
      <w:r w:rsidRPr="0079130D">
        <w:rPr>
          <w:rFonts w:eastAsia="MS Mincho" w:cs="Arial"/>
          <w:lang w:eastAsia="en-US"/>
        </w:rPr>
        <w:tab/>
        <w:t>(6*)</w:t>
      </w:r>
    </w:p>
    <w:p w14:paraId="06B47358" w14:textId="77777777" w:rsidR="00296AED" w:rsidRPr="0079130D" w:rsidRDefault="00296AED" w:rsidP="00296AED">
      <w:pPr>
        <w:spacing w:before="0"/>
        <w:ind w:left="2160"/>
        <w:rPr>
          <w:rFonts w:eastAsia="MS Mincho" w:cs="Arial"/>
          <w:lang w:eastAsia="en-US"/>
        </w:rPr>
      </w:pPr>
    </w:p>
    <w:p w14:paraId="06B47359"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where </w:t>
      </w:r>
      <m:oMath>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2</m:t>
            </m:r>
          </m:sub>
        </m:sSub>
      </m:oMath>
      <w:r w:rsidRPr="0079130D">
        <w:rPr>
          <w:rFonts w:eastAsia="MS Mincho" w:cs="Arial"/>
          <w:lang w:eastAsia="en-US"/>
        </w:rPr>
        <w:t xml:space="preserve"> = coefficients on different arts and sports activities from models (8.1) to (8.6); </w:t>
      </w:r>
      <m:oMath>
        <m:sSubSup>
          <m:sSubSupPr>
            <m:ctrlPr>
              <w:rPr>
                <w:rFonts w:ascii="Cambria Math" w:eastAsia="MS Mincho" w:hAnsi="Cambria Math" w:cs="Arial"/>
                <w:i/>
                <w:lang w:eastAsia="en-US"/>
              </w:rPr>
            </m:ctrlPr>
          </m:sSubSupPr>
          <m:e>
            <m:r>
              <w:rPr>
                <w:rFonts w:ascii="Cambria Math" w:eastAsia="MS Mincho" w:hAnsi="Cambria Math" w:cs="Arial"/>
                <w:lang w:eastAsia="en-US"/>
              </w:rPr>
              <m:t>β</m:t>
            </m:r>
          </m:e>
          <m:sub>
            <m:r>
              <w:rPr>
                <w:rFonts w:ascii="Cambria Math" w:eastAsia="MS Mincho" w:hAnsi="Cambria Math" w:cs="Arial"/>
                <w:lang w:eastAsia="en-US"/>
              </w:rPr>
              <m:t>1</m:t>
            </m:r>
          </m:sub>
          <m:sup>
            <m:r>
              <w:rPr>
                <w:rFonts w:ascii="Cambria Math" w:eastAsia="MS Mincho" w:hAnsi="Cambria Math" w:cs="Arial"/>
                <w:lang w:eastAsia="en-US"/>
              </w:rPr>
              <m:t>*</m:t>
            </m:r>
          </m:sup>
        </m:sSubSup>
      </m:oMath>
      <w:r w:rsidRPr="0079130D">
        <w:rPr>
          <w:rFonts w:eastAsia="MS Mincho" w:cs="Arial"/>
          <w:lang w:eastAsia="en-US"/>
        </w:rPr>
        <w:t xml:space="preserve"> = 1.16 and </w:t>
      </w:r>
      <m:oMath>
        <m:sSup>
          <m:sSupPr>
            <m:ctrlPr>
              <w:rPr>
                <w:rFonts w:ascii="Cambria Math" w:eastAsia="MS Mincho" w:hAnsi="Cambria Math" w:cs="Arial"/>
                <w:i/>
                <w:lang w:eastAsia="en-US"/>
              </w:rPr>
            </m:ctrlPr>
          </m:sSupPr>
          <m:e>
            <m:r>
              <w:rPr>
                <w:rFonts w:ascii="Cambria Math" w:eastAsia="MS Mincho" w:hAnsi="Cambria Math" w:cs="Arial"/>
                <w:lang w:eastAsia="en-US"/>
              </w:rPr>
              <m:t>M</m:t>
            </m:r>
          </m:e>
          <m:sup>
            <m:r>
              <w:rPr>
                <w:rFonts w:ascii="Cambria Math" w:eastAsia="MS Mincho" w:hAnsi="Cambria Math" w:cs="Arial"/>
                <w:lang w:eastAsia="en-US"/>
              </w:rPr>
              <m:t>0</m:t>
            </m:r>
          </m:sup>
        </m:sSup>
      </m:oMath>
      <w:r w:rsidRPr="0079130D">
        <w:rPr>
          <w:rFonts w:eastAsia="MS Mincho" w:cs="Arial"/>
          <w:lang w:eastAsia="en-US"/>
        </w:rPr>
        <w:t xml:space="preserve"> = £25,700 (the sample average income). </w:t>
      </w:r>
    </w:p>
    <w:p w14:paraId="06B4735A" w14:textId="77777777" w:rsidR="00296AED" w:rsidRPr="0079130D" w:rsidRDefault="00296AED" w:rsidP="00296AED">
      <w:pPr>
        <w:spacing w:before="0"/>
        <w:ind w:left="2160"/>
        <w:rPr>
          <w:rFonts w:eastAsia="MS Mincho" w:cs="Arial"/>
          <w:lang w:eastAsia="en-US"/>
        </w:rPr>
      </w:pPr>
    </w:p>
    <w:p w14:paraId="06B4735B"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We first use (6*) with the unbiased income coefficient estimated using lottery wins to recalculate some of the values from the previous CASE publication, which found high values for participation in cinema, concerts and sport. The CASE study used the BHPS and found that compared to never going/doing, going to the cinema at least once per week or doing sport at least once per week had a positive association with life satisfaction using the BHPS. We ignore concerts here as it was not significant at the 10% level in the original report. Table 5 shows the original coefficient estimates for sport and cinema and the CASE values in annual and weekly format. The values were based on an income coefficient estimate of 0.053 in the original paper. Using the coefficients in the second column as estimates of </w:t>
      </w:r>
      <m:oMath>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2</m:t>
            </m:r>
          </m:sub>
        </m:sSub>
      </m:oMath>
      <w:r w:rsidRPr="0079130D">
        <w:rPr>
          <w:rFonts w:eastAsia="MS Mincho" w:cs="Arial"/>
          <w:lang w:eastAsia="en-US"/>
        </w:rPr>
        <w:t xml:space="preserve"> in equation (6*), together with our estimate of the income coefficient from 2SLS we derive significantly lower value estimates for these activities.</w:t>
      </w:r>
    </w:p>
    <w:p w14:paraId="06B4735C" w14:textId="77777777" w:rsidR="00296AED" w:rsidRPr="0079130D" w:rsidRDefault="00296AED" w:rsidP="00296AED">
      <w:pPr>
        <w:spacing w:before="0"/>
        <w:ind w:left="2160"/>
        <w:rPr>
          <w:rFonts w:eastAsia="MS Mincho" w:cs="Arial"/>
          <w:b/>
          <w:lang w:eastAsia="en-US"/>
        </w:rPr>
      </w:pPr>
    </w:p>
    <w:p w14:paraId="06B4735D" w14:textId="77777777" w:rsidR="00296AED" w:rsidRPr="0079130D" w:rsidRDefault="00296AED" w:rsidP="00296AED">
      <w:pPr>
        <w:spacing w:before="0"/>
        <w:ind w:left="2160"/>
        <w:rPr>
          <w:rFonts w:eastAsia="MS Mincho" w:cs="Arial"/>
          <w:b/>
          <w:lang w:eastAsia="en-US"/>
        </w:rPr>
      </w:pPr>
      <w:r w:rsidRPr="0079130D">
        <w:rPr>
          <w:rFonts w:eastAsia="MS Mincho" w:cs="Arial"/>
          <w:b/>
          <w:lang w:eastAsia="en-US"/>
        </w:rPr>
        <w:t>Table 5. Re-estimation of CASE programme results for sport and cinema visits</w:t>
      </w:r>
    </w:p>
    <w:tbl>
      <w:tblPr>
        <w:tblW w:w="8080" w:type="dxa"/>
        <w:tblInd w:w="1826" w:type="dxa"/>
        <w:tblLook w:val="04A0" w:firstRow="1" w:lastRow="0" w:firstColumn="1" w:lastColumn="0" w:noHBand="0" w:noVBand="1"/>
      </w:tblPr>
      <w:tblGrid>
        <w:gridCol w:w="2137"/>
        <w:gridCol w:w="1123"/>
        <w:gridCol w:w="1140"/>
        <w:gridCol w:w="1060"/>
        <w:gridCol w:w="1260"/>
        <w:gridCol w:w="1360"/>
      </w:tblGrid>
      <w:tr w:rsidR="00296AED" w:rsidRPr="00296AED" w14:paraId="06B47364" w14:textId="77777777" w:rsidTr="00553255">
        <w:trPr>
          <w:trHeight w:val="525"/>
        </w:trPr>
        <w:tc>
          <w:tcPr>
            <w:tcW w:w="2137" w:type="dxa"/>
            <w:tcBorders>
              <w:top w:val="single" w:sz="8" w:space="0" w:color="auto"/>
              <w:left w:val="single" w:sz="8" w:space="0" w:color="auto"/>
              <w:bottom w:val="double" w:sz="6" w:space="0" w:color="auto"/>
              <w:right w:val="single" w:sz="4" w:space="0" w:color="auto"/>
            </w:tcBorders>
            <w:shd w:val="clear" w:color="000000" w:fill="0070C0"/>
            <w:hideMark/>
          </w:tcPr>
          <w:p w14:paraId="06B4735E" w14:textId="77777777" w:rsidR="00296AED" w:rsidRPr="00296AED" w:rsidRDefault="00296AED" w:rsidP="00296AED">
            <w:pPr>
              <w:spacing w:before="0"/>
              <w:ind w:left="0"/>
              <w:jc w:val="center"/>
              <w:rPr>
                <w:rFonts w:ascii="Calibri" w:hAnsi="Calibri" w:cs="Calibri"/>
                <w:b/>
                <w:bCs/>
                <w:color w:val="FFFFFF"/>
                <w:sz w:val="20"/>
                <w:szCs w:val="20"/>
              </w:rPr>
            </w:pPr>
            <w:r w:rsidRPr="00296AED">
              <w:rPr>
                <w:rFonts w:ascii="Calibri" w:hAnsi="Calibri" w:cs="Calibri"/>
                <w:b/>
                <w:bCs/>
                <w:color w:val="FFFFFF"/>
                <w:sz w:val="20"/>
                <w:szCs w:val="20"/>
              </w:rPr>
              <w:t>Variable</w:t>
            </w:r>
          </w:p>
        </w:tc>
        <w:tc>
          <w:tcPr>
            <w:tcW w:w="1123" w:type="dxa"/>
            <w:tcBorders>
              <w:top w:val="single" w:sz="8" w:space="0" w:color="auto"/>
              <w:left w:val="nil"/>
              <w:bottom w:val="double" w:sz="6" w:space="0" w:color="auto"/>
              <w:right w:val="single" w:sz="4" w:space="0" w:color="auto"/>
            </w:tcBorders>
            <w:shd w:val="clear" w:color="000000" w:fill="0070C0"/>
            <w:hideMark/>
          </w:tcPr>
          <w:p w14:paraId="06B4735F" w14:textId="77777777" w:rsidR="00296AED" w:rsidRPr="00296AED" w:rsidRDefault="00296AED" w:rsidP="00296AED">
            <w:pPr>
              <w:spacing w:before="0"/>
              <w:ind w:left="0"/>
              <w:jc w:val="center"/>
              <w:rPr>
                <w:rFonts w:ascii="Calibri" w:hAnsi="Calibri" w:cs="Calibri"/>
                <w:b/>
                <w:bCs/>
                <w:color w:val="FFFFFF"/>
                <w:sz w:val="20"/>
                <w:szCs w:val="20"/>
              </w:rPr>
            </w:pPr>
            <w:r w:rsidRPr="00296AED">
              <w:rPr>
                <w:rFonts w:ascii="Calibri" w:hAnsi="Calibri" w:cs="Calibri"/>
                <w:b/>
                <w:bCs/>
                <w:color w:val="FFFFFF"/>
                <w:sz w:val="20"/>
                <w:szCs w:val="20"/>
              </w:rPr>
              <w:t>Coefficient</w:t>
            </w:r>
          </w:p>
        </w:tc>
        <w:tc>
          <w:tcPr>
            <w:tcW w:w="1140" w:type="dxa"/>
            <w:tcBorders>
              <w:top w:val="single" w:sz="8" w:space="0" w:color="auto"/>
              <w:left w:val="nil"/>
              <w:bottom w:val="double" w:sz="6" w:space="0" w:color="auto"/>
              <w:right w:val="nil"/>
            </w:tcBorders>
            <w:shd w:val="clear" w:color="000000" w:fill="0070C0"/>
            <w:hideMark/>
          </w:tcPr>
          <w:p w14:paraId="06B47360" w14:textId="77777777" w:rsidR="00296AED" w:rsidRPr="00296AED" w:rsidRDefault="00296AED" w:rsidP="00296AED">
            <w:pPr>
              <w:spacing w:before="0"/>
              <w:ind w:left="0"/>
              <w:jc w:val="center"/>
              <w:rPr>
                <w:rFonts w:ascii="Calibri" w:hAnsi="Calibri" w:cs="Calibri"/>
                <w:b/>
                <w:bCs/>
                <w:color w:val="FFFFFF"/>
                <w:sz w:val="20"/>
                <w:szCs w:val="20"/>
              </w:rPr>
            </w:pPr>
            <w:r w:rsidRPr="00296AED">
              <w:rPr>
                <w:rFonts w:ascii="Calibri" w:hAnsi="Calibri" w:cs="Calibri"/>
                <w:b/>
                <w:bCs/>
                <w:color w:val="FFFFFF"/>
                <w:sz w:val="20"/>
                <w:szCs w:val="20"/>
              </w:rPr>
              <w:t>CASE Value (annual)</w:t>
            </w:r>
          </w:p>
        </w:tc>
        <w:tc>
          <w:tcPr>
            <w:tcW w:w="1060" w:type="dxa"/>
            <w:tcBorders>
              <w:top w:val="single" w:sz="8" w:space="0" w:color="auto"/>
              <w:left w:val="nil"/>
              <w:bottom w:val="double" w:sz="6" w:space="0" w:color="auto"/>
              <w:right w:val="nil"/>
            </w:tcBorders>
            <w:shd w:val="clear" w:color="000000" w:fill="0070C0"/>
            <w:hideMark/>
          </w:tcPr>
          <w:p w14:paraId="06B47361" w14:textId="77777777" w:rsidR="00296AED" w:rsidRPr="00296AED" w:rsidRDefault="00296AED" w:rsidP="00296AED">
            <w:pPr>
              <w:spacing w:before="0"/>
              <w:ind w:left="0"/>
              <w:jc w:val="center"/>
              <w:rPr>
                <w:rFonts w:ascii="Calibri" w:hAnsi="Calibri" w:cs="Calibri"/>
                <w:b/>
                <w:bCs/>
                <w:color w:val="FFFFFF"/>
                <w:sz w:val="20"/>
                <w:szCs w:val="20"/>
              </w:rPr>
            </w:pPr>
            <w:r w:rsidRPr="00296AED">
              <w:rPr>
                <w:rFonts w:ascii="Calibri" w:hAnsi="Calibri" w:cs="Calibri"/>
                <w:b/>
                <w:bCs/>
                <w:color w:val="FFFFFF"/>
                <w:sz w:val="20"/>
                <w:szCs w:val="20"/>
              </w:rPr>
              <w:t>CASE Value (week)</w:t>
            </w:r>
          </w:p>
        </w:tc>
        <w:tc>
          <w:tcPr>
            <w:tcW w:w="1260" w:type="dxa"/>
            <w:tcBorders>
              <w:top w:val="single" w:sz="8" w:space="0" w:color="auto"/>
              <w:left w:val="single" w:sz="4" w:space="0" w:color="auto"/>
              <w:bottom w:val="double" w:sz="6" w:space="0" w:color="auto"/>
              <w:right w:val="nil"/>
            </w:tcBorders>
            <w:shd w:val="clear" w:color="000000" w:fill="0070C0"/>
            <w:hideMark/>
          </w:tcPr>
          <w:p w14:paraId="06B47362" w14:textId="77777777" w:rsidR="00296AED" w:rsidRPr="00296AED" w:rsidRDefault="00296AED" w:rsidP="00296AED">
            <w:pPr>
              <w:spacing w:before="0"/>
              <w:ind w:left="0"/>
              <w:jc w:val="center"/>
              <w:rPr>
                <w:rFonts w:ascii="Calibri" w:hAnsi="Calibri" w:cs="Calibri"/>
                <w:b/>
                <w:bCs/>
                <w:color w:val="FFFFFF"/>
                <w:sz w:val="20"/>
                <w:szCs w:val="20"/>
              </w:rPr>
            </w:pPr>
            <w:r w:rsidRPr="00296AED">
              <w:rPr>
                <w:rFonts w:ascii="Calibri" w:hAnsi="Calibri" w:cs="Calibri"/>
                <w:b/>
                <w:bCs/>
                <w:color w:val="FFFFFF"/>
                <w:sz w:val="20"/>
                <w:szCs w:val="20"/>
              </w:rPr>
              <w:t>Re-estimated (annual)</w:t>
            </w:r>
          </w:p>
        </w:tc>
        <w:tc>
          <w:tcPr>
            <w:tcW w:w="1360" w:type="dxa"/>
            <w:tcBorders>
              <w:top w:val="single" w:sz="8" w:space="0" w:color="auto"/>
              <w:left w:val="nil"/>
              <w:bottom w:val="double" w:sz="6" w:space="0" w:color="auto"/>
              <w:right w:val="single" w:sz="8" w:space="0" w:color="auto"/>
            </w:tcBorders>
            <w:shd w:val="clear" w:color="000000" w:fill="0070C0"/>
            <w:hideMark/>
          </w:tcPr>
          <w:p w14:paraId="06B47363" w14:textId="77777777" w:rsidR="00296AED" w:rsidRPr="00296AED" w:rsidRDefault="00296AED" w:rsidP="00296AED">
            <w:pPr>
              <w:spacing w:before="0"/>
              <w:ind w:left="0"/>
              <w:jc w:val="center"/>
              <w:rPr>
                <w:rFonts w:ascii="Calibri" w:hAnsi="Calibri" w:cs="Calibri"/>
                <w:b/>
                <w:bCs/>
                <w:color w:val="FFFFFF"/>
                <w:sz w:val="20"/>
                <w:szCs w:val="20"/>
              </w:rPr>
            </w:pPr>
            <w:r w:rsidRPr="00296AED">
              <w:rPr>
                <w:rFonts w:ascii="Calibri" w:hAnsi="Calibri" w:cs="Calibri"/>
                <w:b/>
                <w:bCs/>
                <w:color w:val="FFFFFF"/>
                <w:sz w:val="20"/>
                <w:szCs w:val="20"/>
              </w:rPr>
              <w:t>Re-estimated (week)</w:t>
            </w:r>
          </w:p>
        </w:tc>
      </w:tr>
      <w:tr w:rsidR="00296AED" w:rsidRPr="00296AED" w14:paraId="06B4736B" w14:textId="77777777" w:rsidTr="00553255">
        <w:trPr>
          <w:trHeight w:val="315"/>
        </w:trPr>
        <w:tc>
          <w:tcPr>
            <w:tcW w:w="2137" w:type="dxa"/>
            <w:tcBorders>
              <w:top w:val="nil"/>
              <w:left w:val="single" w:sz="8" w:space="0" w:color="auto"/>
              <w:bottom w:val="nil"/>
              <w:right w:val="single" w:sz="4" w:space="0" w:color="auto"/>
            </w:tcBorders>
            <w:shd w:val="clear" w:color="auto" w:fill="auto"/>
            <w:noWrap/>
            <w:vAlign w:val="bottom"/>
            <w:hideMark/>
          </w:tcPr>
          <w:p w14:paraId="06B47365" w14:textId="77777777" w:rsidR="00296AED" w:rsidRPr="00296AED" w:rsidRDefault="00296AED" w:rsidP="00296AED">
            <w:pPr>
              <w:spacing w:before="0"/>
              <w:ind w:left="0"/>
              <w:rPr>
                <w:rFonts w:ascii="Calibri" w:hAnsi="Calibri" w:cs="Calibri"/>
                <w:bCs/>
                <w:color w:val="000000"/>
                <w:sz w:val="20"/>
                <w:szCs w:val="20"/>
              </w:rPr>
            </w:pPr>
            <w:r w:rsidRPr="00296AED">
              <w:rPr>
                <w:rFonts w:ascii="Calibri" w:hAnsi="Calibri" w:cs="Calibri"/>
                <w:bCs/>
                <w:color w:val="000000"/>
                <w:sz w:val="20"/>
                <w:szCs w:val="20"/>
              </w:rPr>
              <w:t>Sport (at least 1 pw)</w:t>
            </w:r>
          </w:p>
        </w:tc>
        <w:tc>
          <w:tcPr>
            <w:tcW w:w="1123" w:type="dxa"/>
            <w:tcBorders>
              <w:top w:val="nil"/>
              <w:left w:val="nil"/>
              <w:bottom w:val="nil"/>
              <w:right w:val="single" w:sz="4" w:space="0" w:color="auto"/>
            </w:tcBorders>
            <w:shd w:val="clear" w:color="auto" w:fill="auto"/>
            <w:noWrap/>
            <w:vAlign w:val="bottom"/>
            <w:hideMark/>
          </w:tcPr>
          <w:p w14:paraId="06B47366" w14:textId="77777777" w:rsidR="00296AED" w:rsidRPr="00296AED" w:rsidRDefault="00296AED" w:rsidP="00296AED">
            <w:pPr>
              <w:spacing w:before="0"/>
              <w:ind w:left="0"/>
              <w:jc w:val="center"/>
              <w:rPr>
                <w:rFonts w:ascii="Calibri" w:hAnsi="Calibri" w:cs="Calibri"/>
                <w:color w:val="000000"/>
                <w:sz w:val="20"/>
                <w:szCs w:val="20"/>
              </w:rPr>
            </w:pPr>
            <w:r w:rsidRPr="00296AED">
              <w:rPr>
                <w:rFonts w:ascii="Calibri" w:hAnsi="Calibri" w:cs="Calibri"/>
                <w:color w:val="000000"/>
                <w:sz w:val="20"/>
                <w:szCs w:val="20"/>
              </w:rPr>
              <w:t>0.025</w:t>
            </w:r>
          </w:p>
        </w:tc>
        <w:tc>
          <w:tcPr>
            <w:tcW w:w="1140" w:type="dxa"/>
            <w:tcBorders>
              <w:top w:val="nil"/>
              <w:left w:val="nil"/>
              <w:bottom w:val="nil"/>
              <w:right w:val="nil"/>
            </w:tcBorders>
            <w:shd w:val="clear" w:color="auto" w:fill="auto"/>
            <w:noWrap/>
            <w:vAlign w:val="bottom"/>
            <w:hideMark/>
          </w:tcPr>
          <w:p w14:paraId="06B47367" w14:textId="77777777" w:rsidR="00296AED" w:rsidRPr="00296AED" w:rsidRDefault="00296AED" w:rsidP="00296AED">
            <w:pPr>
              <w:spacing w:before="0"/>
              <w:ind w:left="0"/>
              <w:jc w:val="center"/>
              <w:rPr>
                <w:rFonts w:ascii="Calibri" w:hAnsi="Calibri" w:cs="Calibri"/>
                <w:bCs/>
                <w:sz w:val="20"/>
                <w:szCs w:val="20"/>
              </w:rPr>
            </w:pPr>
            <w:r w:rsidRPr="00296AED">
              <w:rPr>
                <w:rFonts w:ascii="Calibri" w:hAnsi="Calibri" w:cs="Calibri"/>
                <w:bCs/>
                <w:sz w:val="20"/>
                <w:szCs w:val="20"/>
              </w:rPr>
              <w:t>£11,000</w:t>
            </w:r>
          </w:p>
        </w:tc>
        <w:tc>
          <w:tcPr>
            <w:tcW w:w="1060" w:type="dxa"/>
            <w:tcBorders>
              <w:top w:val="nil"/>
              <w:left w:val="nil"/>
              <w:bottom w:val="nil"/>
              <w:right w:val="nil"/>
            </w:tcBorders>
            <w:shd w:val="clear" w:color="auto" w:fill="auto"/>
            <w:noWrap/>
            <w:vAlign w:val="bottom"/>
            <w:hideMark/>
          </w:tcPr>
          <w:p w14:paraId="06B47368" w14:textId="77777777" w:rsidR="00296AED" w:rsidRPr="00296AED" w:rsidRDefault="00296AED" w:rsidP="00296AED">
            <w:pPr>
              <w:spacing w:before="0"/>
              <w:ind w:left="0"/>
              <w:jc w:val="center"/>
              <w:rPr>
                <w:rFonts w:ascii="Calibri" w:hAnsi="Calibri" w:cs="Calibri"/>
                <w:bCs/>
                <w:sz w:val="20"/>
                <w:szCs w:val="20"/>
              </w:rPr>
            </w:pPr>
            <w:r w:rsidRPr="00296AED">
              <w:rPr>
                <w:rFonts w:ascii="Calibri" w:hAnsi="Calibri" w:cs="Calibri"/>
                <w:bCs/>
                <w:sz w:val="20"/>
                <w:szCs w:val="20"/>
              </w:rPr>
              <w:t>£212</w:t>
            </w:r>
          </w:p>
        </w:tc>
        <w:tc>
          <w:tcPr>
            <w:tcW w:w="1260" w:type="dxa"/>
            <w:tcBorders>
              <w:top w:val="nil"/>
              <w:left w:val="single" w:sz="4" w:space="0" w:color="auto"/>
              <w:bottom w:val="nil"/>
              <w:right w:val="nil"/>
            </w:tcBorders>
            <w:shd w:val="clear" w:color="auto" w:fill="auto"/>
            <w:noWrap/>
            <w:vAlign w:val="bottom"/>
            <w:hideMark/>
          </w:tcPr>
          <w:p w14:paraId="06B47369" w14:textId="77777777" w:rsidR="00296AED" w:rsidRPr="00296AED" w:rsidRDefault="00296AED" w:rsidP="00296AED">
            <w:pPr>
              <w:spacing w:before="0"/>
              <w:ind w:left="0"/>
              <w:jc w:val="center"/>
              <w:rPr>
                <w:rFonts w:ascii="Calibri" w:hAnsi="Calibri" w:cs="Calibri"/>
                <w:b/>
                <w:bCs/>
                <w:sz w:val="20"/>
                <w:szCs w:val="20"/>
              </w:rPr>
            </w:pPr>
            <w:r w:rsidRPr="00296AED">
              <w:rPr>
                <w:rFonts w:ascii="Calibri" w:hAnsi="Calibri" w:cs="Calibri"/>
                <w:b/>
                <w:bCs/>
                <w:sz w:val="20"/>
                <w:szCs w:val="20"/>
              </w:rPr>
              <w:t>£548</w:t>
            </w:r>
          </w:p>
        </w:tc>
        <w:tc>
          <w:tcPr>
            <w:tcW w:w="1360" w:type="dxa"/>
            <w:tcBorders>
              <w:top w:val="nil"/>
              <w:left w:val="nil"/>
              <w:bottom w:val="nil"/>
              <w:right w:val="single" w:sz="8" w:space="0" w:color="auto"/>
            </w:tcBorders>
            <w:shd w:val="clear" w:color="auto" w:fill="auto"/>
            <w:noWrap/>
            <w:vAlign w:val="bottom"/>
            <w:hideMark/>
          </w:tcPr>
          <w:p w14:paraId="06B4736A" w14:textId="77777777" w:rsidR="00296AED" w:rsidRPr="00296AED" w:rsidRDefault="00296AED" w:rsidP="00296AED">
            <w:pPr>
              <w:spacing w:before="0"/>
              <w:ind w:left="0"/>
              <w:jc w:val="center"/>
              <w:rPr>
                <w:rFonts w:ascii="Calibri" w:hAnsi="Calibri" w:cs="Calibri"/>
                <w:b/>
                <w:bCs/>
                <w:sz w:val="20"/>
                <w:szCs w:val="20"/>
              </w:rPr>
            </w:pPr>
            <w:r w:rsidRPr="00296AED">
              <w:rPr>
                <w:rFonts w:ascii="Calibri" w:hAnsi="Calibri" w:cs="Calibri"/>
                <w:b/>
                <w:bCs/>
                <w:sz w:val="20"/>
                <w:szCs w:val="20"/>
              </w:rPr>
              <w:t>£10.54</w:t>
            </w:r>
          </w:p>
        </w:tc>
      </w:tr>
      <w:tr w:rsidR="00296AED" w:rsidRPr="00296AED" w14:paraId="06B47372" w14:textId="77777777" w:rsidTr="00553255">
        <w:trPr>
          <w:trHeight w:val="315"/>
        </w:trPr>
        <w:tc>
          <w:tcPr>
            <w:tcW w:w="2137" w:type="dxa"/>
            <w:tcBorders>
              <w:top w:val="nil"/>
              <w:left w:val="single" w:sz="8" w:space="0" w:color="auto"/>
              <w:bottom w:val="single" w:sz="8" w:space="0" w:color="auto"/>
              <w:right w:val="single" w:sz="4" w:space="0" w:color="auto"/>
            </w:tcBorders>
            <w:shd w:val="clear" w:color="auto" w:fill="auto"/>
            <w:noWrap/>
            <w:vAlign w:val="bottom"/>
            <w:hideMark/>
          </w:tcPr>
          <w:p w14:paraId="06B4736C" w14:textId="77777777" w:rsidR="00296AED" w:rsidRPr="00296AED" w:rsidRDefault="00296AED" w:rsidP="00296AED">
            <w:pPr>
              <w:spacing w:before="0"/>
              <w:ind w:left="0"/>
              <w:rPr>
                <w:rFonts w:ascii="Calibri" w:hAnsi="Calibri" w:cs="Calibri"/>
                <w:bCs/>
                <w:color w:val="000000"/>
                <w:sz w:val="20"/>
                <w:szCs w:val="20"/>
              </w:rPr>
            </w:pPr>
            <w:r w:rsidRPr="00296AED">
              <w:rPr>
                <w:rFonts w:ascii="Calibri" w:hAnsi="Calibri" w:cs="Calibri"/>
                <w:bCs/>
                <w:color w:val="000000"/>
                <w:sz w:val="20"/>
                <w:szCs w:val="20"/>
              </w:rPr>
              <w:t>Cinema (at least 1 pw)</w:t>
            </w:r>
          </w:p>
        </w:tc>
        <w:tc>
          <w:tcPr>
            <w:tcW w:w="1123" w:type="dxa"/>
            <w:tcBorders>
              <w:top w:val="nil"/>
              <w:left w:val="nil"/>
              <w:bottom w:val="single" w:sz="8" w:space="0" w:color="auto"/>
              <w:right w:val="single" w:sz="4" w:space="0" w:color="auto"/>
            </w:tcBorders>
            <w:shd w:val="clear" w:color="auto" w:fill="auto"/>
            <w:noWrap/>
            <w:vAlign w:val="bottom"/>
            <w:hideMark/>
          </w:tcPr>
          <w:p w14:paraId="06B4736D" w14:textId="77777777" w:rsidR="00296AED" w:rsidRPr="00296AED" w:rsidRDefault="00296AED" w:rsidP="00296AED">
            <w:pPr>
              <w:spacing w:before="0"/>
              <w:ind w:left="0"/>
              <w:jc w:val="center"/>
              <w:rPr>
                <w:rFonts w:ascii="Calibri" w:hAnsi="Calibri" w:cs="Calibri"/>
                <w:color w:val="000000"/>
                <w:sz w:val="20"/>
                <w:szCs w:val="20"/>
              </w:rPr>
            </w:pPr>
            <w:r w:rsidRPr="00296AED">
              <w:rPr>
                <w:rFonts w:ascii="Calibri" w:hAnsi="Calibri" w:cs="Calibri"/>
                <w:color w:val="000000"/>
                <w:sz w:val="20"/>
                <w:szCs w:val="20"/>
              </w:rPr>
              <w:t>0.019</w:t>
            </w:r>
          </w:p>
        </w:tc>
        <w:tc>
          <w:tcPr>
            <w:tcW w:w="1140" w:type="dxa"/>
            <w:tcBorders>
              <w:top w:val="nil"/>
              <w:left w:val="nil"/>
              <w:bottom w:val="single" w:sz="8" w:space="0" w:color="auto"/>
              <w:right w:val="nil"/>
            </w:tcBorders>
            <w:shd w:val="clear" w:color="auto" w:fill="auto"/>
            <w:noWrap/>
            <w:vAlign w:val="bottom"/>
            <w:hideMark/>
          </w:tcPr>
          <w:p w14:paraId="06B4736E" w14:textId="77777777" w:rsidR="00296AED" w:rsidRPr="00296AED" w:rsidRDefault="00296AED" w:rsidP="00296AED">
            <w:pPr>
              <w:spacing w:before="0"/>
              <w:ind w:left="0"/>
              <w:jc w:val="center"/>
              <w:rPr>
                <w:rFonts w:ascii="Calibri" w:hAnsi="Calibri" w:cs="Calibri"/>
                <w:bCs/>
                <w:sz w:val="20"/>
                <w:szCs w:val="20"/>
              </w:rPr>
            </w:pPr>
            <w:r w:rsidRPr="00296AED">
              <w:rPr>
                <w:rFonts w:ascii="Calibri" w:hAnsi="Calibri" w:cs="Calibri"/>
                <w:bCs/>
                <w:sz w:val="20"/>
                <w:szCs w:val="20"/>
              </w:rPr>
              <w:t>£9,000</w:t>
            </w:r>
          </w:p>
        </w:tc>
        <w:tc>
          <w:tcPr>
            <w:tcW w:w="1060" w:type="dxa"/>
            <w:tcBorders>
              <w:top w:val="nil"/>
              <w:left w:val="nil"/>
              <w:bottom w:val="single" w:sz="8" w:space="0" w:color="auto"/>
              <w:right w:val="nil"/>
            </w:tcBorders>
            <w:shd w:val="clear" w:color="auto" w:fill="auto"/>
            <w:noWrap/>
            <w:vAlign w:val="bottom"/>
            <w:hideMark/>
          </w:tcPr>
          <w:p w14:paraId="06B4736F" w14:textId="77777777" w:rsidR="00296AED" w:rsidRPr="00296AED" w:rsidRDefault="00296AED" w:rsidP="00296AED">
            <w:pPr>
              <w:spacing w:before="0"/>
              <w:ind w:left="0"/>
              <w:jc w:val="center"/>
              <w:rPr>
                <w:rFonts w:ascii="Calibri" w:hAnsi="Calibri" w:cs="Calibri"/>
                <w:bCs/>
                <w:sz w:val="20"/>
                <w:szCs w:val="20"/>
              </w:rPr>
            </w:pPr>
            <w:r w:rsidRPr="00296AED">
              <w:rPr>
                <w:rFonts w:ascii="Calibri" w:hAnsi="Calibri" w:cs="Calibri"/>
                <w:bCs/>
                <w:sz w:val="20"/>
                <w:szCs w:val="20"/>
              </w:rPr>
              <w:t>£173</w:t>
            </w:r>
          </w:p>
        </w:tc>
        <w:tc>
          <w:tcPr>
            <w:tcW w:w="1260" w:type="dxa"/>
            <w:tcBorders>
              <w:top w:val="nil"/>
              <w:left w:val="single" w:sz="4" w:space="0" w:color="auto"/>
              <w:bottom w:val="single" w:sz="8" w:space="0" w:color="auto"/>
              <w:right w:val="nil"/>
            </w:tcBorders>
            <w:shd w:val="clear" w:color="auto" w:fill="auto"/>
            <w:noWrap/>
            <w:vAlign w:val="bottom"/>
            <w:hideMark/>
          </w:tcPr>
          <w:p w14:paraId="06B47370" w14:textId="77777777" w:rsidR="00296AED" w:rsidRPr="00296AED" w:rsidRDefault="00296AED" w:rsidP="00296AED">
            <w:pPr>
              <w:spacing w:before="0"/>
              <w:ind w:left="0"/>
              <w:jc w:val="center"/>
              <w:rPr>
                <w:rFonts w:ascii="Calibri" w:hAnsi="Calibri" w:cs="Calibri"/>
                <w:b/>
                <w:bCs/>
                <w:sz w:val="20"/>
                <w:szCs w:val="20"/>
              </w:rPr>
            </w:pPr>
            <w:r w:rsidRPr="00296AED">
              <w:rPr>
                <w:rFonts w:ascii="Calibri" w:hAnsi="Calibri" w:cs="Calibri"/>
                <w:b/>
                <w:bCs/>
                <w:sz w:val="20"/>
                <w:szCs w:val="20"/>
              </w:rPr>
              <w:t>£418</w:t>
            </w:r>
          </w:p>
        </w:tc>
        <w:tc>
          <w:tcPr>
            <w:tcW w:w="1360" w:type="dxa"/>
            <w:tcBorders>
              <w:top w:val="nil"/>
              <w:left w:val="nil"/>
              <w:bottom w:val="single" w:sz="8" w:space="0" w:color="auto"/>
              <w:right w:val="single" w:sz="8" w:space="0" w:color="auto"/>
            </w:tcBorders>
            <w:shd w:val="clear" w:color="auto" w:fill="auto"/>
            <w:noWrap/>
            <w:vAlign w:val="bottom"/>
            <w:hideMark/>
          </w:tcPr>
          <w:p w14:paraId="06B47371" w14:textId="77777777" w:rsidR="00296AED" w:rsidRPr="00296AED" w:rsidRDefault="00296AED" w:rsidP="00296AED">
            <w:pPr>
              <w:spacing w:before="0"/>
              <w:ind w:left="0"/>
              <w:jc w:val="center"/>
              <w:rPr>
                <w:rFonts w:ascii="Calibri" w:hAnsi="Calibri" w:cs="Calibri"/>
                <w:b/>
                <w:bCs/>
                <w:sz w:val="20"/>
                <w:szCs w:val="20"/>
              </w:rPr>
            </w:pPr>
            <w:r w:rsidRPr="00296AED">
              <w:rPr>
                <w:rFonts w:ascii="Calibri" w:hAnsi="Calibri" w:cs="Calibri"/>
                <w:b/>
                <w:bCs/>
                <w:sz w:val="20"/>
                <w:szCs w:val="20"/>
              </w:rPr>
              <w:t>£8.04</w:t>
            </w:r>
          </w:p>
        </w:tc>
      </w:tr>
    </w:tbl>
    <w:p w14:paraId="06B47373" w14:textId="77777777" w:rsidR="00296AED" w:rsidRPr="00296AED" w:rsidRDefault="00296AED" w:rsidP="00296AED">
      <w:pPr>
        <w:spacing w:before="0"/>
        <w:ind w:left="2160"/>
        <w:rPr>
          <w:rFonts w:ascii="Calibri" w:eastAsia="MS Mincho" w:hAnsi="Calibri" w:cs="Calibri"/>
          <w:lang w:eastAsia="en-US"/>
        </w:rPr>
      </w:pPr>
    </w:p>
    <w:p w14:paraId="06B47374"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We can make an informal test of the proposed methodology in this paper by looking at the value of cinema attendance because this activity is 'traded' in the market. The values in Table 5 are for people who go at least once per week, which is high, but let's assume here that on average these people go twice per week. This would give us a per cinema visit value of £86.50 from the CASE paper and £4.02 from our suggested methodology. Clearly the estimate of £4.02 seems more plausible and the value has been reduced considerably mainly due to the method applied here in estimating the effect of income on life satisfaction. The CASE programme work was based on best available methodology at the time, whereas the analysis here uses a different approach with lottery wins as an IV, which we believe is a more robust methodology. We note that the value should not equate to the price of a cinema ticket because the coefficient on cinema in Table 5 is </w:t>
      </w:r>
      <w:r w:rsidRPr="0079130D">
        <w:rPr>
          <w:rFonts w:eastAsia="MS Mincho" w:cs="Arial"/>
          <w:i/>
          <w:lang w:eastAsia="en-US"/>
        </w:rPr>
        <w:t>net</w:t>
      </w:r>
      <w:r w:rsidRPr="0079130D">
        <w:rPr>
          <w:rFonts w:eastAsia="MS Mincho" w:cs="Arial"/>
          <w:lang w:eastAsia="en-US"/>
        </w:rPr>
        <w:t xml:space="preserve"> of the </w:t>
      </w:r>
      <w:r w:rsidRPr="0079130D">
        <w:rPr>
          <w:rFonts w:eastAsia="MS Mincho" w:cs="Arial"/>
          <w:lang w:eastAsia="en-US"/>
        </w:rPr>
        <w:lastRenderedPageBreak/>
        <w:t>cost of the visit because ticket prices are not controlled for in the model. In general, coefficients in life satisfaction models should be seen as the impact over and above the costs involved if these costs have not been controlled for - we discuss this in more detail below. So £4.02 is an estimate of the consumer surplus involved in cinema visits - it is the value people receive from a cinema trip over and above the price they pay to enter. The findings in Table 5 provide support for the methodology used in this paper since they make good sense in relation to market prices for a well-functioning market like cinema.</w:t>
      </w:r>
    </w:p>
    <w:p w14:paraId="06B47375" w14:textId="77777777" w:rsidR="00296AED" w:rsidRPr="0079130D" w:rsidRDefault="00296AED" w:rsidP="00296AED">
      <w:pPr>
        <w:spacing w:before="0"/>
        <w:ind w:left="2160"/>
        <w:rPr>
          <w:rFonts w:eastAsia="MS Mincho" w:cs="Arial"/>
          <w:lang w:eastAsia="en-US"/>
        </w:rPr>
      </w:pPr>
    </w:p>
    <w:p w14:paraId="06B47376"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We note that (as we will see in Table 6) the value of doing sports is different when comparing the revised CASE results (£548 pa) and the results from the analysis of Understanding Society (£1,127 pa for all sports). This could be for a number of reasons. The main reason is likely to be that our ‘</w:t>
      </w:r>
      <w:r w:rsidRPr="0079130D">
        <w:rPr>
          <w:rFonts w:eastAsia="MS Mincho" w:cs="Arial"/>
          <w:i/>
          <w:lang w:eastAsia="en-US"/>
        </w:rPr>
        <w:t>All sports</w:t>
      </w:r>
      <w:r w:rsidRPr="0079130D">
        <w:rPr>
          <w:rFonts w:eastAsia="MS Mincho" w:cs="Arial"/>
          <w:lang w:eastAsia="en-US"/>
        </w:rPr>
        <w:t>’ variable does not include all types of sport that are undertaken by people and that are reported in the Understanding Society survey. We narrowed down the list of sports categories to those that are most relevant and important to the present study and therefore the sports variable used in CASE study includes a wider variety of sports – hence we cannot make a like-for-like comparison. Second, although the BHPS data (used in the CASE study) and the Understanding Society data (used in this study) are both representative of the UK population, they come from different time periods and the impacts of sport on wellbeing may have changed over time, although in this paper we assume that this is not the case for the impact of income on life satisfaction and we do not have any hypotheses why this might be the case for sports and life satisfaction. We stipulate the difference in value estimates, therefore, to be due to the different sports variable definitions used across the two studies.</w:t>
      </w:r>
    </w:p>
    <w:p w14:paraId="06B47377" w14:textId="77777777" w:rsidR="00296AED" w:rsidRPr="0079130D" w:rsidRDefault="00296AED" w:rsidP="00296AED">
      <w:pPr>
        <w:spacing w:before="0"/>
        <w:ind w:left="2160"/>
        <w:rPr>
          <w:rFonts w:eastAsia="MS Mincho" w:cs="Arial"/>
          <w:lang w:eastAsia="en-US"/>
        </w:rPr>
      </w:pPr>
    </w:p>
    <w:p w14:paraId="06B47378"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In Table 6 we present the valuation estimates from our analysis of the Understanding Society dataset, based on the impact estimates shown in Table 3.</w:t>
      </w:r>
    </w:p>
    <w:p w14:paraId="06B47379" w14:textId="77777777" w:rsidR="00296AED" w:rsidRPr="0079130D" w:rsidRDefault="00296AED" w:rsidP="00296AED">
      <w:pPr>
        <w:spacing w:before="0"/>
        <w:ind w:left="2160"/>
        <w:rPr>
          <w:rFonts w:eastAsia="MS Mincho" w:cs="Arial"/>
          <w:b/>
          <w:lang w:eastAsia="en-US"/>
        </w:rPr>
      </w:pPr>
    </w:p>
    <w:p w14:paraId="52E76FE4" w14:textId="77777777" w:rsidR="0079130D" w:rsidRDefault="0079130D" w:rsidP="00296AED">
      <w:pPr>
        <w:spacing w:before="0"/>
        <w:ind w:left="2160"/>
        <w:rPr>
          <w:rFonts w:eastAsia="MS Mincho" w:cs="Arial"/>
          <w:b/>
          <w:lang w:eastAsia="en-US"/>
        </w:rPr>
      </w:pPr>
    </w:p>
    <w:p w14:paraId="13BC641C" w14:textId="77777777" w:rsidR="0079130D" w:rsidRDefault="0079130D" w:rsidP="00296AED">
      <w:pPr>
        <w:spacing w:before="0"/>
        <w:ind w:left="2160"/>
        <w:rPr>
          <w:rFonts w:eastAsia="MS Mincho" w:cs="Arial"/>
          <w:b/>
          <w:lang w:eastAsia="en-US"/>
        </w:rPr>
      </w:pPr>
    </w:p>
    <w:p w14:paraId="3D593753" w14:textId="77777777" w:rsidR="0079130D" w:rsidRDefault="0079130D" w:rsidP="00296AED">
      <w:pPr>
        <w:spacing w:before="0"/>
        <w:ind w:left="2160"/>
        <w:rPr>
          <w:rFonts w:eastAsia="MS Mincho" w:cs="Arial"/>
          <w:b/>
          <w:lang w:eastAsia="en-US"/>
        </w:rPr>
      </w:pPr>
    </w:p>
    <w:p w14:paraId="22AC4AFD" w14:textId="77777777" w:rsidR="0079130D" w:rsidRDefault="0079130D" w:rsidP="00296AED">
      <w:pPr>
        <w:spacing w:before="0"/>
        <w:ind w:left="2160"/>
        <w:rPr>
          <w:rFonts w:eastAsia="MS Mincho" w:cs="Arial"/>
          <w:b/>
          <w:lang w:eastAsia="en-US"/>
        </w:rPr>
      </w:pPr>
    </w:p>
    <w:p w14:paraId="46C58B99" w14:textId="77777777" w:rsidR="0079130D" w:rsidRDefault="0079130D" w:rsidP="00296AED">
      <w:pPr>
        <w:spacing w:before="0"/>
        <w:ind w:left="2160"/>
        <w:rPr>
          <w:rFonts w:eastAsia="MS Mincho" w:cs="Arial"/>
          <w:b/>
          <w:lang w:eastAsia="en-US"/>
        </w:rPr>
      </w:pPr>
    </w:p>
    <w:p w14:paraId="2389558F" w14:textId="77777777" w:rsidR="0079130D" w:rsidRDefault="0079130D" w:rsidP="00296AED">
      <w:pPr>
        <w:spacing w:before="0"/>
        <w:ind w:left="2160"/>
        <w:rPr>
          <w:rFonts w:eastAsia="MS Mincho" w:cs="Arial"/>
          <w:b/>
          <w:lang w:eastAsia="en-US"/>
        </w:rPr>
      </w:pPr>
    </w:p>
    <w:p w14:paraId="66A414C8" w14:textId="77777777" w:rsidR="0079130D" w:rsidRDefault="0079130D" w:rsidP="00296AED">
      <w:pPr>
        <w:spacing w:before="0"/>
        <w:ind w:left="2160"/>
        <w:rPr>
          <w:rFonts w:eastAsia="MS Mincho" w:cs="Arial"/>
          <w:b/>
          <w:lang w:eastAsia="en-US"/>
        </w:rPr>
      </w:pPr>
    </w:p>
    <w:p w14:paraId="3FBE2196" w14:textId="77777777" w:rsidR="0079130D" w:rsidRDefault="0079130D" w:rsidP="00296AED">
      <w:pPr>
        <w:spacing w:before="0"/>
        <w:ind w:left="2160"/>
        <w:rPr>
          <w:rFonts w:eastAsia="MS Mincho" w:cs="Arial"/>
          <w:b/>
          <w:lang w:eastAsia="en-US"/>
        </w:rPr>
      </w:pPr>
    </w:p>
    <w:p w14:paraId="7C1B44AA" w14:textId="77777777" w:rsidR="0079130D" w:rsidRDefault="0079130D" w:rsidP="00296AED">
      <w:pPr>
        <w:spacing w:before="0"/>
        <w:ind w:left="2160"/>
        <w:rPr>
          <w:rFonts w:eastAsia="MS Mincho" w:cs="Arial"/>
          <w:b/>
          <w:lang w:eastAsia="en-US"/>
        </w:rPr>
      </w:pPr>
    </w:p>
    <w:p w14:paraId="3D263168" w14:textId="77777777" w:rsidR="0079130D" w:rsidRDefault="0079130D" w:rsidP="00296AED">
      <w:pPr>
        <w:spacing w:before="0"/>
        <w:ind w:left="2160"/>
        <w:rPr>
          <w:rFonts w:eastAsia="MS Mincho" w:cs="Arial"/>
          <w:b/>
          <w:lang w:eastAsia="en-US"/>
        </w:rPr>
      </w:pPr>
    </w:p>
    <w:p w14:paraId="7D424229" w14:textId="77777777" w:rsidR="0079130D" w:rsidRDefault="0079130D" w:rsidP="00296AED">
      <w:pPr>
        <w:spacing w:before="0"/>
        <w:ind w:left="2160"/>
        <w:rPr>
          <w:rFonts w:eastAsia="MS Mincho" w:cs="Arial"/>
          <w:b/>
          <w:lang w:eastAsia="en-US"/>
        </w:rPr>
      </w:pPr>
    </w:p>
    <w:p w14:paraId="71F127DC" w14:textId="77777777" w:rsidR="0079130D" w:rsidRDefault="0079130D" w:rsidP="00296AED">
      <w:pPr>
        <w:spacing w:before="0"/>
        <w:ind w:left="2160"/>
        <w:rPr>
          <w:rFonts w:eastAsia="MS Mincho" w:cs="Arial"/>
          <w:b/>
          <w:lang w:eastAsia="en-US"/>
        </w:rPr>
      </w:pPr>
    </w:p>
    <w:p w14:paraId="4B93249F" w14:textId="77777777" w:rsidR="0079130D" w:rsidRDefault="0079130D" w:rsidP="00296AED">
      <w:pPr>
        <w:spacing w:before="0"/>
        <w:ind w:left="2160"/>
        <w:rPr>
          <w:rFonts w:eastAsia="MS Mincho" w:cs="Arial"/>
          <w:b/>
          <w:lang w:eastAsia="en-US"/>
        </w:rPr>
      </w:pPr>
    </w:p>
    <w:p w14:paraId="66F0D1C8" w14:textId="77777777" w:rsidR="0079130D" w:rsidRDefault="0079130D" w:rsidP="00296AED">
      <w:pPr>
        <w:spacing w:before="0"/>
        <w:ind w:left="2160"/>
        <w:rPr>
          <w:rFonts w:eastAsia="MS Mincho" w:cs="Arial"/>
          <w:b/>
          <w:lang w:eastAsia="en-US"/>
        </w:rPr>
      </w:pPr>
    </w:p>
    <w:p w14:paraId="3FACE6AF" w14:textId="77777777" w:rsidR="0079130D" w:rsidRDefault="0079130D" w:rsidP="00296AED">
      <w:pPr>
        <w:spacing w:before="0"/>
        <w:ind w:left="2160"/>
        <w:rPr>
          <w:rFonts w:eastAsia="MS Mincho" w:cs="Arial"/>
          <w:b/>
          <w:lang w:eastAsia="en-US"/>
        </w:rPr>
      </w:pPr>
    </w:p>
    <w:p w14:paraId="671A992B" w14:textId="77777777" w:rsidR="0079130D" w:rsidRDefault="0079130D" w:rsidP="00296AED">
      <w:pPr>
        <w:spacing w:before="0"/>
        <w:ind w:left="2160"/>
        <w:rPr>
          <w:rFonts w:eastAsia="MS Mincho" w:cs="Arial"/>
          <w:b/>
          <w:lang w:eastAsia="en-US"/>
        </w:rPr>
      </w:pPr>
    </w:p>
    <w:p w14:paraId="0272FF69" w14:textId="77777777" w:rsidR="0079130D" w:rsidRDefault="0079130D" w:rsidP="00296AED">
      <w:pPr>
        <w:spacing w:before="0"/>
        <w:ind w:left="2160"/>
        <w:rPr>
          <w:rFonts w:eastAsia="MS Mincho" w:cs="Arial"/>
          <w:b/>
          <w:lang w:eastAsia="en-US"/>
        </w:rPr>
      </w:pPr>
    </w:p>
    <w:p w14:paraId="06B4737A" w14:textId="77777777" w:rsidR="00296AED" w:rsidRPr="0079130D" w:rsidRDefault="00296AED" w:rsidP="00296AED">
      <w:pPr>
        <w:spacing w:before="0"/>
        <w:ind w:left="2160"/>
        <w:rPr>
          <w:rFonts w:eastAsia="MS Mincho" w:cs="Arial"/>
          <w:b/>
          <w:lang w:eastAsia="en-US"/>
        </w:rPr>
      </w:pPr>
      <w:r w:rsidRPr="0079130D">
        <w:rPr>
          <w:rFonts w:eastAsia="MS Mincho" w:cs="Arial"/>
          <w:b/>
          <w:lang w:eastAsia="en-US"/>
        </w:rPr>
        <w:lastRenderedPageBreak/>
        <w:t>Table 6 Value of engagement (per person) in culture and sports from Understanding Society</w:t>
      </w:r>
    </w:p>
    <w:tbl>
      <w:tblPr>
        <w:tblW w:w="8017" w:type="dxa"/>
        <w:tblInd w:w="1893" w:type="dxa"/>
        <w:tblLook w:val="04A0" w:firstRow="1" w:lastRow="0" w:firstColumn="1" w:lastColumn="0" w:noHBand="0" w:noVBand="1"/>
      </w:tblPr>
      <w:tblGrid>
        <w:gridCol w:w="2860"/>
        <w:gridCol w:w="1206"/>
        <w:gridCol w:w="851"/>
        <w:gridCol w:w="1480"/>
        <w:gridCol w:w="1620"/>
      </w:tblGrid>
      <w:tr w:rsidR="00296AED" w:rsidRPr="00296AED" w14:paraId="06B47380" w14:textId="77777777" w:rsidTr="00553255">
        <w:trPr>
          <w:trHeight w:val="315"/>
        </w:trPr>
        <w:tc>
          <w:tcPr>
            <w:tcW w:w="2860" w:type="dxa"/>
            <w:tcBorders>
              <w:top w:val="single" w:sz="8" w:space="0" w:color="auto"/>
              <w:left w:val="single" w:sz="8" w:space="0" w:color="auto"/>
              <w:bottom w:val="double" w:sz="6" w:space="0" w:color="auto"/>
              <w:right w:val="nil"/>
            </w:tcBorders>
            <w:shd w:val="clear" w:color="000000" w:fill="0070C0"/>
            <w:noWrap/>
            <w:vAlign w:val="bottom"/>
            <w:hideMark/>
          </w:tcPr>
          <w:p w14:paraId="06B4737B"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Model &amp; variables</w:t>
            </w:r>
          </w:p>
        </w:tc>
        <w:tc>
          <w:tcPr>
            <w:tcW w:w="1206"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06B4737C"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Coefficient</w:t>
            </w:r>
          </w:p>
        </w:tc>
        <w:tc>
          <w:tcPr>
            <w:tcW w:w="851" w:type="dxa"/>
            <w:tcBorders>
              <w:top w:val="single" w:sz="8" w:space="0" w:color="auto"/>
              <w:left w:val="nil"/>
              <w:bottom w:val="double" w:sz="6" w:space="0" w:color="auto"/>
              <w:right w:val="nil"/>
            </w:tcBorders>
            <w:shd w:val="clear" w:color="000000" w:fill="0070C0"/>
            <w:noWrap/>
            <w:vAlign w:val="bottom"/>
            <w:hideMark/>
          </w:tcPr>
          <w:p w14:paraId="06B4737D"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S.E.</w:t>
            </w:r>
          </w:p>
        </w:tc>
        <w:tc>
          <w:tcPr>
            <w:tcW w:w="1480" w:type="dxa"/>
            <w:tcBorders>
              <w:top w:val="single" w:sz="8" w:space="0" w:color="auto"/>
              <w:left w:val="nil"/>
              <w:bottom w:val="double" w:sz="6" w:space="0" w:color="auto"/>
              <w:right w:val="nil"/>
            </w:tcBorders>
            <w:shd w:val="clear" w:color="000000" w:fill="0070C0"/>
            <w:noWrap/>
            <w:vAlign w:val="bottom"/>
            <w:hideMark/>
          </w:tcPr>
          <w:p w14:paraId="06B4737E"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Value (annual)</w:t>
            </w:r>
          </w:p>
        </w:tc>
        <w:tc>
          <w:tcPr>
            <w:tcW w:w="1620" w:type="dxa"/>
            <w:tcBorders>
              <w:top w:val="single" w:sz="8" w:space="0" w:color="auto"/>
              <w:left w:val="single" w:sz="4" w:space="0" w:color="auto"/>
              <w:bottom w:val="double" w:sz="6" w:space="0" w:color="auto"/>
              <w:right w:val="single" w:sz="8" w:space="0" w:color="auto"/>
            </w:tcBorders>
            <w:shd w:val="clear" w:color="000000" w:fill="0070C0"/>
            <w:noWrap/>
            <w:vAlign w:val="bottom"/>
            <w:hideMark/>
          </w:tcPr>
          <w:p w14:paraId="06B4737F"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Value (monthly)</w:t>
            </w:r>
          </w:p>
        </w:tc>
      </w:tr>
      <w:tr w:rsidR="00296AED" w:rsidRPr="00296AED" w14:paraId="06B47386" w14:textId="77777777" w:rsidTr="00553255">
        <w:trPr>
          <w:trHeight w:val="315"/>
        </w:trPr>
        <w:tc>
          <w:tcPr>
            <w:tcW w:w="2860" w:type="dxa"/>
            <w:tcBorders>
              <w:top w:val="nil"/>
              <w:left w:val="single" w:sz="8" w:space="0" w:color="auto"/>
              <w:bottom w:val="single" w:sz="4" w:space="0" w:color="auto"/>
              <w:right w:val="nil"/>
            </w:tcBorders>
            <w:shd w:val="clear" w:color="000000" w:fill="0070C0"/>
            <w:noWrap/>
            <w:vAlign w:val="bottom"/>
            <w:hideMark/>
          </w:tcPr>
          <w:p w14:paraId="06B47381"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Visits (8.1)</w:t>
            </w:r>
          </w:p>
        </w:tc>
        <w:tc>
          <w:tcPr>
            <w:tcW w:w="1206" w:type="dxa"/>
            <w:tcBorders>
              <w:top w:val="nil"/>
              <w:left w:val="single" w:sz="4" w:space="0" w:color="auto"/>
              <w:bottom w:val="single" w:sz="4" w:space="0" w:color="auto"/>
              <w:right w:val="single" w:sz="4" w:space="0" w:color="auto"/>
            </w:tcBorders>
            <w:shd w:val="clear" w:color="000000" w:fill="0070C0"/>
            <w:noWrap/>
            <w:vAlign w:val="bottom"/>
            <w:hideMark/>
          </w:tcPr>
          <w:p w14:paraId="06B47382"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851" w:type="dxa"/>
            <w:tcBorders>
              <w:top w:val="nil"/>
              <w:left w:val="nil"/>
              <w:bottom w:val="single" w:sz="4" w:space="0" w:color="auto"/>
              <w:right w:val="nil"/>
            </w:tcBorders>
            <w:shd w:val="clear" w:color="000000" w:fill="0070C0"/>
            <w:noWrap/>
            <w:vAlign w:val="bottom"/>
            <w:hideMark/>
          </w:tcPr>
          <w:p w14:paraId="06B47383"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1480" w:type="dxa"/>
            <w:tcBorders>
              <w:top w:val="nil"/>
              <w:left w:val="nil"/>
              <w:bottom w:val="single" w:sz="4" w:space="0" w:color="auto"/>
              <w:right w:val="nil"/>
            </w:tcBorders>
            <w:shd w:val="clear" w:color="000000" w:fill="0070C0"/>
            <w:noWrap/>
            <w:vAlign w:val="bottom"/>
            <w:hideMark/>
          </w:tcPr>
          <w:p w14:paraId="06B47384"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1620" w:type="dxa"/>
            <w:tcBorders>
              <w:top w:val="nil"/>
              <w:left w:val="single" w:sz="4" w:space="0" w:color="auto"/>
              <w:bottom w:val="single" w:sz="4" w:space="0" w:color="auto"/>
              <w:right w:val="single" w:sz="8" w:space="0" w:color="auto"/>
            </w:tcBorders>
            <w:shd w:val="clear" w:color="000000" w:fill="0070C0"/>
            <w:noWrap/>
            <w:vAlign w:val="bottom"/>
            <w:hideMark/>
          </w:tcPr>
          <w:p w14:paraId="06B47385"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r>
      <w:tr w:rsidR="00296AED" w:rsidRPr="00296AED" w14:paraId="06B4738C"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87"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Visit libraries frequently</w:t>
            </w:r>
          </w:p>
        </w:tc>
        <w:tc>
          <w:tcPr>
            <w:tcW w:w="1206" w:type="dxa"/>
            <w:tcBorders>
              <w:top w:val="nil"/>
              <w:left w:val="single" w:sz="4" w:space="0" w:color="auto"/>
              <w:bottom w:val="nil"/>
              <w:right w:val="single" w:sz="4" w:space="0" w:color="auto"/>
            </w:tcBorders>
            <w:shd w:val="clear" w:color="auto" w:fill="auto"/>
            <w:noWrap/>
            <w:vAlign w:val="bottom"/>
            <w:hideMark/>
          </w:tcPr>
          <w:p w14:paraId="06B47388"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0.063**</w:t>
            </w:r>
          </w:p>
        </w:tc>
        <w:tc>
          <w:tcPr>
            <w:tcW w:w="851" w:type="dxa"/>
            <w:tcBorders>
              <w:top w:val="nil"/>
              <w:left w:val="nil"/>
              <w:bottom w:val="nil"/>
              <w:right w:val="nil"/>
            </w:tcBorders>
            <w:shd w:val="clear" w:color="auto" w:fill="auto"/>
            <w:noWrap/>
            <w:vAlign w:val="bottom"/>
            <w:hideMark/>
          </w:tcPr>
          <w:p w14:paraId="06B47389"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(0.032)</w:t>
            </w:r>
          </w:p>
        </w:tc>
        <w:tc>
          <w:tcPr>
            <w:tcW w:w="1480" w:type="dxa"/>
            <w:tcBorders>
              <w:top w:val="nil"/>
              <w:left w:val="nil"/>
              <w:bottom w:val="nil"/>
              <w:right w:val="nil"/>
            </w:tcBorders>
            <w:shd w:val="clear" w:color="auto" w:fill="auto"/>
            <w:noWrap/>
            <w:vAlign w:val="bottom"/>
            <w:hideMark/>
          </w:tcPr>
          <w:p w14:paraId="06B4738A"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£1,359</w:t>
            </w:r>
          </w:p>
        </w:tc>
        <w:tc>
          <w:tcPr>
            <w:tcW w:w="1620" w:type="dxa"/>
            <w:tcBorders>
              <w:top w:val="nil"/>
              <w:left w:val="single" w:sz="4" w:space="0" w:color="auto"/>
              <w:bottom w:val="nil"/>
              <w:right w:val="single" w:sz="8" w:space="0" w:color="auto"/>
            </w:tcBorders>
            <w:shd w:val="clear" w:color="auto" w:fill="auto"/>
            <w:noWrap/>
            <w:vAlign w:val="bottom"/>
            <w:hideMark/>
          </w:tcPr>
          <w:p w14:paraId="06B4738B"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£113</w:t>
            </w:r>
          </w:p>
        </w:tc>
      </w:tr>
      <w:tr w:rsidR="00296AED" w:rsidRPr="00296AED" w14:paraId="06B47392" w14:textId="77777777" w:rsidTr="00553255">
        <w:trPr>
          <w:trHeight w:val="300"/>
        </w:trPr>
        <w:tc>
          <w:tcPr>
            <w:tcW w:w="2860" w:type="dxa"/>
            <w:tcBorders>
              <w:top w:val="nil"/>
              <w:left w:val="single" w:sz="8" w:space="0" w:color="auto"/>
              <w:bottom w:val="single" w:sz="4" w:space="0" w:color="auto"/>
              <w:right w:val="nil"/>
            </w:tcBorders>
            <w:shd w:val="clear" w:color="000000" w:fill="0070C0"/>
            <w:noWrap/>
            <w:vAlign w:val="bottom"/>
            <w:hideMark/>
          </w:tcPr>
          <w:p w14:paraId="06B4738D"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Sports</w:t>
            </w:r>
          </w:p>
        </w:tc>
        <w:tc>
          <w:tcPr>
            <w:tcW w:w="1206" w:type="dxa"/>
            <w:tcBorders>
              <w:top w:val="nil"/>
              <w:left w:val="single" w:sz="4" w:space="0" w:color="auto"/>
              <w:bottom w:val="single" w:sz="4" w:space="0" w:color="auto"/>
              <w:right w:val="single" w:sz="4" w:space="0" w:color="auto"/>
            </w:tcBorders>
            <w:shd w:val="clear" w:color="000000" w:fill="0070C0"/>
            <w:noWrap/>
            <w:vAlign w:val="bottom"/>
            <w:hideMark/>
          </w:tcPr>
          <w:p w14:paraId="06B4738E"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851" w:type="dxa"/>
            <w:tcBorders>
              <w:top w:val="nil"/>
              <w:left w:val="nil"/>
              <w:bottom w:val="single" w:sz="4" w:space="0" w:color="auto"/>
              <w:right w:val="nil"/>
            </w:tcBorders>
            <w:shd w:val="clear" w:color="000000" w:fill="0070C0"/>
            <w:noWrap/>
            <w:vAlign w:val="bottom"/>
            <w:hideMark/>
          </w:tcPr>
          <w:p w14:paraId="06B4738F"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1480" w:type="dxa"/>
            <w:tcBorders>
              <w:top w:val="single" w:sz="4" w:space="0" w:color="auto"/>
              <w:left w:val="nil"/>
              <w:bottom w:val="single" w:sz="4" w:space="0" w:color="auto"/>
              <w:right w:val="nil"/>
            </w:tcBorders>
            <w:shd w:val="clear" w:color="000000" w:fill="0070C0"/>
            <w:noWrap/>
            <w:vAlign w:val="bottom"/>
            <w:hideMark/>
          </w:tcPr>
          <w:p w14:paraId="06B47390"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1620" w:type="dxa"/>
            <w:tcBorders>
              <w:top w:val="single" w:sz="4" w:space="0" w:color="auto"/>
              <w:left w:val="single" w:sz="4" w:space="0" w:color="auto"/>
              <w:bottom w:val="single" w:sz="4" w:space="0" w:color="auto"/>
              <w:right w:val="single" w:sz="8" w:space="0" w:color="auto"/>
            </w:tcBorders>
            <w:shd w:val="clear" w:color="000000" w:fill="0070C0"/>
            <w:noWrap/>
            <w:vAlign w:val="bottom"/>
            <w:hideMark/>
          </w:tcPr>
          <w:p w14:paraId="06B47391"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r>
      <w:tr w:rsidR="00296AED" w:rsidRPr="00296AED" w14:paraId="06B47398"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93"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All sports</w:t>
            </w:r>
          </w:p>
        </w:tc>
        <w:tc>
          <w:tcPr>
            <w:tcW w:w="1206" w:type="dxa"/>
            <w:tcBorders>
              <w:top w:val="nil"/>
              <w:left w:val="single" w:sz="4" w:space="0" w:color="auto"/>
              <w:bottom w:val="nil"/>
              <w:right w:val="single" w:sz="4" w:space="0" w:color="auto"/>
            </w:tcBorders>
            <w:shd w:val="clear" w:color="auto" w:fill="auto"/>
            <w:noWrap/>
            <w:vAlign w:val="bottom"/>
            <w:hideMark/>
          </w:tcPr>
          <w:p w14:paraId="06B47394"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0.052***</w:t>
            </w:r>
          </w:p>
        </w:tc>
        <w:tc>
          <w:tcPr>
            <w:tcW w:w="851" w:type="dxa"/>
            <w:tcBorders>
              <w:top w:val="nil"/>
              <w:left w:val="nil"/>
              <w:bottom w:val="nil"/>
              <w:right w:val="nil"/>
            </w:tcBorders>
            <w:shd w:val="clear" w:color="auto" w:fill="auto"/>
            <w:noWrap/>
            <w:vAlign w:val="bottom"/>
            <w:hideMark/>
          </w:tcPr>
          <w:p w14:paraId="06B47395"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(0.017)</w:t>
            </w:r>
          </w:p>
        </w:tc>
        <w:tc>
          <w:tcPr>
            <w:tcW w:w="1480" w:type="dxa"/>
            <w:tcBorders>
              <w:top w:val="nil"/>
              <w:left w:val="nil"/>
              <w:bottom w:val="nil"/>
              <w:right w:val="nil"/>
            </w:tcBorders>
            <w:shd w:val="clear" w:color="auto" w:fill="auto"/>
            <w:noWrap/>
            <w:vAlign w:val="bottom"/>
            <w:hideMark/>
          </w:tcPr>
          <w:p w14:paraId="06B47396"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£1,127</w:t>
            </w:r>
          </w:p>
        </w:tc>
        <w:tc>
          <w:tcPr>
            <w:tcW w:w="1620" w:type="dxa"/>
            <w:tcBorders>
              <w:top w:val="nil"/>
              <w:left w:val="single" w:sz="4" w:space="0" w:color="auto"/>
              <w:bottom w:val="nil"/>
              <w:right w:val="single" w:sz="8" w:space="0" w:color="auto"/>
            </w:tcBorders>
            <w:shd w:val="clear" w:color="auto" w:fill="auto"/>
            <w:noWrap/>
            <w:vAlign w:val="bottom"/>
            <w:hideMark/>
          </w:tcPr>
          <w:p w14:paraId="06B47397"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£94</w:t>
            </w:r>
          </w:p>
        </w:tc>
      </w:tr>
      <w:tr w:rsidR="00296AED" w:rsidRPr="00296AED" w14:paraId="06B4739E"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99"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Team sports</w:t>
            </w:r>
          </w:p>
        </w:tc>
        <w:tc>
          <w:tcPr>
            <w:tcW w:w="1206" w:type="dxa"/>
            <w:tcBorders>
              <w:top w:val="nil"/>
              <w:left w:val="single" w:sz="4" w:space="0" w:color="auto"/>
              <w:bottom w:val="nil"/>
              <w:right w:val="single" w:sz="4" w:space="0" w:color="auto"/>
            </w:tcBorders>
            <w:shd w:val="clear" w:color="auto" w:fill="auto"/>
            <w:noWrap/>
            <w:vAlign w:val="bottom"/>
            <w:hideMark/>
          </w:tcPr>
          <w:p w14:paraId="06B4739A"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0.052***</w:t>
            </w:r>
          </w:p>
        </w:tc>
        <w:tc>
          <w:tcPr>
            <w:tcW w:w="851" w:type="dxa"/>
            <w:tcBorders>
              <w:top w:val="nil"/>
              <w:left w:val="nil"/>
              <w:bottom w:val="nil"/>
              <w:right w:val="nil"/>
            </w:tcBorders>
            <w:shd w:val="clear" w:color="auto" w:fill="auto"/>
            <w:noWrap/>
            <w:vAlign w:val="bottom"/>
            <w:hideMark/>
          </w:tcPr>
          <w:p w14:paraId="06B4739B"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(0.020)</w:t>
            </w:r>
          </w:p>
        </w:tc>
        <w:tc>
          <w:tcPr>
            <w:tcW w:w="1480" w:type="dxa"/>
            <w:tcBorders>
              <w:top w:val="nil"/>
              <w:left w:val="nil"/>
              <w:bottom w:val="nil"/>
              <w:right w:val="nil"/>
            </w:tcBorders>
            <w:shd w:val="clear" w:color="auto" w:fill="auto"/>
            <w:noWrap/>
            <w:vAlign w:val="bottom"/>
            <w:hideMark/>
          </w:tcPr>
          <w:p w14:paraId="06B4739C"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£1,127</w:t>
            </w:r>
          </w:p>
        </w:tc>
        <w:tc>
          <w:tcPr>
            <w:tcW w:w="1620" w:type="dxa"/>
            <w:tcBorders>
              <w:top w:val="nil"/>
              <w:left w:val="single" w:sz="4" w:space="0" w:color="auto"/>
              <w:bottom w:val="nil"/>
              <w:right w:val="single" w:sz="8" w:space="0" w:color="auto"/>
            </w:tcBorders>
            <w:shd w:val="clear" w:color="auto" w:fill="auto"/>
            <w:noWrap/>
            <w:vAlign w:val="bottom"/>
            <w:hideMark/>
          </w:tcPr>
          <w:p w14:paraId="06B4739D"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£94</w:t>
            </w:r>
          </w:p>
        </w:tc>
      </w:tr>
      <w:tr w:rsidR="00296AED" w:rsidRPr="00296AED" w14:paraId="06B473A4"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9F"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Individual sports</w:t>
            </w:r>
          </w:p>
        </w:tc>
        <w:tc>
          <w:tcPr>
            <w:tcW w:w="1206" w:type="dxa"/>
            <w:tcBorders>
              <w:top w:val="nil"/>
              <w:left w:val="single" w:sz="4" w:space="0" w:color="auto"/>
              <w:bottom w:val="nil"/>
              <w:right w:val="single" w:sz="4" w:space="0" w:color="auto"/>
            </w:tcBorders>
            <w:shd w:val="clear" w:color="auto" w:fill="auto"/>
            <w:noWrap/>
            <w:vAlign w:val="bottom"/>
            <w:hideMark/>
          </w:tcPr>
          <w:p w14:paraId="06B473A0"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0.038**</w:t>
            </w:r>
          </w:p>
        </w:tc>
        <w:tc>
          <w:tcPr>
            <w:tcW w:w="851" w:type="dxa"/>
            <w:tcBorders>
              <w:top w:val="nil"/>
              <w:left w:val="nil"/>
              <w:bottom w:val="nil"/>
              <w:right w:val="nil"/>
            </w:tcBorders>
            <w:shd w:val="clear" w:color="auto" w:fill="auto"/>
            <w:noWrap/>
            <w:vAlign w:val="bottom"/>
            <w:hideMark/>
          </w:tcPr>
          <w:p w14:paraId="06B473A1"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(0.017)</w:t>
            </w:r>
          </w:p>
        </w:tc>
        <w:tc>
          <w:tcPr>
            <w:tcW w:w="1480" w:type="dxa"/>
            <w:tcBorders>
              <w:top w:val="nil"/>
              <w:left w:val="nil"/>
              <w:bottom w:val="nil"/>
              <w:right w:val="nil"/>
            </w:tcBorders>
            <w:shd w:val="clear" w:color="auto" w:fill="auto"/>
            <w:noWrap/>
            <w:vAlign w:val="bottom"/>
            <w:hideMark/>
          </w:tcPr>
          <w:p w14:paraId="06B473A2"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£828</w:t>
            </w:r>
          </w:p>
        </w:tc>
        <w:tc>
          <w:tcPr>
            <w:tcW w:w="1620" w:type="dxa"/>
            <w:tcBorders>
              <w:top w:val="nil"/>
              <w:left w:val="single" w:sz="4" w:space="0" w:color="auto"/>
              <w:bottom w:val="nil"/>
              <w:right w:val="single" w:sz="8" w:space="0" w:color="auto"/>
            </w:tcBorders>
            <w:shd w:val="clear" w:color="auto" w:fill="auto"/>
            <w:noWrap/>
            <w:vAlign w:val="bottom"/>
            <w:hideMark/>
          </w:tcPr>
          <w:p w14:paraId="06B473A3"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£69</w:t>
            </w:r>
          </w:p>
        </w:tc>
      </w:tr>
      <w:tr w:rsidR="00296AED" w:rsidRPr="00296AED" w14:paraId="06B473AA"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A5"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Fitness</w:t>
            </w:r>
          </w:p>
        </w:tc>
        <w:tc>
          <w:tcPr>
            <w:tcW w:w="1206" w:type="dxa"/>
            <w:tcBorders>
              <w:top w:val="nil"/>
              <w:left w:val="single" w:sz="4" w:space="0" w:color="auto"/>
              <w:bottom w:val="nil"/>
              <w:right w:val="single" w:sz="4" w:space="0" w:color="auto"/>
            </w:tcBorders>
            <w:shd w:val="clear" w:color="auto" w:fill="auto"/>
            <w:noWrap/>
            <w:vAlign w:val="bottom"/>
            <w:hideMark/>
          </w:tcPr>
          <w:p w14:paraId="06B473A6"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-0.058***</w:t>
            </w:r>
          </w:p>
        </w:tc>
        <w:tc>
          <w:tcPr>
            <w:tcW w:w="851" w:type="dxa"/>
            <w:tcBorders>
              <w:top w:val="nil"/>
              <w:left w:val="nil"/>
              <w:bottom w:val="nil"/>
              <w:right w:val="nil"/>
            </w:tcBorders>
            <w:shd w:val="clear" w:color="auto" w:fill="auto"/>
            <w:noWrap/>
            <w:vAlign w:val="bottom"/>
            <w:hideMark/>
          </w:tcPr>
          <w:p w14:paraId="06B473A7"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(0.016)</w:t>
            </w:r>
          </w:p>
        </w:tc>
        <w:tc>
          <w:tcPr>
            <w:tcW w:w="1480" w:type="dxa"/>
            <w:tcBorders>
              <w:top w:val="nil"/>
              <w:left w:val="nil"/>
              <w:bottom w:val="nil"/>
              <w:right w:val="nil"/>
            </w:tcBorders>
            <w:shd w:val="clear" w:color="auto" w:fill="auto"/>
            <w:noWrap/>
            <w:vAlign w:val="bottom"/>
            <w:hideMark/>
          </w:tcPr>
          <w:p w14:paraId="06B473A8"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-£1,318</w:t>
            </w:r>
          </w:p>
        </w:tc>
        <w:tc>
          <w:tcPr>
            <w:tcW w:w="1620" w:type="dxa"/>
            <w:tcBorders>
              <w:top w:val="nil"/>
              <w:left w:val="single" w:sz="4" w:space="0" w:color="auto"/>
              <w:bottom w:val="nil"/>
              <w:right w:val="single" w:sz="8" w:space="0" w:color="auto"/>
            </w:tcBorders>
            <w:shd w:val="clear" w:color="auto" w:fill="auto"/>
            <w:noWrap/>
            <w:vAlign w:val="bottom"/>
            <w:hideMark/>
          </w:tcPr>
          <w:p w14:paraId="06B473A9"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-£110</w:t>
            </w:r>
          </w:p>
        </w:tc>
      </w:tr>
      <w:tr w:rsidR="00296AED" w:rsidRPr="00296AED" w14:paraId="06B473B0"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AB"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Swimming</w:t>
            </w:r>
          </w:p>
        </w:tc>
        <w:tc>
          <w:tcPr>
            <w:tcW w:w="1206" w:type="dxa"/>
            <w:tcBorders>
              <w:top w:val="nil"/>
              <w:left w:val="single" w:sz="4" w:space="0" w:color="auto"/>
              <w:bottom w:val="nil"/>
              <w:right w:val="single" w:sz="4" w:space="0" w:color="auto"/>
            </w:tcBorders>
            <w:shd w:val="clear" w:color="auto" w:fill="auto"/>
            <w:noWrap/>
            <w:vAlign w:val="bottom"/>
            <w:hideMark/>
          </w:tcPr>
          <w:p w14:paraId="06B473AC"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0.076***</w:t>
            </w:r>
          </w:p>
        </w:tc>
        <w:tc>
          <w:tcPr>
            <w:tcW w:w="851" w:type="dxa"/>
            <w:tcBorders>
              <w:top w:val="nil"/>
              <w:left w:val="nil"/>
              <w:bottom w:val="nil"/>
              <w:right w:val="nil"/>
            </w:tcBorders>
            <w:shd w:val="clear" w:color="auto" w:fill="auto"/>
            <w:noWrap/>
            <w:vAlign w:val="bottom"/>
            <w:hideMark/>
          </w:tcPr>
          <w:p w14:paraId="06B473AD"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(0.016)</w:t>
            </w:r>
          </w:p>
        </w:tc>
        <w:tc>
          <w:tcPr>
            <w:tcW w:w="1480" w:type="dxa"/>
            <w:tcBorders>
              <w:top w:val="nil"/>
              <w:left w:val="nil"/>
              <w:bottom w:val="nil"/>
              <w:right w:val="nil"/>
            </w:tcBorders>
            <w:shd w:val="clear" w:color="auto" w:fill="auto"/>
            <w:noWrap/>
            <w:vAlign w:val="bottom"/>
            <w:hideMark/>
          </w:tcPr>
          <w:p w14:paraId="06B473AE"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£1,630</w:t>
            </w:r>
          </w:p>
        </w:tc>
        <w:tc>
          <w:tcPr>
            <w:tcW w:w="1620" w:type="dxa"/>
            <w:tcBorders>
              <w:top w:val="nil"/>
              <w:left w:val="single" w:sz="4" w:space="0" w:color="auto"/>
              <w:bottom w:val="nil"/>
              <w:right w:val="single" w:sz="8" w:space="0" w:color="auto"/>
            </w:tcBorders>
            <w:shd w:val="clear" w:color="auto" w:fill="auto"/>
            <w:noWrap/>
            <w:vAlign w:val="bottom"/>
            <w:hideMark/>
          </w:tcPr>
          <w:p w14:paraId="06B473AF"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£136</w:t>
            </w:r>
          </w:p>
        </w:tc>
      </w:tr>
      <w:tr w:rsidR="00296AED" w:rsidRPr="00296AED" w14:paraId="06B473B6" w14:textId="77777777" w:rsidTr="00553255">
        <w:trPr>
          <w:trHeight w:val="300"/>
        </w:trPr>
        <w:tc>
          <w:tcPr>
            <w:tcW w:w="2860" w:type="dxa"/>
            <w:tcBorders>
              <w:top w:val="nil"/>
              <w:left w:val="single" w:sz="8" w:space="0" w:color="auto"/>
              <w:bottom w:val="single" w:sz="4" w:space="0" w:color="auto"/>
              <w:right w:val="nil"/>
            </w:tcBorders>
            <w:shd w:val="clear" w:color="000000" w:fill="0070C0"/>
            <w:noWrap/>
            <w:vAlign w:val="bottom"/>
            <w:hideMark/>
          </w:tcPr>
          <w:p w14:paraId="06B473B1"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Culture</w:t>
            </w:r>
          </w:p>
        </w:tc>
        <w:tc>
          <w:tcPr>
            <w:tcW w:w="1206" w:type="dxa"/>
            <w:tcBorders>
              <w:top w:val="nil"/>
              <w:left w:val="single" w:sz="4" w:space="0" w:color="auto"/>
              <w:bottom w:val="single" w:sz="4" w:space="0" w:color="auto"/>
              <w:right w:val="single" w:sz="4" w:space="0" w:color="auto"/>
            </w:tcBorders>
            <w:shd w:val="clear" w:color="000000" w:fill="0070C0"/>
            <w:noWrap/>
            <w:vAlign w:val="bottom"/>
            <w:hideMark/>
          </w:tcPr>
          <w:p w14:paraId="06B473B2"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851" w:type="dxa"/>
            <w:tcBorders>
              <w:top w:val="nil"/>
              <w:left w:val="nil"/>
              <w:bottom w:val="single" w:sz="4" w:space="0" w:color="auto"/>
              <w:right w:val="nil"/>
            </w:tcBorders>
            <w:shd w:val="clear" w:color="000000" w:fill="0070C0"/>
            <w:noWrap/>
            <w:vAlign w:val="bottom"/>
            <w:hideMark/>
          </w:tcPr>
          <w:p w14:paraId="06B473B3"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1480" w:type="dxa"/>
            <w:tcBorders>
              <w:top w:val="nil"/>
              <w:left w:val="nil"/>
              <w:bottom w:val="single" w:sz="4" w:space="0" w:color="auto"/>
              <w:right w:val="nil"/>
            </w:tcBorders>
            <w:shd w:val="clear" w:color="000000" w:fill="0070C0"/>
            <w:noWrap/>
            <w:vAlign w:val="bottom"/>
            <w:hideMark/>
          </w:tcPr>
          <w:p w14:paraId="06B473B4"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1620" w:type="dxa"/>
            <w:tcBorders>
              <w:top w:val="nil"/>
              <w:left w:val="single" w:sz="4" w:space="0" w:color="auto"/>
              <w:bottom w:val="single" w:sz="4" w:space="0" w:color="auto"/>
              <w:right w:val="single" w:sz="8" w:space="0" w:color="auto"/>
            </w:tcBorders>
            <w:shd w:val="clear" w:color="000000" w:fill="0070C0"/>
            <w:noWrap/>
            <w:vAlign w:val="bottom"/>
            <w:hideMark/>
          </w:tcPr>
          <w:p w14:paraId="06B473B5"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r>
      <w:tr w:rsidR="00296AED" w:rsidRPr="00296AED" w14:paraId="06B473BC"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B7"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All arts</w:t>
            </w:r>
          </w:p>
        </w:tc>
        <w:tc>
          <w:tcPr>
            <w:tcW w:w="1206" w:type="dxa"/>
            <w:tcBorders>
              <w:top w:val="nil"/>
              <w:left w:val="single" w:sz="4" w:space="0" w:color="auto"/>
              <w:bottom w:val="nil"/>
              <w:right w:val="single" w:sz="4" w:space="0" w:color="auto"/>
            </w:tcBorders>
            <w:shd w:val="clear" w:color="auto" w:fill="auto"/>
            <w:noWrap/>
            <w:vAlign w:val="bottom"/>
            <w:hideMark/>
          </w:tcPr>
          <w:p w14:paraId="06B473B8"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0.050*</w:t>
            </w:r>
          </w:p>
        </w:tc>
        <w:tc>
          <w:tcPr>
            <w:tcW w:w="851" w:type="dxa"/>
            <w:tcBorders>
              <w:top w:val="nil"/>
              <w:left w:val="nil"/>
              <w:bottom w:val="nil"/>
              <w:right w:val="nil"/>
            </w:tcBorders>
            <w:shd w:val="clear" w:color="auto" w:fill="auto"/>
            <w:noWrap/>
            <w:vAlign w:val="bottom"/>
            <w:hideMark/>
          </w:tcPr>
          <w:p w14:paraId="06B473B9"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(0.027)</w:t>
            </w:r>
          </w:p>
        </w:tc>
        <w:tc>
          <w:tcPr>
            <w:tcW w:w="1480" w:type="dxa"/>
            <w:tcBorders>
              <w:top w:val="nil"/>
              <w:left w:val="nil"/>
              <w:bottom w:val="nil"/>
              <w:right w:val="nil"/>
            </w:tcBorders>
            <w:shd w:val="clear" w:color="auto" w:fill="auto"/>
            <w:noWrap/>
            <w:vAlign w:val="bottom"/>
            <w:hideMark/>
          </w:tcPr>
          <w:p w14:paraId="06B473BA" w14:textId="77777777" w:rsidR="00296AED" w:rsidRPr="00296AED" w:rsidRDefault="00296AED" w:rsidP="00296AED">
            <w:pPr>
              <w:spacing w:before="0"/>
              <w:ind w:left="0"/>
              <w:jc w:val="center"/>
              <w:rPr>
                <w:rFonts w:ascii="Calibri" w:hAnsi="Calibri" w:cs="Calibri"/>
                <w:b/>
                <w:bCs/>
                <w:color w:val="000000"/>
                <w:sz w:val="22"/>
                <w:szCs w:val="22"/>
              </w:rPr>
            </w:pPr>
            <w:r w:rsidRPr="00296AED">
              <w:rPr>
                <w:rFonts w:ascii="Calibri" w:hAnsi="Calibri" w:cs="Calibri"/>
                <w:b/>
                <w:bCs/>
                <w:color w:val="000000"/>
                <w:sz w:val="22"/>
                <w:szCs w:val="22"/>
              </w:rPr>
              <w:t>£1,084</w:t>
            </w:r>
          </w:p>
        </w:tc>
        <w:tc>
          <w:tcPr>
            <w:tcW w:w="1620" w:type="dxa"/>
            <w:tcBorders>
              <w:top w:val="nil"/>
              <w:left w:val="single" w:sz="4" w:space="0" w:color="auto"/>
              <w:bottom w:val="nil"/>
              <w:right w:val="single" w:sz="8" w:space="0" w:color="auto"/>
            </w:tcBorders>
            <w:shd w:val="clear" w:color="auto" w:fill="auto"/>
            <w:noWrap/>
            <w:vAlign w:val="bottom"/>
            <w:hideMark/>
          </w:tcPr>
          <w:p w14:paraId="06B473BB" w14:textId="77777777" w:rsidR="00296AED" w:rsidRPr="00296AED" w:rsidRDefault="00296AED" w:rsidP="00296AED">
            <w:pPr>
              <w:spacing w:before="0"/>
              <w:ind w:left="0"/>
              <w:jc w:val="center"/>
              <w:rPr>
                <w:rFonts w:ascii="Calibri" w:hAnsi="Calibri" w:cs="Calibri"/>
                <w:b/>
                <w:bCs/>
                <w:color w:val="000000"/>
                <w:sz w:val="22"/>
                <w:szCs w:val="22"/>
              </w:rPr>
            </w:pPr>
            <w:r w:rsidRPr="00296AED">
              <w:rPr>
                <w:rFonts w:ascii="Calibri" w:hAnsi="Calibri" w:cs="Calibri"/>
                <w:b/>
                <w:bCs/>
                <w:color w:val="000000"/>
                <w:sz w:val="22"/>
                <w:szCs w:val="22"/>
              </w:rPr>
              <w:t>£90</w:t>
            </w:r>
          </w:p>
        </w:tc>
      </w:tr>
      <w:tr w:rsidR="00296AED" w:rsidRPr="00296AED" w14:paraId="06B473C2"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BD"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All audience arts</w:t>
            </w:r>
          </w:p>
        </w:tc>
        <w:tc>
          <w:tcPr>
            <w:tcW w:w="1206" w:type="dxa"/>
            <w:tcBorders>
              <w:top w:val="nil"/>
              <w:left w:val="single" w:sz="4" w:space="0" w:color="auto"/>
              <w:bottom w:val="nil"/>
              <w:right w:val="single" w:sz="4" w:space="0" w:color="auto"/>
            </w:tcBorders>
            <w:shd w:val="clear" w:color="auto" w:fill="auto"/>
            <w:noWrap/>
            <w:vAlign w:val="bottom"/>
            <w:hideMark/>
          </w:tcPr>
          <w:p w14:paraId="06B473BE"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0.043**</w:t>
            </w:r>
          </w:p>
        </w:tc>
        <w:tc>
          <w:tcPr>
            <w:tcW w:w="851" w:type="dxa"/>
            <w:tcBorders>
              <w:top w:val="nil"/>
              <w:left w:val="nil"/>
              <w:bottom w:val="nil"/>
              <w:right w:val="nil"/>
            </w:tcBorders>
            <w:shd w:val="clear" w:color="auto" w:fill="auto"/>
            <w:noWrap/>
            <w:vAlign w:val="bottom"/>
            <w:hideMark/>
          </w:tcPr>
          <w:p w14:paraId="06B473BF"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(0.020)</w:t>
            </w:r>
          </w:p>
        </w:tc>
        <w:tc>
          <w:tcPr>
            <w:tcW w:w="1480" w:type="dxa"/>
            <w:tcBorders>
              <w:top w:val="nil"/>
              <w:left w:val="nil"/>
              <w:bottom w:val="nil"/>
              <w:right w:val="nil"/>
            </w:tcBorders>
            <w:shd w:val="clear" w:color="auto" w:fill="auto"/>
            <w:noWrap/>
            <w:vAlign w:val="bottom"/>
            <w:hideMark/>
          </w:tcPr>
          <w:p w14:paraId="06B473C0"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£935</w:t>
            </w:r>
          </w:p>
        </w:tc>
        <w:tc>
          <w:tcPr>
            <w:tcW w:w="1620" w:type="dxa"/>
            <w:tcBorders>
              <w:top w:val="nil"/>
              <w:left w:val="single" w:sz="4" w:space="0" w:color="auto"/>
              <w:bottom w:val="nil"/>
              <w:right w:val="single" w:sz="8" w:space="0" w:color="auto"/>
            </w:tcBorders>
            <w:shd w:val="clear" w:color="auto" w:fill="auto"/>
            <w:noWrap/>
            <w:vAlign w:val="bottom"/>
            <w:hideMark/>
          </w:tcPr>
          <w:p w14:paraId="06B473C1"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£78</w:t>
            </w:r>
          </w:p>
        </w:tc>
      </w:tr>
      <w:tr w:rsidR="00296AED" w:rsidRPr="00296AED" w14:paraId="06B473C8"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C3" w14:textId="77777777" w:rsidR="00296AED" w:rsidRPr="00296AED" w:rsidRDefault="00296AED" w:rsidP="00296AED">
            <w:pPr>
              <w:spacing w:before="0"/>
              <w:ind w:left="0"/>
              <w:rPr>
                <w:rFonts w:ascii="Calibri" w:hAnsi="Calibri" w:cs="Calibri"/>
                <w:b/>
                <w:bCs/>
                <w:color w:val="000000"/>
                <w:sz w:val="22"/>
                <w:szCs w:val="22"/>
              </w:rPr>
            </w:pPr>
            <w:r w:rsidRPr="00296AED">
              <w:rPr>
                <w:rFonts w:ascii="Calibri" w:hAnsi="Calibri" w:cs="Calibri"/>
                <w:b/>
                <w:bCs/>
                <w:color w:val="000000"/>
                <w:sz w:val="22"/>
                <w:szCs w:val="22"/>
              </w:rPr>
              <w:t>Audience</w:t>
            </w:r>
          </w:p>
        </w:tc>
        <w:tc>
          <w:tcPr>
            <w:tcW w:w="1206" w:type="dxa"/>
            <w:tcBorders>
              <w:top w:val="nil"/>
              <w:left w:val="single" w:sz="4" w:space="0" w:color="auto"/>
              <w:bottom w:val="nil"/>
              <w:right w:val="single" w:sz="4" w:space="0" w:color="auto"/>
            </w:tcBorders>
            <w:shd w:val="clear" w:color="auto" w:fill="auto"/>
            <w:noWrap/>
            <w:vAlign w:val="bottom"/>
            <w:hideMark/>
          </w:tcPr>
          <w:p w14:paraId="06B473C4"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 </w:t>
            </w:r>
          </w:p>
        </w:tc>
        <w:tc>
          <w:tcPr>
            <w:tcW w:w="851" w:type="dxa"/>
            <w:tcBorders>
              <w:top w:val="nil"/>
              <w:left w:val="nil"/>
              <w:bottom w:val="nil"/>
              <w:right w:val="nil"/>
            </w:tcBorders>
            <w:shd w:val="clear" w:color="auto" w:fill="auto"/>
            <w:noWrap/>
            <w:vAlign w:val="bottom"/>
            <w:hideMark/>
          </w:tcPr>
          <w:p w14:paraId="06B473C5" w14:textId="77777777" w:rsidR="00296AED" w:rsidRPr="00296AED" w:rsidRDefault="00296AED" w:rsidP="00296AED">
            <w:pPr>
              <w:spacing w:before="0"/>
              <w:ind w:left="0"/>
              <w:jc w:val="cente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14:paraId="06B473C6" w14:textId="77777777" w:rsidR="00296AED" w:rsidRPr="00296AED" w:rsidRDefault="00296AED" w:rsidP="00296AED">
            <w:pPr>
              <w:spacing w:before="0"/>
              <w:ind w:left="0"/>
              <w:jc w:val="center"/>
              <w:rPr>
                <w:rFonts w:ascii="Calibri" w:hAnsi="Calibri" w:cs="Calibri"/>
                <w:color w:val="000000"/>
                <w:sz w:val="22"/>
                <w:szCs w:val="22"/>
              </w:rPr>
            </w:pPr>
          </w:p>
        </w:tc>
        <w:tc>
          <w:tcPr>
            <w:tcW w:w="1620" w:type="dxa"/>
            <w:tcBorders>
              <w:top w:val="nil"/>
              <w:left w:val="single" w:sz="4" w:space="0" w:color="auto"/>
              <w:bottom w:val="nil"/>
              <w:right w:val="single" w:sz="8" w:space="0" w:color="auto"/>
            </w:tcBorders>
            <w:shd w:val="clear" w:color="auto" w:fill="auto"/>
            <w:noWrap/>
            <w:vAlign w:val="bottom"/>
            <w:hideMark/>
          </w:tcPr>
          <w:p w14:paraId="06B473C7"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 </w:t>
            </w:r>
          </w:p>
        </w:tc>
      </w:tr>
      <w:tr w:rsidR="00296AED" w:rsidRPr="00296AED" w14:paraId="06B473CE"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C9"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Music</w:t>
            </w:r>
          </w:p>
        </w:tc>
        <w:tc>
          <w:tcPr>
            <w:tcW w:w="1206" w:type="dxa"/>
            <w:tcBorders>
              <w:top w:val="nil"/>
              <w:left w:val="single" w:sz="4" w:space="0" w:color="auto"/>
              <w:bottom w:val="nil"/>
              <w:right w:val="single" w:sz="4" w:space="0" w:color="auto"/>
            </w:tcBorders>
            <w:shd w:val="clear" w:color="auto" w:fill="auto"/>
            <w:noWrap/>
            <w:vAlign w:val="bottom"/>
            <w:hideMark/>
          </w:tcPr>
          <w:p w14:paraId="06B473CA"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0.034**</w:t>
            </w:r>
          </w:p>
        </w:tc>
        <w:tc>
          <w:tcPr>
            <w:tcW w:w="851" w:type="dxa"/>
            <w:tcBorders>
              <w:top w:val="nil"/>
              <w:left w:val="nil"/>
              <w:bottom w:val="nil"/>
              <w:right w:val="nil"/>
            </w:tcBorders>
            <w:shd w:val="clear" w:color="auto" w:fill="auto"/>
            <w:noWrap/>
            <w:vAlign w:val="bottom"/>
            <w:hideMark/>
          </w:tcPr>
          <w:p w14:paraId="06B473CB"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(0.016)</w:t>
            </w:r>
          </w:p>
        </w:tc>
        <w:tc>
          <w:tcPr>
            <w:tcW w:w="1480" w:type="dxa"/>
            <w:tcBorders>
              <w:top w:val="nil"/>
              <w:left w:val="nil"/>
              <w:bottom w:val="nil"/>
              <w:right w:val="nil"/>
            </w:tcBorders>
            <w:shd w:val="clear" w:color="auto" w:fill="auto"/>
            <w:noWrap/>
            <w:vAlign w:val="bottom"/>
            <w:hideMark/>
          </w:tcPr>
          <w:p w14:paraId="06B473CC"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£742</w:t>
            </w:r>
          </w:p>
        </w:tc>
        <w:tc>
          <w:tcPr>
            <w:tcW w:w="1620" w:type="dxa"/>
            <w:tcBorders>
              <w:top w:val="nil"/>
              <w:left w:val="single" w:sz="4" w:space="0" w:color="auto"/>
              <w:bottom w:val="nil"/>
              <w:right w:val="single" w:sz="8" w:space="0" w:color="auto"/>
            </w:tcBorders>
            <w:shd w:val="clear" w:color="auto" w:fill="auto"/>
            <w:noWrap/>
            <w:vAlign w:val="bottom"/>
            <w:hideMark/>
          </w:tcPr>
          <w:p w14:paraId="06B473CD"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£62</w:t>
            </w:r>
          </w:p>
        </w:tc>
      </w:tr>
      <w:tr w:rsidR="00296AED" w:rsidRPr="00296AED" w14:paraId="06B473D4"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CF"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Plays</w:t>
            </w:r>
          </w:p>
        </w:tc>
        <w:tc>
          <w:tcPr>
            <w:tcW w:w="1206" w:type="dxa"/>
            <w:tcBorders>
              <w:top w:val="nil"/>
              <w:left w:val="single" w:sz="4" w:space="0" w:color="auto"/>
              <w:bottom w:val="nil"/>
              <w:right w:val="single" w:sz="4" w:space="0" w:color="auto"/>
            </w:tcBorders>
            <w:shd w:val="clear" w:color="auto" w:fill="auto"/>
            <w:noWrap/>
            <w:vAlign w:val="bottom"/>
            <w:hideMark/>
          </w:tcPr>
          <w:p w14:paraId="06B473D0"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0.046***</w:t>
            </w:r>
          </w:p>
        </w:tc>
        <w:tc>
          <w:tcPr>
            <w:tcW w:w="851" w:type="dxa"/>
            <w:tcBorders>
              <w:top w:val="nil"/>
              <w:left w:val="nil"/>
              <w:bottom w:val="nil"/>
              <w:right w:val="nil"/>
            </w:tcBorders>
            <w:shd w:val="clear" w:color="auto" w:fill="auto"/>
            <w:noWrap/>
            <w:vAlign w:val="bottom"/>
            <w:hideMark/>
          </w:tcPr>
          <w:p w14:paraId="06B473D1"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(0.016)</w:t>
            </w:r>
          </w:p>
        </w:tc>
        <w:tc>
          <w:tcPr>
            <w:tcW w:w="1480" w:type="dxa"/>
            <w:tcBorders>
              <w:top w:val="nil"/>
              <w:left w:val="nil"/>
              <w:bottom w:val="nil"/>
              <w:right w:val="nil"/>
            </w:tcBorders>
            <w:shd w:val="clear" w:color="auto" w:fill="auto"/>
            <w:noWrap/>
            <w:vAlign w:val="bottom"/>
            <w:hideMark/>
          </w:tcPr>
          <w:p w14:paraId="06B473D2"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£999</w:t>
            </w:r>
          </w:p>
        </w:tc>
        <w:tc>
          <w:tcPr>
            <w:tcW w:w="1620" w:type="dxa"/>
            <w:tcBorders>
              <w:top w:val="nil"/>
              <w:left w:val="single" w:sz="4" w:space="0" w:color="auto"/>
              <w:bottom w:val="nil"/>
              <w:right w:val="single" w:sz="8" w:space="0" w:color="auto"/>
            </w:tcBorders>
            <w:shd w:val="clear" w:color="auto" w:fill="auto"/>
            <w:noWrap/>
            <w:vAlign w:val="bottom"/>
            <w:hideMark/>
          </w:tcPr>
          <w:p w14:paraId="06B473D3"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£83</w:t>
            </w:r>
          </w:p>
        </w:tc>
      </w:tr>
      <w:tr w:rsidR="00296AED" w:rsidRPr="00296AED" w14:paraId="06B473DA"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D5" w14:textId="77777777" w:rsidR="00296AED" w:rsidRPr="00296AED" w:rsidRDefault="00296AED" w:rsidP="00296AED">
            <w:pPr>
              <w:spacing w:before="0"/>
              <w:ind w:left="0"/>
              <w:rPr>
                <w:rFonts w:ascii="Calibri" w:hAnsi="Calibri" w:cs="Calibri"/>
                <w:b/>
                <w:bCs/>
                <w:color w:val="000000"/>
                <w:sz w:val="22"/>
                <w:szCs w:val="22"/>
              </w:rPr>
            </w:pPr>
            <w:r w:rsidRPr="00296AED">
              <w:rPr>
                <w:rFonts w:ascii="Calibri" w:hAnsi="Calibri" w:cs="Calibri"/>
                <w:b/>
                <w:bCs/>
                <w:color w:val="000000"/>
                <w:sz w:val="22"/>
                <w:szCs w:val="22"/>
              </w:rPr>
              <w:t>Participation</w:t>
            </w:r>
          </w:p>
        </w:tc>
        <w:tc>
          <w:tcPr>
            <w:tcW w:w="1206" w:type="dxa"/>
            <w:tcBorders>
              <w:top w:val="nil"/>
              <w:left w:val="single" w:sz="4" w:space="0" w:color="auto"/>
              <w:bottom w:val="nil"/>
              <w:right w:val="single" w:sz="4" w:space="0" w:color="auto"/>
            </w:tcBorders>
            <w:shd w:val="clear" w:color="auto" w:fill="auto"/>
            <w:noWrap/>
            <w:vAlign w:val="bottom"/>
            <w:hideMark/>
          </w:tcPr>
          <w:p w14:paraId="06B473D6"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 </w:t>
            </w:r>
          </w:p>
        </w:tc>
        <w:tc>
          <w:tcPr>
            <w:tcW w:w="851" w:type="dxa"/>
            <w:tcBorders>
              <w:top w:val="nil"/>
              <w:left w:val="nil"/>
              <w:bottom w:val="nil"/>
              <w:right w:val="nil"/>
            </w:tcBorders>
            <w:shd w:val="clear" w:color="auto" w:fill="auto"/>
            <w:noWrap/>
            <w:vAlign w:val="bottom"/>
            <w:hideMark/>
          </w:tcPr>
          <w:p w14:paraId="06B473D7" w14:textId="77777777" w:rsidR="00296AED" w:rsidRPr="00296AED" w:rsidRDefault="00296AED" w:rsidP="00296AED">
            <w:pPr>
              <w:spacing w:before="0"/>
              <w:ind w:left="0"/>
              <w:jc w:val="cente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14:paraId="06B473D8" w14:textId="77777777" w:rsidR="00296AED" w:rsidRPr="00296AED" w:rsidRDefault="00296AED" w:rsidP="00296AED">
            <w:pPr>
              <w:spacing w:before="0"/>
              <w:ind w:left="0"/>
              <w:jc w:val="center"/>
              <w:rPr>
                <w:rFonts w:ascii="Calibri" w:hAnsi="Calibri" w:cs="Calibri"/>
                <w:color w:val="000000"/>
                <w:sz w:val="22"/>
                <w:szCs w:val="22"/>
              </w:rPr>
            </w:pPr>
          </w:p>
        </w:tc>
        <w:tc>
          <w:tcPr>
            <w:tcW w:w="1620" w:type="dxa"/>
            <w:tcBorders>
              <w:top w:val="nil"/>
              <w:left w:val="single" w:sz="4" w:space="0" w:color="auto"/>
              <w:bottom w:val="nil"/>
              <w:right w:val="single" w:sz="8" w:space="0" w:color="auto"/>
            </w:tcBorders>
            <w:shd w:val="clear" w:color="auto" w:fill="auto"/>
            <w:noWrap/>
            <w:vAlign w:val="bottom"/>
            <w:hideMark/>
          </w:tcPr>
          <w:p w14:paraId="06B473D9"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 </w:t>
            </w:r>
          </w:p>
        </w:tc>
      </w:tr>
      <w:tr w:rsidR="00296AED" w:rsidRPr="00296AED" w14:paraId="06B473E0"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DB"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Dance</w:t>
            </w:r>
          </w:p>
        </w:tc>
        <w:tc>
          <w:tcPr>
            <w:tcW w:w="1206" w:type="dxa"/>
            <w:tcBorders>
              <w:top w:val="nil"/>
              <w:left w:val="single" w:sz="4" w:space="0" w:color="auto"/>
              <w:bottom w:val="nil"/>
              <w:right w:val="single" w:sz="4" w:space="0" w:color="auto"/>
            </w:tcBorders>
            <w:shd w:val="clear" w:color="auto" w:fill="auto"/>
            <w:noWrap/>
            <w:vAlign w:val="bottom"/>
            <w:hideMark/>
          </w:tcPr>
          <w:p w14:paraId="06B473DC"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0.078***</w:t>
            </w:r>
          </w:p>
        </w:tc>
        <w:tc>
          <w:tcPr>
            <w:tcW w:w="851" w:type="dxa"/>
            <w:tcBorders>
              <w:top w:val="nil"/>
              <w:left w:val="nil"/>
              <w:bottom w:val="nil"/>
              <w:right w:val="nil"/>
            </w:tcBorders>
            <w:shd w:val="clear" w:color="auto" w:fill="auto"/>
            <w:noWrap/>
            <w:vAlign w:val="bottom"/>
            <w:hideMark/>
          </w:tcPr>
          <w:p w14:paraId="06B473DD"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(0.022)</w:t>
            </w:r>
          </w:p>
        </w:tc>
        <w:tc>
          <w:tcPr>
            <w:tcW w:w="1480" w:type="dxa"/>
            <w:tcBorders>
              <w:top w:val="nil"/>
              <w:left w:val="nil"/>
              <w:bottom w:val="nil"/>
              <w:right w:val="nil"/>
            </w:tcBorders>
            <w:shd w:val="clear" w:color="auto" w:fill="auto"/>
            <w:noWrap/>
            <w:vAlign w:val="bottom"/>
            <w:hideMark/>
          </w:tcPr>
          <w:p w14:paraId="06B473DE"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£1,671</w:t>
            </w:r>
          </w:p>
        </w:tc>
        <w:tc>
          <w:tcPr>
            <w:tcW w:w="1620" w:type="dxa"/>
            <w:tcBorders>
              <w:top w:val="nil"/>
              <w:left w:val="single" w:sz="4" w:space="0" w:color="auto"/>
              <w:bottom w:val="nil"/>
              <w:right w:val="single" w:sz="8" w:space="0" w:color="auto"/>
            </w:tcBorders>
            <w:shd w:val="clear" w:color="auto" w:fill="auto"/>
            <w:noWrap/>
            <w:vAlign w:val="bottom"/>
            <w:hideMark/>
          </w:tcPr>
          <w:p w14:paraId="06B473DF"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£139</w:t>
            </w:r>
          </w:p>
        </w:tc>
      </w:tr>
      <w:tr w:rsidR="00296AED" w:rsidRPr="00296AED" w14:paraId="06B473E6"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E1"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Music</w:t>
            </w:r>
          </w:p>
        </w:tc>
        <w:tc>
          <w:tcPr>
            <w:tcW w:w="1206" w:type="dxa"/>
            <w:tcBorders>
              <w:top w:val="nil"/>
              <w:left w:val="single" w:sz="4" w:space="0" w:color="auto"/>
              <w:bottom w:val="nil"/>
              <w:right w:val="single" w:sz="4" w:space="0" w:color="auto"/>
            </w:tcBorders>
            <w:shd w:val="clear" w:color="auto" w:fill="auto"/>
            <w:noWrap/>
            <w:vAlign w:val="bottom"/>
            <w:hideMark/>
          </w:tcPr>
          <w:p w14:paraId="06B473E2"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-0.055**</w:t>
            </w:r>
          </w:p>
        </w:tc>
        <w:tc>
          <w:tcPr>
            <w:tcW w:w="851" w:type="dxa"/>
            <w:tcBorders>
              <w:top w:val="nil"/>
              <w:left w:val="nil"/>
              <w:bottom w:val="nil"/>
              <w:right w:val="nil"/>
            </w:tcBorders>
            <w:shd w:val="clear" w:color="auto" w:fill="auto"/>
            <w:noWrap/>
            <w:vAlign w:val="bottom"/>
            <w:hideMark/>
          </w:tcPr>
          <w:p w14:paraId="06B473E3"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(0.023)</w:t>
            </w:r>
          </w:p>
        </w:tc>
        <w:tc>
          <w:tcPr>
            <w:tcW w:w="1480" w:type="dxa"/>
            <w:tcBorders>
              <w:top w:val="nil"/>
              <w:left w:val="nil"/>
              <w:bottom w:val="nil"/>
              <w:right w:val="nil"/>
            </w:tcBorders>
            <w:shd w:val="clear" w:color="auto" w:fill="auto"/>
            <w:noWrap/>
            <w:vAlign w:val="bottom"/>
            <w:hideMark/>
          </w:tcPr>
          <w:p w14:paraId="06B473E4"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-£1,248</w:t>
            </w:r>
          </w:p>
        </w:tc>
        <w:tc>
          <w:tcPr>
            <w:tcW w:w="1620" w:type="dxa"/>
            <w:tcBorders>
              <w:top w:val="nil"/>
              <w:left w:val="single" w:sz="4" w:space="0" w:color="auto"/>
              <w:bottom w:val="nil"/>
              <w:right w:val="single" w:sz="8" w:space="0" w:color="auto"/>
            </w:tcBorders>
            <w:shd w:val="clear" w:color="auto" w:fill="auto"/>
            <w:noWrap/>
            <w:vAlign w:val="bottom"/>
            <w:hideMark/>
          </w:tcPr>
          <w:p w14:paraId="06B473E5"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-£104</w:t>
            </w:r>
          </w:p>
        </w:tc>
      </w:tr>
      <w:tr w:rsidR="00296AED" w:rsidRPr="00296AED" w14:paraId="06B473EC" w14:textId="77777777" w:rsidTr="00553255">
        <w:trPr>
          <w:trHeight w:val="300"/>
        </w:trPr>
        <w:tc>
          <w:tcPr>
            <w:tcW w:w="2860" w:type="dxa"/>
            <w:tcBorders>
              <w:top w:val="nil"/>
              <w:left w:val="single" w:sz="8" w:space="0" w:color="auto"/>
              <w:bottom w:val="nil"/>
              <w:right w:val="nil"/>
            </w:tcBorders>
            <w:shd w:val="clear" w:color="auto" w:fill="auto"/>
            <w:noWrap/>
            <w:vAlign w:val="bottom"/>
            <w:hideMark/>
          </w:tcPr>
          <w:p w14:paraId="06B473E7"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Craft</w:t>
            </w:r>
          </w:p>
        </w:tc>
        <w:tc>
          <w:tcPr>
            <w:tcW w:w="1206" w:type="dxa"/>
            <w:tcBorders>
              <w:top w:val="nil"/>
              <w:left w:val="single" w:sz="4" w:space="0" w:color="auto"/>
              <w:bottom w:val="nil"/>
              <w:right w:val="single" w:sz="4" w:space="0" w:color="auto"/>
            </w:tcBorders>
            <w:shd w:val="clear" w:color="auto" w:fill="auto"/>
            <w:noWrap/>
            <w:vAlign w:val="bottom"/>
            <w:hideMark/>
          </w:tcPr>
          <w:p w14:paraId="06B473E8"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0.047**</w:t>
            </w:r>
          </w:p>
        </w:tc>
        <w:tc>
          <w:tcPr>
            <w:tcW w:w="851" w:type="dxa"/>
            <w:tcBorders>
              <w:top w:val="nil"/>
              <w:left w:val="nil"/>
              <w:bottom w:val="nil"/>
              <w:right w:val="nil"/>
            </w:tcBorders>
            <w:shd w:val="clear" w:color="auto" w:fill="auto"/>
            <w:noWrap/>
            <w:vAlign w:val="bottom"/>
            <w:hideMark/>
          </w:tcPr>
          <w:p w14:paraId="06B473E9"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(0.019)</w:t>
            </w:r>
          </w:p>
        </w:tc>
        <w:tc>
          <w:tcPr>
            <w:tcW w:w="1480" w:type="dxa"/>
            <w:tcBorders>
              <w:top w:val="nil"/>
              <w:left w:val="nil"/>
              <w:bottom w:val="nil"/>
              <w:right w:val="nil"/>
            </w:tcBorders>
            <w:shd w:val="clear" w:color="auto" w:fill="auto"/>
            <w:noWrap/>
            <w:vAlign w:val="bottom"/>
            <w:hideMark/>
          </w:tcPr>
          <w:p w14:paraId="06B473EA"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£1,020</w:t>
            </w:r>
          </w:p>
        </w:tc>
        <w:tc>
          <w:tcPr>
            <w:tcW w:w="1620" w:type="dxa"/>
            <w:tcBorders>
              <w:top w:val="nil"/>
              <w:left w:val="single" w:sz="4" w:space="0" w:color="auto"/>
              <w:bottom w:val="nil"/>
              <w:right w:val="single" w:sz="8" w:space="0" w:color="auto"/>
            </w:tcBorders>
            <w:shd w:val="clear" w:color="auto" w:fill="auto"/>
            <w:noWrap/>
            <w:vAlign w:val="bottom"/>
            <w:hideMark/>
          </w:tcPr>
          <w:p w14:paraId="06B473EB"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£85</w:t>
            </w:r>
          </w:p>
        </w:tc>
      </w:tr>
      <w:tr w:rsidR="00296AED" w:rsidRPr="00296AED" w14:paraId="06B473F2" w14:textId="77777777" w:rsidTr="00553255">
        <w:trPr>
          <w:trHeight w:val="315"/>
        </w:trPr>
        <w:tc>
          <w:tcPr>
            <w:tcW w:w="2860" w:type="dxa"/>
            <w:tcBorders>
              <w:top w:val="nil"/>
              <w:left w:val="single" w:sz="8" w:space="0" w:color="auto"/>
              <w:bottom w:val="single" w:sz="8" w:space="0" w:color="auto"/>
              <w:right w:val="nil"/>
            </w:tcBorders>
            <w:shd w:val="clear" w:color="auto" w:fill="auto"/>
            <w:noWrap/>
            <w:vAlign w:val="bottom"/>
            <w:hideMark/>
          </w:tcPr>
          <w:p w14:paraId="06B473ED" w14:textId="77777777" w:rsidR="00296AED" w:rsidRPr="00296AED" w:rsidRDefault="00296AED" w:rsidP="00296AED">
            <w:pPr>
              <w:spacing w:before="0"/>
              <w:ind w:left="0"/>
              <w:rPr>
                <w:rFonts w:ascii="Calibri" w:hAnsi="Calibri" w:cs="Calibri"/>
                <w:i/>
                <w:iCs/>
                <w:color w:val="000000"/>
                <w:sz w:val="22"/>
                <w:szCs w:val="22"/>
              </w:rPr>
            </w:pP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06B473EE" w14:textId="77777777" w:rsidR="00296AED" w:rsidRPr="00296AED" w:rsidRDefault="00296AED" w:rsidP="00296AED">
            <w:pPr>
              <w:spacing w:before="0"/>
              <w:ind w:left="0"/>
              <w:jc w:val="center"/>
              <w:rPr>
                <w:rFonts w:ascii="Calibri" w:hAnsi="Calibri" w:cs="Calibri"/>
                <w:color w:val="000000"/>
                <w:sz w:val="22"/>
                <w:szCs w:val="22"/>
              </w:rPr>
            </w:pPr>
          </w:p>
        </w:tc>
        <w:tc>
          <w:tcPr>
            <w:tcW w:w="851" w:type="dxa"/>
            <w:tcBorders>
              <w:top w:val="nil"/>
              <w:left w:val="nil"/>
              <w:bottom w:val="single" w:sz="8" w:space="0" w:color="auto"/>
              <w:right w:val="nil"/>
            </w:tcBorders>
            <w:shd w:val="clear" w:color="auto" w:fill="auto"/>
            <w:noWrap/>
            <w:vAlign w:val="bottom"/>
            <w:hideMark/>
          </w:tcPr>
          <w:p w14:paraId="06B473EF" w14:textId="77777777" w:rsidR="00296AED" w:rsidRPr="00296AED" w:rsidRDefault="00296AED" w:rsidP="00296AED">
            <w:pPr>
              <w:spacing w:before="0"/>
              <w:ind w:left="0"/>
              <w:jc w:val="center"/>
              <w:rPr>
                <w:rFonts w:ascii="Calibri" w:hAnsi="Calibri" w:cs="Calibri"/>
                <w:color w:val="000000"/>
                <w:sz w:val="22"/>
                <w:szCs w:val="22"/>
              </w:rPr>
            </w:pPr>
          </w:p>
        </w:tc>
        <w:tc>
          <w:tcPr>
            <w:tcW w:w="1480" w:type="dxa"/>
            <w:tcBorders>
              <w:top w:val="nil"/>
              <w:left w:val="nil"/>
              <w:bottom w:val="single" w:sz="8" w:space="0" w:color="auto"/>
              <w:right w:val="nil"/>
            </w:tcBorders>
            <w:shd w:val="clear" w:color="auto" w:fill="auto"/>
            <w:noWrap/>
            <w:vAlign w:val="bottom"/>
            <w:hideMark/>
          </w:tcPr>
          <w:p w14:paraId="06B473F0" w14:textId="77777777" w:rsidR="00296AED" w:rsidRPr="00296AED" w:rsidRDefault="00296AED" w:rsidP="00296AED">
            <w:pPr>
              <w:spacing w:before="0"/>
              <w:ind w:left="0"/>
              <w:jc w:val="center"/>
              <w:rPr>
                <w:rFonts w:ascii="Calibri" w:hAnsi="Calibri" w:cs="Calibri"/>
                <w:color w:val="000000"/>
                <w:sz w:val="22"/>
                <w:szCs w:val="22"/>
              </w:rPr>
            </w:pPr>
          </w:p>
        </w:tc>
        <w:tc>
          <w:tcPr>
            <w:tcW w:w="1620" w:type="dxa"/>
            <w:tcBorders>
              <w:top w:val="nil"/>
              <w:left w:val="single" w:sz="4" w:space="0" w:color="auto"/>
              <w:bottom w:val="single" w:sz="8" w:space="0" w:color="auto"/>
              <w:right w:val="single" w:sz="8" w:space="0" w:color="auto"/>
            </w:tcBorders>
            <w:shd w:val="clear" w:color="auto" w:fill="auto"/>
            <w:noWrap/>
            <w:vAlign w:val="bottom"/>
            <w:hideMark/>
          </w:tcPr>
          <w:p w14:paraId="06B473F1" w14:textId="77777777" w:rsidR="00296AED" w:rsidRPr="00296AED" w:rsidRDefault="00296AED" w:rsidP="00296AED">
            <w:pPr>
              <w:spacing w:before="0"/>
              <w:ind w:left="0"/>
              <w:jc w:val="center"/>
              <w:rPr>
                <w:rFonts w:ascii="Calibri" w:hAnsi="Calibri" w:cs="Calibri"/>
                <w:color w:val="000000"/>
                <w:sz w:val="22"/>
                <w:szCs w:val="22"/>
              </w:rPr>
            </w:pPr>
          </w:p>
        </w:tc>
      </w:tr>
    </w:tbl>
    <w:p w14:paraId="06B473F3" w14:textId="77777777" w:rsidR="00296AED" w:rsidRPr="00296AED" w:rsidRDefault="00296AED" w:rsidP="00296AED">
      <w:pPr>
        <w:spacing w:before="0"/>
        <w:ind w:left="2160"/>
        <w:rPr>
          <w:rFonts w:ascii="Calibri" w:eastAsia="MS Mincho" w:hAnsi="Calibri" w:cs="Calibri"/>
          <w:lang w:eastAsia="en-US"/>
        </w:rPr>
      </w:pPr>
      <w:r w:rsidRPr="00296AED">
        <w:rPr>
          <w:rFonts w:ascii="Calibri" w:hAnsi="Calibri" w:cs="Calibri"/>
          <w:sz w:val="18"/>
          <w:szCs w:val="18"/>
        </w:rPr>
        <w:t>Notes: *** 0.01 significance level, ** 0.05 significance level, * 0.10 significance level. S.E. = Standard errors (in parentheses). Monetary values estimated as compensating surplus and derived for all variables significant at the 10% level. Monthly Values = Annual Values/12. Values in red for near-significant variables (at 10% level).</w:t>
      </w:r>
    </w:p>
    <w:p w14:paraId="06B473F4" w14:textId="77777777" w:rsidR="00296AED" w:rsidRPr="00296AED" w:rsidRDefault="00296AED" w:rsidP="00296AED">
      <w:pPr>
        <w:spacing w:before="0"/>
        <w:ind w:left="2160"/>
        <w:rPr>
          <w:rFonts w:ascii="Calibri" w:eastAsia="MS Mincho" w:hAnsi="Calibri" w:cs="Calibri"/>
          <w:lang w:eastAsia="en-US"/>
        </w:rPr>
      </w:pPr>
    </w:p>
    <w:p w14:paraId="06B473F5"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We estimate values for all variables that are significant at the 10% level, but we are most confident with values derived from variables significant at the 5% level. Ignoring the couple of negative values, values range from about £740 pa to £1,600 pa.</w:t>
      </w:r>
    </w:p>
    <w:p w14:paraId="06B473F6" w14:textId="77777777" w:rsidR="00296AED" w:rsidRPr="0079130D" w:rsidRDefault="00296AED" w:rsidP="00296AED">
      <w:pPr>
        <w:spacing w:before="0"/>
        <w:ind w:left="2160"/>
        <w:rPr>
          <w:rFonts w:eastAsia="MS Mincho" w:cs="Arial"/>
          <w:lang w:eastAsia="en-US"/>
        </w:rPr>
      </w:pPr>
    </w:p>
    <w:p w14:paraId="06B473F7" w14:textId="77777777" w:rsidR="00296AED" w:rsidRPr="0079130D" w:rsidRDefault="00B96BC4" w:rsidP="00296AED">
      <w:pPr>
        <w:spacing w:before="0"/>
        <w:ind w:left="2160"/>
        <w:rPr>
          <w:rFonts w:eastAsia="MS Mincho" w:cs="Arial"/>
          <w:b/>
          <w:sz w:val="32"/>
          <w:lang w:eastAsia="en-US"/>
        </w:rPr>
      </w:pPr>
      <w:r w:rsidRPr="0079130D">
        <w:rPr>
          <w:rFonts w:eastAsia="MS Mincho" w:cs="Arial"/>
          <w:b/>
          <w:sz w:val="32"/>
          <w:lang w:eastAsia="en-US"/>
        </w:rPr>
        <w:t>B</w:t>
      </w:r>
      <w:r w:rsidR="00296AED" w:rsidRPr="0079130D">
        <w:rPr>
          <w:rFonts w:eastAsia="MS Mincho" w:cs="Arial"/>
          <w:b/>
          <w:sz w:val="32"/>
          <w:lang w:eastAsia="en-US"/>
        </w:rPr>
        <w:t>.5. Interpretation and discussion of valuation results</w:t>
      </w:r>
    </w:p>
    <w:p w14:paraId="06B473F8" w14:textId="77777777" w:rsidR="00296AED" w:rsidRPr="0079130D" w:rsidRDefault="00296AED" w:rsidP="00296AED">
      <w:pPr>
        <w:spacing w:before="0"/>
        <w:ind w:left="2160"/>
        <w:rPr>
          <w:rFonts w:eastAsia="MS Mincho" w:cs="Arial"/>
          <w:lang w:eastAsia="en-US"/>
        </w:rPr>
      </w:pPr>
    </w:p>
    <w:p w14:paraId="06B473F9"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We note that the values derived here are of a similar magnitude except for fitness and music participation which are negative values due to the negative coefficients derived in Table 3, the reasons for which we have discussed above: we shall ignore the results for fitness and music in the discussion here due to the complications surrounding causal inference for those variables. </w:t>
      </w:r>
      <w:r w:rsidRPr="0079130D">
        <w:rPr>
          <w:rFonts w:eastAsia="MS Mincho" w:cs="Arial"/>
          <w:b/>
          <w:lang w:eastAsia="en-US"/>
        </w:rPr>
        <w:t>Participation in dance has the highest value of £1,671 pa, followed by swimming (£1,630 pa) and library visits (£1,359 pa).</w:t>
      </w:r>
    </w:p>
    <w:p w14:paraId="06B473FA" w14:textId="77777777" w:rsidR="00296AED" w:rsidRPr="0079130D" w:rsidRDefault="00296AED" w:rsidP="00296AED">
      <w:pPr>
        <w:spacing w:before="0"/>
        <w:ind w:left="2160"/>
        <w:rPr>
          <w:rFonts w:eastAsia="MS Mincho" w:cs="Arial"/>
          <w:lang w:eastAsia="en-US"/>
        </w:rPr>
      </w:pPr>
    </w:p>
    <w:p w14:paraId="06B473FB"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The value estimates are plausible and seem reasonable for each activity type and this is due to the innovative methodology used to estimate the impact of income on life satisfaction in this study. The results are comparable to values estimated by Fujiwara (2013c) using the Taking </w:t>
      </w:r>
      <w:r w:rsidRPr="0079130D">
        <w:rPr>
          <w:rFonts w:eastAsia="MS Mincho" w:cs="Arial"/>
          <w:lang w:eastAsia="en-US"/>
        </w:rPr>
        <w:lastRenderedPageBreak/>
        <w:t>part dataset and the wellbeing valuation approach. Fujiwara (2013c) found that being audience to arts events has a value of about £2,000 pa and that participation in sports has a value of about £1,500 pa. These are higher than the values derived in Table 6 for a number of reasons. First, Fujiwara (2013c) uses happiness measured on a 10-point scale rather than life satisfaction. Since income is less strongly correlated with happiness than life satisfaction, we will tend to find larger monetary values estimates when using happiness instead of life satisfaction. Second, Taking Part is dataset representative of England rather than the UK and hence they are values for different sample groups. Taken together the results here and from Fujiwara (2013c) show that arts and sport are important determinants of wellbeing, whether measured using an evaluative global measure such as life satisfaction or a more affective or hedonic wellbeing measure such as happiness. Arts and sports activities are therefore valuable to the individual and this value will differ somewhat depending on whether we focus on happiness or more evaluative measures of wellbeing such as life satisfaction. The results here and from Fujiwara (2013c) support each other.</w:t>
      </w:r>
    </w:p>
    <w:p w14:paraId="06B473FC" w14:textId="77777777" w:rsidR="00296AED" w:rsidRPr="0079130D" w:rsidRDefault="00296AED" w:rsidP="00296AED">
      <w:pPr>
        <w:spacing w:before="0"/>
        <w:ind w:left="2160"/>
        <w:rPr>
          <w:rFonts w:eastAsia="MS Mincho" w:cs="Arial"/>
          <w:lang w:eastAsia="en-US"/>
        </w:rPr>
      </w:pPr>
    </w:p>
    <w:p w14:paraId="06B473FD"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Unfortunately, the </w:t>
      </w:r>
      <w:r w:rsidRPr="0079130D">
        <w:rPr>
          <w:rFonts w:eastAsia="MS Mincho" w:cs="Arial"/>
          <w:i/>
          <w:lang w:eastAsia="en-US"/>
        </w:rPr>
        <w:t>Understanding Society</w:t>
      </w:r>
      <w:r w:rsidRPr="0079130D">
        <w:rPr>
          <w:rFonts w:eastAsia="MS Mincho" w:cs="Arial"/>
          <w:lang w:eastAsia="en-US"/>
        </w:rPr>
        <w:t xml:space="preserve"> survey does not provide good data on the frequency with which the activities in Table 6 are undertaken and hence </w:t>
      </w:r>
      <w:r w:rsidRPr="0079130D">
        <w:rPr>
          <w:rFonts w:eastAsia="MS Mincho" w:cs="Arial"/>
          <w:b/>
          <w:lang w:eastAsia="en-US"/>
        </w:rPr>
        <w:t>it is hard to move from annual (or monthly) values to derive values on a per activity basis</w:t>
      </w:r>
      <w:r w:rsidRPr="0079130D">
        <w:rPr>
          <w:rFonts w:eastAsia="MS Mincho" w:cs="Arial"/>
          <w:lang w:eastAsia="en-US"/>
        </w:rPr>
        <w:t xml:space="preserve">. Ideally, we would like to know frequency of going among the subset of the population who do go. What we can glean from the data is that for people that do go (defined as people who go more than once per year) overall the median number of times people do arts audience activities is at least once per month. For moderate intensity sports, such as those in Table 6, the median frequency is one to three times per week. We can use these frequencies to break down the overall or aggregate level values from Table 6. Based on this data we will assume that overall arts audience activities are undertaken 15-20 times per year (as a conservative estimate). For the </w:t>
      </w:r>
      <w:r w:rsidRPr="0079130D">
        <w:rPr>
          <w:rFonts w:eastAsia="MS Mincho" w:cs="Arial"/>
          <w:i/>
          <w:lang w:eastAsia="en-US"/>
        </w:rPr>
        <w:t>All sports</w:t>
      </w:r>
      <w:r w:rsidRPr="0079130D">
        <w:rPr>
          <w:rFonts w:eastAsia="MS Mincho" w:cs="Arial"/>
          <w:lang w:eastAsia="en-US"/>
        </w:rPr>
        <w:t xml:space="preserve"> variable we assume that the average frequency is 2 times per week or 104 times per year. Using these assumptions we estimate a ‘per activity’ value for the arts and sports.</w:t>
      </w:r>
    </w:p>
    <w:p w14:paraId="06B473FE" w14:textId="77777777" w:rsidR="00296AED" w:rsidRPr="0079130D" w:rsidRDefault="00296AED" w:rsidP="00296AED">
      <w:pPr>
        <w:spacing w:before="0"/>
        <w:ind w:left="2160"/>
        <w:rPr>
          <w:rFonts w:eastAsia="MS Mincho" w:cs="Arial"/>
          <w:b/>
          <w:lang w:eastAsia="en-US"/>
        </w:rPr>
      </w:pPr>
    </w:p>
    <w:p w14:paraId="06B473FF" w14:textId="77777777" w:rsidR="00296AED" w:rsidRPr="0079130D" w:rsidRDefault="00296AED" w:rsidP="00296AED">
      <w:pPr>
        <w:spacing w:before="0"/>
        <w:ind w:left="2160"/>
        <w:rPr>
          <w:rFonts w:eastAsia="MS Mincho" w:cs="Arial"/>
          <w:b/>
          <w:lang w:eastAsia="en-US"/>
        </w:rPr>
      </w:pPr>
      <w:r w:rsidRPr="0079130D">
        <w:rPr>
          <w:rFonts w:eastAsia="MS Mincho" w:cs="Arial"/>
          <w:b/>
          <w:lang w:eastAsia="en-US"/>
        </w:rPr>
        <w:t>Table 7. Value of engagement in culture and sports per activity</w:t>
      </w:r>
    </w:p>
    <w:tbl>
      <w:tblPr>
        <w:tblW w:w="10180" w:type="dxa"/>
        <w:jc w:val="center"/>
        <w:tblInd w:w="1559" w:type="dxa"/>
        <w:tblLook w:val="04A0" w:firstRow="1" w:lastRow="0" w:firstColumn="1" w:lastColumn="0" w:noHBand="0" w:noVBand="1"/>
      </w:tblPr>
      <w:tblGrid>
        <w:gridCol w:w="2680"/>
        <w:gridCol w:w="1280"/>
        <w:gridCol w:w="2740"/>
        <w:gridCol w:w="1740"/>
        <w:gridCol w:w="1740"/>
      </w:tblGrid>
      <w:tr w:rsidR="00296AED" w:rsidRPr="00296AED" w14:paraId="06B47405" w14:textId="77777777" w:rsidTr="00296AED">
        <w:trPr>
          <w:trHeight w:val="315"/>
          <w:jc w:val="center"/>
        </w:trPr>
        <w:tc>
          <w:tcPr>
            <w:tcW w:w="2680" w:type="dxa"/>
            <w:tcBorders>
              <w:top w:val="single" w:sz="8" w:space="0" w:color="auto"/>
              <w:left w:val="single" w:sz="8" w:space="0" w:color="auto"/>
              <w:bottom w:val="double" w:sz="6" w:space="0" w:color="auto"/>
              <w:right w:val="nil"/>
            </w:tcBorders>
            <w:shd w:val="clear" w:color="000000" w:fill="0070C0"/>
            <w:noWrap/>
            <w:vAlign w:val="bottom"/>
            <w:hideMark/>
          </w:tcPr>
          <w:p w14:paraId="06B47400"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Model &amp; variables</w:t>
            </w:r>
          </w:p>
        </w:tc>
        <w:tc>
          <w:tcPr>
            <w:tcW w:w="1280"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06B47401"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Coefficient</w:t>
            </w:r>
          </w:p>
        </w:tc>
        <w:tc>
          <w:tcPr>
            <w:tcW w:w="2740" w:type="dxa"/>
            <w:tcBorders>
              <w:top w:val="single" w:sz="8" w:space="0" w:color="auto"/>
              <w:left w:val="nil"/>
              <w:bottom w:val="double" w:sz="6" w:space="0" w:color="auto"/>
              <w:right w:val="nil"/>
            </w:tcBorders>
            <w:shd w:val="clear" w:color="000000" w:fill="0070C0"/>
            <w:noWrap/>
            <w:vAlign w:val="bottom"/>
            <w:hideMark/>
          </w:tcPr>
          <w:p w14:paraId="06B47402"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Average frequency (annual)</w:t>
            </w:r>
          </w:p>
        </w:tc>
        <w:tc>
          <w:tcPr>
            <w:tcW w:w="1740"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06B47403"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Value (annual)</w:t>
            </w:r>
          </w:p>
        </w:tc>
        <w:tc>
          <w:tcPr>
            <w:tcW w:w="1740" w:type="dxa"/>
            <w:tcBorders>
              <w:top w:val="single" w:sz="8" w:space="0" w:color="auto"/>
              <w:left w:val="nil"/>
              <w:bottom w:val="double" w:sz="6" w:space="0" w:color="auto"/>
              <w:right w:val="single" w:sz="8" w:space="0" w:color="auto"/>
            </w:tcBorders>
            <w:shd w:val="clear" w:color="000000" w:fill="0070C0"/>
            <w:noWrap/>
            <w:vAlign w:val="bottom"/>
            <w:hideMark/>
          </w:tcPr>
          <w:p w14:paraId="06B47404"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Value per activity</w:t>
            </w:r>
          </w:p>
        </w:tc>
      </w:tr>
      <w:tr w:rsidR="00296AED" w:rsidRPr="00296AED" w14:paraId="06B4740B" w14:textId="77777777" w:rsidTr="00296AED">
        <w:trPr>
          <w:trHeight w:val="315"/>
          <w:jc w:val="center"/>
        </w:trPr>
        <w:tc>
          <w:tcPr>
            <w:tcW w:w="2680" w:type="dxa"/>
            <w:tcBorders>
              <w:top w:val="single" w:sz="4" w:space="0" w:color="auto"/>
              <w:left w:val="single" w:sz="8" w:space="0" w:color="auto"/>
              <w:bottom w:val="single" w:sz="4" w:space="0" w:color="auto"/>
              <w:right w:val="nil"/>
            </w:tcBorders>
            <w:shd w:val="clear" w:color="000000" w:fill="0070C0"/>
            <w:noWrap/>
            <w:vAlign w:val="bottom"/>
            <w:hideMark/>
          </w:tcPr>
          <w:p w14:paraId="06B47406"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Sports</w:t>
            </w:r>
          </w:p>
        </w:tc>
        <w:tc>
          <w:tcPr>
            <w:tcW w:w="128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6B47407"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2740" w:type="dxa"/>
            <w:tcBorders>
              <w:top w:val="single" w:sz="4" w:space="0" w:color="auto"/>
              <w:left w:val="nil"/>
              <w:bottom w:val="single" w:sz="4" w:space="0" w:color="auto"/>
              <w:right w:val="nil"/>
            </w:tcBorders>
            <w:shd w:val="clear" w:color="000000" w:fill="0070C0"/>
            <w:noWrap/>
            <w:vAlign w:val="bottom"/>
            <w:hideMark/>
          </w:tcPr>
          <w:p w14:paraId="06B47408"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174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6B47409"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1740" w:type="dxa"/>
            <w:tcBorders>
              <w:top w:val="single" w:sz="4" w:space="0" w:color="auto"/>
              <w:left w:val="nil"/>
              <w:bottom w:val="single" w:sz="4" w:space="0" w:color="auto"/>
              <w:right w:val="single" w:sz="8" w:space="0" w:color="auto"/>
            </w:tcBorders>
            <w:shd w:val="clear" w:color="000000" w:fill="0070C0"/>
            <w:noWrap/>
            <w:vAlign w:val="bottom"/>
            <w:hideMark/>
          </w:tcPr>
          <w:p w14:paraId="06B4740A"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r>
      <w:tr w:rsidR="00296AED" w:rsidRPr="00296AED" w14:paraId="06B47411" w14:textId="77777777" w:rsidTr="00296AED">
        <w:trPr>
          <w:trHeight w:val="300"/>
          <w:jc w:val="center"/>
        </w:trPr>
        <w:tc>
          <w:tcPr>
            <w:tcW w:w="2680" w:type="dxa"/>
            <w:tcBorders>
              <w:top w:val="nil"/>
              <w:left w:val="single" w:sz="8" w:space="0" w:color="auto"/>
              <w:bottom w:val="nil"/>
              <w:right w:val="nil"/>
            </w:tcBorders>
            <w:shd w:val="clear" w:color="auto" w:fill="auto"/>
            <w:noWrap/>
            <w:vAlign w:val="bottom"/>
            <w:hideMark/>
          </w:tcPr>
          <w:p w14:paraId="06B4740C"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All sports</w:t>
            </w:r>
          </w:p>
        </w:tc>
        <w:tc>
          <w:tcPr>
            <w:tcW w:w="1280" w:type="dxa"/>
            <w:tcBorders>
              <w:top w:val="nil"/>
              <w:left w:val="single" w:sz="4" w:space="0" w:color="auto"/>
              <w:bottom w:val="nil"/>
              <w:right w:val="single" w:sz="4" w:space="0" w:color="auto"/>
            </w:tcBorders>
            <w:shd w:val="clear" w:color="auto" w:fill="auto"/>
            <w:noWrap/>
            <w:vAlign w:val="bottom"/>
            <w:hideMark/>
          </w:tcPr>
          <w:p w14:paraId="06B4740D"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0.052***</w:t>
            </w:r>
          </w:p>
        </w:tc>
        <w:tc>
          <w:tcPr>
            <w:tcW w:w="2740" w:type="dxa"/>
            <w:tcBorders>
              <w:top w:val="nil"/>
              <w:left w:val="nil"/>
              <w:bottom w:val="nil"/>
              <w:right w:val="nil"/>
            </w:tcBorders>
            <w:shd w:val="clear" w:color="auto" w:fill="auto"/>
            <w:noWrap/>
            <w:vAlign w:val="bottom"/>
            <w:hideMark/>
          </w:tcPr>
          <w:p w14:paraId="06B4740E"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104</w:t>
            </w:r>
          </w:p>
        </w:tc>
        <w:tc>
          <w:tcPr>
            <w:tcW w:w="1740" w:type="dxa"/>
            <w:tcBorders>
              <w:top w:val="nil"/>
              <w:left w:val="single" w:sz="4" w:space="0" w:color="auto"/>
              <w:bottom w:val="nil"/>
              <w:right w:val="single" w:sz="4" w:space="0" w:color="auto"/>
            </w:tcBorders>
            <w:shd w:val="clear" w:color="auto" w:fill="auto"/>
            <w:noWrap/>
            <w:vAlign w:val="bottom"/>
            <w:hideMark/>
          </w:tcPr>
          <w:p w14:paraId="06B4740F" w14:textId="77777777" w:rsidR="00296AED" w:rsidRPr="00296AED" w:rsidRDefault="00296AED" w:rsidP="00296AED">
            <w:pPr>
              <w:spacing w:before="0"/>
              <w:ind w:left="0"/>
              <w:jc w:val="center"/>
              <w:rPr>
                <w:rFonts w:ascii="Calibri" w:hAnsi="Calibri" w:cs="Calibri"/>
                <w:b/>
                <w:bCs/>
                <w:sz w:val="22"/>
                <w:szCs w:val="22"/>
              </w:rPr>
            </w:pPr>
            <w:r w:rsidRPr="00296AED">
              <w:rPr>
                <w:rFonts w:ascii="Calibri" w:hAnsi="Calibri" w:cs="Calibri"/>
                <w:b/>
                <w:bCs/>
                <w:sz w:val="22"/>
                <w:szCs w:val="22"/>
              </w:rPr>
              <w:t>£1,127</w:t>
            </w:r>
          </w:p>
        </w:tc>
        <w:tc>
          <w:tcPr>
            <w:tcW w:w="1740" w:type="dxa"/>
            <w:tcBorders>
              <w:top w:val="nil"/>
              <w:left w:val="nil"/>
              <w:bottom w:val="nil"/>
              <w:right w:val="single" w:sz="8" w:space="0" w:color="auto"/>
            </w:tcBorders>
            <w:shd w:val="clear" w:color="auto" w:fill="auto"/>
            <w:noWrap/>
            <w:vAlign w:val="bottom"/>
            <w:hideMark/>
          </w:tcPr>
          <w:p w14:paraId="06B47410" w14:textId="77777777" w:rsidR="00296AED" w:rsidRPr="00296AED" w:rsidRDefault="00296AED" w:rsidP="00296AED">
            <w:pPr>
              <w:spacing w:before="0"/>
              <w:ind w:left="0"/>
              <w:jc w:val="center"/>
              <w:rPr>
                <w:rFonts w:ascii="Calibri" w:hAnsi="Calibri" w:cs="Calibri"/>
                <w:b/>
                <w:color w:val="000000"/>
                <w:sz w:val="22"/>
                <w:szCs w:val="22"/>
              </w:rPr>
            </w:pPr>
            <w:r w:rsidRPr="00296AED">
              <w:rPr>
                <w:rFonts w:ascii="Calibri" w:hAnsi="Calibri" w:cs="Calibri"/>
                <w:b/>
                <w:color w:val="000000"/>
                <w:sz w:val="22"/>
                <w:szCs w:val="22"/>
              </w:rPr>
              <w:t>£10.84</w:t>
            </w:r>
          </w:p>
        </w:tc>
      </w:tr>
      <w:tr w:rsidR="00296AED" w:rsidRPr="00296AED" w14:paraId="06B47417" w14:textId="77777777" w:rsidTr="00296AED">
        <w:trPr>
          <w:trHeight w:val="300"/>
          <w:jc w:val="center"/>
        </w:trPr>
        <w:tc>
          <w:tcPr>
            <w:tcW w:w="2680" w:type="dxa"/>
            <w:tcBorders>
              <w:top w:val="nil"/>
              <w:left w:val="single" w:sz="8" w:space="0" w:color="auto"/>
              <w:bottom w:val="single" w:sz="4" w:space="0" w:color="auto"/>
              <w:right w:val="nil"/>
            </w:tcBorders>
            <w:shd w:val="clear" w:color="000000" w:fill="0070C0"/>
            <w:noWrap/>
            <w:vAlign w:val="bottom"/>
            <w:hideMark/>
          </w:tcPr>
          <w:p w14:paraId="06B47412" w14:textId="77777777" w:rsidR="00296AED" w:rsidRPr="00296AED" w:rsidRDefault="00296AED" w:rsidP="00296AED">
            <w:pPr>
              <w:spacing w:before="0"/>
              <w:ind w:left="0"/>
              <w:jc w:val="center"/>
              <w:rPr>
                <w:rFonts w:ascii="Calibri" w:hAnsi="Calibri" w:cs="Calibri"/>
                <w:b/>
                <w:bCs/>
                <w:color w:val="FFFFFF"/>
                <w:sz w:val="22"/>
                <w:szCs w:val="22"/>
              </w:rPr>
            </w:pPr>
            <w:r w:rsidRPr="00296AED">
              <w:rPr>
                <w:rFonts w:ascii="Calibri" w:hAnsi="Calibri" w:cs="Calibri"/>
                <w:b/>
                <w:bCs/>
                <w:color w:val="FFFFFF"/>
                <w:sz w:val="22"/>
                <w:szCs w:val="22"/>
              </w:rPr>
              <w:t>Culture</w:t>
            </w:r>
          </w:p>
        </w:tc>
        <w:tc>
          <w:tcPr>
            <w:tcW w:w="1280" w:type="dxa"/>
            <w:tcBorders>
              <w:top w:val="nil"/>
              <w:left w:val="single" w:sz="4" w:space="0" w:color="auto"/>
              <w:bottom w:val="single" w:sz="4" w:space="0" w:color="auto"/>
              <w:right w:val="single" w:sz="4" w:space="0" w:color="auto"/>
            </w:tcBorders>
            <w:shd w:val="clear" w:color="000000" w:fill="0070C0"/>
            <w:noWrap/>
            <w:vAlign w:val="bottom"/>
            <w:hideMark/>
          </w:tcPr>
          <w:p w14:paraId="06B47413"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2740" w:type="dxa"/>
            <w:tcBorders>
              <w:top w:val="nil"/>
              <w:left w:val="nil"/>
              <w:bottom w:val="single" w:sz="4" w:space="0" w:color="auto"/>
              <w:right w:val="nil"/>
            </w:tcBorders>
            <w:shd w:val="clear" w:color="000000" w:fill="0070C0"/>
            <w:noWrap/>
            <w:vAlign w:val="bottom"/>
            <w:hideMark/>
          </w:tcPr>
          <w:p w14:paraId="06B47414" w14:textId="77777777" w:rsidR="00296AED" w:rsidRPr="00296AED" w:rsidRDefault="00296AED" w:rsidP="00296AED">
            <w:pPr>
              <w:spacing w:before="0"/>
              <w:ind w:left="0"/>
              <w:jc w:val="center"/>
              <w:rPr>
                <w:rFonts w:ascii="Calibri" w:hAnsi="Calibri" w:cs="Calibri"/>
                <w:color w:val="FFFFFF"/>
                <w:sz w:val="22"/>
                <w:szCs w:val="22"/>
              </w:rPr>
            </w:pPr>
            <w:r w:rsidRPr="00296AED">
              <w:rPr>
                <w:rFonts w:ascii="Calibri" w:hAnsi="Calibri" w:cs="Calibri"/>
                <w:color w:val="FFFFFF"/>
                <w:sz w:val="22"/>
                <w:szCs w:val="22"/>
              </w:rPr>
              <w:t> </w:t>
            </w:r>
          </w:p>
        </w:tc>
        <w:tc>
          <w:tcPr>
            <w:tcW w:w="1740" w:type="dxa"/>
            <w:tcBorders>
              <w:top w:val="nil"/>
              <w:left w:val="single" w:sz="4" w:space="0" w:color="auto"/>
              <w:bottom w:val="single" w:sz="4" w:space="0" w:color="auto"/>
              <w:right w:val="single" w:sz="4" w:space="0" w:color="auto"/>
            </w:tcBorders>
            <w:shd w:val="clear" w:color="000000" w:fill="0070C0"/>
            <w:noWrap/>
            <w:vAlign w:val="bottom"/>
            <w:hideMark/>
          </w:tcPr>
          <w:p w14:paraId="06B47415" w14:textId="77777777" w:rsidR="00296AED" w:rsidRPr="00296AED" w:rsidRDefault="00296AED" w:rsidP="00296AED">
            <w:pPr>
              <w:spacing w:before="0"/>
              <w:ind w:left="0"/>
              <w:jc w:val="center"/>
              <w:rPr>
                <w:rFonts w:ascii="Calibri" w:hAnsi="Calibri" w:cs="Calibri"/>
                <w:b/>
                <w:color w:val="FFFFFF"/>
                <w:sz w:val="22"/>
                <w:szCs w:val="22"/>
              </w:rPr>
            </w:pPr>
            <w:r w:rsidRPr="00296AED">
              <w:rPr>
                <w:rFonts w:ascii="Calibri" w:hAnsi="Calibri" w:cs="Calibri"/>
                <w:b/>
                <w:color w:val="FFFFFF"/>
                <w:sz w:val="22"/>
                <w:szCs w:val="22"/>
              </w:rPr>
              <w:t> </w:t>
            </w:r>
          </w:p>
        </w:tc>
        <w:tc>
          <w:tcPr>
            <w:tcW w:w="1740" w:type="dxa"/>
            <w:tcBorders>
              <w:top w:val="nil"/>
              <w:left w:val="nil"/>
              <w:bottom w:val="single" w:sz="4" w:space="0" w:color="auto"/>
              <w:right w:val="single" w:sz="8" w:space="0" w:color="auto"/>
            </w:tcBorders>
            <w:shd w:val="clear" w:color="000000" w:fill="0070C0"/>
            <w:noWrap/>
            <w:vAlign w:val="bottom"/>
            <w:hideMark/>
          </w:tcPr>
          <w:p w14:paraId="06B47416" w14:textId="77777777" w:rsidR="00296AED" w:rsidRPr="00296AED" w:rsidRDefault="00296AED" w:rsidP="00296AED">
            <w:pPr>
              <w:spacing w:before="0"/>
              <w:ind w:left="0"/>
              <w:jc w:val="center"/>
              <w:rPr>
                <w:rFonts w:ascii="Calibri" w:hAnsi="Calibri" w:cs="Calibri"/>
                <w:b/>
                <w:color w:val="FFFFFF"/>
                <w:sz w:val="22"/>
                <w:szCs w:val="22"/>
              </w:rPr>
            </w:pPr>
            <w:r w:rsidRPr="00296AED">
              <w:rPr>
                <w:rFonts w:ascii="Calibri" w:hAnsi="Calibri" w:cs="Calibri"/>
                <w:b/>
                <w:color w:val="FFFFFF"/>
                <w:sz w:val="22"/>
                <w:szCs w:val="22"/>
              </w:rPr>
              <w:t> </w:t>
            </w:r>
          </w:p>
        </w:tc>
      </w:tr>
      <w:tr w:rsidR="00296AED" w:rsidRPr="00296AED" w14:paraId="06B4741D" w14:textId="77777777" w:rsidTr="00296AED">
        <w:trPr>
          <w:trHeight w:val="315"/>
          <w:jc w:val="center"/>
        </w:trPr>
        <w:tc>
          <w:tcPr>
            <w:tcW w:w="2680" w:type="dxa"/>
            <w:tcBorders>
              <w:top w:val="nil"/>
              <w:left w:val="single" w:sz="8" w:space="0" w:color="auto"/>
              <w:bottom w:val="single" w:sz="8" w:space="0" w:color="auto"/>
              <w:right w:val="nil"/>
            </w:tcBorders>
            <w:shd w:val="clear" w:color="auto" w:fill="auto"/>
            <w:noWrap/>
            <w:vAlign w:val="bottom"/>
            <w:hideMark/>
          </w:tcPr>
          <w:p w14:paraId="06B47418" w14:textId="77777777" w:rsidR="00296AED" w:rsidRPr="00296AED" w:rsidRDefault="00296AED" w:rsidP="00296AED">
            <w:pPr>
              <w:spacing w:before="0"/>
              <w:ind w:left="0"/>
              <w:rPr>
                <w:rFonts w:ascii="Calibri" w:hAnsi="Calibri" w:cs="Calibri"/>
                <w:i/>
                <w:iCs/>
                <w:color w:val="000000"/>
                <w:sz w:val="22"/>
                <w:szCs w:val="22"/>
              </w:rPr>
            </w:pPr>
            <w:r w:rsidRPr="00296AED">
              <w:rPr>
                <w:rFonts w:ascii="Calibri" w:hAnsi="Calibri" w:cs="Calibri"/>
                <w:i/>
                <w:iCs/>
                <w:color w:val="000000"/>
                <w:sz w:val="22"/>
                <w:szCs w:val="22"/>
              </w:rPr>
              <w:t>All audience arts</w:t>
            </w:r>
          </w:p>
        </w:tc>
        <w:tc>
          <w:tcPr>
            <w:tcW w:w="1280" w:type="dxa"/>
            <w:tcBorders>
              <w:top w:val="nil"/>
              <w:left w:val="single" w:sz="4" w:space="0" w:color="auto"/>
              <w:bottom w:val="single" w:sz="8" w:space="0" w:color="auto"/>
              <w:right w:val="single" w:sz="4" w:space="0" w:color="auto"/>
            </w:tcBorders>
            <w:shd w:val="clear" w:color="auto" w:fill="auto"/>
            <w:noWrap/>
            <w:vAlign w:val="bottom"/>
            <w:hideMark/>
          </w:tcPr>
          <w:p w14:paraId="06B47419"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0.043**</w:t>
            </w:r>
          </w:p>
        </w:tc>
        <w:tc>
          <w:tcPr>
            <w:tcW w:w="2740" w:type="dxa"/>
            <w:tcBorders>
              <w:top w:val="nil"/>
              <w:left w:val="nil"/>
              <w:bottom w:val="single" w:sz="8" w:space="0" w:color="auto"/>
              <w:right w:val="nil"/>
            </w:tcBorders>
            <w:shd w:val="clear" w:color="auto" w:fill="auto"/>
            <w:noWrap/>
            <w:vAlign w:val="bottom"/>
            <w:hideMark/>
          </w:tcPr>
          <w:p w14:paraId="06B4741A" w14:textId="77777777" w:rsidR="00296AED" w:rsidRPr="00296AED" w:rsidRDefault="00296AED" w:rsidP="00296AED">
            <w:pPr>
              <w:spacing w:before="0"/>
              <w:ind w:left="0"/>
              <w:jc w:val="center"/>
              <w:rPr>
                <w:rFonts w:ascii="Calibri" w:hAnsi="Calibri" w:cs="Calibri"/>
                <w:color w:val="000000"/>
                <w:sz w:val="22"/>
                <w:szCs w:val="22"/>
              </w:rPr>
            </w:pPr>
            <w:r w:rsidRPr="00296AED">
              <w:rPr>
                <w:rFonts w:ascii="Calibri" w:hAnsi="Calibri" w:cs="Calibri"/>
                <w:color w:val="000000"/>
                <w:sz w:val="22"/>
                <w:szCs w:val="22"/>
              </w:rPr>
              <w:t>15-20</w:t>
            </w:r>
          </w:p>
        </w:tc>
        <w:tc>
          <w:tcPr>
            <w:tcW w:w="1740" w:type="dxa"/>
            <w:tcBorders>
              <w:top w:val="nil"/>
              <w:left w:val="single" w:sz="4" w:space="0" w:color="auto"/>
              <w:bottom w:val="single" w:sz="8" w:space="0" w:color="auto"/>
              <w:right w:val="single" w:sz="4" w:space="0" w:color="auto"/>
            </w:tcBorders>
            <w:shd w:val="clear" w:color="auto" w:fill="auto"/>
            <w:noWrap/>
            <w:vAlign w:val="bottom"/>
            <w:hideMark/>
          </w:tcPr>
          <w:p w14:paraId="06B4741B" w14:textId="77777777" w:rsidR="00296AED" w:rsidRPr="00296AED" w:rsidRDefault="00296AED" w:rsidP="00296AED">
            <w:pPr>
              <w:spacing w:before="0"/>
              <w:ind w:left="0"/>
              <w:jc w:val="center"/>
              <w:rPr>
                <w:rFonts w:ascii="Calibri" w:hAnsi="Calibri" w:cs="Calibri"/>
                <w:b/>
                <w:color w:val="000000"/>
                <w:sz w:val="22"/>
                <w:szCs w:val="22"/>
              </w:rPr>
            </w:pPr>
            <w:r w:rsidRPr="00296AED">
              <w:rPr>
                <w:rFonts w:ascii="Calibri" w:hAnsi="Calibri" w:cs="Calibri"/>
                <w:b/>
                <w:color w:val="000000"/>
                <w:sz w:val="22"/>
                <w:szCs w:val="22"/>
              </w:rPr>
              <w:t>£935</w:t>
            </w:r>
          </w:p>
        </w:tc>
        <w:tc>
          <w:tcPr>
            <w:tcW w:w="1740" w:type="dxa"/>
            <w:tcBorders>
              <w:top w:val="nil"/>
              <w:left w:val="nil"/>
              <w:bottom w:val="single" w:sz="8" w:space="0" w:color="auto"/>
              <w:right w:val="single" w:sz="8" w:space="0" w:color="auto"/>
            </w:tcBorders>
            <w:shd w:val="clear" w:color="auto" w:fill="auto"/>
            <w:noWrap/>
            <w:vAlign w:val="bottom"/>
            <w:hideMark/>
          </w:tcPr>
          <w:p w14:paraId="06B4741C" w14:textId="77777777" w:rsidR="00296AED" w:rsidRPr="00296AED" w:rsidRDefault="00296AED" w:rsidP="00296AED">
            <w:pPr>
              <w:spacing w:before="0"/>
              <w:ind w:left="0"/>
              <w:jc w:val="center"/>
              <w:rPr>
                <w:rFonts w:ascii="Calibri" w:hAnsi="Calibri" w:cs="Calibri"/>
                <w:b/>
                <w:color w:val="000000"/>
                <w:sz w:val="22"/>
                <w:szCs w:val="22"/>
              </w:rPr>
            </w:pPr>
            <w:r w:rsidRPr="00296AED">
              <w:rPr>
                <w:rFonts w:ascii="Calibri" w:hAnsi="Calibri" w:cs="Calibri"/>
                <w:b/>
                <w:color w:val="000000"/>
                <w:sz w:val="22"/>
                <w:szCs w:val="22"/>
              </w:rPr>
              <w:t>£46.75 - £62.33</w:t>
            </w:r>
          </w:p>
        </w:tc>
      </w:tr>
    </w:tbl>
    <w:p w14:paraId="06B4741E" w14:textId="77777777" w:rsidR="00296AED" w:rsidRPr="00296AED" w:rsidRDefault="00296AED" w:rsidP="00296AED">
      <w:pPr>
        <w:spacing w:before="0"/>
        <w:ind w:left="2160"/>
        <w:rPr>
          <w:rFonts w:ascii="Calibri" w:eastAsia="MS Mincho" w:hAnsi="Calibri" w:cs="Calibri"/>
          <w:b/>
          <w:lang w:eastAsia="en-US"/>
        </w:rPr>
      </w:pPr>
    </w:p>
    <w:p w14:paraId="06B4741F"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This suggests that the value per sporting activity, such as playing football or going swimming, is about £11. For arts attendance, it is about £47 per activity (taking the conservative estimate). As discussed with the valuations for the CASE programme work, these are values in addition to any price paid to participate such as entrance fees. We stress that since the frequency data is poor in Understanding Society </w:t>
      </w:r>
      <w:r w:rsidRPr="0079130D">
        <w:rPr>
          <w:rFonts w:eastAsia="MS Mincho" w:cs="Arial"/>
          <w:lang w:eastAsia="en-US"/>
        </w:rPr>
        <w:lastRenderedPageBreak/>
        <w:t xml:space="preserve">and not directed at specific activities the per activity values derived in Table 7 are only indicative. </w:t>
      </w:r>
    </w:p>
    <w:p w14:paraId="06B47420" w14:textId="77777777" w:rsidR="00296AED" w:rsidRPr="0079130D" w:rsidRDefault="00296AED" w:rsidP="00296AED">
      <w:pPr>
        <w:spacing w:before="0"/>
        <w:ind w:left="2160"/>
        <w:rPr>
          <w:rFonts w:eastAsia="MS Mincho" w:cs="Arial"/>
          <w:lang w:eastAsia="en-US"/>
        </w:rPr>
      </w:pPr>
    </w:p>
    <w:p w14:paraId="06B47421" w14:textId="77777777" w:rsidR="00296AED" w:rsidRPr="0079130D" w:rsidRDefault="00296AED" w:rsidP="00296AED">
      <w:pPr>
        <w:spacing w:before="0"/>
        <w:ind w:left="2160"/>
        <w:rPr>
          <w:rFonts w:eastAsia="MS Mincho" w:cs="Arial"/>
          <w:lang w:eastAsia="en-US"/>
        </w:rPr>
      </w:pPr>
      <w:r w:rsidRPr="0079130D">
        <w:rPr>
          <w:rFonts w:eastAsia="MS Mincho" w:cs="Arial"/>
          <w:lang w:eastAsia="en-US"/>
        </w:rPr>
        <w:t xml:space="preserve">Finally, </w:t>
      </w:r>
      <w:r w:rsidRPr="0079130D">
        <w:rPr>
          <w:rFonts w:eastAsia="MS Mincho" w:cs="Arial"/>
          <w:b/>
          <w:lang w:eastAsia="en-US"/>
        </w:rPr>
        <w:t>we note that the values derived in this study (in Tables 5, 6 and 7) are measures of compensating surplus, which is the technical definition of monetary value used in CBA and the Green Book</w:t>
      </w:r>
      <w:r w:rsidRPr="0079130D">
        <w:rPr>
          <w:rFonts w:eastAsia="MS Mincho" w:cs="Arial"/>
          <w:lang w:eastAsia="en-US"/>
        </w:rPr>
        <w:t xml:space="preserve">. They are fully consistent with the theory of value set out in welfare economics and hence can be applied to CBA. As discussed above they should not be seen as measures of WTP or WTA – they are simply representations of the equivalent amount of money one would need to derive the same wellbeing impact that engaging in culture and sport has. </w:t>
      </w:r>
    </w:p>
    <w:p w14:paraId="06B47422" w14:textId="77777777" w:rsidR="00296AED" w:rsidRPr="00296AED" w:rsidRDefault="00296AED" w:rsidP="00296AED">
      <w:pPr>
        <w:ind w:left="4088"/>
      </w:pPr>
    </w:p>
    <w:p w14:paraId="06B47423" w14:textId="77777777" w:rsidR="00EC4CF9" w:rsidRDefault="00B96BC4" w:rsidP="000B1FC6">
      <w:pPr>
        <w:pStyle w:val="Heading1Numbered"/>
        <w:numPr>
          <w:ilvl w:val="0"/>
          <w:numId w:val="0"/>
        </w:numPr>
        <w:rPr>
          <w:rFonts w:cs="Arial"/>
        </w:rPr>
      </w:pPr>
      <w:bookmarkStart w:id="8" w:name="_Toc385423394"/>
      <w:r>
        <w:rPr>
          <w:rFonts w:cs="Arial"/>
        </w:rPr>
        <w:lastRenderedPageBreak/>
        <w:t>Annex C</w:t>
      </w:r>
      <w:r w:rsidR="00EC4CF9">
        <w:rPr>
          <w:rFonts w:cs="Arial"/>
        </w:rPr>
        <w:t>: Regression outputs</w:t>
      </w:r>
      <w:bookmarkEnd w:id="8"/>
    </w:p>
    <w:p w14:paraId="06B47424" w14:textId="77777777" w:rsidR="00EC4CF9" w:rsidRPr="0079130D" w:rsidRDefault="00B96BC4" w:rsidP="00EC4CF9">
      <w:pPr>
        <w:spacing w:before="0"/>
        <w:ind w:left="2160"/>
        <w:rPr>
          <w:rFonts w:eastAsia="MS Mincho" w:cs="Arial"/>
          <w:b/>
          <w:sz w:val="28"/>
          <w:lang w:eastAsia="en-US"/>
        </w:rPr>
      </w:pPr>
      <w:r w:rsidRPr="0079130D">
        <w:rPr>
          <w:rFonts w:eastAsia="MS Mincho" w:cs="Arial"/>
          <w:b/>
          <w:sz w:val="28"/>
          <w:lang w:eastAsia="en-US"/>
        </w:rPr>
        <w:t>C</w:t>
      </w:r>
      <w:r w:rsidR="00EC4CF9" w:rsidRPr="0079130D">
        <w:rPr>
          <w:rFonts w:eastAsia="MS Mincho" w:cs="Arial"/>
          <w:b/>
          <w:sz w:val="28"/>
          <w:lang w:eastAsia="en-US"/>
        </w:rPr>
        <w:t xml:space="preserve">.1. Derivation of the Wellbeing Valuation Approach </w:t>
      </w:r>
    </w:p>
    <w:p w14:paraId="06B47425" w14:textId="77777777" w:rsidR="00EC4CF9" w:rsidRPr="0079130D" w:rsidRDefault="00EC4CF9" w:rsidP="00EC4CF9">
      <w:pPr>
        <w:widowControl w:val="0"/>
        <w:autoSpaceDE w:val="0"/>
        <w:autoSpaceDN w:val="0"/>
        <w:adjustRightInd w:val="0"/>
        <w:spacing w:before="0"/>
        <w:ind w:left="2160"/>
        <w:rPr>
          <w:rFonts w:eastAsia="MS Mincho" w:cs="Arial"/>
          <w:szCs w:val="32"/>
          <w:lang w:eastAsia="en-US"/>
        </w:rPr>
      </w:pPr>
    </w:p>
    <w:p w14:paraId="06B47426" w14:textId="77777777" w:rsidR="00EC4CF9" w:rsidRPr="0079130D" w:rsidRDefault="00EC4CF9" w:rsidP="00EC4CF9">
      <w:pPr>
        <w:widowControl w:val="0"/>
        <w:autoSpaceDE w:val="0"/>
        <w:autoSpaceDN w:val="0"/>
        <w:adjustRightInd w:val="0"/>
        <w:spacing w:before="0"/>
        <w:ind w:left="2160"/>
        <w:rPr>
          <w:rFonts w:eastAsia="MS Mincho" w:cs="Arial"/>
          <w:lang w:eastAsia="en-US"/>
        </w:rPr>
      </w:pPr>
      <w:r w:rsidRPr="0079130D">
        <w:rPr>
          <w:rFonts w:eastAsia="MS Mincho" w:cs="Arial"/>
          <w:szCs w:val="32"/>
          <w:lang w:eastAsia="en-US"/>
        </w:rPr>
        <w:t xml:space="preserve">Formally, CS and ES can be measured as follows using the WV method. </w:t>
      </w:r>
      <w:r w:rsidRPr="0079130D">
        <w:rPr>
          <w:rFonts w:eastAsia="MS Mincho" w:cs="Arial"/>
          <w:lang w:eastAsia="en-US"/>
        </w:rPr>
        <w:t>Using the indirect utility function CS for a non-market good, i.e. a good that has a positive effect on welfare, can be stated as follows:</w:t>
      </w:r>
    </w:p>
    <w:p w14:paraId="06B47427" w14:textId="77777777" w:rsidR="00EC4CF9" w:rsidRPr="0079130D" w:rsidRDefault="00EC4CF9" w:rsidP="00EC4CF9">
      <w:pPr>
        <w:spacing w:before="0"/>
        <w:ind w:left="2160"/>
        <w:rPr>
          <w:rFonts w:eastAsia="MS Mincho" w:cs="Arial"/>
          <w:lang w:eastAsia="en-US"/>
        </w:rPr>
      </w:pPr>
    </w:p>
    <w:p w14:paraId="06B47428" w14:textId="77777777" w:rsidR="00EC4CF9" w:rsidRPr="0079130D" w:rsidRDefault="00EC4CF9" w:rsidP="00EC4CF9">
      <w:pPr>
        <w:spacing w:before="0"/>
        <w:ind w:left="2160"/>
        <w:rPr>
          <w:rFonts w:eastAsia="MS Mincho" w:cs="Arial"/>
          <w:lang w:eastAsia="en-US"/>
        </w:rPr>
      </w:pPr>
      <m:oMath>
        <m:r>
          <w:rPr>
            <w:rFonts w:ascii="Cambria Math" w:eastAsia="MS Mincho" w:hAnsi="Cambria Math" w:cs="Arial"/>
            <w:lang w:eastAsia="en-US"/>
          </w:rPr>
          <m:t>v</m:t>
        </m:r>
        <m:d>
          <m:dPr>
            <m:ctrlPr>
              <w:rPr>
                <w:rFonts w:ascii="Cambria Math" w:eastAsia="MS Mincho" w:hAnsi="Cambria Math" w:cs="Arial"/>
                <w:i/>
                <w:lang w:eastAsia="en-US"/>
              </w:rPr>
            </m:ctrlPr>
          </m:dPr>
          <m:e>
            <m:sSup>
              <m:sSupPr>
                <m:ctrlPr>
                  <w:rPr>
                    <w:rFonts w:ascii="Cambria Math" w:eastAsia="MS Mincho" w:hAnsi="Cambria Math" w:cs="Arial"/>
                    <w:i/>
                    <w:lang w:eastAsia="en-US"/>
                  </w:rPr>
                </m:ctrlPr>
              </m:sSupPr>
              <m:e>
                <m:r>
                  <w:rPr>
                    <w:rFonts w:ascii="Cambria Math" w:eastAsia="MS Mincho" w:hAnsi="Cambria Math" w:cs="Arial"/>
                    <w:lang w:eastAsia="en-US"/>
                  </w:rPr>
                  <m:t>p</m:t>
                </m:r>
              </m:e>
              <m:sup>
                <m:r>
                  <w:rPr>
                    <w:rFonts w:ascii="Cambria Math" w:eastAsia="MS Mincho" w:hAnsi="Cambria Math" w:cs="Arial"/>
                    <w:lang w:eastAsia="en-US"/>
                  </w:rPr>
                  <m:t>0</m:t>
                </m:r>
              </m:sup>
            </m:sSup>
            <m:r>
              <w:rPr>
                <w:rFonts w:ascii="Cambria Math" w:eastAsia="MS Mincho" w:hAnsi="Cambria Math" w:cs="Arial"/>
                <w:lang w:eastAsia="en-US"/>
              </w:rPr>
              <m:t xml:space="preserve">, </m:t>
            </m:r>
            <m:sSup>
              <m:sSupPr>
                <m:ctrlPr>
                  <w:rPr>
                    <w:rFonts w:ascii="Cambria Math" w:eastAsia="MS Mincho" w:hAnsi="Cambria Math" w:cs="Arial"/>
                    <w:i/>
                    <w:lang w:eastAsia="en-US"/>
                  </w:rPr>
                </m:ctrlPr>
              </m:sSupPr>
              <m:e>
                <m:r>
                  <w:rPr>
                    <w:rFonts w:ascii="Cambria Math" w:eastAsia="MS Mincho" w:hAnsi="Cambria Math" w:cs="Arial"/>
                    <w:lang w:eastAsia="en-US"/>
                  </w:rPr>
                  <m:t>Q</m:t>
                </m:r>
              </m:e>
              <m:sup>
                <m:r>
                  <w:rPr>
                    <w:rFonts w:ascii="Cambria Math" w:eastAsia="MS Mincho" w:hAnsi="Cambria Math" w:cs="Arial"/>
                    <w:lang w:eastAsia="en-US"/>
                  </w:rPr>
                  <m:t>0</m:t>
                </m:r>
              </m:sup>
            </m:sSup>
            <m:r>
              <w:rPr>
                <w:rFonts w:ascii="Cambria Math" w:eastAsia="MS Mincho" w:hAnsi="Cambria Math" w:cs="Arial"/>
                <w:lang w:eastAsia="en-US"/>
              </w:rPr>
              <m:t xml:space="preserve">, </m:t>
            </m:r>
            <m:sSup>
              <m:sSupPr>
                <m:ctrlPr>
                  <w:rPr>
                    <w:rFonts w:ascii="Cambria Math" w:eastAsia="MS Mincho" w:hAnsi="Cambria Math" w:cs="Arial"/>
                    <w:i/>
                    <w:lang w:eastAsia="en-US"/>
                  </w:rPr>
                </m:ctrlPr>
              </m:sSupPr>
              <m:e>
                <m:r>
                  <w:rPr>
                    <w:rFonts w:ascii="Cambria Math" w:eastAsia="MS Mincho" w:hAnsi="Cambria Math" w:cs="Arial"/>
                    <w:lang w:eastAsia="en-US"/>
                  </w:rPr>
                  <m:t>M</m:t>
                </m:r>
              </m:e>
              <m:sup>
                <m:r>
                  <w:rPr>
                    <w:rFonts w:ascii="Cambria Math" w:eastAsia="MS Mincho" w:hAnsi="Cambria Math" w:cs="Arial"/>
                    <w:lang w:eastAsia="en-US"/>
                  </w:rPr>
                  <m:t>0</m:t>
                </m:r>
              </m:sup>
            </m:sSup>
          </m:e>
        </m:d>
        <m:r>
          <m:rPr>
            <m:sty m:val="p"/>
          </m:rPr>
          <w:rPr>
            <w:rFonts w:ascii="Cambria Math" w:eastAsia="MS Mincho" w:hAnsi="Cambria Math" w:cs="Arial"/>
            <w:lang w:eastAsia="en-US"/>
          </w:rPr>
          <m:t>=</m:t>
        </m:r>
        <m:r>
          <w:rPr>
            <w:rFonts w:ascii="Cambria Math" w:eastAsia="MS Mincho" w:hAnsi="Cambria Math" w:cs="Arial"/>
            <w:lang w:eastAsia="en-US"/>
          </w:rPr>
          <m:t>v</m:t>
        </m:r>
        <m:d>
          <m:dPr>
            <m:ctrlPr>
              <w:rPr>
                <w:rFonts w:ascii="Cambria Math" w:eastAsia="MS Mincho" w:hAnsi="Cambria Math" w:cs="Arial"/>
                <w:i/>
                <w:lang w:eastAsia="en-US"/>
              </w:rPr>
            </m:ctrlPr>
          </m:dPr>
          <m:e>
            <m:sSup>
              <m:sSupPr>
                <m:ctrlPr>
                  <w:rPr>
                    <w:rFonts w:ascii="Cambria Math" w:eastAsia="MS Mincho" w:hAnsi="Cambria Math" w:cs="Arial"/>
                    <w:i/>
                    <w:lang w:eastAsia="en-US"/>
                  </w:rPr>
                </m:ctrlPr>
              </m:sSupPr>
              <m:e>
                <m:r>
                  <w:rPr>
                    <w:rFonts w:ascii="Cambria Math" w:eastAsia="MS Mincho" w:hAnsi="Cambria Math" w:cs="Arial"/>
                    <w:lang w:eastAsia="en-US"/>
                  </w:rPr>
                  <m:t>p</m:t>
                </m:r>
              </m:e>
              <m:sup>
                <m:r>
                  <w:rPr>
                    <w:rFonts w:ascii="Cambria Math" w:eastAsia="MS Mincho" w:hAnsi="Cambria Math" w:cs="Arial"/>
                    <w:lang w:eastAsia="en-US"/>
                  </w:rPr>
                  <m:t>1</m:t>
                </m:r>
              </m:sup>
            </m:sSup>
            <m:r>
              <w:rPr>
                <w:rFonts w:ascii="Cambria Math" w:eastAsia="MS Mincho" w:hAnsi="Cambria Math" w:cs="Arial"/>
                <w:lang w:eastAsia="en-US"/>
              </w:rPr>
              <m:t xml:space="preserve">, </m:t>
            </m:r>
            <m:sSup>
              <m:sSupPr>
                <m:ctrlPr>
                  <w:rPr>
                    <w:rFonts w:ascii="Cambria Math" w:eastAsia="MS Mincho" w:hAnsi="Cambria Math" w:cs="Arial"/>
                    <w:i/>
                    <w:lang w:eastAsia="en-US"/>
                  </w:rPr>
                </m:ctrlPr>
              </m:sSupPr>
              <m:e>
                <m:r>
                  <w:rPr>
                    <w:rFonts w:ascii="Cambria Math" w:eastAsia="MS Mincho" w:hAnsi="Cambria Math" w:cs="Arial"/>
                    <w:lang w:eastAsia="en-US"/>
                  </w:rPr>
                  <m:t>Q</m:t>
                </m:r>
              </m:e>
              <m:sup>
                <m:r>
                  <w:rPr>
                    <w:rFonts w:ascii="Cambria Math" w:eastAsia="MS Mincho" w:hAnsi="Cambria Math" w:cs="Arial"/>
                    <w:lang w:eastAsia="en-US"/>
                  </w:rPr>
                  <m:t>1</m:t>
                </m:r>
              </m:sup>
            </m:sSup>
            <m:r>
              <w:rPr>
                <w:rFonts w:ascii="Cambria Math" w:eastAsia="MS Mincho" w:hAnsi="Cambria Math" w:cs="Arial"/>
                <w:lang w:eastAsia="en-US"/>
              </w:rPr>
              <m:t xml:space="preserve">, </m:t>
            </m:r>
            <m:sSup>
              <m:sSupPr>
                <m:ctrlPr>
                  <w:rPr>
                    <w:rFonts w:ascii="Cambria Math" w:eastAsia="MS Mincho" w:hAnsi="Cambria Math" w:cs="Arial"/>
                    <w:i/>
                    <w:lang w:eastAsia="en-US"/>
                  </w:rPr>
                </m:ctrlPr>
              </m:sSupPr>
              <m:e>
                <m:r>
                  <w:rPr>
                    <w:rFonts w:ascii="Cambria Math" w:eastAsia="MS Mincho" w:hAnsi="Cambria Math" w:cs="Arial"/>
                    <w:lang w:eastAsia="en-US"/>
                  </w:rPr>
                  <m:t>M</m:t>
                </m:r>
              </m:e>
              <m:sup>
                <m:r>
                  <w:rPr>
                    <w:rFonts w:ascii="Cambria Math" w:eastAsia="MS Mincho" w:hAnsi="Cambria Math" w:cs="Arial"/>
                    <w:lang w:eastAsia="en-US"/>
                  </w:rPr>
                  <m:t>1</m:t>
                </m:r>
              </m:sup>
            </m:sSup>
            <m:r>
              <w:rPr>
                <w:rFonts w:ascii="Cambria Math" w:eastAsia="MS Mincho" w:hAnsi="Cambria Math" w:cs="Arial"/>
                <w:lang w:eastAsia="en-US"/>
              </w:rPr>
              <m:t>-CS</m:t>
            </m:r>
          </m:e>
        </m:d>
      </m:oMath>
      <w:r w:rsidRPr="0079130D">
        <w:rPr>
          <w:rFonts w:eastAsia="MS Mincho" w:cs="Arial"/>
          <w:lang w:eastAsia="en-US"/>
        </w:rPr>
        <w:t xml:space="preserve"> </w:t>
      </w:r>
      <w:r w:rsidRPr="0079130D">
        <w:rPr>
          <w:rFonts w:eastAsia="MS Mincho" w:cs="Arial"/>
          <w:lang w:eastAsia="en-US"/>
        </w:rPr>
        <w:tab/>
      </w:r>
      <w:r w:rsidRPr="0079130D">
        <w:rPr>
          <w:rFonts w:eastAsia="MS Mincho" w:cs="Arial"/>
          <w:lang w:eastAsia="en-US"/>
        </w:rPr>
        <w:tab/>
        <w:t>(1)</w:t>
      </w:r>
    </w:p>
    <w:p w14:paraId="06B47429" w14:textId="77777777" w:rsidR="00EC4CF9" w:rsidRPr="0079130D" w:rsidRDefault="00EC4CF9" w:rsidP="00EC4CF9">
      <w:pPr>
        <w:spacing w:before="0"/>
        <w:ind w:left="2160"/>
        <w:rPr>
          <w:rFonts w:eastAsia="MS Mincho" w:cs="Arial"/>
          <w:position w:val="-14"/>
          <w:lang w:eastAsia="en-US"/>
        </w:rPr>
      </w:pPr>
    </w:p>
    <w:p w14:paraId="06B4742A" w14:textId="77777777" w:rsidR="00EC4CF9" w:rsidRPr="0079130D" w:rsidRDefault="00EC4CF9" w:rsidP="00EC4CF9">
      <w:pPr>
        <w:spacing w:before="0"/>
        <w:ind w:left="2160"/>
        <w:rPr>
          <w:rFonts w:eastAsia="MS Mincho" w:cs="Arial"/>
          <w:lang w:eastAsia="en-US"/>
        </w:rPr>
      </w:pPr>
      <w:r w:rsidRPr="0079130D">
        <w:rPr>
          <w:rFonts w:eastAsia="MS Mincho" w:cs="Arial"/>
          <w:lang w:eastAsia="en-US"/>
        </w:rPr>
        <w:t xml:space="preserve">where </w:t>
      </w:r>
      <m:oMath>
        <m:r>
          <w:rPr>
            <w:rFonts w:ascii="Cambria Math" w:eastAsia="MS Mincho" w:hAnsi="Cambria Math" w:cs="Arial"/>
            <w:lang w:eastAsia="en-US"/>
          </w:rPr>
          <m:t>v(∙)</m:t>
        </m:r>
      </m:oMath>
      <w:r w:rsidRPr="0079130D">
        <w:rPr>
          <w:rFonts w:eastAsia="MS Mincho" w:cs="Arial"/>
          <w:lang w:eastAsia="en-US"/>
        </w:rPr>
        <w:t xml:space="preserve"> is the indirect utility function; </w:t>
      </w:r>
      <m:oMath>
        <m:r>
          <w:rPr>
            <w:rFonts w:ascii="Cambria Math" w:eastAsia="MS Mincho" w:hAnsi="Cambria Math" w:cs="Arial"/>
            <w:lang w:eastAsia="en-US"/>
          </w:rPr>
          <m:t>M</m:t>
        </m:r>
      </m:oMath>
      <w:r w:rsidRPr="0079130D">
        <w:rPr>
          <w:rFonts w:eastAsia="MS Mincho" w:cs="Arial"/>
          <w:i/>
          <w:lang w:eastAsia="en-US"/>
        </w:rPr>
        <w:t xml:space="preserve"> </w:t>
      </w:r>
      <w:r w:rsidRPr="0079130D">
        <w:rPr>
          <w:rFonts w:eastAsia="MS Mincho" w:cs="Arial"/>
          <w:lang w:eastAsia="en-US"/>
        </w:rPr>
        <w:t xml:space="preserve">= income; </w:t>
      </w:r>
      <m:oMath>
        <m:r>
          <w:rPr>
            <w:rFonts w:ascii="Cambria Math" w:eastAsia="MS Mincho" w:hAnsi="Cambria Math" w:cs="Arial"/>
            <w:lang w:eastAsia="en-US"/>
          </w:rPr>
          <m:t>Q</m:t>
        </m:r>
      </m:oMath>
      <w:r w:rsidRPr="0079130D">
        <w:rPr>
          <w:rFonts w:eastAsia="MS Mincho" w:cs="Arial"/>
          <w:lang w:eastAsia="en-US"/>
        </w:rPr>
        <w:t xml:space="preserve">= the good being valued; </w:t>
      </w:r>
      <m:oMath>
        <m:r>
          <w:rPr>
            <w:rFonts w:ascii="Cambria Math" w:eastAsia="MS Mincho" w:hAnsi="Cambria Math" w:cs="Arial"/>
            <w:lang w:eastAsia="en-US"/>
          </w:rPr>
          <m:t>p</m:t>
        </m:r>
      </m:oMath>
      <w:r w:rsidRPr="0079130D">
        <w:rPr>
          <w:rFonts w:eastAsia="MS Mincho" w:cs="Arial"/>
          <w:lang w:eastAsia="en-US"/>
        </w:rPr>
        <w:t xml:space="preserve">= prices. The </w:t>
      </w:r>
      <w:r w:rsidRPr="0079130D">
        <w:rPr>
          <w:rFonts w:eastAsia="MS Mincho" w:cs="Arial"/>
          <w:i/>
          <w:lang w:eastAsia="en-US"/>
        </w:rPr>
        <w:t xml:space="preserve">0 superscript </w:t>
      </w:r>
      <w:r w:rsidRPr="0079130D">
        <w:rPr>
          <w:rFonts w:eastAsia="MS Mincho" w:cs="Arial"/>
          <w:lang w:eastAsia="en-US"/>
        </w:rPr>
        <w:t xml:space="preserve">signifies the state before </w:t>
      </w:r>
      <m:oMath>
        <m:r>
          <w:rPr>
            <w:rFonts w:ascii="Cambria Math" w:eastAsia="MS Mincho" w:hAnsi="Cambria Math" w:cs="Arial"/>
            <w:lang w:eastAsia="en-US"/>
          </w:rPr>
          <m:t>Q</m:t>
        </m:r>
      </m:oMath>
      <w:r w:rsidRPr="0079130D">
        <w:rPr>
          <w:rFonts w:eastAsia="MS Mincho" w:cs="Arial"/>
          <w:lang w:eastAsia="en-US"/>
        </w:rPr>
        <w:t xml:space="preserve"> is consumed (or without the good) and the </w:t>
      </w:r>
      <w:r w:rsidRPr="0079130D">
        <w:rPr>
          <w:rFonts w:eastAsia="MS Mincho" w:cs="Arial"/>
          <w:i/>
          <w:lang w:eastAsia="en-US"/>
        </w:rPr>
        <w:t xml:space="preserve">1 superscript </w:t>
      </w:r>
      <w:r w:rsidRPr="0079130D">
        <w:rPr>
          <w:rFonts w:eastAsia="MS Mincho" w:cs="Arial"/>
          <w:lang w:eastAsia="en-US"/>
        </w:rPr>
        <w:t xml:space="preserve">signifies the state after consumption (or with the good). In our analysis in this paper </w:t>
      </w:r>
      <m:oMath>
        <m:r>
          <w:rPr>
            <w:rFonts w:ascii="Cambria Math" w:eastAsia="MS Mincho" w:hAnsi="Cambria Math" w:cs="Arial"/>
            <w:lang w:eastAsia="en-US"/>
          </w:rPr>
          <m:t>Q</m:t>
        </m:r>
      </m:oMath>
      <w:r w:rsidRPr="0079130D">
        <w:rPr>
          <w:rFonts w:eastAsia="MS Mincho" w:cs="Arial"/>
          <w:lang w:eastAsia="en-US"/>
        </w:rPr>
        <w:t xml:space="preserve"> refers to engagement in arts and sport. In practice in WV using an ‘observable’ measure of welfare (ie, self-reported wellbeing rather than preferences) it is possible to estimate the marginal rate of substitution between </w:t>
      </w:r>
      <m:oMath>
        <m:r>
          <w:rPr>
            <w:rFonts w:ascii="Cambria Math" w:eastAsia="MS Mincho" w:hAnsi="Cambria Math" w:cs="Arial"/>
            <w:lang w:eastAsia="en-US"/>
          </w:rPr>
          <m:t>M</m:t>
        </m:r>
      </m:oMath>
      <w:r w:rsidRPr="0079130D">
        <w:rPr>
          <w:rFonts w:eastAsia="MS Mincho" w:cs="Arial"/>
          <w:lang w:eastAsia="en-US"/>
        </w:rPr>
        <w:t xml:space="preserve"> and</w:t>
      </w:r>
      <m:oMath>
        <m:r>
          <w:rPr>
            <w:rFonts w:ascii="Cambria Math" w:eastAsia="MS Mincho" w:hAnsi="Cambria Math" w:cs="Arial"/>
            <w:lang w:eastAsia="en-US"/>
          </w:rPr>
          <m:t xml:space="preserve"> Q</m:t>
        </m:r>
      </m:oMath>
      <w:r w:rsidRPr="0079130D">
        <w:rPr>
          <w:rFonts w:eastAsia="MS Mincho" w:cs="Arial"/>
          <w:lang w:eastAsia="en-US"/>
        </w:rPr>
        <w:t xml:space="preserve"> to measure CS using the </w:t>
      </w:r>
      <w:r w:rsidRPr="0079130D">
        <w:rPr>
          <w:rFonts w:eastAsia="MS Mincho" w:cs="Arial"/>
          <w:i/>
          <w:lang w:eastAsia="en-US"/>
        </w:rPr>
        <w:t>direct utility function</w:t>
      </w:r>
      <w:r w:rsidRPr="0079130D">
        <w:rPr>
          <w:rFonts w:eastAsia="MS Mincho" w:cs="Arial"/>
          <w:lang w:eastAsia="en-US"/>
        </w:rPr>
        <w:t xml:space="preserve"> </w:t>
      </w:r>
      <m:oMath>
        <m:r>
          <w:rPr>
            <w:rFonts w:ascii="Cambria Math" w:eastAsia="MS Mincho" w:hAnsi="Cambria Math" w:cs="Arial"/>
            <w:lang w:eastAsia="en-US"/>
          </w:rPr>
          <m:t>u (∙)</m:t>
        </m:r>
      </m:oMath>
      <w:r w:rsidRPr="0079130D">
        <w:rPr>
          <w:rFonts w:eastAsia="MS Mincho" w:cs="Arial"/>
          <w:lang w:eastAsia="en-US"/>
        </w:rPr>
        <w:t>:</w:t>
      </w:r>
    </w:p>
    <w:p w14:paraId="06B4742B" w14:textId="77777777" w:rsidR="00EC4CF9" w:rsidRPr="0079130D" w:rsidRDefault="00EC4CF9" w:rsidP="00EC4CF9">
      <w:pPr>
        <w:spacing w:before="0"/>
        <w:ind w:left="2160"/>
        <w:rPr>
          <w:rFonts w:eastAsia="MS Mincho" w:cs="Arial"/>
          <w:lang w:eastAsia="en-US"/>
        </w:rPr>
      </w:pPr>
    </w:p>
    <w:p w14:paraId="06B4742C" w14:textId="77777777" w:rsidR="00EC4CF9" w:rsidRPr="0079130D" w:rsidRDefault="00EC4CF9" w:rsidP="00EC4CF9">
      <w:pPr>
        <w:spacing w:before="0"/>
        <w:ind w:left="2160"/>
        <w:rPr>
          <w:rFonts w:eastAsia="MS Mincho" w:cs="Arial"/>
          <w:lang w:eastAsia="en-US"/>
        </w:rPr>
      </w:pPr>
      <m:oMath>
        <m:r>
          <w:rPr>
            <w:rFonts w:ascii="Cambria Math" w:eastAsia="MS Mincho" w:hAnsi="Cambria Math" w:cs="Arial"/>
            <w:lang w:eastAsia="en-US"/>
          </w:rPr>
          <m:t>u(Q, M, X)</m:t>
        </m:r>
      </m:oMath>
      <w:r w:rsidRPr="0079130D">
        <w:rPr>
          <w:rFonts w:eastAsia="MS Mincho" w:cs="Arial"/>
          <w:lang w:eastAsia="en-US"/>
        </w:rPr>
        <w:tab/>
      </w:r>
      <w:r w:rsidRPr="0079130D">
        <w:rPr>
          <w:rFonts w:eastAsia="MS Mincho" w:cs="Arial"/>
          <w:lang w:eastAsia="en-US"/>
        </w:rPr>
        <w:tab/>
      </w:r>
      <w:r w:rsidRPr="0079130D">
        <w:rPr>
          <w:rFonts w:eastAsia="MS Mincho" w:cs="Arial"/>
          <w:lang w:eastAsia="en-US"/>
        </w:rPr>
        <w:tab/>
      </w:r>
      <w:r w:rsidRPr="0079130D">
        <w:rPr>
          <w:rFonts w:eastAsia="MS Mincho" w:cs="Arial"/>
          <w:lang w:eastAsia="en-US"/>
        </w:rPr>
        <w:tab/>
      </w:r>
      <w:r w:rsidRPr="0079130D">
        <w:rPr>
          <w:rFonts w:eastAsia="MS Mincho" w:cs="Arial"/>
          <w:lang w:eastAsia="en-US"/>
        </w:rPr>
        <w:tab/>
      </w:r>
      <w:r w:rsidRPr="0079130D">
        <w:rPr>
          <w:rFonts w:eastAsia="MS Mincho" w:cs="Arial"/>
          <w:lang w:eastAsia="en-US"/>
        </w:rPr>
        <w:tab/>
        <w:t>(2)</w:t>
      </w:r>
    </w:p>
    <w:p w14:paraId="06B4742D" w14:textId="77777777" w:rsidR="00EC4CF9" w:rsidRPr="0079130D" w:rsidRDefault="00EC4CF9" w:rsidP="00EC4CF9">
      <w:pPr>
        <w:spacing w:before="0"/>
        <w:ind w:left="2160"/>
        <w:rPr>
          <w:rFonts w:eastAsia="MS Mincho" w:cs="Arial"/>
          <w:lang w:eastAsia="en-US"/>
        </w:rPr>
      </w:pPr>
    </w:p>
    <w:p w14:paraId="06B4742E" w14:textId="77777777" w:rsidR="00EC4CF9" w:rsidRPr="0079130D" w:rsidRDefault="00EC4CF9" w:rsidP="00EC4CF9">
      <w:pPr>
        <w:spacing w:before="0"/>
        <w:ind w:left="2160"/>
        <w:rPr>
          <w:rFonts w:eastAsia="MS Mincho" w:cs="Arial"/>
          <w:lang w:eastAsia="en-US"/>
        </w:rPr>
      </w:pPr>
      <w:r w:rsidRPr="0079130D">
        <w:rPr>
          <w:rFonts w:eastAsia="MS Mincho" w:cs="Arial"/>
          <w:lang w:eastAsia="en-US"/>
        </w:rPr>
        <w:t xml:space="preserve">where </w:t>
      </w:r>
      <m:oMath>
        <m:r>
          <w:rPr>
            <w:rFonts w:ascii="Cambria Math" w:eastAsia="MS Mincho" w:hAnsi="Cambria Math" w:cs="Arial"/>
            <w:lang w:eastAsia="en-US"/>
          </w:rPr>
          <m:t>X</m:t>
        </m:r>
      </m:oMath>
      <w:r w:rsidRPr="0079130D">
        <w:rPr>
          <w:rFonts w:eastAsia="MS Mincho" w:cs="Arial"/>
          <w:lang w:eastAsia="en-US"/>
        </w:rPr>
        <w:t xml:space="preserve"> is a vector of other determinants of welfare (</w:t>
      </w:r>
      <m:oMath>
        <m:r>
          <w:rPr>
            <w:rFonts w:ascii="Cambria Math" w:eastAsia="MS Mincho" w:hAnsi="Cambria Math" w:cs="Arial"/>
            <w:lang w:eastAsia="en-US"/>
          </w:rPr>
          <m:t>u</m:t>
        </m:r>
      </m:oMath>
      <w:r w:rsidRPr="0079130D">
        <w:rPr>
          <w:rFonts w:eastAsia="MS Mincho" w:cs="Arial"/>
          <w:lang w:eastAsia="en-US"/>
        </w:rPr>
        <w:t>). Empirically what we measure is:</w:t>
      </w:r>
    </w:p>
    <w:p w14:paraId="06B4742F" w14:textId="77777777" w:rsidR="00EC4CF9" w:rsidRPr="0079130D" w:rsidRDefault="00EC4CF9" w:rsidP="00EC4CF9">
      <w:pPr>
        <w:spacing w:before="0"/>
        <w:ind w:left="2160"/>
        <w:rPr>
          <w:rFonts w:eastAsia="MS Mincho" w:cs="Arial"/>
          <w:lang w:eastAsia="en-US"/>
        </w:rPr>
      </w:pPr>
    </w:p>
    <w:p w14:paraId="06B47430" w14:textId="77777777" w:rsidR="00EC4CF9" w:rsidRPr="0079130D" w:rsidRDefault="00EC4CF9" w:rsidP="00EC4CF9">
      <w:pPr>
        <w:spacing w:before="0"/>
        <w:ind w:left="2160"/>
        <w:rPr>
          <w:rFonts w:eastAsia="MS Mincho" w:cs="Arial"/>
          <w:lang w:eastAsia="en-US"/>
        </w:rPr>
      </w:pPr>
      <m:oMath>
        <m:r>
          <w:rPr>
            <w:rFonts w:ascii="Cambria Math" w:eastAsia="MS Mincho" w:hAnsi="Cambria Math" w:cs="Arial"/>
            <w:lang w:eastAsia="en-US"/>
          </w:rPr>
          <m:t>LS(Q, M, X)</m:t>
        </m:r>
      </m:oMath>
      <w:r w:rsidRPr="0079130D">
        <w:rPr>
          <w:rFonts w:eastAsia="MS Mincho" w:cs="Arial"/>
          <w:lang w:eastAsia="en-US"/>
        </w:rPr>
        <w:tab/>
      </w:r>
      <w:r w:rsidRPr="0079130D">
        <w:rPr>
          <w:rFonts w:eastAsia="MS Mincho" w:cs="Arial"/>
          <w:lang w:eastAsia="en-US"/>
        </w:rPr>
        <w:tab/>
      </w:r>
      <w:r w:rsidRPr="0079130D">
        <w:rPr>
          <w:rFonts w:eastAsia="MS Mincho" w:cs="Arial"/>
          <w:lang w:eastAsia="en-US"/>
        </w:rPr>
        <w:tab/>
      </w:r>
      <w:r w:rsidRPr="0079130D">
        <w:rPr>
          <w:rFonts w:eastAsia="MS Mincho" w:cs="Arial"/>
          <w:lang w:eastAsia="en-US"/>
        </w:rPr>
        <w:tab/>
      </w:r>
      <w:r w:rsidRPr="0079130D">
        <w:rPr>
          <w:rFonts w:eastAsia="MS Mincho" w:cs="Arial"/>
          <w:lang w:eastAsia="en-US"/>
        </w:rPr>
        <w:tab/>
      </w:r>
      <w:r w:rsidRPr="0079130D">
        <w:rPr>
          <w:rFonts w:eastAsia="MS Mincho" w:cs="Arial"/>
          <w:lang w:eastAsia="en-US"/>
        </w:rPr>
        <w:tab/>
        <w:t>(3)</w:t>
      </w:r>
    </w:p>
    <w:p w14:paraId="06B47431" w14:textId="77777777" w:rsidR="00EC4CF9" w:rsidRPr="0079130D" w:rsidRDefault="00EC4CF9" w:rsidP="00EC4CF9">
      <w:pPr>
        <w:spacing w:before="0"/>
        <w:ind w:left="2160"/>
        <w:rPr>
          <w:rFonts w:eastAsia="MS Mincho" w:cs="Arial"/>
          <w:lang w:eastAsia="en-US"/>
        </w:rPr>
      </w:pPr>
    </w:p>
    <w:p w14:paraId="06B47432" w14:textId="77777777" w:rsidR="00EC4CF9" w:rsidRPr="0079130D" w:rsidRDefault="00EC4CF9" w:rsidP="00EC4CF9">
      <w:pPr>
        <w:spacing w:before="0"/>
        <w:ind w:left="2160"/>
        <w:rPr>
          <w:rFonts w:eastAsia="MS Mincho" w:cs="Arial"/>
          <w:lang w:eastAsia="en-US"/>
        </w:rPr>
      </w:pPr>
      <w:r w:rsidRPr="0079130D">
        <w:rPr>
          <w:rFonts w:eastAsia="MS Mincho" w:cs="Arial"/>
          <w:lang w:eastAsia="en-US"/>
        </w:rPr>
        <w:t xml:space="preserve">where </w:t>
      </w:r>
      <m:oMath>
        <m:r>
          <w:rPr>
            <w:rFonts w:ascii="Cambria Math" w:eastAsia="MS Mincho" w:hAnsi="Cambria Math" w:cs="Arial"/>
            <w:lang w:eastAsia="en-US"/>
          </w:rPr>
          <m:t>LS</m:t>
        </m:r>
      </m:oMath>
      <w:r w:rsidRPr="0079130D">
        <w:rPr>
          <w:rFonts w:eastAsia="MS Mincho" w:cs="Arial"/>
          <w:lang w:eastAsia="en-US"/>
        </w:rPr>
        <w:t xml:space="preserve"> = life satisfaction. </w:t>
      </w:r>
    </w:p>
    <w:p w14:paraId="06B47433" w14:textId="77777777" w:rsidR="00EC4CF9" w:rsidRPr="0079130D" w:rsidRDefault="00EC4CF9" w:rsidP="00EC4CF9">
      <w:pPr>
        <w:spacing w:before="0"/>
        <w:ind w:left="2160"/>
        <w:rPr>
          <w:rFonts w:eastAsia="MS Mincho" w:cs="Arial"/>
          <w:lang w:eastAsia="en-US"/>
        </w:rPr>
      </w:pPr>
    </w:p>
    <w:p w14:paraId="06B47434" w14:textId="77777777" w:rsidR="00EC4CF9" w:rsidRPr="0079130D" w:rsidRDefault="00EC4CF9" w:rsidP="00EC4CF9">
      <w:pPr>
        <w:spacing w:before="0"/>
        <w:ind w:left="2160"/>
        <w:rPr>
          <w:rFonts w:eastAsia="MS Mincho" w:cs="Arial"/>
          <w:lang w:eastAsia="en-US"/>
        </w:rPr>
      </w:pPr>
      <w:r w:rsidRPr="0079130D">
        <w:rPr>
          <w:rFonts w:eastAsia="MS Mincho" w:cs="Arial"/>
          <w:lang w:eastAsia="en-US"/>
        </w:rPr>
        <w:t xml:space="preserve">In other words, </w:t>
      </w:r>
      <w:r w:rsidRPr="0079130D">
        <w:rPr>
          <w:rFonts w:eastAsia="MS Mincho" w:cs="Arial"/>
          <w:b/>
          <w:lang w:eastAsia="en-US"/>
        </w:rPr>
        <w:t>we use life satisfaction as our measure of SWB.</w:t>
      </w:r>
      <w:r w:rsidRPr="0079130D">
        <w:rPr>
          <w:rFonts w:eastAsia="MS Mincho" w:cs="Arial"/>
          <w:lang w:eastAsia="en-US"/>
        </w:rPr>
        <w:t xml:space="preserve"> Indeed, we could use any measure of SWB, such as happiness, in equation (3), but life satisfaction is preferred here since most of the WV literature to date has used this measure and there is good evidence to support the notion that life satisfaction can tell us something meaningful about people’s wellbeing and how their lives are going. Life satisfaction has convergent validity: for example, Sandvik et al (1993) demonstrate that there is a strong positive correlation between life satisfaction and emotions such as smiling and frowning. Urry et al. (2004) show that reports of life satisfaction are correlated with activity in the left pre-frontal cortex of the brain, which is the area associated with sensations of positive emotions and pleasure. Furthermore, life satisfaction is a good predictor of health, such as heart disease, strokes and recovery from viruses and wounds (for more details see Fujiwara and Campbell, 2011). There is also evidence that life satisfaction has content validity. </w:t>
      </w:r>
      <w:r w:rsidRPr="0079130D">
        <w:rPr>
          <w:rFonts w:eastAsia="MS Mincho" w:cs="Arial"/>
          <w:lang w:eastAsia="en-US"/>
        </w:rPr>
        <w:lastRenderedPageBreak/>
        <w:t xml:space="preserve">Krueger and Schkade (2008) find that life satisfaction responses have sufficiently high retest reliability. </w:t>
      </w:r>
    </w:p>
    <w:p w14:paraId="06B47435" w14:textId="77777777" w:rsidR="00EC4CF9" w:rsidRPr="0079130D" w:rsidRDefault="00EC4CF9" w:rsidP="00EC4CF9">
      <w:pPr>
        <w:spacing w:before="0"/>
        <w:ind w:left="2160"/>
        <w:rPr>
          <w:rFonts w:eastAsia="MS Mincho" w:cs="Arial"/>
          <w:lang w:eastAsia="en-US"/>
        </w:rPr>
      </w:pPr>
    </w:p>
    <w:p w14:paraId="06B47436" w14:textId="77777777" w:rsidR="00EC4CF9" w:rsidRPr="0079130D" w:rsidRDefault="00EC4CF9" w:rsidP="00EC4CF9">
      <w:pPr>
        <w:spacing w:before="0"/>
        <w:ind w:left="2160"/>
        <w:rPr>
          <w:rFonts w:eastAsia="MS Mincho" w:cs="Arial"/>
          <w:lang w:eastAsia="en-US"/>
        </w:rPr>
      </w:pPr>
      <w:r w:rsidRPr="0079130D">
        <w:rPr>
          <w:rFonts w:eastAsia="MS Mincho" w:cs="Arial"/>
          <w:lang w:eastAsia="en-US"/>
        </w:rPr>
        <w:t>Equation (3) is usually estimated by applying regression analysis to panel or cross-sectional survey data to measure the impact of non-market goods on life satisfaction. Here we use one wave of Understanding Society and hence run the following life satisfaction function (assuming cross-sectional data):</w:t>
      </w:r>
    </w:p>
    <w:p w14:paraId="06B47437" w14:textId="77777777" w:rsidR="00EC4CF9" w:rsidRPr="00EC4CF9" w:rsidRDefault="00EC4CF9" w:rsidP="00EC4CF9">
      <w:pPr>
        <w:spacing w:before="0"/>
        <w:ind w:left="2160"/>
        <w:rPr>
          <w:rFonts w:ascii="Calibri" w:eastAsia="MS Mincho" w:hAnsi="Calibri" w:cs="Calibri"/>
          <w:lang w:eastAsia="en-US"/>
        </w:rPr>
      </w:pPr>
    </w:p>
    <w:p w14:paraId="06B47438" w14:textId="77777777" w:rsidR="00EC4CF9" w:rsidRPr="00EC4CF9" w:rsidRDefault="00C04AC9" w:rsidP="00EC4CF9">
      <w:pPr>
        <w:spacing w:before="0"/>
        <w:ind w:left="2160"/>
        <w:rPr>
          <w:rFonts w:ascii="Calibri" w:eastAsia="MS Mincho" w:hAnsi="Calibri" w:cs="Calibri"/>
          <w:lang w:eastAsia="en-US"/>
        </w:rPr>
      </w:pPr>
      <m:oMath>
        <m:sSub>
          <m:sSubPr>
            <m:ctrlPr>
              <w:rPr>
                <w:rFonts w:ascii="Cambria Math" w:eastAsia="MS Mincho" w:hAnsi="Cambria Math" w:cs="Calibri"/>
                <w:i/>
                <w:lang w:eastAsia="en-US"/>
              </w:rPr>
            </m:ctrlPr>
          </m:sSubPr>
          <m:e>
            <m:r>
              <w:rPr>
                <w:rFonts w:ascii="Cambria Math" w:eastAsia="MS Mincho" w:hAnsi="Cambria Math" w:cs="Calibri"/>
                <w:lang w:eastAsia="en-US"/>
              </w:rPr>
              <m:t>LS</m:t>
            </m:r>
          </m:e>
          <m:sub>
            <m:r>
              <w:rPr>
                <w:rFonts w:ascii="Cambria Math" w:eastAsia="MS Mincho" w:hAnsi="Cambria Math" w:cs="Calibri"/>
                <w:lang w:eastAsia="en-US"/>
              </w:rPr>
              <m:t>i</m:t>
            </m:r>
          </m:sub>
        </m:sSub>
        <m:r>
          <w:rPr>
            <w:rFonts w:ascii="Cambria Math" w:eastAsia="MS Mincho" w:hAnsi="Cambria Math" w:cs="Calibri"/>
            <w:lang w:eastAsia="en-US"/>
          </w:rPr>
          <m:t>=α</m:t>
        </m:r>
        <m:r>
          <m:rPr>
            <m:sty m:val="p"/>
          </m:rPr>
          <w:rPr>
            <w:rFonts w:ascii="Cambria Math" w:eastAsia="MS Mincho" w:hAnsi="Cambria Math" w:cs="Calibri"/>
            <w:lang w:eastAsia="en-US"/>
          </w:rPr>
          <m:t>+</m:t>
        </m:r>
        <m:sSub>
          <m:sSubPr>
            <m:ctrlPr>
              <w:rPr>
                <w:rFonts w:ascii="Cambria Math" w:eastAsia="MS Mincho" w:hAnsi="Cambria Math" w:cs="Calibr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1</m:t>
            </m:r>
          </m:sub>
        </m:sSub>
        <m:sSub>
          <m:sSubPr>
            <m:ctrlPr>
              <w:rPr>
                <w:rFonts w:ascii="Cambria Math" w:eastAsia="MS Mincho" w:hAnsi="Cambria Math" w:cs="Calibri"/>
                <w:i/>
                <w:lang w:eastAsia="en-US"/>
              </w:rPr>
            </m:ctrlPr>
          </m:sSubPr>
          <m:e>
            <m:r>
              <w:rPr>
                <w:rFonts w:ascii="Cambria Math" w:eastAsia="MS Mincho" w:hAnsi="Cambria Math" w:cs="Calibri"/>
                <w:lang w:eastAsia="en-US"/>
              </w:rPr>
              <m:t>M</m:t>
            </m:r>
          </m:e>
          <m:sub>
            <m:r>
              <w:rPr>
                <w:rFonts w:ascii="Cambria Math" w:eastAsia="MS Mincho" w:hAnsi="Cambria Math" w:cs="Calibri"/>
                <w:lang w:eastAsia="en-US"/>
              </w:rPr>
              <m:t>i</m:t>
            </m:r>
          </m:sub>
        </m:sSub>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2</m:t>
            </m:r>
          </m:sub>
        </m:sSub>
        <m:sSub>
          <m:sSubPr>
            <m:ctrlPr>
              <w:rPr>
                <w:rFonts w:ascii="Cambria Math" w:eastAsia="MS Mincho" w:hAnsi="Cambria Math" w:cs="Calibri"/>
                <w:i/>
                <w:lang w:eastAsia="en-US"/>
              </w:rPr>
            </m:ctrlPr>
          </m:sSubPr>
          <m:e>
            <m:r>
              <w:rPr>
                <w:rFonts w:ascii="Cambria Math" w:eastAsia="MS Mincho" w:hAnsi="Cambria Math" w:cs="Calibri"/>
                <w:lang w:eastAsia="en-US"/>
              </w:rPr>
              <m:t>Q</m:t>
            </m:r>
          </m:e>
          <m:sub>
            <m:r>
              <w:rPr>
                <w:rFonts w:ascii="Cambria Math" w:eastAsia="MS Mincho" w:hAnsi="Cambria Math" w:cs="Calibri"/>
                <w:lang w:eastAsia="en-US"/>
              </w:rPr>
              <m:t>i</m:t>
            </m:r>
          </m:sub>
        </m:sSub>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3</m:t>
            </m:r>
          </m:sub>
        </m:sSub>
        <m:sSub>
          <m:sSubPr>
            <m:ctrlPr>
              <w:rPr>
                <w:rFonts w:ascii="Cambria Math" w:eastAsia="MS Mincho" w:hAnsi="Cambria Math" w:cs="Calibri"/>
                <w:i/>
                <w:lang w:eastAsia="en-US"/>
              </w:rPr>
            </m:ctrlPr>
          </m:sSubPr>
          <m:e>
            <m:r>
              <w:rPr>
                <w:rFonts w:ascii="Cambria Math" w:eastAsia="MS Mincho" w:hAnsi="Cambria Math" w:cs="Calibri"/>
                <w:lang w:eastAsia="en-US"/>
              </w:rPr>
              <m:t>X</m:t>
            </m:r>
          </m:e>
          <m:sub>
            <m:r>
              <w:rPr>
                <w:rFonts w:ascii="Cambria Math" w:eastAsia="MS Mincho" w:hAnsi="Cambria Math" w:cs="Calibri"/>
                <w:lang w:eastAsia="en-US"/>
              </w:rPr>
              <m:t>i</m:t>
            </m:r>
          </m:sub>
        </m:sSub>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ε</m:t>
            </m:r>
          </m:e>
          <m:sub>
            <m:r>
              <w:rPr>
                <w:rFonts w:ascii="Cambria Math" w:eastAsia="MS Mincho" w:hAnsi="Cambria Math" w:cs="Calibri"/>
                <w:lang w:eastAsia="en-US"/>
              </w:rPr>
              <m:t>i</m:t>
            </m:r>
          </m:sub>
        </m:sSub>
      </m:oMath>
      <w:r w:rsidR="00EC4CF9" w:rsidRPr="00EC4CF9">
        <w:rPr>
          <w:rFonts w:ascii="Calibri" w:eastAsia="MS Mincho" w:hAnsi="Calibri" w:cs="Calibri"/>
          <w:lang w:eastAsia="en-US"/>
        </w:rPr>
        <w:tab/>
      </w:r>
      <w:r w:rsidR="00EC4CF9" w:rsidRPr="00EC4CF9">
        <w:rPr>
          <w:rFonts w:ascii="Calibri" w:eastAsia="MS Mincho" w:hAnsi="Calibri" w:cs="Calibri"/>
          <w:lang w:eastAsia="en-US"/>
        </w:rPr>
        <w:tab/>
      </w:r>
      <w:r w:rsidR="00EC4CF9" w:rsidRPr="00EC4CF9">
        <w:rPr>
          <w:rFonts w:ascii="Calibri" w:eastAsia="MS Mincho" w:hAnsi="Calibri" w:cs="Calibri"/>
          <w:lang w:eastAsia="en-US"/>
        </w:rPr>
        <w:tab/>
        <w:t>(4)</w:t>
      </w:r>
    </w:p>
    <w:p w14:paraId="06B47439" w14:textId="77777777" w:rsidR="00EC4CF9" w:rsidRPr="00EC4CF9" w:rsidRDefault="00EC4CF9" w:rsidP="00EC4CF9">
      <w:pPr>
        <w:spacing w:before="0"/>
        <w:ind w:left="2160"/>
        <w:rPr>
          <w:rFonts w:ascii="Calibri" w:eastAsia="MS Mincho" w:hAnsi="Calibri" w:cs="Calibri"/>
          <w:lang w:eastAsia="en-US"/>
        </w:rPr>
      </w:pPr>
    </w:p>
    <w:p w14:paraId="06B4743A" w14:textId="77777777" w:rsidR="00EC4CF9" w:rsidRPr="0079130D" w:rsidRDefault="00EC4CF9" w:rsidP="00EC4CF9">
      <w:pPr>
        <w:spacing w:before="0"/>
        <w:ind w:left="2160"/>
        <w:rPr>
          <w:rFonts w:eastAsia="MS Mincho" w:cs="Arial"/>
          <w:lang w:eastAsia="en-US"/>
        </w:rPr>
      </w:pPr>
      <w:r w:rsidRPr="0079130D">
        <w:rPr>
          <w:rFonts w:eastAsia="MS Mincho" w:cs="Arial"/>
          <w:lang w:eastAsia="en-US"/>
        </w:rPr>
        <w:t>Substituting equation (4) into (1):</w:t>
      </w:r>
    </w:p>
    <w:p w14:paraId="06B4743B" w14:textId="77777777" w:rsidR="00EC4CF9" w:rsidRPr="00EC4CF9" w:rsidRDefault="00EC4CF9" w:rsidP="00EC4CF9">
      <w:pPr>
        <w:spacing w:before="0"/>
        <w:ind w:left="2160"/>
        <w:rPr>
          <w:rFonts w:ascii="Calibri" w:eastAsia="MS Mincho" w:hAnsi="Calibri" w:cs="Calibri"/>
          <w:lang w:eastAsia="en-US"/>
        </w:rPr>
      </w:pPr>
    </w:p>
    <w:p w14:paraId="06B4743C" w14:textId="77777777" w:rsidR="00EC4CF9" w:rsidRPr="00EC4CF9" w:rsidRDefault="00C04AC9" w:rsidP="00EC4CF9">
      <w:pPr>
        <w:spacing w:before="0"/>
        <w:ind w:left="2160"/>
        <w:rPr>
          <w:rFonts w:ascii="Calibri" w:eastAsia="MS Mincho" w:hAnsi="Calibri" w:cs="Calibri"/>
          <w:lang w:eastAsia="en-US"/>
        </w:rPr>
      </w:pPr>
      <m:oMath>
        <m:sSub>
          <m:sSubPr>
            <m:ctrlPr>
              <w:rPr>
                <w:rFonts w:ascii="Cambria Math" w:eastAsia="MS Mincho" w:hAnsi="Cambria Math" w:cs="Calibri"/>
                <w:i/>
                <w:lang w:eastAsia="en-US"/>
              </w:rPr>
            </m:ctrlPr>
          </m:sSubPr>
          <m:e>
            <m:r>
              <w:rPr>
                <w:rFonts w:ascii="Cambria Math" w:eastAsia="MS Mincho" w:hAnsi="Cambria Math" w:cs="Calibri"/>
                <w:lang w:eastAsia="en-US"/>
              </w:rPr>
              <m:t>LS</m:t>
            </m:r>
          </m:e>
          <m:sub>
            <m:r>
              <w:rPr>
                <w:rFonts w:ascii="Cambria Math" w:eastAsia="MS Mincho" w:hAnsi="Cambria Math" w:cs="Calibri"/>
                <w:lang w:eastAsia="en-US"/>
              </w:rPr>
              <m:t>i</m:t>
            </m:r>
          </m:sub>
        </m:sSub>
        <m:d>
          <m:dPr>
            <m:ctrlPr>
              <w:rPr>
                <w:rFonts w:ascii="Cambria Math" w:eastAsia="MS Mincho" w:hAnsi="Cambria Math" w:cs="Calibri"/>
                <w:i/>
                <w:lang w:eastAsia="en-US"/>
              </w:rPr>
            </m:ctrlPr>
          </m:dPr>
          <m:e>
            <m:r>
              <w:rPr>
                <w:rFonts w:ascii="Cambria Math" w:eastAsia="MS Mincho" w:hAnsi="Cambria Math" w:cs="Calibri"/>
                <w:lang w:eastAsia="en-US"/>
              </w:rPr>
              <m:t>α</m:t>
            </m:r>
            <m:r>
              <m:rPr>
                <m:sty m:val="p"/>
              </m:rPr>
              <w:rPr>
                <w:rFonts w:ascii="Cambria Math" w:eastAsia="MS Mincho" w:hAnsi="Cambria Math" w:cs="Calibri"/>
                <w:lang w:eastAsia="en-US"/>
              </w:rPr>
              <m:t>+</m:t>
            </m:r>
            <m:sSub>
              <m:sSubPr>
                <m:ctrlPr>
                  <w:rPr>
                    <w:rFonts w:ascii="Cambria Math" w:eastAsia="MS Mincho" w:hAnsi="Cambria Math" w:cs="Calibr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1</m:t>
                </m:r>
              </m:sub>
            </m:sSub>
            <m:sSubSup>
              <m:sSubSupPr>
                <m:ctrlPr>
                  <w:rPr>
                    <w:rFonts w:ascii="Cambria Math" w:eastAsia="MS Mincho" w:hAnsi="Cambria Math" w:cs="Calibri"/>
                    <w:i/>
                    <w:lang w:eastAsia="en-US"/>
                  </w:rPr>
                </m:ctrlPr>
              </m:sSubSupPr>
              <m:e>
                <m:r>
                  <w:rPr>
                    <w:rFonts w:ascii="Cambria Math" w:eastAsia="MS Mincho" w:hAnsi="Cambria Math" w:cs="Calibri"/>
                    <w:lang w:eastAsia="en-US"/>
                  </w:rPr>
                  <m:t>M</m:t>
                </m:r>
              </m:e>
              <m:sub>
                <m:r>
                  <w:rPr>
                    <w:rFonts w:ascii="Cambria Math" w:eastAsia="MS Mincho" w:hAnsi="Cambria Math" w:cs="Calibri"/>
                    <w:lang w:eastAsia="en-US"/>
                  </w:rPr>
                  <m:t>i</m:t>
                </m:r>
              </m:sub>
              <m:sup>
                <m:r>
                  <w:rPr>
                    <w:rFonts w:ascii="Cambria Math" w:eastAsia="MS Mincho" w:hAnsi="Cambria Math" w:cs="Calibri"/>
                    <w:lang w:eastAsia="en-US"/>
                  </w:rPr>
                  <m:t>0</m:t>
                </m:r>
              </m:sup>
            </m:sSubSup>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2</m:t>
                </m:r>
              </m:sub>
            </m:sSub>
            <m:sSubSup>
              <m:sSubSupPr>
                <m:ctrlPr>
                  <w:rPr>
                    <w:rFonts w:ascii="Cambria Math" w:eastAsia="MS Mincho" w:hAnsi="Cambria Math" w:cs="Calibri"/>
                    <w:i/>
                    <w:lang w:eastAsia="en-US"/>
                  </w:rPr>
                </m:ctrlPr>
              </m:sSubSupPr>
              <m:e>
                <m:r>
                  <w:rPr>
                    <w:rFonts w:ascii="Cambria Math" w:eastAsia="MS Mincho" w:hAnsi="Cambria Math" w:cs="Calibri"/>
                    <w:lang w:eastAsia="en-US"/>
                  </w:rPr>
                  <m:t>Q</m:t>
                </m:r>
              </m:e>
              <m:sub>
                <m:r>
                  <w:rPr>
                    <w:rFonts w:ascii="Cambria Math" w:eastAsia="MS Mincho" w:hAnsi="Cambria Math" w:cs="Calibri"/>
                    <w:lang w:eastAsia="en-US"/>
                  </w:rPr>
                  <m:t>i</m:t>
                </m:r>
              </m:sub>
              <m:sup>
                <m:r>
                  <w:rPr>
                    <w:rFonts w:ascii="Cambria Math" w:eastAsia="MS Mincho" w:hAnsi="Cambria Math" w:cs="Calibri"/>
                    <w:lang w:eastAsia="en-US"/>
                  </w:rPr>
                  <m:t>0</m:t>
                </m:r>
              </m:sup>
            </m:sSubSup>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3</m:t>
                </m:r>
              </m:sub>
            </m:sSub>
            <m:sSubSup>
              <m:sSubSupPr>
                <m:ctrlPr>
                  <w:rPr>
                    <w:rFonts w:ascii="Cambria Math" w:eastAsia="MS Mincho" w:hAnsi="Cambria Math" w:cs="Calibri"/>
                    <w:i/>
                    <w:lang w:eastAsia="en-US"/>
                  </w:rPr>
                </m:ctrlPr>
              </m:sSubSupPr>
              <m:e>
                <m:r>
                  <w:rPr>
                    <w:rFonts w:ascii="Cambria Math" w:eastAsia="MS Mincho" w:hAnsi="Cambria Math" w:cs="Calibri"/>
                    <w:lang w:eastAsia="en-US"/>
                  </w:rPr>
                  <m:t>X</m:t>
                </m:r>
              </m:e>
              <m:sub>
                <m:r>
                  <w:rPr>
                    <w:rFonts w:ascii="Cambria Math" w:eastAsia="MS Mincho" w:hAnsi="Cambria Math" w:cs="Calibri"/>
                    <w:lang w:eastAsia="en-US"/>
                  </w:rPr>
                  <m:t>i</m:t>
                </m:r>
              </m:sub>
              <m:sup>
                <m:r>
                  <w:rPr>
                    <w:rFonts w:ascii="Cambria Math" w:eastAsia="MS Mincho" w:hAnsi="Cambria Math" w:cs="Calibri"/>
                    <w:lang w:eastAsia="en-US"/>
                  </w:rPr>
                  <m:t>0</m:t>
                </m:r>
              </m:sup>
            </m:sSubSup>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ε</m:t>
                </m:r>
              </m:e>
              <m:sub>
                <m:r>
                  <w:rPr>
                    <w:rFonts w:ascii="Cambria Math" w:eastAsia="MS Mincho" w:hAnsi="Cambria Math" w:cs="Calibri"/>
                    <w:lang w:eastAsia="en-US"/>
                  </w:rPr>
                  <m:t>i</m:t>
                </m:r>
              </m:sub>
            </m:sSub>
          </m:e>
        </m:d>
        <m:r>
          <w:rPr>
            <w:rFonts w:ascii="Cambria Math" w:eastAsia="MS Mincho" w:hAnsi="Cambria Math" w:cs="Calibri"/>
            <w:lang w:eastAsia="en-US"/>
          </w:rPr>
          <m:t>=</m:t>
        </m:r>
        <m:d>
          <m:dPr>
            <m:ctrlPr>
              <w:rPr>
                <w:rFonts w:ascii="Cambria Math" w:eastAsia="MS Mincho" w:hAnsi="Cambria Math" w:cs="Calibri"/>
                <w:i/>
                <w:lang w:eastAsia="en-US"/>
              </w:rPr>
            </m:ctrlPr>
          </m:dPr>
          <m:e>
            <m:r>
              <w:rPr>
                <w:rFonts w:ascii="Cambria Math" w:eastAsia="MS Mincho" w:hAnsi="Cambria Math" w:cs="Calibri"/>
                <w:lang w:eastAsia="en-US"/>
              </w:rPr>
              <m:t>α</m:t>
            </m:r>
            <m:r>
              <m:rPr>
                <m:sty m:val="p"/>
              </m:rPr>
              <w:rPr>
                <w:rFonts w:ascii="Cambria Math" w:eastAsia="MS Mincho" w:hAnsi="Cambria Math" w:cs="Calibri"/>
                <w:lang w:eastAsia="en-US"/>
              </w:rPr>
              <m:t>+</m:t>
            </m:r>
            <m:sSub>
              <m:sSubPr>
                <m:ctrlPr>
                  <w:rPr>
                    <w:rFonts w:ascii="Cambria Math" w:eastAsia="MS Mincho" w:hAnsi="Cambria Math" w:cs="Calibr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1</m:t>
                </m:r>
              </m:sub>
            </m:sSub>
            <m:sSubSup>
              <m:sSubSupPr>
                <m:ctrlPr>
                  <w:rPr>
                    <w:rFonts w:ascii="Cambria Math" w:eastAsia="MS Mincho" w:hAnsi="Cambria Math" w:cs="Calibri"/>
                    <w:i/>
                    <w:lang w:eastAsia="en-US"/>
                  </w:rPr>
                </m:ctrlPr>
              </m:sSubSupPr>
              <m:e>
                <m:r>
                  <w:rPr>
                    <w:rFonts w:ascii="Cambria Math" w:eastAsia="MS Mincho" w:hAnsi="Cambria Math" w:cs="Calibri"/>
                    <w:lang w:eastAsia="en-US"/>
                  </w:rPr>
                  <m:t>(M</m:t>
                </m:r>
              </m:e>
              <m:sub>
                <m:r>
                  <w:rPr>
                    <w:rFonts w:ascii="Cambria Math" w:eastAsia="MS Mincho" w:hAnsi="Cambria Math" w:cs="Calibri"/>
                    <w:lang w:eastAsia="en-US"/>
                  </w:rPr>
                  <m:t>i</m:t>
                </m:r>
              </m:sub>
              <m:sup>
                <m:r>
                  <w:rPr>
                    <w:rFonts w:ascii="Cambria Math" w:eastAsia="MS Mincho" w:hAnsi="Cambria Math" w:cs="Calibri"/>
                    <w:lang w:eastAsia="en-US"/>
                  </w:rPr>
                  <m:t>1</m:t>
                </m:r>
              </m:sup>
            </m:sSubSup>
            <m:r>
              <w:rPr>
                <w:rFonts w:ascii="Cambria Math" w:eastAsia="MS Mincho" w:hAnsi="Cambria Math" w:cs="Calibri"/>
                <w:lang w:eastAsia="en-US"/>
              </w:rPr>
              <m:t>-CS)+</m:t>
            </m:r>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2</m:t>
                </m:r>
              </m:sub>
            </m:sSub>
            <m:sSubSup>
              <m:sSubSupPr>
                <m:ctrlPr>
                  <w:rPr>
                    <w:rFonts w:ascii="Cambria Math" w:eastAsia="MS Mincho" w:hAnsi="Cambria Math" w:cs="Calibri"/>
                    <w:i/>
                    <w:lang w:eastAsia="en-US"/>
                  </w:rPr>
                </m:ctrlPr>
              </m:sSubSupPr>
              <m:e>
                <m:r>
                  <w:rPr>
                    <w:rFonts w:ascii="Cambria Math" w:eastAsia="MS Mincho" w:hAnsi="Cambria Math" w:cs="Calibri"/>
                    <w:lang w:eastAsia="en-US"/>
                  </w:rPr>
                  <m:t>Q</m:t>
                </m:r>
              </m:e>
              <m:sub>
                <m:r>
                  <w:rPr>
                    <w:rFonts w:ascii="Cambria Math" w:eastAsia="MS Mincho" w:hAnsi="Cambria Math" w:cs="Calibri"/>
                    <w:lang w:eastAsia="en-US"/>
                  </w:rPr>
                  <m:t>i</m:t>
                </m:r>
              </m:sub>
              <m:sup>
                <m:r>
                  <w:rPr>
                    <w:rFonts w:ascii="Cambria Math" w:eastAsia="MS Mincho" w:hAnsi="Cambria Math" w:cs="Calibri"/>
                    <w:lang w:eastAsia="en-US"/>
                  </w:rPr>
                  <m:t>1</m:t>
                </m:r>
              </m:sup>
            </m:sSubSup>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3</m:t>
                </m:r>
              </m:sub>
            </m:sSub>
            <m:sSubSup>
              <m:sSubSupPr>
                <m:ctrlPr>
                  <w:rPr>
                    <w:rFonts w:ascii="Cambria Math" w:eastAsia="MS Mincho" w:hAnsi="Cambria Math" w:cs="Calibri"/>
                    <w:i/>
                    <w:lang w:eastAsia="en-US"/>
                  </w:rPr>
                </m:ctrlPr>
              </m:sSubSupPr>
              <m:e>
                <m:r>
                  <w:rPr>
                    <w:rFonts w:ascii="Cambria Math" w:eastAsia="MS Mincho" w:hAnsi="Cambria Math" w:cs="Calibri"/>
                    <w:lang w:eastAsia="en-US"/>
                  </w:rPr>
                  <m:t>X</m:t>
                </m:r>
              </m:e>
              <m:sub>
                <m:r>
                  <w:rPr>
                    <w:rFonts w:ascii="Cambria Math" w:eastAsia="MS Mincho" w:hAnsi="Cambria Math" w:cs="Calibri"/>
                    <w:lang w:eastAsia="en-US"/>
                  </w:rPr>
                  <m:t>i</m:t>
                </m:r>
              </m:sub>
              <m:sup>
                <m:r>
                  <w:rPr>
                    <w:rFonts w:ascii="Cambria Math" w:eastAsia="MS Mincho" w:hAnsi="Cambria Math" w:cs="Calibri"/>
                    <w:lang w:eastAsia="en-US"/>
                  </w:rPr>
                  <m:t>1</m:t>
                </m:r>
              </m:sup>
            </m:sSubSup>
            <m:r>
              <w:rPr>
                <w:rFonts w:ascii="Cambria Math" w:eastAsia="MS Mincho" w:hAnsi="Cambria Math" w:cs="Calibri"/>
                <w:lang w:eastAsia="en-US"/>
              </w:rPr>
              <m:t>+</m:t>
            </m:r>
            <m:sSub>
              <m:sSubPr>
                <m:ctrlPr>
                  <w:rPr>
                    <w:rFonts w:ascii="Cambria Math" w:eastAsia="MS Mincho" w:hAnsi="Cambria Math" w:cs="Calibri"/>
                    <w:i/>
                    <w:lang w:eastAsia="en-US"/>
                  </w:rPr>
                </m:ctrlPr>
              </m:sSubPr>
              <m:e>
                <m:r>
                  <w:rPr>
                    <w:rFonts w:ascii="Cambria Math" w:eastAsia="MS Mincho" w:hAnsi="Cambria Math" w:cs="Calibri"/>
                    <w:lang w:eastAsia="en-US"/>
                  </w:rPr>
                  <m:t>ε</m:t>
                </m:r>
              </m:e>
              <m:sub>
                <m:r>
                  <w:rPr>
                    <w:rFonts w:ascii="Cambria Math" w:eastAsia="MS Mincho" w:hAnsi="Cambria Math" w:cs="Calibri"/>
                    <w:lang w:eastAsia="en-US"/>
                  </w:rPr>
                  <m:t>i</m:t>
                </m:r>
              </m:sub>
            </m:sSub>
          </m:e>
        </m:d>
      </m:oMath>
      <w:r w:rsidR="00EC4CF9" w:rsidRPr="00EC4CF9">
        <w:rPr>
          <w:rFonts w:ascii="Calibri" w:eastAsia="MS Mincho" w:hAnsi="Calibri" w:cs="Calibri"/>
          <w:lang w:eastAsia="en-US"/>
        </w:rPr>
        <w:tab/>
      </w:r>
    </w:p>
    <w:p w14:paraId="06B4743D" w14:textId="77777777" w:rsidR="00EC4CF9" w:rsidRPr="00EC4CF9" w:rsidRDefault="00EC4CF9" w:rsidP="00EC4CF9">
      <w:pPr>
        <w:spacing w:before="0"/>
        <w:ind w:left="2160"/>
        <w:rPr>
          <w:rFonts w:ascii="Calibri" w:eastAsia="MS Mincho" w:hAnsi="Calibri" w:cs="Calibri"/>
          <w:lang w:eastAsia="en-US"/>
        </w:rPr>
      </w:pPr>
      <w:r w:rsidRPr="00EC4CF9">
        <w:rPr>
          <w:rFonts w:ascii="Calibri" w:eastAsia="MS Mincho" w:hAnsi="Calibri" w:cs="Calibri"/>
          <w:lang w:eastAsia="en-US"/>
        </w:rPr>
        <w:t>(5)</w:t>
      </w:r>
    </w:p>
    <w:p w14:paraId="06B4743E" w14:textId="77777777" w:rsidR="00EC4CF9" w:rsidRPr="00EC4CF9" w:rsidRDefault="00EC4CF9" w:rsidP="00EC4CF9">
      <w:pPr>
        <w:spacing w:before="0"/>
        <w:ind w:left="2160"/>
        <w:rPr>
          <w:rFonts w:ascii="Calibri" w:eastAsia="MS Mincho" w:hAnsi="Calibri" w:cs="Calibri"/>
          <w:lang w:eastAsia="en-US"/>
        </w:rPr>
      </w:pPr>
    </w:p>
    <w:p w14:paraId="06B4743F" w14:textId="77777777" w:rsidR="00EC4CF9" w:rsidRPr="0079130D" w:rsidRDefault="00EC4CF9" w:rsidP="00EC4CF9">
      <w:pPr>
        <w:spacing w:before="0"/>
        <w:ind w:left="2160"/>
        <w:rPr>
          <w:rFonts w:eastAsia="MS Mincho" w:cs="Arial"/>
          <w:lang w:eastAsia="en-US"/>
        </w:rPr>
      </w:pPr>
      <w:r w:rsidRPr="0079130D">
        <w:rPr>
          <w:rFonts w:eastAsia="MS Mincho" w:cs="Arial"/>
          <w:lang w:eastAsia="en-US"/>
        </w:rPr>
        <w:t>and solving for CS gives us,</w:t>
      </w:r>
    </w:p>
    <w:p w14:paraId="06B47440" w14:textId="77777777" w:rsidR="00EC4CF9" w:rsidRPr="00EC4CF9" w:rsidRDefault="00EC4CF9" w:rsidP="00EC4CF9">
      <w:pPr>
        <w:spacing w:before="0"/>
        <w:ind w:left="2160"/>
        <w:jc w:val="both"/>
        <w:rPr>
          <w:rFonts w:ascii="Calibri" w:eastAsia="MS Mincho" w:hAnsi="Calibri" w:cs="Calibri"/>
          <w:lang w:eastAsia="en-US"/>
        </w:rPr>
      </w:pPr>
    </w:p>
    <w:p w14:paraId="06B47441" w14:textId="77777777" w:rsidR="00EC4CF9" w:rsidRPr="00EC4CF9" w:rsidRDefault="00EC4CF9" w:rsidP="00EC4CF9">
      <w:pPr>
        <w:spacing w:before="0"/>
        <w:ind w:left="2160"/>
        <w:rPr>
          <w:rFonts w:ascii="Calibri" w:eastAsia="MS Mincho" w:hAnsi="Calibri" w:cs="Calibri"/>
          <w:lang w:eastAsia="en-US"/>
        </w:rPr>
      </w:pPr>
      <m:oMath>
        <m:r>
          <w:rPr>
            <w:rFonts w:ascii="Cambria Math" w:eastAsia="MS Mincho" w:hAnsi="Cambria Math" w:cs="Calibri"/>
            <w:lang w:eastAsia="en-US"/>
          </w:rPr>
          <m:t>CS=</m:t>
        </m:r>
        <m:sSup>
          <m:sSupPr>
            <m:ctrlPr>
              <w:rPr>
                <w:rFonts w:ascii="Cambria Math" w:eastAsia="MS Mincho" w:hAnsi="Cambria Math" w:cs="Calibri"/>
                <w:i/>
                <w:lang w:eastAsia="en-US"/>
              </w:rPr>
            </m:ctrlPr>
          </m:sSupPr>
          <m:e>
            <m:sSup>
              <m:sSupPr>
                <m:ctrlPr>
                  <w:rPr>
                    <w:rFonts w:ascii="Cambria Math" w:eastAsia="MS Mincho" w:hAnsi="Cambria Math" w:cs="Calibri"/>
                    <w:i/>
                    <w:lang w:eastAsia="en-US"/>
                  </w:rPr>
                </m:ctrlPr>
              </m:sSupPr>
              <m:e>
                <m:r>
                  <w:rPr>
                    <w:rFonts w:ascii="Cambria Math" w:eastAsia="MS Mincho" w:hAnsi="Cambria Math" w:cs="Calibri"/>
                    <w:lang w:eastAsia="en-US"/>
                  </w:rPr>
                  <m:t>M</m:t>
                </m:r>
              </m:e>
              <m:sup>
                <m:r>
                  <w:rPr>
                    <w:rFonts w:ascii="Cambria Math" w:eastAsia="MS Mincho" w:hAnsi="Cambria Math" w:cs="Calibri"/>
                    <w:lang w:eastAsia="en-US"/>
                  </w:rPr>
                  <m:t>0</m:t>
                </m:r>
              </m:sup>
            </m:sSup>
            <m:r>
              <w:rPr>
                <w:rFonts w:ascii="Cambria Math" w:eastAsia="MS Mincho" w:hAnsi="Cambria Math" w:cs="Calibri"/>
                <w:lang w:eastAsia="en-US"/>
              </w:rPr>
              <m:t>-e</m:t>
            </m:r>
          </m:e>
          <m:sup>
            <m:d>
              <m:dPr>
                <m:begChr m:val="["/>
                <m:endChr m:val="]"/>
                <m:ctrlPr>
                  <w:rPr>
                    <w:rFonts w:ascii="Cambria Math" w:eastAsia="MS Mincho" w:hAnsi="Cambria Math" w:cs="Calibri"/>
                    <w:i/>
                    <w:lang w:eastAsia="en-US"/>
                  </w:rPr>
                </m:ctrlPr>
              </m:dPr>
              <m:e>
                <m:func>
                  <m:funcPr>
                    <m:ctrlPr>
                      <w:rPr>
                        <w:rFonts w:ascii="Cambria Math" w:eastAsia="MS Mincho" w:hAnsi="Cambria Math" w:cs="Calibri"/>
                        <w:lang w:eastAsia="en-US"/>
                      </w:rPr>
                    </m:ctrlPr>
                  </m:funcPr>
                  <m:fName>
                    <m:r>
                      <m:rPr>
                        <m:sty m:val="p"/>
                      </m:rPr>
                      <w:rPr>
                        <w:rFonts w:ascii="Cambria Math" w:eastAsia="MS Mincho" w:hAnsi="Cambria Math" w:cs="Calibri"/>
                        <w:lang w:eastAsia="en-US"/>
                      </w:rPr>
                      <m:t>ln</m:t>
                    </m:r>
                  </m:fName>
                  <m:e>
                    <m:d>
                      <m:dPr>
                        <m:ctrlPr>
                          <w:rPr>
                            <w:rFonts w:ascii="Cambria Math" w:eastAsia="MS Mincho" w:hAnsi="Cambria Math" w:cs="Calibri"/>
                            <w:i/>
                            <w:lang w:eastAsia="en-US"/>
                          </w:rPr>
                        </m:ctrlPr>
                      </m:dPr>
                      <m:e>
                        <m:sSup>
                          <m:sSupPr>
                            <m:ctrlPr>
                              <w:rPr>
                                <w:rFonts w:ascii="Cambria Math" w:eastAsia="MS Mincho" w:hAnsi="Cambria Math" w:cs="Calibri"/>
                                <w:i/>
                                <w:lang w:eastAsia="en-US"/>
                              </w:rPr>
                            </m:ctrlPr>
                          </m:sSupPr>
                          <m:e>
                            <m:r>
                              <w:rPr>
                                <w:rFonts w:ascii="Cambria Math" w:eastAsia="MS Mincho" w:hAnsi="Cambria Math" w:cs="Calibri"/>
                                <w:lang w:eastAsia="en-US"/>
                              </w:rPr>
                              <m:t>M</m:t>
                            </m:r>
                          </m:e>
                          <m:sup>
                            <m:r>
                              <w:rPr>
                                <w:rFonts w:ascii="Cambria Math" w:eastAsia="MS Mincho" w:hAnsi="Cambria Math" w:cs="Calibri"/>
                                <w:lang w:eastAsia="en-US"/>
                              </w:rPr>
                              <m:t>0</m:t>
                            </m:r>
                          </m:sup>
                        </m:sSup>
                      </m:e>
                    </m:d>
                  </m:e>
                </m:func>
                <m:r>
                  <w:rPr>
                    <w:rFonts w:ascii="Cambria Math" w:eastAsia="MS Mincho" w:hAnsi="Cambria Math" w:cs="Calibri"/>
                    <w:lang w:eastAsia="en-US"/>
                  </w:rPr>
                  <m:t xml:space="preserve"> - </m:t>
                </m:r>
                <m:f>
                  <m:fPr>
                    <m:ctrlPr>
                      <w:rPr>
                        <w:rFonts w:ascii="Cambria Math" w:eastAsia="MS Mincho" w:hAnsi="Cambria Math" w:cs="Calibri"/>
                        <w:i/>
                        <w:lang w:eastAsia="en-US"/>
                      </w:rPr>
                    </m:ctrlPr>
                  </m:fPr>
                  <m:num>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2</m:t>
                        </m:r>
                      </m:sub>
                    </m:sSub>
                  </m:num>
                  <m:den>
                    <m:sSub>
                      <m:sSubPr>
                        <m:ctrlPr>
                          <w:rPr>
                            <w:rFonts w:ascii="Cambria Math" w:eastAsia="MS Mincho" w:hAnsi="Cambria Math" w:cs="Calibri"/>
                            <w:i/>
                            <w:lang w:eastAsia="en-US"/>
                          </w:rPr>
                        </m:ctrlPr>
                      </m:sSubPr>
                      <m:e>
                        <m:r>
                          <w:rPr>
                            <w:rFonts w:ascii="Cambria Math" w:eastAsia="MS Mincho" w:hAnsi="Cambria Math" w:cs="Calibri"/>
                            <w:lang w:eastAsia="en-US"/>
                          </w:rPr>
                          <m:t>β</m:t>
                        </m:r>
                      </m:e>
                      <m:sub>
                        <m:r>
                          <w:rPr>
                            <w:rFonts w:ascii="Cambria Math" w:eastAsia="MS Mincho" w:hAnsi="Cambria Math" w:cs="Calibri"/>
                            <w:lang w:eastAsia="en-US"/>
                          </w:rPr>
                          <m:t>1</m:t>
                        </m:r>
                      </m:sub>
                    </m:sSub>
                  </m:den>
                </m:f>
                <m:r>
                  <w:rPr>
                    <w:rFonts w:ascii="Cambria Math" w:eastAsia="MS Mincho" w:hAnsi="Cambria Math" w:cs="Calibri"/>
                    <w:lang w:eastAsia="en-US"/>
                  </w:rPr>
                  <m:t xml:space="preserve"> </m:t>
                </m:r>
              </m:e>
            </m:d>
          </m:sup>
        </m:sSup>
      </m:oMath>
      <w:r w:rsidRPr="00EC4CF9">
        <w:rPr>
          <w:rFonts w:ascii="Calibri" w:eastAsia="MS Mincho" w:hAnsi="Calibri" w:cs="Calibri"/>
          <w:lang w:eastAsia="en-US"/>
        </w:rPr>
        <w:tab/>
      </w:r>
      <w:r w:rsidRPr="00EC4CF9">
        <w:rPr>
          <w:rFonts w:ascii="Calibri" w:eastAsia="MS Mincho" w:hAnsi="Calibri" w:cs="Calibri"/>
          <w:lang w:eastAsia="en-US"/>
        </w:rPr>
        <w:tab/>
      </w:r>
      <w:r w:rsidRPr="00EC4CF9">
        <w:rPr>
          <w:rFonts w:ascii="Calibri" w:eastAsia="MS Mincho" w:hAnsi="Calibri" w:cs="Calibri"/>
          <w:lang w:eastAsia="en-US"/>
        </w:rPr>
        <w:tab/>
        <w:t>(6)</w:t>
      </w:r>
    </w:p>
    <w:p w14:paraId="06B47442" w14:textId="77777777" w:rsidR="00EC4CF9" w:rsidRPr="00EC4CF9" w:rsidRDefault="00EC4CF9" w:rsidP="00EC4CF9">
      <w:pPr>
        <w:spacing w:before="0"/>
        <w:ind w:left="2160"/>
        <w:rPr>
          <w:rFonts w:ascii="Calibri" w:eastAsia="MS Mincho" w:hAnsi="Calibri" w:cs="Calibri"/>
          <w:lang w:eastAsia="en-US"/>
        </w:rPr>
      </w:pPr>
      <w:r w:rsidRPr="00EC4CF9">
        <w:rPr>
          <w:rFonts w:ascii="Calibri" w:eastAsia="MS Mincho" w:hAnsi="Calibri" w:cs="Calibri"/>
          <w:lang w:eastAsia="en-US"/>
        </w:rPr>
        <w:tab/>
      </w:r>
    </w:p>
    <w:p w14:paraId="06B47443" w14:textId="77777777" w:rsidR="00EC4CF9" w:rsidRPr="0079130D" w:rsidRDefault="00EC4CF9" w:rsidP="00EC4CF9">
      <w:pPr>
        <w:spacing w:before="0"/>
        <w:ind w:left="2160"/>
        <w:rPr>
          <w:rFonts w:eastAsia="MS Mincho" w:cs="Arial"/>
          <w:lang w:eastAsia="en-US"/>
        </w:rPr>
      </w:pPr>
      <w:r w:rsidRPr="0079130D">
        <w:rPr>
          <w:rFonts w:eastAsia="MS Mincho" w:cs="Arial"/>
          <w:lang w:eastAsia="en-US"/>
        </w:rPr>
        <w:t xml:space="preserve">Equation (6) is the derivation of compensating surplus using measures of SWB (here life satisfaction). It provides an estimate of the value people place on </w:t>
      </w:r>
      <m:oMath>
        <m:r>
          <w:rPr>
            <w:rFonts w:ascii="Cambria Math" w:eastAsia="MS Mincho" w:hAnsi="Cambria Math" w:cs="Arial"/>
            <w:lang w:eastAsia="en-US"/>
          </w:rPr>
          <m:t>Q</m:t>
        </m:r>
      </m:oMath>
      <w:r w:rsidRPr="0079130D">
        <w:rPr>
          <w:rFonts w:eastAsia="MS Mincho" w:cs="Arial"/>
          <w:lang w:eastAsia="en-US"/>
        </w:rPr>
        <w:t xml:space="preserve"> using the WV approach. Here </w:t>
      </w:r>
      <m:oMath>
        <m:sSup>
          <m:sSupPr>
            <m:ctrlPr>
              <w:rPr>
                <w:rFonts w:ascii="Cambria Math" w:eastAsia="MS Mincho" w:hAnsi="Cambria Math" w:cs="Arial"/>
                <w:i/>
                <w:lang w:eastAsia="en-US"/>
              </w:rPr>
            </m:ctrlPr>
          </m:sSupPr>
          <m:e>
            <m:r>
              <w:rPr>
                <w:rFonts w:ascii="Cambria Math" w:eastAsia="MS Mincho" w:hAnsi="Cambria Math" w:cs="Arial"/>
                <w:lang w:eastAsia="en-US"/>
              </w:rPr>
              <m:t>M</m:t>
            </m:r>
          </m:e>
          <m:sup>
            <m:r>
              <w:rPr>
                <w:rFonts w:ascii="Cambria Math" w:eastAsia="MS Mincho" w:hAnsi="Cambria Math" w:cs="Arial"/>
                <w:lang w:eastAsia="en-US"/>
              </w:rPr>
              <m:t>0</m:t>
            </m:r>
          </m:sup>
        </m:sSup>
      </m:oMath>
      <w:r w:rsidRPr="0079130D">
        <w:rPr>
          <w:rFonts w:eastAsia="MS Mincho" w:cs="Arial"/>
          <w:lang w:eastAsia="en-US"/>
        </w:rPr>
        <w:t xml:space="preserve"> is assumed to be sample average income and the term </w:t>
      </w:r>
      <m:oMath>
        <m:sSup>
          <m:sSupPr>
            <m:ctrlPr>
              <w:rPr>
                <w:rFonts w:ascii="Cambria Math" w:eastAsia="MS Mincho" w:hAnsi="Cambria Math" w:cs="Arial"/>
                <w:i/>
                <w:lang w:eastAsia="en-US"/>
              </w:rPr>
            </m:ctrlPr>
          </m:sSupPr>
          <m:e>
            <m:r>
              <w:rPr>
                <w:rFonts w:ascii="Cambria Math" w:eastAsia="MS Mincho" w:hAnsi="Cambria Math" w:cs="Arial"/>
                <w:lang w:eastAsia="en-US"/>
              </w:rPr>
              <m:t>e</m:t>
            </m:r>
          </m:e>
          <m:sup>
            <m:r>
              <w:rPr>
                <w:rFonts w:ascii="Cambria Math" w:eastAsia="MS Mincho" w:hAnsi="Cambria Math" w:cs="Arial"/>
                <w:lang w:eastAsia="en-US"/>
              </w:rPr>
              <m:t>[∙]</m:t>
            </m:r>
          </m:sup>
        </m:sSup>
      </m:oMath>
      <w:r w:rsidRPr="0079130D">
        <w:rPr>
          <w:rFonts w:eastAsia="MS Mincho" w:cs="Arial"/>
          <w:lang w:eastAsia="en-US"/>
        </w:rPr>
        <w:t xml:space="preserve"> accounts for the logarithmic format of the income variable in the income model, which was employed to account for the diminishing marginal utility of income.</w:t>
      </w:r>
    </w:p>
    <w:p w14:paraId="06B47444" w14:textId="77777777" w:rsidR="00EC4CF9" w:rsidRPr="0079130D" w:rsidRDefault="00EC4CF9" w:rsidP="00EC4CF9">
      <w:pPr>
        <w:spacing w:before="0"/>
        <w:ind w:left="2160"/>
        <w:rPr>
          <w:rFonts w:eastAsia="MS Mincho" w:cs="Arial"/>
          <w:b/>
          <w:lang w:eastAsia="en-US"/>
        </w:rPr>
      </w:pPr>
    </w:p>
    <w:p w14:paraId="06B47445" w14:textId="77777777" w:rsidR="00EC4CF9" w:rsidRPr="0079130D" w:rsidRDefault="00EC4CF9" w:rsidP="00EC4CF9">
      <w:pPr>
        <w:spacing w:before="0"/>
        <w:ind w:left="2160"/>
        <w:rPr>
          <w:rFonts w:eastAsia="MS Mincho" w:cs="Arial"/>
          <w:b/>
          <w:sz w:val="28"/>
          <w:lang w:eastAsia="en-US"/>
        </w:rPr>
      </w:pPr>
    </w:p>
    <w:p w14:paraId="06B47446" w14:textId="77777777" w:rsidR="00EC4CF9" w:rsidRPr="0079130D" w:rsidRDefault="00B96BC4" w:rsidP="00EC4CF9">
      <w:pPr>
        <w:spacing w:before="0"/>
        <w:ind w:left="2160"/>
        <w:rPr>
          <w:rFonts w:eastAsia="MS Mincho" w:cs="Arial"/>
          <w:b/>
          <w:sz w:val="28"/>
          <w:lang w:eastAsia="en-US"/>
        </w:rPr>
      </w:pPr>
      <w:r w:rsidRPr="0079130D">
        <w:rPr>
          <w:rFonts w:eastAsia="MS Mincho" w:cs="Arial"/>
          <w:b/>
          <w:sz w:val="28"/>
          <w:lang w:eastAsia="en-US"/>
        </w:rPr>
        <w:t>C</w:t>
      </w:r>
      <w:r w:rsidR="00EC4CF9" w:rsidRPr="0079130D">
        <w:rPr>
          <w:rFonts w:eastAsia="MS Mincho" w:cs="Arial"/>
          <w:b/>
          <w:sz w:val="28"/>
          <w:lang w:eastAsia="en-US"/>
        </w:rPr>
        <w:t>.2. Estimating the income model using lottery wins</w:t>
      </w:r>
    </w:p>
    <w:p w14:paraId="06B47447" w14:textId="77777777" w:rsidR="00EC4CF9" w:rsidRPr="0079130D" w:rsidRDefault="00EC4CF9" w:rsidP="00EC4CF9">
      <w:pPr>
        <w:widowControl w:val="0"/>
        <w:autoSpaceDE w:val="0"/>
        <w:autoSpaceDN w:val="0"/>
        <w:adjustRightInd w:val="0"/>
        <w:spacing w:before="0"/>
        <w:ind w:left="2160"/>
        <w:rPr>
          <w:rFonts w:eastAsia="MS Mincho" w:cs="Arial"/>
          <w:lang w:eastAsia="en-US"/>
        </w:rPr>
      </w:pPr>
    </w:p>
    <w:p w14:paraId="06B47448" w14:textId="77777777" w:rsidR="00EC4CF9" w:rsidRPr="0079130D" w:rsidRDefault="00EC4CF9" w:rsidP="00EC4CF9">
      <w:pPr>
        <w:widowControl w:val="0"/>
        <w:autoSpaceDE w:val="0"/>
        <w:autoSpaceDN w:val="0"/>
        <w:adjustRightInd w:val="0"/>
        <w:spacing w:before="0"/>
        <w:ind w:left="2160"/>
        <w:rPr>
          <w:rFonts w:eastAsia="MS Mincho" w:cs="Arial"/>
          <w:lang w:eastAsia="en-US"/>
        </w:rPr>
      </w:pPr>
      <w:r w:rsidRPr="0079130D">
        <w:rPr>
          <w:rFonts w:eastAsia="MS Mincho" w:cs="Arial"/>
          <w:lang w:eastAsia="en-US"/>
        </w:rPr>
        <w:t xml:space="preserve">The model for income uses the BHPS data on lottery wins as an instrumental variable in two stage least squares (2SLS) to provide exogenous changes in income. This means that we are able to run a model with fewer parametric restrictions that derives a causal estimate for income. A key benefit is that we control for only a few of the covariates, meaning that the indirect effects of income on wellbeing can mainly be accounted for in the model. </w:t>
      </w:r>
    </w:p>
    <w:p w14:paraId="06B47449" w14:textId="77777777" w:rsidR="00EC4CF9" w:rsidRPr="0079130D" w:rsidRDefault="00EC4CF9" w:rsidP="00EC4CF9">
      <w:pPr>
        <w:widowControl w:val="0"/>
        <w:autoSpaceDE w:val="0"/>
        <w:autoSpaceDN w:val="0"/>
        <w:adjustRightInd w:val="0"/>
        <w:spacing w:before="0"/>
        <w:ind w:left="2160"/>
        <w:rPr>
          <w:rFonts w:eastAsia="MS Mincho" w:cs="Arial"/>
          <w:lang w:eastAsia="en-US"/>
        </w:rPr>
      </w:pPr>
    </w:p>
    <w:p w14:paraId="06B4744A" w14:textId="0BA95338" w:rsidR="00EC4CF9" w:rsidRPr="0079130D" w:rsidRDefault="00EC4CF9" w:rsidP="00EC4CF9">
      <w:pPr>
        <w:widowControl w:val="0"/>
        <w:autoSpaceDE w:val="0"/>
        <w:autoSpaceDN w:val="0"/>
        <w:adjustRightInd w:val="0"/>
        <w:spacing w:before="0"/>
        <w:ind w:left="2160"/>
        <w:rPr>
          <w:rFonts w:eastAsia="MS Mincho" w:cs="Arial"/>
          <w:lang w:eastAsia="en-US"/>
        </w:rPr>
      </w:pPr>
      <w:r w:rsidRPr="0079130D">
        <w:rPr>
          <w:rFonts w:eastAsia="MS Mincho" w:cs="Arial"/>
          <w:lang w:eastAsia="en-US"/>
        </w:rPr>
        <w:t xml:space="preserve">The reason for running 2SLS rather than a Wald estimate with no extra covariates is that we cannot observe the frequency of lottery playing in the BHPS. In the BHPS we know the total amount of annual lottery win size, but people that play lotteries more often are more likely to win and this is problematic if there are factors that make people more likely to play the lottery and which also impact on income as it will make the lottery win IV non-exogenous in the first stage. To circumvent this, we control for factors that are correlated with the likelihood of playing lotteries. This will help ensure exogeneity of the instrument in the first stage. 2SLS is run on the sample of lottery winners and we compare people with under £200 of annual winnings to those of with annual </w:t>
      </w:r>
      <w:r w:rsidRPr="0079130D">
        <w:rPr>
          <w:rFonts w:eastAsia="MS Mincho" w:cs="Arial"/>
          <w:lang w:eastAsia="en-US"/>
        </w:rPr>
        <w:lastRenderedPageBreak/>
        <w:t xml:space="preserve">lottery winnings between £200 - £10,000. This will help ensure the exclusion restriction in the second stage since both groups, </w:t>
      </w:r>
      <m:oMath>
        <m:r>
          <w:rPr>
            <w:rFonts w:ascii="Cambria Math" w:eastAsia="MS Mincho" w:hAnsi="Cambria Math" w:cs="Arial"/>
            <w:lang w:eastAsia="en-US"/>
          </w:rPr>
          <m:t>Z=1</m:t>
        </m:r>
      </m:oMath>
      <w:r w:rsidRPr="0079130D">
        <w:rPr>
          <w:rFonts w:eastAsia="MS Mincho" w:cs="Arial"/>
          <w:lang w:eastAsia="en-US"/>
        </w:rPr>
        <w:t xml:space="preserve"> and </w:t>
      </w:r>
      <m:oMath>
        <m:r>
          <w:rPr>
            <w:rFonts w:ascii="Cambria Math" w:eastAsia="MS Mincho" w:hAnsi="Cambria Math" w:cs="Arial"/>
            <w:lang w:eastAsia="en-US"/>
          </w:rPr>
          <m:t>Z=0</m:t>
        </m:r>
      </m:oMath>
      <w:r w:rsidRPr="0079130D">
        <w:rPr>
          <w:rFonts w:eastAsia="MS Mincho" w:cs="Arial"/>
          <w:lang w:eastAsia="en-US"/>
        </w:rPr>
        <w:t xml:space="preserve"> (where </w:t>
      </w:r>
      <m:oMath>
        <m:r>
          <w:rPr>
            <w:rFonts w:ascii="Cambria Math" w:eastAsia="MS Mincho" w:hAnsi="Cambria Math" w:cs="Arial"/>
            <w:lang w:eastAsia="en-US"/>
          </w:rPr>
          <m:t>Z</m:t>
        </m:r>
      </m:oMath>
      <w:r w:rsidRPr="0079130D">
        <w:rPr>
          <w:rFonts w:eastAsia="MS Mincho" w:cs="Arial"/>
          <w:lang w:eastAsia="en-US"/>
        </w:rPr>
        <w:t xml:space="preserve"> is the IV), have experienced winning on lotteries and hence the IV should only impact on life satisfaction through impacts on income. It was not possible to include engagement variables in the 2SLS model as only the Understanding Society data includes detailed questions on this. </w:t>
      </w:r>
    </w:p>
    <w:p w14:paraId="06B4744B" w14:textId="77777777" w:rsidR="00EC4CF9" w:rsidRPr="0079130D" w:rsidRDefault="00EC4CF9" w:rsidP="00EC4CF9">
      <w:pPr>
        <w:widowControl w:val="0"/>
        <w:autoSpaceDE w:val="0"/>
        <w:autoSpaceDN w:val="0"/>
        <w:adjustRightInd w:val="0"/>
        <w:spacing w:before="0"/>
        <w:ind w:left="2160"/>
        <w:rPr>
          <w:rFonts w:eastAsia="MS Mincho" w:cs="Arial"/>
          <w:b/>
          <w:lang w:eastAsia="en-US"/>
        </w:rPr>
      </w:pPr>
    </w:p>
    <w:p w14:paraId="06B4744C" w14:textId="77777777" w:rsidR="00EC4CF9" w:rsidRPr="0079130D" w:rsidRDefault="00EC4CF9" w:rsidP="00EC4CF9">
      <w:pPr>
        <w:widowControl w:val="0"/>
        <w:autoSpaceDE w:val="0"/>
        <w:autoSpaceDN w:val="0"/>
        <w:adjustRightInd w:val="0"/>
        <w:spacing w:before="0"/>
        <w:ind w:left="2160"/>
        <w:rPr>
          <w:rFonts w:eastAsia="MS Mincho" w:cs="Arial"/>
          <w:b/>
          <w:lang w:eastAsia="en-US"/>
        </w:rPr>
      </w:pPr>
    </w:p>
    <w:p w14:paraId="06B4744D" w14:textId="77777777" w:rsidR="00EC4CF9" w:rsidRPr="00EC4CF9" w:rsidRDefault="00B96BC4" w:rsidP="00EC4CF9">
      <w:pPr>
        <w:widowControl w:val="0"/>
        <w:autoSpaceDE w:val="0"/>
        <w:autoSpaceDN w:val="0"/>
        <w:adjustRightInd w:val="0"/>
        <w:spacing w:before="0"/>
        <w:ind w:left="2160"/>
        <w:rPr>
          <w:rFonts w:ascii="Calibri" w:eastAsia="MS Mincho" w:hAnsi="Calibri" w:cs="Calibri"/>
          <w:b/>
          <w:sz w:val="28"/>
          <w:lang w:eastAsia="en-US"/>
        </w:rPr>
      </w:pPr>
      <w:r w:rsidRPr="0079130D">
        <w:rPr>
          <w:rFonts w:eastAsia="MS Mincho" w:cs="Arial"/>
          <w:b/>
          <w:sz w:val="28"/>
          <w:lang w:eastAsia="en-US"/>
        </w:rPr>
        <w:t>C</w:t>
      </w:r>
      <w:r w:rsidR="00EC4CF9" w:rsidRPr="0079130D">
        <w:rPr>
          <w:rFonts w:eastAsia="MS Mincho" w:cs="Arial"/>
          <w:b/>
          <w:sz w:val="28"/>
          <w:lang w:eastAsia="en-US"/>
        </w:rPr>
        <w:t>.3. Full regression output from OLS Life satisfaction models</w:t>
      </w:r>
    </w:p>
    <w:p w14:paraId="06B4744E" w14:textId="77777777" w:rsidR="00EC4CF9" w:rsidRPr="00EC4CF9" w:rsidRDefault="00EC4CF9" w:rsidP="00EC4CF9">
      <w:pPr>
        <w:widowControl w:val="0"/>
        <w:autoSpaceDE w:val="0"/>
        <w:autoSpaceDN w:val="0"/>
        <w:adjustRightInd w:val="0"/>
        <w:spacing w:before="0"/>
        <w:ind w:left="2160"/>
        <w:rPr>
          <w:rFonts w:ascii="Calibri" w:eastAsia="MS Mincho" w:hAnsi="Calibri" w:cs="Calibri"/>
          <w:b/>
          <w:sz w:val="28"/>
          <w:lang w:eastAsia="en-US"/>
        </w:rPr>
      </w:pPr>
    </w:p>
    <w:tbl>
      <w:tblPr>
        <w:tblW w:w="9902" w:type="dxa"/>
        <w:jc w:val="center"/>
        <w:tblInd w:w="1559" w:type="dxa"/>
        <w:tblLook w:val="04A0" w:firstRow="1" w:lastRow="0" w:firstColumn="1" w:lastColumn="0" w:noHBand="0" w:noVBand="1"/>
      </w:tblPr>
      <w:tblGrid>
        <w:gridCol w:w="2269"/>
        <w:gridCol w:w="1275"/>
        <w:gridCol w:w="1418"/>
        <w:gridCol w:w="1276"/>
        <w:gridCol w:w="1275"/>
        <w:gridCol w:w="1113"/>
        <w:gridCol w:w="1276"/>
      </w:tblGrid>
      <w:tr w:rsidR="00EC4CF9" w:rsidRPr="00EC4CF9" w14:paraId="06B47456" w14:textId="77777777" w:rsidTr="00EC4CF9">
        <w:trPr>
          <w:trHeight w:val="765"/>
          <w:jc w:val="center"/>
        </w:trPr>
        <w:tc>
          <w:tcPr>
            <w:tcW w:w="2269" w:type="dxa"/>
            <w:tcBorders>
              <w:top w:val="single" w:sz="8" w:space="0" w:color="auto"/>
              <w:left w:val="single" w:sz="8" w:space="0" w:color="auto"/>
              <w:bottom w:val="nil"/>
              <w:right w:val="nil"/>
            </w:tcBorders>
            <w:shd w:val="clear" w:color="000000" w:fill="0070C0"/>
            <w:hideMark/>
          </w:tcPr>
          <w:p w14:paraId="06B4744F" w14:textId="77777777" w:rsidR="00EC4CF9" w:rsidRPr="00EC4CF9" w:rsidRDefault="00EC4CF9" w:rsidP="00EC4CF9">
            <w:pPr>
              <w:spacing w:before="0"/>
              <w:ind w:left="0"/>
              <w:rPr>
                <w:rFonts w:ascii="Calibri" w:hAnsi="Calibri" w:cs="Calibri"/>
                <w:b/>
                <w:bCs/>
                <w:color w:val="FFFFFF"/>
                <w:sz w:val="20"/>
                <w:szCs w:val="20"/>
              </w:rPr>
            </w:pPr>
            <w:r w:rsidRPr="00EC4CF9">
              <w:rPr>
                <w:rFonts w:ascii="Calibri" w:hAnsi="Calibri" w:cs="Calibri"/>
                <w:b/>
                <w:bCs/>
                <w:color w:val="FFFFFF"/>
                <w:sz w:val="20"/>
                <w:szCs w:val="20"/>
              </w:rPr>
              <w:t> </w:t>
            </w:r>
          </w:p>
        </w:tc>
        <w:tc>
          <w:tcPr>
            <w:tcW w:w="1275" w:type="dxa"/>
            <w:tcBorders>
              <w:top w:val="single" w:sz="8" w:space="0" w:color="auto"/>
              <w:left w:val="single" w:sz="4" w:space="0" w:color="auto"/>
              <w:bottom w:val="nil"/>
              <w:right w:val="single" w:sz="4" w:space="0" w:color="auto"/>
            </w:tcBorders>
            <w:shd w:val="clear" w:color="000000" w:fill="0070C0"/>
            <w:hideMark/>
          </w:tcPr>
          <w:p w14:paraId="06B47450"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Visits model</w:t>
            </w:r>
          </w:p>
        </w:tc>
        <w:tc>
          <w:tcPr>
            <w:tcW w:w="1418" w:type="dxa"/>
            <w:tcBorders>
              <w:top w:val="single" w:sz="8" w:space="0" w:color="auto"/>
              <w:left w:val="nil"/>
              <w:bottom w:val="nil"/>
              <w:right w:val="nil"/>
            </w:tcBorders>
            <w:shd w:val="clear" w:color="000000" w:fill="0070C0"/>
            <w:hideMark/>
          </w:tcPr>
          <w:p w14:paraId="06B47451"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Arts and sports model</w:t>
            </w:r>
          </w:p>
        </w:tc>
        <w:tc>
          <w:tcPr>
            <w:tcW w:w="1276" w:type="dxa"/>
            <w:tcBorders>
              <w:top w:val="single" w:sz="8" w:space="0" w:color="auto"/>
              <w:left w:val="single" w:sz="4" w:space="0" w:color="auto"/>
              <w:bottom w:val="nil"/>
              <w:right w:val="single" w:sz="4" w:space="0" w:color="auto"/>
            </w:tcBorders>
            <w:shd w:val="clear" w:color="000000" w:fill="0070C0"/>
            <w:hideMark/>
          </w:tcPr>
          <w:p w14:paraId="06B47452"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Sports model 1</w:t>
            </w:r>
          </w:p>
        </w:tc>
        <w:tc>
          <w:tcPr>
            <w:tcW w:w="1275" w:type="dxa"/>
            <w:tcBorders>
              <w:top w:val="single" w:sz="8" w:space="0" w:color="auto"/>
              <w:left w:val="nil"/>
              <w:bottom w:val="nil"/>
              <w:right w:val="nil"/>
            </w:tcBorders>
            <w:shd w:val="clear" w:color="000000" w:fill="0070C0"/>
            <w:hideMark/>
          </w:tcPr>
          <w:p w14:paraId="06B47453"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Sports model 2</w:t>
            </w:r>
          </w:p>
        </w:tc>
        <w:tc>
          <w:tcPr>
            <w:tcW w:w="1113" w:type="dxa"/>
            <w:tcBorders>
              <w:top w:val="single" w:sz="8" w:space="0" w:color="auto"/>
              <w:left w:val="single" w:sz="4" w:space="0" w:color="auto"/>
              <w:bottom w:val="nil"/>
              <w:right w:val="single" w:sz="4" w:space="0" w:color="auto"/>
            </w:tcBorders>
            <w:shd w:val="clear" w:color="000000" w:fill="0070C0"/>
            <w:hideMark/>
          </w:tcPr>
          <w:p w14:paraId="06B47454"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Arts model 1</w:t>
            </w:r>
          </w:p>
        </w:tc>
        <w:tc>
          <w:tcPr>
            <w:tcW w:w="1276" w:type="dxa"/>
            <w:tcBorders>
              <w:top w:val="single" w:sz="8" w:space="0" w:color="auto"/>
              <w:left w:val="nil"/>
              <w:bottom w:val="nil"/>
              <w:right w:val="single" w:sz="8" w:space="0" w:color="auto"/>
            </w:tcBorders>
            <w:shd w:val="clear" w:color="000000" w:fill="0070C0"/>
            <w:hideMark/>
          </w:tcPr>
          <w:p w14:paraId="06B47455"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Arts model 2</w:t>
            </w:r>
          </w:p>
        </w:tc>
      </w:tr>
      <w:tr w:rsidR="00EC4CF9" w:rsidRPr="00EC4CF9" w14:paraId="06B4745E" w14:textId="77777777" w:rsidTr="00EC4CF9">
        <w:trPr>
          <w:trHeight w:val="315"/>
          <w:jc w:val="center"/>
        </w:trPr>
        <w:tc>
          <w:tcPr>
            <w:tcW w:w="2269" w:type="dxa"/>
            <w:tcBorders>
              <w:top w:val="nil"/>
              <w:left w:val="single" w:sz="8" w:space="0" w:color="auto"/>
              <w:bottom w:val="double" w:sz="6" w:space="0" w:color="auto"/>
              <w:right w:val="nil"/>
            </w:tcBorders>
            <w:shd w:val="clear" w:color="000000" w:fill="0070C0"/>
            <w:noWrap/>
            <w:vAlign w:val="bottom"/>
            <w:hideMark/>
          </w:tcPr>
          <w:p w14:paraId="06B47457" w14:textId="77777777" w:rsidR="00EC4CF9" w:rsidRPr="00EC4CF9" w:rsidRDefault="00EC4CF9" w:rsidP="00EC4CF9">
            <w:pPr>
              <w:spacing w:before="0"/>
              <w:ind w:left="0"/>
              <w:rPr>
                <w:rFonts w:ascii="Calibri" w:hAnsi="Calibri" w:cs="Calibri"/>
                <w:b/>
                <w:bCs/>
                <w:color w:val="FFFFFF"/>
                <w:sz w:val="20"/>
                <w:szCs w:val="20"/>
              </w:rPr>
            </w:pPr>
            <w:r w:rsidRPr="00EC4CF9">
              <w:rPr>
                <w:rFonts w:ascii="Calibri" w:hAnsi="Calibri" w:cs="Calibri"/>
                <w:b/>
                <w:bCs/>
                <w:color w:val="FFFFFF"/>
                <w:sz w:val="20"/>
                <w:szCs w:val="20"/>
              </w:rPr>
              <w:t>Explanatory variable</w:t>
            </w:r>
          </w:p>
        </w:tc>
        <w:tc>
          <w:tcPr>
            <w:tcW w:w="1275" w:type="dxa"/>
            <w:tcBorders>
              <w:top w:val="nil"/>
              <w:left w:val="single" w:sz="4" w:space="0" w:color="auto"/>
              <w:bottom w:val="double" w:sz="6" w:space="0" w:color="auto"/>
              <w:right w:val="single" w:sz="4" w:space="0" w:color="auto"/>
            </w:tcBorders>
            <w:shd w:val="clear" w:color="000000" w:fill="0070C0"/>
            <w:noWrap/>
            <w:vAlign w:val="bottom"/>
            <w:hideMark/>
          </w:tcPr>
          <w:p w14:paraId="06B47458"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(8.1)</w:t>
            </w:r>
          </w:p>
        </w:tc>
        <w:tc>
          <w:tcPr>
            <w:tcW w:w="1418" w:type="dxa"/>
            <w:tcBorders>
              <w:top w:val="nil"/>
              <w:left w:val="nil"/>
              <w:bottom w:val="double" w:sz="6" w:space="0" w:color="auto"/>
              <w:right w:val="nil"/>
            </w:tcBorders>
            <w:shd w:val="clear" w:color="000000" w:fill="0070C0"/>
            <w:noWrap/>
            <w:vAlign w:val="bottom"/>
            <w:hideMark/>
          </w:tcPr>
          <w:p w14:paraId="06B47459"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(8.2)</w:t>
            </w:r>
          </w:p>
        </w:tc>
        <w:tc>
          <w:tcPr>
            <w:tcW w:w="1276" w:type="dxa"/>
            <w:tcBorders>
              <w:top w:val="nil"/>
              <w:left w:val="single" w:sz="4" w:space="0" w:color="auto"/>
              <w:bottom w:val="double" w:sz="6" w:space="0" w:color="auto"/>
              <w:right w:val="single" w:sz="4" w:space="0" w:color="auto"/>
            </w:tcBorders>
            <w:shd w:val="clear" w:color="000000" w:fill="0070C0"/>
            <w:noWrap/>
            <w:vAlign w:val="bottom"/>
            <w:hideMark/>
          </w:tcPr>
          <w:p w14:paraId="06B4745A"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(8.3)</w:t>
            </w:r>
          </w:p>
        </w:tc>
        <w:tc>
          <w:tcPr>
            <w:tcW w:w="1275" w:type="dxa"/>
            <w:tcBorders>
              <w:top w:val="nil"/>
              <w:left w:val="nil"/>
              <w:bottom w:val="double" w:sz="6" w:space="0" w:color="auto"/>
              <w:right w:val="nil"/>
            </w:tcBorders>
            <w:shd w:val="clear" w:color="000000" w:fill="0070C0"/>
            <w:noWrap/>
            <w:vAlign w:val="bottom"/>
            <w:hideMark/>
          </w:tcPr>
          <w:p w14:paraId="06B4745B"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(8.4)</w:t>
            </w:r>
          </w:p>
        </w:tc>
        <w:tc>
          <w:tcPr>
            <w:tcW w:w="1113" w:type="dxa"/>
            <w:tcBorders>
              <w:top w:val="nil"/>
              <w:left w:val="single" w:sz="4" w:space="0" w:color="auto"/>
              <w:bottom w:val="double" w:sz="6" w:space="0" w:color="auto"/>
              <w:right w:val="single" w:sz="4" w:space="0" w:color="auto"/>
            </w:tcBorders>
            <w:shd w:val="clear" w:color="000000" w:fill="0070C0"/>
            <w:noWrap/>
            <w:vAlign w:val="bottom"/>
            <w:hideMark/>
          </w:tcPr>
          <w:p w14:paraId="06B4745C"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(8.5)</w:t>
            </w:r>
          </w:p>
        </w:tc>
        <w:tc>
          <w:tcPr>
            <w:tcW w:w="1276" w:type="dxa"/>
            <w:tcBorders>
              <w:top w:val="nil"/>
              <w:left w:val="nil"/>
              <w:bottom w:val="double" w:sz="6" w:space="0" w:color="auto"/>
              <w:right w:val="single" w:sz="8" w:space="0" w:color="auto"/>
            </w:tcBorders>
            <w:shd w:val="clear" w:color="000000" w:fill="0070C0"/>
            <w:noWrap/>
            <w:vAlign w:val="bottom"/>
            <w:hideMark/>
          </w:tcPr>
          <w:p w14:paraId="06B4745D" w14:textId="77777777" w:rsidR="00EC4CF9" w:rsidRPr="00EC4CF9" w:rsidRDefault="00EC4CF9" w:rsidP="00EC4CF9">
            <w:pPr>
              <w:spacing w:before="0"/>
              <w:ind w:left="0"/>
              <w:jc w:val="center"/>
              <w:rPr>
                <w:rFonts w:ascii="Calibri" w:hAnsi="Calibri" w:cs="Calibri"/>
                <w:b/>
                <w:bCs/>
                <w:color w:val="FFFFFF"/>
                <w:sz w:val="20"/>
                <w:szCs w:val="20"/>
              </w:rPr>
            </w:pPr>
            <w:r w:rsidRPr="00EC4CF9">
              <w:rPr>
                <w:rFonts w:ascii="Calibri" w:hAnsi="Calibri" w:cs="Calibri"/>
                <w:b/>
                <w:bCs/>
                <w:color w:val="FFFFFF"/>
                <w:sz w:val="20"/>
                <w:szCs w:val="20"/>
              </w:rPr>
              <w:t>(8.6)</w:t>
            </w:r>
          </w:p>
        </w:tc>
      </w:tr>
      <w:tr w:rsidR="00EC4CF9" w:rsidRPr="00EC4CF9" w14:paraId="06B47466" w14:textId="77777777" w:rsidTr="00EC4CF9">
        <w:trPr>
          <w:trHeight w:val="315"/>
          <w:jc w:val="center"/>
        </w:trPr>
        <w:tc>
          <w:tcPr>
            <w:tcW w:w="2269" w:type="dxa"/>
            <w:tcBorders>
              <w:top w:val="nil"/>
              <w:left w:val="single" w:sz="8" w:space="0" w:color="auto"/>
              <w:bottom w:val="nil"/>
              <w:right w:val="nil"/>
            </w:tcBorders>
            <w:shd w:val="clear" w:color="auto" w:fill="auto"/>
            <w:noWrap/>
            <w:vAlign w:val="bottom"/>
            <w:hideMark/>
          </w:tcPr>
          <w:p w14:paraId="06B4745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6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46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46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46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46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46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46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6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constant</w:t>
            </w:r>
          </w:p>
        </w:tc>
        <w:tc>
          <w:tcPr>
            <w:tcW w:w="1275" w:type="dxa"/>
            <w:tcBorders>
              <w:top w:val="nil"/>
              <w:left w:val="single" w:sz="4" w:space="0" w:color="auto"/>
              <w:bottom w:val="nil"/>
              <w:right w:val="single" w:sz="4" w:space="0" w:color="auto"/>
            </w:tcBorders>
            <w:shd w:val="clear" w:color="auto" w:fill="auto"/>
            <w:noWrap/>
            <w:vAlign w:val="bottom"/>
            <w:hideMark/>
          </w:tcPr>
          <w:p w14:paraId="06B4746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3.671***</w:t>
            </w:r>
          </w:p>
        </w:tc>
        <w:tc>
          <w:tcPr>
            <w:tcW w:w="1418" w:type="dxa"/>
            <w:tcBorders>
              <w:top w:val="nil"/>
              <w:left w:val="nil"/>
              <w:bottom w:val="nil"/>
              <w:right w:val="nil"/>
            </w:tcBorders>
            <w:shd w:val="clear" w:color="auto" w:fill="auto"/>
            <w:noWrap/>
            <w:vAlign w:val="bottom"/>
            <w:hideMark/>
          </w:tcPr>
          <w:p w14:paraId="06B4746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3.593***</w:t>
            </w:r>
          </w:p>
        </w:tc>
        <w:tc>
          <w:tcPr>
            <w:tcW w:w="1276" w:type="dxa"/>
            <w:tcBorders>
              <w:top w:val="nil"/>
              <w:left w:val="single" w:sz="4" w:space="0" w:color="auto"/>
              <w:bottom w:val="nil"/>
              <w:right w:val="single" w:sz="4" w:space="0" w:color="auto"/>
            </w:tcBorders>
            <w:shd w:val="clear" w:color="auto" w:fill="auto"/>
            <w:noWrap/>
            <w:vAlign w:val="bottom"/>
            <w:hideMark/>
          </w:tcPr>
          <w:p w14:paraId="06B4746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3.580***</w:t>
            </w:r>
          </w:p>
        </w:tc>
        <w:tc>
          <w:tcPr>
            <w:tcW w:w="1275" w:type="dxa"/>
            <w:tcBorders>
              <w:top w:val="nil"/>
              <w:left w:val="nil"/>
              <w:bottom w:val="nil"/>
              <w:right w:val="nil"/>
            </w:tcBorders>
            <w:shd w:val="clear" w:color="auto" w:fill="auto"/>
            <w:noWrap/>
            <w:vAlign w:val="bottom"/>
            <w:hideMark/>
          </w:tcPr>
          <w:p w14:paraId="06B4746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3.583***</w:t>
            </w:r>
          </w:p>
        </w:tc>
        <w:tc>
          <w:tcPr>
            <w:tcW w:w="1113" w:type="dxa"/>
            <w:tcBorders>
              <w:top w:val="nil"/>
              <w:left w:val="single" w:sz="4" w:space="0" w:color="auto"/>
              <w:bottom w:val="nil"/>
              <w:right w:val="single" w:sz="4" w:space="0" w:color="auto"/>
            </w:tcBorders>
            <w:shd w:val="clear" w:color="auto" w:fill="auto"/>
            <w:noWrap/>
            <w:vAlign w:val="bottom"/>
            <w:hideMark/>
          </w:tcPr>
          <w:p w14:paraId="06B4746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3.596***</w:t>
            </w:r>
          </w:p>
        </w:tc>
        <w:tc>
          <w:tcPr>
            <w:tcW w:w="1276" w:type="dxa"/>
            <w:tcBorders>
              <w:top w:val="nil"/>
              <w:left w:val="nil"/>
              <w:bottom w:val="nil"/>
              <w:right w:val="single" w:sz="8" w:space="0" w:color="auto"/>
            </w:tcBorders>
            <w:shd w:val="clear" w:color="auto" w:fill="auto"/>
            <w:noWrap/>
            <w:vAlign w:val="bottom"/>
            <w:hideMark/>
          </w:tcPr>
          <w:p w14:paraId="06B4746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3.653***</w:t>
            </w:r>
          </w:p>
        </w:tc>
      </w:tr>
      <w:tr w:rsidR="00EC4CF9" w:rsidRPr="00EC4CF9" w14:paraId="06B4747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6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70" w14:textId="77777777" w:rsidR="00EC4CF9" w:rsidRPr="00EC4CF9" w:rsidRDefault="00CB78DA"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0.309</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471" w14:textId="77777777" w:rsidR="00EC4CF9" w:rsidRPr="00EC4CF9" w:rsidRDefault="00CB78DA"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0.127</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472" w14:textId="77777777" w:rsidR="00EC4CF9" w:rsidRPr="00EC4CF9" w:rsidRDefault="00CB78DA"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0.127</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473" w14:textId="77777777" w:rsidR="00EC4CF9" w:rsidRPr="00EC4CF9" w:rsidRDefault="00CB78DA"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0.127</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474" w14:textId="77777777" w:rsidR="00EC4CF9" w:rsidRPr="00EC4CF9" w:rsidRDefault="00CB78DA"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0.126</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475" w14:textId="77777777" w:rsidR="00EC4CF9" w:rsidRPr="00EC4CF9" w:rsidRDefault="00CB78DA"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0.128</w:t>
            </w:r>
            <w:r>
              <w:rPr>
                <w:rFonts w:ascii="Calibri" w:hAnsi="Calibri" w:cs="Calibri"/>
                <w:color w:val="000000"/>
                <w:sz w:val="20"/>
                <w:szCs w:val="20"/>
              </w:rPr>
              <w:t>)</w:t>
            </w:r>
          </w:p>
        </w:tc>
      </w:tr>
      <w:tr w:rsidR="00EC4CF9" w:rsidRPr="00EC4CF9" w14:paraId="06B4747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7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7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47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47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47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47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47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48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7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log (household income)</w:t>
            </w:r>
          </w:p>
        </w:tc>
        <w:tc>
          <w:tcPr>
            <w:tcW w:w="1275" w:type="dxa"/>
            <w:tcBorders>
              <w:top w:val="nil"/>
              <w:left w:val="single" w:sz="4" w:space="0" w:color="auto"/>
              <w:bottom w:val="nil"/>
              <w:right w:val="single" w:sz="4" w:space="0" w:color="auto"/>
            </w:tcBorders>
            <w:shd w:val="clear" w:color="auto" w:fill="auto"/>
            <w:noWrap/>
            <w:vAlign w:val="bottom"/>
            <w:hideMark/>
          </w:tcPr>
          <w:p w14:paraId="06B4748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0.132***</w:t>
            </w:r>
          </w:p>
        </w:tc>
        <w:tc>
          <w:tcPr>
            <w:tcW w:w="1418" w:type="dxa"/>
            <w:tcBorders>
              <w:top w:val="nil"/>
              <w:left w:val="nil"/>
              <w:bottom w:val="nil"/>
              <w:right w:val="nil"/>
            </w:tcBorders>
            <w:shd w:val="clear" w:color="auto" w:fill="auto"/>
            <w:noWrap/>
            <w:vAlign w:val="bottom"/>
            <w:hideMark/>
          </w:tcPr>
          <w:p w14:paraId="06B4748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0.127***</w:t>
            </w:r>
          </w:p>
        </w:tc>
        <w:tc>
          <w:tcPr>
            <w:tcW w:w="1276" w:type="dxa"/>
            <w:tcBorders>
              <w:top w:val="nil"/>
              <w:left w:val="single" w:sz="4" w:space="0" w:color="auto"/>
              <w:bottom w:val="nil"/>
              <w:right w:val="single" w:sz="4" w:space="0" w:color="auto"/>
            </w:tcBorders>
            <w:shd w:val="clear" w:color="auto" w:fill="auto"/>
            <w:noWrap/>
            <w:vAlign w:val="bottom"/>
            <w:hideMark/>
          </w:tcPr>
          <w:p w14:paraId="06B4748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0.126***</w:t>
            </w:r>
          </w:p>
        </w:tc>
        <w:tc>
          <w:tcPr>
            <w:tcW w:w="1275" w:type="dxa"/>
            <w:tcBorders>
              <w:top w:val="nil"/>
              <w:left w:val="nil"/>
              <w:bottom w:val="nil"/>
              <w:right w:val="nil"/>
            </w:tcBorders>
            <w:shd w:val="clear" w:color="auto" w:fill="auto"/>
            <w:noWrap/>
            <w:vAlign w:val="bottom"/>
            <w:hideMark/>
          </w:tcPr>
          <w:p w14:paraId="06B4748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0.129***</w:t>
            </w:r>
          </w:p>
        </w:tc>
        <w:tc>
          <w:tcPr>
            <w:tcW w:w="1113" w:type="dxa"/>
            <w:tcBorders>
              <w:top w:val="nil"/>
              <w:left w:val="single" w:sz="4" w:space="0" w:color="auto"/>
              <w:bottom w:val="nil"/>
              <w:right w:val="single" w:sz="4" w:space="0" w:color="auto"/>
            </w:tcBorders>
            <w:shd w:val="clear" w:color="auto" w:fill="auto"/>
            <w:noWrap/>
            <w:vAlign w:val="bottom"/>
            <w:hideMark/>
          </w:tcPr>
          <w:p w14:paraId="06B4748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0.124***</w:t>
            </w:r>
          </w:p>
        </w:tc>
        <w:tc>
          <w:tcPr>
            <w:tcW w:w="1276" w:type="dxa"/>
            <w:tcBorders>
              <w:top w:val="nil"/>
              <w:left w:val="nil"/>
              <w:bottom w:val="nil"/>
              <w:right w:val="single" w:sz="8" w:space="0" w:color="auto"/>
            </w:tcBorders>
            <w:shd w:val="clear" w:color="auto" w:fill="auto"/>
            <w:noWrap/>
            <w:vAlign w:val="bottom"/>
            <w:hideMark/>
          </w:tcPr>
          <w:p w14:paraId="06B4748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0.124***</w:t>
            </w:r>
          </w:p>
        </w:tc>
      </w:tr>
      <w:tr w:rsidR="00EC4CF9" w:rsidRPr="00EC4CF9" w14:paraId="06B4748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8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88"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0.029</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489"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0.013</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48A"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0.013</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48B"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0.013</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48C"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0.013</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48D"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0.013</w:t>
            </w:r>
            <w:r>
              <w:rPr>
                <w:rFonts w:ascii="Calibri" w:hAnsi="Calibri" w:cs="Calibri"/>
                <w:color w:val="000000"/>
                <w:sz w:val="20"/>
                <w:szCs w:val="20"/>
              </w:rPr>
              <w:t>)</w:t>
            </w:r>
          </w:p>
        </w:tc>
      </w:tr>
      <w:tr w:rsidR="00EC4CF9" w:rsidRPr="00EC4CF9" w14:paraId="06B4749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8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9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49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49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49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49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49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49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9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Health</w:t>
            </w:r>
          </w:p>
        </w:tc>
        <w:tc>
          <w:tcPr>
            <w:tcW w:w="1275" w:type="dxa"/>
            <w:tcBorders>
              <w:top w:val="nil"/>
              <w:left w:val="single" w:sz="4" w:space="0" w:color="auto"/>
              <w:bottom w:val="nil"/>
              <w:right w:val="single" w:sz="4" w:space="0" w:color="auto"/>
            </w:tcBorders>
            <w:shd w:val="clear" w:color="auto" w:fill="auto"/>
            <w:noWrap/>
            <w:vAlign w:val="bottom"/>
            <w:hideMark/>
          </w:tcPr>
          <w:p w14:paraId="06B4749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0.337***</w:t>
            </w:r>
          </w:p>
        </w:tc>
        <w:tc>
          <w:tcPr>
            <w:tcW w:w="1418" w:type="dxa"/>
            <w:tcBorders>
              <w:top w:val="nil"/>
              <w:left w:val="nil"/>
              <w:bottom w:val="nil"/>
              <w:right w:val="nil"/>
            </w:tcBorders>
            <w:shd w:val="clear" w:color="auto" w:fill="auto"/>
            <w:noWrap/>
            <w:vAlign w:val="bottom"/>
            <w:hideMark/>
          </w:tcPr>
          <w:p w14:paraId="06B4749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0.401***</w:t>
            </w:r>
          </w:p>
        </w:tc>
        <w:tc>
          <w:tcPr>
            <w:tcW w:w="1276" w:type="dxa"/>
            <w:tcBorders>
              <w:top w:val="nil"/>
              <w:left w:val="single" w:sz="4" w:space="0" w:color="auto"/>
              <w:bottom w:val="nil"/>
              <w:right w:val="single" w:sz="4" w:space="0" w:color="auto"/>
            </w:tcBorders>
            <w:shd w:val="clear" w:color="auto" w:fill="auto"/>
            <w:noWrap/>
            <w:vAlign w:val="bottom"/>
            <w:hideMark/>
          </w:tcPr>
          <w:p w14:paraId="06B4749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0.401***</w:t>
            </w:r>
          </w:p>
        </w:tc>
        <w:tc>
          <w:tcPr>
            <w:tcW w:w="1275" w:type="dxa"/>
            <w:tcBorders>
              <w:top w:val="nil"/>
              <w:left w:val="nil"/>
              <w:bottom w:val="nil"/>
              <w:right w:val="nil"/>
            </w:tcBorders>
            <w:shd w:val="clear" w:color="auto" w:fill="auto"/>
            <w:noWrap/>
            <w:vAlign w:val="bottom"/>
            <w:hideMark/>
          </w:tcPr>
          <w:p w14:paraId="06B4749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0.403***</w:t>
            </w:r>
          </w:p>
        </w:tc>
        <w:tc>
          <w:tcPr>
            <w:tcW w:w="1113" w:type="dxa"/>
            <w:tcBorders>
              <w:top w:val="nil"/>
              <w:left w:val="single" w:sz="4" w:space="0" w:color="auto"/>
              <w:bottom w:val="nil"/>
              <w:right w:val="single" w:sz="4" w:space="0" w:color="auto"/>
            </w:tcBorders>
            <w:shd w:val="clear" w:color="auto" w:fill="auto"/>
            <w:noWrap/>
            <w:vAlign w:val="bottom"/>
            <w:hideMark/>
          </w:tcPr>
          <w:p w14:paraId="06B4749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0.400***</w:t>
            </w:r>
          </w:p>
        </w:tc>
        <w:tc>
          <w:tcPr>
            <w:tcW w:w="1276" w:type="dxa"/>
            <w:tcBorders>
              <w:top w:val="nil"/>
              <w:left w:val="nil"/>
              <w:bottom w:val="nil"/>
              <w:right w:val="single" w:sz="8" w:space="0" w:color="auto"/>
            </w:tcBorders>
            <w:shd w:val="clear" w:color="auto" w:fill="auto"/>
            <w:noWrap/>
            <w:vAlign w:val="bottom"/>
            <w:hideMark/>
          </w:tcPr>
          <w:p w14:paraId="06B4749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0.400***</w:t>
            </w:r>
          </w:p>
        </w:tc>
      </w:tr>
      <w:tr w:rsidR="00EC4CF9" w:rsidRPr="00EC4CF9" w14:paraId="06B474A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9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A0"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4A1"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0.008</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4A2"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0.008</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4A3"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0.008</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4A4"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0.008</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4A5"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0.008</w:t>
            </w:r>
            <w:r>
              <w:rPr>
                <w:rFonts w:ascii="Calibri" w:hAnsi="Calibri" w:cs="Calibri"/>
                <w:color w:val="000000"/>
                <w:sz w:val="20"/>
                <w:szCs w:val="20"/>
              </w:rPr>
              <w:t>)</w:t>
            </w:r>
          </w:p>
        </w:tc>
      </w:tr>
      <w:tr w:rsidR="00EC4CF9" w:rsidRPr="00EC4CF9" w14:paraId="06B474A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A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A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4A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4A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4A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4A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4A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4B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A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Gender</w:t>
            </w:r>
          </w:p>
        </w:tc>
        <w:tc>
          <w:tcPr>
            <w:tcW w:w="1275" w:type="dxa"/>
            <w:tcBorders>
              <w:top w:val="nil"/>
              <w:left w:val="single" w:sz="4" w:space="0" w:color="auto"/>
              <w:bottom w:val="nil"/>
              <w:right w:val="single" w:sz="4" w:space="0" w:color="auto"/>
            </w:tcBorders>
            <w:shd w:val="clear" w:color="auto" w:fill="auto"/>
            <w:noWrap/>
            <w:vAlign w:val="bottom"/>
            <w:hideMark/>
          </w:tcPr>
          <w:p w14:paraId="06B474B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-0.127***</w:t>
            </w:r>
          </w:p>
        </w:tc>
        <w:tc>
          <w:tcPr>
            <w:tcW w:w="1418" w:type="dxa"/>
            <w:tcBorders>
              <w:top w:val="nil"/>
              <w:left w:val="nil"/>
              <w:bottom w:val="nil"/>
              <w:right w:val="nil"/>
            </w:tcBorders>
            <w:shd w:val="clear" w:color="auto" w:fill="auto"/>
            <w:noWrap/>
            <w:vAlign w:val="bottom"/>
            <w:hideMark/>
          </w:tcPr>
          <w:p w14:paraId="06B474B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-0.066***</w:t>
            </w:r>
          </w:p>
        </w:tc>
        <w:tc>
          <w:tcPr>
            <w:tcW w:w="1276" w:type="dxa"/>
            <w:tcBorders>
              <w:top w:val="nil"/>
              <w:left w:val="single" w:sz="4" w:space="0" w:color="auto"/>
              <w:bottom w:val="nil"/>
              <w:right w:val="single" w:sz="4" w:space="0" w:color="auto"/>
            </w:tcBorders>
            <w:shd w:val="clear" w:color="auto" w:fill="auto"/>
            <w:noWrap/>
            <w:vAlign w:val="bottom"/>
            <w:hideMark/>
          </w:tcPr>
          <w:p w14:paraId="06B474B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-0.073***</w:t>
            </w:r>
          </w:p>
        </w:tc>
        <w:tc>
          <w:tcPr>
            <w:tcW w:w="1275" w:type="dxa"/>
            <w:tcBorders>
              <w:top w:val="nil"/>
              <w:left w:val="nil"/>
              <w:bottom w:val="nil"/>
              <w:right w:val="nil"/>
            </w:tcBorders>
            <w:shd w:val="clear" w:color="auto" w:fill="auto"/>
            <w:noWrap/>
            <w:vAlign w:val="bottom"/>
            <w:hideMark/>
          </w:tcPr>
          <w:p w14:paraId="06B474B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-0.071***</w:t>
            </w:r>
          </w:p>
        </w:tc>
        <w:tc>
          <w:tcPr>
            <w:tcW w:w="1113" w:type="dxa"/>
            <w:tcBorders>
              <w:top w:val="nil"/>
              <w:left w:val="single" w:sz="4" w:space="0" w:color="auto"/>
              <w:bottom w:val="nil"/>
              <w:right w:val="single" w:sz="4" w:space="0" w:color="auto"/>
            </w:tcBorders>
            <w:shd w:val="clear" w:color="auto" w:fill="auto"/>
            <w:noWrap/>
            <w:vAlign w:val="bottom"/>
            <w:hideMark/>
          </w:tcPr>
          <w:p w14:paraId="06B474B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-0.070***</w:t>
            </w:r>
          </w:p>
        </w:tc>
        <w:tc>
          <w:tcPr>
            <w:tcW w:w="1276" w:type="dxa"/>
            <w:tcBorders>
              <w:top w:val="nil"/>
              <w:left w:val="nil"/>
              <w:bottom w:val="nil"/>
              <w:right w:val="single" w:sz="8" w:space="0" w:color="auto"/>
            </w:tcBorders>
            <w:shd w:val="clear" w:color="auto" w:fill="auto"/>
            <w:noWrap/>
            <w:vAlign w:val="bottom"/>
            <w:hideMark/>
          </w:tcPr>
          <w:p w14:paraId="06B474B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-0.049***</w:t>
            </w:r>
          </w:p>
        </w:tc>
      </w:tr>
      <w:tr w:rsidR="00EC4CF9" w:rsidRPr="00EC4CF9" w14:paraId="06B474B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B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B8"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0.035</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4B9"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0.016</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4BA"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0.016</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4BB"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4BC"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0.016</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4BD"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r>
      <w:tr w:rsidR="00EC4CF9" w:rsidRPr="00EC4CF9" w14:paraId="06B474C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B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C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4C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4C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4C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4C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4C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4C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C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divorced</w:t>
            </w:r>
          </w:p>
        </w:tc>
        <w:tc>
          <w:tcPr>
            <w:tcW w:w="1275" w:type="dxa"/>
            <w:tcBorders>
              <w:top w:val="nil"/>
              <w:left w:val="single" w:sz="4" w:space="0" w:color="auto"/>
              <w:bottom w:val="nil"/>
              <w:right w:val="single" w:sz="4" w:space="0" w:color="auto"/>
            </w:tcBorders>
            <w:shd w:val="clear" w:color="auto" w:fill="auto"/>
            <w:noWrap/>
            <w:vAlign w:val="bottom"/>
            <w:hideMark/>
          </w:tcPr>
          <w:p w14:paraId="06B474C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-0.006</w:t>
            </w:r>
          </w:p>
        </w:tc>
        <w:tc>
          <w:tcPr>
            <w:tcW w:w="1418" w:type="dxa"/>
            <w:tcBorders>
              <w:top w:val="nil"/>
              <w:left w:val="nil"/>
              <w:bottom w:val="nil"/>
              <w:right w:val="nil"/>
            </w:tcBorders>
            <w:shd w:val="clear" w:color="auto" w:fill="auto"/>
            <w:noWrap/>
            <w:vAlign w:val="bottom"/>
            <w:hideMark/>
          </w:tcPr>
          <w:p w14:paraId="06B474C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-0.209***</w:t>
            </w:r>
          </w:p>
        </w:tc>
        <w:tc>
          <w:tcPr>
            <w:tcW w:w="1276" w:type="dxa"/>
            <w:tcBorders>
              <w:top w:val="nil"/>
              <w:left w:val="single" w:sz="4" w:space="0" w:color="auto"/>
              <w:bottom w:val="nil"/>
              <w:right w:val="single" w:sz="4" w:space="0" w:color="auto"/>
            </w:tcBorders>
            <w:shd w:val="clear" w:color="auto" w:fill="auto"/>
            <w:noWrap/>
            <w:vAlign w:val="bottom"/>
            <w:hideMark/>
          </w:tcPr>
          <w:p w14:paraId="06B474C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-0.212***</w:t>
            </w:r>
          </w:p>
        </w:tc>
        <w:tc>
          <w:tcPr>
            <w:tcW w:w="1275" w:type="dxa"/>
            <w:tcBorders>
              <w:top w:val="nil"/>
              <w:left w:val="nil"/>
              <w:bottom w:val="nil"/>
              <w:right w:val="nil"/>
            </w:tcBorders>
            <w:shd w:val="clear" w:color="auto" w:fill="auto"/>
            <w:noWrap/>
            <w:vAlign w:val="bottom"/>
            <w:hideMark/>
          </w:tcPr>
          <w:p w14:paraId="06B474C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-0.209***</w:t>
            </w:r>
          </w:p>
        </w:tc>
        <w:tc>
          <w:tcPr>
            <w:tcW w:w="1113" w:type="dxa"/>
            <w:tcBorders>
              <w:top w:val="nil"/>
              <w:left w:val="single" w:sz="4" w:space="0" w:color="auto"/>
              <w:bottom w:val="nil"/>
              <w:right w:val="single" w:sz="4" w:space="0" w:color="auto"/>
            </w:tcBorders>
            <w:shd w:val="clear" w:color="auto" w:fill="auto"/>
            <w:noWrap/>
            <w:vAlign w:val="bottom"/>
            <w:hideMark/>
          </w:tcPr>
          <w:p w14:paraId="06B474C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-0.212***</w:t>
            </w:r>
          </w:p>
        </w:tc>
        <w:tc>
          <w:tcPr>
            <w:tcW w:w="1276" w:type="dxa"/>
            <w:tcBorders>
              <w:top w:val="nil"/>
              <w:left w:val="nil"/>
              <w:bottom w:val="nil"/>
              <w:right w:val="single" w:sz="8" w:space="0" w:color="auto"/>
            </w:tcBorders>
            <w:shd w:val="clear" w:color="auto" w:fill="auto"/>
            <w:noWrap/>
            <w:vAlign w:val="bottom"/>
            <w:hideMark/>
          </w:tcPr>
          <w:p w14:paraId="06B474C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-0.211***</w:t>
            </w:r>
          </w:p>
        </w:tc>
      </w:tr>
      <w:tr w:rsidR="00EC4CF9" w:rsidRPr="00EC4CF9" w14:paraId="06B474D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C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D0"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0.103</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4D1"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0.049</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4D2"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0.049</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4D3"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0.049</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4D4"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0.049</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4D5"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0.049</w:t>
            </w:r>
            <w:r>
              <w:rPr>
                <w:rFonts w:ascii="Calibri" w:hAnsi="Calibri" w:cs="Calibri"/>
                <w:color w:val="000000"/>
                <w:sz w:val="20"/>
                <w:szCs w:val="20"/>
              </w:rPr>
              <w:t>)</w:t>
            </w:r>
          </w:p>
        </w:tc>
      </w:tr>
      <w:tr w:rsidR="00EC4CF9" w:rsidRPr="00EC4CF9" w14:paraId="06B474D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D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D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4D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4D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4D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4D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4D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4E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D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Single</w:t>
            </w:r>
          </w:p>
        </w:tc>
        <w:tc>
          <w:tcPr>
            <w:tcW w:w="1275" w:type="dxa"/>
            <w:tcBorders>
              <w:top w:val="nil"/>
              <w:left w:val="single" w:sz="4" w:space="0" w:color="auto"/>
              <w:bottom w:val="nil"/>
              <w:right w:val="single" w:sz="4" w:space="0" w:color="auto"/>
            </w:tcBorders>
            <w:shd w:val="clear" w:color="auto" w:fill="auto"/>
            <w:noWrap/>
            <w:vAlign w:val="bottom"/>
            <w:hideMark/>
          </w:tcPr>
          <w:p w14:paraId="06B474E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-0.249***</w:t>
            </w:r>
          </w:p>
        </w:tc>
        <w:tc>
          <w:tcPr>
            <w:tcW w:w="1418" w:type="dxa"/>
            <w:tcBorders>
              <w:top w:val="nil"/>
              <w:left w:val="nil"/>
              <w:bottom w:val="nil"/>
              <w:right w:val="nil"/>
            </w:tcBorders>
            <w:shd w:val="clear" w:color="auto" w:fill="auto"/>
            <w:noWrap/>
            <w:vAlign w:val="bottom"/>
            <w:hideMark/>
          </w:tcPr>
          <w:p w14:paraId="06B474E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-0.123***</w:t>
            </w:r>
          </w:p>
        </w:tc>
        <w:tc>
          <w:tcPr>
            <w:tcW w:w="1276" w:type="dxa"/>
            <w:tcBorders>
              <w:top w:val="nil"/>
              <w:left w:val="single" w:sz="4" w:space="0" w:color="auto"/>
              <w:bottom w:val="nil"/>
              <w:right w:val="single" w:sz="4" w:space="0" w:color="auto"/>
            </w:tcBorders>
            <w:shd w:val="clear" w:color="auto" w:fill="auto"/>
            <w:noWrap/>
            <w:vAlign w:val="bottom"/>
            <w:hideMark/>
          </w:tcPr>
          <w:p w14:paraId="06B474E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-0.124***</w:t>
            </w:r>
          </w:p>
        </w:tc>
        <w:tc>
          <w:tcPr>
            <w:tcW w:w="1275" w:type="dxa"/>
            <w:tcBorders>
              <w:top w:val="nil"/>
              <w:left w:val="nil"/>
              <w:bottom w:val="nil"/>
              <w:right w:val="nil"/>
            </w:tcBorders>
            <w:shd w:val="clear" w:color="auto" w:fill="auto"/>
            <w:noWrap/>
            <w:vAlign w:val="bottom"/>
            <w:hideMark/>
          </w:tcPr>
          <w:p w14:paraId="06B474E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-0.119***</w:t>
            </w:r>
          </w:p>
        </w:tc>
        <w:tc>
          <w:tcPr>
            <w:tcW w:w="1113" w:type="dxa"/>
            <w:tcBorders>
              <w:top w:val="nil"/>
              <w:left w:val="single" w:sz="4" w:space="0" w:color="auto"/>
              <w:bottom w:val="nil"/>
              <w:right w:val="single" w:sz="4" w:space="0" w:color="auto"/>
            </w:tcBorders>
            <w:shd w:val="clear" w:color="auto" w:fill="auto"/>
            <w:noWrap/>
            <w:vAlign w:val="bottom"/>
            <w:hideMark/>
          </w:tcPr>
          <w:p w14:paraId="06B474E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-0.125***</w:t>
            </w:r>
          </w:p>
        </w:tc>
        <w:tc>
          <w:tcPr>
            <w:tcW w:w="1276" w:type="dxa"/>
            <w:tcBorders>
              <w:top w:val="nil"/>
              <w:left w:val="nil"/>
              <w:bottom w:val="nil"/>
              <w:right w:val="single" w:sz="8" w:space="0" w:color="auto"/>
            </w:tcBorders>
            <w:shd w:val="clear" w:color="auto" w:fill="auto"/>
            <w:noWrap/>
            <w:vAlign w:val="bottom"/>
            <w:hideMark/>
          </w:tcPr>
          <w:p w14:paraId="06B474E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-0.125***</w:t>
            </w:r>
          </w:p>
        </w:tc>
      </w:tr>
      <w:tr w:rsidR="00EC4CF9" w:rsidRPr="00EC4CF9" w14:paraId="06B474E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E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E8"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0.074</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4E9"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w:t>
            </w:r>
            <w:r>
              <w:rPr>
                <w:rFonts w:ascii="Calibri" w:hAnsi="Calibri" w:cs="Calibri"/>
                <w:color w:val="000000"/>
                <w:sz w:val="20"/>
                <w:szCs w:val="20"/>
              </w:rPr>
              <w:t>0)</w:t>
            </w:r>
          </w:p>
        </w:tc>
        <w:tc>
          <w:tcPr>
            <w:tcW w:w="1276" w:type="dxa"/>
            <w:tcBorders>
              <w:top w:val="nil"/>
              <w:left w:val="single" w:sz="4" w:space="0" w:color="auto"/>
              <w:bottom w:val="nil"/>
              <w:right w:val="single" w:sz="4" w:space="0" w:color="auto"/>
            </w:tcBorders>
            <w:shd w:val="clear" w:color="auto" w:fill="auto"/>
            <w:noWrap/>
            <w:vAlign w:val="bottom"/>
            <w:hideMark/>
          </w:tcPr>
          <w:p w14:paraId="06B474EA"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w:t>
            </w:r>
            <w:r>
              <w:rPr>
                <w:rFonts w:ascii="Calibri" w:hAnsi="Calibri" w:cs="Calibri"/>
                <w:color w:val="000000"/>
                <w:sz w:val="20"/>
                <w:szCs w:val="20"/>
              </w:rPr>
              <w:t>0)</w:t>
            </w:r>
          </w:p>
        </w:tc>
        <w:tc>
          <w:tcPr>
            <w:tcW w:w="1275" w:type="dxa"/>
            <w:tcBorders>
              <w:top w:val="nil"/>
              <w:left w:val="nil"/>
              <w:bottom w:val="nil"/>
              <w:right w:val="nil"/>
            </w:tcBorders>
            <w:shd w:val="clear" w:color="auto" w:fill="auto"/>
            <w:noWrap/>
            <w:vAlign w:val="bottom"/>
            <w:hideMark/>
          </w:tcPr>
          <w:p w14:paraId="06B474EB"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w:t>
            </w:r>
            <w:r>
              <w:rPr>
                <w:rFonts w:ascii="Calibri" w:hAnsi="Calibri" w:cs="Calibri"/>
                <w:color w:val="000000"/>
                <w:sz w:val="20"/>
                <w:szCs w:val="20"/>
              </w:rPr>
              <w:t>0)</w:t>
            </w:r>
          </w:p>
        </w:tc>
        <w:tc>
          <w:tcPr>
            <w:tcW w:w="1113" w:type="dxa"/>
            <w:tcBorders>
              <w:top w:val="nil"/>
              <w:left w:val="single" w:sz="4" w:space="0" w:color="auto"/>
              <w:bottom w:val="nil"/>
              <w:right w:val="single" w:sz="4" w:space="0" w:color="auto"/>
            </w:tcBorders>
            <w:shd w:val="clear" w:color="auto" w:fill="auto"/>
            <w:noWrap/>
            <w:vAlign w:val="bottom"/>
            <w:hideMark/>
          </w:tcPr>
          <w:p w14:paraId="06B474EC"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w:t>
            </w:r>
            <w:r>
              <w:rPr>
                <w:rFonts w:ascii="Calibri" w:hAnsi="Calibri" w:cs="Calibri"/>
                <w:color w:val="000000"/>
                <w:sz w:val="20"/>
                <w:szCs w:val="20"/>
              </w:rPr>
              <w:t>0)</w:t>
            </w:r>
          </w:p>
        </w:tc>
        <w:tc>
          <w:tcPr>
            <w:tcW w:w="1276" w:type="dxa"/>
            <w:tcBorders>
              <w:top w:val="nil"/>
              <w:left w:val="nil"/>
              <w:bottom w:val="nil"/>
              <w:right w:val="single" w:sz="8" w:space="0" w:color="auto"/>
            </w:tcBorders>
            <w:shd w:val="clear" w:color="auto" w:fill="auto"/>
            <w:noWrap/>
            <w:vAlign w:val="bottom"/>
            <w:hideMark/>
          </w:tcPr>
          <w:p w14:paraId="06B474ED"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w:t>
            </w:r>
            <w:r>
              <w:rPr>
                <w:rFonts w:ascii="Calibri" w:hAnsi="Calibri" w:cs="Calibri"/>
                <w:color w:val="000000"/>
                <w:sz w:val="20"/>
                <w:szCs w:val="20"/>
              </w:rPr>
              <w:t>0)</w:t>
            </w:r>
          </w:p>
        </w:tc>
      </w:tr>
      <w:tr w:rsidR="00EC4CF9" w:rsidRPr="00EC4CF9" w14:paraId="06B474F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E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4F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4F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4F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4F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4F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4F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4F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F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widowed</w:t>
            </w:r>
          </w:p>
        </w:tc>
        <w:tc>
          <w:tcPr>
            <w:tcW w:w="1275" w:type="dxa"/>
            <w:tcBorders>
              <w:top w:val="nil"/>
              <w:left w:val="single" w:sz="4" w:space="0" w:color="auto"/>
              <w:bottom w:val="nil"/>
              <w:right w:val="single" w:sz="4" w:space="0" w:color="auto"/>
            </w:tcBorders>
            <w:shd w:val="clear" w:color="auto" w:fill="auto"/>
            <w:noWrap/>
            <w:vAlign w:val="bottom"/>
            <w:hideMark/>
          </w:tcPr>
          <w:p w14:paraId="06B474F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-0.368*</w:t>
            </w:r>
          </w:p>
        </w:tc>
        <w:tc>
          <w:tcPr>
            <w:tcW w:w="1418" w:type="dxa"/>
            <w:tcBorders>
              <w:top w:val="nil"/>
              <w:left w:val="nil"/>
              <w:bottom w:val="nil"/>
              <w:right w:val="nil"/>
            </w:tcBorders>
            <w:shd w:val="clear" w:color="auto" w:fill="auto"/>
            <w:noWrap/>
            <w:vAlign w:val="bottom"/>
            <w:hideMark/>
          </w:tcPr>
          <w:p w14:paraId="06B474F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-0.158**</w:t>
            </w:r>
          </w:p>
        </w:tc>
        <w:tc>
          <w:tcPr>
            <w:tcW w:w="1276" w:type="dxa"/>
            <w:tcBorders>
              <w:top w:val="nil"/>
              <w:left w:val="single" w:sz="4" w:space="0" w:color="auto"/>
              <w:bottom w:val="nil"/>
              <w:right w:val="single" w:sz="4" w:space="0" w:color="auto"/>
            </w:tcBorders>
            <w:shd w:val="clear" w:color="auto" w:fill="auto"/>
            <w:noWrap/>
            <w:vAlign w:val="bottom"/>
            <w:hideMark/>
          </w:tcPr>
          <w:p w14:paraId="06B474F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-0.162**</w:t>
            </w:r>
          </w:p>
        </w:tc>
        <w:tc>
          <w:tcPr>
            <w:tcW w:w="1275" w:type="dxa"/>
            <w:tcBorders>
              <w:top w:val="nil"/>
              <w:left w:val="nil"/>
              <w:bottom w:val="nil"/>
              <w:right w:val="nil"/>
            </w:tcBorders>
            <w:shd w:val="clear" w:color="auto" w:fill="auto"/>
            <w:noWrap/>
            <w:vAlign w:val="bottom"/>
            <w:hideMark/>
          </w:tcPr>
          <w:p w14:paraId="06B474F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-0.163**</w:t>
            </w:r>
          </w:p>
        </w:tc>
        <w:tc>
          <w:tcPr>
            <w:tcW w:w="1113" w:type="dxa"/>
            <w:tcBorders>
              <w:top w:val="nil"/>
              <w:left w:val="single" w:sz="4" w:space="0" w:color="auto"/>
              <w:bottom w:val="nil"/>
              <w:right w:val="single" w:sz="4" w:space="0" w:color="auto"/>
            </w:tcBorders>
            <w:shd w:val="clear" w:color="auto" w:fill="auto"/>
            <w:noWrap/>
            <w:vAlign w:val="bottom"/>
            <w:hideMark/>
          </w:tcPr>
          <w:p w14:paraId="06B474F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-0.159**</w:t>
            </w:r>
          </w:p>
        </w:tc>
        <w:tc>
          <w:tcPr>
            <w:tcW w:w="1276" w:type="dxa"/>
            <w:tcBorders>
              <w:top w:val="nil"/>
              <w:left w:val="nil"/>
              <w:bottom w:val="nil"/>
              <w:right w:val="single" w:sz="8" w:space="0" w:color="auto"/>
            </w:tcBorders>
            <w:shd w:val="clear" w:color="auto" w:fill="auto"/>
            <w:noWrap/>
            <w:vAlign w:val="bottom"/>
            <w:hideMark/>
          </w:tcPr>
          <w:p w14:paraId="06B474F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-0.157**</w:t>
            </w:r>
          </w:p>
        </w:tc>
      </w:tr>
      <w:tr w:rsidR="00EC4CF9" w:rsidRPr="00EC4CF9" w14:paraId="06B4750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4F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00"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0.222</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501"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0.067</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502"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0.067</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503"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0.067</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504"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0.067</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505"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0.067</w:t>
            </w:r>
            <w:r>
              <w:rPr>
                <w:rFonts w:ascii="Calibri" w:hAnsi="Calibri" w:cs="Calibri"/>
                <w:color w:val="000000"/>
                <w:sz w:val="20"/>
                <w:szCs w:val="20"/>
              </w:rPr>
              <w:t>)</w:t>
            </w:r>
          </w:p>
        </w:tc>
      </w:tr>
      <w:tr w:rsidR="00EC4CF9" w:rsidRPr="00EC4CF9" w14:paraId="06B4750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0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0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50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50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50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50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50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51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0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married</w:t>
            </w:r>
          </w:p>
        </w:tc>
        <w:tc>
          <w:tcPr>
            <w:tcW w:w="1275" w:type="dxa"/>
            <w:tcBorders>
              <w:top w:val="nil"/>
              <w:left w:val="single" w:sz="4" w:space="0" w:color="auto"/>
              <w:bottom w:val="nil"/>
              <w:right w:val="single" w:sz="4" w:space="0" w:color="auto"/>
            </w:tcBorders>
            <w:shd w:val="clear" w:color="auto" w:fill="auto"/>
            <w:noWrap/>
            <w:vAlign w:val="bottom"/>
            <w:hideMark/>
          </w:tcPr>
          <w:p w14:paraId="06B4751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0.193***</w:t>
            </w:r>
          </w:p>
        </w:tc>
        <w:tc>
          <w:tcPr>
            <w:tcW w:w="1418" w:type="dxa"/>
            <w:tcBorders>
              <w:top w:val="nil"/>
              <w:left w:val="nil"/>
              <w:bottom w:val="nil"/>
              <w:right w:val="nil"/>
            </w:tcBorders>
            <w:shd w:val="clear" w:color="auto" w:fill="auto"/>
            <w:noWrap/>
            <w:vAlign w:val="bottom"/>
            <w:hideMark/>
          </w:tcPr>
          <w:p w14:paraId="06B4751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0.168***</w:t>
            </w:r>
          </w:p>
        </w:tc>
        <w:tc>
          <w:tcPr>
            <w:tcW w:w="1276" w:type="dxa"/>
            <w:tcBorders>
              <w:top w:val="nil"/>
              <w:left w:val="single" w:sz="4" w:space="0" w:color="auto"/>
              <w:bottom w:val="nil"/>
              <w:right w:val="single" w:sz="4" w:space="0" w:color="auto"/>
            </w:tcBorders>
            <w:shd w:val="clear" w:color="auto" w:fill="auto"/>
            <w:noWrap/>
            <w:vAlign w:val="bottom"/>
            <w:hideMark/>
          </w:tcPr>
          <w:p w14:paraId="06B4751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0.168***</w:t>
            </w:r>
          </w:p>
        </w:tc>
        <w:tc>
          <w:tcPr>
            <w:tcW w:w="1275" w:type="dxa"/>
            <w:tcBorders>
              <w:top w:val="nil"/>
              <w:left w:val="nil"/>
              <w:bottom w:val="nil"/>
              <w:right w:val="nil"/>
            </w:tcBorders>
            <w:shd w:val="clear" w:color="auto" w:fill="auto"/>
            <w:noWrap/>
            <w:vAlign w:val="bottom"/>
            <w:hideMark/>
          </w:tcPr>
          <w:p w14:paraId="06B4751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0.167***</w:t>
            </w:r>
          </w:p>
        </w:tc>
        <w:tc>
          <w:tcPr>
            <w:tcW w:w="1113" w:type="dxa"/>
            <w:tcBorders>
              <w:top w:val="nil"/>
              <w:left w:val="single" w:sz="4" w:space="0" w:color="auto"/>
              <w:bottom w:val="nil"/>
              <w:right w:val="single" w:sz="4" w:space="0" w:color="auto"/>
            </w:tcBorders>
            <w:shd w:val="clear" w:color="auto" w:fill="auto"/>
            <w:noWrap/>
            <w:vAlign w:val="bottom"/>
            <w:hideMark/>
          </w:tcPr>
          <w:p w14:paraId="06B4751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0.168***</w:t>
            </w:r>
          </w:p>
        </w:tc>
        <w:tc>
          <w:tcPr>
            <w:tcW w:w="1276" w:type="dxa"/>
            <w:tcBorders>
              <w:top w:val="nil"/>
              <w:left w:val="nil"/>
              <w:bottom w:val="nil"/>
              <w:right w:val="single" w:sz="8" w:space="0" w:color="auto"/>
            </w:tcBorders>
            <w:shd w:val="clear" w:color="auto" w:fill="auto"/>
            <w:noWrap/>
            <w:vAlign w:val="bottom"/>
            <w:hideMark/>
          </w:tcPr>
          <w:p w14:paraId="06B4751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0.169***</w:t>
            </w:r>
          </w:p>
        </w:tc>
      </w:tr>
      <w:tr w:rsidR="00EC4CF9" w:rsidRPr="00EC4CF9" w14:paraId="06B4751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1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18"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0.05</w:t>
            </w:r>
            <w:r>
              <w:rPr>
                <w:rFonts w:ascii="Calibri" w:hAnsi="Calibri" w:cs="Calibri"/>
                <w:color w:val="000000"/>
                <w:sz w:val="20"/>
                <w:szCs w:val="20"/>
              </w:rPr>
              <w:t>0)</w:t>
            </w:r>
          </w:p>
        </w:tc>
        <w:tc>
          <w:tcPr>
            <w:tcW w:w="1418" w:type="dxa"/>
            <w:tcBorders>
              <w:top w:val="nil"/>
              <w:left w:val="nil"/>
              <w:bottom w:val="nil"/>
              <w:right w:val="nil"/>
            </w:tcBorders>
            <w:shd w:val="clear" w:color="auto" w:fill="auto"/>
            <w:noWrap/>
            <w:vAlign w:val="bottom"/>
            <w:hideMark/>
          </w:tcPr>
          <w:p w14:paraId="06B47519"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0.022</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51A"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0.022</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51B"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0.022</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51C"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0.022</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51D"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0.022</w:t>
            </w:r>
            <w:r>
              <w:rPr>
                <w:rFonts w:ascii="Calibri" w:hAnsi="Calibri" w:cs="Calibri"/>
                <w:color w:val="000000"/>
                <w:sz w:val="20"/>
                <w:szCs w:val="20"/>
              </w:rPr>
              <w:t>)</w:t>
            </w:r>
          </w:p>
        </w:tc>
      </w:tr>
      <w:tr w:rsidR="00EC4CF9" w:rsidRPr="00EC4CF9" w14:paraId="06B4752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1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2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52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52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52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52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52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52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2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employed</w:t>
            </w:r>
          </w:p>
        </w:tc>
        <w:tc>
          <w:tcPr>
            <w:tcW w:w="1275" w:type="dxa"/>
            <w:tcBorders>
              <w:top w:val="nil"/>
              <w:left w:val="single" w:sz="4" w:space="0" w:color="auto"/>
              <w:bottom w:val="nil"/>
              <w:right w:val="single" w:sz="4" w:space="0" w:color="auto"/>
            </w:tcBorders>
            <w:shd w:val="clear" w:color="auto" w:fill="auto"/>
            <w:noWrap/>
            <w:vAlign w:val="bottom"/>
            <w:hideMark/>
          </w:tcPr>
          <w:p w14:paraId="06B4752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0.013</w:t>
            </w:r>
          </w:p>
        </w:tc>
        <w:tc>
          <w:tcPr>
            <w:tcW w:w="1418" w:type="dxa"/>
            <w:tcBorders>
              <w:top w:val="nil"/>
              <w:left w:val="nil"/>
              <w:bottom w:val="nil"/>
              <w:right w:val="nil"/>
            </w:tcBorders>
            <w:shd w:val="clear" w:color="auto" w:fill="auto"/>
            <w:noWrap/>
            <w:vAlign w:val="bottom"/>
            <w:hideMark/>
          </w:tcPr>
          <w:p w14:paraId="06B4752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0.123***</w:t>
            </w:r>
          </w:p>
        </w:tc>
        <w:tc>
          <w:tcPr>
            <w:tcW w:w="1276" w:type="dxa"/>
            <w:tcBorders>
              <w:top w:val="nil"/>
              <w:left w:val="single" w:sz="4" w:space="0" w:color="auto"/>
              <w:bottom w:val="nil"/>
              <w:right w:val="single" w:sz="4" w:space="0" w:color="auto"/>
            </w:tcBorders>
            <w:shd w:val="clear" w:color="auto" w:fill="auto"/>
            <w:noWrap/>
            <w:vAlign w:val="bottom"/>
            <w:hideMark/>
          </w:tcPr>
          <w:p w14:paraId="06B4752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0.124***</w:t>
            </w:r>
          </w:p>
        </w:tc>
        <w:tc>
          <w:tcPr>
            <w:tcW w:w="1275" w:type="dxa"/>
            <w:tcBorders>
              <w:top w:val="nil"/>
              <w:left w:val="nil"/>
              <w:bottom w:val="nil"/>
              <w:right w:val="nil"/>
            </w:tcBorders>
            <w:shd w:val="clear" w:color="auto" w:fill="auto"/>
            <w:noWrap/>
            <w:vAlign w:val="bottom"/>
            <w:hideMark/>
          </w:tcPr>
          <w:p w14:paraId="06B4752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0.126***</w:t>
            </w:r>
          </w:p>
        </w:tc>
        <w:tc>
          <w:tcPr>
            <w:tcW w:w="1113" w:type="dxa"/>
            <w:tcBorders>
              <w:top w:val="nil"/>
              <w:left w:val="single" w:sz="4" w:space="0" w:color="auto"/>
              <w:bottom w:val="nil"/>
              <w:right w:val="single" w:sz="4" w:space="0" w:color="auto"/>
            </w:tcBorders>
            <w:shd w:val="clear" w:color="auto" w:fill="auto"/>
            <w:noWrap/>
            <w:vAlign w:val="bottom"/>
            <w:hideMark/>
          </w:tcPr>
          <w:p w14:paraId="06B4752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0.122***</w:t>
            </w:r>
          </w:p>
        </w:tc>
        <w:tc>
          <w:tcPr>
            <w:tcW w:w="1276" w:type="dxa"/>
            <w:tcBorders>
              <w:top w:val="nil"/>
              <w:left w:val="nil"/>
              <w:bottom w:val="nil"/>
              <w:right w:val="single" w:sz="8" w:space="0" w:color="auto"/>
            </w:tcBorders>
            <w:shd w:val="clear" w:color="auto" w:fill="auto"/>
            <w:noWrap/>
            <w:vAlign w:val="bottom"/>
            <w:hideMark/>
          </w:tcPr>
          <w:p w14:paraId="06B4752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0.123***</w:t>
            </w:r>
          </w:p>
        </w:tc>
      </w:tr>
      <w:tr w:rsidR="00EC4CF9" w:rsidRPr="00EC4CF9" w14:paraId="06B4753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2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30"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0.048</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531"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0.021</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532"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0.021</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533"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0.021</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534"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0.021</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535"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0.021</w:t>
            </w:r>
            <w:r>
              <w:rPr>
                <w:rFonts w:ascii="Calibri" w:hAnsi="Calibri" w:cs="Calibri"/>
                <w:color w:val="000000"/>
                <w:sz w:val="20"/>
                <w:szCs w:val="20"/>
              </w:rPr>
              <w:t>)</w:t>
            </w:r>
          </w:p>
        </w:tc>
      </w:tr>
      <w:tr w:rsidR="00EC4CF9" w:rsidRPr="00EC4CF9" w14:paraId="06B4753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3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3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53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53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53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53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53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54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3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Retired</w:t>
            </w:r>
          </w:p>
        </w:tc>
        <w:tc>
          <w:tcPr>
            <w:tcW w:w="1275" w:type="dxa"/>
            <w:tcBorders>
              <w:top w:val="nil"/>
              <w:left w:val="single" w:sz="4" w:space="0" w:color="auto"/>
              <w:bottom w:val="nil"/>
              <w:right w:val="single" w:sz="4" w:space="0" w:color="auto"/>
            </w:tcBorders>
            <w:shd w:val="clear" w:color="auto" w:fill="auto"/>
            <w:noWrap/>
            <w:vAlign w:val="bottom"/>
            <w:hideMark/>
          </w:tcPr>
          <w:p w14:paraId="06B4754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0.382***</w:t>
            </w:r>
          </w:p>
        </w:tc>
        <w:tc>
          <w:tcPr>
            <w:tcW w:w="1418" w:type="dxa"/>
            <w:tcBorders>
              <w:top w:val="nil"/>
              <w:left w:val="nil"/>
              <w:bottom w:val="nil"/>
              <w:right w:val="nil"/>
            </w:tcBorders>
            <w:shd w:val="clear" w:color="auto" w:fill="auto"/>
            <w:noWrap/>
            <w:vAlign w:val="bottom"/>
            <w:hideMark/>
          </w:tcPr>
          <w:p w14:paraId="06B4754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0.462***</w:t>
            </w:r>
          </w:p>
        </w:tc>
        <w:tc>
          <w:tcPr>
            <w:tcW w:w="1276" w:type="dxa"/>
            <w:tcBorders>
              <w:top w:val="nil"/>
              <w:left w:val="single" w:sz="4" w:space="0" w:color="auto"/>
              <w:bottom w:val="nil"/>
              <w:right w:val="single" w:sz="4" w:space="0" w:color="auto"/>
            </w:tcBorders>
            <w:shd w:val="clear" w:color="auto" w:fill="auto"/>
            <w:noWrap/>
            <w:vAlign w:val="bottom"/>
            <w:hideMark/>
          </w:tcPr>
          <w:p w14:paraId="06B4754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0.463***</w:t>
            </w:r>
          </w:p>
        </w:tc>
        <w:tc>
          <w:tcPr>
            <w:tcW w:w="1275" w:type="dxa"/>
            <w:tcBorders>
              <w:top w:val="nil"/>
              <w:left w:val="nil"/>
              <w:bottom w:val="nil"/>
              <w:right w:val="nil"/>
            </w:tcBorders>
            <w:shd w:val="clear" w:color="auto" w:fill="auto"/>
            <w:noWrap/>
            <w:vAlign w:val="bottom"/>
            <w:hideMark/>
          </w:tcPr>
          <w:p w14:paraId="06B4754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0.465***</w:t>
            </w:r>
          </w:p>
        </w:tc>
        <w:tc>
          <w:tcPr>
            <w:tcW w:w="1113" w:type="dxa"/>
            <w:tcBorders>
              <w:top w:val="nil"/>
              <w:left w:val="single" w:sz="4" w:space="0" w:color="auto"/>
              <w:bottom w:val="nil"/>
              <w:right w:val="single" w:sz="4" w:space="0" w:color="auto"/>
            </w:tcBorders>
            <w:shd w:val="clear" w:color="auto" w:fill="auto"/>
            <w:noWrap/>
            <w:vAlign w:val="bottom"/>
            <w:hideMark/>
          </w:tcPr>
          <w:p w14:paraId="06B4754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0.460***</w:t>
            </w:r>
          </w:p>
        </w:tc>
        <w:tc>
          <w:tcPr>
            <w:tcW w:w="1276" w:type="dxa"/>
            <w:tcBorders>
              <w:top w:val="nil"/>
              <w:left w:val="nil"/>
              <w:bottom w:val="nil"/>
              <w:right w:val="single" w:sz="8" w:space="0" w:color="auto"/>
            </w:tcBorders>
            <w:shd w:val="clear" w:color="auto" w:fill="auto"/>
            <w:noWrap/>
            <w:vAlign w:val="bottom"/>
            <w:hideMark/>
          </w:tcPr>
          <w:p w14:paraId="06B4754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0.462***</w:t>
            </w:r>
          </w:p>
        </w:tc>
      </w:tr>
      <w:tr w:rsidR="00EC4CF9" w:rsidRPr="00EC4CF9" w14:paraId="06B4754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4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48"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0.075</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549"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0.035</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54A"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0.035</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54B"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0.035</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54C"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0.035</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54D"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0.035</w:t>
            </w:r>
            <w:r>
              <w:rPr>
                <w:rFonts w:ascii="Calibri" w:hAnsi="Calibri" w:cs="Calibri"/>
                <w:color w:val="000000"/>
                <w:sz w:val="20"/>
                <w:szCs w:val="20"/>
              </w:rPr>
              <w:t>)</w:t>
            </w:r>
          </w:p>
        </w:tc>
      </w:tr>
      <w:tr w:rsidR="00EC4CF9" w:rsidRPr="00EC4CF9" w14:paraId="06B4755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4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5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55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55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55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55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55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55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5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Friends</w:t>
            </w:r>
          </w:p>
        </w:tc>
        <w:tc>
          <w:tcPr>
            <w:tcW w:w="1275" w:type="dxa"/>
            <w:tcBorders>
              <w:top w:val="nil"/>
              <w:left w:val="single" w:sz="4" w:space="0" w:color="auto"/>
              <w:bottom w:val="nil"/>
              <w:right w:val="single" w:sz="4" w:space="0" w:color="auto"/>
            </w:tcBorders>
            <w:shd w:val="clear" w:color="auto" w:fill="auto"/>
            <w:noWrap/>
            <w:vAlign w:val="bottom"/>
            <w:hideMark/>
          </w:tcPr>
          <w:p w14:paraId="06B4755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0.724***</w:t>
            </w:r>
          </w:p>
        </w:tc>
        <w:tc>
          <w:tcPr>
            <w:tcW w:w="1418" w:type="dxa"/>
            <w:tcBorders>
              <w:top w:val="nil"/>
              <w:left w:val="nil"/>
              <w:bottom w:val="nil"/>
              <w:right w:val="nil"/>
            </w:tcBorders>
            <w:shd w:val="clear" w:color="auto" w:fill="auto"/>
            <w:noWrap/>
            <w:vAlign w:val="bottom"/>
            <w:hideMark/>
          </w:tcPr>
          <w:p w14:paraId="06B4755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0.516***</w:t>
            </w:r>
          </w:p>
        </w:tc>
        <w:tc>
          <w:tcPr>
            <w:tcW w:w="1276" w:type="dxa"/>
            <w:tcBorders>
              <w:top w:val="nil"/>
              <w:left w:val="single" w:sz="4" w:space="0" w:color="auto"/>
              <w:bottom w:val="nil"/>
              <w:right w:val="single" w:sz="4" w:space="0" w:color="auto"/>
            </w:tcBorders>
            <w:shd w:val="clear" w:color="auto" w:fill="auto"/>
            <w:noWrap/>
            <w:vAlign w:val="bottom"/>
            <w:hideMark/>
          </w:tcPr>
          <w:p w14:paraId="06B4755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0.515***</w:t>
            </w:r>
          </w:p>
        </w:tc>
        <w:tc>
          <w:tcPr>
            <w:tcW w:w="1275" w:type="dxa"/>
            <w:tcBorders>
              <w:top w:val="nil"/>
              <w:left w:val="nil"/>
              <w:bottom w:val="nil"/>
              <w:right w:val="nil"/>
            </w:tcBorders>
            <w:shd w:val="clear" w:color="auto" w:fill="auto"/>
            <w:noWrap/>
            <w:vAlign w:val="bottom"/>
            <w:hideMark/>
          </w:tcPr>
          <w:p w14:paraId="06B4755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0.515***</w:t>
            </w:r>
          </w:p>
        </w:tc>
        <w:tc>
          <w:tcPr>
            <w:tcW w:w="1113" w:type="dxa"/>
            <w:tcBorders>
              <w:top w:val="nil"/>
              <w:left w:val="single" w:sz="4" w:space="0" w:color="auto"/>
              <w:bottom w:val="nil"/>
              <w:right w:val="single" w:sz="4" w:space="0" w:color="auto"/>
            </w:tcBorders>
            <w:shd w:val="clear" w:color="auto" w:fill="auto"/>
            <w:noWrap/>
            <w:vAlign w:val="bottom"/>
            <w:hideMark/>
          </w:tcPr>
          <w:p w14:paraId="06B4755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0.511***</w:t>
            </w:r>
          </w:p>
        </w:tc>
        <w:tc>
          <w:tcPr>
            <w:tcW w:w="1276" w:type="dxa"/>
            <w:tcBorders>
              <w:top w:val="nil"/>
              <w:left w:val="nil"/>
              <w:bottom w:val="nil"/>
              <w:right w:val="single" w:sz="8" w:space="0" w:color="auto"/>
            </w:tcBorders>
            <w:shd w:val="clear" w:color="auto" w:fill="auto"/>
            <w:noWrap/>
            <w:vAlign w:val="bottom"/>
            <w:hideMark/>
          </w:tcPr>
          <w:p w14:paraId="06B4755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0.513***</w:t>
            </w:r>
          </w:p>
        </w:tc>
      </w:tr>
      <w:tr w:rsidR="00EC4CF9" w:rsidRPr="00EC4CF9" w14:paraId="06B4756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5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lastRenderedPageBreak/>
              <w:t> </w:t>
            </w:r>
          </w:p>
        </w:tc>
        <w:tc>
          <w:tcPr>
            <w:tcW w:w="1275" w:type="dxa"/>
            <w:tcBorders>
              <w:top w:val="nil"/>
              <w:left w:val="single" w:sz="4" w:space="0" w:color="auto"/>
              <w:bottom w:val="nil"/>
              <w:right w:val="single" w:sz="4" w:space="0" w:color="auto"/>
            </w:tcBorders>
            <w:shd w:val="clear" w:color="auto" w:fill="auto"/>
            <w:noWrap/>
            <w:vAlign w:val="bottom"/>
            <w:hideMark/>
          </w:tcPr>
          <w:p w14:paraId="06B47560"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0.135</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561"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0.045</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562"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0.045</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563"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0.045</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564"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0.045</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565"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0.046</w:t>
            </w:r>
            <w:r>
              <w:rPr>
                <w:rFonts w:ascii="Calibri" w:hAnsi="Calibri" w:cs="Calibri"/>
                <w:color w:val="000000"/>
                <w:sz w:val="20"/>
                <w:szCs w:val="20"/>
              </w:rPr>
              <w:t>)</w:t>
            </w:r>
          </w:p>
        </w:tc>
      </w:tr>
      <w:tr w:rsidR="00EC4CF9" w:rsidRPr="00EC4CF9" w14:paraId="06B4756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6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6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56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56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56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56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56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57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6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children</w:t>
            </w:r>
          </w:p>
        </w:tc>
        <w:tc>
          <w:tcPr>
            <w:tcW w:w="1275" w:type="dxa"/>
            <w:tcBorders>
              <w:top w:val="nil"/>
              <w:left w:val="single" w:sz="4" w:space="0" w:color="auto"/>
              <w:bottom w:val="nil"/>
              <w:right w:val="single" w:sz="4" w:space="0" w:color="auto"/>
            </w:tcBorders>
            <w:shd w:val="clear" w:color="auto" w:fill="auto"/>
            <w:noWrap/>
            <w:vAlign w:val="bottom"/>
            <w:hideMark/>
          </w:tcPr>
          <w:p w14:paraId="06B4757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-0.045**</w:t>
            </w:r>
          </w:p>
        </w:tc>
        <w:tc>
          <w:tcPr>
            <w:tcW w:w="1418" w:type="dxa"/>
            <w:tcBorders>
              <w:top w:val="nil"/>
              <w:left w:val="nil"/>
              <w:bottom w:val="nil"/>
              <w:right w:val="nil"/>
            </w:tcBorders>
            <w:shd w:val="clear" w:color="auto" w:fill="auto"/>
            <w:noWrap/>
            <w:vAlign w:val="bottom"/>
            <w:hideMark/>
          </w:tcPr>
          <w:p w14:paraId="06B4757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-0.040***</w:t>
            </w:r>
          </w:p>
        </w:tc>
        <w:tc>
          <w:tcPr>
            <w:tcW w:w="1276" w:type="dxa"/>
            <w:tcBorders>
              <w:top w:val="nil"/>
              <w:left w:val="single" w:sz="4" w:space="0" w:color="auto"/>
              <w:bottom w:val="nil"/>
              <w:right w:val="single" w:sz="4" w:space="0" w:color="auto"/>
            </w:tcBorders>
            <w:shd w:val="clear" w:color="auto" w:fill="auto"/>
            <w:noWrap/>
            <w:vAlign w:val="bottom"/>
            <w:hideMark/>
          </w:tcPr>
          <w:p w14:paraId="06B4757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-0.039***</w:t>
            </w:r>
          </w:p>
        </w:tc>
        <w:tc>
          <w:tcPr>
            <w:tcW w:w="1275" w:type="dxa"/>
            <w:tcBorders>
              <w:top w:val="nil"/>
              <w:left w:val="nil"/>
              <w:bottom w:val="nil"/>
              <w:right w:val="nil"/>
            </w:tcBorders>
            <w:shd w:val="clear" w:color="auto" w:fill="auto"/>
            <w:noWrap/>
            <w:vAlign w:val="bottom"/>
            <w:hideMark/>
          </w:tcPr>
          <w:p w14:paraId="06B4757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-0.041***</w:t>
            </w:r>
          </w:p>
        </w:tc>
        <w:tc>
          <w:tcPr>
            <w:tcW w:w="1113" w:type="dxa"/>
            <w:tcBorders>
              <w:top w:val="nil"/>
              <w:left w:val="single" w:sz="4" w:space="0" w:color="auto"/>
              <w:bottom w:val="nil"/>
              <w:right w:val="single" w:sz="4" w:space="0" w:color="auto"/>
            </w:tcBorders>
            <w:shd w:val="clear" w:color="auto" w:fill="auto"/>
            <w:noWrap/>
            <w:vAlign w:val="bottom"/>
            <w:hideMark/>
          </w:tcPr>
          <w:p w14:paraId="06B4757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-0.038***</w:t>
            </w:r>
          </w:p>
        </w:tc>
        <w:tc>
          <w:tcPr>
            <w:tcW w:w="1276" w:type="dxa"/>
            <w:tcBorders>
              <w:top w:val="nil"/>
              <w:left w:val="nil"/>
              <w:bottom w:val="nil"/>
              <w:right w:val="single" w:sz="8" w:space="0" w:color="auto"/>
            </w:tcBorders>
            <w:shd w:val="clear" w:color="auto" w:fill="auto"/>
            <w:noWrap/>
            <w:vAlign w:val="bottom"/>
            <w:hideMark/>
          </w:tcPr>
          <w:p w14:paraId="06B4757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-0.037***</w:t>
            </w:r>
          </w:p>
        </w:tc>
      </w:tr>
      <w:tr w:rsidR="00EC4CF9" w:rsidRPr="00EC4CF9" w14:paraId="06B4757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7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78"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w:t>
            </w:r>
            <w:r>
              <w:rPr>
                <w:rFonts w:ascii="Calibri" w:hAnsi="Calibri" w:cs="Calibri"/>
                <w:color w:val="000000"/>
                <w:sz w:val="20"/>
                <w:szCs w:val="20"/>
              </w:rPr>
              <w:t>0)</w:t>
            </w:r>
          </w:p>
        </w:tc>
        <w:tc>
          <w:tcPr>
            <w:tcW w:w="1418" w:type="dxa"/>
            <w:tcBorders>
              <w:top w:val="nil"/>
              <w:left w:val="nil"/>
              <w:bottom w:val="nil"/>
              <w:right w:val="nil"/>
            </w:tcBorders>
            <w:shd w:val="clear" w:color="auto" w:fill="auto"/>
            <w:noWrap/>
            <w:vAlign w:val="bottom"/>
            <w:hideMark/>
          </w:tcPr>
          <w:p w14:paraId="06B47579"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w:t>
            </w:r>
            <w:r>
              <w:rPr>
                <w:rFonts w:ascii="Calibri" w:hAnsi="Calibri" w:cs="Calibri"/>
                <w:color w:val="000000"/>
                <w:sz w:val="20"/>
                <w:szCs w:val="20"/>
              </w:rPr>
              <w:t>0)</w:t>
            </w:r>
          </w:p>
        </w:tc>
        <w:tc>
          <w:tcPr>
            <w:tcW w:w="1276" w:type="dxa"/>
            <w:tcBorders>
              <w:top w:val="nil"/>
              <w:left w:val="single" w:sz="4" w:space="0" w:color="auto"/>
              <w:bottom w:val="nil"/>
              <w:right w:val="single" w:sz="4" w:space="0" w:color="auto"/>
            </w:tcBorders>
            <w:shd w:val="clear" w:color="auto" w:fill="auto"/>
            <w:noWrap/>
            <w:vAlign w:val="bottom"/>
            <w:hideMark/>
          </w:tcPr>
          <w:p w14:paraId="06B4757A"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w:t>
            </w:r>
            <w:r>
              <w:rPr>
                <w:rFonts w:ascii="Calibri" w:hAnsi="Calibri" w:cs="Calibri"/>
                <w:color w:val="000000"/>
                <w:sz w:val="20"/>
                <w:szCs w:val="20"/>
              </w:rPr>
              <w:t>0)</w:t>
            </w:r>
          </w:p>
        </w:tc>
        <w:tc>
          <w:tcPr>
            <w:tcW w:w="1275" w:type="dxa"/>
            <w:tcBorders>
              <w:top w:val="nil"/>
              <w:left w:val="nil"/>
              <w:bottom w:val="nil"/>
              <w:right w:val="nil"/>
            </w:tcBorders>
            <w:shd w:val="clear" w:color="auto" w:fill="auto"/>
            <w:noWrap/>
            <w:vAlign w:val="bottom"/>
            <w:hideMark/>
          </w:tcPr>
          <w:p w14:paraId="06B4757B"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w:t>
            </w:r>
            <w:r>
              <w:rPr>
                <w:rFonts w:ascii="Calibri" w:hAnsi="Calibri" w:cs="Calibri"/>
                <w:color w:val="000000"/>
                <w:sz w:val="20"/>
                <w:szCs w:val="20"/>
              </w:rPr>
              <w:t>0)</w:t>
            </w:r>
          </w:p>
        </w:tc>
        <w:tc>
          <w:tcPr>
            <w:tcW w:w="1113" w:type="dxa"/>
            <w:tcBorders>
              <w:top w:val="nil"/>
              <w:left w:val="single" w:sz="4" w:space="0" w:color="auto"/>
              <w:bottom w:val="nil"/>
              <w:right w:val="single" w:sz="4" w:space="0" w:color="auto"/>
            </w:tcBorders>
            <w:shd w:val="clear" w:color="auto" w:fill="auto"/>
            <w:noWrap/>
            <w:vAlign w:val="bottom"/>
            <w:hideMark/>
          </w:tcPr>
          <w:p w14:paraId="06B4757C"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w:t>
            </w:r>
            <w:r>
              <w:rPr>
                <w:rFonts w:ascii="Calibri" w:hAnsi="Calibri" w:cs="Calibri"/>
                <w:color w:val="000000"/>
                <w:sz w:val="20"/>
                <w:szCs w:val="20"/>
              </w:rPr>
              <w:t>0)</w:t>
            </w:r>
          </w:p>
        </w:tc>
        <w:tc>
          <w:tcPr>
            <w:tcW w:w="1276" w:type="dxa"/>
            <w:tcBorders>
              <w:top w:val="nil"/>
              <w:left w:val="nil"/>
              <w:bottom w:val="nil"/>
              <w:right w:val="single" w:sz="8" w:space="0" w:color="auto"/>
            </w:tcBorders>
            <w:shd w:val="clear" w:color="auto" w:fill="auto"/>
            <w:noWrap/>
            <w:vAlign w:val="bottom"/>
            <w:hideMark/>
          </w:tcPr>
          <w:p w14:paraId="06B4757D"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w:t>
            </w:r>
            <w:r>
              <w:rPr>
                <w:rFonts w:ascii="Calibri" w:hAnsi="Calibri" w:cs="Calibri"/>
                <w:color w:val="000000"/>
                <w:sz w:val="20"/>
                <w:szCs w:val="20"/>
              </w:rPr>
              <w:t>0)</w:t>
            </w:r>
          </w:p>
        </w:tc>
      </w:tr>
      <w:tr w:rsidR="00EC4CF9" w:rsidRPr="00EC4CF9" w14:paraId="06B4758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7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8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58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58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58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58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58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58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8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Age</w:t>
            </w:r>
          </w:p>
        </w:tc>
        <w:tc>
          <w:tcPr>
            <w:tcW w:w="1275" w:type="dxa"/>
            <w:tcBorders>
              <w:top w:val="nil"/>
              <w:left w:val="single" w:sz="4" w:space="0" w:color="auto"/>
              <w:bottom w:val="nil"/>
              <w:right w:val="single" w:sz="4" w:space="0" w:color="auto"/>
            </w:tcBorders>
            <w:shd w:val="clear" w:color="auto" w:fill="auto"/>
            <w:noWrap/>
            <w:vAlign w:val="bottom"/>
            <w:hideMark/>
          </w:tcPr>
          <w:p w14:paraId="06B4758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-0.059***</w:t>
            </w:r>
          </w:p>
        </w:tc>
        <w:tc>
          <w:tcPr>
            <w:tcW w:w="1418" w:type="dxa"/>
            <w:tcBorders>
              <w:top w:val="nil"/>
              <w:left w:val="nil"/>
              <w:bottom w:val="nil"/>
              <w:right w:val="nil"/>
            </w:tcBorders>
            <w:shd w:val="clear" w:color="auto" w:fill="auto"/>
            <w:noWrap/>
            <w:vAlign w:val="bottom"/>
            <w:hideMark/>
          </w:tcPr>
          <w:p w14:paraId="06B4758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-0.056***</w:t>
            </w:r>
          </w:p>
        </w:tc>
        <w:tc>
          <w:tcPr>
            <w:tcW w:w="1276" w:type="dxa"/>
            <w:tcBorders>
              <w:top w:val="nil"/>
              <w:left w:val="single" w:sz="4" w:space="0" w:color="auto"/>
              <w:bottom w:val="nil"/>
              <w:right w:val="single" w:sz="4" w:space="0" w:color="auto"/>
            </w:tcBorders>
            <w:shd w:val="clear" w:color="auto" w:fill="auto"/>
            <w:noWrap/>
            <w:vAlign w:val="bottom"/>
            <w:hideMark/>
          </w:tcPr>
          <w:p w14:paraId="06B4758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-0.056***</w:t>
            </w:r>
          </w:p>
        </w:tc>
        <w:tc>
          <w:tcPr>
            <w:tcW w:w="1275" w:type="dxa"/>
            <w:tcBorders>
              <w:top w:val="nil"/>
              <w:left w:val="nil"/>
              <w:bottom w:val="nil"/>
              <w:right w:val="nil"/>
            </w:tcBorders>
            <w:shd w:val="clear" w:color="auto" w:fill="auto"/>
            <w:noWrap/>
            <w:vAlign w:val="bottom"/>
            <w:hideMark/>
          </w:tcPr>
          <w:p w14:paraId="06B4758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-0.056***</w:t>
            </w:r>
          </w:p>
        </w:tc>
        <w:tc>
          <w:tcPr>
            <w:tcW w:w="1113" w:type="dxa"/>
            <w:tcBorders>
              <w:top w:val="nil"/>
              <w:left w:val="single" w:sz="4" w:space="0" w:color="auto"/>
              <w:bottom w:val="nil"/>
              <w:right w:val="single" w:sz="4" w:space="0" w:color="auto"/>
            </w:tcBorders>
            <w:shd w:val="clear" w:color="auto" w:fill="auto"/>
            <w:noWrap/>
            <w:vAlign w:val="bottom"/>
            <w:hideMark/>
          </w:tcPr>
          <w:p w14:paraId="06B4758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-0.056***</w:t>
            </w:r>
          </w:p>
        </w:tc>
        <w:tc>
          <w:tcPr>
            <w:tcW w:w="1276" w:type="dxa"/>
            <w:tcBorders>
              <w:top w:val="nil"/>
              <w:left w:val="nil"/>
              <w:bottom w:val="nil"/>
              <w:right w:val="single" w:sz="8" w:space="0" w:color="auto"/>
            </w:tcBorders>
            <w:shd w:val="clear" w:color="auto" w:fill="auto"/>
            <w:noWrap/>
            <w:vAlign w:val="bottom"/>
            <w:hideMark/>
          </w:tcPr>
          <w:p w14:paraId="06B4758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-0.057***</w:t>
            </w:r>
          </w:p>
        </w:tc>
      </w:tr>
      <w:tr w:rsidR="00EC4CF9" w:rsidRPr="00EC4CF9" w14:paraId="06B4759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8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90"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0.007</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591"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0.003</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592"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0.003</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593"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0.003</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594"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0.003</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595"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0.003</w:t>
            </w:r>
            <w:r>
              <w:rPr>
                <w:rFonts w:ascii="Calibri" w:hAnsi="Calibri" w:cs="Calibri"/>
                <w:color w:val="000000"/>
                <w:sz w:val="20"/>
                <w:szCs w:val="20"/>
              </w:rPr>
              <w:t>)</w:t>
            </w:r>
          </w:p>
        </w:tc>
      </w:tr>
      <w:tr w:rsidR="00EC4CF9" w:rsidRPr="00EC4CF9" w14:paraId="06B4759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9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9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59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59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59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59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59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5A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9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age^2</w:t>
            </w:r>
          </w:p>
        </w:tc>
        <w:tc>
          <w:tcPr>
            <w:tcW w:w="1275" w:type="dxa"/>
            <w:tcBorders>
              <w:top w:val="nil"/>
              <w:left w:val="single" w:sz="4" w:space="0" w:color="auto"/>
              <w:bottom w:val="nil"/>
              <w:right w:val="single" w:sz="4" w:space="0" w:color="auto"/>
            </w:tcBorders>
            <w:shd w:val="clear" w:color="auto" w:fill="auto"/>
            <w:noWrap/>
            <w:vAlign w:val="bottom"/>
            <w:hideMark/>
          </w:tcPr>
          <w:p w14:paraId="06B475A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0.001***</w:t>
            </w:r>
          </w:p>
        </w:tc>
        <w:tc>
          <w:tcPr>
            <w:tcW w:w="1418" w:type="dxa"/>
            <w:tcBorders>
              <w:top w:val="nil"/>
              <w:left w:val="nil"/>
              <w:bottom w:val="nil"/>
              <w:right w:val="nil"/>
            </w:tcBorders>
            <w:shd w:val="clear" w:color="auto" w:fill="auto"/>
            <w:noWrap/>
            <w:vAlign w:val="bottom"/>
            <w:hideMark/>
          </w:tcPr>
          <w:p w14:paraId="06B475A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0.001***</w:t>
            </w:r>
          </w:p>
        </w:tc>
        <w:tc>
          <w:tcPr>
            <w:tcW w:w="1276" w:type="dxa"/>
            <w:tcBorders>
              <w:top w:val="nil"/>
              <w:left w:val="single" w:sz="4" w:space="0" w:color="auto"/>
              <w:bottom w:val="nil"/>
              <w:right w:val="single" w:sz="4" w:space="0" w:color="auto"/>
            </w:tcBorders>
            <w:shd w:val="clear" w:color="auto" w:fill="auto"/>
            <w:noWrap/>
            <w:vAlign w:val="bottom"/>
            <w:hideMark/>
          </w:tcPr>
          <w:p w14:paraId="06B475A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0.001***</w:t>
            </w:r>
          </w:p>
        </w:tc>
        <w:tc>
          <w:tcPr>
            <w:tcW w:w="1275" w:type="dxa"/>
            <w:tcBorders>
              <w:top w:val="nil"/>
              <w:left w:val="nil"/>
              <w:bottom w:val="nil"/>
              <w:right w:val="nil"/>
            </w:tcBorders>
            <w:shd w:val="clear" w:color="auto" w:fill="auto"/>
            <w:noWrap/>
            <w:vAlign w:val="bottom"/>
            <w:hideMark/>
          </w:tcPr>
          <w:p w14:paraId="06B475A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0.001***</w:t>
            </w:r>
          </w:p>
        </w:tc>
        <w:tc>
          <w:tcPr>
            <w:tcW w:w="1113" w:type="dxa"/>
            <w:tcBorders>
              <w:top w:val="nil"/>
              <w:left w:val="single" w:sz="4" w:space="0" w:color="auto"/>
              <w:bottom w:val="nil"/>
              <w:right w:val="single" w:sz="4" w:space="0" w:color="auto"/>
            </w:tcBorders>
            <w:shd w:val="clear" w:color="auto" w:fill="auto"/>
            <w:noWrap/>
            <w:vAlign w:val="bottom"/>
            <w:hideMark/>
          </w:tcPr>
          <w:p w14:paraId="06B475A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0.001***</w:t>
            </w:r>
          </w:p>
        </w:tc>
        <w:tc>
          <w:tcPr>
            <w:tcW w:w="1276" w:type="dxa"/>
            <w:tcBorders>
              <w:top w:val="nil"/>
              <w:left w:val="nil"/>
              <w:bottom w:val="nil"/>
              <w:right w:val="single" w:sz="8" w:space="0" w:color="auto"/>
            </w:tcBorders>
            <w:shd w:val="clear" w:color="auto" w:fill="auto"/>
            <w:noWrap/>
            <w:vAlign w:val="bottom"/>
            <w:hideMark/>
          </w:tcPr>
          <w:p w14:paraId="06B475A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0.001***</w:t>
            </w:r>
          </w:p>
        </w:tc>
      </w:tr>
      <w:tr w:rsidR="00EC4CF9" w:rsidRPr="00EC4CF9" w14:paraId="06B475A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A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A8"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w:t>
            </w:r>
            <w:r>
              <w:rPr>
                <w:rFonts w:ascii="Calibri" w:hAnsi="Calibri" w:cs="Calibri"/>
                <w:color w:val="000000"/>
                <w:sz w:val="20"/>
                <w:szCs w:val="20"/>
              </w:rPr>
              <w:t>.000)</w:t>
            </w:r>
          </w:p>
        </w:tc>
        <w:tc>
          <w:tcPr>
            <w:tcW w:w="1418" w:type="dxa"/>
            <w:tcBorders>
              <w:top w:val="nil"/>
              <w:left w:val="nil"/>
              <w:bottom w:val="nil"/>
              <w:right w:val="nil"/>
            </w:tcBorders>
            <w:shd w:val="clear" w:color="auto" w:fill="auto"/>
            <w:noWrap/>
            <w:vAlign w:val="bottom"/>
            <w:hideMark/>
          </w:tcPr>
          <w:p w14:paraId="06B475A9"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Pr="00EC4CF9">
              <w:rPr>
                <w:rFonts w:ascii="Calibri" w:hAnsi="Calibri" w:cs="Calibri"/>
                <w:color w:val="000000"/>
                <w:sz w:val="20"/>
                <w:szCs w:val="20"/>
              </w:rPr>
              <w:t>0</w:t>
            </w:r>
            <w:r>
              <w:rPr>
                <w:rFonts w:ascii="Calibri" w:hAnsi="Calibri" w:cs="Calibri"/>
                <w:color w:val="000000"/>
                <w:sz w:val="20"/>
                <w:szCs w:val="20"/>
              </w:rPr>
              <w:t>.000)</w:t>
            </w:r>
          </w:p>
        </w:tc>
        <w:tc>
          <w:tcPr>
            <w:tcW w:w="1276" w:type="dxa"/>
            <w:tcBorders>
              <w:top w:val="nil"/>
              <w:left w:val="single" w:sz="4" w:space="0" w:color="auto"/>
              <w:bottom w:val="nil"/>
              <w:right w:val="single" w:sz="4" w:space="0" w:color="auto"/>
            </w:tcBorders>
            <w:shd w:val="clear" w:color="auto" w:fill="auto"/>
            <w:noWrap/>
            <w:vAlign w:val="bottom"/>
            <w:hideMark/>
          </w:tcPr>
          <w:p w14:paraId="06B475AA"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Pr="00EC4CF9">
              <w:rPr>
                <w:rFonts w:ascii="Calibri" w:hAnsi="Calibri" w:cs="Calibri"/>
                <w:color w:val="000000"/>
                <w:sz w:val="20"/>
                <w:szCs w:val="20"/>
              </w:rPr>
              <w:t>0</w:t>
            </w:r>
            <w:r>
              <w:rPr>
                <w:rFonts w:ascii="Calibri" w:hAnsi="Calibri" w:cs="Calibri"/>
                <w:color w:val="000000"/>
                <w:sz w:val="20"/>
                <w:szCs w:val="20"/>
              </w:rPr>
              <w:t>.000)</w:t>
            </w:r>
          </w:p>
        </w:tc>
        <w:tc>
          <w:tcPr>
            <w:tcW w:w="1275" w:type="dxa"/>
            <w:tcBorders>
              <w:top w:val="nil"/>
              <w:left w:val="nil"/>
              <w:bottom w:val="nil"/>
              <w:right w:val="nil"/>
            </w:tcBorders>
            <w:shd w:val="clear" w:color="auto" w:fill="auto"/>
            <w:noWrap/>
            <w:vAlign w:val="bottom"/>
            <w:hideMark/>
          </w:tcPr>
          <w:p w14:paraId="06B475AB"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Pr="00EC4CF9">
              <w:rPr>
                <w:rFonts w:ascii="Calibri" w:hAnsi="Calibri" w:cs="Calibri"/>
                <w:color w:val="000000"/>
                <w:sz w:val="20"/>
                <w:szCs w:val="20"/>
              </w:rPr>
              <w:t>0</w:t>
            </w:r>
            <w:r>
              <w:rPr>
                <w:rFonts w:ascii="Calibri" w:hAnsi="Calibri" w:cs="Calibri"/>
                <w:color w:val="000000"/>
                <w:sz w:val="20"/>
                <w:szCs w:val="20"/>
              </w:rPr>
              <w:t>.000)</w:t>
            </w:r>
          </w:p>
        </w:tc>
        <w:tc>
          <w:tcPr>
            <w:tcW w:w="1113" w:type="dxa"/>
            <w:tcBorders>
              <w:top w:val="nil"/>
              <w:left w:val="single" w:sz="4" w:space="0" w:color="auto"/>
              <w:bottom w:val="nil"/>
              <w:right w:val="single" w:sz="4" w:space="0" w:color="auto"/>
            </w:tcBorders>
            <w:shd w:val="clear" w:color="auto" w:fill="auto"/>
            <w:noWrap/>
            <w:vAlign w:val="bottom"/>
            <w:hideMark/>
          </w:tcPr>
          <w:p w14:paraId="06B475AC" w14:textId="77777777" w:rsidR="00EC4CF9" w:rsidRPr="00127D0E" w:rsidRDefault="00127D0E" w:rsidP="00EC4CF9">
            <w:pPr>
              <w:spacing w:before="0"/>
              <w:ind w:left="0"/>
              <w:rPr>
                <w:rFonts w:ascii="Calibri" w:hAnsi="Calibri" w:cs="Calibri"/>
                <w:b/>
                <w:color w:val="000000"/>
                <w:sz w:val="20"/>
                <w:szCs w:val="20"/>
              </w:rPr>
            </w:pPr>
            <w:r>
              <w:rPr>
                <w:rFonts w:ascii="Calibri" w:hAnsi="Calibri" w:cs="Calibri"/>
                <w:color w:val="000000"/>
                <w:sz w:val="20"/>
                <w:szCs w:val="20"/>
              </w:rPr>
              <w:t>(</w:t>
            </w:r>
            <w:r w:rsidRPr="00EC4CF9">
              <w:rPr>
                <w:rFonts w:ascii="Calibri" w:hAnsi="Calibri" w:cs="Calibri"/>
                <w:color w:val="000000"/>
                <w:sz w:val="20"/>
                <w:szCs w:val="20"/>
              </w:rPr>
              <w:t>0</w:t>
            </w:r>
            <w:r>
              <w:rPr>
                <w:rFonts w:ascii="Calibri" w:hAnsi="Calibri" w:cs="Calibri"/>
                <w:color w:val="000000"/>
                <w:sz w:val="20"/>
                <w:szCs w:val="20"/>
              </w:rPr>
              <w:t>.000)</w:t>
            </w:r>
          </w:p>
        </w:tc>
        <w:tc>
          <w:tcPr>
            <w:tcW w:w="1276" w:type="dxa"/>
            <w:tcBorders>
              <w:top w:val="nil"/>
              <w:left w:val="nil"/>
              <w:bottom w:val="nil"/>
              <w:right w:val="single" w:sz="8" w:space="0" w:color="auto"/>
            </w:tcBorders>
            <w:shd w:val="clear" w:color="auto" w:fill="auto"/>
            <w:noWrap/>
            <w:vAlign w:val="bottom"/>
            <w:hideMark/>
          </w:tcPr>
          <w:p w14:paraId="06B475AD" w14:textId="77777777" w:rsidR="00EC4CF9" w:rsidRPr="00EC4CF9" w:rsidRDefault="00127D0E" w:rsidP="00EC4CF9">
            <w:pPr>
              <w:spacing w:before="0"/>
              <w:ind w:left="0"/>
              <w:rPr>
                <w:rFonts w:ascii="Calibri" w:hAnsi="Calibri" w:cs="Calibri"/>
                <w:color w:val="000000"/>
                <w:sz w:val="20"/>
                <w:szCs w:val="20"/>
              </w:rPr>
            </w:pPr>
            <w:r>
              <w:rPr>
                <w:rFonts w:ascii="Calibri" w:hAnsi="Calibri" w:cs="Calibri"/>
                <w:color w:val="000000"/>
                <w:sz w:val="20"/>
                <w:szCs w:val="20"/>
              </w:rPr>
              <w:t>(</w:t>
            </w:r>
            <w:r w:rsidRPr="00EC4CF9">
              <w:rPr>
                <w:rFonts w:ascii="Calibri" w:hAnsi="Calibri" w:cs="Calibri"/>
                <w:color w:val="000000"/>
                <w:sz w:val="20"/>
                <w:szCs w:val="20"/>
              </w:rPr>
              <w:t>0</w:t>
            </w:r>
            <w:r>
              <w:rPr>
                <w:rFonts w:ascii="Calibri" w:hAnsi="Calibri" w:cs="Calibri"/>
                <w:color w:val="000000"/>
                <w:sz w:val="20"/>
                <w:szCs w:val="20"/>
              </w:rPr>
              <w:t>.000)</w:t>
            </w:r>
          </w:p>
        </w:tc>
      </w:tr>
      <w:tr w:rsidR="00EC4CF9" w:rsidRPr="00EC4CF9" w14:paraId="06B475B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A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B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5B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5B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5B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5B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5B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5B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B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Carer</w:t>
            </w:r>
          </w:p>
        </w:tc>
        <w:tc>
          <w:tcPr>
            <w:tcW w:w="1275" w:type="dxa"/>
            <w:tcBorders>
              <w:top w:val="nil"/>
              <w:left w:val="single" w:sz="4" w:space="0" w:color="auto"/>
              <w:bottom w:val="nil"/>
              <w:right w:val="single" w:sz="4" w:space="0" w:color="auto"/>
            </w:tcBorders>
            <w:shd w:val="clear" w:color="auto" w:fill="auto"/>
            <w:noWrap/>
            <w:vAlign w:val="bottom"/>
            <w:hideMark/>
          </w:tcPr>
          <w:p w14:paraId="06B475B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0.009</w:t>
            </w:r>
          </w:p>
        </w:tc>
        <w:tc>
          <w:tcPr>
            <w:tcW w:w="1418" w:type="dxa"/>
            <w:tcBorders>
              <w:top w:val="nil"/>
              <w:left w:val="nil"/>
              <w:bottom w:val="nil"/>
              <w:right w:val="nil"/>
            </w:tcBorders>
            <w:shd w:val="clear" w:color="auto" w:fill="auto"/>
            <w:noWrap/>
            <w:vAlign w:val="bottom"/>
            <w:hideMark/>
          </w:tcPr>
          <w:p w14:paraId="06B475B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0.013</w:t>
            </w:r>
          </w:p>
        </w:tc>
        <w:tc>
          <w:tcPr>
            <w:tcW w:w="1276" w:type="dxa"/>
            <w:tcBorders>
              <w:top w:val="nil"/>
              <w:left w:val="single" w:sz="4" w:space="0" w:color="auto"/>
              <w:bottom w:val="nil"/>
              <w:right w:val="single" w:sz="4" w:space="0" w:color="auto"/>
            </w:tcBorders>
            <w:shd w:val="clear" w:color="auto" w:fill="auto"/>
            <w:noWrap/>
            <w:vAlign w:val="bottom"/>
            <w:hideMark/>
          </w:tcPr>
          <w:p w14:paraId="06B475B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0.013</w:t>
            </w:r>
          </w:p>
        </w:tc>
        <w:tc>
          <w:tcPr>
            <w:tcW w:w="1275" w:type="dxa"/>
            <w:tcBorders>
              <w:top w:val="nil"/>
              <w:left w:val="nil"/>
              <w:bottom w:val="nil"/>
              <w:right w:val="nil"/>
            </w:tcBorders>
            <w:shd w:val="clear" w:color="auto" w:fill="auto"/>
            <w:noWrap/>
            <w:vAlign w:val="bottom"/>
            <w:hideMark/>
          </w:tcPr>
          <w:p w14:paraId="06B475B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0.013</w:t>
            </w:r>
          </w:p>
        </w:tc>
        <w:tc>
          <w:tcPr>
            <w:tcW w:w="1113" w:type="dxa"/>
            <w:tcBorders>
              <w:top w:val="nil"/>
              <w:left w:val="single" w:sz="4" w:space="0" w:color="auto"/>
              <w:bottom w:val="nil"/>
              <w:right w:val="single" w:sz="4" w:space="0" w:color="auto"/>
            </w:tcBorders>
            <w:shd w:val="clear" w:color="auto" w:fill="auto"/>
            <w:noWrap/>
            <w:vAlign w:val="bottom"/>
            <w:hideMark/>
          </w:tcPr>
          <w:p w14:paraId="06B475B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0.012</w:t>
            </w:r>
          </w:p>
        </w:tc>
        <w:tc>
          <w:tcPr>
            <w:tcW w:w="1276" w:type="dxa"/>
            <w:tcBorders>
              <w:top w:val="nil"/>
              <w:left w:val="nil"/>
              <w:bottom w:val="nil"/>
              <w:right w:val="single" w:sz="8" w:space="0" w:color="auto"/>
            </w:tcBorders>
            <w:shd w:val="clear" w:color="auto" w:fill="auto"/>
            <w:noWrap/>
            <w:vAlign w:val="bottom"/>
            <w:hideMark/>
          </w:tcPr>
          <w:p w14:paraId="06B475B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w:t>
            </w:r>
          </w:p>
        </w:tc>
      </w:tr>
      <w:tr w:rsidR="00EC4CF9" w:rsidRPr="00EC4CF9" w14:paraId="06B475C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B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C0"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0.043</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5C1"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0.022</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5C2"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0.022</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5C3"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0.022</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5C4"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0.022</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5C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0.022</w:t>
            </w:r>
            <w:r>
              <w:rPr>
                <w:rFonts w:ascii="Calibri" w:hAnsi="Calibri" w:cs="Calibri"/>
                <w:color w:val="000000"/>
                <w:sz w:val="20"/>
                <w:szCs w:val="20"/>
              </w:rPr>
              <w:t>)</w:t>
            </w:r>
          </w:p>
        </w:tc>
      </w:tr>
      <w:tr w:rsidR="00EC4CF9" w:rsidRPr="00EC4CF9" w14:paraId="06B475C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C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C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5C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5C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5C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5C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5C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5D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C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carer home</w:t>
            </w:r>
          </w:p>
        </w:tc>
        <w:tc>
          <w:tcPr>
            <w:tcW w:w="1275" w:type="dxa"/>
            <w:tcBorders>
              <w:top w:val="nil"/>
              <w:left w:val="single" w:sz="4" w:space="0" w:color="auto"/>
              <w:bottom w:val="nil"/>
              <w:right w:val="single" w:sz="4" w:space="0" w:color="auto"/>
            </w:tcBorders>
            <w:shd w:val="clear" w:color="auto" w:fill="auto"/>
            <w:noWrap/>
            <w:vAlign w:val="bottom"/>
            <w:hideMark/>
          </w:tcPr>
          <w:p w14:paraId="06B475D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-0.229***</w:t>
            </w:r>
          </w:p>
        </w:tc>
        <w:tc>
          <w:tcPr>
            <w:tcW w:w="1418" w:type="dxa"/>
            <w:tcBorders>
              <w:top w:val="nil"/>
              <w:left w:val="nil"/>
              <w:bottom w:val="nil"/>
              <w:right w:val="nil"/>
            </w:tcBorders>
            <w:shd w:val="clear" w:color="auto" w:fill="auto"/>
            <w:noWrap/>
            <w:vAlign w:val="bottom"/>
            <w:hideMark/>
          </w:tcPr>
          <w:p w14:paraId="06B475D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-0.186***</w:t>
            </w:r>
          </w:p>
        </w:tc>
        <w:tc>
          <w:tcPr>
            <w:tcW w:w="1276" w:type="dxa"/>
            <w:tcBorders>
              <w:top w:val="nil"/>
              <w:left w:val="single" w:sz="4" w:space="0" w:color="auto"/>
              <w:bottom w:val="nil"/>
              <w:right w:val="single" w:sz="4" w:space="0" w:color="auto"/>
            </w:tcBorders>
            <w:shd w:val="clear" w:color="auto" w:fill="auto"/>
            <w:noWrap/>
            <w:vAlign w:val="bottom"/>
            <w:hideMark/>
          </w:tcPr>
          <w:p w14:paraId="06B475D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-0.186***</w:t>
            </w:r>
          </w:p>
        </w:tc>
        <w:tc>
          <w:tcPr>
            <w:tcW w:w="1275" w:type="dxa"/>
            <w:tcBorders>
              <w:top w:val="nil"/>
              <w:left w:val="nil"/>
              <w:bottom w:val="nil"/>
              <w:right w:val="nil"/>
            </w:tcBorders>
            <w:shd w:val="clear" w:color="auto" w:fill="auto"/>
            <w:noWrap/>
            <w:vAlign w:val="bottom"/>
            <w:hideMark/>
          </w:tcPr>
          <w:p w14:paraId="06B475D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-0.187***</w:t>
            </w:r>
          </w:p>
        </w:tc>
        <w:tc>
          <w:tcPr>
            <w:tcW w:w="1113" w:type="dxa"/>
            <w:tcBorders>
              <w:top w:val="nil"/>
              <w:left w:val="single" w:sz="4" w:space="0" w:color="auto"/>
              <w:bottom w:val="nil"/>
              <w:right w:val="single" w:sz="4" w:space="0" w:color="auto"/>
            </w:tcBorders>
            <w:shd w:val="clear" w:color="auto" w:fill="auto"/>
            <w:noWrap/>
            <w:vAlign w:val="bottom"/>
            <w:hideMark/>
          </w:tcPr>
          <w:p w14:paraId="06B475D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-0.184***</w:t>
            </w:r>
          </w:p>
        </w:tc>
        <w:tc>
          <w:tcPr>
            <w:tcW w:w="1276" w:type="dxa"/>
            <w:tcBorders>
              <w:top w:val="nil"/>
              <w:left w:val="nil"/>
              <w:bottom w:val="nil"/>
              <w:right w:val="single" w:sz="8" w:space="0" w:color="auto"/>
            </w:tcBorders>
            <w:shd w:val="clear" w:color="auto" w:fill="auto"/>
            <w:noWrap/>
            <w:vAlign w:val="bottom"/>
            <w:hideMark/>
          </w:tcPr>
          <w:p w14:paraId="06B475D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-0.182***</w:t>
            </w:r>
          </w:p>
        </w:tc>
      </w:tr>
      <w:tr w:rsidR="00EC4CF9" w:rsidRPr="00EC4CF9" w14:paraId="06B475D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D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D8"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0.07</w:t>
            </w:r>
            <w:r>
              <w:rPr>
                <w:rFonts w:ascii="Calibri" w:hAnsi="Calibri" w:cs="Calibri"/>
                <w:color w:val="000000"/>
                <w:sz w:val="20"/>
                <w:szCs w:val="20"/>
              </w:rPr>
              <w:t>0)</w:t>
            </w:r>
          </w:p>
        </w:tc>
        <w:tc>
          <w:tcPr>
            <w:tcW w:w="1418" w:type="dxa"/>
            <w:tcBorders>
              <w:top w:val="nil"/>
              <w:left w:val="nil"/>
              <w:bottom w:val="nil"/>
              <w:right w:val="nil"/>
            </w:tcBorders>
            <w:shd w:val="clear" w:color="auto" w:fill="auto"/>
            <w:noWrap/>
            <w:vAlign w:val="bottom"/>
            <w:hideMark/>
          </w:tcPr>
          <w:p w14:paraId="06B475D9"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0.028</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5DA"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0.028</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5DB"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0.028</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5DC"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0.028</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5DD"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0.028</w:t>
            </w:r>
            <w:r>
              <w:rPr>
                <w:rFonts w:ascii="Calibri" w:hAnsi="Calibri" w:cs="Calibri"/>
                <w:color w:val="000000"/>
                <w:sz w:val="20"/>
                <w:szCs w:val="20"/>
              </w:rPr>
              <w:t>)</w:t>
            </w:r>
          </w:p>
        </w:tc>
      </w:tr>
      <w:tr w:rsidR="00EC4CF9" w:rsidRPr="00EC4CF9" w14:paraId="06B475E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D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E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5E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5E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5E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5E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5E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5E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E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no. rooms</w:t>
            </w:r>
          </w:p>
        </w:tc>
        <w:tc>
          <w:tcPr>
            <w:tcW w:w="1275" w:type="dxa"/>
            <w:tcBorders>
              <w:top w:val="nil"/>
              <w:left w:val="single" w:sz="4" w:space="0" w:color="auto"/>
              <w:bottom w:val="nil"/>
              <w:right w:val="single" w:sz="4" w:space="0" w:color="auto"/>
            </w:tcBorders>
            <w:shd w:val="clear" w:color="auto" w:fill="auto"/>
            <w:noWrap/>
            <w:vAlign w:val="bottom"/>
            <w:hideMark/>
          </w:tcPr>
          <w:p w14:paraId="06B475E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0.011</w:t>
            </w:r>
          </w:p>
        </w:tc>
        <w:tc>
          <w:tcPr>
            <w:tcW w:w="1418" w:type="dxa"/>
            <w:tcBorders>
              <w:top w:val="nil"/>
              <w:left w:val="nil"/>
              <w:bottom w:val="nil"/>
              <w:right w:val="nil"/>
            </w:tcBorders>
            <w:shd w:val="clear" w:color="auto" w:fill="auto"/>
            <w:noWrap/>
            <w:vAlign w:val="bottom"/>
            <w:hideMark/>
          </w:tcPr>
          <w:p w14:paraId="06B475E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-0.001</w:t>
            </w:r>
          </w:p>
        </w:tc>
        <w:tc>
          <w:tcPr>
            <w:tcW w:w="1276" w:type="dxa"/>
            <w:tcBorders>
              <w:top w:val="nil"/>
              <w:left w:val="single" w:sz="4" w:space="0" w:color="auto"/>
              <w:bottom w:val="nil"/>
              <w:right w:val="single" w:sz="4" w:space="0" w:color="auto"/>
            </w:tcBorders>
            <w:shd w:val="clear" w:color="auto" w:fill="auto"/>
            <w:noWrap/>
            <w:vAlign w:val="bottom"/>
            <w:hideMark/>
          </w:tcPr>
          <w:p w14:paraId="06B475E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-0.002</w:t>
            </w:r>
          </w:p>
        </w:tc>
        <w:tc>
          <w:tcPr>
            <w:tcW w:w="1275" w:type="dxa"/>
            <w:tcBorders>
              <w:top w:val="nil"/>
              <w:left w:val="nil"/>
              <w:bottom w:val="nil"/>
              <w:right w:val="nil"/>
            </w:tcBorders>
            <w:shd w:val="clear" w:color="auto" w:fill="auto"/>
            <w:noWrap/>
            <w:vAlign w:val="bottom"/>
            <w:hideMark/>
          </w:tcPr>
          <w:p w14:paraId="06B475E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-0.001</w:t>
            </w:r>
          </w:p>
        </w:tc>
        <w:tc>
          <w:tcPr>
            <w:tcW w:w="1113" w:type="dxa"/>
            <w:tcBorders>
              <w:top w:val="nil"/>
              <w:left w:val="single" w:sz="4" w:space="0" w:color="auto"/>
              <w:bottom w:val="nil"/>
              <w:right w:val="single" w:sz="4" w:space="0" w:color="auto"/>
            </w:tcBorders>
            <w:shd w:val="clear" w:color="auto" w:fill="auto"/>
            <w:noWrap/>
            <w:vAlign w:val="bottom"/>
            <w:hideMark/>
          </w:tcPr>
          <w:p w14:paraId="06B475E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-0.002</w:t>
            </w:r>
          </w:p>
        </w:tc>
        <w:tc>
          <w:tcPr>
            <w:tcW w:w="1276" w:type="dxa"/>
            <w:tcBorders>
              <w:top w:val="nil"/>
              <w:left w:val="nil"/>
              <w:bottom w:val="nil"/>
              <w:right w:val="single" w:sz="8" w:space="0" w:color="auto"/>
            </w:tcBorders>
            <w:shd w:val="clear" w:color="auto" w:fill="auto"/>
            <w:noWrap/>
            <w:vAlign w:val="bottom"/>
            <w:hideMark/>
          </w:tcPr>
          <w:p w14:paraId="06B475E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-0.003</w:t>
            </w:r>
          </w:p>
        </w:tc>
      </w:tr>
      <w:tr w:rsidR="00EC4CF9" w:rsidRPr="00EC4CF9" w14:paraId="06B475F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E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F0"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w:t>
            </w:r>
            <w:r>
              <w:rPr>
                <w:rFonts w:ascii="Calibri" w:hAnsi="Calibri" w:cs="Calibri"/>
                <w:color w:val="000000"/>
                <w:sz w:val="20"/>
                <w:szCs w:val="20"/>
              </w:rPr>
              <w:t>0)</w:t>
            </w:r>
          </w:p>
        </w:tc>
        <w:tc>
          <w:tcPr>
            <w:tcW w:w="1418" w:type="dxa"/>
            <w:tcBorders>
              <w:top w:val="nil"/>
              <w:left w:val="nil"/>
              <w:bottom w:val="nil"/>
              <w:right w:val="nil"/>
            </w:tcBorders>
            <w:shd w:val="clear" w:color="auto" w:fill="auto"/>
            <w:noWrap/>
            <w:vAlign w:val="bottom"/>
            <w:hideMark/>
          </w:tcPr>
          <w:p w14:paraId="06B475F1"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0.005</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5F2"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0.005</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5F3"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0.005</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5F4"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0.005</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5F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0.005</w:t>
            </w:r>
            <w:r>
              <w:rPr>
                <w:rFonts w:ascii="Calibri" w:hAnsi="Calibri" w:cs="Calibri"/>
                <w:color w:val="000000"/>
                <w:sz w:val="20"/>
                <w:szCs w:val="20"/>
              </w:rPr>
              <w:t>)</w:t>
            </w:r>
          </w:p>
        </w:tc>
      </w:tr>
      <w:tr w:rsidR="00EC4CF9" w:rsidRPr="00EC4CF9" w14:paraId="06B475F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F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5F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5F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5F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5F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5F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5F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0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5F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volunteer</w:t>
            </w:r>
          </w:p>
        </w:tc>
        <w:tc>
          <w:tcPr>
            <w:tcW w:w="1275" w:type="dxa"/>
            <w:tcBorders>
              <w:top w:val="nil"/>
              <w:left w:val="single" w:sz="4" w:space="0" w:color="auto"/>
              <w:bottom w:val="nil"/>
              <w:right w:val="single" w:sz="4" w:space="0" w:color="auto"/>
            </w:tcBorders>
            <w:shd w:val="clear" w:color="auto" w:fill="auto"/>
            <w:noWrap/>
            <w:vAlign w:val="bottom"/>
            <w:hideMark/>
          </w:tcPr>
          <w:p w14:paraId="06B4760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0.059*</w:t>
            </w:r>
          </w:p>
        </w:tc>
        <w:tc>
          <w:tcPr>
            <w:tcW w:w="1418" w:type="dxa"/>
            <w:tcBorders>
              <w:top w:val="nil"/>
              <w:left w:val="nil"/>
              <w:bottom w:val="nil"/>
              <w:right w:val="nil"/>
            </w:tcBorders>
            <w:shd w:val="clear" w:color="auto" w:fill="auto"/>
            <w:noWrap/>
            <w:vAlign w:val="bottom"/>
            <w:hideMark/>
          </w:tcPr>
          <w:p w14:paraId="06B4760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0.056***</w:t>
            </w:r>
          </w:p>
        </w:tc>
        <w:tc>
          <w:tcPr>
            <w:tcW w:w="1276" w:type="dxa"/>
            <w:tcBorders>
              <w:top w:val="nil"/>
              <w:left w:val="single" w:sz="4" w:space="0" w:color="auto"/>
              <w:bottom w:val="nil"/>
              <w:right w:val="single" w:sz="4" w:space="0" w:color="auto"/>
            </w:tcBorders>
            <w:shd w:val="clear" w:color="auto" w:fill="auto"/>
            <w:noWrap/>
            <w:vAlign w:val="bottom"/>
            <w:hideMark/>
          </w:tcPr>
          <w:p w14:paraId="06B4760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0.053***</w:t>
            </w:r>
          </w:p>
        </w:tc>
        <w:tc>
          <w:tcPr>
            <w:tcW w:w="1275" w:type="dxa"/>
            <w:tcBorders>
              <w:top w:val="nil"/>
              <w:left w:val="nil"/>
              <w:bottom w:val="nil"/>
              <w:right w:val="nil"/>
            </w:tcBorders>
            <w:shd w:val="clear" w:color="auto" w:fill="auto"/>
            <w:noWrap/>
            <w:vAlign w:val="bottom"/>
            <w:hideMark/>
          </w:tcPr>
          <w:p w14:paraId="06B4760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0.056***</w:t>
            </w:r>
          </w:p>
        </w:tc>
        <w:tc>
          <w:tcPr>
            <w:tcW w:w="1113" w:type="dxa"/>
            <w:tcBorders>
              <w:top w:val="nil"/>
              <w:left w:val="single" w:sz="4" w:space="0" w:color="auto"/>
              <w:bottom w:val="nil"/>
              <w:right w:val="single" w:sz="4" w:space="0" w:color="auto"/>
            </w:tcBorders>
            <w:shd w:val="clear" w:color="auto" w:fill="auto"/>
            <w:noWrap/>
            <w:vAlign w:val="bottom"/>
            <w:hideMark/>
          </w:tcPr>
          <w:p w14:paraId="06B4760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0.049***</w:t>
            </w:r>
          </w:p>
        </w:tc>
        <w:tc>
          <w:tcPr>
            <w:tcW w:w="1276" w:type="dxa"/>
            <w:tcBorders>
              <w:top w:val="nil"/>
              <w:left w:val="nil"/>
              <w:bottom w:val="nil"/>
              <w:right w:val="single" w:sz="8" w:space="0" w:color="auto"/>
            </w:tcBorders>
            <w:shd w:val="clear" w:color="auto" w:fill="auto"/>
            <w:noWrap/>
            <w:vAlign w:val="bottom"/>
            <w:hideMark/>
          </w:tcPr>
          <w:p w14:paraId="06B4760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0.044**</w:t>
            </w:r>
          </w:p>
        </w:tc>
      </w:tr>
      <w:tr w:rsidR="00EC4CF9" w:rsidRPr="00EC4CF9" w14:paraId="06B4760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0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08"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0.032</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609"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60A"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60B"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60C"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60D"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0.018</w:t>
            </w:r>
            <w:r>
              <w:rPr>
                <w:rFonts w:ascii="Calibri" w:hAnsi="Calibri" w:cs="Calibri"/>
                <w:color w:val="000000"/>
                <w:sz w:val="20"/>
                <w:szCs w:val="20"/>
              </w:rPr>
              <w:t>)</w:t>
            </w:r>
          </w:p>
        </w:tc>
      </w:tr>
      <w:tr w:rsidR="00EC4CF9" w:rsidRPr="00EC4CF9" w14:paraId="06B4761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0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1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61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1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1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1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1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1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1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Insured</w:t>
            </w:r>
          </w:p>
        </w:tc>
        <w:tc>
          <w:tcPr>
            <w:tcW w:w="1275" w:type="dxa"/>
            <w:tcBorders>
              <w:top w:val="nil"/>
              <w:left w:val="single" w:sz="4" w:space="0" w:color="auto"/>
              <w:bottom w:val="nil"/>
              <w:right w:val="single" w:sz="4" w:space="0" w:color="auto"/>
            </w:tcBorders>
            <w:shd w:val="clear" w:color="auto" w:fill="auto"/>
            <w:noWrap/>
            <w:vAlign w:val="bottom"/>
            <w:hideMark/>
          </w:tcPr>
          <w:p w14:paraId="06B4761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-0.017</w:t>
            </w:r>
          </w:p>
        </w:tc>
        <w:tc>
          <w:tcPr>
            <w:tcW w:w="1418" w:type="dxa"/>
            <w:tcBorders>
              <w:top w:val="nil"/>
              <w:left w:val="nil"/>
              <w:bottom w:val="nil"/>
              <w:right w:val="nil"/>
            </w:tcBorders>
            <w:shd w:val="clear" w:color="auto" w:fill="auto"/>
            <w:noWrap/>
            <w:vAlign w:val="bottom"/>
            <w:hideMark/>
          </w:tcPr>
          <w:p w14:paraId="06B4761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-0.045</w:t>
            </w:r>
          </w:p>
        </w:tc>
        <w:tc>
          <w:tcPr>
            <w:tcW w:w="1276" w:type="dxa"/>
            <w:tcBorders>
              <w:top w:val="nil"/>
              <w:left w:val="single" w:sz="4" w:space="0" w:color="auto"/>
              <w:bottom w:val="nil"/>
              <w:right w:val="single" w:sz="4" w:space="0" w:color="auto"/>
            </w:tcBorders>
            <w:shd w:val="clear" w:color="auto" w:fill="auto"/>
            <w:noWrap/>
            <w:vAlign w:val="bottom"/>
            <w:hideMark/>
          </w:tcPr>
          <w:p w14:paraId="06B4761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-0.045</w:t>
            </w:r>
          </w:p>
        </w:tc>
        <w:tc>
          <w:tcPr>
            <w:tcW w:w="1275" w:type="dxa"/>
            <w:tcBorders>
              <w:top w:val="nil"/>
              <w:left w:val="nil"/>
              <w:bottom w:val="nil"/>
              <w:right w:val="nil"/>
            </w:tcBorders>
            <w:shd w:val="clear" w:color="auto" w:fill="auto"/>
            <w:noWrap/>
            <w:vAlign w:val="bottom"/>
            <w:hideMark/>
          </w:tcPr>
          <w:p w14:paraId="06B4761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-0.045</w:t>
            </w:r>
          </w:p>
        </w:tc>
        <w:tc>
          <w:tcPr>
            <w:tcW w:w="1113" w:type="dxa"/>
            <w:tcBorders>
              <w:top w:val="nil"/>
              <w:left w:val="single" w:sz="4" w:space="0" w:color="auto"/>
              <w:bottom w:val="nil"/>
              <w:right w:val="single" w:sz="4" w:space="0" w:color="auto"/>
            </w:tcBorders>
            <w:shd w:val="clear" w:color="auto" w:fill="auto"/>
            <w:noWrap/>
            <w:vAlign w:val="bottom"/>
            <w:hideMark/>
          </w:tcPr>
          <w:p w14:paraId="06B4761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-0.046</w:t>
            </w:r>
          </w:p>
        </w:tc>
        <w:tc>
          <w:tcPr>
            <w:tcW w:w="1276" w:type="dxa"/>
            <w:tcBorders>
              <w:top w:val="nil"/>
              <w:left w:val="nil"/>
              <w:bottom w:val="nil"/>
              <w:right w:val="single" w:sz="8" w:space="0" w:color="auto"/>
            </w:tcBorders>
            <w:shd w:val="clear" w:color="auto" w:fill="auto"/>
            <w:noWrap/>
            <w:vAlign w:val="bottom"/>
            <w:hideMark/>
          </w:tcPr>
          <w:p w14:paraId="06B4761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-0.047</w:t>
            </w:r>
          </w:p>
        </w:tc>
      </w:tr>
      <w:tr w:rsidR="00EC4CF9" w:rsidRPr="00EC4CF9" w14:paraId="06B4762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1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20"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0.078</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621"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0.031</w:t>
            </w:r>
          </w:p>
        </w:tc>
        <w:tc>
          <w:tcPr>
            <w:tcW w:w="1276" w:type="dxa"/>
            <w:tcBorders>
              <w:top w:val="nil"/>
              <w:left w:val="single" w:sz="4" w:space="0" w:color="auto"/>
              <w:bottom w:val="nil"/>
              <w:right w:val="single" w:sz="4" w:space="0" w:color="auto"/>
            </w:tcBorders>
            <w:shd w:val="clear" w:color="auto" w:fill="auto"/>
            <w:noWrap/>
            <w:vAlign w:val="bottom"/>
            <w:hideMark/>
          </w:tcPr>
          <w:p w14:paraId="06B47622"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0.031</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623"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0.031</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624"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0.031</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62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0.031</w:t>
            </w:r>
            <w:r>
              <w:rPr>
                <w:rFonts w:ascii="Calibri" w:hAnsi="Calibri" w:cs="Calibri"/>
                <w:color w:val="000000"/>
                <w:sz w:val="20"/>
                <w:szCs w:val="20"/>
              </w:rPr>
              <w:t>)</w:t>
            </w:r>
          </w:p>
        </w:tc>
      </w:tr>
      <w:tr w:rsidR="00EC4CF9" w:rsidRPr="00EC4CF9" w14:paraId="06B4762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2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2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62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2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2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2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2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3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2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house owned</w:t>
            </w:r>
          </w:p>
        </w:tc>
        <w:tc>
          <w:tcPr>
            <w:tcW w:w="1275" w:type="dxa"/>
            <w:tcBorders>
              <w:top w:val="nil"/>
              <w:left w:val="single" w:sz="4" w:space="0" w:color="auto"/>
              <w:bottom w:val="nil"/>
              <w:right w:val="single" w:sz="4" w:space="0" w:color="auto"/>
            </w:tcBorders>
            <w:shd w:val="clear" w:color="auto" w:fill="auto"/>
            <w:noWrap/>
            <w:vAlign w:val="bottom"/>
            <w:hideMark/>
          </w:tcPr>
          <w:p w14:paraId="06B4763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0.119**</w:t>
            </w:r>
          </w:p>
        </w:tc>
        <w:tc>
          <w:tcPr>
            <w:tcW w:w="1418" w:type="dxa"/>
            <w:tcBorders>
              <w:top w:val="nil"/>
              <w:left w:val="nil"/>
              <w:bottom w:val="nil"/>
              <w:right w:val="nil"/>
            </w:tcBorders>
            <w:shd w:val="clear" w:color="auto" w:fill="auto"/>
            <w:noWrap/>
            <w:vAlign w:val="bottom"/>
            <w:hideMark/>
          </w:tcPr>
          <w:p w14:paraId="06B4763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0.106***</w:t>
            </w:r>
          </w:p>
        </w:tc>
        <w:tc>
          <w:tcPr>
            <w:tcW w:w="1276" w:type="dxa"/>
            <w:tcBorders>
              <w:top w:val="nil"/>
              <w:left w:val="single" w:sz="4" w:space="0" w:color="auto"/>
              <w:bottom w:val="nil"/>
              <w:right w:val="single" w:sz="4" w:space="0" w:color="auto"/>
            </w:tcBorders>
            <w:shd w:val="clear" w:color="auto" w:fill="auto"/>
            <w:noWrap/>
            <w:vAlign w:val="bottom"/>
            <w:hideMark/>
          </w:tcPr>
          <w:p w14:paraId="06B4763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0.106***</w:t>
            </w:r>
          </w:p>
        </w:tc>
        <w:tc>
          <w:tcPr>
            <w:tcW w:w="1275" w:type="dxa"/>
            <w:tcBorders>
              <w:top w:val="nil"/>
              <w:left w:val="nil"/>
              <w:bottom w:val="nil"/>
              <w:right w:val="nil"/>
            </w:tcBorders>
            <w:shd w:val="clear" w:color="auto" w:fill="auto"/>
            <w:noWrap/>
            <w:vAlign w:val="bottom"/>
            <w:hideMark/>
          </w:tcPr>
          <w:p w14:paraId="06B4763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0.106***</w:t>
            </w:r>
          </w:p>
        </w:tc>
        <w:tc>
          <w:tcPr>
            <w:tcW w:w="1113" w:type="dxa"/>
            <w:tcBorders>
              <w:top w:val="nil"/>
              <w:left w:val="single" w:sz="4" w:space="0" w:color="auto"/>
              <w:bottom w:val="nil"/>
              <w:right w:val="single" w:sz="4" w:space="0" w:color="auto"/>
            </w:tcBorders>
            <w:shd w:val="clear" w:color="auto" w:fill="auto"/>
            <w:noWrap/>
            <w:vAlign w:val="bottom"/>
            <w:hideMark/>
          </w:tcPr>
          <w:p w14:paraId="06B4763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0.106***</w:t>
            </w:r>
          </w:p>
        </w:tc>
        <w:tc>
          <w:tcPr>
            <w:tcW w:w="1276" w:type="dxa"/>
            <w:tcBorders>
              <w:top w:val="nil"/>
              <w:left w:val="nil"/>
              <w:bottom w:val="nil"/>
              <w:right w:val="single" w:sz="8" w:space="0" w:color="auto"/>
            </w:tcBorders>
            <w:shd w:val="clear" w:color="auto" w:fill="auto"/>
            <w:noWrap/>
            <w:vAlign w:val="bottom"/>
            <w:hideMark/>
          </w:tcPr>
          <w:p w14:paraId="06B4763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0.105***</w:t>
            </w:r>
          </w:p>
        </w:tc>
      </w:tr>
      <w:tr w:rsidR="00EC4CF9" w:rsidRPr="00EC4CF9" w14:paraId="06B4763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3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38"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0.058</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639"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63A"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63B"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63C"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(0</w:t>
            </w:r>
            <w:r w:rsidR="00EC4CF9" w:rsidRPr="00EC4CF9">
              <w:rPr>
                <w:rFonts w:ascii="Calibri" w:hAnsi="Calibri" w:cs="Calibri"/>
                <w:color w:val="000000"/>
                <w:sz w:val="20"/>
                <w:szCs w:val="20"/>
              </w:rPr>
              <w:t>.025</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63D"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r>
      <w:tr w:rsidR="00EC4CF9" w:rsidRPr="00EC4CF9" w14:paraId="06B4764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3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4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64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4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4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4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4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4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4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local auth/housing assoc</w:t>
            </w:r>
          </w:p>
        </w:tc>
        <w:tc>
          <w:tcPr>
            <w:tcW w:w="1275" w:type="dxa"/>
            <w:tcBorders>
              <w:top w:val="nil"/>
              <w:left w:val="single" w:sz="4" w:space="0" w:color="auto"/>
              <w:bottom w:val="nil"/>
              <w:right w:val="single" w:sz="4" w:space="0" w:color="auto"/>
            </w:tcBorders>
            <w:shd w:val="clear" w:color="auto" w:fill="auto"/>
            <w:noWrap/>
            <w:vAlign w:val="bottom"/>
            <w:hideMark/>
          </w:tcPr>
          <w:p w14:paraId="06B4764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0.028</w:t>
            </w:r>
          </w:p>
        </w:tc>
        <w:tc>
          <w:tcPr>
            <w:tcW w:w="1418" w:type="dxa"/>
            <w:tcBorders>
              <w:top w:val="nil"/>
              <w:left w:val="nil"/>
              <w:bottom w:val="nil"/>
              <w:right w:val="nil"/>
            </w:tcBorders>
            <w:shd w:val="clear" w:color="auto" w:fill="auto"/>
            <w:noWrap/>
            <w:vAlign w:val="bottom"/>
            <w:hideMark/>
          </w:tcPr>
          <w:p w14:paraId="06B4764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-0.018</w:t>
            </w:r>
          </w:p>
        </w:tc>
        <w:tc>
          <w:tcPr>
            <w:tcW w:w="1276" w:type="dxa"/>
            <w:tcBorders>
              <w:top w:val="nil"/>
              <w:left w:val="single" w:sz="4" w:space="0" w:color="auto"/>
              <w:bottom w:val="nil"/>
              <w:right w:val="single" w:sz="4" w:space="0" w:color="auto"/>
            </w:tcBorders>
            <w:shd w:val="clear" w:color="auto" w:fill="auto"/>
            <w:noWrap/>
            <w:vAlign w:val="bottom"/>
            <w:hideMark/>
          </w:tcPr>
          <w:p w14:paraId="06B4764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-0.018</w:t>
            </w:r>
          </w:p>
        </w:tc>
        <w:tc>
          <w:tcPr>
            <w:tcW w:w="1275" w:type="dxa"/>
            <w:tcBorders>
              <w:top w:val="nil"/>
              <w:left w:val="nil"/>
              <w:bottom w:val="nil"/>
              <w:right w:val="nil"/>
            </w:tcBorders>
            <w:shd w:val="clear" w:color="auto" w:fill="auto"/>
            <w:noWrap/>
            <w:vAlign w:val="bottom"/>
            <w:hideMark/>
          </w:tcPr>
          <w:p w14:paraId="06B4764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-0.021</w:t>
            </w:r>
          </w:p>
        </w:tc>
        <w:tc>
          <w:tcPr>
            <w:tcW w:w="1113" w:type="dxa"/>
            <w:tcBorders>
              <w:top w:val="nil"/>
              <w:left w:val="single" w:sz="4" w:space="0" w:color="auto"/>
              <w:bottom w:val="nil"/>
              <w:right w:val="single" w:sz="4" w:space="0" w:color="auto"/>
            </w:tcBorders>
            <w:shd w:val="clear" w:color="auto" w:fill="auto"/>
            <w:noWrap/>
            <w:vAlign w:val="bottom"/>
            <w:hideMark/>
          </w:tcPr>
          <w:p w14:paraId="06B4764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-0.015</w:t>
            </w:r>
          </w:p>
        </w:tc>
        <w:tc>
          <w:tcPr>
            <w:tcW w:w="1276" w:type="dxa"/>
            <w:tcBorders>
              <w:top w:val="nil"/>
              <w:left w:val="nil"/>
              <w:bottom w:val="nil"/>
              <w:right w:val="single" w:sz="8" w:space="0" w:color="auto"/>
            </w:tcBorders>
            <w:shd w:val="clear" w:color="auto" w:fill="auto"/>
            <w:noWrap/>
            <w:vAlign w:val="bottom"/>
            <w:hideMark/>
          </w:tcPr>
          <w:p w14:paraId="06B4764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-0.017</w:t>
            </w:r>
          </w:p>
        </w:tc>
      </w:tr>
      <w:tr w:rsidR="00EC4CF9" w:rsidRPr="00EC4CF9" w14:paraId="06B4765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4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50"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0.08</w:t>
            </w:r>
            <w:r>
              <w:rPr>
                <w:rFonts w:ascii="Calibri" w:hAnsi="Calibri" w:cs="Calibri"/>
                <w:color w:val="000000"/>
                <w:sz w:val="20"/>
                <w:szCs w:val="20"/>
              </w:rPr>
              <w:t>0)</w:t>
            </w:r>
          </w:p>
        </w:tc>
        <w:tc>
          <w:tcPr>
            <w:tcW w:w="1418" w:type="dxa"/>
            <w:tcBorders>
              <w:top w:val="nil"/>
              <w:left w:val="nil"/>
              <w:bottom w:val="nil"/>
              <w:right w:val="nil"/>
            </w:tcBorders>
            <w:shd w:val="clear" w:color="auto" w:fill="auto"/>
            <w:noWrap/>
            <w:vAlign w:val="bottom"/>
            <w:hideMark/>
          </w:tcPr>
          <w:p w14:paraId="06B47651"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0.031</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652"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0.031</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653"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0.031</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654"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0.031</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65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0.031</w:t>
            </w:r>
            <w:r>
              <w:rPr>
                <w:rFonts w:ascii="Calibri" w:hAnsi="Calibri" w:cs="Calibri"/>
                <w:color w:val="000000"/>
                <w:sz w:val="20"/>
                <w:szCs w:val="20"/>
              </w:rPr>
              <w:t>)</w:t>
            </w:r>
          </w:p>
        </w:tc>
      </w:tr>
      <w:tr w:rsidR="00EC4CF9" w:rsidRPr="00EC4CF9" w14:paraId="06B4765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5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5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65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5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5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5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5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6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5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Wales</w:t>
            </w:r>
          </w:p>
        </w:tc>
        <w:tc>
          <w:tcPr>
            <w:tcW w:w="1275" w:type="dxa"/>
            <w:tcBorders>
              <w:top w:val="nil"/>
              <w:left w:val="single" w:sz="4" w:space="0" w:color="auto"/>
              <w:bottom w:val="nil"/>
              <w:right w:val="single" w:sz="4" w:space="0" w:color="auto"/>
            </w:tcBorders>
            <w:shd w:val="clear" w:color="auto" w:fill="auto"/>
            <w:noWrap/>
            <w:vAlign w:val="bottom"/>
            <w:hideMark/>
          </w:tcPr>
          <w:p w14:paraId="06B4766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0.037</w:t>
            </w:r>
          </w:p>
        </w:tc>
        <w:tc>
          <w:tcPr>
            <w:tcW w:w="1418" w:type="dxa"/>
            <w:tcBorders>
              <w:top w:val="nil"/>
              <w:left w:val="nil"/>
              <w:bottom w:val="nil"/>
              <w:right w:val="nil"/>
            </w:tcBorders>
            <w:shd w:val="clear" w:color="auto" w:fill="auto"/>
            <w:noWrap/>
            <w:vAlign w:val="bottom"/>
            <w:hideMark/>
          </w:tcPr>
          <w:p w14:paraId="06B4766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0.033</w:t>
            </w:r>
          </w:p>
        </w:tc>
        <w:tc>
          <w:tcPr>
            <w:tcW w:w="1276" w:type="dxa"/>
            <w:tcBorders>
              <w:top w:val="nil"/>
              <w:left w:val="single" w:sz="4" w:space="0" w:color="auto"/>
              <w:bottom w:val="nil"/>
              <w:right w:val="single" w:sz="4" w:space="0" w:color="auto"/>
            </w:tcBorders>
            <w:shd w:val="clear" w:color="auto" w:fill="auto"/>
            <w:noWrap/>
            <w:vAlign w:val="bottom"/>
            <w:hideMark/>
          </w:tcPr>
          <w:p w14:paraId="06B4766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0.033</w:t>
            </w:r>
          </w:p>
        </w:tc>
        <w:tc>
          <w:tcPr>
            <w:tcW w:w="1275" w:type="dxa"/>
            <w:tcBorders>
              <w:top w:val="nil"/>
              <w:left w:val="nil"/>
              <w:bottom w:val="nil"/>
              <w:right w:val="nil"/>
            </w:tcBorders>
            <w:shd w:val="clear" w:color="auto" w:fill="auto"/>
            <w:noWrap/>
            <w:vAlign w:val="bottom"/>
            <w:hideMark/>
          </w:tcPr>
          <w:p w14:paraId="06B4766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0.032</w:t>
            </w:r>
          </w:p>
        </w:tc>
        <w:tc>
          <w:tcPr>
            <w:tcW w:w="1113" w:type="dxa"/>
            <w:tcBorders>
              <w:top w:val="nil"/>
              <w:left w:val="single" w:sz="4" w:space="0" w:color="auto"/>
              <w:bottom w:val="nil"/>
              <w:right w:val="single" w:sz="4" w:space="0" w:color="auto"/>
            </w:tcBorders>
            <w:shd w:val="clear" w:color="auto" w:fill="auto"/>
            <w:noWrap/>
            <w:vAlign w:val="bottom"/>
            <w:hideMark/>
          </w:tcPr>
          <w:p w14:paraId="06B4766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0.034</w:t>
            </w:r>
          </w:p>
        </w:tc>
        <w:tc>
          <w:tcPr>
            <w:tcW w:w="1276" w:type="dxa"/>
            <w:tcBorders>
              <w:top w:val="nil"/>
              <w:left w:val="nil"/>
              <w:bottom w:val="nil"/>
              <w:right w:val="single" w:sz="8" w:space="0" w:color="auto"/>
            </w:tcBorders>
            <w:shd w:val="clear" w:color="auto" w:fill="auto"/>
            <w:noWrap/>
            <w:vAlign w:val="bottom"/>
            <w:hideMark/>
          </w:tcPr>
          <w:p w14:paraId="06B4766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0.034</w:t>
            </w:r>
          </w:p>
        </w:tc>
      </w:tr>
      <w:tr w:rsidR="00EC4CF9" w:rsidRPr="00EC4CF9" w14:paraId="06B4766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6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68"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0.064</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669"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0.027</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66A"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0.027</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66B"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0.027</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66C"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0.027</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66D"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0.027</w:t>
            </w:r>
            <w:r>
              <w:rPr>
                <w:rFonts w:ascii="Calibri" w:hAnsi="Calibri" w:cs="Calibri"/>
                <w:color w:val="000000"/>
                <w:sz w:val="20"/>
                <w:szCs w:val="20"/>
              </w:rPr>
              <w:t>)</w:t>
            </w:r>
          </w:p>
        </w:tc>
      </w:tr>
      <w:tr w:rsidR="00EC4CF9" w:rsidRPr="00EC4CF9" w14:paraId="06B4767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6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7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67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7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7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7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7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7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7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Scotland</w:t>
            </w:r>
          </w:p>
        </w:tc>
        <w:tc>
          <w:tcPr>
            <w:tcW w:w="1275" w:type="dxa"/>
            <w:tcBorders>
              <w:top w:val="nil"/>
              <w:left w:val="single" w:sz="4" w:space="0" w:color="auto"/>
              <w:bottom w:val="nil"/>
              <w:right w:val="single" w:sz="4" w:space="0" w:color="auto"/>
            </w:tcBorders>
            <w:shd w:val="clear" w:color="auto" w:fill="auto"/>
            <w:noWrap/>
            <w:vAlign w:val="bottom"/>
            <w:hideMark/>
          </w:tcPr>
          <w:p w14:paraId="06B4767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0.089*</w:t>
            </w:r>
          </w:p>
        </w:tc>
        <w:tc>
          <w:tcPr>
            <w:tcW w:w="1418" w:type="dxa"/>
            <w:tcBorders>
              <w:top w:val="nil"/>
              <w:left w:val="nil"/>
              <w:bottom w:val="nil"/>
              <w:right w:val="nil"/>
            </w:tcBorders>
            <w:shd w:val="clear" w:color="auto" w:fill="auto"/>
            <w:noWrap/>
            <w:vAlign w:val="bottom"/>
            <w:hideMark/>
          </w:tcPr>
          <w:p w14:paraId="06B4767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0.005</w:t>
            </w:r>
          </w:p>
        </w:tc>
        <w:tc>
          <w:tcPr>
            <w:tcW w:w="1276" w:type="dxa"/>
            <w:tcBorders>
              <w:top w:val="nil"/>
              <w:left w:val="single" w:sz="4" w:space="0" w:color="auto"/>
              <w:bottom w:val="nil"/>
              <w:right w:val="single" w:sz="4" w:space="0" w:color="auto"/>
            </w:tcBorders>
            <w:shd w:val="clear" w:color="auto" w:fill="auto"/>
            <w:noWrap/>
            <w:vAlign w:val="bottom"/>
            <w:hideMark/>
          </w:tcPr>
          <w:p w14:paraId="06B4767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0.005</w:t>
            </w:r>
          </w:p>
        </w:tc>
        <w:tc>
          <w:tcPr>
            <w:tcW w:w="1275" w:type="dxa"/>
            <w:tcBorders>
              <w:top w:val="nil"/>
              <w:left w:val="nil"/>
              <w:bottom w:val="nil"/>
              <w:right w:val="nil"/>
            </w:tcBorders>
            <w:shd w:val="clear" w:color="auto" w:fill="auto"/>
            <w:noWrap/>
            <w:vAlign w:val="bottom"/>
            <w:hideMark/>
          </w:tcPr>
          <w:p w14:paraId="06B4767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0.006</w:t>
            </w:r>
          </w:p>
        </w:tc>
        <w:tc>
          <w:tcPr>
            <w:tcW w:w="1113" w:type="dxa"/>
            <w:tcBorders>
              <w:top w:val="nil"/>
              <w:left w:val="single" w:sz="4" w:space="0" w:color="auto"/>
              <w:bottom w:val="nil"/>
              <w:right w:val="single" w:sz="4" w:space="0" w:color="auto"/>
            </w:tcBorders>
            <w:shd w:val="clear" w:color="auto" w:fill="auto"/>
            <w:noWrap/>
            <w:vAlign w:val="bottom"/>
            <w:hideMark/>
          </w:tcPr>
          <w:p w14:paraId="06B4767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0.005</w:t>
            </w:r>
          </w:p>
        </w:tc>
        <w:tc>
          <w:tcPr>
            <w:tcW w:w="1276" w:type="dxa"/>
            <w:tcBorders>
              <w:top w:val="nil"/>
              <w:left w:val="nil"/>
              <w:bottom w:val="nil"/>
              <w:right w:val="single" w:sz="8" w:space="0" w:color="auto"/>
            </w:tcBorders>
            <w:shd w:val="clear" w:color="auto" w:fill="auto"/>
            <w:noWrap/>
            <w:vAlign w:val="bottom"/>
            <w:hideMark/>
          </w:tcPr>
          <w:p w14:paraId="06B4767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0.005</w:t>
            </w:r>
          </w:p>
        </w:tc>
      </w:tr>
      <w:tr w:rsidR="00EC4CF9" w:rsidRPr="00EC4CF9" w14:paraId="06B4768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7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80"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0.051</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681"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682"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683"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684"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68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r>
      <w:tr w:rsidR="00EC4CF9" w:rsidRPr="00EC4CF9" w14:paraId="06B4768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8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8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68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8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8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8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8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9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8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N Ireland</w:t>
            </w:r>
          </w:p>
        </w:tc>
        <w:tc>
          <w:tcPr>
            <w:tcW w:w="1275" w:type="dxa"/>
            <w:tcBorders>
              <w:top w:val="nil"/>
              <w:left w:val="single" w:sz="4" w:space="0" w:color="auto"/>
              <w:bottom w:val="nil"/>
              <w:right w:val="single" w:sz="4" w:space="0" w:color="auto"/>
            </w:tcBorders>
            <w:shd w:val="clear" w:color="auto" w:fill="auto"/>
            <w:noWrap/>
            <w:vAlign w:val="bottom"/>
            <w:hideMark/>
          </w:tcPr>
          <w:p w14:paraId="06B4769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0.065</w:t>
            </w:r>
          </w:p>
        </w:tc>
        <w:tc>
          <w:tcPr>
            <w:tcW w:w="1418" w:type="dxa"/>
            <w:tcBorders>
              <w:top w:val="nil"/>
              <w:left w:val="nil"/>
              <w:bottom w:val="nil"/>
              <w:right w:val="nil"/>
            </w:tcBorders>
            <w:shd w:val="clear" w:color="auto" w:fill="auto"/>
            <w:noWrap/>
            <w:vAlign w:val="bottom"/>
            <w:hideMark/>
          </w:tcPr>
          <w:p w14:paraId="06B4769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-0.008</w:t>
            </w:r>
          </w:p>
        </w:tc>
        <w:tc>
          <w:tcPr>
            <w:tcW w:w="1276" w:type="dxa"/>
            <w:tcBorders>
              <w:top w:val="nil"/>
              <w:left w:val="single" w:sz="4" w:space="0" w:color="auto"/>
              <w:bottom w:val="nil"/>
              <w:right w:val="single" w:sz="4" w:space="0" w:color="auto"/>
            </w:tcBorders>
            <w:shd w:val="clear" w:color="auto" w:fill="auto"/>
            <w:noWrap/>
            <w:vAlign w:val="bottom"/>
            <w:hideMark/>
          </w:tcPr>
          <w:p w14:paraId="06B4769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-0.008</w:t>
            </w:r>
          </w:p>
        </w:tc>
        <w:tc>
          <w:tcPr>
            <w:tcW w:w="1275" w:type="dxa"/>
            <w:tcBorders>
              <w:top w:val="nil"/>
              <w:left w:val="nil"/>
              <w:bottom w:val="nil"/>
              <w:right w:val="nil"/>
            </w:tcBorders>
            <w:shd w:val="clear" w:color="auto" w:fill="auto"/>
            <w:noWrap/>
            <w:vAlign w:val="bottom"/>
            <w:hideMark/>
          </w:tcPr>
          <w:p w14:paraId="06B4769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-0.007</w:t>
            </w:r>
          </w:p>
        </w:tc>
        <w:tc>
          <w:tcPr>
            <w:tcW w:w="1113" w:type="dxa"/>
            <w:tcBorders>
              <w:top w:val="nil"/>
              <w:left w:val="single" w:sz="4" w:space="0" w:color="auto"/>
              <w:bottom w:val="nil"/>
              <w:right w:val="single" w:sz="4" w:space="0" w:color="auto"/>
            </w:tcBorders>
            <w:shd w:val="clear" w:color="auto" w:fill="auto"/>
            <w:noWrap/>
            <w:vAlign w:val="bottom"/>
            <w:hideMark/>
          </w:tcPr>
          <w:p w14:paraId="06B4769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-0.006</w:t>
            </w:r>
          </w:p>
        </w:tc>
        <w:tc>
          <w:tcPr>
            <w:tcW w:w="1276" w:type="dxa"/>
            <w:tcBorders>
              <w:top w:val="nil"/>
              <w:left w:val="nil"/>
              <w:bottom w:val="nil"/>
              <w:right w:val="single" w:sz="8" w:space="0" w:color="auto"/>
            </w:tcBorders>
            <w:shd w:val="clear" w:color="auto" w:fill="auto"/>
            <w:noWrap/>
            <w:vAlign w:val="bottom"/>
            <w:hideMark/>
          </w:tcPr>
          <w:p w14:paraId="06B4769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-0.009</w:t>
            </w:r>
          </w:p>
        </w:tc>
      </w:tr>
      <w:tr w:rsidR="00EC4CF9" w:rsidRPr="00EC4CF9" w14:paraId="06B4769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9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98"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0.081</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699"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0.029</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69A"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0.029</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69B"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0.029</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69C"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0.029</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69D"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0.029</w:t>
            </w:r>
            <w:r>
              <w:rPr>
                <w:rFonts w:ascii="Calibri" w:hAnsi="Calibri" w:cs="Calibri"/>
                <w:color w:val="000000"/>
                <w:sz w:val="20"/>
                <w:szCs w:val="20"/>
              </w:rPr>
              <w:t>)</w:t>
            </w:r>
          </w:p>
        </w:tc>
      </w:tr>
      <w:tr w:rsidR="00EC4CF9" w:rsidRPr="00EC4CF9" w14:paraId="06B476A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9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A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6A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A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A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A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A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A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A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London</w:t>
            </w:r>
          </w:p>
        </w:tc>
        <w:tc>
          <w:tcPr>
            <w:tcW w:w="1275" w:type="dxa"/>
            <w:tcBorders>
              <w:top w:val="nil"/>
              <w:left w:val="single" w:sz="4" w:space="0" w:color="auto"/>
              <w:bottom w:val="nil"/>
              <w:right w:val="single" w:sz="4" w:space="0" w:color="auto"/>
            </w:tcBorders>
            <w:shd w:val="clear" w:color="auto" w:fill="auto"/>
            <w:noWrap/>
            <w:vAlign w:val="bottom"/>
            <w:hideMark/>
          </w:tcPr>
          <w:p w14:paraId="06B476A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-0.074</w:t>
            </w:r>
          </w:p>
        </w:tc>
        <w:tc>
          <w:tcPr>
            <w:tcW w:w="1418" w:type="dxa"/>
            <w:tcBorders>
              <w:top w:val="nil"/>
              <w:left w:val="nil"/>
              <w:bottom w:val="nil"/>
              <w:right w:val="nil"/>
            </w:tcBorders>
            <w:shd w:val="clear" w:color="auto" w:fill="auto"/>
            <w:noWrap/>
            <w:vAlign w:val="bottom"/>
            <w:hideMark/>
          </w:tcPr>
          <w:p w14:paraId="06B476A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-0.142***</w:t>
            </w:r>
          </w:p>
        </w:tc>
        <w:tc>
          <w:tcPr>
            <w:tcW w:w="1276" w:type="dxa"/>
            <w:tcBorders>
              <w:top w:val="nil"/>
              <w:left w:val="single" w:sz="4" w:space="0" w:color="auto"/>
              <w:bottom w:val="nil"/>
              <w:right w:val="single" w:sz="4" w:space="0" w:color="auto"/>
            </w:tcBorders>
            <w:shd w:val="clear" w:color="auto" w:fill="auto"/>
            <w:noWrap/>
            <w:vAlign w:val="bottom"/>
            <w:hideMark/>
          </w:tcPr>
          <w:p w14:paraId="06B476A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-0.142***</w:t>
            </w:r>
          </w:p>
        </w:tc>
        <w:tc>
          <w:tcPr>
            <w:tcW w:w="1275" w:type="dxa"/>
            <w:tcBorders>
              <w:top w:val="nil"/>
              <w:left w:val="nil"/>
              <w:bottom w:val="nil"/>
              <w:right w:val="nil"/>
            </w:tcBorders>
            <w:shd w:val="clear" w:color="auto" w:fill="auto"/>
            <w:noWrap/>
            <w:vAlign w:val="bottom"/>
            <w:hideMark/>
          </w:tcPr>
          <w:p w14:paraId="06B476A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-0.137***</w:t>
            </w:r>
          </w:p>
        </w:tc>
        <w:tc>
          <w:tcPr>
            <w:tcW w:w="1113" w:type="dxa"/>
            <w:tcBorders>
              <w:top w:val="nil"/>
              <w:left w:val="single" w:sz="4" w:space="0" w:color="auto"/>
              <w:bottom w:val="nil"/>
              <w:right w:val="single" w:sz="4" w:space="0" w:color="auto"/>
            </w:tcBorders>
            <w:shd w:val="clear" w:color="auto" w:fill="auto"/>
            <w:noWrap/>
            <w:vAlign w:val="bottom"/>
            <w:hideMark/>
          </w:tcPr>
          <w:p w14:paraId="06B476A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-0.142***</w:t>
            </w:r>
          </w:p>
        </w:tc>
        <w:tc>
          <w:tcPr>
            <w:tcW w:w="1276" w:type="dxa"/>
            <w:tcBorders>
              <w:top w:val="nil"/>
              <w:left w:val="nil"/>
              <w:bottom w:val="nil"/>
              <w:right w:val="single" w:sz="8" w:space="0" w:color="auto"/>
            </w:tcBorders>
            <w:shd w:val="clear" w:color="auto" w:fill="auto"/>
            <w:noWrap/>
            <w:vAlign w:val="bottom"/>
            <w:hideMark/>
          </w:tcPr>
          <w:p w14:paraId="06B476A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-0.143***</w:t>
            </w:r>
          </w:p>
        </w:tc>
      </w:tr>
      <w:tr w:rsidR="00EC4CF9" w:rsidRPr="00EC4CF9" w14:paraId="06B476B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A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B0"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0.053</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6B1"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6B2"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6B3"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6B4"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6B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r>
      <w:tr w:rsidR="00EC4CF9" w:rsidRPr="00EC4CF9" w14:paraId="06B476B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B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B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6B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B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B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B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B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C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B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museums frequently</w:t>
            </w:r>
          </w:p>
        </w:tc>
        <w:tc>
          <w:tcPr>
            <w:tcW w:w="1275" w:type="dxa"/>
            <w:tcBorders>
              <w:top w:val="nil"/>
              <w:left w:val="single" w:sz="4" w:space="0" w:color="auto"/>
              <w:bottom w:val="nil"/>
              <w:right w:val="single" w:sz="4" w:space="0" w:color="auto"/>
            </w:tcBorders>
            <w:shd w:val="clear" w:color="auto" w:fill="auto"/>
            <w:noWrap/>
            <w:vAlign w:val="bottom"/>
            <w:hideMark/>
          </w:tcPr>
          <w:p w14:paraId="06B476C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0.014</w:t>
            </w:r>
          </w:p>
        </w:tc>
        <w:tc>
          <w:tcPr>
            <w:tcW w:w="1418" w:type="dxa"/>
            <w:tcBorders>
              <w:top w:val="nil"/>
              <w:left w:val="nil"/>
              <w:bottom w:val="nil"/>
              <w:right w:val="nil"/>
            </w:tcBorders>
            <w:shd w:val="clear" w:color="auto" w:fill="auto"/>
            <w:noWrap/>
            <w:vAlign w:val="bottom"/>
            <w:hideMark/>
          </w:tcPr>
          <w:p w14:paraId="06B476C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C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C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C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C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C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C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C8"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0.048</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6C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C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C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C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C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D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C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D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6D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D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D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D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D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D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D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lastRenderedPageBreak/>
              <w:t>libraries frequently</w:t>
            </w:r>
          </w:p>
        </w:tc>
        <w:tc>
          <w:tcPr>
            <w:tcW w:w="1275" w:type="dxa"/>
            <w:tcBorders>
              <w:top w:val="nil"/>
              <w:left w:val="single" w:sz="4" w:space="0" w:color="auto"/>
              <w:bottom w:val="nil"/>
              <w:right w:val="single" w:sz="4" w:space="0" w:color="auto"/>
            </w:tcBorders>
            <w:shd w:val="clear" w:color="auto" w:fill="auto"/>
            <w:noWrap/>
            <w:vAlign w:val="bottom"/>
            <w:hideMark/>
          </w:tcPr>
          <w:p w14:paraId="06B476D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0.063**</w:t>
            </w:r>
          </w:p>
        </w:tc>
        <w:tc>
          <w:tcPr>
            <w:tcW w:w="1418" w:type="dxa"/>
            <w:tcBorders>
              <w:top w:val="nil"/>
              <w:left w:val="nil"/>
              <w:bottom w:val="nil"/>
              <w:right w:val="nil"/>
            </w:tcBorders>
            <w:shd w:val="clear" w:color="auto" w:fill="auto"/>
            <w:noWrap/>
            <w:vAlign w:val="bottom"/>
            <w:hideMark/>
          </w:tcPr>
          <w:p w14:paraId="06B476D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D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D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D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D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E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D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E0"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0.032</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6E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E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E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E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E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E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E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E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6E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E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E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E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E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F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E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heritage frequently</w:t>
            </w:r>
          </w:p>
        </w:tc>
        <w:tc>
          <w:tcPr>
            <w:tcW w:w="1275" w:type="dxa"/>
            <w:tcBorders>
              <w:top w:val="nil"/>
              <w:left w:val="single" w:sz="4" w:space="0" w:color="auto"/>
              <w:bottom w:val="nil"/>
              <w:right w:val="single" w:sz="4" w:space="0" w:color="auto"/>
            </w:tcBorders>
            <w:shd w:val="clear" w:color="auto" w:fill="auto"/>
            <w:noWrap/>
            <w:vAlign w:val="bottom"/>
            <w:hideMark/>
          </w:tcPr>
          <w:p w14:paraId="06B476F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0.034</w:t>
            </w:r>
          </w:p>
        </w:tc>
        <w:tc>
          <w:tcPr>
            <w:tcW w:w="1418" w:type="dxa"/>
            <w:tcBorders>
              <w:top w:val="nil"/>
              <w:left w:val="nil"/>
              <w:bottom w:val="nil"/>
              <w:right w:val="nil"/>
            </w:tcBorders>
            <w:shd w:val="clear" w:color="auto" w:fill="auto"/>
            <w:noWrap/>
            <w:vAlign w:val="bottom"/>
            <w:hideMark/>
          </w:tcPr>
          <w:p w14:paraId="06B476F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F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F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F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F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6F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F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6F8"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0.036</w:t>
            </w:r>
            <w:r>
              <w:rPr>
                <w:rFonts w:ascii="Calibri" w:hAnsi="Calibri" w:cs="Calibri"/>
                <w:color w:val="000000"/>
                <w:sz w:val="20"/>
                <w:szCs w:val="20"/>
              </w:rPr>
              <w:t>)</w:t>
            </w:r>
          </w:p>
        </w:tc>
        <w:tc>
          <w:tcPr>
            <w:tcW w:w="1418" w:type="dxa"/>
            <w:tcBorders>
              <w:top w:val="nil"/>
              <w:left w:val="nil"/>
              <w:bottom w:val="nil"/>
              <w:right w:val="nil"/>
            </w:tcBorders>
            <w:shd w:val="clear" w:color="auto" w:fill="auto"/>
            <w:noWrap/>
            <w:vAlign w:val="bottom"/>
            <w:hideMark/>
          </w:tcPr>
          <w:p w14:paraId="06B476F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6F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6F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6F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6F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0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6F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0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0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0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0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0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0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0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0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all arts</w:t>
            </w:r>
          </w:p>
        </w:tc>
        <w:tc>
          <w:tcPr>
            <w:tcW w:w="1275" w:type="dxa"/>
            <w:tcBorders>
              <w:top w:val="nil"/>
              <w:left w:val="single" w:sz="4" w:space="0" w:color="auto"/>
              <w:bottom w:val="nil"/>
              <w:right w:val="single" w:sz="4" w:space="0" w:color="auto"/>
            </w:tcBorders>
            <w:shd w:val="clear" w:color="auto" w:fill="auto"/>
            <w:noWrap/>
            <w:vAlign w:val="bottom"/>
            <w:hideMark/>
          </w:tcPr>
          <w:p w14:paraId="06B4770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0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0.050*</w:t>
            </w:r>
          </w:p>
        </w:tc>
        <w:tc>
          <w:tcPr>
            <w:tcW w:w="1276" w:type="dxa"/>
            <w:tcBorders>
              <w:top w:val="nil"/>
              <w:left w:val="single" w:sz="4" w:space="0" w:color="auto"/>
              <w:bottom w:val="nil"/>
              <w:right w:val="single" w:sz="4" w:space="0" w:color="auto"/>
            </w:tcBorders>
            <w:shd w:val="clear" w:color="auto" w:fill="auto"/>
            <w:noWrap/>
            <w:vAlign w:val="bottom"/>
            <w:hideMark/>
          </w:tcPr>
          <w:p w14:paraId="06B4770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0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0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0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1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0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1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11"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0.027</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71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1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1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1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1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1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1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1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1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1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1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1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2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1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all sports</w:t>
            </w:r>
          </w:p>
        </w:tc>
        <w:tc>
          <w:tcPr>
            <w:tcW w:w="1275" w:type="dxa"/>
            <w:tcBorders>
              <w:top w:val="nil"/>
              <w:left w:val="single" w:sz="4" w:space="0" w:color="auto"/>
              <w:bottom w:val="nil"/>
              <w:right w:val="single" w:sz="4" w:space="0" w:color="auto"/>
            </w:tcBorders>
            <w:shd w:val="clear" w:color="auto" w:fill="auto"/>
            <w:noWrap/>
            <w:vAlign w:val="bottom"/>
            <w:hideMark/>
          </w:tcPr>
          <w:p w14:paraId="06B4772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2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0.052***</w:t>
            </w:r>
          </w:p>
        </w:tc>
        <w:tc>
          <w:tcPr>
            <w:tcW w:w="1276" w:type="dxa"/>
            <w:tcBorders>
              <w:top w:val="nil"/>
              <w:left w:val="single" w:sz="4" w:space="0" w:color="auto"/>
              <w:bottom w:val="nil"/>
              <w:right w:val="single" w:sz="4" w:space="0" w:color="auto"/>
            </w:tcBorders>
            <w:shd w:val="clear" w:color="auto" w:fill="auto"/>
            <w:noWrap/>
            <w:vAlign w:val="bottom"/>
            <w:hideMark/>
          </w:tcPr>
          <w:p w14:paraId="06B4772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2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2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2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2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2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2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29"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c>
          <w:tcPr>
            <w:tcW w:w="1276" w:type="dxa"/>
            <w:tcBorders>
              <w:top w:val="nil"/>
              <w:left w:val="single" w:sz="4" w:space="0" w:color="auto"/>
              <w:bottom w:val="nil"/>
              <w:right w:val="single" w:sz="4" w:space="0" w:color="auto"/>
            </w:tcBorders>
            <w:shd w:val="clear" w:color="auto" w:fill="auto"/>
            <w:noWrap/>
            <w:vAlign w:val="bottom"/>
            <w:hideMark/>
          </w:tcPr>
          <w:p w14:paraId="06B4772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2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2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2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3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2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3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3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3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3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3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3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3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3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team sports</w:t>
            </w:r>
          </w:p>
        </w:tc>
        <w:tc>
          <w:tcPr>
            <w:tcW w:w="1275" w:type="dxa"/>
            <w:tcBorders>
              <w:top w:val="nil"/>
              <w:left w:val="single" w:sz="4" w:space="0" w:color="auto"/>
              <w:bottom w:val="nil"/>
              <w:right w:val="single" w:sz="4" w:space="0" w:color="auto"/>
            </w:tcBorders>
            <w:shd w:val="clear" w:color="auto" w:fill="auto"/>
            <w:noWrap/>
            <w:vAlign w:val="bottom"/>
            <w:hideMark/>
          </w:tcPr>
          <w:p w14:paraId="06B4773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3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3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0.052***</w:t>
            </w:r>
          </w:p>
        </w:tc>
        <w:tc>
          <w:tcPr>
            <w:tcW w:w="1275" w:type="dxa"/>
            <w:tcBorders>
              <w:top w:val="nil"/>
              <w:left w:val="nil"/>
              <w:bottom w:val="nil"/>
              <w:right w:val="nil"/>
            </w:tcBorders>
            <w:shd w:val="clear" w:color="auto" w:fill="auto"/>
            <w:noWrap/>
            <w:vAlign w:val="bottom"/>
            <w:hideMark/>
          </w:tcPr>
          <w:p w14:paraId="06B4773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3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3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4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3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4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4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42"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w:t>
            </w:r>
            <w:r>
              <w:rPr>
                <w:rFonts w:ascii="Calibri" w:hAnsi="Calibri" w:cs="Calibri"/>
                <w:color w:val="000000"/>
                <w:sz w:val="20"/>
                <w:szCs w:val="20"/>
              </w:rPr>
              <w:t>0)</w:t>
            </w:r>
          </w:p>
        </w:tc>
        <w:tc>
          <w:tcPr>
            <w:tcW w:w="1275" w:type="dxa"/>
            <w:tcBorders>
              <w:top w:val="nil"/>
              <w:left w:val="nil"/>
              <w:bottom w:val="nil"/>
              <w:right w:val="nil"/>
            </w:tcBorders>
            <w:shd w:val="clear" w:color="auto" w:fill="auto"/>
            <w:noWrap/>
            <w:vAlign w:val="bottom"/>
            <w:hideMark/>
          </w:tcPr>
          <w:p w14:paraId="06B4774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4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4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4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4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4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4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4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4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4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4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5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4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individual sports</w:t>
            </w:r>
          </w:p>
        </w:tc>
        <w:tc>
          <w:tcPr>
            <w:tcW w:w="1275" w:type="dxa"/>
            <w:tcBorders>
              <w:top w:val="nil"/>
              <w:left w:val="single" w:sz="4" w:space="0" w:color="auto"/>
              <w:bottom w:val="nil"/>
              <w:right w:val="single" w:sz="4" w:space="0" w:color="auto"/>
            </w:tcBorders>
            <w:shd w:val="clear" w:color="auto" w:fill="auto"/>
            <w:noWrap/>
            <w:vAlign w:val="bottom"/>
            <w:hideMark/>
          </w:tcPr>
          <w:p w14:paraId="06B4775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5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5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0.038**</w:t>
            </w:r>
          </w:p>
        </w:tc>
        <w:tc>
          <w:tcPr>
            <w:tcW w:w="1275" w:type="dxa"/>
            <w:tcBorders>
              <w:top w:val="nil"/>
              <w:left w:val="nil"/>
              <w:bottom w:val="nil"/>
              <w:right w:val="nil"/>
            </w:tcBorders>
            <w:shd w:val="clear" w:color="auto" w:fill="auto"/>
            <w:noWrap/>
            <w:vAlign w:val="bottom"/>
            <w:hideMark/>
          </w:tcPr>
          <w:p w14:paraId="06B4775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5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5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5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5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5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5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5A"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c>
          <w:tcPr>
            <w:tcW w:w="1275" w:type="dxa"/>
            <w:tcBorders>
              <w:top w:val="nil"/>
              <w:left w:val="nil"/>
              <w:bottom w:val="nil"/>
              <w:right w:val="nil"/>
            </w:tcBorders>
            <w:shd w:val="clear" w:color="auto" w:fill="auto"/>
            <w:noWrap/>
            <w:vAlign w:val="bottom"/>
            <w:hideMark/>
          </w:tcPr>
          <w:p w14:paraId="06B4775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5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5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6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5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6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6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6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6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6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6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6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6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Fitness</w:t>
            </w:r>
          </w:p>
        </w:tc>
        <w:tc>
          <w:tcPr>
            <w:tcW w:w="1275" w:type="dxa"/>
            <w:tcBorders>
              <w:top w:val="nil"/>
              <w:left w:val="single" w:sz="4" w:space="0" w:color="auto"/>
              <w:bottom w:val="nil"/>
              <w:right w:val="single" w:sz="4" w:space="0" w:color="auto"/>
            </w:tcBorders>
            <w:shd w:val="clear" w:color="auto" w:fill="auto"/>
            <w:noWrap/>
            <w:vAlign w:val="bottom"/>
            <w:hideMark/>
          </w:tcPr>
          <w:p w14:paraId="06B4776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6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6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6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-0.058***</w:t>
            </w:r>
          </w:p>
        </w:tc>
        <w:tc>
          <w:tcPr>
            <w:tcW w:w="1113" w:type="dxa"/>
            <w:tcBorders>
              <w:top w:val="nil"/>
              <w:left w:val="single" w:sz="4" w:space="0" w:color="auto"/>
              <w:bottom w:val="nil"/>
              <w:right w:val="single" w:sz="4" w:space="0" w:color="auto"/>
            </w:tcBorders>
            <w:shd w:val="clear" w:color="auto" w:fill="auto"/>
            <w:noWrap/>
            <w:vAlign w:val="bottom"/>
            <w:hideMark/>
          </w:tcPr>
          <w:p w14:paraId="06B4776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6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7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6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7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7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7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73"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0.016</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77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7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7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7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7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7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7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7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7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7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8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7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football</w:t>
            </w:r>
          </w:p>
        </w:tc>
        <w:tc>
          <w:tcPr>
            <w:tcW w:w="1275" w:type="dxa"/>
            <w:tcBorders>
              <w:top w:val="nil"/>
              <w:left w:val="single" w:sz="4" w:space="0" w:color="auto"/>
              <w:bottom w:val="nil"/>
              <w:right w:val="single" w:sz="4" w:space="0" w:color="auto"/>
            </w:tcBorders>
            <w:shd w:val="clear" w:color="auto" w:fill="auto"/>
            <w:noWrap/>
            <w:vAlign w:val="bottom"/>
            <w:hideMark/>
          </w:tcPr>
          <w:p w14:paraId="06B4778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8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8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8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0.038</w:t>
            </w:r>
          </w:p>
        </w:tc>
        <w:tc>
          <w:tcPr>
            <w:tcW w:w="1113" w:type="dxa"/>
            <w:tcBorders>
              <w:top w:val="nil"/>
              <w:left w:val="single" w:sz="4" w:space="0" w:color="auto"/>
              <w:bottom w:val="nil"/>
              <w:right w:val="single" w:sz="4" w:space="0" w:color="auto"/>
            </w:tcBorders>
            <w:shd w:val="clear" w:color="auto" w:fill="auto"/>
            <w:noWrap/>
            <w:vAlign w:val="bottom"/>
            <w:hideMark/>
          </w:tcPr>
          <w:p w14:paraId="06B4778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8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8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8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8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8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8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8B"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0.026</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78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8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9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8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9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9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9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9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9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9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9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9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swimming</w:t>
            </w:r>
          </w:p>
        </w:tc>
        <w:tc>
          <w:tcPr>
            <w:tcW w:w="1275" w:type="dxa"/>
            <w:tcBorders>
              <w:top w:val="nil"/>
              <w:left w:val="single" w:sz="4" w:space="0" w:color="auto"/>
              <w:bottom w:val="nil"/>
              <w:right w:val="single" w:sz="4" w:space="0" w:color="auto"/>
            </w:tcBorders>
            <w:shd w:val="clear" w:color="auto" w:fill="auto"/>
            <w:noWrap/>
            <w:vAlign w:val="bottom"/>
            <w:hideMark/>
          </w:tcPr>
          <w:p w14:paraId="06B4779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9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9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9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0.076***</w:t>
            </w:r>
          </w:p>
        </w:tc>
        <w:tc>
          <w:tcPr>
            <w:tcW w:w="1113" w:type="dxa"/>
            <w:tcBorders>
              <w:top w:val="nil"/>
              <w:left w:val="single" w:sz="4" w:space="0" w:color="auto"/>
              <w:bottom w:val="nil"/>
              <w:right w:val="single" w:sz="4" w:space="0" w:color="auto"/>
            </w:tcBorders>
            <w:shd w:val="clear" w:color="auto" w:fill="auto"/>
            <w:noWrap/>
            <w:vAlign w:val="bottom"/>
            <w:hideMark/>
          </w:tcPr>
          <w:p w14:paraId="06B4779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9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A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9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A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A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A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A3"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0.016</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7A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A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A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A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A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A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A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A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A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A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B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A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Cycling</w:t>
            </w:r>
          </w:p>
        </w:tc>
        <w:tc>
          <w:tcPr>
            <w:tcW w:w="1275" w:type="dxa"/>
            <w:tcBorders>
              <w:top w:val="nil"/>
              <w:left w:val="single" w:sz="4" w:space="0" w:color="auto"/>
              <w:bottom w:val="nil"/>
              <w:right w:val="single" w:sz="4" w:space="0" w:color="auto"/>
            </w:tcBorders>
            <w:shd w:val="clear" w:color="auto" w:fill="auto"/>
            <w:noWrap/>
            <w:vAlign w:val="bottom"/>
            <w:hideMark/>
          </w:tcPr>
          <w:p w14:paraId="06B477B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B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B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B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0.028</w:t>
            </w:r>
          </w:p>
        </w:tc>
        <w:tc>
          <w:tcPr>
            <w:tcW w:w="1113" w:type="dxa"/>
            <w:tcBorders>
              <w:top w:val="nil"/>
              <w:left w:val="single" w:sz="4" w:space="0" w:color="auto"/>
              <w:bottom w:val="nil"/>
              <w:right w:val="single" w:sz="4" w:space="0" w:color="auto"/>
            </w:tcBorders>
            <w:shd w:val="clear" w:color="auto" w:fill="auto"/>
            <w:noWrap/>
            <w:vAlign w:val="bottom"/>
            <w:hideMark/>
          </w:tcPr>
          <w:p w14:paraId="06B477B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B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B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B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B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B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B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BB"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0.018</w:t>
            </w:r>
            <w:r>
              <w:rPr>
                <w:rFonts w:ascii="Calibri" w:hAnsi="Calibri" w:cs="Calibri"/>
                <w:color w:val="000000"/>
                <w:sz w:val="20"/>
                <w:szCs w:val="20"/>
              </w:rPr>
              <w:t>)</w:t>
            </w:r>
          </w:p>
        </w:tc>
        <w:tc>
          <w:tcPr>
            <w:tcW w:w="1113" w:type="dxa"/>
            <w:tcBorders>
              <w:top w:val="nil"/>
              <w:left w:val="single" w:sz="4" w:space="0" w:color="auto"/>
              <w:bottom w:val="nil"/>
              <w:right w:val="single" w:sz="4" w:space="0" w:color="auto"/>
            </w:tcBorders>
            <w:shd w:val="clear" w:color="auto" w:fill="auto"/>
            <w:noWrap/>
            <w:vAlign w:val="bottom"/>
            <w:hideMark/>
          </w:tcPr>
          <w:p w14:paraId="06B477B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B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C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B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C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C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C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C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C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C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C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C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all audience arts</w:t>
            </w:r>
          </w:p>
        </w:tc>
        <w:tc>
          <w:tcPr>
            <w:tcW w:w="1275" w:type="dxa"/>
            <w:tcBorders>
              <w:top w:val="nil"/>
              <w:left w:val="single" w:sz="4" w:space="0" w:color="auto"/>
              <w:bottom w:val="nil"/>
              <w:right w:val="single" w:sz="4" w:space="0" w:color="auto"/>
            </w:tcBorders>
            <w:shd w:val="clear" w:color="auto" w:fill="auto"/>
            <w:noWrap/>
            <w:vAlign w:val="bottom"/>
            <w:hideMark/>
          </w:tcPr>
          <w:p w14:paraId="06B477C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C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C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C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C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0.043**</w:t>
            </w:r>
          </w:p>
        </w:tc>
        <w:tc>
          <w:tcPr>
            <w:tcW w:w="1276" w:type="dxa"/>
            <w:tcBorders>
              <w:top w:val="nil"/>
              <w:left w:val="nil"/>
              <w:bottom w:val="nil"/>
              <w:right w:val="single" w:sz="8" w:space="0" w:color="auto"/>
            </w:tcBorders>
            <w:shd w:val="clear" w:color="auto" w:fill="auto"/>
            <w:noWrap/>
            <w:vAlign w:val="bottom"/>
            <w:hideMark/>
          </w:tcPr>
          <w:p w14:paraId="06B477C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D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C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D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D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D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D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D4"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w:t>
            </w:r>
            <w:r>
              <w:rPr>
                <w:rFonts w:ascii="Calibri" w:hAnsi="Calibri" w:cs="Calibri"/>
                <w:color w:val="000000"/>
                <w:sz w:val="20"/>
                <w:szCs w:val="20"/>
              </w:rPr>
              <w:t>0)</w:t>
            </w:r>
          </w:p>
        </w:tc>
        <w:tc>
          <w:tcPr>
            <w:tcW w:w="1276" w:type="dxa"/>
            <w:tcBorders>
              <w:top w:val="nil"/>
              <w:left w:val="nil"/>
              <w:bottom w:val="nil"/>
              <w:right w:val="single" w:sz="8" w:space="0" w:color="auto"/>
            </w:tcBorders>
            <w:shd w:val="clear" w:color="auto" w:fill="auto"/>
            <w:noWrap/>
            <w:vAlign w:val="bottom"/>
            <w:hideMark/>
          </w:tcPr>
          <w:p w14:paraId="06B477D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D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D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D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D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D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D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D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D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E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D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all participation arts</w:t>
            </w:r>
          </w:p>
        </w:tc>
        <w:tc>
          <w:tcPr>
            <w:tcW w:w="1275" w:type="dxa"/>
            <w:tcBorders>
              <w:top w:val="nil"/>
              <w:left w:val="single" w:sz="4" w:space="0" w:color="auto"/>
              <w:bottom w:val="nil"/>
              <w:right w:val="single" w:sz="4" w:space="0" w:color="auto"/>
            </w:tcBorders>
            <w:shd w:val="clear" w:color="auto" w:fill="auto"/>
            <w:noWrap/>
            <w:vAlign w:val="bottom"/>
            <w:hideMark/>
          </w:tcPr>
          <w:p w14:paraId="06B477E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E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E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E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E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w:t>
            </w:r>
          </w:p>
        </w:tc>
        <w:tc>
          <w:tcPr>
            <w:tcW w:w="1276" w:type="dxa"/>
            <w:tcBorders>
              <w:top w:val="nil"/>
              <w:left w:val="nil"/>
              <w:bottom w:val="nil"/>
              <w:right w:val="single" w:sz="8" w:space="0" w:color="auto"/>
            </w:tcBorders>
            <w:shd w:val="clear" w:color="auto" w:fill="auto"/>
            <w:noWrap/>
            <w:vAlign w:val="bottom"/>
            <w:hideMark/>
          </w:tcPr>
          <w:p w14:paraId="06B477E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E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E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E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E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E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E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EC"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0.019</w:t>
            </w:r>
            <w:r>
              <w:rPr>
                <w:rFonts w:ascii="Calibri" w:hAnsi="Calibri" w:cs="Calibri"/>
                <w:color w:val="000000"/>
                <w:sz w:val="20"/>
                <w:szCs w:val="20"/>
              </w:rPr>
              <w:t>)</w:t>
            </w:r>
          </w:p>
        </w:tc>
        <w:tc>
          <w:tcPr>
            <w:tcW w:w="1276" w:type="dxa"/>
            <w:tcBorders>
              <w:top w:val="nil"/>
              <w:left w:val="nil"/>
              <w:bottom w:val="nil"/>
              <w:right w:val="single" w:sz="8" w:space="0" w:color="auto"/>
            </w:tcBorders>
            <w:shd w:val="clear" w:color="auto" w:fill="auto"/>
            <w:noWrap/>
            <w:vAlign w:val="bottom"/>
            <w:hideMark/>
          </w:tcPr>
          <w:p w14:paraId="06B477E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F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E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7F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F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F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F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F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F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7F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F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dance participation</w:t>
            </w:r>
          </w:p>
        </w:tc>
        <w:tc>
          <w:tcPr>
            <w:tcW w:w="1275" w:type="dxa"/>
            <w:tcBorders>
              <w:top w:val="nil"/>
              <w:left w:val="single" w:sz="4" w:space="0" w:color="auto"/>
              <w:bottom w:val="nil"/>
              <w:right w:val="single" w:sz="4" w:space="0" w:color="auto"/>
            </w:tcBorders>
            <w:shd w:val="clear" w:color="auto" w:fill="auto"/>
            <w:noWrap/>
            <w:vAlign w:val="bottom"/>
            <w:hideMark/>
          </w:tcPr>
          <w:p w14:paraId="06B477F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7F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7F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7F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7F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7F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0.078***</w:t>
            </w:r>
          </w:p>
        </w:tc>
      </w:tr>
      <w:tr w:rsidR="00EC4CF9" w:rsidRPr="00EC4CF9" w14:paraId="06B4780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7F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0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0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0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0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0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0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0.022</w:t>
            </w:r>
            <w:r>
              <w:rPr>
                <w:rFonts w:ascii="Calibri" w:hAnsi="Calibri" w:cs="Calibri"/>
                <w:color w:val="000000"/>
                <w:sz w:val="20"/>
                <w:szCs w:val="20"/>
              </w:rPr>
              <w:t>)</w:t>
            </w:r>
          </w:p>
        </w:tc>
      </w:tr>
      <w:tr w:rsidR="00EC4CF9" w:rsidRPr="00EC4CF9" w14:paraId="06B4780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0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0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0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0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0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0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0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81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0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drama participation</w:t>
            </w:r>
          </w:p>
        </w:tc>
        <w:tc>
          <w:tcPr>
            <w:tcW w:w="1275" w:type="dxa"/>
            <w:tcBorders>
              <w:top w:val="nil"/>
              <w:left w:val="single" w:sz="4" w:space="0" w:color="auto"/>
              <w:bottom w:val="nil"/>
              <w:right w:val="single" w:sz="4" w:space="0" w:color="auto"/>
            </w:tcBorders>
            <w:shd w:val="clear" w:color="auto" w:fill="auto"/>
            <w:noWrap/>
            <w:vAlign w:val="bottom"/>
            <w:hideMark/>
          </w:tcPr>
          <w:p w14:paraId="06B4781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1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1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1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1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1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0.026</w:t>
            </w:r>
          </w:p>
        </w:tc>
      </w:tr>
      <w:tr w:rsidR="00EC4CF9" w:rsidRPr="00EC4CF9" w14:paraId="06B4781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1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1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1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1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1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1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1D"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0.026</w:t>
            </w:r>
            <w:r>
              <w:rPr>
                <w:rFonts w:ascii="Calibri" w:hAnsi="Calibri" w:cs="Calibri"/>
                <w:color w:val="000000"/>
                <w:sz w:val="20"/>
                <w:szCs w:val="20"/>
              </w:rPr>
              <w:t>)</w:t>
            </w:r>
          </w:p>
        </w:tc>
      </w:tr>
      <w:tr w:rsidR="00EC4CF9" w:rsidRPr="00EC4CF9" w14:paraId="06B4782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1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2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2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2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2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2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2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82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2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music participation</w:t>
            </w:r>
          </w:p>
        </w:tc>
        <w:tc>
          <w:tcPr>
            <w:tcW w:w="1275" w:type="dxa"/>
            <w:tcBorders>
              <w:top w:val="nil"/>
              <w:left w:val="single" w:sz="4" w:space="0" w:color="auto"/>
              <w:bottom w:val="nil"/>
              <w:right w:val="single" w:sz="4" w:space="0" w:color="auto"/>
            </w:tcBorders>
            <w:shd w:val="clear" w:color="auto" w:fill="auto"/>
            <w:noWrap/>
            <w:vAlign w:val="bottom"/>
            <w:hideMark/>
          </w:tcPr>
          <w:p w14:paraId="06B4782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2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2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2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2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2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-0.055**</w:t>
            </w:r>
          </w:p>
        </w:tc>
      </w:tr>
      <w:tr w:rsidR="00EC4CF9" w:rsidRPr="00EC4CF9" w14:paraId="06B4783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2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3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3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3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3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3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3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0.023</w:t>
            </w:r>
            <w:r>
              <w:rPr>
                <w:rFonts w:ascii="Calibri" w:hAnsi="Calibri" w:cs="Calibri"/>
                <w:color w:val="000000"/>
                <w:sz w:val="20"/>
                <w:szCs w:val="20"/>
              </w:rPr>
              <w:t>)</w:t>
            </w:r>
          </w:p>
        </w:tc>
      </w:tr>
      <w:tr w:rsidR="00EC4CF9" w:rsidRPr="00EC4CF9" w14:paraId="06B4783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3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3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3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3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3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3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3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84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3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art participation</w:t>
            </w:r>
          </w:p>
        </w:tc>
        <w:tc>
          <w:tcPr>
            <w:tcW w:w="1275" w:type="dxa"/>
            <w:tcBorders>
              <w:top w:val="nil"/>
              <w:left w:val="single" w:sz="4" w:space="0" w:color="auto"/>
              <w:bottom w:val="nil"/>
              <w:right w:val="single" w:sz="4" w:space="0" w:color="auto"/>
            </w:tcBorders>
            <w:shd w:val="clear" w:color="auto" w:fill="auto"/>
            <w:noWrap/>
            <w:vAlign w:val="bottom"/>
            <w:hideMark/>
          </w:tcPr>
          <w:p w14:paraId="06B4784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4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4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4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4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4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-0.016</w:t>
            </w:r>
          </w:p>
        </w:tc>
      </w:tr>
      <w:tr w:rsidR="00EC4CF9" w:rsidRPr="00EC4CF9" w14:paraId="06B4784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4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4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4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4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4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4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4D"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r>
      <w:tr w:rsidR="00EC4CF9" w:rsidRPr="00EC4CF9" w14:paraId="06B4785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4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lastRenderedPageBreak/>
              <w:t> </w:t>
            </w:r>
          </w:p>
        </w:tc>
        <w:tc>
          <w:tcPr>
            <w:tcW w:w="1275" w:type="dxa"/>
            <w:tcBorders>
              <w:top w:val="nil"/>
              <w:left w:val="single" w:sz="4" w:space="0" w:color="auto"/>
              <w:bottom w:val="nil"/>
              <w:right w:val="single" w:sz="4" w:space="0" w:color="auto"/>
            </w:tcBorders>
            <w:shd w:val="clear" w:color="auto" w:fill="auto"/>
            <w:noWrap/>
            <w:vAlign w:val="bottom"/>
            <w:hideMark/>
          </w:tcPr>
          <w:p w14:paraId="06B4785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5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5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5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5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5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85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5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craft participation</w:t>
            </w:r>
          </w:p>
        </w:tc>
        <w:tc>
          <w:tcPr>
            <w:tcW w:w="1275" w:type="dxa"/>
            <w:tcBorders>
              <w:top w:val="nil"/>
              <w:left w:val="single" w:sz="4" w:space="0" w:color="auto"/>
              <w:bottom w:val="nil"/>
              <w:right w:val="single" w:sz="4" w:space="0" w:color="auto"/>
            </w:tcBorders>
            <w:shd w:val="clear" w:color="auto" w:fill="auto"/>
            <w:noWrap/>
            <w:vAlign w:val="bottom"/>
            <w:hideMark/>
          </w:tcPr>
          <w:p w14:paraId="06B4785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5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5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5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5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5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0.047**</w:t>
            </w:r>
          </w:p>
        </w:tc>
      </w:tr>
      <w:tr w:rsidR="00EC4CF9" w:rsidRPr="00EC4CF9" w14:paraId="06B4786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5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6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6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6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6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6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6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0.019</w:t>
            </w:r>
            <w:r>
              <w:rPr>
                <w:rFonts w:ascii="Calibri" w:hAnsi="Calibri" w:cs="Calibri"/>
                <w:color w:val="000000"/>
                <w:sz w:val="20"/>
                <w:szCs w:val="20"/>
              </w:rPr>
              <w:t>)</w:t>
            </w:r>
          </w:p>
        </w:tc>
      </w:tr>
      <w:tr w:rsidR="00EC4CF9" w:rsidRPr="00EC4CF9" w14:paraId="06B4786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6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6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6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6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6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6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6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87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6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literature participation</w:t>
            </w:r>
          </w:p>
        </w:tc>
        <w:tc>
          <w:tcPr>
            <w:tcW w:w="1275" w:type="dxa"/>
            <w:tcBorders>
              <w:top w:val="nil"/>
              <w:left w:val="single" w:sz="4" w:space="0" w:color="auto"/>
              <w:bottom w:val="nil"/>
              <w:right w:val="single" w:sz="4" w:space="0" w:color="auto"/>
            </w:tcBorders>
            <w:shd w:val="clear" w:color="auto" w:fill="auto"/>
            <w:noWrap/>
            <w:vAlign w:val="bottom"/>
            <w:hideMark/>
          </w:tcPr>
          <w:p w14:paraId="06B4787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7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7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7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7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7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0.003</w:t>
            </w:r>
          </w:p>
        </w:tc>
      </w:tr>
      <w:tr w:rsidR="00EC4CF9" w:rsidRPr="00EC4CF9" w14:paraId="06B4787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7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7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7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7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7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7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7D"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r>
      <w:tr w:rsidR="00EC4CF9" w:rsidRPr="00EC4CF9" w14:paraId="06B4788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7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8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8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8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8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8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8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88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8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film audience</w:t>
            </w:r>
          </w:p>
        </w:tc>
        <w:tc>
          <w:tcPr>
            <w:tcW w:w="1275" w:type="dxa"/>
            <w:tcBorders>
              <w:top w:val="nil"/>
              <w:left w:val="single" w:sz="4" w:space="0" w:color="auto"/>
              <w:bottom w:val="nil"/>
              <w:right w:val="single" w:sz="4" w:space="0" w:color="auto"/>
            </w:tcBorders>
            <w:shd w:val="clear" w:color="auto" w:fill="auto"/>
            <w:noWrap/>
            <w:vAlign w:val="bottom"/>
            <w:hideMark/>
          </w:tcPr>
          <w:p w14:paraId="06B4788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8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8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8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8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8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-0.008</w:t>
            </w:r>
          </w:p>
        </w:tc>
      </w:tr>
      <w:tr w:rsidR="00EC4CF9" w:rsidRPr="00EC4CF9" w14:paraId="06B4789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8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9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9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9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9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9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9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0.018</w:t>
            </w:r>
            <w:r>
              <w:rPr>
                <w:rFonts w:ascii="Calibri" w:hAnsi="Calibri" w:cs="Calibri"/>
                <w:color w:val="000000"/>
                <w:sz w:val="20"/>
                <w:szCs w:val="20"/>
              </w:rPr>
              <w:t>)</w:t>
            </w:r>
          </w:p>
        </w:tc>
      </w:tr>
      <w:tr w:rsidR="00EC4CF9" w:rsidRPr="00EC4CF9" w14:paraId="06B4789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9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9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9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9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9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9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9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8A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9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exhibition audience</w:t>
            </w:r>
          </w:p>
        </w:tc>
        <w:tc>
          <w:tcPr>
            <w:tcW w:w="1275" w:type="dxa"/>
            <w:tcBorders>
              <w:top w:val="nil"/>
              <w:left w:val="single" w:sz="4" w:space="0" w:color="auto"/>
              <w:bottom w:val="nil"/>
              <w:right w:val="single" w:sz="4" w:space="0" w:color="auto"/>
            </w:tcBorders>
            <w:shd w:val="clear" w:color="auto" w:fill="auto"/>
            <w:noWrap/>
            <w:vAlign w:val="bottom"/>
            <w:hideMark/>
          </w:tcPr>
          <w:p w14:paraId="06B478A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A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A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A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A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A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-0.015</w:t>
            </w:r>
          </w:p>
        </w:tc>
      </w:tr>
      <w:tr w:rsidR="00EC4CF9" w:rsidRPr="00EC4CF9" w14:paraId="06B478A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A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A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A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A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A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A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AD"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0.017</w:t>
            </w:r>
            <w:r>
              <w:rPr>
                <w:rFonts w:ascii="Calibri" w:hAnsi="Calibri" w:cs="Calibri"/>
                <w:color w:val="000000"/>
                <w:sz w:val="20"/>
                <w:szCs w:val="20"/>
              </w:rPr>
              <w:t>)</w:t>
            </w:r>
          </w:p>
        </w:tc>
      </w:tr>
      <w:tr w:rsidR="00EC4CF9" w:rsidRPr="00EC4CF9" w14:paraId="06B478B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A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B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B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B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B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B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B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8B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B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music audience</w:t>
            </w:r>
          </w:p>
        </w:tc>
        <w:tc>
          <w:tcPr>
            <w:tcW w:w="1275" w:type="dxa"/>
            <w:tcBorders>
              <w:top w:val="nil"/>
              <w:left w:val="single" w:sz="4" w:space="0" w:color="auto"/>
              <w:bottom w:val="nil"/>
              <w:right w:val="single" w:sz="4" w:space="0" w:color="auto"/>
            </w:tcBorders>
            <w:shd w:val="clear" w:color="auto" w:fill="auto"/>
            <w:noWrap/>
            <w:vAlign w:val="bottom"/>
            <w:hideMark/>
          </w:tcPr>
          <w:p w14:paraId="06B478B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B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B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B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B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B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0.034**</w:t>
            </w:r>
          </w:p>
        </w:tc>
      </w:tr>
      <w:tr w:rsidR="00EC4CF9" w:rsidRPr="00EC4CF9" w14:paraId="06B478C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B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C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C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C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C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C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C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0.016</w:t>
            </w:r>
            <w:r>
              <w:rPr>
                <w:rFonts w:ascii="Calibri" w:hAnsi="Calibri" w:cs="Calibri"/>
                <w:color w:val="000000"/>
                <w:sz w:val="20"/>
                <w:szCs w:val="20"/>
              </w:rPr>
              <w:t>)</w:t>
            </w:r>
          </w:p>
        </w:tc>
      </w:tr>
      <w:tr w:rsidR="00EC4CF9" w:rsidRPr="00EC4CF9" w14:paraId="06B478C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C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C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C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C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C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C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C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8D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C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play audience</w:t>
            </w:r>
          </w:p>
        </w:tc>
        <w:tc>
          <w:tcPr>
            <w:tcW w:w="1275" w:type="dxa"/>
            <w:tcBorders>
              <w:top w:val="nil"/>
              <w:left w:val="single" w:sz="4" w:space="0" w:color="auto"/>
              <w:bottom w:val="nil"/>
              <w:right w:val="single" w:sz="4" w:space="0" w:color="auto"/>
            </w:tcBorders>
            <w:shd w:val="clear" w:color="auto" w:fill="auto"/>
            <w:noWrap/>
            <w:vAlign w:val="bottom"/>
            <w:hideMark/>
          </w:tcPr>
          <w:p w14:paraId="06B478D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D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D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D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D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D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0.046***</w:t>
            </w:r>
          </w:p>
        </w:tc>
      </w:tr>
      <w:tr w:rsidR="00EC4CF9" w:rsidRPr="00EC4CF9" w14:paraId="06B478D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D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D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D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D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D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D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DD"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0.016</w:t>
            </w:r>
            <w:r>
              <w:rPr>
                <w:rFonts w:ascii="Calibri" w:hAnsi="Calibri" w:cs="Calibri"/>
                <w:color w:val="000000"/>
                <w:sz w:val="20"/>
                <w:szCs w:val="20"/>
              </w:rPr>
              <w:t>)</w:t>
            </w:r>
          </w:p>
        </w:tc>
      </w:tr>
      <w:tr w:rsidR="00EC4CF9" w:rsidRPr="00EC4CF9" w14:paraId="06B478E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D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E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E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E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E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E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E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8EE"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E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dance audience</w:t>
            </w:r>
          </w:p>
        </w:tc>
        <w:tc>
          <w:tcPr>
            <w:tcW w:w="1275" w:type="dxa"/>
            <w:tcBorders>
              <w:top w:val="nil"/>
              <w:left w:val="single" w:sz="4" w:space="0" w:color="auto"/>
              <w:bottom w:val="nil"/>
              <w:right w:val="single" w:sz="4" w:space="0" w:color="auto"/>
            </w:tcBorders>
            <w:shd w:val="clear" w:color="auto" w:fill="auto"/>
            <w:noWrap/>
            <w:vAlign w:val="bottom"/>
            <w:hideMark/>
          </w:tcPr>
          <w:p w14:paraId="06B478E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E9"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E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EB"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E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E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0.011</w:t>
            </w:r>
          </w:p>
        </w:tc>
      </w:tr>
      <w:tr w:rsidR="00EC4CF9" w:rsidRPr="00EC4CF9" w14:paraId="06B478F6" w14:textId="77777777" w:rsidTr="00EC4CF9">
        <w:trPr>
          <w:trHeight w:val="300"/>
          <w:jc w:val="center"/>
        </w:trPr>
        <w:tc>
          <w:tcPr>
            <w:tcW w:w="2269" w:type="dxa"/>
            <w:tcBorders>
              <w:top w:val="nil"/>
              <w:left w:val="single" w:sz="8" w:space="0" w:color="auto"/>
              <w:bottom w:val="nil"/>
              <w:right w:val="nil"/>
            </w:tcBorders>
            <w:shd w:val="clear" w:color="auto" w:fill="auto"/>
            <w:noWrap/>
            <w:vAlign w:val="bottom"/>
            <w:hideMark/>
          </w:tcPr>
          <w:p w14:paraId="06B478E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nil"/>
              <w:right w:val="single" w:sz="4" w:space="0" w:color="auto"/>
            </w:tcBorders>
            <w:shd w:val="clear" w:color="auto" w:fill="auto"/>
            <w:noWrap/>
            <w:vAlign w:val="bottom"/>
            <w:hideMark/>
          </w:tcPr>
          <w:p w14:paraId="06B478F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nil"/>
              <w:right w:val="nil"/>
            </w:tcBorders>
            <w:shd w:val="clear" w:color="auto" w:fill="auto"/>
            <w:noWrap/>
            <w:vAlign w:val="bottom"/>
            <w:hideMark/>
          </w:tcPr>
          <w:p w14:paraId="06B478F1" w14:textId="77777777" w:rsidR="00EC4CF9" w:rsidRPr="00EC4CF9" w:rsidRDefault="00EC4CF9" w:rsidP="00EC4CF9">
            <w:pPr>
              <w:spacing w:before="0"/>
              <w:ind w:left="0"/>
              <w:rPr>
                <w:rFonts w:ascii="Calibri" w:hAnsi="Calibri" w:cs="Calibri"/>
                <w:color w:val="000000"/>
                <w:sz w:val="20"/>
                <w:szCs w:val="20"/>
              </w:rPr>
            </w:pPr>
          </w:p>
        </w:tc>
        <w:tc>
          <w:tcPr>
            <w:tcW w:w="1276" w:type="dxa"/>
            <w:tcBorders>
              <w:top w:val="nil"/>
              <w:left w:val="single" w:sz="4" w:space="0" w:color="auto"/>
              <w:bottom w:val="nil"/>
              <w:right w:val="single" w:sz="4" w:space="0" w:color="auto"/>
            </w:tcBorders>
            <w:shd w:val="clear" w:color="auto" w:fill="auto"/>
            <w:noWrap/>
            <w:vAlign w:val="bottom"/>
            <w:hideMark/>
          </w:tcPr>
          <w:p w14:paraId="06B478F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nil"/>
              <w:right w:val="nil"/>
            </w:tcBorders>
            <w:shd w:val="clear" w:color="auto" w:fill="auto"/>
            <w:noWrap/>
            <w:vAlign w:val="bottom"/>
            <w:hideMark/>
          </w:tcPr>
          <w:p w14:paraId="06B478F3" w14:textId="77777777" w:rsidR="00EC4CF9" w:rsidRPr="00EC4CF9" w:rsidRDefault="00EC4CF9" w:rsidP="00EC4CF9">
            <w:pPr>
              <w:spacing w:before="0"/>
              <w:ind w:left="0"/>
              <w:rPr>
                <w:rFonts w:ascii="Calibri" w:hAnsi="Calibri" w:cs="Calibri"/>
                <w:color w:val="000000"/>
                <w:sz w:val="20"/>
                <w:szCs w:val="20"/>
              </w:rPr>
            </w:pPr>
          </w:p>
        </w:tc>
        <w:tc>
          <w:tcPr>
            <w:tcW w:w="1113" w:type="dxa"/>
            <w:tcBorders>
              <w:top w:val="nil"/>
              <w:left w:val="single" w:sz="4" w:space="0" w:color="auto"/>
              <w:bottom w:val="nil"/>
              <w:right w:val="single" w:sz="4" w:space="0" w:color="auto"/>
            </w:tcBorders>
            <w:shd w:val="clear" w:color="auto" w:fill="auto"/>
            <w:noWrap/>
            <w:vAlign w:val="bottom"/>
            <w:hideMark/>
          </w:tcPr>
          <w:p w14:paraId="06B478F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nil"/>
              <w:right w:val="single" w:sz="8" w:space="0" w:color="auto"/>
            </w:tcBorders>
            <w:shd w:val="clear" w:color="auto" w:fill="auto"/>
            <w:noWrap/>
            <w:vAlign w:val="bottom"/>
            <w:hideMark/>
          </w:tcPr>
          <w:p w14:paraId="06B478F5" w14:textId="77777777" w:rsidR="00EC4CF9" w:rsidRPr="00EC4CF9" w:rsidRDefault="006E1D3F" w:rsidP="00EC4CF9">
            <w:pPr>
              <w:spacing w:before="0"/>
              <w:ind w:left="0"/>
              <w:rPr>
                <w:rFonts w:ascii="Calibri" w:hAnsi="Calibri" w:cs="Calibri"/>
                <w:color w:val="000000"/>
                <w:sz w:val="20"/>
                <w:szCs w:val="20"/>
              </w:rPr>
            </w:pPr>
            <w:r>
              <w:rPr>
                <w:rFonts w:ascii="Calibri" w:hAnsi="Calibri" w:cs="Calibri"/>
                <w:color w:val="000000"/>
                <w:sz w:val="20"/>
                <w:szCs w:val="20"/>
              </w:rPr>
              <w:t>(</w:t>
            </w:r>
            <w:r w:rsidR="00EC4CF9" w:rsidRPr="00EC4CF9">
              <w:rPr>
                <w:rFonts w:ascii="Calibri" w:hAnsi="Calibri" w:cs="Calibri"/>
                <w:color w:val="000000"/>
                <w:sz w:val="20"/>
                <w:szCs w:val="20"/>
              </w:rPr>
              <w:t>0.025</w:t>
            </w:r>
            <w:r>
              <w:rPr>
                <w:rFonts w:ascii="Calibri" w:hAnsi="Calibri" w:cs="Calibri"/>
                <w:color w:val="000000"/>
                <w:sz w:val="20"/>
                <w:szCs w:val="20"/>
              </w:rPr>
              <w:t>)</w:t>
            </w:r>
          </w:p>
        </w:tc>
      </w:tr>
      <w:tr w:rsidR="00EC4CF9" w:rsidRPr="00EC4CF9" w14:paraId="06B478FE" w14:textId="77777777" w:rsidTr="00EC4CF9">
        <w:trPr>
          <w:trHeight w:val="315"/>
          <w:jc w:val="center"/>
        </w:trPr>
        <w:tc>
          <w:tcPr>
            <w:tcW w:w="2269" w:type="dxa"/>
            <w:tcBorders>
              <w:top w:val="nil"/>
              <w:left w:val="single" w:sz="8" w:space="0" w:color="auto"/>
              <w:bottom w:val="double" w:sz="6" w:space="0" w:color="auto"/>
              <w:right w:val="nil"/>
            </w:tcBorders>
            <w:shd w:val="clear" w:color="auto" w:fill="auto"/>
            <w:noWrap/>
            <w:vAlign w:val="bottom"/>
            <w:hideMark/>
          </w:tcPr>
          <w:p w14:paraId="06B478F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single" w:sz="4" w:space="0" w:color="auto"/>
              <w:bottom w:val="double" w:sz="6" w:space="0" w:color="auto"/>
              <w:right w:val="single" w:sz="4" w:space="0" w:color="auto"/>
            </w:tcBorders>
            <w:shd w:val="clear" w:color="auto" w:fill="auto"/>
            <w:noWrap/>
            <w:vAlign w:val="bottom"/>
            <w:hideMark/>
          </w:tcPr>
          <w:p w14:paraId="06B478F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418" w:type="dxa"/>
            <w:tcBorders>
              <w:top w:val="nil"/>
              <w:left w:val="nil"/>
              <w:bottom w:val="double" w:sz="6" w:space="0" w:color="auto"/>
              <w:right w:val="nil"/>
            </w:tcBorders>
            <w:shd w:val="clear" w:color="auto" w:fill="auto"/>
            <w:noWrap/>
            <w:vAlign w:val="bottom"/>
            <w:hideMark/>
          </w:tcPr>
          <w:p w14:paraId="06B478F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single" w:sz="4" w:space="0" w:color="auto"/>
              <w:bottom w:val="double" w:sz="6" w:space="0" w:color="auto"/>
              <w:right w:val="single" w:sz="4" w:space="0" w:color="auto"/>
            </w:tcBorders>
            <w:shd w:val="clear" w:color="auto" w:fill="auto"/>
            <w:noWrap/>
            <w:vAlign w:val="bottom"/>
            <w:hideMark/>
          </w:tcPr>
          <w:p w14:paraId="06B478F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5" w:type="dxa"/>
            <w:tcBorders>
              <w:top w:val="nil"/>
              <w:left w:val="nil"/>
              <w:bottom w:val="double" w:sz="6" w:space="0" w:color="auto"/>
              <w:right w:val="nil"/>
            </w:tcBorders>
            <w:shd w:val="clear" w:color="auto" w:fill="auto"/>
            <w:noWrap/>
            <w:vAlign w:val="bottom"/>
            <w:hideMark/>
          </w:tcPr>
          <w:p w14:paraId="06B478F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113" w:type="dxa"/>
            <w:tcBorders>
              <w:top w:val="nil"/>
              <w:left w:val="single" w:sz="4" w:space="0" w:color="auto"/>
              <w:bottom w:val="double" w:sz="6" w:space="0" w:color="auto"/>
              <w:right w:val="single" w:sz="4" w:space="0" w:color="auto"/>
            </w:tcBorders>
            <w:shd w:val="clear" w:color="auto" w:fill="auto"/>
            <w:noWrap/>
            <w:vAlign w:val="bottom"/>
            <w:hideMark/>
          </w:tcPr>
          <w:p w14:paraId="06B478F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c>
          <w:tcPr>
            <w:tcW w:w="1276" w:type="dxa"/>
            <w:tcBorders>
              <w:top w:val="nil"/>
              <w:left w:val="nil"/>
              <w:bottom w:val="double" w:sz="6" w:space="0" w:color="auto"/>
              <w:right w:val="single" w:sz="8" w:space="0" w:color="auto"/>
            </w:tcBorders>
            <w:shd w:val="clear" w:color="auto" w:fill="auto"/>
            <w:noWrap/>
            <w:vAlign w:val="bottom"/>
            <w:hideMark/>
          </w:tcPr>
          <w:p w14:paraId="06B478F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 </w:t>
            </w:r>
          </w:p>
        </w:tc>
      </w:tr>
      <w:tr w:rsidR="00EC4CF9" w:rsidRPr="00EC4CF9" w14:paraId="06B47906" w14:textId="77777777" w:rsidTr="00EC4CF9">
        <w:trPr>
          <w:trHeight w:val="315"/>
          <w:jc w:val="center"/>
        </w:trPr>
        <w:tc>
          <w:tcPr>
            <w:tcW w:w="2269" w:type="dxa"/>
            <w:tcBorders>
              <w:top w:val="nil"/>
              <w:left w:val="single" w:sz="8" w:space="0" w:color="auto"/>
              <w:bottom w:val="nil"/>
              <w:right w:val="nil"/>
            </w:tcBorders>
            <w:shd w:val="clear" w:color="auto" w:fill="auto"/>
            <w:noWrap/>
            <w:vAlign w:val="bottom"/>
            <w:hideMark/>
          </w:tcPr>
          <w:p w14:paraId="06B478FF"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N</w:t>
            </w:r>
          </w:p>
        </w:tc>
        <w:tc>
          <w:tcPr>
            <w:tcW w:w="1275" w:type="dxa"/>
            <w:tcBorders>
              <w:top w:val="nil"/>
              <w:left w:val="single" w:sz="4" w:space="0" w:color="auto"/>
              <w:bottom w:val="nil"/>
              <w:right w:val="single" w:sz="4" w:space="0" w:color="auto"/>
            </w:tcBorders>
            <w:shd w:val="clear" w:color="auto" w:fill="auto"/>
            <w:noWrap/>
            <w:vAlign w:val="bottom"/>
            <w:hideMark/>
          </w:tcPr>
          <w:p w14:paraId="06B47900"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6251</w:t>
            </w:r>
          </w:p>
        </w:tc>
        <w:tc>
          <w:tcPr>
            <w:tcW w:w="1418" w:type="dxa"/>
            <w:tcBorders>
              <w:top w:val="nil"/>
              <w:left w:val="nil"/>
              <w:bottom w:val="nil"/>
              <w:right w:val="nil"/>
            </w:tcBorders>
            <w:shd w:val="clear" w:color="auto" w:fill="auto"/>
            <w:noWrap/>
            <w:vAlign w:val="bottom"/>
            <w:hideMark/>
          </w:tcPr>
          <w:p w14:paraId="06B47901"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36531</w:t>
            </w:r>
          </w:p>
        </w:tc>
        <w:tc>
          <w:tcPr>
            <w:tcW w:w="1276" w:type="dxa"/>
            <w:tcBorders>
              <w:top w:val="nil"/>
              <w:left w:val="single" w:sz="4" w:space="0" w:color="auto"/>
              <w:bottom w:val="nil"/>
              <w:right w:val="single" w:sz="4" w:space="0" w:color="auto"/>
            </w:tcBorders>
            <w:shd w:val="clear" w:color="auto" w:fill="auto"/>
            <w:noWrap/>
            <w:vAlign w:val="bottom"/>
            <w:hideMark/>
          </w:tcPr>
          <w:p w14:paraId="06B47902"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36531</w:t>
            </w:r>
          </w:p>
        </w:tc>
        <w:tc>
          <w:tcPr>
            <w:tcW w:w="1275" w:type="dxa"/>
            <w:tcBorders>
              <w:top w:val="nil"/>
              <w:left w:val="nil"/>
              <w:bottom w:val="nil"/>
              <w:right w:val="nil"/>
            </w:tcBorders>
            <w:shd w:val="clear" w:color="auto" w:fill="auto"/>
            <w:noWrap/>
            <w:vAlign w:val="bottom"/>
            <w:hideMark/>
          </w:tcPr>
          <w:p w14:paraId="06B47903"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36530</w:t>
            </w:r>
          </w:p>
        </w:tc>
        <w:tc>
          <w:tcPr>
            <w:tcW w:w="1113" w:type="dxa"/>
            <w:tcBorders>
              <w:top w:val="nil"/>
              <w:left w:val="single" w:sz="4" w:space="0" w:color="auto"/>
              <w:bottom w:val="nil"/>
              <w:right w:val="single" w:sz="4" w:space="0" w:color="auto"/>
            </w:tcBorders>
            <w:shd w:val="clear" w:color="auto" w:fill="auto"/>
            <w:noWrap/>
            <w:vAlign w:val="bottom"/>
            <w:hideMark/>
          </w:tcPr>
          <w:p w14:paraId="06B47904"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36531</w:t>
            </w:r>
          </w:p>
        </w:tc>
        <w:tc>
          <w:tcPr>
            <w:tcW w:w="1276" w:type="dxa"/>
            <w:tcBorders>
              <w:top w:val="nil"/>
              <w:left w:val="nil"/>
              <w:bottom w:val="nil"/>
              <w:right w:val="single" w:sz="8" w:space="0" w:color="auto"/>
            </w:tcBorders>
            <w:shd w:val="clear" w:color="auto" w:fill="auto"/>
            <w:noWrap/>
            <w:vAlign w:val="bottom"/>
            <w:hideMark/>
          </w:tcPr>
          <w:p w14:paraId="06B47905"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36526</w:t>
            </w:r>
          </w:p>
        </w:tc>
      </w:tr>
      <w:tr w:rsidR="00EC4CF9" w:rsidRPr="00EC4CF9" w14:paraId="06B4790E" w14:textId="77777777" w:rsidTr="00EC4CF9">
        <w:trPr>
          <w:trHeight w:val="315"/>
          <w:jc w:val="center"/>
        </w:trPr>
        <w:tc>
          <w:tcPr>
            <w:tcW w:w="2269" w:type="dxa"/>
            <w:tcBorders>
              <w:top w:val="nil"/>
              <w:left w:val="single" w:sz="8" w:space="0" w:color="auto"/>
              <w:bottom w:val="single" w:sz="8" w:space="0" w:color="auto"/>
              <w:right w:val="nil"/>
            </w:tcBorders>
            <w:shd w:val="clear" w:color="auto" w:fill="auto"/>
            <w:noWrap/>
            <w:vAlign w:val="bottom"/>
            <w:hideMark/>
          </w:tcPr>
          <w:p w14:paraId="06B47907"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adj. R-sq</w:t>
            </w:r>
          </w:p>
        </w:tc>
        <w:tc>
          <w:tcPr>
            <w:tcW w:w="1275" w:type="dxa"/>
            <w:tcBorders>
              <w:top w:val="nil"/>
              <w:left w:val="single" w:sz="4" w:space="0" w:color="auto"/>
              <w:bottom w:val="single" w:sz="8" w:space="0" w:color="auto"/>
              <w:right w:val="single" w:sz="4" w:space="0" w:color="auto"/>
            </w:tcBorders>
            <w:shd w:val="clear" w:color="auto" w:fill="auto"/>
            <w:noWrap/>
            <w:vAlign w:val="bottom"/>
            <w:hideMark/>
          </w:tcPr>
          <w:p w14:paraId="06B47908"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0.133</w:t>
            </w:r>
          </w:p>
        </w:tc>
        <w:tc>
          <w:tcPr>
            <w:tcW w:w="1418" w:type="dxa"/>
            <w:tcBorders>
              <w:top w:val="nil"/>
              <w:left w:val="nil"/>
              <w:bottom w:val="single" w:sz="8" w:space="0" w:color="auto"/>
              <w:right w:val="nil"/>
            </w:tcBorders>
            <w:shd w:val="clear" w:color="auto" w:fill="auto"/>
            <w:noWrap/>
            <w:vAlign w:val="bottom"/>
            <w:hideMark/>
          </w:tcPr>
          <w:p w14:paraId="06B47909"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0.153</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06B4790A"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0.153</w:t>
            </w:r>
          </w:p>
        </w:tc>
        <w:tc>
          <w:tcPr>
            <w:tcW w:w="1275" w:type="dxa"/>
            <w:tcBorders>
              <w:top w:val="nil"/>
              <w:left w:val="nil"/>
              <w:bottom w:val="single" w:sz="8" w:space="0" w:color="auto"/>
              <w:right w:val="nil"/>
            </w:tcBorders>
            <w:shd w:val="clear" w:color="auto" w:fill="auto"/>
            <w:noWrap/>
            <w:vAlign w:val="bottom"/>
            <w:hideMark/>
          </w:tcPr>
          <w:p w14:paraId="06B4790B"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0.153</w:t>
            </w:r>
          </w:p>
        </w:tc>
        <w:tc>
          <w:tcPr>
            <w:tcW w:w="1113" w:type="dxa"/>
            <w:tcBorders>
              <w:top w:val="nil"/>
              <w:left w:val="single" w:sz="4" w:space="0" w:color="auto"/>
              <w:bottom w:val="single" w:sz="8" w:space="0" w:color="auto"/>
              <w:right w:val="single" w:sz="4" w:space="0" w:color="auto"/>
            </w:tcBorders>
            <w:shd w:val="clear" w:color="auto" w:fill="auto"/>
            <w:noWrap/>
            <w:vAlign w:val="bottom"/>
            <w:hideMark/>
          </w:tcPr>
          <w:p w14:paraId="06B4790C"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0.153</w:t>
            </w:r>
          </w:p>
        </w:tc>
        <w:tc>
          <w:tcPr>
            <w:tcW w:w="1276" w:type="dxa"/>
            <w:tcBorders>
              <w:top w:val="nil"/>
              <w:left w:val="nil"/>
              <w:bottom w:val="single" w:sz="8" w:space="0" w:color="auto"/>
              <w:right w:val="single" w:sz="8" w:space="0" w:color="auto"/>
            </w:tcBorders>
            <w:shd w:val="clear" w:color="auto" w:fill="auto"/>
            <w:noWrap/>
            <w:vAlign w:val="bottom"/>
            <w:hideMark/>
          </w:tcPr>
          <w:p w14:paraId="06B4790D" w14:textId="77777777" w:rsidR="00EC4CF9" w:rsidRPr="00EC4CF9" w:rsidRDefault="00EC4CF9" w:rsidP="00EC4CF9">
            <w:pPr>
              <w:spacing w:before="0"/>
              <w:ind w:left="0"/>
              <w:rPr>
                <w:rFonts w:ascii="Calibri" w:hAnsi="Calibri" w:cs="Calibri"/>
                <w:color w:val="000000"/>
                <w:sz w:val="20"/>
                <w:szCs w:val="20"/>
              </w:rPr>
            </w:pPr>
            <w:r w:rsidRPr="00EC4CF9">
              <w:rPr>
                <w:rFonts w:ascii="Calibri" w:hAnsi="Calibri" w:cs="Calibri"/>
                <w:color w:val="000000"/>
                <w:sz w:val="20"/>
                <w:szCs w:val="20"/>
              </w:rPr>
              <w:t>0.153</w:t>
            </w:r>
          </w:p>
        </w:tc>
      </w:tr>
    </w:tbl>
    <w:p w14:paraId="06B4790F" w14:textId="77777777" w:rsidR="00EC4CF9" w:rsidRPr="00EC4CF9" w:rsidRDefault="00EC4CF9" w:rsidP="00EC4CF9">
      <w:pPr>
        <w:spacing w:before="0"/>
        <w:ind w:left="2160"/>
        <w:rPr>
          <w:rFonts w:ascii="Calibri" w:hAnsi="Calibri" w:cs="Calibri"/>
          <w:sz w:val="18"/>
          <w:szCs w:val="18"/>
        </w:rPr>
      </w:pPr>
      <w:r w:rsidRPr="00EC4CF9">
        <w:rPr>
          <w:rFonts w:ascii="Calibri" w:hAnsi="Calibri" w:cs="Calibri"/>
          <w:sz w:val="18"/>
          <w:szCs w:val="18"/>
        </w:rPr>
        <w:t>Notes: *** 0.01 significance level, ** 0.05 significance level, * 0.10 significance level. S.E. = Standard errors (in parentheses).  Cross-sectional OLS regression models.</w:t>
      </w:r>
    </w:p>
    <w:p w14:paraId="06B47910" w14:textId="77777777" w:rsidR="00EC4CF9" w:rsidRPr="00EC4CF9" w:rsidRDefault="00EC4CF9" w:rsidP="00EC4CF9">
      <w:pPr>
        <w:widowControl w:val="0"/>
        <w:autoSpaceDE w:val="0"/>
        <w:autoSpaceDN w:val="0"/>
        <w:adjustRightInd w:val="0"/>
        <w:spacing w:before="0"/>
        <w:ind w:left="2160"/>
        <w:rPr>
          <w:rFonts w:ascii="Calibri" w:eastAsia="MS Mincho" w:hAnsi="Calibri" w:cs="Calibri"/>
          <w:b/>
          <w:lang w:eastAsia="en-US"/>
        </w:rPr>
      </w:pPr>
    </w:p>
    <w:p w14:paraId="06B47911" w14:textId="77777777" w:rsidR="00EC4CF9" w:rsidRPr="00EC4CF9" w:rsidRDefault="00EC4CF9" w:rsidP="00EC4CF9">
      <w:pPr>
        <w:widowControl w:val="0"/>
        <w:autoSpaceDE w:val="0"/>
        <w:autoSpaceDN w:val="0"/>
        <w:adjustRightInd w:val="0"/>
        <w:spacing w:before="0"/>
        <w:ind w:left="2160"/>
        <w:rPr>
          <w:rFonts w:ascii="Calibri" w:eastAsia="MS Mincho" w:hAnsi="Calibri" w:cs="Calibri"/>
          <w:b/>
          <w:lang w:eastAsia="en-US"/>
        </w:rPr>
      </w:pPr>
    </w:p>
    <w:p w14:paraId="06B47912" w14:textId="77777777" w:rsidR="00EC4CF9" w:rsidRPr="0079130D" w:rsidRDefault="00B96BC4" w:rsidP="00EC4CF9">
      <w:pPr>
        <w:widowControl w:val="0"/>
        <w:autoSpaceDE w:val="0"/>
        <w:autoSpaceDN w:val="0"/>
        <w:adjustRightInd w:val="0"/>
        <w:spacing w:before="0"/>
        <w:ind w:left="2160"/>
        <w:rPr>
          <w:rFonts w:eastAsia="MS Mincho" w:cs="Arial"/>
          <w:b/>
          <w:sz w:val="28"/>
          <w:lang w:eastAsia="en-US"/>
        </w:rPr>
      </w:pPr>
      <w:r w:rsidRPr="0079130D">
        <w:rPr>
          <w:rFonts w:eastAsia="MS Mincho" w:cs="Arial"/>
          <w:b/>
          <w:sz w:val="28"/>
          <w:lang w:eastAsia="en-US"/>
        </w:rPr>
        <w:t>C</w:t>
      </w:r>
      <w:r w:rsidR="00EC4CF9" w:rsidRPr="0079130D">
        <w:rPr>
          <w:rFonts w:eastAsia="MS Mincho" w:cs="Arial"/>
          <w:b/>
          <w:sz w:val="28"/>
          <w:lang w:eastAsia="en-US"/>
        </w:rPr>
        <w:t>.4. Diagnostic tests on life satisfaction models</w:t>
      </w:r>
    </w:p>
    <w:p w14:paraId="06B47913" w14:textId="77777777" w:rsidR="00EC4CF9" w:rsidRPr="0079130D" w:rsidRDefault="00EC4CF9" w:rsidP="00EC4CF9">
      <w:pPr>
        <w:spacing w:before="0"/>
        <w:ind w:left="2160"/>
        <w:rPr>
          <w:rFonts w:eastAsia="MS Mincho" w:cs="Arial"/>
          <w:lang w:eastAsia="en-US"/>
        </w:rPr>
      </w:pPr>
    </w:p>
    <w:p w14:paraId="06B47914" w14:textId="77777777" w:rsidR="00EC4CF9" w:rsidRPr="0079130D" w:rsidRDefault="00EC4CF9" w:rsidP="00EC4CF9">
      <w:pPr>
        <w:spacing w:before="0"/>
        <w:ind w:left="2160"/>
        <w:rPr>
          <w:rFonts w:eastAsia="MS Mincho" w:cs="Arial"/>
          <w:lang w:eastAsia="en-US"/>
        </w:rPr>
      </w:pPr>
      <w:r w:rsidRPr="0079130D">
        <w:rPr>
          <w:rFonts w:eastAsia="MS Mincho" w:cs="Arial"/>
          <w:lang w:eastAsia="en-US"/>
        </w:rPr>
        <w:t>The wellbeing models contain the main determinants of life satisfaction and have R-squared values of around 15% (all R-squared values were statistically significant under the standard F-tests), which is consistent with all the main research in this area. The evidence suggests that around 80% - 90% of the variation in SWB and life satisfaction is due to personality traits (DeNeve and Cooper, 1998) and so these (relatively small) R-squared values do not warrant any concern here. The direction and size of the impacts (coefficients) in the life satisfaction models were all in line with previous findings in the wellbeing literature. We run F-tests to check for the validity of adding culture and sports related variables to the underlying life satisfaction model. We test the restricted model, which is the life satisfaction model excluding the culture and sports variables against an unrestricted model, which includes culture and sports:</w:t>
      </w:r>
    </w:p>
    <w:p w14:paraId="06B47915" w14:textId="77777777" w:rsidR="00EC4CF9" w:rsidRPr="0079130D" w:rsidRDefault="00EC4CF9" w:rsidP="00EC4CF9">
      <w:pPr>
        <w:spacing w:before="0"/>
        <w:ind w:left="2160"/>
        <w:rPr>
          <w:rFonts w:eastAsia="MS Mincho" w:cs="Arial"/>
          <w:lang w:eastAsia="en-US"/>
        </w:rPr>
      </w:pPr>
    </w:p>
    <w:p w14:paraId="06B47916" w14:textId="77777777" w:rsidR="00EC4CF9" w:rsidRPr="0079130D" w:rsidRDefault="00EC4CF9" w:rsidP="00EC4CF9">
      <w:pPr>
        <w:spacing w:before="0"/>
        <w:ind w:left="2160"/>
        <w:rPr>
          <w:rFonts w:eastAsia="MS Mincho" w:cs="Arial"/>
          <w:lang w:eastAsia="en-US"/>
        </w:rPr>
      </w:pPr>
      <w:r w:rsidRPr="0079130D">
        <w:rPr>
          <w:rFonts w:eastAsia="MS Mincho" w:cs="Arial"/>
          <w:b/>
          <w:lang w:eastAsia="en-US"/>
        </w:rPr>
        <w:t>Restricted model</w:t>
      </w:r>
      <w:r w:rsidRPr="0079130D">
        <w:rPr>
          <w:rFonts w:eastAsia="MS Mincho" w:cs="Arial"/>
          <w:lang w:eastAsia="en-US"/>
        </w:rPr>
        <w:t xml:space="preserve">: </w:t>
      </w:r>
      <m:oMath>
        <m:sSub>
          <m:sSubPr>
            <m:ctrlPr>
              <w:rPr>
                <w:rFonts w:ascii="Cambria Math" w:eastAsia="MS Mincho" w:hAnsi="Cambria Math" w:cs="Arial"/>
                <w:i/>
                <w:lang w:eastAsia="en-US"/>
              </w:rPr>
            </m:ctrlPr>
          </m:sSubPr>
          <m:e>
            <m:r>
              <w:rPr>
                <w:rFonts w:ascii="Cambria Math" w:eastAsia="MS Mincho" w:hAnsi="Cambria Math" w:cs="Arial"/>
                <w:lang w:eastAsia="en-US"/>
              </w:rPr>
              <m:t>LS</m:t>
            </m:r>
          </m:e>
          <m:sub>
            <m:r>
              <w:rPr>
                <w:rFonts w:ascii="Cambria Math" w:eastAsia="MS Mincho" w:hAnsi="Cambria Math" w:cs="Arial"/>
                <w:lang w:eastAsia="en-US"/>
              </w:rPr>
              <m:t>i</m:t>
            </m:r>
          </m:sub>
        </m:sSub>
        <m:r>
          <w:rPr>
            <w:rFonts w:ascii="Cambria Math" w:eastAsia="MS Mincho" w:hAnsi="Cambria Math" w:cs="Arial"/>
            <w:lang w:eastAsia="en-US"/>
          </w:rPr>
          <m:t>=α</m:t>
        </m:r>
        <m:r>
          <m:rPr>
            <m:sty m:val="p"/>
          </m:rPr>
          <w:rPr>
            <w:rFonts w:ascii="Cambria Math" w:eastAsia="MS Mincho" w:hAnsi="Cambria Math" w:cs="Arial"/>
            <w:lang w:eastAsia="en-US"/>
          </w:rPr>
          <m:t>+</m:t>
        </m:r>
        <m:sSub>
          <m:sSubPr>
            <m:ctrlPr>
              <w:rPr>
                <w:rFonts w:ascii="Cambria Math" w:eastAsia="MS Mincho" w:hAnsi="Cambria Math" w:cs="Arial"/>
                <w:lang w:eastAsia="en-US"/>
              </w:rPr>
            </m:ctrlPr>
          </m:sSubPr>
          <m:e>
            <m:r>
              <w:rPr>
                <w:rFonts w:ascii="Cambria Math" w:eastAsia="MS Mincho" w:hAnsi="Cambria Math" w:cs="Arial"/>
                <w:lang w:eastAsia="en-US"/>
              </w:rPr>
              <m:t>β</m:t>
            </m:r>
          </m:e>
          <m:sub>
            <m:r>
              <w:rPr>
                <w:rFonts w:ascii="Cambria Math" w:eastAsia="MS Mincho" w:hAnsi="Cambria Math" w:cs="Arial"/>
                <w:lang w:eastAsia="en-US"/>
              </w:rPr>
              <m:t>1</m:t>
            </m:r>
          </m:sub>
        </m:sSub>
        <m:sSub>
          <m:sSubPr>
            <m:ctrlPr>
              <w:rPr>
                <w:rFonts w:ascii="Cambria Math" w:eastAsia="MS Mincho" w:hAnsi="Cambria Math" w:cs="Arial"/>
                <w:i/>
                <w:lang w:eastAsia="en-US"/>
              </w:rPr>
            </m:ctrlPr>
          </m:sSubPr>
          <m:e>
            <m:r>
              <w:rPr>
                <w:rFonts w:ascii="Cambria Math" w:eastAsia="MS Mincho" w:hAnsi="Cambria Math" w:cs="Arial"/>
                <w:lang w:eastAsia="en-US"/>
              </w:rPr>
              <m:t>M</m:t>
            </m:r>
          </m:e>
          <m:sub>
            <m:r>
              <w:rPr>
                <w:rFonts w:ascii="Cambria Math" w:eastAsia="MS Mincho" w:hAnsi="Cambria Math" w:cs="Arial"/>
                <w:lang w:eastAsia="en-US"/>
              </w:rPr>
              <m:t>i</m:t>
            </m:r>
          </m:sub>
        </m:sSub>
        <m:r>
          <w:rPr>
            <w:rFonts w:ascii="Cambria Math" w:eastAsia="MS Mincho" w:hAnsi="Cambria Math" w:cs="Arial"/>
            <w:lang w:eastAsia="en-US"/>
          </w:rPr>
          <m:t>+</m:t>
        </m:r>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2</m:t>
            </m:r>
          </m:sub>
        </m:sSub>
        <m:sSub>
          <m:sSubPr>
            <m:ctrlPr>
              <w:rPr>
                <w:rFonts w:ascii="Cambria Math" w:eastAsia="MS Mincho" w:hAnsi="Cambria Math" w:cs="Arial"/>
                <w:i/>
                <w:lang w:eastAsia="en-US"/>
              </w:rPr>
            </m:ctrlPr>
          </m:sSubPr>
          <m:e>
            <m:r>
              <w:rPr>
                <w:rFonts w:ascii="Cambria Math" w:eastAsia="MS Mincho" w:hAnsi="Cambria Math" w:cs="Arial"/>
                <w:lang w:eastAsia="en-US"/>
              </w:rPr>
              <m:t>X</m:t>
            </m:r>
          </m:e>
          <m:sub>
            <m:r>
              <w:rPr>
                <w:rFonts w:ascii="Cambria Math" w:eastAsia="MS Mincho" w:hAnsi="Cambria Math" w:cs="Arial"/>
                <w:lang w:eastAsia="en-US"/>
              </w:rPr>
              <m:t>1i</m:t>
            </m:r>
          </m:sub>
        </m:sSub>
        <m:r>
          <w:rPr>
            <w:rFonts w:ascii="Cambria Math" w:eastAsia="MS Mincho" w:hAnsi="Cambria Math" w:cs="Arial"/>
            <w:lang w:eastAsia="en-US"/>
          </w:rPr>
          <m:t>+</m:t>
        </m:r>
        <m:sSub>
          <m:sSubPr>
            <m:ctrlPr>
              <w:rPr>
                <w:rFonts w:ascii="Cambria Math" w:eastAsia="MS Mincho" w:hAnsi="Cambria Math" w:cs="Arial"/>
                <w:i/>
                <w:lang w:eastAsia="en-US"/>
              </w:rPr>
            </m:ctrlPr>
          </m:sSubPr>
          <m:e>
            <m:r>
              <w:rPr>
                <w:rFonts w:ascii="Cambria Math" w:eastAsia="MS Mincho" w:hAnsi="Cambria Math" w:cs="Arial"/>
                <w:lang w:eastAsia="en-US"/>
              </w:rPr>
              <m:t>ε</m:t>
            </m:r>
          </m:e>
          <m:sub>
            <m:r>
              <w:rPr>
                <w:rFonts w:ascii="Cambria Math" w:eastAsia="MS Mincho" w:hAnsi="Cambria Math" w:cs="Arial"/>
                <w:lang w:eastAsia="en-US"/>
              </w:rPr>
              <m:t>i</m:t>
            </m:r>
          </m:sub>
        </m:sSub>
      </m:oMath>
      <w:r w:rsidRPr="0079130D">
        <w:rPr>
          <w:rFonts w:eastAsia="MS Mincho" w:cs="Arial"/>
          <w:lang w:eastAsia="en-US"/>
        </w:rPr>
        <w:t xml:space="preserve"> </w:t>
      </w:r>
    </w:p>
    <w:p w14:paraId="06B47917" w14:textId="77777777" w:rsidR="00EC4CF9" w:rsidRPr="0079130D" w:rsidRDefault="00EC4CF9" w:rsidP="00EC4CF9">
      <w:pPr>
        <w:spacing w:before="0"/>
        <w:ind w:left="2160"/>
        <w:rPr>
          <w:rFonts w:eastAsia="MS Mincho" w:cs="Arial"/>
          <w:lang w:eastAsia="en-US"/>
        </w:rPr>
      </w:pPr>
      <w:r w:rsidRPr="0079130D">
        <w:rPr>
          <w:rFonts w:eastAsia="MS Mincho" w:cs="Arial"/>
          <w:b/>
          <w:lang w:eastAsia="en-US"/>
        </w:rPr>
        <w:t>Unrestricted model</w:t>
      </w:r>
      <w:r w:rsidRPr="0079130D">
        <w:rPr>
          <w:rFonts w:eastAsia="MS Mincho" w:cs="Arial"/>
          <w:lang w:eastAsia="en-US"/>
        </w:rPr>
        <w:t xml:space="preserve">: </w:t>
      </w:r>
      <m:oMath>
        <m:sSub>
          <m:sSubPr>
            <m:ctrlPr>
              <w:rPr>
                <w:rFonts w:ascii="Cambria Math" w:eastAsia="MS Mincho" w:hAnsi="Cambria Math" w:cs="Arial"/>
                <w:i/>
                <w:lang w:eastAsia="en-US"/>
              </w:rPr>
            </m:ctrlPr>
          </m:sSubPr>
          <m:e>
            <m:r>
              <w:rPr>
                <w:rFonts w:ascii="Cambria Math" w:eastAsia="MS Mincho" w:hAnsi="Cambria Math" w:cs="Arial"/>
                <w:lang w:eastAsia="en-US"/>
              </w:rPr>
              <m:t>LS</m:t>
            </m:r>
          </m:e>
          <m:sub>
            <m:r>
              <w:rPr>
                <w:rFonts w:ascii="Cambria Math" w:eastAsia="MS Mincho" w:hAnsi="Cambria Math" w:cs="Arial"/>
                <w:lang w:eastAsia="en-US"/>
              </w:rPr>
              <m:t>i</m:t>
            </m:r>
          </m:sub>
        </m:sSub>
        <m:r>
          <w:rPr>
            <w:rFonts w:ascii="Cambria Math" w:eastAsia="MS Mincho" w:hAnsi="Cambria Math" w:cs="Arial"/>
            <w:lang w:eastAsia="en-US"/>
          </w:rPr>
          <m:t>=α</m:t>
        </m:r>
        <m:r>
          <m:rPr>
            <m:sty m:val="p"/>
          </m:rPr>
          <w:rPr>
            <w:rFonts w:ascii="Cambria Math" w:eastAsia="MS Mincho" w:hAnsi="Cambria Math" w:cs="Arial"/>
            <w:lang w:eastAsia="en-US"/>
          </w:rPr>
          <m:t>+</m:t>
        </m:r>
        <m:sSub>
          <m:sSubPr>
            <m:ctrlPr>
              <w:rPr>
                <w:rFonts w:ascii="Cambria Math" w:eastAsia="MS Mincho" w:hAnsi="Cambria Math" w:cs="Arial"/>
                <w:lang w:eastAsia="en-US"/>
              </w:rPr>
            </m:ctrlPr>
          </m:sSubPr>
          <m:e>
            <m:r>
              <w:rPr>
                <w:rFonts w:ascii="Cambria Math" w:eastAsia="MS Mincho" w:hAnsi="Cambria Math" w:cs="Arial"/>
                <w:lang w:eastAsia="en-US"/>
              </w:rPr>
              <m:t>β</m:t>
            </m:r>
          </m:e>
          <m:sub>
            <m:r>
              <w:rPr>
                <w:rFonts w:ascii="Cambria Math" w:eastAsia="MS Mincho" w:hAnsi="Cambria Math" w:cs="Arial"/>
                <w:lang w:eastAsia="en-US"/>
              </w:rPr>
              <m:t>1</m:t>
            </m:r>
          </m:sub>
        </m:sSub>
        <m:sSub>
          <m:sSubPr>
            <m:ctrlPr>
              <w:rPr>
                <w:rFonts w:ascii="Cambria Math" w:eastAsia="MS Mincho" w:hAnsi="Cambria Math" w:cs="Arial"/>
                <w:i/>
                <w:lang w:eastAsia="en-US"/>
              </w:rPr>
            </m:ctrlPr>
          </m:sSubPr>
          <m:e>
            <m:r>
              <w:rPr>
                <w:rFonts w:ascii="Cambria Math" w:eastAsia="MS Mincho" w:hAnsi="Cambria Math" w:cs="Arial"/>
                <w:lang w:eastAsia="en-US"/>
              </w:rPr>
              <m:t>M</m:t>
            </m:r>
          </m:e>
          <m:sub>
            <m:r>
              <w:rPr>
                <w:rFonts w:ascii="Cambria Math" w:eastAsia="MS Mincho" w:hAnsi="Cambria Math" w:cs="Arial"/>
                <w:lang w:eastAsia="en-US"/>
              </w:rPr>
              <m:t>i</m:t>
            </m:r>
          </m:sub>
        </m:sSub>
        <m:r>
          <w:rPr>
            <w:rFonts w:ascii="Cambria Math" w:eastAsia="MS Mincho" w:hAnsi="Cambria Math" w:cs="Arial"/>
            <w:lang w:eastAsia="en-US"/>
          </w:rPr>
          <m:t>+</m:t>
        </m:r>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2</m:t>
            </m:r>
          </m:sub>
        </m:sSub>
        <m:sSub>
          <m:sSubPr>
            <m:ctrlPr>
              <w:rPr>
                <w:rFonts w:ascii="Cambria Math" w:eastAsia="MS Mincho" w:hAnsi="Cambria Math" w:cs="Arial"/>
                <w:i/>
                <w:lang w:eastAsia="en-US"/>
              </w:rPr>
            </m:ctrlPr>
          </m:sSubPr>
          <m:e>
            <m:r>
              <w:rPr>
                <w:rFonts w:ascii="Cambria Math" w:eastAsia="MS Mincho" w:hAnsi="Cambria Math" w:cs="Arial"/>
                <w:lang w:eastAsia="en-US"/>
              </w:rPr>
              <m:t>X</m:t>
            </m:r>
          </m:e>
          <m:sub>
            <m:r>
              <w:rPr>
                <w:rFonts w:ascii="Cambria Math" w:eastAsia="MS Mincho" w:hAnsi="Cambria Math" w:cs="Arial"/>
                <w:lang w:eastAsia="en-US"/>
              </w:rPr>
              <m:t>i</m:t>
            </m:r>
          </m:sub>
        </m:sSub>
        <m:r>
          <w:rPr>
            <w:rFonts w:ascii="Cambria Math" w:eastAsia="MS Mincho" w:hAnsi="Cambria Math" w:cs="Arial"/>
            <w:lang w:eastAsia="en-US"/>
          </w:rPr>
          <m:t>+</m:t>
        </m:r>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3</m:t>
            </m:r>
          </m:sub>
        </m:sSub>
        <m:sSub>
          <m:sSubPr>
            <m:ctrlPr>
              <w:rPr>
                <w:rFonts w:ascii="Cambria Math" w:eastAsia="MS Mincho" w:hAnsi="Cambria Math" w:cs="Arial"/>
                <w:i/>
                <w:lang w:eastAsia="en-US"/>
              </w:rPr>
            </m:ctrlPr>
          </m:sSubPr>
          <m:e>
            <m:r>
              <w:rPr>
                <w:rFonts w:ascii="Cambria Math" w:eastAsia="MS Mincho" w:hAnsi="Cambria Math" w:cs="Arial"/>
                <w:lang w:eastAsia="en-US"/>
              </w:rPr>
              <m:t>Q</m:t>
            </m:r>
          </m:e>
          <m:sub>
            <m:r>
              <w:rPr>
                <w:rFonts w:ascii="Cambria Math" w:eastAsia="MS Mincho" w:hAnsi="Cambria Math" w:cs="Arial"/>
                <w:lang w:eastAsia="en-US"/>
              </w:rPr>
              <m:t>1i</m:t>
            </m:r>
          </m:sub>
        </m:sSub>
        <m:r>
          <w:rPr>
            <w:rFonts w:ascii="Cambria Math" w:eastAsia="MS Mincho" w:hAnsi="Cambria Math" w:cs="Arial"/>
            <w:lang w:eastAsia="en-US"/>
          </w:rPr>
          <m:t>+</m:t>
        </m:r>
        <m:sSub>
          <m:sSubPr>
            <m:ctrlPr>
              <w:rPr>
                <w:rFonts w:ascii="Cambria Math" w:eastAsia="MS Mincho" w:hAnsi="Cambria Math" w:cs="Arial"/>
                <w:i/>
                <w:lang w:eastAsia="en-US"/>
              </w:rPr>
            </m:ctrlPr>
          </m:sSubPr>
          <m:e>
            <m:r>
              <w:rPr>
                <w:rFonts w:ascii="Cambria Math" w:eastAsia="MS Mincho" w:hAnsi="Cambria Math" w:cs="Arial"/>
                <w:lang w:eastAsia="en-US"/>
              </w:rPr>
              <m:t>ε</m:t>
            </m:r>
          </m:e>
          <m:sub>
            <m:r>
              <w:rPr>
                <w:rFonts w:ascii="Cambria Math" w:eastAsia="MS Mincho" w:hAnsi="Cambria Math" w:cs="Arial"/>
                <w:lang w:eastAsia="en-US"/>
              </w:rPr>
              <m:t>i</m:t>
            </m:r>
          </m:sub>
        </m:sSub>
      </m:oMath>
      <w:r w:rsidRPr="0079130D">
        <w:rPr>
          <w:rFonts w:eastAsia="MS Mincho" w:cs="Arial"/>
          <w:lang w:eastAsia="en-US"/>
        </w:rPr>
        <w:t xml:space="preserve"> </w:t>
      </w:r>
    </w:p>
    <w:p w14:paraId="06B47918" w14:textId="77777777" w:rsidR="00EC4CF9" w:rsidRPr="0079130D" w:rsidRDefault="00EC4CF9" w:rsidP="00EC4CF9">
      <w:pPr>
        <w:spacing w:before="0"/>
        <w:ind w:left="2160"/>
        <w:rPr>
          <w:rFonts w:eastAsia="MS Mincho" w:cs="Arial"/>
          <w:lang w:eastAsia="en-US"/>
        </w:rPr>
      </w:pPr>
    </w:p>
    <w:p w14:paraId="06B47919" w14:textId="77777777" w:rsidR="00EC4CF9" w:rsidRPr="0079130D" w:rsidRDefault="00EC4CF9" w:rsidP="00EC4CF9">
      <w:pPr>
        <w:spacing w:before="0"/>
        <w:ind w:left="2160"/>
        <w:rPr>
          <w:rFonts w:eastAsia="MS Mincho" w:cs="Arial"/>
          <w:lang w:eastAsia="en-US"/>
        </w:rPr>
      </w:pPr>
      <w:r w:rsidRPr="0079130D">
        <w:rPr>
          <w:rFonts w:eastAsia="MS Mincho" w:cs="Arial"/>
          <w:lang w:eastAsia="en-US"/>
        </w:rPr>
        <w:lastRenderedPageBreak/>
        <w:t xml:space="preserve">We can reject the restricted model (that the </w:t>
      </w:r>
      <m:oMath>
        <m:r>
          <w:rPr>
            <w:rFonts w:ascii="Cambria Math" w:eastAsia="MS Mincho" w:hAnsi="Cambria Math" w:cs="Arial"/>
            <w:lang w:eastAsia="en-US"/>
          </w:rPr>
          <m:t>β</m:t>
        </m:r>
      </m:oMath>
      <w:r w:rsidRPr="0079130D">
        <w:rPr>
          <w:rFonts w:eastAsia="MS Mincho" w:cs="Arial"/>
          <w:lang w:eastAsia="en-US"/>
        </w:rPr>
        <w:t xml:space="preserve">s for all culture and sports variables (here </w:t>
      </w:r>
      <m:oMath>
        <m:sSub>
          <m:sSubPr>
            <m:ctrlPr>
              <w:rPr>
                <w:rFonts w:ascii="Cambria Math" w:eastAsia="MS Mincho" w:hAnsi="Cambria Math" w:cs="Arial"/>
                <w:i/>
                <w:lang w:eastAsia="en-US"/>
              </w:rPr>
            </m:ctrlPr>
          </m:sSubPr>
          <m:e>
            <m:r>
              <w:rPr>
                <w:rFonts w:ascii="Cambria Math" w:eastAsia="MS Mincho" w:hAnsi="Cambria Math" w:cs="Arial"/>
                <w:lang w:eastAsia="en-US"/>
              </w:rPr>
              <m:t>β</m:t>
            </m:r>
          </m:e>
          <m:sub>
            <m:r>
              <w:rPr>
                <w:rFonts w:ascii="Cambria Math" w:eastAsia="MS Mincho" w:hAnsi="Cambria Math" w:cs="Arial"/>
                <w:lang w:eastAsia="en-US"/>
              </w:rPr>
              <m:t>3</m:t>
            </m:r>
          </m:sub>
        </m:sSub>
      </m:oMath>
      <w:r w:rsidRPr="0079130D">
        <w:rPr>
          <w:rFonts w:eastAsia="MS Mincho" w:cs="Arial"/>
          <w:lang w:eastAsia="en-US"/>
        </w:rPr>
        <w:t>) = 0) at the 1% level (</w:t>
      </w:r>
      <m:oMath>
        <m:sSub>
          <m:sSubPr>
            <m:ctrlPr>
              <w:rPr>
                <w:rFonts w:ascii="Cambria Math" w:eastAsia="MS Mincho" w:hAnsi="Cambria Math" w:cs="Arial"/>
                <w:i/>
                <w:lang w:eastAsia="en-US"/>
              </w:rPr>
            </m:ctrlPr>
          </m:sSubPr>
          <m:e>
            <m:r>
              <w:rPr>
                <w:rFonts w:ascii="Cambria Math" w:eastAsia="MS Mincho" w:hAnsi="Cambria Math" w:cs="Arial"/>
                <w:lang w:eastAsia="en-US"/>
              </w:rPr>
              <m:t>F</m:t>
            </m:r>
          </m:e>
          <m:sub>
            <m:r>
              <w:rPr>
                <w:rFonts w:ascii="Cambria Math" w:eastAsia="MS Mincho" w:hAnsi="Cambria Math" w:cs="Arial"/>
                <w:lang w:eastAsia="en-US"/>
              </w:rPr>
              <m:t>0.01</m:t>
            </m:r>
          </m:sub>
        </m:sSub>
      </m:oMath>
      <w:r w:rsidRPr="0079130D">
        <w:rPr>
          <w:rFonts w:eastAsia="MS Mincho" w:cs="Arial"/>
          <w:lang w:eastAsia="en-US"/>
        </w:rPr>
        <w:t xml:space="preserve">(9, 36504) = 2.41). We also find that the adjusted R-Squared increases in the unrestricted model. This signals that culture and sports help explain the variation in life satisfaction and hence these variables should be a part of the life satisfaction models. </w:t>
      </w:r>
    </w:p>
    <w:p w14:paraId="06B4791A" w14:textId="77777777" w:rsidR="00EC4CF9" w:rsidRPr="0079130D" w:rsidRDefault="00EC4CF9" w:rsidP="00EC4CF9">
      <w:pPr>
        <w:spacing w:before="0"/>
        <w:ind w:left="2160"/>
        <w:rPr>
          <w:rFonts w:eastAsia="MS Mincho" w:cs="Arial"/>
          <w:lang w:eastAsia="en-US"/>
        </w:rPr>
      </w:pPr>
    </w:p>
    <w:p w14:paraId="06B4791B" w14:textId="77777777" w:rsidR="00EC4CF9" w:rsidRPr="0079130D" w:rsidRDefault="00EC4CF9" w:rsidP="00EC4CF9">
      <w:pPr>
        <w:spacing w:before="0"/>
        <w:ind w:left="2160"/>
        <w:rPr>
          <w:rFonts w:eastAsia="MS Mincho" w:cs="Arial"/>
          <w:lang w:eastAsia="en-US"/>
        </w:rPr>
      </w:pPr>
      <w:r w:rsidRPr="0079130D">
        <w:rPr>
          <w:rFonts w:eastAsia="MS Mincho" w:cs="Arial"/>
          <w:lang w:eastAsia="en-US"/>
        </w:rPr>
        <w:t xml:space="preserve">In respect to the validity of inference and hypothesis testing, we checked the variance inflation factors (VIFs) in the models and found that no variable was troublesome - none were over the accepted threshold value of 4 (except for age and age-squared which is to be expected since they are functions of each other) and indeed the VIFs for all the arts and sports variables were around 1 indicating that there is no inflation of the standard errors for these variables. We employ heteroskedasticity-robust standard errors in all models. </w:t>
      </w:r>
    </w:p>
    <w:p w14:paraId="06B4791C" w14:textId="77777777" w:rsidR="00EC4CF9" w:rsidRPr="0079130D" w:rsidRDefault="00EC4CF9" w:rsidP="00EC4CF9">
      <w:pPr>
        <w:spacing w:before="0"/>
        <w:ind w:left="2160"/>
        <w:rPr>
          <w:rFonts w:eastAsia="MS Mincho" w:cs="Arial"/>
          <w:lang w:eastAsia="en-US"/>
        </w:rPr>
      </w:pPr>
    </w:p>
    <w:p w14:paraId="06B4791D" w14:textId="77777777" w:rsidR="00EC4CF9" w:rsidRPr="0079130D" w:rsidRDefault="00EC4CF9" w:rsidP="00EC4CF9">
      <w:pPr>
        <w:spacing w:before="0"/>
        <w:ind w:left="2160"/>
        <w:rPr>
          <w:rFonts w:eastAsia="MS Mincho" w:cs="Arial"/>
          <w:lang w:eastAsia="en-US"/>
        </w:rPr>
      </w:pPr>
    </w:p>
    <w:p w14:paraId="06B4791E" w14:textId="77777777" w:rsidR="00EC4CF9" w:rsidRPr="0079130D" w:rsidRDefault="00B96BC4" w:rsidP="00EC4CF9">
      <w:pPr>
        <w:spacing w:before="0"/>
        <w:ind w:left="2160"/>
        <w:rPr>
          <w:rFonts w:eastAsia="MS Mincho" w:cs="Arial"/>
          <w:b/>
          <w:sz w:val="28"/>
          <w:lang w:eastAsia="en-US"/>
        </w:rPr>
      </w:pPr>
      <w:r w:rsidRPr="0079130D">
        <w:rPr>
          <w:rFonts w:eastAsia="MS Mincho" w:cs="Arial"/>
          <w:b/>
          <w:sz w:val="28"/>
          <w:lang w:eastAsia="en-US"/>
        </w:rPr>
        <w:t>C</w:t>
      </w:r>
      <w:r w:rsidR="00EC4CF9" w:rsidRPr="0079130D">
        <w:rPr>
          <w:rFonts w:eastAsia="MS Mincho" w:cs="Arial"/>
          <w:b/>
          <w:sz w:val="28"/>
          <w:lang w:eastAsia="en-US"/>
        </w:rPr>
        <w:t>.5. Results from the income model</w:t>
      </w:r>
    </w:p>
    <w:p w14:paraId="06B4791F" w14:textId="77777777" w:rsidR="00EC4CF9" w:rsidRPr="0079130D" w:rsidRDefault="00EC4CF9" w:rsidP="00EC4CF9">
      <w:pPr>
        <w:spacing w:before="0"/>
        <w:ind w:left="2160"/>
        <w:rPr>
          <w:rFonts w:eastAsia="MS Mincho" w:cs="Arial"/>
          <w:b/>
          <w:lang w:eastAsia="en-US"/>
        </w:rPr>
      </w:pPr>
    </w:p>
    <w:p w14:paraId="06B47920" w14:textId="77777777" w:rsidR="00EC4CF9" w:rsidRPr="0079130D" w:rsidRDefault="00EC4CF9" w:rsidP="00EC4CF9">
      <w:pPr>
        <w:spacing w:before="0"/>
        <w:ind w:left="2160"/>
        <w:rPr>
          <w:rFonts w:eastAsia="MS Mincho" w:cs="Arial"/>
          <w:b/>
          <w:lang w:eastAsia="en-US"/>
        </w:rPr>
      </w:pPr>
      <w:r w:rsidRPr="0079130D">
        <w:rPr>
          <w:rFonts w:eastAsia="MS Mincho" w:cs="Arial"/>
          <w:b/>
          <w:lang w:eastAsia="en-US"/>
        </w:rPr>
        <w:t>Table 4. 2SLS income model with lottery wins</w:t>
      </w:r>
    </w:p>
    <w:p w14:paraId="06B47921" w14:textId="77777777" w:rsidR="00EC4CF9" w:rsidRPr="0079130D" w:rsidRDefault="00EC4CF9" w:rsidP="00EC4CF9">
      <w:pPr>
        <w:spacing w:before="0"/>
        <w:ind w:left="2160"/>
        <w:rPr>
          <w:rFonts w:eastAsia="MS Mincho" w:cs="Arial"/>
          <w:b/>
          <w:i/>
          <w:u w:val="single"/>
          <w:lang w:eastAsia="en-US"/>
        </w:rPr>
      </w:pPr>
    </w:p>
    <w:p w14:paraId="06B47922" w14:textId="77777777" w:rsidR="00EC4CF9" w:rsidRPr="0079130D" w:rsidRDefault="00EC4CF9" w:rsidP="00EC4CF9">
      <w:pPr>
        <w:spacing w:before="0"/>
        <w:ind w:left="2160"/>
        <w:rPr>
          <w:rFonts w:eastAsia="MS Mincho" w:cs="Arial"/>
          <w:b/>
          <w:i/>
          <w:u w:val="single"/>
          <w:lang w:eastAsia="en-US"/>
        </w:rPr>
      </w:pPr>
      <w:r w:rsidRPr="0079130D">
        <w:rPr>
          <w:rFonts w:eastAsia="MS Mincho" w:cs="Arial"/>
          <w:b/>
          <w:i/>
          <w:u w:val="single"/>
          <w:lang w:eastAsia="en-US"/>
        </w:rPr>
        <w:t>4.a) First stage</w:t>
      </w:r>
    </w:p>
    <w:p w14:paraId="06B47923" w14:textId="77777777" w:rsidR="00EC4CF9" w:rsidRPr="0079130D" w:rsidRDefault="00EC4CF9" w:rsidP="00EC4CF9">
      <w:pPr>
        <w:spacing w:before="0"/>
        <w:ind w:left="2160"/>
        <w:rPr>
          <w:rFonts w:eastAsia="MS Mincho" w:cs="Arial"/>
          <w:b/>
          <w:lang w:eastAsia="en-US"/>
        </w:rPr>
      </w:pPr>
      <w:r w:rsidRPr="0079130D">
        <w:rPr>
          <w:rFonts w:eastAsia="MS Mincho" w:cs="Arial"/>
          <w:i/>
          <w:lang w:eastAsia="en-US"/>
        </w:rPr>
        <w:t>Dependent variable: Log (household income)</w:t>
      </w:r>
    </w:p>
    <w:tbl>
      <w:tblPr>
        <w:tblW w:w="4923" w:type="dxa"/>
        <w:tblInd w:w="2258" w:type="dxa"/>
        <w:tblLook w:val="04A0" w:firstRow="1" w:lastRow="0" w:firstColumn="1" w:lastColumn="0" w:noHBand="0" w:noVBand="1"/>
      </w:tblPr>
      <w:tblGrid>
        <w:gridCol w:w="2620"/>
        <w:gridCol w:w="1340"/>
        <w:gridCol w:w="963"/>
      </w:tblGrid>
      <w:tr w:rsidR="00EC4CF9" w:rsidRPr="00EC4CF9" w14:paraId="06B47927" w14:textId="77777777" w:rsidTr="00EC4CF9">
        <w:trPr>
          <w:trHeight w:val="315"/>
        </w:trPr>
        <w:tc>
          <w:tcPr>
            <w:tcW w:w="2620" w:type="dxa"/>
            <w:tcBorders>
              <w:top w:val="single" w:sz="8" w:space="0" w:color="auto"/>
              <w:left w:val="single" w:sz="8" w:space="0" w:color="auto"/>
              <w:bottom w:val="double" w:sz="6" w:space="0" w:color="auto"/>
              <w:right w:val="nil"/>
            </w:tcBorders>
            <w:shd w:val="clear" w:color="000000" w:fill="0070C0"/>
            <w:noWrap/>
            <w:vAlign w:val="bottom"/>
            <w:hideMark/>
          </w:tcPr>
          <w:p w14:paraId="06B47924" w14:textId="77777777" w:rsidR="00EC4CF9" w:rsidRPr="00EC4CF9" w:rsidRDefault="00EC4CF9" w:rsidP="00EC4CF9">
            <w:pPr>
              <w:spacing w:before="0"/>
              <w:ind w:left="0"/>
              <w:rPr>
                <w:rFonts w:ascii="Calibri" w:hAnsi="Calibri" w:cs="Calibri"/>
                <w:b/>
                <w:bCs/>
                <w:color w:val="FFFFFF"/>
                <w:sz w:val="22"/>
                <w:szCs w:val="22"/>
              </w:rPr>
            </w:pPr>
            <w:r w:rsidRPr="00EC4CF9">
              <w:rPr>
                <w:rFonts w:ascii="Calibri" w:hAnsi="Calibri" w:cs="Calibri"/>
                <w:b/>
                <w:bCs/>
                <w:color w:val="FFFFFF"/>
                <w:sz w:val="22"/>
                <w:szCs w:val="22"/>
              </w:rPr>
              <w:t>Explanatory variable</w:t>
            </w:r>
          </w:p>
        </w:tc>
        <w:tc>
          <w:tcPr>
            <w:tcW w:w="1340"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06B47925" w14:textId="77777777" w:rsidR="00EC4CF9" w:rsidRPr="00EC4CF9" w:rsidRDefault="00EC4CF9" w:rsidP="00EC4CF9">
            <w:pPr>
              <w:spacing w:before="0"/>
              <w:ind w:left="0"/>
              <w:jc w:val="center"/>
              <w:rPr>
                <w:rFonts w:ascii="Calibri" w:hAnsi="Calibri" w:cs="Calibri"/>
                <w:b/>
                <w:bCs/>
                <w:color w:val="FFFFFF"/>
                <w:sz w:val="22"/>
                <w:szCs w:val="22"/>
              </w:rPr>
            </w:pPr>
            <w:r w:rsidRPr="00EC4CF9">
              <w:rPr>
                <w:rFonts w:ascii="Calibri" w:hAnsi="Calibri" w:cs="Calibri"/>
                <w:b/>
                <w:bCs/>
                <w:color w:val="FFFFFF"/>
                <w:sz w:val="22"/>
                <w:szCs w:val="22"/>
              </w:rPr>
              <w:t>Coefficient</w:t>
            </w:r>
          </w:p>
        </w:tc>
        <w:tc>
          <w:tcPr>
            <w:tcW w:w="963" w:type="dxa"/>
            <w:tcBorders>
              <w:top w:val="single" w:sz="8" w:space="0" w:color="auto"/>
              <w:left w:val="nil"/>
              <w:bottom w:val="double" w:sz="6" w:space="0" w:color="auto"/>
              <w:right w:val="single" w:sz="8" w:space="0" w:color="auto"/>
            </w:tcBorders>
            <w:shd w:val="clear" w:color="000000" w:fill="0070C0"/>
            <w:noWrap/>
            <w:vAlign w:val="bottom"/>
            <w:hideMark/>
          </w:tcPr>
          <w:p w14:paraId="06B47926" w14:textId="77777777" w:rsidR="00EC4CF9" w:rsidRPr="00EC4CF9" w:rsidRDefault="00EC4CF9" w:rsidP="00EC4CF9">
            <w:pPr>
              <w:spacing w:before="0"/>
              <w:ind w:left="0"/>
              <w:jc w:val="center"/>
              <w:rPr>
                <w:rFonts w:ascii="Calibri" w:hAnsi="Calibri" w:cs="Calibri"/>
                <w:b/>
                <w:bCs/>
                <w:color w:val="FFFFFF"/>
                <w:sz w:val="22"/>
                <w:szCs w:val="22"/>
              </w:rPr>
            </w:pPr>
            <w:r w:rsidRPr="00EC4CF9">
              <w:rPr>
                <w:rFonts w:ascii="Calibri" w:hAnsi="Calibri" w:cs="Calibri"/>
                <w:b/>
                <w:bCs/>
                <w:color w:val="FFFFFF"/>
                <w:sz w:val="22"/>
                <w:szCs w:val="22"/>
              </w:rPr>
              <w:t>SE</w:t>
            </w:r>
          </w:p>
        </w:tc>
      </w:tr>
      <w:tr w:rsidR="00EC4CF9" w:rsidRPr="00EC4CF9" w14:paraId="06B4792B" w14:textId="77777777" w:rsidTr="00EC4CF9">
        <w:trPr>
          <w:trHeight w:val="315"/>
        </w:trPr>
        <w:tc>
          <w:tcPr>
            <w:tcW w:w="2620" w:type="dxa"/>
            <w:tcBorders>
              <w:top w:val="nil"/>
              <w:left w:val="single" w:sz="8" w:space="0" w:color="auto"/>
              <w:bottom w:val="nil"/>
              <w:right w:val="nil"/>
            </w:tcBorders>
            <w:shd w:val="clear" w:color="auto" w:fill="auto"/>
            <w:noWrap/>
            <w:vAlign w:val="bottom"/>
            <w:hideMark/>
          </w:tcPr>
          <w:p w14:paraId="06B47928"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male</w:t>
            </w:r>
          </w:p>
        </w:tc>
        <w:tc>
          <w:tcPr>
            <w:tcW w:w="1340" w:type="dxa"/>
            <w:tcBorders>
              <w:top w:val="nil"/>
              <w:left w:val="single" w:sz="4" w:space="0" w:color="auto"/>
              <w:bottom w:val="nil"/>
              <w:right w:val="single" w:sz="4" w:space="0" w:color="auto"/>
            </w:tcBorders>
            <w:shd w:val="clear" w:color="auto" w:fill="auto"/>
            <w:noWrap/>
            <w:vAlign w:val="bottom"/>
            <w:hideMark/>
          </w:tcPr>
          <w:p w14:paraId="06B47929"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0.043***</w:t>
            </w:r>
          </w:p>
        </w:tc>
        <w:tc>
          <w:tcPr>
            <w:tcW w:w="963" w:type="dxa"/>
            <w:tcBorders>
              <w:top w:val="nil"/>
              <w:left w:val="nil"/>
              <w:bottom w:val="nil"/>
              <w:right w:val="single" w:sz="8" w:space="0" w:color="auto"/>
            </w:tcBorders>
            <w:shd w:val="clear" w:color="auto" w:fill="auto"/>
            <w:noWrap/>
            <w:vAlign w:val="bottom"/>
            <w:hideMark/>
          </w:tcPr>
          <w:p w14:paraId="06B4792A"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(0.013)</w:t>
            </w:r>
          </w:p>
        </w:tc>
      </w:tr>
      <w:tr w:rsidR="00EC4CF9" w:rsidRPr="00EC4CF9" w14:paraId="06B4792F" w14:textId="77777777" w:rsidTr="00EC4CF9">
        <w:trPr>
          <w:trHeight w:val="300"/>
        </w:trPr>
        <w:tc>
          <w:tcPr>
            <w:tcW w:w="2620" w:type="dxa"/>
            <w:tcBorders>
              <w:top w:val="nil"/>
              <w:left w:val="single" w:sz="8" w:space="0" w:color="auto"/>
              <w:bottom w:val="nil"/>
              <w:right w:val="nil"/>
            </w:tcBorders>
            <w:shd w:val="clear" w:color="auto" w:fill="auto"/>
            <w:noWrap/>
            <w:vAlign w:val="bottom"/>
            <w:hideMark/>
          </w:tcPr>
          <w:p w14:paraId="06B4792C"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health status</w:t>
            </w:r>
          </w:p>
        </w:tc>
        <w:tc>
          <w:tcPr>
            <w:tcW w:w="1340" w:type="dxa"/>
            <w:tcBorders>
              <w:top w:val="nil"/>
              <w:left w:val="single" w:sz="4" w:space="0" w:color="auto"/>
              <w:bottom w:val="nil"/>
              <w:right w:val="single" w:sz="4" w:space="0" w:color="auto"/>
            </w:tcBorders>
            <w:shd w:val="clear" w:color="auto" w:fill="auto"/>
            <w:noWrap/>
            <w:vAlign w:val="bottom"/>
            <w:hideMark/>
          </w:tcPr>
          <w:p w14:paraId="06B4792D"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0.077***</w:t>
            </w:r>
          </w:p>
        </w:tc>
        <w:tc>
          <w:tcPr>
            <w:tcW w:w="963" w:type="dxa"/>
            <w:tcBorders>
              <w:top w:val="nil"/>
              <w:left w:val="nil"/>
              <w:bottom w:val="nil"/>
              <w:right w:val="single" w:sz="8" w:space="0" w:color="auto"/>
            </w:tcBorders>
            <w:shd w:val="clear" w:color="auto" w:fill="auto"/>
            <w:noWrap/>
            <w:vAlign w:val="bottom"/>
            <w:hideMark/>
          </w:tcPr>
          <w:p w14:paraId="06B4792E"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(0.007)</w:t>
            </w:r>
          </w:p>
        </w:tc>
      </w:tr>
      <w:tr w:rsidR="00EC4CF9" w:rsidRPr="00EC4CF9" w14:paraId="06B47933" w14:textId="77777777" w:rsidTr="00EC4CF9">
        <w:trPr>
          <w:trHeight w:val="300"/>
        </w:trPr>
        <w:tc>
          <w:tcPr>
            <w:tcW w:w="2620" w:type="dxa"/>
            <w:tcBorders>
              <w:top w:val="nil"/>
              <w:left w:val="single" w:sz="8" w:space="0" w:color="auto"/>
              <w:bottom w:val="nil"/>
              <w:right w:val="nil"/>
            </w:tcBorders>
            <w:shd w:val="clear" w:color="auto" w:fill="auto"/>
            <w:noWrap/>
            <w:vAlign w:val="bottom"/>
            <w:hideMark/>
          </w:tcPr>
          <w:p w14:paraId="06B47930"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low education</w:t>
            </w:r>
          </w:p>
        </w:tc>
        <w:tc>
          <w:tcPr>
            <w:tcW w:w="1340" w:type="dxa"/>
            <w:tcBorders>
              <w:top w:val="nil"/>
              <w:left w:val="single" w:sz="4" w:space="0" w:color="auto"/>
              <w:bottom w:val="nil"/>
              <w:right w:val="single" w:sz="4" w:space="0" w:color="auto"/>
            </w:tcBorders>
            <w:shd w:val="clear" w:color="auto" w:fill="auto"/>
            <w:noWrap/>
            <w:vAlign w:val="bottom"/>
            <w:hideMark/>
          </w:tcPr>
          <w:p w14:paraId="06B47931"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-0.288***</w:t>
            </w:r>
          </w:p>
        </w:tc>
        <w:tc>
          <w:tcPr>
            <w:tcW w:w="963" w:type="dxa"/>
            <w:tcBorders>
              <w:top w:val="nil"/>
              <w:left w:val="nil"/>
              <w:bottom w:val="nil"/>
              <w:right w:val="single" w:sz="8" w:space="0" w:color="auto"/>
            </w:tcBorders>
            <w:shd w:val="clear" w:color="auto" w:fill="auto"/>
            <w:noWrap/>
            <w:vAlign w:val="bottom"/>
            <w:hideMark/>
          </w:tcPr>
          <w:p w14:paraId="06B47932"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(0.013)</w:t>
            </w:r>
          </w:p>
        </w:tc>
      </w:tr>
      <w:tr w:rsidR="00EC4CF9" w:rsidRPr="00EC4CF9" w14:paraId="06B47937" w14:textId="77777777" w:rsidTr="00EC4CF9">
        <w:trPr>
          <w:trHeight w:val="300"/>
        </w:trPr>
        <w:tc>
          <w:tcPr>
            <w:tcW w:w="2620" w:type="dxa"/>
            <w:tcBorders>
              <w:top w:val="nil"/>
              <w:left w:val="single" w:sz="8" w:space="0" w:color="auto"/>
              <w:bottom w:val="nil"/>
              <w:right w:val="nil"/>
            </w:tcBorders>
            <w:shd w:val="clear" w:color="auto" w:fill="auto"/>
            <w:noWrap/>
            <w:vAlign w:val="bottom"/>
            <w:hideMark/>
          </w:tcPr>
          <w:p w14:paraId="06B47934"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age</w:t>
            </w:r>
          </w:p>
        </w:tc>
        <w:tc>
          <w:tcPr>
            <w:tcW w:w="1340" w:type="dxa"/>
            <w:tcBorders>
              <w:top w:val="nil"/>
              <w:left w:val="single" w:sz="4" w:space="0" w:color="auto"/>
              <w:bottom w:val="nil"/>
              <w:right w:val="single" w:sz="4" w:space="0" w:color="auto"/>
            </w:tcBorders>
            <w:shd w:val="clear" w:color="auto" w:fill="auto"/>
            <w:noWrap/>
            <w:vAlign w:val="bottom"/>
            <w:hideMark/>
          </w:tcPr>
          <w:p w14:paraId="06B47935"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-0.002***</w:t>
            </w:r>
          </w:p>
        </w:tc>
        <w:tc>
          <w:tcPr>
            <w:tcW w:w="963" w:type="dxa"/>
            <w:tcBorders>
              <w:top w:val="nil"/>
              <w:left w:val="nil"/>
              <w:bottom w:val="nil"/>
              <w:right w:val="single" w:sz="8" w:space="0" w:color="auto"/>
            </w:tcBorders>
            <w:shd w:val="clear" w:color="auto" w:fill="auto"/>
            <w:noWrap/>
            <w:vAlign w:val="bottom"/>
            <w:hideMark/>
          </w:tcPr>
          <w:p w14:paraId="06B47936"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(0.0003)</w:t>
            </w:r>
          </w:p>
        </w:tc>
      </w:tr>
      <w:tr w:rsidR="00EC4CF9" w:rsidRPr="00EC4CF9" w14:paraId="06B4793B" w14:textId="77777777" w:rsidTr="00EC4CF9">
        <w:trPr>
          <w:trHeight w:val="300"/>
        </w:trPr>
        <w:tc>
          <w:tcPr>
            <w:tcW w:w="2620" w:type="dxa"/>
            <w:tcBorders>
              <w:top w:val="nil"/>
              <w:left w:val="single" w:sz="8" w:space="0" w:color="auto"/>
              <w:bottom w:val="nil"/>
              <w:right w:val="nil"/>
            </w:tcBorders>
            <w:shd w:val="clear" w:color="auto" w:fill="auto"/>
            <w:noWrap/>
            <w:vAlign w:val="bottom"/>
            <w:hideMark/>
          </w:tcPr>
          <w:p w14:paraId="06B47938"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lottery win</w:t>
            </w:r>
          </w:p>
        </w:tc>
        <w:tc>
          <w:tcPr>
            <w:tcW w:w="1340" w:type="dxa"/>
            <w:tcBorders>
              <w:top w:val="nil"/>
              <w:left w:val="single" w:sz="4" w:space="0" w:color="auto"/>
              <w:bottom w:val="nil"/>
              <w:right w:val="single" w:sz="4" w:space="0" w:color="auto"/>
            </w:tcBorders>
            <w:shd w:val="clear" w:color="auto" w:fill="auto"/>
            <w:noWrap/>
            <w:vAlign w:val="bottom"/>
            <w:hideMark/>
          </w:tcPr>
          <w:p w14:paraId="06B47939"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0.068***</w:t>
            </w:r>
          </w:p>
        </w:tc>
        <w:tc>
          <w:tcPr>
            <w:tcW w:w="963" w:type="dxa"/>
            <w:tcBorders>
              <w:top w:val="nil"/>
              <w:left w:val="nil"/>
              <w:bottom w:val="nil"/>
              <w:right w:val="single" w:sz="8" w:space="0" w:color="auto"/>
            </w:tcBorders>
            <w:shd w:val="clear" w:color="auto" w:fill="auto"/>
            <w:noWrap/>
            <w:vAlign w:val="bottom"/>
            <w:hideMark/>
          </w:tcPr>
          <w:p w14:paraId="06B4793A"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(0.019)</w:t>
            </w:r>
          </w:p>
        </w:tc>
      </w:tr>
      <w:tr w:rsidR="00EC4CF9" w:rsidRPr="00EC4CF9" w14:paraId="06B4793F" w14:textId="77777777" w:rsidTr="00EC4CF9">
        <w:trPr>
          <w:trHeight w:val="300"/>
        </w:trPr>
        <w:tc>
          <w:tcPr>
            <w:tcW w:w="2620" w:type="dxa"/>
            <w:tcBorders>
              <w:top w:val="nil"/>
              <w:left w:val="single" w:sz="8" w:space="0" w:color="auto"/>
              <w:bottom w:val="single" w:sz="4" w:space="0" w:color="auto"/>
              <w:right w:val="nil"/>
            </w:tcBorders>
            <w:shd w:val="clear" w:color="auto" w:fill="auto"/>
            <w:noWrap/>
            <w:vAlign w:val="bottom"/>
            <w:hideMark/>
          </w:tcPr>
          <w:p w14:paraId="06B4793C"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constant</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6B4793D"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9.969***</w:t>
            </w:r>
          </w:p>
        </w:tc>
        <w:tc>
          <w:tcPr>
            <w:tcW w:w="963" w:type="dxa"/>
            <w:tcBorders>
              <w:top w:val="nil"/>
              <w:left w:val="nil"/>
              <w:bottom w:val="single" w:sz="4" w:space="0" w:color="auto"/>
              <w:right w:val="single" w:sz="8" w:space="0" w:color="auto"/>
            </w:tcBorders>
            <w:shd w:val="clear" w:color="auto" w:fill="auto"/>
            <w:noWrap/>
            <w:vAlign w:val="bottom"/>
            <w:hideMark/>
          </w:tcPr>
          <w:p w14:paraId="06B4793E"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(0.035)</w:t>
            </w:r>
          </w:p>
        </w:tc>
      </w:tr>
      <w:tr w:rsidR="00EC4CF9" w:rsidRPr="00EC4CF9" w14:paraId="06B47943" w14:textId="77777777" w:rsidTr="00EC4CF9">
        <w:trPr>
          <w:trHeight w:val="315"/>
        </w:trPr>
        <w:tc>
          <w:tcPr>
            <w:tcW w:w="2620" w:type="dxa"/>
            <w:tcBorders>
              <w:top w:val="nil"/>
              <w:left w:val="single" w:sz="8" w:space="0" w:color="auto"/>
              <w:bottom w:val="single" w:sz="8" w:space="0" w:color="auto"/>
              <w:right w:val="nil"/>
            </w:tcBorders>
            <w:shd w:val="clear" w:color="auto" w:fill="auto"/>
            <w:noWrap/>
            <w:vAlign w:val="bottom"/>
            <w:hideMark/>
          </w:tcPr>
          <w:p w14:paraId="06B47940"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Sample size</w:t>
            </w:r>
          </w:p>
        </w:tc>
        <w:tc>
          <w:tcPr>
            <w:tcW w:w="1340" w:type="dxa"/>
            <w:tcBorders>
              <w:top w:val="nil"/>
              <w:left w:val="single" w:sz="4" w:space="0" w:color="auto"/>
              <w:bottom w:val="single" w:sz="8" w:space="0" w:color="auto"/>
              <w:right w:val="single" w:sz="4" w:space="0" w:color="auto"/>
            </w:tcBorders>
            <w:shd w:val="clear" w:color="auto" w:fill="auto"/>
            <w:noWrap/>
            <w:vAlign w:val="bottom"/>
            <w:hideMark/>
          </w:tcPr>
          <w:p w14:paraId="06B47941"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10334</w:t>
            </w:r>
          </w:p>
        </w:tc>
        <w:tc>
          <w:tcPr>
            <w:tcW w:w="963" w:type="dxa"/>
            <w:tcBorders>
              <w:top w:val="nil"/>
              <w:left w:val="nil"/>
              <w:bottom w:val="single" w:sz="8" w:space="0" w:color="auto"/>
              <w:right w:val="single" w:sz="8" w:space="0" w:color="auto"/>
            </w:tcBorders>
            <w:shd w:val="clear" w:color="auto" w:fill="auto"/>
            <w:noWrap/>
            <w:vAlign w:val="bottom"/>
            <w:hideMark/>
          </w:tcPr>
          <w:p w14:paraId="06B47942"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 </w:t>
            </w:r>
          </w:p>
        </w:tc>
      </w:tr>
    </w:tbl>
    <w:p w14:paraId="06B47944" w14:textId="77777777" w:rsidR="00EC4CF9" w:rsidRPr="00EC4CF9" w:rsidRDefault="00EC4CF9" w:rsidP="00EC4CF9">
      <w:pPr>
        <w:spacing w:before="0"/>
        <w:ind w:left="2160"/>
        <w:rPr>
          <w:rFonts w:ascii="Calibri" w:eastAsia="MS Mincho" w:hAnsi="Calibri" w:cs="Calibri"/>
          <w:b/>
          <w:lang w:eastAsia="en-US"/>
        </w:rPr>
      </w:pPr>
      <w:r w:rsidRPr="00EC4CF9">
        <w:rPr>
          <w:rFonts w:ascii="Calibri" w:hAnsi="Calibri" w:cs="Calibri"/>
          <w:sz w:val="18"/>
          <w:szCs w:val="18"/>
        </w:rPr>
        <w:t xml:space="preserve">Notes: *** 0.01 significance level, ** 0.05 significance level, * 0.10 significance level. S.E. = Standard errors (in parentheses).  </w:t>
      </w:r>
    </w:p>
    <w:p w14:paraId="06B47945" w14:textId="77777777" w:rsidR="00EC4CF9" w:rsidRPr="00EC4CF9" w:rsidRDefault="00EC4CF9" w:rsidP="00EC4CF9">
      <w:pPr>
        <w:spacing w:before="0"/>
        <w:ind w:left="2160"/>
        <w:rPr>
          <w:rFonts w:ascii="Calibri" w:hAnsi="Calibri" w:cs="Calibri"/>
          <w:sz w:val="18"/>
          <w:szCs w:val="18"/>
        </w:rPr>
      </w:pPr>
    </w:p>
    <w:p w14:paraId="06B47946" w14:textId="77777777" w:rsidR="00EC4CF9" w:rsidRPr="0079130D" w:rsidRDefault="00EC4CF9" w:rsidP="00EC4CF9">
      <w:pPr>
        <w:spacing w:before="0"/>
        <w:ind w:left="2160"/>
        <w:rPr>
          <w:rFonts w:eastAsia="MS Mincho" w:cs="Arial"/>
          <w:b/>
          <w:i/>
          <w:u w:val="single"/>
          <w:lang w:eastAsia="en-US"/>
        </w:rPr>
      </w:pPr>
      <w:r w:rsidRPr="0079130D">
        <w:rPr>
          <w:rFonts w:eastAsia="MS Mincho" w:cs="Arial"/>
          <w:b/>
          <w:i/>
          <w:u w:val="single"/>
          <w:lang w:eastAsia="en-US"/>
        </w:rPr>
        <w:t>4.b) Second stage</w:t>
      </w:r>
    </w:p>
    <w:p w14:paraId="06B47947" w14:textId="77777777" w:rsidR="00EC4CF9" w:rsidRPr="0079130D" w:rsidRDefault="00EC4CF9" w:rsidP="00EC4CF9">
      <w:pPr>
        <w:spacing w:before="0"/>
        <w:ind w:left="2160"/>
        <w:rPr>
          <w:rFonts w:eastAsia="MS Mincho" w:cs="Arial"/>
          <w:i/>
          <w:lang w:eastAsia="en-US"/>
        </w:rPr>
      </w:pPr>
      <w:r w:rsidRPr="0079130D">
        <w:rPr>
          <w:rFonts w:eastAsia="MS Mincho" w:cs="Arial"/>
          <w:i/>
          <w:lang w:eastAsia="en-US"/>
        </w:rPr>
        <w:t>Dependent variable: Life satisfaction (1-7)</w:t>
      </w:r>
    </w:p>
    <w:tbl>
      <w:tblPr>
        <w:tblW w:w="4920" w:type="dxa"/>
        <w:tblInd w:w="2258" w:type="dxa"/>
        <w:tblLook w:val="04A0" w:firstRow="1" w:lastRow="0" w:firstColumn="1" w:lastColumn="0" w:noHBand="0" w:noVBand="1"/>
      </w:tblPr>
      <w:tblGrid>
        <w:gridCol w:w="2620"/>
        <w:gridCol w:w="1340"/>
        <w:gridCol w:w="960"/>
      </w:tblGrid>
      <w:tr w:rsidR="00EC4CF9" w:rsidRPr="00EC4CF9" w14:paraId="06B4794B" w14:textId="77777777" w:rsidTr="00EC4CF9">
        <w:trPr>
          <w:trHeight w:val="315"/>
        </w:trPr>
        <w:tc>
          <w:tcPr>
            <w:tcW w:w="2620" w:type="dxa"/>
            <w:tcBorders>
              <w:top w:val="single" w:sz="8" w:space="0" w:color="auto"/>
              <w:left w:val="single" w:sz="8" w:space="0" w:color="auto"/>
              <w:bottom w:val="double" w:sz="6" w:space="0" w:color="auto"/>
              <w:right w:val="nil"/>
            </w:tcBorders>
            <w:shd w:val="clear" w:color="000000" w:fill="0070C0"/>
            <w:noWrap/>
            <w:vAlign w:val="bottom"/>
            <w:hideMark/>
          </w:tcPr>
          <w:p w14:paraId="06B47948" w14:textId="77777777" w:rsidR="00EC4CF9" w:rsidRPr="00EC4CF9" w:rsidRDefault="00EC4CF9" w:rsidP="00EC4CF9">
            <w:pPr>
              <w:spacing w:before="0"/>
              <w:ind w:left="0"/>
              <w:rPr>
                <w:rFonts w:ascii="Calibri" w:hAnsi="Calibri" w:cs="Calibri"/>
                <w:b/>
                <w:bCs/>
                <w:color w:val="FFFFFF"/>
                <w:sz w:val="22"/>
                <w:szCs w:val="22"/>
              </w:rPr>
            </w:pPr>
            <w:r w:rsidRPr="00EC4CF9">
              <w:rPr>
                <w:rFonts w:ascii="Calibri" w:hAnsi="Calibri" w:cs="Calibri"/>
                <w:b/>
                <w:bCs/>
                <w:color w:val="FFFFFF"/>
                <w:sz w:val="22"/>
                <w:szCs w:val="22"/>
              </w:rPr>
              <w:t>Explanatory variable</w:t>
            </w:r>
          </w:p>
        </w:tc>
        <w:tc>
          <w:tcPr>
            <w:tcW w:w="1340"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06B47949" w14:textId="77777777" w:rsidR="00EC4CF9" w:rsidRPr="00EC4CF9" w:rsidRDefault="00EC4CF9" w:rsidP="00EC4CF9">
            <w:pPr>
              <w:spacing w:before="0"/>
              <w:ind w:left="0"/>
              <w:jc w:val="center"/>
              <w:rPr>
                <w:rFonts w:ascii="Calibri" w:hAnsi="Calibri" w:cs="Calibri"/>
                <w:b/>
                <w:bCs/>
                <w:color w:val="FFFFFF"/>
                <w:sz w:val="22"/>
                <w:szCs w:val="22"/>
              </w:rPr>
            </w:pPr>
            <w:r w:rsidRPr="00EC4CF9">
              <w:rPr>
                <w:rFonts w:ascii="Calibri" w:hAnsi="Calibri" w:cs="Calibri"/>
                <w:b/>
                <w:bCs/>
                <w:color w:val="FFFFFF"/>
                <w:sz w:val="22"/>
                <w:szCs w:val="22"/>
              </w:rPr>
              <w:t>Coefficient</w:t>
            </w:r>
          </w:p>
        </w:tc>
        <w:tc>
          <w:tcPr>
            <w:tcW w:w="960" w:type="dxa"/>
            <w:tcBorders>
              <w:top w:val="single" w:sz="8" w:space="0" w:color="auto"/>
              <w:left w:val="nil"/>
              <w:bottom w:val="double" w:sz="6" w:space="0" w:color="auto"/>
              <w:right w:val="single" w:sz="8" w:space="0" w:color="auto"/>
            </w:tcBorders>
            <w:shd w:val="clear" w:color="000000" w:fill="0070C0"/>
            <w:noWrap/>
            <w:vAlign w:val="bottom"/>
            <w:hideMark/>
          </w:tcPr>
          <w:p w14:paraId="06B4794A" w14:textId="77777777" w:rsidR="00EC4CF9" w:rsidRPr="00EC4CF9" w:rsidRDefault="00EC4CF9" w:rsidP="00EC4CF9">
            <w:pPr>
              <w:spacing w:before="0"/>
              <w:ind w:left="0"/>
              <w:jc w:val="center"/>
              <w:rPr>
                <w:rFonts w:ascii="Calibri" w:hAnsi="Calibri" w:cs="Calibri"/>
                <w:b/>
                <w:bCs/>
                <w:color w:val="FFFFFF"/>
                <w:sz w:val="22"/>
                <w:szCs w:val="22"/>
              </w:rPr>
            </w:pPr>
            <w:r w:rsidRPr="00EC4CF9">
              <w:rPr>
                <w:rFonts w:ascii="Calibri" w:hAnsi="Calibri" w:cs="Calibri"/>
                <w:b/>
                <w:bCs/>
                <w:color w:val="FFFFFF"/>
                <w:sz w:val="22"/>
                <w:szCs w:val="22"/>
              </w:rPr>
              <w:t>SE</w:t>
            </w:r>
          </w:p>
        </w:tc>
      </w:tr>
      <w:tr w:rsidR="00EC4CF9" w:rsidRPr="00EC4CF9" w14:paraId="06B4794F" w14:textId="77777777" w:rsidTr="00EC4CF9">
        <w:trPr>
          <w:trHeight w:val="315"/>
        </w:trPr>
        <w:tc>
          <w:tcPr>
            <w:tcW w:w="2620" w:type="dxa"/>
            <w:tcBorders>
              <w:top w:val="nil"/>
              <w:left w:val="single" w:sz="8" w:space="0" w:color="auto"/>
              <w:bottom w:val="nil"/>
              <w:right w:val="nil"/>
            </w:tcBorders>
            <w:shd w:val="clear" w:color="auto" w:fill="auto"/>
            <w:noWrap/>
            <w:vAlign w:val="bottom"/>
            <w:hideMark/>
          </w:tcPr>
          <w:p w14:paraId="06B4794C" w14:textId="77777777" w:rsidR="00EC4CF9" w:rsidRPr="00EC4CF9" w:rsidRDefault="00EC4CF9" w:rsidP="00EC4CF9">
            <w:pPr>
              <w:spacing w:before="0"/>
              <w:ind w:left="0"/>
              <w:rPr>
                <w:rFonts w:ascii="Calibri" w:hAnsi="Calibri" w:cs="Calibri"/>
                <w:b/>
                <w:color w:val="000000"/>
                <w:sz w:val="22"/>
                <w:szCs w:val="22"/>
              </w:rPr>
            </w:pPr>
            <w:r w:rsidRPr="00EC4CF9">
              <w:rPr>
                <w:rFonts w:ascii="Calibri" w:hAnsi="Calibri" w:cs="Calibri"/>
                <w:b/>
                <w:color w:val="000000"/>
                <w:sz w:val="22"/>
                <w:szCs w:val="22"/>
              </w:rPr>
              <w:t>log (household income)</w:t>
            </w:r>
          </w:p>
        </w:tc>
        <w:tc>
          <w:tcPr>
            <w:tcW w:w="1340" w:type="dxa"/>
            <w:tcBorders>
              <w:top w:val="nil"/>
              <w:left w:val="single" w:sz="4" w:space="0" w:color="auto"/>
              <w:bottom w:val="nil"/>
              <w:right w:val="single" w:sz="4" w:space="0" w:color="auto"/>
            </w:tcBorders>
            <w:shd w:val="clear" w:color="auto" w:fill="auto"/>
            <w:noWrap/>
            <w:vAlign w:val="bottom"/>
            <w:hideMark/>
          </w:tcPr>
          <w:p w14:paraId="06B4794D" w14:textId="77777777" w:rsidR="00EC4CF9" w:rsidRPr="00EC4CF9" w:rsidRDefault="00EC4CF9" w:rsidP="00EC4CF9">
            <w:pPr>
              <w:spacing w:before="0"/>
              <w:ind w:left="0"/>
              <w:rPr>
                <w:rFonts w:ascii="Calibri" w:hAnsi="Calibri" w:cs="Calibri"/>
                <w:b/>
                <w:color w:val="000000"/>
                <w:sz w:val="22"/>
                <w:szCs w:val="22"/>
              </w:rPr>
            </w:pPr>
            <w:r w:rsidRPr="00EC4CF9">
              <w:rPr>
                <w:rFonts w:ascii="Calibri" w:hAnsi="Calibri" w:cs="Calibri"/>
                <w:b/>
                <w:color w:val="000000"/>
                <w:sz w:val="22"/>
                <w:szCs w:val="22"/>
              </w:rPr>
              <w:t>1.158**</w:t>
            </w:r>
          </w:p>
        </w:tc>
        <w:tc>
          <w:tcPr>
            <w:tcW w:w="960" w:type="dxa"/>
            <w:tcBorders>
              <w:top w:val="nil"/>
              <w:left w:val="nil"/>
              <w:bottom w:val="nil"/>
              <w:right w:val="single" w:sz="8" w:space="0" w:color="auto"/>
            </w:tcBorders>
            <w:shd w:val="clear" w:color="auto" w:fill="auto"/>
            <w:noWrap/>
            <w:vAlign w:val="bottom"/>
            <w:hideMark/>
          </w:tcPr>
          <w:p w14:paraId="06B4794E" w14:textId="77777777" w:rsidR="00EC4CF9" w:rsidRPr="00EC4CF9" w:rsidRDefault="00EC4CF9" w:rsidP="00EC4CF9">
            <w:pPr>
              <w:spacing w:before="0"/>
              <w:ind w:left="0"/>
              <w:jc w:val="center"/>
              <w:rPr>
                <w:rFonts w:ascii="Calibri" w:hAnsi="Calibri" w:cs="Calibri"/>
                <w:b/>
                <w:color w:val="000000"/>
                <w:sz w:val="22"/>
                <w:szCs w:val="22"/>
              </w:rPr>
            </w:pPr>
            <w:r w:rsidRPr="00EC4CF9">
              <w:rPr>
                <w:rFonts w:ascii="Calibri" w:hAnsi="Calibri" w:cs="Calibri"/>
                <w:b/>
                <w:color w:val="000000"/>
                <w:sz w:val="22"/>
                <w:szCs w:val="22"/>
              </w:rPr>
              <w:t>(0.551)</w:t>
            </w:r>
          </w:p>
        </w:tc>
      </w:tr>
      <w:tr w:rsidR="00EC4CF9" w:rsidRPr="00EC4CF9" w14:paraId="06B47953" w14:textId="77777777" w:rsidTr="00EC4CF9">
        <w:trPr>
          <w:trHeight w:val="300"/>
        </w:trPr>
        <w:tc>
          <w:tcPr>
            <w:tcW w:w="2620" w:type="dxa"/>
            <w:tcBorders>
              <w:top w:val="nil"/>
              <w:left w:val="single" w:sz="8" w:space="0" w:color="auto"/>
              <w:bottom w:val="nil"/>
              <w:right w:val="nil"/>
            </w:tcBorders>
            <w:shd w:val="clear" w:color="auto" w:fill="auto"/>
            <w:noWrap/>
            <w:vAlign w:val="bottom"/>
            <w:hideMark/>
          </w:tcPr>
          <w:p w14:paraId="06B47950"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male</w:t>
            </w:r>
          </w:p>
        </w:tc>
        <w:tc>
          <w:tcPr>
            <w:tcW w:w="1340" w:type="dxa"/>
            <w:tcBorders>
              <w:top w:val="nil"/>
              <w:left w:val="single" w:sz="4" w:space="0" w:color="auto"/>
              <w:bottom w:val="nil"/>
              <w:right w:val="single" w:sz="4" w:space="0" w:color="auto"/>
            </w:tcBorders>
            <w:shd w:val="clear" w:color="auto" w:fill="auto"/>
            <w:noWrap/>
            <w:vAlign w:val="bottom"/>
            <w:hideMark/>
          </w:tcPr>
          <w:p w14:paraId="06B47951"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-0.099***</w:t>
            </w:r>
          </w:p>
        </w:tc>
        <w:tc>
          <w:tcPr>
            <w:tcW w:w="960" w:type="dxa"/>
            <w:tcBorders>
              <w:top w:val="nil"/>
              <w:left w:val="nil"/>
              <w:bottom w:val="nil"/>
              <w:right w:val="single" w:sz="8" w:space="0" w:color="auto"/>
            </w:tcBorders>
            <w:shd w:val="clear" w:color="auto" w:fill="auto"/>
            <w:noWrap/>
            <w:vAlign w:val="bottom"/>
            <w:hideMark/>
          </w:tcPr>
          <w:p w14:paraId="06B47952"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(0.036)</w:t>
            </w:r>
          </w:p>
        </w:tc>
      </w:tr>
      <w:tr w:rsidR="00EC4CF9" w:rsidRPr="00EC4CF9" w14:paraId="06B47957" w14:textId="77777777" w:rsidTr="00EC4CF9">
        <w:trPr>
          <w:trHeight w:val="300"/>
        </w:trPr>
        <w:tc>
          <w:tcPr>
            <w:tcW w:w="2620" w:type="dxa"/>
            <w:tcBorders>
              <w:top w:val="nil"/>
              <w:left w:val="single" w:sz="8" w:space="0" w:color="auto"/>
              <w:bottom w:val="nil"/>
              <w:right w:val="nil"/>
            </w:tcBorders>
            <w:shd w:val="clear" w:color="auto" w:fill="auto"/>
            <w:noWrap/>
            <w:vAlign w:val="bottom"/>
            <w:hideMark/>
          </w:tcPr>
          <w:p w14:paraId="06B47954"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health status</w:t>
            </w:r>
          </w:p>
        </w:tc>
        <w:tc>
          <w:tcPr>
            <w:tcW w:w="1340" w:type="dxa"/>
            <w:tcBorders>
              <w:top w:val="nil"/>
              <w:left w:val="single" w:sz="4" w:space="0" w:color="auto"/>
              <w:bottom w:val="nil"/>
              <w:right w:val="single" w:sz="4" w:space="0" w:color="auto"/>
            </w:tcBorders>
            <w:shd w:val="clear" w:color="auto" w:fill="auto"/>
            <w:noWrap/>
            <w:vAlign w:val="bottom"/>
            <w:hideMark/>
          </w:tcPr>
          <w:p w14:paraId="06B47955"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0.363***</w:t>
            </w:r>
          </w:p>
        </w:tc>
        <w:tc>
          <w:tcPr>
            <w:tcW w:w="960" w:type="dxa"/>
            <w:tcBorders>
              <w:top w:val="nil"/>
              <w:left w:val="nil"/>
              <w:bottom w:val="nil"/>
              <w:right w:val="single" w:sz="8" w:space="0" w:color="auto"/>
            </w:tcBorders>
            <w:shd w:val="clear" w:color="auto" w:fill="auto"/>
            <w:noWrap/>
            <w:vAlign w:val="bottom"/>
            <w:hideMark/>
          </w:tcPr>
          <w:p w14:paraId="06B47956"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(0.045)</w:t>
            </w:r>
          </w:p>
        </w:tc>
      </w:tr>
      <w:tr w:rsidR="00EC4CF9" w:rsidRPr="00EC4CF9" w14:paraId="06B4795B" w14:textId="77777777" w:rsidTr="00EC4CF9">
        <w:trPr>
          <w:trHeight w:val="300"/>
        </w:trPr>
        <w:tc>
          <w:tcPr>
            <w:tcW w:w="2620" w:type="dxa"/>
            <w:tcBorders>
              <w:top w:val="nil"/>
              <w:left w:val="single" w:sz="8" w:space="0" w:color="auto"/>
              <w:bottom w:val="nil"/>
              <w:right w:val="nil"/>
            </w:tcBorders>
            <w:shd w:val="clear" w:color="auto" w:fill="auto"/>
            <w:noWrap/>
            <w:vAlign w:val="bottom"/>
            <w:hideMark/>
          </w:tcPr>
          <w:p w14:paraId="06B47958"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low education</w:t>
            </w:r>
          </w:p>
        </w:tc>
        <w:tc>
          <w:tcPr>
            <w:tcW w:w="1340" w:type="dxa"/>
            <w:tcBorders>
              <w:top w:val="nil"/>
              <w:left w:val="single" w:sz="4" w:space="0" w:color="auto"/>
              <w:bottom w:val="nil"/>
              <w:right w:val="single" w:sz="4" w:space="0" w:color="auto"/>
            </w:tcBorders>
            <w:shd w:val="clear" w:color="auto" w:fill="auto"/>
            <w:noWrap/>
            <w:vAlign w:val="bottom"/>
            <w:hideMark/>
          </w:tcPr>
          <w:p w14:paraId="06B47959"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0.433***</w:t>
            </w:r>
          </w:p>
        </w:tc>
        <w:tc>
          <w:tcPr>
            <w:tcW w:w="960" w:type="dxa"/>
            <w:tcBorders>
              <w:top w:val="nil"/>
              <w:left w:val="nil"/>
              <w:bottom w:val="nil"/>
              <w:right w:val="single" w:sz="8" w:space="0" w:color="auto"/>
            </w:tcBorders>
            <w:shd w:val="clear" w:color="auto" w:fill="auto"/>
            <w:noWrap/>
            <w:vAlign w:val="bottom"/>
            <w:hideMark/>
          </w:tcPr>
          <w:p w14:paraId="06B4795A"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(0.162)</w:t>
            </w:r>
          </w:p>
        </w:tc>
      </w:tr>
      <w:tr w:rsidR="00EC4CF9" w:rsidRPr="00EC4CF9" w14:paraId="06B4795F" w14:textId="77777777" w:rsidTr="00EC4CF9">
        <w:trPr>
          <w:trHeight w:val="300"/>
        </w:trPr>
        <w:tc>
          <w:tcPr>
            <w:tcW w:w="2620" w:type="dxa"/>
            <w:tcBorders>
              <w:top w:val="nil"/>
              <w:left w:val="single" w:sz="8" w:space="0" w:color="auto"/>
              <w:bottom w:val="nil"/>
              <w:right w:val="nil"/>
            </w:tcBorders>
            <w:shd w:val="clear" w:color="auto" w:fill="auto"/>
            <w:noWrap/>
            <w:vAlign w:val="bottom"/>
            <w:hideMark/>
          </w:tcPr>
          <w:p w14:paraId="06B4795C"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age</w:t>
            </w:r>
          </w:p>
        </w:tc>
        <w:tc>
          <w:tcPr>
            <w:tcW w:w="1340" w:type="dxa"/>
            <w:tcBorders>
              <w:top w:val="nil"/>
              <w:left w:val="single" w:sz="4" w:space="0" w:color="auto"/>
              <w:bottom w:val="nil"/>
              <w:right w:val="single" w:sz="4" w:space="0" w:color="auto"/>
            </w:tcBorders>
            <w:shd w:val="clear" w:color="auto" w:fill="auto"/>
            <w:noWrap/>
            <w:vAlign w:val="bottom"/>
            <w:hideMark/>
          </w:tcPr>
          <w:p w14:paraId="06B4795D"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0.011***</w:t>
            </w:r>
          </w:p>
        </w:tc>
        <w:tc>
          <w:tcPr>
            <w:tcW w:w="960" w:type="dxa"/>
            <w:tcBorders>
              <w:top w:val="nil"/>
              <w:left w:val="nil"/>
              <w:bottom w:val="nil"/>
              <w:right w:val="single" w:sz="8" w:space="0" w:color="auto"/>
            </w:tcBorders>
            <w:shd w:val="clear" w:color="auto" w:fill="auto"/>
            <w:noWrap/>
            <w:vAlign w:val="bottom"/>
            <w:hideMark/>
          </w:tcPr>
          <w:p w14:paraId="06B4795E"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(0.001)</w:t>
            </w:r>
          </w:p>
        </w:tc>
      </w:tr>
      <w:tr w:rsidR="00EC4CF9" w:rsidRPr="00EC4CF9" w14:paraId="06B47963" w14:textId="77777777" w:rsidTr="00EC4CF9">
        <w:trPr>
          <w:trHeight w:val="300"/>
        </w:trPr>
        <w:tc>
          <w:tcPr>
            <w:tcW w:w="2620" w:type="dxa"/>
            <w:tcBorders>
              <w:top w:val="nil"/>
              <w:left w:val="single" w:sz="8" w:space="0" w:color="auto"/>
              <w:bottom w:val="single" w:sz="4" w:space="0" w:color="auto"/>
              <w:right w:val="nil"/>
            </w:tcBorders>
            <w:shd w:val="clear" w:color="auto" w:fill="auto"/>
            <w:noWrap/>
            <w:vAlign w:val="bottom"/>
            <w:hideMark/>
          </w:tcPr>
          <w:p w14:paraId="06B47960"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constant</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6B47961"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-8.428</w:t>
            </w:r>
          </w:p>
        </w:tc>
        <w:tc>
          <w:tcPr>
            <w:tcW w:w="960" w:type="dxa"/>
            <w:tcBorders>
              <w:top w:val="nil"/>
              <w:left w:val="nil"/>
              <w:bottom w:val="single" w:sz="4" w:space="0" w:color="auto"/>
              <w:right w:val="single" w:sz="8" w:space="0" w:color="auto"/>
            </w:tcBorders>
            <w:shd w:val="clear" w:color="auto" w:fill="auto"/>
            <w:noWrap/>
            <w:vAlign w:val="bottom"/>
            <w:hideMark/>
          </w:tcPr>
          <w:p w14:paraId="06B47962"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(5.503)</w:t>
            </w:r>
          </w:p>
        </w:tc>
      </w:tr>
      <w:tr w:rsidR="00EC4CF9" w:rsidRPr="00EC4CF9" w14:paraId="06B47967" w14:textId="77777777" w:rsidTr="00EC4CF9">
        <w:trPr>
          <w:trHeight w:val="315"/>
        </w:trPr>
        <w:tc>
          <w:tcPr>
            <w:tcW w:w="2620" w:type="dxa"/>
            <w:tcBorders>
              <w:top w:val="nil"/>
              <w:left w:val="single" w:sz="8" w:space="0" w:color="auto"/>
              <w:bottom w:val="single" w:sz="8" w:space="0" w:color="auto"/>
              <w:right w:val="nil"/>
            </w:tcBorders>
            <w:shd w:val="clear" w:color="auto" w:fill="auto"/>
            <w:noWrap/>
            <w:vAlign w:val="bottom"/>
            <w:hideMark/>
          </w:tcPr>
          <w:p w14:paraId="06B47964"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Sample size</w:t>
            </w:r>
          </w:p>
        </w:tc>
        <w:tc>
          <w:tcPr>
            <w:tcW w:w="1340" w:type="dxa"/>
            <w:tcBorders>
              <w:top w:val="nil"/>
              <w:left w:val="single" w:sz="4" w:space="0" w:color="auto"/>
              <w:bottom w:val="single" w:sz="8" w:space="0" w:color="auto"/>
              <w:right w:val="single" w:sz="4" w:space="0" w:color="auto"/>
            </w:tcBorders>
            <w:shd w:val="clear" w:color="auto" w:fill="auto"/>
            <w:noWrap/>
            <w:vAlign w:val="bottom"/>
            <w:hideMark/>
          </w:tcPr>
          <w:p w14:paraId="06B47965" w14:textId="77777777" w:rsidR="00EC4CF9" w:rsidRPr="00EC4CF9" w:rsidRDefault="00EC4CF9" w:rsidP="00EC4CF9">
            <w:pPr>
              <w:spacing w:before="0"/>
              <w:ind w:left="0"/>
              <w:rPr>
                <w:rFonts w:ascii="Calibri" w:hAnsi="Calibri" w:cs="Calibri"/>
                <w:color w:val="000000"/>
                <w:sz w:val="22"/>
                <w:szCs w:val="22"/>
              </w:rPr>
            </w:pPr>
            <w:r w:rsidRPr="00EC4CF9">
              <w:rPr>
                <w:rFonts w:ascii="Calibri" w:hAnsi="Calibri" w:cs="Calibri"/>
                <w:color w:val="000000"/>
                <w:sz w:val="22"/>
                <w:szCs w:val="22"/>
              </w:rPr>
              <w:t>10334</w:t>
            </w:r>
          </w:p>
        </w:tc>
        <w:tc>
          <w:tcPr>
            <w:tcW w:w="960" w:type="dxa"/>
            <w:tcBorders>
              <w:top w:val="nil"/>
              <w:left w:val="nil"/>
              <w:bottom w:val="single" w:sz="8" w:space="0" w:color="auto"/>
              <w:right w:val="single" w:sz="8" w:space="0" w:color="auto"/>
            </w:tcBorders>
            <w:shd w:val="clear" w:color="auto" w:fill="auto"/>
            <w:noWrap/>
            <w:vAlign w:val="bottom"/>
            <w:hideMark/>
          </w:tcPr>
          <w:p w14:paraId="06B47966" w14:textId="77777777" w:rsidR="00EC4CF9" w:rsidRPr="00EC4CF9" w:rsidRDefault="00EC4CF9" w:rsidP="00EC4CF9">
            <w:pPr>
              <w:spacing w:before="0"/>
              <w:ind w:left="0"/>
              <w:jc w:val="center"/>
              <w:rPr>
                <w:rFonts w:ascii="Calibri" w:hAnsi="Calibri" w:cs="Calibri"/>
                <w:color w:val="000000"/>
                <w:sz w:val="22"/>
                <w:szCs w:val="22"/>
              </w:rPr>
            </w:pPr>
            <w:r w:rsidRPr="00EC4CF9">
              <w:rPr>
                <w:rFonts w:ascii="Calibri" w:hAnsi="Calibri" w:cs="Calibri"/>
                <w:color w:val="000000"/>
                <w:sz w:val="22"/>
                <w:szCs w:val="22"/>
              </w:rPr>
              <w:t> </w:t>
            </w:r>
          </w:p>
        </w:tc>
      </w:tr>
    </w:tbl>
    <w:p w14:paraId="06B47968" w14:textId="77777777" w:rsidR="00EC4CF9" w:rsidRPr="00EC4CF9" w:rsidRDefault="00EC4CF9" w:rsidP="00EC4CF9">
      <w:pPr>
        <w:spacing w:before="0"/>
        <w:ind w:left="2160"/>
        <w:rPr>
          <w:rFonts w:ascii="Calibri" w:hAnsi="Calibri" w:cs="Calibri"/>
          <w:sz w:val="18"/>
          <w:szCs w:val="18"/>
        </w:rPr>
      </w:pPr>
      <w:r w:rsidRPr="00EC4CF9">
        <w:rPr>
          <w:rFonts w:ascii="Calibri" w:hAnsi="Calibri" w:cs="Calibri"/>
          <w:sz w:val="18"/>
          <w:szCs w:val="18"/>
        </w:rPr>
        <w:t>Notes: *** 0.01 significance level, ** 0.05 significance level, * 0.10 significance level. S.E. = Standard errors (in parentheses). Household income instrumented with lottery win.</w:t>
      </w:r>
    </w:p>
    <w:p w14:paraId="06B47969" w14:textId="77777777" w:rsidR="00EC4CF9" w:rsidRPr="00EC4CF9" w:rsidRDefault="00EC4CF9" w:rsidP="00EC4CF9">
      <w:pPr>
        <w:spacing w:before="0"/>
        <w:ind w:left="2160"/>
        <w:rPr>
          <w:rFonts w:ascii="Calibri" w:eastAsia="MS Mincho" w:hAnsi="Calibri" w:cs="Calibri"/>
          <w:lang w:eastAsia="en-US"/>
        </w:rPr>
      </w:pPr>
    </w:p>
    <w:p w14:paraId="06B4796A" w14:textId="77777777" w:rsidR="00EC4CF9" w:rsidRPr="00EC4CF9" w:rsidRDefault="00EC4CF9" w:rsidP="00EC4CF9">
      <w:pPr>
        <w:spacing w:before="0"/>
        <w:ind w:left="2160"/>
        <w:rPr>
          <w:rFonts w:ascii="Calibri" w:eastAsia="MS Mincho" w:hAnsi="Calibri" w:cs="Calibri"/>
          <w:b/>
          <w:sz w:val="28"/>
          <w:lang w:eastAsia="en-US"/>
        </w:rPr>
      </w:pPr>
    </w:p>
    <w:p w14:paraId="06B4796B" w14:textId="77777777" w:rsidR="00B96BC4" w:rsidRDefault="00B96BC4" w:rsidP="00EC4CF9">
      <w:pPr>
        <w:spacing w:before="0"/>
        <w:ind w:left="2160"/>
        <w:rPr>
          <w:rFonts w:ascii="Calibri" w:eastAsia="MS Mincho" w:hAnsi="Calibri" w:cs="Calibri"/>
          <w:b/>
          <w:sz w:val="28"/>
          <w:lang w:eastAsia="en-US"/>
        </w:rPr>
      </w:pPr>
    </w:p>
    <w:p w14:paraId="06B4796C" w14:textId="77777777" w:rsidR="00EC4CF9" w:rsidRPr="0079130D" w:rsidRDefault="00B96BC4" w:rsidP="00EC4CF9">
      <w:pPr>
        <w:spacing w:before="0"/>
        <w:ind w:left="2160"/>
        <w:rPr>
          <w:rFonts w:eastAsia="MS Mincho" w:cs="Arial"/>
          <w:b/>
          <w:sz w:val="28"/>
          <w:lang w:eastAsia="en-US"/>
        </w:rPr>
      </w:pPr>
      <w:r w:rsidRPr="0079130D">
        <w:rPr>
          <w:rFonts w:eastAsia="MS Mincho" w:cs="Arial"/>
          <w:b/>
          <w:sz w:val="28"/>
          <w:lang w:eastAsia="en-US"/>
        </w:rPr>
        <w:lastRenderedPageBreak/>
        <w:t>C</w:t>
      </w:r>
      <w:r w:rsidR="00EC4CF9" w:rsidRPr="0079130D">
        <w:rPr>
          <w:rFonts w:eastAsia="MS Mincho" w:cs="Arial"/>
          <w:b/>
          <w:sz w:val="28"/>
          <w:lang w:eastAsia="en-US"/>
        </w:rPr>
        <w:t>.6. Descriptions of variables used in life satisfaction regression analyses</w:t>
      </w:r>
    </w:p>
    <w:p w14:paraId="06B4796D" w14:textId="77777777" w:rsidR="00EC4CF9" w:rsidRPr="00EC4CF9" w:rsidRDefault="00EC4CF9" w:rsidP="00EC4CF9">
      <w:pPr>
        <w:spacing w:before="0"/>
        <w:ind w:left="2160"/>
        <w:rPr>
          <w:rFonts w:ascii="Calibri" w:eastAsia="MS Mincho" w:hAnsi="Calibri" w:cs="Calibri"/>
          <w:b/>
          <w:lang w:eastAsia="en-US"/>
        </w:rPr>
      </w:pPr>
    </w:p>
    <w:tbl>
      <w:tblPr>
        <w:tblW w:w="8220" w:type="dxa"/>
        <w:jc w:val="center"/>
        <w:tblInd w:w="2253" w:type="dxa"/>
        <w:tblLook w:val="04A0" w:firstRow="1" w:lastRow="0" w:firstColumn="1" w:lastColumn="0" w:noHBand="0" w:noVBand="1"/>
      </w:tblPr>
      <w:tblGrid>
        <w:gridCol w:w="2580"/>
        <w:gridCol w:w="5640"/>
      </w:tblGrid>
      <w:tr w:rsidR="00EC4CF9" w:rsidRPr="00EC4CF9" w14:paraId="06B47970" w14:textId="77777777" w:rsidTr="00EC4CF9">
        <w:trPr>
          <w:trHeight w:val="280"/>
          <w:jc w:val="center"/>
        </w:trPr>
        <w:tc>
          <w:tcPr>
            <w:tcW w:w="2580" w:type="dxa"/>
            <w:tcBorders>
              <w:top w:val="single" w:sz="8" w:space="0" w:color="auto"/>
              <w:left w:val="single" w:sz="8" w:space="0" w:color="auto"/>
              <w:bottom w:val="single" w:sz="4" w:space="0" w:color="auto"/>
              <w:right w:val="single" w:sz="4" w:space="0" w:color="auto"/>
            </w:tcBorders>
            <w:shd w:val="clear" w:color="000000" w:fill="0070C0"/>
            <w:noWrap/>
            <w:vAlign w:val="center"/>
            <w:hideMark/>
          </w:tcPr>
          <w:p w14:paraId="06B4796E" w14:textId="77777777" w:rsidR="00EC4CF9" w:rsidRPr="00EC4CF9" w:rsidRDefault="00EC4CF9" w:rsidP="00EC4CF9">
            <w:pPr>
              <w:spacing w:before="0"/>
              <w:ind w:left="0"/>
              <w:rPr>
                <w:rFonts w:ascii="Calibri" w:hAnsi="Calibri"/>
                <w:b/>
                <w:bCs/>
                <w:color w:val="FFFFFF"/>
                <w:sz w:val="20"/>
                <w:szCs w:val="20"/>
                <w:lang w:eastAsia="en-US"/>
              </w:rPr>
            </w:pPr>
            <w:r w:rsidRPr="00EC4CF9">
              <w:rPr>
                <w:rFonts w:ascii="Calibri" w:hAnsi="Calibri"/>
                <w:b/>
                <w:bCs/>
                <w:color w:val="FFFFFF"/>
                <w:sz w:val="20"/>
                <w:szCs w:val="20"/>
                <w:lang w:eastAsia="en-US"/>
              </w:rPr>
              <w:t>Variable</w:t>
            </w:r>
          </w:p>
        </w:tc>
        <w:tc>
          <w:tcPr>
            <w:tcW w:w="5640" w:type="dxa"/>
            <w:tcBorders>
              <w:top w:val="single" w:sz="8" w:space="0" w:color="auto"/>
              <w:left w:val="nil"/>
              <w:bottom w:val="single" w:sz="4" w:space="0" w:color="auto"/>
              <w:right w:val="single" w:sz="8" w:space="0" w:color="auto"/>
            </w:tcBorders>
            <w:shd w:val="clear" w:color="000000" w:fill="0070C0"/>
            <w:hideMark/>
          </w:tcPr>
          <w:p w14:paraId="06B4796F" w14:textId="77777777" w:rsidR="00EC4CF9" w:rsidRPr="00EC4CF9" w:rsidRDefault="00EC4CF9" w:rsidP="00EC4CF9">
            <w:pPr>
              <w:spacing w:before="0"/>
              <w:ind w:left="0"/>
              <w:jc w:val="center"/>
              <w:rPr>
                <w:rFonts w:ascii="Calibri" w:hAnsi="Calibri"/>
                <w:b/>
                <w:bCs/>
                <w:color w:val="FFFFFF"/>
                <w:sz w:val="20"/>
                <w:szCs w:val="20"/>
                <w:lang w:eastAsia="en-US"/>
              </w:rPr>
            </w:pPr>
            <w:r w:rsidRPr="00EC4CF9">
              <w:rPr>
                <w:rFonts w:ascii="Calibri" w:hAnsi="Calibri"/>
                <w:b/>
                <w:bCs/>
                <w:color w:val="FFFFFF"/>
                <w:sz w:val="20"/>
                <w:szCs w:val="20"/>
                <w:lang w:eastAsia="en-US"/>
              </w:rPr>
              <w:t>Description</w:t>
            </w:r>
          </w:p>
        </w:tc>
      </w:tr>
      <w:tr w:rsidR="00EC4CF9" w:rsidRPr="00EC4CF9" w14:paraId="06B47973"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71"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log (income)</w:t>
            </w:r>
          </w:p>
        </w:tc>
        <w:tc>
          <w:tcPr>
            <w:tcW w:w="5640" w:type="dxa"/>
            <w:tcBorders>
              <w:top w:val="nil"/>
              <w:left w:val="nil"/>
              <w:bottom w:val="single" w:sz="4" w:space="0" w:color="auto"/>
              <w:right w:val="single" w:sz="8" w:space="0" w:color="auto"/>
            </w:tcBorders>
            <w:shd w:val="clear" w:color="auto" w:fill="auto"/>
            <w:hideMark/>
          </w:tcPr>
          <w:p w14:paraId="06B47972"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Log of equivalised household income</w:t>
            </w:r>
          </w:p>
        </w:tc>
      </w:tr>
      <w:tr w:rsidR="00EC4CF9" w:rsidRPr="00EC4CF9" w14:paraId="06B47976"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74"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health</w:t>
            </w:r>
          </w:p>
        </w:tc>
        <w:tc>
          <w:tcPr>
            <w:tcW w:w="5640" w:type="dxa"/>
            <w:tcBorders>
              <w:top w:val="nil"/>
              <w:left w:val="nil"/>
              <w:bottom w:val="single" w:sz="4" w:space="0" w:color="auto"/>
              <w:right w:val="single" w:sz="8" w:space="0" w:color="auto"/>
            </w:tcBorders>
            <w:shd w:val="clear" w:color="auto" w:fill="auto"/>
            <w:hideMark/>
          </w:tcPr>
          <w:p w14:paraId="06B47975"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if individual reports health to be 4 or 5 on 1-5 scale</w:t>
            </w:r>
          </w:p>
        </w:tc>
      </w:tr>
      <w:tr w:rsidR="00EC4CF9" w:rsidRPr="00EC4CF9" w14:paraId="06B47979"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77"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gender</w:t>
            </w:r>
          </w:p>
        </w:tc>
        <w:tc>
          <w:tcPr>
            <w:tcW w:w="5640" w:type="dxa"/>
            <w:tcBorders>
              <w:top w:val="nil"/>
              <w:left w:val="nil"/>
              <w:bottom w:val="single" w:sz="4" w:space="0" w:color="auto"/>
              <w:right w:val="single" w:sz="8" w:space="0" w:color="auto"/>
            </w:tcBorders>
            <w:shd w:val="clear" w:color="auto" w:fill="auto"/>
            <w:hideMark/>
          </w:tcPr>
          <w:p w14:paraId="06B47978"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male; 0 = female</w:t>
            </w:r>
          </w:p>
        </w:tc>
      </w:tr>
      <w:tr w:rsidR="00EC4CF9" w:rsidRPr="00EC4CF9" w14:paraId="06B4797C"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7A"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employed</w:t>
            </w:r>
          </w:p>
        </w:tc>
        <w:tc>
          <w:tcPr>
            <w:tcW w:w="5640" w:type="dxa"/>
            <w:tcBorders>
              <w:top w:val="nil"/>
              <w:left w:val="nil"/>
              <w:bottom w:val="single" w:sz="4" w:space="0" w:color="auto"/>
              <w:right w:val="single" w:sz="8" w:space="0" w:color="auto"/>
            </w:tcBorders>
            <w:shd w:val="clear" w:color="auto" w:fill="auto"/>
            <w:hideMark/>
          </w:tcPr>
          <w:p w14:paraId="06B4797B"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employed; 0 = not working</w:t>
            </w:r>
          </w:p>
        </w:tc>
      </w:tr>
      <w:tr w:rsidR="00EC4CF9" w:rsidRPr="00EC4CF9" w14:paraId="06B4797F"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7D"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retired</w:t>
            </w:r>
          </w:p>
        </w:tc>
        <w:tc>
          <w:tcPr>
            <w:tcW w:w="5640" w:type="dxa"/>
            <w:tcBorders>
              <w:top w:val="nil"/>
              <w:left w:val="nil"/>
              <w:bottom w:val="single" w:sz="4" w:space="0" w:color="auto"/>
              <w:right w:val="single" w:sz="8" w:space="0" w:color="auto"/>
            </w:tcBorders>
            <w:shd w:val="clear" w:color="auto" w:fill="auto"/>
            <w:hideMark/>
          </w:tcPr>
          <w:p w14:paraId="06B4797E"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retired; o = otherwise</w:t>
            </w:r>
          </w:p>
        </w:tc>
      </w:tr>
      <w:tr w:rsidR="00EC4CF9" w:rsidRPr="00EC4CF9" w14:paraId="06B47982"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80"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friends</w:t>
            </w:r>
          </w:p>
        </w:tc>
        <w:tc>
          <w:tcPr>
            <w:tcW w:w="5640" w:type="dxa"/>
            <w:tcBorders>
              <w:top w:val="nil"/>
              <w:left w:val="nil"/>
              <w:bottom w:val="single" w:sz="4" w:space="0" w:color="auto"/>
              <w:right w:val="single" w:sz="8" w:space="0" w:color="auto"/>
            </w:tcBorders>
            <w:shd w:val="clear" w:color="auto" w:fill="auto"/>
            <w:hideMark/>
          </w:tcPr>
          <w:p w14:paraId="06B47981"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if reports having friends; o = otherwise</w:t>
            </w:r>
          </w:p>
        </w:tc>
      </w:tr>
      <w:tr w:rsidR="00EC4CF9" w:rsidRPr="00EC4CF9" w14:paraId="06B47985"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83"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London</w:t>
            </w:r>
          </w:p>
        </w:tc>
        <w:tc>
          <w:tcPr>
            <w:tcW w:w="5640" w:type="dxa"/>
            <w:tcBorders>
              <w:top w:val="nil"/>
              <w:left w:val="nil"/>
              <w:bottom w:val="single" w:sz="4" w:space="0" w:color="auto"/>
              <w:right w:val="single" w:sz="8" w:space="0" w:color="auto"/>
            </w:tcBorders>
            <w:shd w:val="clear" w:color="auto" w:fill="auto"/>
            <w:hideMark/>
          </w:tcPr>
          <w:p w14:paraId="06B47984"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lives in London; 0 = otherwise</w:t>
            </w:r>
          </w:p>
        </w:tc>
      </w:tr>
      <w:tr w:rsidR="00EC4CF9" w:rsidRPr="00EC4CF9" w14:paraId="06B47988"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86"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Wales</w:t>
            </w:r>
          </w:p>
        </w:tc>
        <w:tc>
          <w:tcPr>
            <w:tcW w:w="5640" w:type="dxa"/>
            <w:tcBorders>
              <w:top w:val="nil"/>
              <w:left w:val="nil"/>
              <w:bottom w:val="single" w:sz="4" w:space="0" w:color="auto"/>
              <w:right w:val="single" w:sz="8" w:space="0" w:color="auto"/>
            </w:tcBorders>
            <w:shd w:val="clear" w:color="auto" w:fill="auto"/>
            <w:hideMark/>
          </w:tcPr>
          <w:p w14:paraId="06B47987"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lives in Wales; 0 = otherwise</w:t>
            </w:r>
          </w:p>
        </w:tc>
      </w:tr>
      <w:tr w:rsidR="00EC4CF9" w:rsidRPr="00EC4CF9" w14:paraId="06B4798B"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89"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Scotland</w:t>
            </w:r>
          </w:p>
        </w:tc>
        <w:tc>
          <w:tcPr>
            <w:tcW w:w="5640" w:type="dxa"/>
            <w:tcBorders>
              <w:top w:val="nil"/>
              <w:left w:val="nil"/>
              <w:bottom w:val="single" w:sz="4" w:space="0" w:color="auto"/>
              <w:right w:val="single" w:sz="8" w:space="0" w:color="auto"/>
            </w:tcBorders>
            <w:shd w:val="clear" w:color="auto" w:fill="auto"/>
            <w:hideMark/>
          </w:tcPr>
          <w:p w14:paraId="06B4798A"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lives in Scotland; 0 = otherwise</w:t>
            </w:r>
          </w:p>
        </w:tc>
      </w:tr>
      <w:tr w:rsidR="00EC4CF9" w:rsidRPr="00EC4CF9" w14:paraId="06B4798E"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8C"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N Ireland</w:t>
            </w:r>
          </w:p>
        </w:tc>
        <w:tc>
          <w:tcPr>
            <w:tcW w:w="5640" w:type="dxa"/>
            <w:tcBorders>
              <w:top w:val="nil"/>
              <w:left w:val="nil"/>
              <w:bottom w:val="single" w:sz="4" w:space="0" w:color="auto"/>
              <w:right w:val="single" w:sz="8" w:space="0" w:color="auto"/>
            </w:tcBorders>
            <w:shd w:val="clear" w:color="auto" w:fill="auto"/>
            <w:hideMark/>
          </w:tcPr>
          <w:p w14:paraId="06B4798D"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lives in N. Ireland;  0 = otherwise</w:t>
            </w:r>
          </w:p>
        </w:tc>
      </w:tr>
      <w:tr w:rsidR="00EC4CF9" w:rsidRPr="00EC4CF9" w14:paraId="06B47991"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8F"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no. rooms</w:t>
            </w:r>
          </w:p>
        </w:tc>
        <w:tc>
          <w:tcPr>
            <w:tcW w:w="5640" w:type="dxa"/>
            <w:tcBorders>
              <w:top w:val="nil"/>
              <w:left w:val="nil"/>
              <w:bottom w:val="single" w:sz="4" w:space="0" w:color="auto"/>
              <w:right w:val="single" w:sz="8" w:space="0" w:color="auto"/>
            </w:tcBorders>
            <w:shd w:val="clear" w:color="auto" w:fill="auto"/>
            <w:hideMark/>
          </w:tcPr>
          <w:p w14:paraId="06B47990"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Number of rooms in the home</w:t>
            </w:r>
          </w:p>
        </w:tc>
      </w:tr>
      <w:tr w:rsidR="00EC4CF9" w:rsidRPr="00EC4CF9" w14:paraId="06B47994"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92"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children</w:t>
            </w:r>
          </w:p>
        </w:tc>
        <w:tc>
          <w:tcPr>
            <w:tcW w:w="5640" w:type="dxa"/>
            <w:tcBorders>
              <w:top w:val="nil"/>
              <w:left w:val="nil"/>
              <w:bottom w:val="single" w:sz="4" w:space="0" w:color="auto"/>
              <w:right w:val="single" w:sz="8" w:space="0" w:color="auto"/>
            </w:tcBorders>
            <w:shd w:val="clear" w:color="auto" w:fill="auto"/>
            <w:hideMark/>
          </w:tcPr>
          <w:p w14:paraId="06B47993"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Number of children</w:t>
            </w:r>
          </w:p>
        </w:tc>
      </w:tr>
      <w:tr w:rsidR="00EC4CF9" w:rsidRPr="00EC4CF9" w14:paraId="06B47997"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95"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volunteer</w:t>
            </w:r>
          </w:p>
        </w:tc>
        <w:tc>
          <w:tcPr>
            <w:tcW w:w="5640" w:type="dxa"/>
            <w:tcBorders>
              <w:top w:val="nil"/>
              <w:left w:val="nil"/>
              <w:bottom w:val="single" w:sz="4" w:space="0" w:color="auto"/>
              <w:right w:val="single" w:sz="8" w:space="0" w:color="auto"/>
            </w:tcBorders>
            <w:shd w:val="clear" w:color="auto" w:fill="auto"/>
            <w:hideMark/>
          </w:tcPr>
          <w:p w14:paraId="06B47996"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if volunteers; 0 = otherwise</w:t>
            </w:r>
          </w:p>
        </w:tc>
      </w:tr>
      <w:tr w:rsidR="00EC4CF9" w:rsidRPr="00EC4CF9" w14:paraId="06B4799A"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98"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age</w:t>
            </w:r>
          </w:p>
        </w:tc>
        <w:tc>
          <w:tcPr>
            <w:tcW w:w="5640" w:type="dxa"/>
            <w:tcBorders>
              <w:top w:val="nil"/>
              <w:left w:val="nil"/>
              <w:bottom w:val="single" w:sz="4" w:space="0" w:color="auto"/>
              <w:right w:val="single" w:sz="8" w:space="0" w:color="auto"/>
            </w:tcBorders>
            <w:shd w:val="clear" w:color="auto" w:fill="auto"/>
            <w:hideMark/>
          </w:tcPr>
          <w:p w14:paraId="06B47999"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age of individual</w:t>
            </w:r>
          </w:p>
        </w:tc>
      </w:tr>
      <w:tr w:rsidR="00EC4CF9" w:rsidRPr="00EC4CF9" w14:paraId="06B4799D"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9B"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married</w:t>
            </w:r>
          </w:p>
        </w:tc>
        <w:tc>
          <w:tcPr>
            <w:tcW w:w="5640" w:type="dxa"/>
            <w:tcBorders>
              <w:top w:val="nil"/>
              <w:left w:val="nil"/>
              <w:bottom w:val="single" w:sz="4" w:space="0" w:color="auto"/>
              <w:right w:val="single" w:sz="8" w:space="0" w:color="auto"/>
            </w:tcBorders>
            <w:shd w:val="clear" w:color="auto" w:fill="auto"/>
            <w:hideMark/>
          </w:tcPr>
          <w:p w14:paraId="06B4799C"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married; 0 =otherwise</w:t>
            </w:r>
          </w:p>
        </w:tc>
      </w:tr>
      <w:tr w:rsidR="00EC4CF9" w:rsidRPr="00EC4CF9" w14:paraId="06B479A0"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9E"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divorced</w:t>
            </w:r>
          </w:p>
        </w:tc>
        <w:tc>
          <w:tcPr>
            <w:tcW w:w="5640" w:type="dxa"/>
            <w:tcBorders>
              <w:top w:val="nil"/>
              <w:left w:val="nil"/>
              <w:bottom w:val="single" w:sz="4" w:space="0" w:color="auto"/>
              <w:right w:val="single" w:sz="8" w:space="0" w:color="auto"/>
            </w:tcBorders>
            <w:shd w:val="clear" w:color="auto" w:fill="auto"/>
            <w:hideMark/>
          </w:tcPr>
          <w:p w14:paraId="06B4799F"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divorced; 0 =otherwise</w:t>
            </w:r>
          </w:p>
        </w:tc>
      </w:tr>
      <w:tr w:rsidR="00EC4CF9" w:rsidRPr="00EC4CF9" w14:paraId="06B479A3"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A1"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widowed</w:t>
            </w:r>
          </w:p>
        </w:tc>
        <w:tc>
          <w:tcPr>
            <w:tcW w:w="5640" w:type="dxa"/>
            <w:tcBorders>
              <w:top w:val="nil"/>
              <w:left w:val="nil"/>
              <w:bottom w:val="single" w:sz="4" w:space="0" w:color="auto"/>
              <w:right w:val="single" w:sz="8" w:space="0" w:color="auto"/>
            </w:tcBorders>
            <w:shd w:val="clear" w:color="auto" w:fill="auto"/>
            <w:hideMark/>
          </w:tcPr>
          <w:p w14:paraId="06B479A2"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widowed; 0 =otherwise</w:t>
            </w:r>
          </w:p>
        </w:tc>
      </w:tr>
      <w:tr w:rsidR="00EC4CF9" w:rsidRPr="00EC4CF9" w14:paraId="06B479A6"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A4"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carer home</w:t>
            </w:r>
          </w:p>
        </w:tc>
        <w:tc>
          <w:tcPr>
            <w:tcW w:w="5640" w:type="dxa"/>
            <w:tcBorders>
              <w:top w:val="nil"/>
              <w:left w:val="nil"/>
              <w:bottom w:val="single" w:sz="4" w:space="0" w:color="auto"/>
              <w:right w:val="single" w:sz="8" w:space="0" w:color="auto"/>
            </w:tcBorders>
            <w:shd w:val="clear" w:color="auto" w:fill="auto"/>
            <w:hideMark/>
          </w:tcPr>
          <w:p w14:paraId="06B479A5"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if individual has caring duties; 0 = otherwise</w:t>
            </w:r>
          </w:p>
        </w:tc>
      </w:tr>
      <w:tr w:rsidR="00EC4CF9" w:rsidRPr="00EC4CF9" w14:paraId="06B479A9"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A7"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carer</w:t>
            </w:r>
          </w:p>
        </w:tc>
        <w:tc>
          <w:tcPr>
            <w:tcW w:w="5640" w:type="dxa"/>
            <w:tcBorders>
              <w:top w:val="nil"/>
              <w:left w:val="nil"/>
              <w:bottom w:val="single" w:sz="4" w:space="0" w:color="auto"/>
              <w:right w:val="single" w:sz="8" w:space="0" w:color="auto"/>
            </w:tcBorders>
            <w:shd w:val="clear" w:color="auto" w:fill="auto"/>
            <w:hideMark/>
          </w:tcPr>
          <w:p w14:paraId="06B479A8"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if individual has caring duties at home; 0 = otherwise</w:t>
            </w:r>
          </w:p>
        </w:tc>
      </w:tr>
      <w:tr w:rsidR="00EC4CF9" w:rsidRPr="00EC4CF9" w14:paraId="06B479AC"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AA"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house owned</w:t>
            </w:r>
          </w:p>
        </w:tc>
        <w:tc>
          <w:tcPr>
            <w:tcW w:w="5640" w:type="dxa"/>
            <w:tcBorders>
              <w:top w:val="nil"/>
              <w:left w:val="nil"/>
              <w:bottom w:val="single" w:sz="4" w:space="0" w:color="auto"/>
              <w:right w:val="single" w:sz="8" w:space="0" w:color="auto"/>
            </w:tcBorders>
            <w:shd w:val="clear" w:color="auto" w:fill="auto"/>
            <w:hideMark/>
          </w:tcPr>
          <w:p w14:paraId="06B479AB"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if owns home; 0 = otherwise</w:t>
            </w:r>
          </w:p>
        </w:tc>
      </w:tr>
      <w:tr w:rsidR="00EC4CF9" w:rsidRPr="00EC4CF9" w14:paraId="06B479AF" w14:textId="77777777" w:rsidTr="00EC4CF9">
        <w:trPr>
          <w:trHeight w:val="56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AD"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local auth/housing assoc</w:t>
            </w:r>
          </w:p>
        </w:tc>
        <w:tc>
          <w:tcPr>
            <w:tcW w:w="5640" w:type="dxa"/>
            <w:tcBorders>
              <w:top w:val="nil"/>
              <w:left w:val="nil"/>
              <w:bottom w:val="single" w:sz="4" w:space="0" w:color="auto"/>
              <w:right w:val="single" w:sz="8" w:space="0" w:color="auto"/>
            </w:tcBorders>
            <w:shd w:val="clear" w:color="auto" w:fill="auto"/>
            <w:hideMark/>
          </w:tcPr>
          <w:p w14:paraId="06B479AE"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if lives in local authority/housing association home; 0 = otherwise</w:t>
            </w:r>
          </w:p>
        </w:tc>
      </w:tr>
      <w:tr w:rsidR="00EC4CF9" w:rsidRPr="00EC4CF9" w14:paraId="06B479B2"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B0"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insured</w:t>
            </w:r>
          </w:p>
        </w:tc>
        <w:tc>
          <w:tcPr>
            <w:tcW w:w="5640" w:type="dxa"/>
            <w:tcBorders>
              <w:top w:val="nil"/>
              <w:left w:val="nil"/>
              <w:bottom w:val="single" w:sz="4" w:space="0" w:color="auto"/>
              <w:right w:val="single" w:sz="8" w:space="0" w:color="auto"/>
            </w:tcBorders>
            <w:shd w:val="clear" w:color="auto" w:fill="auto"/>
            <w:hideMark/>
          </w:tcPr>
          <w:p w14:paraId="06B479B1"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has home insurance; 0 = otherwise</w:t>
            </w:r>
          </w:p>
        </w:tc>
      </w:tr>
      <w:tr w:rsidR="00EC4CF9" w:rsidRPr="00EC4CF9" w14:paraId="06B479B5"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000000" w:fill="0070C0"/>
            <w:noWrap/>
            <w:vAlign w:val="center"/>
            <w:hideMark/>
          </w:tcPr>
          <w:p w14:paraId="06B479B3" w14:textId="77777777" w:rsidR="00EC4CF9" w:rsidRPr="00EC4CF9" w:rsidRDefault="00EC4CF9" w:rsidP="00EC4CF9">
            <w:pPr>
              <w:spacing w:before="0"/>
              <w:ind w:left="0"/>
              <w:rPr>
                <w:rFonts w:ascii="Calibri" w:hAnsi="Calibri"/>
                <w:b/>
                <w:bCs/>
                <w:color w:val="FFFFFF"/>
                <w:sz w:val="20"/>
                <w:szCs w:val="20"/>
                <w:lang w:eastAsia="en-US"/>
              </w:rPr>
            </w:pPr>
            <w:r w:rsidRPr="00EC4CF9">
              <w:rPr>
                <w:rFonts w:ascii="Calibri" w:hAnsi="Calibri"/>
                <w:b/>
                <w:bCs/>
                <w:color w:val="FFFFFF"/>
                <w:sz w:val="20"/>
                <w:szCs w:val="20"/>
                <w:lang w:eastAsia="en-US"/>
              </w:rPr>
              <w:t> </w:t>
            </w:r>
          </w:p>
        </w:tc>
        <w:tc>
          <w:tcPr>
            <w:tcW w:w="5640" w:type="dxa"/>
            <w:tcBorders>
              <w:top w:val="nil"/>
              <w:left w:val="nil"/>
              <w:bottom w:val="single" w:sz="4" w:space="0" w:color="auto"/>
              <w:right w:val="single" w:sz="8" w:space="0" w:color="auto"/>
            </w:tcBorders>
            <w:shd w:val="clear" w:color="000000" w:fill="0070C0"/>
            <w:hideMark/>
          </w:tcPr>
          <w:p w14:paraId="06B479B4" w14:textId="77777777" w:rsidR="00EC4CF9" w:rsidRPr="00EC4CF9" w:rsidRDefault="00EC4CF9" w:rsidP="00EC4CF9">
            <w:pPr>
              <w:spacing w:before="0"/>
              <w:ind w:left="0"/>
              <w:rPr>
                <w:rFonts w:ascii="Calibri" w:hAnsi="Calibri"/>
                <w:b/>
                <w:bCs/>
                <w:color w:val="FFFFFF"/>
                <w:sz w:val="20"/>
                <w:szCs w:val="20"/>
                <w:lang w:eastAsia="en-US"/>
              </w:rPr>
            </w:pPr>
            <w:r w:rsidRPr="00EC4CF9">
              <w:rPr>
                <w:rFonts w:ascii="Calibri" w:hAnsi="Calibri"/>
                <w:b/>
                <w:bCs/>
                <w:color w:val="FFFFFF"/>
                <w:sz w:val="20"/>
                <w:szCs w:val="20"/>
                <w:lang w:eastAsia="en-US"/>
              </w:rPr>
              <w:t>Culture &amp; sports variables (all about last 12 months)</w:t>
            </w:r>
          </w:p>
        </w:tc>
      </w:tr>
      <w:tr w:rsidR="00EC4CF9" w:rsidRPr="00EC4CF9" w14:paraId="06B479B8"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B6"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museums frequently</w:t>
            </w:r>
          </w:p>
        </w:tc>
        <w:tc>
          <w:tcPr>
            <w:tcW w:w="5640" w:type="dxa"/>
            <w:tcBorders>
              <w:top w:val="nil"/>
              <w:left w:val="nil"/>
              <w:bottom w:val="single" w:sz="4" w:space="0" w:color="auto"/>
              <w:right w:val="single" w:sz="8" w:space="0" w:color="auto"/>
            </w:tcBorders>
            <w:shd w:val="clear" w:color="auto" w:fill="auto"/>
            <w:hideMark/>
          </w:tcPr>
          <w:p w14:paraId="06B479B7"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visit more than once per month; 0 =otherwise</w:t>
            </w:r>
          </w:p>
        </w:tc>
      </w:tr>
      <w:tr w:rsidR="00EC4CF9" w:rsidRPr="00EC4CF9" w14:paraId="06B479BB"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B9"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libraries frequently</w:t>
            </w:r>
          </w:p>
        </w:tc>
        <w:tc>
          <w:tcPr>
            <w:tcW w:w="5640" w:type="dxa"/>
            <w:tcBorders>
              <w:top w:val="nil"/>
              <w:left w:val="nil"/>
              <w:bottom w:val="single" w:sz="4" w:space="0" w:color="auto"/>
              <w:right w:val="single" w:sz="8" w:space="0" w:color="auto"/>
            </w:tcBorders>
            <w:shd w:val="clear" w:color="auto" w:fill="auto"/>
            <w:hideMark/>
          </w:tcPr>
          <w:p w14:paraId="06B479BA"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visit more than once per month; 0 =otherwise</w:t>
            </w:r>
          </w:p>
        </w:tc>
      </w:tr>
      <w:tr w:rsidR="00EC4CF9" w:rsidRPr="00EC4CF9" w14:paraId="06B479BE"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BC"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heritage frequently</w:t>
            </w:r>
          </w:p>
        </w:tc>
        <w:tc>
          <w:tcPr>
            <w:tcW w:w="5640" w:type="dxa"/>
            <w:tcBorders>
              <w:top w:val="nil"/>
              <w:left w:val="nil"/>
              <w:bottom w:val="single" w:sz="4" w:space="0" w:color="auto"/>
              <w:right w:val="single" w:sz="8" w:space="0" w:color="auto"/>
            </w:tcBorders>
            <w:shd w:val="clear" w:color="auto" w:fill="auto"/>
            <w:hideMark/>
          </w:tcPr>
          <w:p w14:paraId="06B479BD"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visit more than once per month; 0 =otherwise</w:t>
            </w:r>
          </w:p>
        </w:tc>
      </w:tr>
      <w:tr w:rsidR="00EC4CF9" w:rsidRPr="00EC4CF9" w14:paraId="06B479C1" w14:textId="77777777" w:rsidTr="00EC4CF9">
        <w:trPr>
          <w:trHeight w:val="56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BF"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all arts</w:t>
            </w:r>
          </w:p>
        </w:tc>
        <w:tc>
          <w:tcPr>
            <w:tcW w:w="5640" w:type="dxa"/>
            <w:tcBorders>
              <w:top w:val="nil"/>
              <w:left w:val="nil"/>
              <w:bottom w:val="single" w:sz="4" w:space="0" w:color="auto"/>
              <w:right w:val="single" w:sz="8" w:space="0" w:color="auto"/>
            </w:tcBorders>
            <w:shd w:val="clear" w:color="auto" w:fill="auto"/>
            <w:hideMark/>
          </w:tcPr>
          <w:p w14:paraId="06B479C0"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participated in / audience member of any arts below; 0 = otherwise</w:t>
            </w:r>
          </w:p>
        </w:tc>
      </w:tr>
      <w:tr w:rsidR="00EC4CF9" w:rsidRPr="00EC4CF9" w14:paraId="06B479C4" w14:textId="77777777" w:rsidTr="00EC4CF9">
        <w:trPr>
          <w:trHeight w:val="56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C2"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all sports</w:t>
            </w:r>
          </w:p>
        </w:tc>
        <w:tc>
          <w:tcPr>
            <w:tcW w:w="5640" w:type="dxa"/>
            <w:tcBorders>
              <w:top w:val="nil"/>
              <w:left w:val="nil"/>
              <w:bottom w:val="single" w:sz="4" w:space="0" w:color="auto"/>
              <w:right w:val="single" w:sz="8" w:space="0" w:color="auto"/>
            </w:tcBorders>
            <w:shd w:val="clear" w:color="auto" w:fill="auto"/>
            <w:hideMark/>
          </w:tcPr>
          <w:p w14:paraId="06B479C3"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participated in / audience member of any sports below; 0 = otherwise</w:t>
            </w:r>
          </w:p>
        </w:tc>
      </w:tr>
      <w:tr w:rsidR="00EC4CF9" w:rsidRPr="00EC4CF9" w14:paraId="06B479C7" w14:textId="77777777" w:rsidTr="00EC4CF9">
        <w:trPr>
          <w:trHeight w:val="84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C5"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team sports</w:t>
            </w:r>
          </w:p>
        </w:tc>
        <w:tc>
          <w:tcPr>
            <w:tcW w:w="5640" w:type="dxa"/>
            <w:tcBorders>
              <w:top w:val="nil"/>
              <w:left w:val="nil"/>
              <w:bottom w:val="single" w:sz="4" w:space="0" w:color="auto"/>
              <w:right w:val="single" w:sz="8" w:space="0" w:color="auto"/>
            </w:tcBorders>
            <w:shd w:val="clear" w:color="auto" w:fill="auto"/>
            <w:hideMark/>
          </w:tcPr>
          <w:p w14:paraId="06B479C6"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participated in football, rugby, water sports, basketball, netball, volleyball, cricket, hockey, or baseball, softball or rounders; 0 = otherwise</w:t>
            </w:r>
          </w:p>
        </w:tc>
      </w:tr>
      <w:tr w:rsidR="00EC4CF9" w:rsidRPr="00EC4CF9" w14:paraId="06B479CA" w14:textId="77777777" w:rsidTr="00EC4CF9">
        <w:trPr>
          <w:trHeight w:val="140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C8"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individual sports</w:t>
            </w:r>
          </w:p>
        </w:tc>
        <w:tc>
          <w:tcPr>
            <w:tcW w:w="5640" w:type="dxa"/>
            <w:tcBorders>
              <w:top w:val="nil"/>
              <w:left w:val="nil"/>
              <w:bottom w:val="single" w:sz="4" w:space="0" w:color="auto"/>
              <w:right w:val="single" w:sz="8" w:space="0" w:color="auto"/>
            </w:tcBorders>
            <w:shd w:val="clear" w:color="auto" w:fill="auto"/>
            <w:hideMark/>
          </w:tcPr>
          <w:p w14:paraId="06B479C9"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participated in health, fitness, gym or conditioning; gymnastics; swimming or diving; cycling, BMX or mountain biking; track and field athletics; jogging, cross-country, or road running; hill trekking, backpacking, climbing or mountaineering; golf; boxing; racquet sports; skiing; martial arts; or horse riding;  0 = otherwise</w:t>
            </w:r>
          </w:p>
        </w:tc>
      </w:tr>
      <w:tr w:rsidR="00EC4CF9" w:rsidRPr="00EC4CF9" w14:paraId="06B479CD"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CB"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fitness</w:t>
            </w:r>
          </w:p>
        </w:tc>
        <w:tc>
          <w:tcPr>
            <w:tcW w:w="5640" w:type="dxa"/>
            <w:tcBorders>
              <w:top w:val="nil"/>
              <w:left w:val="nil"/>
              <w:bottom w:val="single" w:sz="4" w:space="0" w:color="auto"/>
              <w:right w:val="single" w:sz="8" w:space="0" w:color="auto"/>
            </w:tcBorders>
            <w:shd w:val="clear" w:color="auto" w:fill="auto"/>
            <w:hideMark/>
          </w:tcPr>
          <w:p w14:paraId="06B479CC"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did health, fitness, gym or conditioning; 0 = otherwise</w:t>
            </w:r>
          </w:p>
        </w:tc>
      </w:tr>
      <w:tr w:rsidR="00EC4CF9" w:rsidRPr="00EC4CF9" w14:paraId="06B479D0"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CE"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football</w:t>
            </w:r>
          </w:p>
        </w:tc>
        <w:tc>
          <w:tcPr>
            <w:tcW w:w="5640" w:type="dxa"/>
            <w:tcBorders>
              <w:top w:val="nil"/>
              <w:left w:val="nil"/>
              <w:bottom w:val="single" w:sz="4" w:space="0" w:color="auto"/>
              <w:right w:val="single" w:sz="8" w:space="0" w:color="auto"/>
            </w:tcBorders>
            <w:shd w:val="clear" w:color="auto" w:fill="auto"/>
            <w:hideMark/>
          </w:tcPr>
          <w:p w14:paraId="06B479CF"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did football (inc 5 aside); 0 = otherwise</w:t>
            </w:r>
          </w:p>
        </w:tc>
      </w:tr>
      <w:tr w:rsidR="00EC4CF9" w:rsidRPr="00EC4CF9" w14:paraId="06B479D3"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D1"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swimming</w:t>
            </w:r>
          </w:p>
        </w:tc>
        <w:tc>
          <w:tcPr>
            <w:tcW w:w="5640" w:type="dxa"/>
            <w:tcBorders>
              <w:top w:val="nil"/>
              <w:left w:val="nil"/>
              <w:bottom w:val="single" w:sz="4" w:space="0" w:color="auto"/>
              <w:right w:val="single" w:sz="8" w:space="0" w:color="auto"/>
            </w:tcBorders>
            <w:shd w:val="clear" w:color="auto" w:fill="auto"/>
            <w:hideMark/>
          </w:tcPr>
          <w:p w14:paraId="06B479D2"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did swimming / diving; 0 = otherwise</w:t>
            </w:r>
          </w:p>
        </w:tc>
      </w:tr>
      <w:tr w:rsidR="00EC4CF9" w:rsidRPr="00EC4CF9" w14:paraId="06B479D6"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D4"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cycling</w:t>
            </w:r>
          </w:p>
        </w:tc>
        <w:tc>
          <w:tcPr>
            <w:tcW w:w="5640" w:type="dxa"/>
            <w:tcBorders>
              <w:top w:val="nil"/>
              <w:left w:val="nil"/>
              <w:bottom w:val="single" w:sz="4" w:space="0" w:color="auto"/>
              <w:right w:val="single" w:sz="8" w:space="0" w:color="auto"/>
            </w:tcBorders>
            <w:shd w:val="clear" w:color="auto" w:fill="auto"/>
            <w:hideMark/>
          </w:tcPr>
          <w:p w14:paraId="06B479D5"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did cycling, BMX or mountain biking; 0 = otherwise</w:t>
            </w:r>
          </w:p>
        </w:tc>
      </w:tr>
      <w:tr w:rsidR="00EC4CF9" w:rsidRPr="00EC4CF9" w14:paraId="06B479D9" w14:textId="77777777" w:rsidTr="00EC4CF9">
        <w:trPr>
          <w:trHeight w:val="56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D7"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all audience arts</w:t>
            </w:r>
          </w:p>
        </w:tc>
        <w:tc>
          <w:tcPr>
            <w:tcW w:w="5640" w:type="dxa"/>
            <w:tcBorders>
              <w:top w:val="nil"/>
              <w:left w:val="nil"/>
              <w:bottom w:val="single" w:sz="4" w:space="0" w:color="auto"/>
              <w:right w:val="single" w:sz="8" w:space="0" w:color="auto"/>
            </w:tcBorders>
            <w:shd w:val="clear" w:color="auto" w:fill="auto"/>
            <w:hideMark/>
          </w:tcPr>
          <w:p w14:paraId="06B479D8"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was a film, exhibition, music, play or dance audience member (see below); 0 = otherwise</w:t>
            </w:r>
          </w:p>
        </w:tc>
      </w:tr>
      <w:tr w:rsidR="00EC4CF9" w:rsidRPr="00EC4CF9" w14:paraId="06B479DC" w14:textId="77777777" w:rsidTr="00EC4CF9">
        <w:trPr>
          <w:trHeight w:val="56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DA"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lastRenderedPageBreak/>
              <w:t>all participation arts</w:t>
            </w:r>
          </w:p>
        </w:tc>
        <w:tc>
          <w:tcPr>
            <w:tcW w:w="5640" w:type="dxa"/>
            <w:tcBorders>
              <w:top w:val="nil"/>
              <w:left w:val="nil"/>
              <w:bottom w:val="single" w:sz="4" w:space="0" w:color="auto"/>
              <w:right w:val="single" w:sz="8" w:space="0" w:color="auto"/>
            </w:tcBorders>
            <w:shd w:val="clear" w:color="auto" w:fill="auto"/>
            <w:hideMark/>
          </w:tcPr>
          <w:p w14:paraId="06B479DB"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dance, drama, music, art, craft, or literature audience member (see below); 0 = otherwise</w:t>
            </w:r>
          </w:p>
        </w:tc>
      </w:tr>
      <w:tr w:rsidR="00EC4CF9" w:rsidRPr="00EC4CF9" w14:paraId="06B479DF"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DD"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dance participation</w:t>
            </w:r>
          </w:p>
        </w:tc>
        <w:tc>
          <w:tcPr>
            <w:tcW w:w="5640" w:type="dxa"/>
            <w:tcBorders>
              <w:top w:val="nil"/>
              <w:left w:val="nil"/>
              <w:bottom w:val="single" w:sz="4" w:space="0" w:color="auto"/>
              <w:right w:val="single" w:sz="8" w:space="0" w:color="auto"/>
            </w:tcBorders>
            <w:shd w:val="clear" w:color="auto" w:fill="auto"/>
            <w:hideMark/>
          </w:tcPr>
          <w:p w14:paraId="06B479DE"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did dance, including ballet; 0 = otherwise</w:t>
            </w:r>
          </w:p>
        </w:tc>
      </w:tr>
      <w:tr w:rsidR="00EC4CF9" w:rsidRPr="00EC4CF9" w14:paraId="06B479E2" w14:textId="77777777" w:rsidTr="00EC4CF9">
        <w:trPr>
          <w:trHeight w:val="84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E0"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drama participation</w:t>
            </w:r>
          </w:p>
        </w:tc>
        <w:tc>
          <w:tcPr>
            <w:tcW w:w="5640" w:type="dxa"/>
            <w:tcBorders>
              <w:top w:val="nil"/>
              <w:left w:val="nil"/>
              <w:bottom w:val="single" w:sz="4" w:space="0" w:color="auto"/>
              <w:right w:val="single" w:sz="8" w:space="0" w:color="auto"/>
            </w:tcBorders>
            <w:shd w:val="clear" w:color="auto" w:fill="auto"/>
            <w:hideMark/>
          </w:tcPr>
          <w:p w14:paraId="06B479E1"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 xml:space="preserve">1 = sang to audience; rehearsed/performed play/drama, opera/operetta or musical theatre; musician, dancer or costume marker at a carnival or street arts event; 0 = otherwise </w:t>
            </w:r>
          </w:p>
        </w:tc>
      </w:tr>
      <w:tr w:rsidR="00EC4CF9" w:rsidRPr="00EC4CF9" w14:paraId="06B479E5"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E3"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music participation</w:t>
            </w:r>
          </w:p>
        </w:tc>
        <w:tc>
          <w:tcPr>
            <w:tcW w:w="5640" w:type="dxa"/>
            <w:tcBorders>
              <w:top w:val="nil"/>
              <w:left w:val="nil"/>
              <w:bottom w:val="single" w:sz="4" w:space="0" w:color="auto"/>
              <w:right w:val="single" w:sz="8" w:space="0" w:color="auto"/>
            </w:tcBorders>
            <w:shd w:val="clear" w:color="auto" w:fill="auto"/>
            <w:hideMark/>
          </w:tcPr>
          <w:p w14:paraId="06B479E4"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played a musical instrument or wrote music; 0 = otherwise</w:t>
            </w:r>
          </w:p>
        </w:tc>
      </w:tr>
      <w:tr w:rsidR="00EC4CF9" w:rsidRPr="00EC4CF9" w14:paraId="06B479E8" w14:textId="77777777" w:rsidTr="00EC4CF9">
        <w:trPr>
          <w:trHeight w:val="84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E6"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art participation</w:t>
            </w:r>
          </w:p>
        </w:tc>
        <w:tc>
          <w:tcPr>
            <w:tcW w:w="5640" w:type="dxa"/>
            <w:tcBorders>
              <w:top w:val="nil"/>
              <w:left w:val="nil"/>
              <w:bottom w:val="single" w:sz="4" w:space="0" w:color="auto"/>
              <w:right w:val="single" w:sz="8" w:space="0" w:color="auto"/>
            </w:tcBorders>
            <w:shd w:val="clear" w:color="auto" w:fill="auto"/>
            <w:hideMark/>
          </w:tcPr>
          <w:p w14:paraId="06B479E7"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did painting, drawing, printmaking or sculpture; photography, film or video-making; using a computer for original artworks or animation; 0 = otherwise</w:t>
            </w:r>
          </w:p>
        </w:tc>
      </w:tr>
      <w:tr w:rsidR="00EC4CF9" w:rsidRPr="00EC4CF9" w14:paraId="06B479EB" w14:textId="77777777" w:rsidTr="00EC4CF9">
        <w:trPr>
          <w:trHeight w:val="84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E9"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craft participation</w:t>
            </w:r>
          </w:p>
        </w:tc>
        <w:tc>
          <w:tcPr>
            <w:tcW w:w="5640" w:type="dxa"/>
            <w:tcBorders>
              <w:top w:val="nil"/>
              <w:left w:val="nil"/>
              <w:bottom w:val="single" w:sz="4" w:space="0" w:color="auto"/>
              <w:right w:val="single" w:sz="8" w:space="0" w:color="auto"/>
            </w:tcBorders>
            <w:shd w:val="clear" w:color="auto" w:fill="auto"/>
            <w:hideMark/>
          </w:tcPr>
          <w:p w14:paraId="06B479EA"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did textiles, wood crafts, or any other crafts such as embroidery, knitting, wood turning, furniture making, pottery or jewellery; 0 = otherwise</w:t>
            </w:r>
          </w:p>
        </w:tc>
      </w:tr>
      <w:tr w:rsidR="00EC4CF9" w:rsidRPr="00EC4CF9" w14:paraId="06B479EE" w14:textId="77777777" w:rsidTr="00EC4CF9">
        <w:trPr>
          <w:trHeight w:val="84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EC"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literature participation</w:t>
            </w:r>
          </w:p>
        </w:tc>
        <w:tc>
          <w:tcPr>
            <w:tcW w:w="5640" w:type="dxa"/>
            <w:tcBorders>
              <w:top w:val="nil"/>
              <w:left w:val="nil"/>
              <w:bottom w:val="single" w:sz="4" w:space="0" w:color="auto"/>
              <w:right w:val="single" w:sz="8" w:space="0" w:color="auto"/>
            </w:tcBorders>
            <w:shd w:val="clear" w:color="auto" w:fill="auto"/>
            <w:hideMark/>
          </w:tcPr>
          <w:p w14:paraId="06B479ED"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did reading for pleasure (not newspapers, magazines, or comics); was a member of a book club; wrote stories, plays, or poetry; 0 = otherwise</w:t>
            </w:r>
          </w:p>
        </w:tc>
      </w:tr>
      <w:tr w:rsidR="00EC4CF9" w:rsidRPr="00EC4CF9" w14:paraId="06B479F1"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EF"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film audience</w:t>
            </w:r>
          </w:p>
        </w:tc>
        <w:tc>
          <w:tcPr>
            <w:tcW w:w="5640" w:type="dxa"/>
            <w:tcBorders>
              <w:top w:val="nil"/>
              <w:left w:val="nil"/>
              <w:bottom w:val="single" w:sz="4" w:space="0" w:color="auto"/>
              <w:right w:val="single" w:sz="8" w:space="0" w:color="auto"/>
            </w:tcBorders>
            <w:shd w:val="clear" w:color="auto" w:fill="auto"/>
            <w:hideMark/>
          </w:tcPr>
          <w:p w14:paraId="06B479F0"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watched a film at the cinema or other venue; 0 = otherwise</w:t>
            </w:r>
          </w:p>
        </w:tc>
      </w:tr>
      <w:tr w:rsidR="00EC4CF9" w:rsidRPr="00EC4CF9" w14:paraId="06B479F4" w14:textId="77777777" w:rsidTr="00EC4CF9">
        <w:trPr>
          <w:trHeight w:val="56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F2"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exhibition audience</w:t>
            </w:r>
          </w:p>
        </w:tc>
        <w:tc>
          <w:tcPr>
            <w:tcW w:w="5640" w:type="dxa"/>
            <w:tcBorders>
              <w:top w:val="nil"/>
              <w:left w:val="nil"/>
              <w:bottom w:val="single" w:sz="4" w:space="0" w:color="auto"/>
              <w:right w:val="single" w:sz="8" w:space="0" w:color="auto"/>
            </w:tcBorders>
            <w:shd w:val="clear" w:color="auto" w:fill="auto"/>
            <w:hideMark/>
          </w:tcPr>
          <w:p w14:paraId="06B479F3"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went to an exhibition of art, photography, sculpture or craft; streets art or a public art display or installation;  0 = otherwise</w:t>
            </w:r>
          </w:p>
        </w:tc>
      </w:tr>
      <w:tr w:rsidR="00EC4CF9" w:rsidRPr="00EC4CF9" w14:paraId="06B479F7" w14:textId="77777777" w:rsidTr="00EC4CF9">
        <w:trPr>
          <w:trHeight w:val="56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F5"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music audience</w:t>
            </w:r>
          </w:p>
        </w:tc>
        <w:tc>
          <w:tcPr>
            <w:tcW w:w="5640" w:type="dxa"/>
            <w:tcBorders>
              <w:top w:val="nil"/>
              <w:left w:val="nil"/>
              <w:bottom w:val="single" w:sz="4" w:space="0" w:color="auto"/>
              <w:right w:val="single" w:sz="8" w:space="0" w:color="auto"/>
            </w:tcBorders>
            <w:shd w:val="clear" w:color="auto" w:fill="auto"/>
            <w:hideMark/>
          </w:tcPr>
          <w:p w14:paraId="06B479F6"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went to an opera/operetta; classical music performance; rock, pop or jazz performance; 0 = otherwise</w:t>
            </w:r>
          </w:p>
        </w:tc>
      </w:tr>
      <w:tr w:rsidR="00EC4CF9" w:rsidRPr="00EC4CF9" w14:paraId="06B479FA" w14:textId="77777777" w:rsidTr="00EC4CF9">
        <w:trPr>
          <w:trHeight w:val="280"/>
          <w:jc w:val="center"/>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14:paraId="06B479F8"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play audience</w:t>
            </w:r>
          </w:p>
        </w:tc>
        <w:tc>
          <w:tcPr>
            <w:tcW w:w="5640" w:type="dxa"/>
            <w:tcBorders>
              <w:top w:val="nil"/>
              <w:left w:val="nil"/>
              <w:bottom w:val="single" w:sz="4" w:space="0" w:color="auto"/>
              <w:right w:val="single" w:sz="8" w:space="0" w:color="auto"/>
            </w:tcBorders>
            <w:shd w:val="clear" w:color="auto" w:fill="auto"/>
            <w:hideMark/>
          </w:tcPr>
          <w:p w14:paraId="06B479F9"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went to a play/drama, pantomime, or musical; 0 = otherwise</w:t>
            </w:r>
          </w:p>
        </w:tc>
      </w:tr>
      <w:tr w:rsidR="00EC4CF9" w:rsidRPr="00EC4CF9" w14:paraId="06B479FD" w14:textId="77777777" w:rsidTr="00EC4CF9">
        <w:trPr>
          <w:trHeight w:val="860"/>
          <w:jc w:val="center"/>
        </w:trPr>
        <w:tc>
          <w:tcPr>
            <w:tcW w:w="2580" w:type="dxa"/>
            <w:tcBorders>
              <w:top w:val="nil"/>
              <w:left w:val="single" w:sz="8" w:space="0" w:color="auto"/>
              <w:bottom w:val="single" w:sz="8" w:space="0" w:color="auto"/>
              <w:right w:val="single" w:sz="4" w:space="0" w:color="auto"/>
            </w:tcBorders>
            <w:shd w:val="clear" w:color="auto" w:fill="auto"/>
            <w:noWrap/>
            <w:vAlign w:val="center"/>
            <w:hideMark/>
          </w:tcPr>
          <w:p w14:paraId="06B479FB" w14:textId="77777777" w:rsidR="00EC4CF9" w:rsidRPr="00EC4CF9" w:rsidRDefault="00EC4CF9" w:rsidP="00EC4CF9">
            <w:pPr>
              <w:spacing w:before="0"/>
              <w:ind w:left="0"/>
              <w:rPr>
                <w:rFonts w:ascii="Calibri" w:hAnsi="Calibri"/>
                <w:i/>
                <w:iCs/>
                <w:color w:val="000000"/>
                <w:sz w:val="20"/>
                <w:szCs w:val="20"/>
                <w:lang w:eastAsia="en-US"/>
              </w:rPr>
            </w:pPr>
            <w:r w:rsidRPr="00EC4CF9">
              <w:rPr>
                <w:rFonts w:ascii="Calibri" w:hAnsi="Calibri"/>
                <w:i/>
                <w:iCs/>
                <w:color w:val="000000"/>
                <w:sz w:val="20"/>
                <w:szCs w:val="20"/>
                <w:lang w:eastAsia="en-US"/>
              </w:rPr>
              <w:t>dance audience</w:t>
            </w:r>
          </w:p>
        </w:tc>
        <w:tc>
          <w:tcPr>
            <w:tcW w:w="5640" w:type="dxa"/>
            <w:tcBorders>
              <w:top w:val="nil"/>
              <w:left w:val="nil"/>
              <w:bottom w:val="single" w:sz="8" w:space="0" w:color="auto"/>
              <w:right w:val="single" w:sz="8" w:space="0" w:color="auto"/>
            </w:tcBorders>
            <w:shd w:val="clear" w:color="auto" w:fill="auto"/>
            <w:hideMark/>
          </w:tcPr>
          <w:p w14:paraId="06B479FC" w14:textId="77777777" w:rsidR="00EC4CF9" w:rsidRPr="00EC4CF9" w:rsidRDefault="00EC4CF9" w:rsidP="00EC4CF9">
            <w:pPr>
              <w:spacing w:before="0"/>
              <w:ind w:left="0"/>
              <w:rPr>
                <w:rFonts w:ascii="Calibri" w:hAnsi="Calibri"/>
                <w:color w:val="000000"/>
                <w:sz w:val="20"/>
                <w:szCs w:val="20"/>
                <w:lang w:eastAsia="en-US"/>
              </w:rPr>
            </w:pPr>
            <w:r w:rsidRPr="00EC4CF9">
              <w:rPr>
                <w:rFonts w:ascii="Calibri" w:hAnsi="Calibri"/>
                <w:color w:val="000000"/>
                <w:sz w:val="20"/>
                <w:szCs w:val="20"/>
                <w:lang w:eastAsia="en-US"/>
              </w:rPr>
              <w:t>1 = went to a ballet; contemporary dance; African people's dance or South Asian and Chinese dance; or contemporary dance; 0 = otherwise</w:t>
            </w:r>
          </w:p>
        </w:tc>
      </w:tr>
    </w:tbl>
    <w:p w14:paraId="06B479FE" w14:textId="77777777" w:rsidR="00EC4CF9" w:rsidRPr="00EC4CF9" w:rsidRDefault="00EC4CF9" w:rsidP="00EC4CF9">
      <w:pPr>
        <w:ind w:left="4088"/>
      </w:pPr>
    </w:p>
    <w:p w14:paraId="06B479FF" w14:textId="77777777" w:rsidR="000B1FC6" w:rsidRPr="00D67C9B" w:rsidRDefault="00B96BC4" w:rsidP="000B1FC6">
      <w:pPr>
        <w:pStyle w:val="Heading1Numbered"/>
        <w:numPr>
          <w:ilvl w:val="0"/>
          <w:numId w:val="0"/>
        </w:numPr>
        <w:rPr>
          <w:rFonts w:cs="Arial"/>
        </w:rPr>
      </w:pPr>
      <w:bookmarkStart w:id="9" w:name="_Toc385423395"/>
      <w:r>
        <w:rPr>
          <w:rFonts w:cs="Arial"/>
        </w:rPr>
        <w:lastRenderedPageBreak/>
        <w:t>Annex D</w:t>
      </w:r>
      <w:r w:rsidR="000B1FC6" w:rsidRPr="00D67C9B">
        <w:rPr>
          <w:rFonts w:cs="Arial"/>
        </w:rPr>
        <w:t>: Further research</w:t>
      </w:r>
      <w:bookmarkEnd w:id="9"/>
    </w:p>
    <w:p w14:paraId="06B47A00" w14:textId="77777777" w:rsidR="003F57EB" w:rsidRPr="003F57EB" w:rsidRDefault="003F57EB" w:rsidP="003F57EB">
      <w:pPr>
        <w:rPr>
          <w:rFonts w:cs="Arial"/>
        </w:rPr>
      </w:pPr>
      <w:r w:rsidRPr="003F57EB">
        <w:rPr>
          <w:rFonts w:cs="Arial"/>
          <w:b/>
        </w:rPr>
        <w:t>Going forward, research in this area should aim to more conclusively address the issue of causality.</w:t>
      </w:r>
      <w:r w:rsidRPr="003F57EB">
        <w:rPr>
          <w:rFonts w:cs="Arial"/>
        </w:rPr>
        <w:t xml:space="preserve"> Longitudinal data (either from subsequent waves of Understanding Society or from the new element of the Taking Part survey) are useful as we can control for some unobservable factors (those factors that do not change over time) through use of fixed effects regression analysis. Longitudinal data should not be seen as a panacea for the question of causality, however, because they cannot solve for the effect of unobservable factors that are not constant over time (such as people’s preferences), which means that we still may not be able to attribute causality fully.</w:t>
      </w:r>
    </w:p>
    <w:p w14:paraId="06B47A01" w14:textId="77777777" w:rsidR="003F57EB" w:rsidRPr="003F57EB" w:rsidRDefault="003F57EB" w:rsidP="003F57EB">
      <w:pPr>
        <w:rPr>
          <w:rFonts w:cs="Arial"/>
        </w:rPr>
      </w:pPr>
    </w:p>
    <w:p w14:paraId="06B47A02" w14:textId="31591B15" w:rsidR="003F57EB" w:rsidRPr="003F57EB" w:rsidRDefault="003F57EB" w:rsidP="003F57EB">
      <w:pPr>
        <w:rPr>
          <w:rFonts w:cs="Arial"/>
        </w:rPr>
      </w:pPr>
      <w:r w:rsidRPr="003F57EB">
        <w:rPr>
          <w:rFonts w:cs="Arial"/>
        </w:rPr>
        <w:t xml:space="preserve">In order to conclusively address direction of causality issues, further work of the following type would be recommended.  </w:t>
      </w:r>
      <w:r w:rsidRPr="003F57EB">
        <w:rPr>
          <w:rFonts w:cs="Arial"/>
          <w:b/>
        </w:rPr>
        <w:t xml:space="preserve">Experimental methods - </w:t>
      </w:r>
      <w:r w:rsidRPr="003F57EB">
        <w:rPr>
          <w:rFonts w:cs="Arial"/>
        </w:rPr>
        <w:t>whereby engagement in culture and sport is randomly assigned</w:t>
      </w:r>
      <w:r w:rsidRPr="003F57EB">
        <w:rPr>
          <w:rFonts w:cs="Arial"/>
          <w:b/>
        </w:rPr>
        <w:t xml:space="preserve"> </w:t>
      </w:r>
      <w:r w:rsidR="0079130D">
        <w:rPr>
          <w:rFonts w:cs="Arial"/>
        </w:rPr>
        <w:t>-</w:t>
      </w:r>
      <w:r w:rsidRPr="003F57EB">
        <w:rPr>
          <w:rFonts w:cs="Arial"/>
        </w:rPr>
        <w:t xml:space="preserve"> will allow us to single out</w:t>
      </w:r>
      <w:r w:rsidRPr="003F57EB">
        <w:rPr>
          <w:rFonts w:cs="Arial"/>
          <w:b/>
        </w:rPr>
        <w:t xml:space="preserve"> </w:t>
      </w:r>
      <w:r w:rsidRPr="003F57EB">
        <w:rPr>
          <w:rFonts w:cs="Arial"/>
        </w:rPr>
        <w:t xml:space="preserve">the effects of engagement and participation, although this may be difficult in practice due to non-compliance. However, this can be overcome somewhat by use of methods that randomise </w:t>
      </w:r>
      <w:r w:rsidRPr="003F57EB">
        <w:rPr>
          <w:rFonts w:cs="Arial"/>
          <w:i/>
        </w:rPr>
        <w:t>encouragement</w:t>
      </w:r>
      <w:r w:rsidRPr="003F57EB">
        <w:rPr>
          <w:rFonts w:cs="Arial"/>
        </w:rPr>
        <w:t xml:space="preserve"> </w:t>
      </w:r>
      <w:r w:rsidRPr="003F57EB">
        <w:rPr>
          <w:rFonts w:cs="Arial"/>
          <w:i/>
        </w:rPr>
        <w:t>to participate</w:t>
      </w:r>
      <w:r w:rsidRPr="003F57EB">
        <w:rPr>
          <w:rFonts w:cs="Arial"/>
        </w:rPr>
        <w:t xml:space="preserve"> in sporting and cultural activities instead - this might be through the provision of vouchers for free entry in to exhibits, art classes or sporting events. Encouragement designs allow people to ultimately decide whether they want to participate or not and they have been conducted to test the effect of adult learning on job outcomes in Switzerland (Schwerdt et al, 2012) for example. </w:t>
      </w:r>
    </w:p>
    <w:p w14:paraId="06B47A03" w14:textId="77777777" w:rsidR="003F57EB" w:rsidRPr="003F57EB" w:rsidRDefault="003F57EB" w:rsidP="003F57EB">
      <w:pPr>
        <w:rPr>
          <w:rFonts w:cs="Arial"/>
        </w:rPr>
      </w:pPr>
    </w:p>
    <w:p w14:paraId="06B47A04" w14:textId="77777777" w:rsidR="003F57EB" w:rsidRPr="003F57EB" w:rsidRDefault="003F57EB" w:rsidP="003F57EB">
      <w:pPr>
        <w:rPr>
          <w:rFonts w:cs="Arial"/>
        </w:rPr>
      </w:pPr>
      <w:r w:rsidRPr="003F57EB">
        <w:rPr>
          <w:rFonts w:cs="Arial"/>
        </w:rPr>
        <w:t xml:space="preserve">Alternatively robust causal estimates can also be derived from </w:t>
      </w:r>
      <w:r w:rsidRPr="003F57EB">
        <w:rPr>
          <w:rFonts w:cs="Arial"/>
          <w:b/>
        </w:rPr>
        <w:t>regression discontinuity design (RDD) methods</w:t>
      </w:r>
      <w:r w:rsidRPr="003F57EB">
        <w:rPr>
          <w:rFonts w:cs="Arial"/>
        </w:rPr>
        <w:t xml:space="preserve">, whereby eligibility to participate in cultural and sporting activities is based on a single (pre-determined) observable criterion, such as frequency of engagement in the previous month or level of household income and here the intervention can be targeted at those groups in need or that are disadvantaged. </w:t>
      </w:r>
    </w:p>
    <w:p w14:paraId="06B47A05" w14:textId="77777777" w:rsidR="000B1FC6" w:rsidRPr="00D67C9B" w:rsidRDefault="000B1FC6">
      <w:pPr>
        <w:spacing w:before="0"/>
        <w:ind w:left="0"/>
        <w:rPr>
          <w:rFonts w:cs="Arial"/>
        </w:rPr>
      </w:pPr>
    </w:p>
    <w:p w14:paraId="06B47A06" w14:textId="77777777" w:rsidR="000B1FC6" w:rsidRPr="00D67C9B" w:rsidRDefault="000B1FC6" w:rsidP="000B1FC6">
      <w:pPr>
        <w:pStyle w:val="Heading1Numbered"/>
        <w:numPr>
          <w:ilvl w:val="0"/>
          <w:numId w:val="0"/>
        </w:numPr>
        <w:rPr>
          <w:rFonts w:cs="Arial"/>
        </w:rPr>
      </w:pPr>
      <w:bookmarkStart w:id="10" w:name="_Toc385423396"/>
      <w:r w:rsidRPr="00D67C9B">
        <w:rPr>
          <w:rFonts w:cs="Arial"/>
        </w:rPr>
        <w:lastRenderedPageBreak/>
        <w:t>Annex E: References</w:t>
      </w:r>
      <w:bookmarkEnd w:id="10"/>
    </w:p>
    <w:p w14:paraId="06B47A07" w14:textId="77777777" w:rsidR="00B35F26" w:rsidRDefault="00B35F26" w:rsidP="00B35F26">
      <w:pPr>
        <w:pStyle w:val="Bibliography"/>
        <w:rPr>
          <w:rFonts w:cs="Arial"/>
        </w:rPr>
      </w:pPr>
      <w:r>
        <w:rPr>
          <w:rFonts w:cs="Arial"/>
        </w:rPr>
        <w:t>This section presents the combined list of references for both papers produced based on the reporting of the LSE authors.</w:t>
      </w:r>
    </w:p>
    <w:p w14:paraId="06B47A08" w14:textId="77777777" w:rsidR="00B35F26" w:rsidRDefault="00B35F26" w:rsidP="00B72AB2">
      <w:pPr>
        <w:pStyle w:val="Bibliography"/>
        <w:rPr>
          <w:rFonts w:cs="Arial"/>
        </w:rPr>
      </w:pPr>
    </w:p>
    <w:p w14:paraId="06B47A09" w14:textId="77777777" w:rsidR="00B72AB2" w:rsidRPr="00D67C9B" w:rsidRDefault="00EA267B" w:rsidP="00B72AB2">
      <w:pPr>
        <w:pStyle w:val="Bibliography"/>
        <w:rPr>
          <w:rFonts w:cs="Arial"/>
        </w:rPr>
      </w:pPr>
      <w:r w:rsidRPr="00D67C9B">
        <w:rPr>
          <w:rFonts w:cs="Arial"/>
        </w:rPr>
        <w:fldChar w:fldCharType="begin"/>
      </w:r>
      <w:r w:rsidR="00B72AB2" w:rsidRPr="00D67C9B">
        <w:rPr>
          <w:rFonts w:cs="Arial"/>
        </w:rPr>
        <w:instrText xml:space="preserve"> ADDIN ZOTERO_BIBL {"uncited":[["http://zotero.org/users/1148429/items/66E9D627"],["http://zotero.org/users/1148429/items/EV22TT7X"],["http://zotero.org/users/1148429/items/QASMTT85"],["http://zotero.org/users/1148429/items/SBWQ8DBG"],["http://zotero.org/users/1148429/items/Q8KBUIE9"],["http://zotero.org/users/1148429/items/SKRZUDXM"],["http://zotero.org/users/1148429/items/JX8DAZPG"],["http://zotero.org/users/1148429/items/7ICR8WGG"],["http://zotero.org/users/1148429/items/UTPS52J8"],["http://zotero.org/users/1148429/items/9C3XIICF"],["http://zotero.org/users/1148429/items/VCU8HNQZ"],["http://zotero.org/users/1148429/items/47QMN7XF"],["http://zotero.org/users/1148429/items/5RZ4IBJ7"],["http://zotero.org/users/1148429/items/57Z3R4UD"],["http://zotero.org/users/1148429/items/M8MKB426"],["http://zotero.org/users/1148429/items/X2WFGCIZ"],["http://zotero.org/users/1148429/items/HJNVG42J"],["http://zotero.org/users/1148429/items/PW877U9E"],["http://zotero.org/users/1148429/items/EXI7X8E6"],["http://zotero.org/users/1148429/items/ECAUK35C"],["http://zotero.org/users/1148429/items/NWNBN4DN"],["http://zotero.org/users/1148429/items/IQAZQTDP"],["http://zotero.org/users/1148429/items/CBKCSX7A"],["http://zotero.org/users/1148429/items/WHDMZAMZ"],["http://zotero.org/users/1148429/items/2MV5QIPF"],["http://zotero.org/users/1148429/items/82Q3CPHQ"],["http://zotero.org/users/1148429/items/TWIMRVUM"],["http://zotero.org/users/1148429/items/D8GFHW7Z"],["http://zotero.org/users/1148429/items/3EQQW8FP"],["http://zotero.org/users/1148429/items/2TPR8U35"],["http://zotero.org/users/1148429/items/5AQJABSI"],["http://zotero.org/users/1148429/items/BTUXTRC8"],["http://zotero.org/users/1148429/items/SVZJCIXX"],["http://zotero.org/users/1148429/items/4VM5KTVH"],["http://zotero.org/users/1148429/items/DTZTAQ86"]],"omitted":[["http://zotero.org/users/1148429/items/JGNV87W8"],["http://zotero.org/users/1148429/items/VDQQDNSC"],["http://zotero.org/users/1148429/items/968GH9T8"],["http://zotero.org/users/1148429/items/M5DJ4KET"],["http://zotero.org/users/1148429/items/ET9I76HQ"],["http://zotero.org/users/1148429/items/C27R9CCH"]],"custom":[]} CSL_BIBLIOGRAPHY </w:instrText>
      </w:r>
      <w:r w:rsidRPr="00D67C9B">
        <w:rPr>
          <w:rFonts w:cs="Arial"/>
        </w:rPr>
        <w:fldChar w:fldCharType="separate"/>
      </w:r>
      <w:r w:rsidR="00B72AB2" w:rsidRPr="00D67C9B">
        <w:rPr>
          <w:rFonts w:cs="Arial"/>
        </w:rPr>
        <w:t xml:space="preserve">Andersen, Lars Bo, Peter Schnohr, Marianne Schroll, and Hans Ole Hein. 2000. “All-cause Mortality Associated with Physical Activity During Leisure Time, Work, Sports, and Cycling to Work.” </w:t>
      </w:r>
      <w:r w:rsidR="00B72AB2" w:rsidRPr="00D67C9B">
        <w:rPr>
          <w:rFonts w:cs="Arial"/>
          <w:i/>
          <w:iCs/>
        </w:rPr>
        <w:t>Archives of Internal Medicine</w:t>
      </w:r>
      <w:r w:rsidR="00B72AB2" w:rsidRPr="00D67C9B">
        <w:rPr>
          <w:rFonts w:cs="Arial"/>
        </w:rPr>
        <w:t xml:space="preserve"> 160 (11): 1621.</w:t>
      </w:r>
    </w:p>
    <w:p w14:paraId="06B47A0A" w14:textId="77777777" w:rsidR="00B72AB2" w:rsidRPr="00D67C9B" w:rsidRDefault="00B72AB2" w:rsidP="00B72AB2">
      <w:pPr>
        <w:pStyle w:val="Bibliography"/>
        <w:rPr>
          <w:rFonts w:cs="Arial"/>
        </w:rPr>
      </w:pPr>
      <w:r w:rsidRPr="00D67C9B">
        <w:rPr>
          <w:rFonts w:cs="Arial"/>
        </w:rPr>
        <w:t xml:space="preserve">Apouey, B., and A. E. Clark. 2009. “Winning Big but Feeling No Better? The Effect of Lottery Prizes on Physical and Mental Health.” </w:t>
      </w:r>
      <w:r w:rsidRPr="00D67C9B">
        <w:rPr>
          <w:rFonts w:cs="Arial"/>
          <w:i/>
          <w:iCs/>
        </w:rPr>
        <w:t>PSE Working Papers</w:t>
      </w:r>
      <w:r w:rsidRPr="00D67C9B">
        <w:rPr>
          <w:rFonts w:cs="Arial"/>
        </w:rPr>
        <w:t>.</w:t>
      </w:r>
    </w:p>
    <w:p w14:paraId="06B47A0B" w14:textId="77777777" w:rsidR="00B72AB2" w:rsidRPr="00D67C9B" w:rsidRDefault="00B72AB2" w:rsidP="00B72AB2">
      <w:pPr>
        <w:pStyle w:val="Bibliography"/>
        <w:rPr>
          <w:rFonts w:cs="Arial"/>
        </w:rPr>
      </w:pPr>
      <w:r w:rsidRPr="00D67C9B">
        <w:rPr>
          <w:rFonts w:cs="Arial"/>
        </w:rPr>
        <w:t xml:space="preserve">Bockstael, E. Nancy, and Kenneth E. McConnell. 1980. “Calculating Equivalent and Compensating Variation for Natural Resource Facilities.” </w:t>
      </w:r>
      <w:r w:rsidRPr="00D67C9B">
        <w:rPr>
          <w:rFonts w:cs="Arial"/>
          <w:i/>
          <w:iCs/>
        </w:rPr>
        <w:t>Land Economics</w:t>
      </w:r>
      <w:r w:rsidRPr="00D67C9B">
        <w:rPr>
          <w:rFonts w:cs="Arial"/>
        </w:rPr>
        <w:t xml:space="preserve"> 56 (1): 56–63.</w:t>
      </w:r>
    </w:p>
    <w:p w14:paraId="06B47A0C" w14:textId="77777777" w:rsidR="00B72AB2" w:rsidRPr="00D67C9B" w:rsidRDefault="00B72AB2" w:rsidP="00B72AB2">
      <w:pPr>
        <w:pStyle w:val="Bibliography"/>
        <w:rPr>
          <w:rFonts w:cs="Arial"/>
        </w:rPr>
      </w:pPr>
      <w:r w:rsidRPr="00D67C9B">
        <w:rPr>
          <w:rFonts w:cs="Arial"/>
        </w:rPr>
        <w:t xml:space="preserve">Bygren, L., B. Konlaan and S. Johansson. 1996b. “Attendance at Cultural Events, Reading Books or Periodicals, and Making Music or Singing in a Choir as Determinants for Survival: Swedish Interview Survey of Living Conditions.” </w:t>
      </w:r>
      <w:r w:rsidRPr="00D67C9B">
        <w:rPr>
          <w:rFonts w:cs="Arial"/>
          <w:i/>
          <w:iCs/>
        </w:rPr>
        <w:t>BMJ</w:t>
      </w:r>
      <w:r w:rsidRPr="00D67C9B">
        <w:rPr>
          <w:rFonts w:cs="Arial"/>
        </w:rPr>
        <w:t xml:space="preserve"> 313 (7072): 1577–1580.</w:t>
      </w:r>
    </w:p>
    <w:p w14:paraId="06B47A0D" w14:textId="77777777" w:rsidR="00B72AB2" w:rsidRPr="00D67C9B" w:rsidRDefault="00B72AB2" w:rsidP="00B72AB2">
      <w:pPr>
        <w:pStyle w:val="Bibliography"/>
        <w:rPr>
          <w:rFonts w:cs="Arial"/>
        </w:rPr>
      </w:pPr>
      <w:r w:rsidRPr="00D67C9B">
        <w:rPr>
          <w:rFonts w:cs="Arial"/>
        </w:rPr>
        <w:t xml:space="preserve">Carroll, James, Siobhan McCarthy, and Carol Newman. 2005. “An Econometric Analysis of Charitable Donations in the Republic of Ireland.” </w:t>
      </w:r>
      <w:r w:rsidRPr="00D67C9B">
        <w:rPr>
          <w:rFonts w:cs="Arial"/>
          <w:i/>
          <w:iCs/>
        </w:rPr>
        <w:t>Economic and Social Review</w:t>
      </w:r>
      <w:r w:rsidRPr="00D67C9B">
        <w:rPr>
          <w:rFonts w:cs="Arial"/>
        </w:rPr>
        <w:t xml:space="preserve"> 36 (3): 229.</w:t>
      </w:r>
    </w:p>
    <w:p w14:paraId="06B47A0E" w14:textId="77777777" w:rsidR="00B72AB2" w:rsidRPr="00D67C9B" w:rsidRDefault="00B72AB2" w:rsidP="00B72AB2">
      <w:pPr>
        <w:pStyle w:val="Bibliography"/>
        <w:rPr>
          <w:rFonts w:cs="Arial"/>
        </w:rPr>
      </w:pPr>
      <w:r w:rsidRPr="00D67C9B">
        <w:rPr>
          <w:rFonts w:cs="Arial"/>
        </w:rPr>
        <w:t>“CASE Programme: Understanding the Drivers, Impacts and Value of Engagement in Culture and Sport - Publications - Inside Government - GOV.UK.” 2013. Accessed April 16. https://www.gov.uk/government/publications/case-programme-understanding-the-drivers-impacts-and-value-of-engagement-in-culture-and-sport.</w:t>
      </w:r>
    </w:p>
    <w:p w14:paraId="06B47A0F" w14:textId="77777777" w:rsidR="00B72AB2" w:rsidRPr="00D67C9B" w:rsidRDefault="00B72AB2" w:rsidP="00B72AB2">
      <w:pPr>
        <w:pStyle w:val="Bibliography"/>
        <w:rPr>
          <w:rFonts w:cs="Arial"/>
        </w:rPr>
      </w:pPr>
      <w:r w:rsidRPr="00D67C9B">
        <w:rPr>
          <w:rFonts w:cs="Arial"/>
        </w:rPr>
        <w:t xml:space="preserve">Clark, A. E., and A. J. Oswald. 2002. “A Simple Statistical Method for Measuring How Life Events Affect Happiness.” </w:t>
      </w:r>
      <w:r w:rsidRPr="00D67C9B">
        <w:rPr>
          <w:rFonts w:cs="Arial"/>
          <w:i/>
          <w:iCs/>
        </w:rPr>
        <w:t>International Journal of Epidemiology</w:t>
      </w:r>
      <w:r w:rsidRPr="00D67C9B">
        <w:rPr>
          <w:rFonts w:cs="Arial"/>
        </w:rPr>
        <w:t xml:space="preserve"> 31: 1139–1144.</w:t>
      </w:r>
    </w:p>
    <w:p w14:paraId="06B47A10" w14:textId="77777777" w:rsidR="00B72AB2" w:rsidRPr="00D67C9B" w:rsidRDefault="00B72AB2" w:rsidP="00B72AB2">
      <w:pPr>
        <w:pStyle w:val="Bibliography"/>
        <w:rPr>
          <w:rFonts w:cs="Arial"/>
        </w:rPr>
      </w:pPr>
      <w:r w:rsidRPr="00D67C9B">
        <w:rPr>
          <w:rFonts w:cs="Arial"/>
        </w:rPr>
        <w:t xml:space="preserve">Clark, Andrew E. 2001. “What Really Matters in a Job? Hedonic Measurement Using Quit Data.” </w:t>
      </w:r>
      <w:r w:rsidRPr="00D67C9B">
        <w:rPr>
          <w:rFonts w:cs="Arial"/>
          <w:i/>
          <w:iCs/>
        </w:rPr>
        <w:t>Labour Economics</w:t>
      </w:r>
      <w:r w:rsidRPr="00D67C9B">
        <w:rPr>
          <w:rFonts w:cs="Arial"/>
        </w:rPr>
        <w:t xml:space="preserve"> 8 (2): 223–242. doi:10.1016/s0927-5371(01)00031-8.</w:t>
      </w:r>
    </w:p>
    <w:p w14:paraId="06B47A11" w14:textId="77777777" w:rsidR="00B72AB2" w:rsidRPr="00D67C9B" w:rsidRDefault="00B72AB2" w:rsidP="00B72AB2">
      <w:pPr>
        <w:pStyle w:val="Bibliography"/>
        <w:rPr>
          <w:rFonts w:cs="Arial"/>
        </w:rPr>
      </w:pPr>
      <w:r w:rsidRPr="00D67C9B">
        <w:rPr>
          <w:rFonts w:cs="Arial"/>
        </w:rPr>
        <w:t xml:space="preserve">Colombino, Ugo, and Annamaria Nese. 2009. “Preference Heterogeneity in Relation to Museum Services.” </w:t>
      </w:r>
      <w:r w:rsidRPr="00D67C9B">
        <w:rPr>
          <w:rFonts w:cs="Arial"/>
          <w:i/>
          <w:iCs/>
        </w:rPr>
        <w:t>Tourism Economics</w:t>
      </w:r>
      <w:r w:rsidRPr="00D67C9B">
        <w:rPr>
          <w:rFonts w:cs="Arial"/>
        </w:rPr>
        <w:t xml:space="preserve"> 15 (2): 381–395.</w:t>
      </w:r>
    </w:p>
    <w:p w14:paraId="06B47A12" w14:textId="50B5D21F" w:rsidR="00B72AB2" w:rsidRPr="00D67C9B" w:rsidRDefault="00B72AB2" w:rsidP="00B72AB2">
      <w:pPr>
        <w:pStyle w:val="Bibliography"/>
        <w:rPr>
          <w:rFonts w:cs="Arial"/>
        </w:rPr>
      </w:pPr>
      <w:r w:rsidRPr="00D67C9B">
        <w:rPr>
          <w:rFonts w:cs="Arial"/>
        </w:rPr>
        <w:t>DeNeve, K., and H. Cooper. 1998. “The Happy Personality: Traits and A Meta-Analysis of 137 Personality Subjective Well</w:t>
      </w:r>
      <w:r w:rsidR="00213078">
        <w:rPr>
          <w:rFonts w:cs="Arial"/>
        </w:rPr>
        <w:t>being</w:t>
      </w:r>
      <w:r w:rsidRPr="00D67C9B">
        <w:rPr>
          <w:rFonts w:cs="Arial"/>
        </w:rPr>
        <w:t xml:space="preserve">.” </w:t>
      </w:r>
      <w:r w:rsidRPr="00D67C9B">
        <w:rPr>
          <w:rFonts w:cs="Arial"/>
          <w:i/>
          <w:iCs/>
        </w:rPr>
        <w:t>Psychological Bulletin</w:t>
      </w:r>
      <w:r w:rsidRPr="00D67C9B">
        <w:rPr>
          <w:rFonts w:cs="Arial"/>
        </w:rPr>
        <w:t xml:space="preserve"> 124 (2): 197–229.</w:t>
      </w:r>
    </w:p>
    <w:p w14:paraId="06B47A13" w14:textId="77777777" w:rsidR="00B72AB2" w:rsidRPr="00D67C9B" w:rsidRDefault="00B72AB2" w:rsidP="00B72AB2">
      <w:pPr>
        <w:pStyle w:val="Bibliography"/>
        <w:rPr>
          <w:rFonts w:cs="Arial"/>
        </w:rPr>
      </w:pPr>
      <w:r w:rsidRPr="00D67C9B">
        <w:rPr>
          <w:rFonts w:cs="Arial"/>
        </w:rPr>
        <w:lastRenderedPageBreak/>
        <w:t xml:space="preserve">Dolan, Paul, and Daniel Kahneman. 2008. “Interpretations Of Utility And Their Implications For The Valuation Of Health*.” </w:t>
      </w:r>
      <w:r w:rsidRPr="00D67C9B">
        <w:rPr>
          <w:rFonts w:cs="Arial"/>
          <w:i/>
          <w:iCs/>
        </w:rPr>
        <w:t>The Economic Journal</w:t>
      </w:r>
      <w:r w:rsidRPr="00D67C9B">
        <w:rPr>
          <w:rFonts w:cs="Arial"/>
        </w:rPr>
        <w:t xml:space="preserve"> 118 (525): 215–234. doi:10.1111/j.1468-0297.2007.02110.x.</w:t>
      </w:r>
    </w:p>
    <w:p w14:paraId="06B47A14" w14:textId="77777777" w:rsidR="00B72AB2" w:rsidRPr="00D67C9B" w:rsidRDefault="00B72AB2" w:rsidP="00B72AB2">
      <w:pPr>
        <w:pStyle w:val="Bibliography"/>
        <w:rPr>
          <w:rFonts w:cs="Arial"/>
        </w:rPr>
      </w:pPr>
      <w:r w:rsidRPr="00D67C9B">
        <w:rPr>
          <w:rFonts w:cs="Arial"/>
        </w:rPr>
        <w:t>Dolan, Paul, and Daniel Fujiwara. 2012. “Valuing Adult Learning: Comparing Wellbeing Valuation to Contingent Valuation.” http://dera.ioe.ac.uk/15995/1/12-1127-valuing-adult-learning-comparing-wellbeing-to-contingent.pdf.</w:t>
      </w:r>
    </w:p>
    <w:p w14:paraId="06B47A15" w14:textId="77777777" w:rsidR="00B72AB2" w:rsidRPr="00D67C9B" w:rsidRDefault="00B72AB2" w:rsidP="00B72AB2">
      <w:pPr>
        <w:pStyle w:val="Bibliography"/>
        <w:rPr>
          <w:rFonts w:cs="Arial"/>
        </w:rPr>
      </w:pPr>
      <w:r w:rsidRPr="00D67C9B">
        <w:rPr>
          <w:rFonts w:cs="Arial"/>
        </w:rPr>
        <w:t xml:space="preserve">Ferrer-i-Carbonell, A., and P. Frijters. 2004. “How Important Is Methodology for the Estimates of the Determinants of Happiness?” </w:t>
      </w:r>
      <w:r w:rsidRPr="00D67C9B">
        <w:rPr>
          <w:rFonts w:cs="Arial"/>
          <w:i/>
          <w:iCs/>
        </w:rPr>
        <w:t>The Economic Journal</w:t>
      </w:r>
      <w:r w:rsidRPr="00D67C9B">
        <w:rPr>
          <w:rFonts w:cs="Arial"/>
        </w:rPr>
        <w:t xml:space="preserve"> 114: 641–659.</w:t>
      </w:r>
    </w:p>
    <w:p w14:paraId="06B47A16" w14:textId="77777777" w:rsidR="00B72AB2" w:rsidRPr="00D67C9B" w:rsidRDefault="00B72AB2" w:rsidP="00B72AB2">
      <w:pPr>
        <w:pStyle w:val="Bibliography"/>
        <w:rPr>
          <w:rFonts w:cs="Arial"/>
        </w:rPr>
      </w:pPr>
      <w:r w:rsidRPr="00D67C9B">
        <w:rPr>
          <w:rFonts w:cs="Arial"/>
        </w:rPr>
        <w:t>Fujiwara, D. 2013(a). “Museums and Happiness: The Value of Participating in Museums and the Arts”. Forthcoming report for the Happy Museums Project.</w:t>
      </w:r>
    </w:p>
    <w:p w14:paraId="06B47A17" w14:textId="77777777" w:rsidR="00B72AB2" w:rsidRPr="00D67C9B" w:rsidRDefault="00B72AB2" w:rsidP="00B72AB2">
      <w:pPr>
        <w:pStyle w:val="Bibliography"/>
        <w:rPr>
          <w:rFonts w:cs="Arial"/>
        </w:rPr>
      </w:pPr>
      <w:r w:rsidRPr="00D67C9B">
        <w:rPr>
          <w:rFonts w:cs="Arial"/>
        </w:rPr>
        <w:t xml:space="preserve">Fujiwara, D. 2013 (b). “The Social Impact of Housing Providers.” </w:t>
      </w:r>
      <w:r w:rsidRPr="00D67C9B">
        <w:rPr>
          <w:rFonts w:cs="Arial"/>
          <w:i/>
          <w:iCs/>
        </w:rPr>
        <w:t>HACT</w:t>
      </w:r>
      <w:r w:rsidRPr="00D67C9B">
        <w:rPr>
          <w:rFonts w:cs="Arial"/>
        </w:rPr>
        <w:t>.</w:t>
      </w:r>
    </w:p>
    <w:p w14:paraId="06B47A18" w14:textId="77777777" w:rsidR="00B72AB2" w:rsidRPr="00D67C9B" w:rsidRDefault="00B72AB2" w:rsidP="00B72AB2">
      <w:pPr>
        <w:rPr>
          <w:rFonts w:cs="Arial"/>
        </w:rPr>
      </w:pPr>
      <w:r w:rsidRPr="00D67C9B">
        <w:rPr>
          <w:rFonts w:cs="Arial"/>
        </w:rPr>
        <w:t>Fujiwara, D. 2013 (c). Museums and Happiness: The value of participating in museums and the arts. The Happy Museum Project publication.</w:t>
      </w:r>
    </w:p>
    <w:p w14:paraId="06B47A19" w14:textId="528D568E" w:rsidR="00B72AB2" w:rsidRPr="00D67C9B" w:rsidRDefault="00B72AB2" w:rsidP="00B72AB2">
      <w:pPr>
        <w:pStyle w:val="Bibliography"/>
        <w:rPr>
          <w:rFonts w:cs="Arial"/>
        </w:rPr>
      </w:pPr>
      <w:r w:rsidRPr="00D67C9B">
        <w:rPr>
          <w:rFonts w:cs="Arial"/>
        </w:rPr>
        <w:t xml:space="preserve">Fujiwara, D., and R. Campbell. 2011. </w:t>
      </w:r>
      <w:r w:rsidRPr="00D67C9B">
        <w:rPr>
          <w:rFonts w:cs="Arial"/>
          <w:i/>
          <w:iCs/>
        </w:rPr>
        <w:t>Valuation Techniques for Social Cost-Benefit Analysis: Stated Preference, Revealed Preference and Subjective Well</w:t>
      </w:r>
      <w:r w:rsidR="00213078">
        <w:rPr>
          <w:rFonts w:cs="Arial"/>
          <w:i/>
          <w:iCs/>
        </w:rPr>
        <w:t>being</w:t>
      </w:r>
      <w:r w:rsidRPr="00D67C9B">
        <w:rPr>
          <w:rFonts w:cs="Arial"/>
          <w:i/>
          <w:iCs/>
        </w:rPr>
        <w:t xml:space="preserve"> Approaches</w:t>
      </w:r>
      <w:r w:rsidRPr="00D67C9B">
        <w:rPr>
          <w:rFonts w:cs="Arial"/>
        </w:rPr>
        <w:t>.</w:t>
      </w:r>
    </w:p>
    <w:p w14:paraId="06B47A1A" w14:textId="77777777" w:rsidR="00B72AB2" w:rsidRPr="00D67C9B" w:rsidRDefault="00B72AB2" w:rsidP="00B72AB2">
      <w:pPr>
        <w:pStyle w:val="Bibliography"/>
        <w:rPr>
          <w:rFonts w:cs="Arial"/>
        </w:rPr>
      </w:pPr>
      <w:r w:rsidRPr="00D67C9B">
        <w:rPr>
          <w:rFonts w:cs="Arial"/>
        </w:rPr>
        <w:t xml:space="preserve">Gardner, Jonathan, and Andrew J. Oswald. 2007. “Money and Mental Wellbeing: A Longitudinal Study of Medium-sized Lottery Wins.” </w:t>
      </w:r>
      <w:r w:rsidRPr="00D67C9B">
        <w:rPr>
          <w:rFonts w:cs="Arial"/>
          <w:i/>
          <w:iCs/>
        </w:rPr>
        <w:t>Journal of Health Economics</w:t>
      </w:r>
      <w:r w:rsidRPr="00D67C9B">
        <w:rPr>
          <w:rFonts w:cs="Arial"/>
        </w:rPr>
        <w:t xml:space="preserve"> 26 (1): 49–60.</w:t>
      </w:r>
    </w:p>
    <w:p w14:paraId="06B47A1B" w14:textId="77777777" w:rsidR="00B72AB2" w:rsidRPr="00D67C9B" w:rsidRDefault="00B72AB2" w:rsidP="00B72AB2">
      <w:pPr>
        <w:pStyle w:val="Bibliography"/>
        <w:rPr>
          <w:rFonts w:cs="Arial"/>
        </w:rPr>
      </w:pPr>
      <w:r w:rsidRPr="00D67C9B">
        <w:rPr>
          <w:rFonts w:cs="Arial"/>
        </w:rPr>
        <w:t xml:space="preserve">Heuvel, S. G. van den, H. C. Boshuizen, V. H. Hildebrandt, B. M. Blatter, G. A. Ariëns, and P. M. Bongers. 2005. “Effect of Sporting Activity on Absenteeism in a Working Population.” </w:t>
      </w:r>
      <w:r w:rsidRPr="00D67C9B">
        <w:rPr>
          <w:rFonts w:cs="Arial"/>
          <w:i/>
          <w:iCs/>
        </w:rPr>
        <w:t>British Journal of Sports Medicine</w:t>
      </w:r>
      <w:r w:rsidRPr="00D67C9B">
        <w:rPr>
          <w:rFonts w:cs="Arial"/>
        </w:rPr>
        <w:t xml:space="preserve"> 39 (3) (March 1): e15–e15. doi:10.1136/bjsm.2004.013052.</w:t>
      </w:r>
    </w:p>
    <w:p w14:paraId="06B47A1C" w14:textId="77777777" w:rsidR="00B72AB2" w:rsidRPr="00D67C9B" w:rsidRDefault="00B72AB2" w:rsidP="00B72AB2">
      <w:pPr>
        <w:pStyle w:val="Bibliography"/>
        <w:rPr>
          <w:rFonts w:cs="Arial"/>
        </w:rPr>
      </w:pPr>
      <w:r w:rsidRPr="00D67C9B">
        <w:rPr>
          <w:rFonts w:cs="Arial"/>
        </w:rPr>
        <w:t xml:space="preserve">Hicks, J. R., and R. G. D. Allen. 1934. “A Reconsideration of the Theory of Value. Part I.” </w:t>
      </w:r>
      <w:r w:rsidRPr="00D67C9B">
        <w:rPr>
          <w:rFonts w:cs="Arial"/>
          <w:i/>
          <w:iCs/>
        </w:rPr>
        <w:t>Economica</w:t>
      </w:r>
      <w:r w:rsidRPr="00D67C9B">
        <w:rPr>
          <w:rFonts w:cs="Arial"/>
        </w:rPr>
        <w:t xml:space="preserve"> 1 (1): 52–76.</w:t>
      </w:r>
    </w:p>
    <w:p w14:paraId="06B47A1D" w14:textId="77777777" w:rsidR="00B72AB2" w:rsidRPr="00D67C9B" w:rsidRDefault="00B72AB2" w:rsidP="00B72AB2">
      <w:pPr>
        <w:pStyle w:val="Bibliography"/>
        <w:rPr>
          <w:rFonts w:cs="Arial"/>
        </w:rPr>
      </w:pPr>
      <w:r w:rsidRPr="00D67C9B">
        <w:rPr>
          <w:rFonts w:cs="Arial"/>
        </w:rPr>
        <w:t>HM Treasury 2003, updated 2011. “The Green Book: Appraisal and Evaluation in Central Government.” http://www.hm-treasury.gov.uk/data_greenbook_index.htm.</w:t>
      </w:r>
    </w:p>
    <w:p w14:paraId="06B47A1E" w14:textId="77777777" w:rsidR="00B72AB2" w:rsidRPr="00D67C9B" w:rsidRDefault="00B72AB2" w:rsidP="00B72AB2">
      <w:pPr>
        <w:pStyle w:val="Bibliography"/>
        <w:rPr>
          <w:rFonts w:cs="Arial"/>
        </w:rPr>
      </w:pPr>
      <w:r w:rsidRPr="00D67C9B">
        <w:rPr>
          <w:rFonts w:cs="Arial"/>
        </w:rPr>
        <w:t xml:space="preserve">Jeannotte, M. Sharon. 2003. “Singing Alone? The Contribution of Cultural Capital to Social Cohesion and Sustainable Communities.” </w:t>
      </w:r>
      <w:r w:rsidRPr="00D67C9B">
        <w:rPr>
          <w:rFonts w:cs="Arial"/>
          <w:i/>
          <w:iCs/>
        </w:rPr>
        <w:t>The International Journal of Cultural Policy</w:t>
      </w:r>
      <w:r w:rsidRPr="00D67C9B">
        <w:rPr>
          <w:rFonts w:cs="Arial"/>
        </w:rPr>
        <w:t xml:space="preserve"> 9 (1): 35–49.</w:t>
      </w:r>
    </w:p>
    <w:p w14:paraId="06B47A1F" w14:textId="77777777" w:rsidR="00B72AB2" w:rsidRPr="00D67C9B" w:rsidRDefault="00B72AB2" w:rsidP="00B72AB2">
      <w:pPr>
        <w:pStyle w:val="Bibliography"/>
        <w:rPr>
          <w:rFonts w:cs="Arial"/>
        </w:rPr>
      </w:pPr>
      <w:r w:rsidRPr="00D67C9B">
        <w:rPr>
          <w:rFonts w:cs="Arial"/>
        </w:rPr>
        <w:t xml:space="preserve">Konlaan, BB, N Björby, LO Bygren, G Weissglas, LG Karlsson, and M Widmark. 2000. “Attendance at Cultural Events and Physical Exercise and Health: a Randomized Controlled Study.” </w:t>
      </w:r>
      <w:r w:rsidRPr="00D67C9B">
        <w:rPr>
          <w:rFonts w:cs="Arial"/>
          <w:i/>
          <w:iCs/>
        </w:rPr>
        <w:t>Public Health</w:t>
      </w:r>
      <w:r w:rsidRPr="00D67C9B">
        <w:rPr>
          <w:rFonts w:cs="Arial"/>
        </w:rPr>
        <w:t xml:space="preserve"> 114 (5) (September): 316–319. doi:10.1038/sj.ph.1900670.</w:t>
      </w:r>
    </w:p>
    <w:p w14:paraId="06B47A20" w14:textId="5CFEF1D3" w:rsidR="00B72AB2" w:rsidRPr="00D67C9B" w:rsidRDefault="00B72AB2" w:rsidP="00B72AB2">
      <w:pPr>
        <w:pStyle w:val="Bibliography"/>
        <w:rPr>
          <w:rFonts w:cs="Arial"/>
        </w:rPr>
      </w:pPr>
      <w:r w:rsidRPr="00D67C9B">
        <w:rPr>
          <w:rFonts w:cs="Arial"/>
        </w:rPr>
        <w:t>Krueger, Alan B., and David A. Schkade. 2008. “The Reliability of Subjective Well</w:t>
      </w:r>
      <w:r w:rsidR="00213078">
        <w:rPr>
          <w:rFonts w:cs="Arial"/>
        </w:rPr>
        <w:t>being</w:t>
      </w:r>
      <w:r w:rsidRPr="00D67C9B">
        <w:rPr>
          <w:rFonts w:cs="Arial"/>
        </w:rPr>
        <w:t xml:space="preserve"> Measures.” </w:t>
      </w:r>
      <w:r w:rsidRPr="00D67C9B">
        <w:rPr>
          <w:rFonts w:cs="Arial"/>
          <w:i/>
          <w:iCs/>
        </w:rPr>
        <w:t>Journal of Public Economics</w:t>
      </w:r>
      <w:r w:rsidRPr="00D67C9B">
        <w:rPr>
          <w:rFonts w:cs="Arial"/>
        </w:rPr>
        <w:t xml:space="preserve"> 92 (8-9): 1833–1845.</w:t>
      </w:r>
    </w:p>
    <w:p w14:paraId="06B47A21" w14:textId="77777777" w:rsidR="00B72AB2" w:rsidRPr="00D67C9B" w:rsidRDefault="00B72AB2" w:rsidP="00B72AB2">
      <w:pPr>
        <w:pStyle w:val="Bibliography"/>
        <w:rPr>
          <w:rFonts w:cs="Arial"/>
        </w:rPr>
      </w:pPr>
      <w:r w:rsidRPr="00D67C9B">
        <w:rPr>
          <w:rFonts w:cs="Arial"/>
        </w:rPr>
        <w:t xml:space="preserve">Krustrup, P., J. J. Nielsen, B. R. Krustrup, J. F. Christensen, H. Pedersen, M. B. Randers, P. Aagaard, A.-M. Petersen, L. Nybo, and J. Bangsbo. 2009. “Recreational Soccer Is an Effective Health-promoting Activity for </w:t>
      </w:r>
      <w:r w:rsidRPr="00D67C9B">
        <w:rPr>
          <w:rFonts w:cs="Arial"/>
        </w:rPr>
        <w:lastRenderedPageBreak/>
        <w:t xml:space="preserve">Untrained Men.” </w:t>
      </w:r>
      <w:r w:rsidRPr="00D67C9B">
        <w:rPr>
          <w:rFonts w:cs="Arial"/>
          <w:i/>
          <w:iCs/>
        </w:rPr>
        <w:t>British Journal of Sports Medicine</w:t>
      </w:r>
      <w:r w:rsidRPr="00D67C9B">
        <w:rPr>
          <w:rFonts w:cs="Arial"/>
        </w:rPr>
        <w:t xml:space="preserve"> 43 (11) (October 1): 825–831. doi:10.1136/bjsm.2008.053124.</w:t>
      </w:r>
    </w:p>
    <w:p w14:paraId="06B47A22" w14:textId="77777777" w:rsidR="00B72AB2" w:rsidRPr="00D67C9B" w:rsidRDefault="00B72AB2" w:rsidP="00B72AB2">
      <w:pPr>
        <w:pStyle w:val="Bibliography"/>
        <w:rPr>
          <w:rFonts w:cs="Arial"/>
        </w:rPr>
      </w:pPr>
      <w:r w:rsidRPr="00D67C9B">
        <w:rPr>
          <w:rFonts w:cs="Arial"/>
        </w:rPr>
        <w:t xml:space="preserve">Lindahl, M. 2002. “Estimating the Effect of Income on Health and Mortality Using Lottery Prizes as Exogenous Source of Variation in Income.” </w:t>
      </w:r>
      <w:r w:rsidRPr="00D67C9B">
        <w:rPr>
          <w:rFonts w:cs="Arial"/>
          <w:i/>
          <w:iCs/>
        </w:rPr>
        <w:t>IZA Discussion Paper</w:t>
      </w:r>
      <w:r w:rsidRPr="00D67C9B">
        <w:rPr>
          <w:rFonts w:cs="Arial"/>
        </w:rPr>
        <w:t xml:space="preserve"> 442.</w:t>
      </w:r>
    </w:p>
    <w:p w14:paraId="06B47A23" w14:textId="77777777" w:rsidR="00B72AB2" w:rsidRPr="00D67C9B" w:rsidRDefault="00B72AB2" w:rsidP="00B72AB2">
      <w:pPr>
        <w:pStyle w:val="Bibliography"/>
        <w:rPr>
          <w:rFonts w:cs="Arial"/>
        </w:rPr>
      </w:pPr>
      <w:r w:rsidRPr="00D67C9B">
        <w:rPr>
          <w:rFonts w:cs="Arial"/>
        </w:rPr>
        <w:t xml:space="preserve">Lopez, Mark Hugo, and Kimberlee Moore. 2006. “Participation in Sports and Civic Engagement.” </w:t>
      </w:r>
      <w:r w:rsidRPr="00D67C9B">
        <w:rPr>
          <w:rFonts w:cs="Arial"/>
          <w:i/>
          <w:iCs/>
        </w:rPr>
        <w:t>The Center for Information &amp; Research on Civic Learning &amp; Engagement</w:t>
      </w:r>
      <w:r w:rsidRPr="00D67C9B">
        <w:rPr>
          <w:rFonts w:cs="Arial"/>
        </w:rPr>
        <w:t>. http://civicyouth.org/PopUps/FactSheets/FS_06_Sports_and_Civic_Engagement.pdf.</w:t>
      </w:r>
    </w:p>
    <w:p w14:paraId="06B47A24" w14:textId="77777777" w:rsidR="00B72AB2" w:rsidRPr="00D67C9B" w:rsidRDefault="00B72AB2" w:rsidP="00B72AB2">
      <w:pPr>
        <w:pStyle w:val="Bibliography"/>
        <w:rPr>
          <w:rFonts w:cs="Arial"/>
        </w:rPr>
      </w:pPr>
      <w:r w:rsidRPr="00D67C9B">
        <w:rPr>
          <w:rFonts w:cs="Arial"/>
        </w:rPr>
        <w:t>Matarasso, F, and S. Halls. 1998. “Vital Signs: Mapping Community Arts in Belfast”. Stroud, Comedia.</w:t>
      </w:r>
    </w:p>
    <w:p w14:paraId="06B47A25" w14:textId="77777777" w:rsidR="00B72AB2" w:rsidRPr="00D67C9B" w:rsidRDefault="00B72AB2" w:rsidP="00B72AB2">
      <w:pPr>
        <w:pStyle w:val="Bibliography"/>
        <w:rPr>
          <w:rFonts w:cs="Arial"/>
        </w:rPr>
      </w:pPr>
      <w:r w:rsidRPr="00D67C9B">
        <w:rPr>
          <w:rFonts w:cs="Arial"/>
        </w:rPr>
        <w:t xml:space="preserve">Matarasso, Francois. 1996. </w:t>
      </w:r>
      <w:r w:rsidRPr="00D67C9B">
        <w:rPr>
          <w:rFonts w:cs="Arial"/>
          <w:i/>
          <w:iCs/>
        </w:rPr>
        <w:t>Northern Lights: The Social Impact of the Feisean (Gaelic Festivals)</w:t>
      </w:r>
      <w:r w:rsidRPr="00D67C9B">
        <w:rPr>
          <w:rFonts w:cs="Arial"/>
        </w:rPr>
        <w:t>. Comedia Publications Limited.</w:t>
      </w:r>
    </w:p>
    <w:p w14:paraId="06B47A26" w14:textId="77777777" w:rsidR="00B72AB2" w:rsidRPr="00D67C9B" w:rsidRDefault="00B72AB2" w:rsidP="00B72AB2">
      <w:pPr>
        <w:pStyle w:val="Bibliography"/>
        <w:rPr>
          <w:rFonts w:cs="Arial"/>
        </w:rPr>
      </w:pPr>
      <w:r w:rsidRPr="00507F58">
        <w:rPr>
          <w:rFonts w:cs="Arial"/>
        </w:rPr>
        <w:t>———.</w:t>
      </w:r>
      <w:r w:rsidRPr="00D67C9B">
        <w:rPr>
          <w:rFonts w:cs="Arial"/>
        </w:rPr>
        <w:t xml:space="preserve"> 1997. </w:t>
      </w:r>
      <w:r w:rsidRPr="00D67C9B">
        <w:rPr>
          <w:rFonts w:cs="Arial"/>
          <w:i/>
          <w:iCs/>
        </w:rPr>
        <w:t>Use or Ornament? the Social Impact of Participation in the Arts.</w:t>
      </w:r>
      <w:r w:rsidRPr="00D67C9B">
        <w:rPr>
          <w:rFonts w:cs="Arial"/>
        </w:rPr>
        <w:t xml:space="preserve"> Comedia Publishing Group. http://www.cabdirect.org/abstracts/19971807617.html.</w:t>
      </w:r>
    </w:p>
    <w:p w14:paraId="06B47A27" w14:textId="77777777" w:rsidR="00B72AB2" w:rsidRPr="00D67C9B" w:rsidRDefault="00B72AB2" w:rsidP="00B72AB2">
      <w:pPr>
        <w:pStyle w:val="Bibliography"/>
        <w:rPr>
          <w:rFonts w:cs="Arial"/>
        </w:rPr>
      </w:pPr>
      <w:r w:rsidRPr="00D67C9B">
        <w:rPr>
          <w:rFonts w:cs="Arial"/>
        </w:rPr>
        <w:t xml:space="preserve">Murphy, Simon Mark, Rhiannon Tudor Edwards, Nefyn Williams, Larry Raisanen, Graham Moore, Pat Linck, Natalia Hounsome, Nafees Ud Din, and Laurence Moore. 2012. “An Evaluation of the Effectiveness and Cost Effectiveness of the National Exercise Referral Scheme in Wales, UK: a Randomised Controlled Trial of a Public Health Policy Initiative.” </w:t>
      </w:r>
      <w:r w:rsidRPr="00D67C9B">
        <w:rPr>
          <w:rFonts w:cs="Arial"/>
          <w:i/>
          <w:iCs/>
        </w:rPr>
        <w:t>Journal of Epidemiology and Community Health</w:t>
      </w:r>
      <w:r w:rsidRPr="00D67C9B">
        <w:rPr>
          <w:rFonts w:cs="Arial"/>
        </w:rPr>
        <w:t xml:space="preserve"> 66 (8) (August 1): 745–753. doi:10.1136/jech-2011-200689.</w:t>
      </w:r>
    </w:p>
    <w:p w14:paraId="06B47A28" w14:textId="77777777" w:rsidR="00B72AB2" w:rsidRPr="00D67C9B" w:rsidRDefault="00B72AB2" w:rsidP="00B72AB2">
      <w:pPr>
        <w:pStyle w:val="Bibliography"/>
        <w:rPr>
          <w:rFonts w:cs="Arial"/>
        </w:rPr>
      </w:pPr>
      <w:r w:rsidRPr="00D67C9B">
        <w:rPr>
          <w:rFonts w:cs="Arial"/>
        </w:rPr>
        <w:t xml:space="preserve">Nichols, Bonnie. 2005. </w:t>
      </w:r>
      <w:r w:rsidRPr="00D67C9B">
        <w:rPr>
          <w:rFonts w:cs="Arial"/>
          <w:i/>
          <w:iCs/>
        </w:rPr>
        <w:t>Arts and Leisure Activities: Evidence from the 2002 Survey of Public Participation in the Arts</w:t>
      </w:r>
      <w:r w:rsidRPr="00D67C9B">
        <w:rPr>
          <w:rFonts w:cs="Arial"/>
        </w:rPr>
        <w:t>. National Endowment for the Arts. http://arts.endow.gov/research/Notes/89.pdf.</w:t>
      </w:r>
    </w:p>
    <w:p w14:paraId="06B47A29" w14:textId="77777777" w:rsidR="00B72AB2" w:rsidRPr="00D67C9B" w:rsidRDefault="00B72AB2" w:rsidP="00B72AB2">
      <w:pPr>
        <w:pStyle w:val="Bibliography"/>
        <w:rPr>
          <w:rFonts w:cs="Arial"/>
        </w:rPr>
      </w:pPr>
      <w:r w:rsidRPr="00D67C9B">
        <w:rPr>
          <w:rFonts w:cs="Arial"/>
        </w:rPr>
        <w:t xml:space="preserve">———. 2007. “Volunteering and Performing Arts Attendance: More Evidence from the SPPA.” </w:t>
      </w:r>
      <w:r w:rsidRPr="00D67C9B">
        <w:rPr>
          <w:rFonts w:cs="Arial"/>
          <w:i/>
          <w:iCs/>
        </w:rPr>
        <w:t>National Endowment for the Arts</w:t>
      </w:r>
      <w:r w:rsidRPr="00D67C9B">
        <w:rPr>
          <w:rFonts w:cs="Arial"/>
        </w:rPr>
        <w:t>. http://www.nea.gov/research/notes/94.pdf.</w:t>
      </w:r>
    </w:p>
    <w:p w14:paraId="06B47A2A" w14:textId="77777777" w:rsidR="00B72AB2" w:rsidRPr="00D67C9B" w:rsidRDefault="00B72AB2" w:rsidP="00B72AB2">
      <w:pPr>
        <w:rPr>
          <w:rFonts w:cs="Arial"/>
        </w:rPr>
      </w:pPr>
      <w:r w:rsidRPr="00D67C9B">
        <w:rPr>
          <w:rFonts w:cs="Arial"/>
        </w:rPr>
        <w:t>Office for National Statistics, 2013. "Middle Income Households, 1977-2010/11". http://www.ons.gov.uk/ons/dcp171776_303386.pdf.</w:t>
      </w:r>
    </w:p>
    <w:p w14:paraId="06B47A2B" w14:textId="77777777" w:rsidR="00B72AB2" w:rsidRPr="00D67C9B" w:rsidRDefault="00B72AB2" w:rsidP="00B72AB2">
      <w:pPr>
        <w:pStyle w:val="Bibliography"/>
        <w:rPr>
          <w:rFonts w:cs="Arial"/>
        </w:rPr>
      </w:pPr>
      <w:r w:rsidRPr="00D67C9B">
        <w:rPr>
          <w:rFonts w:cs="Arial"/>
        </w:rPr>
        <w:t xml:space="preserve">Pischke, J. 2010. “Money and Happiness: Evidence from the Industry Wage Structure.” </w:t>
      </w:r>
      <w:r w:rsidRPr="00D67C9B">
        <w:rPr>
          <w:rFonts w:cs="Arial"/>
          <w:i/>
          <w:iCs/>
        </w:rPr>
        <w:t>CEP Discussion Papers</w:t>
      </w:r>
      <w:r w:rsidRPr="00D67C9B">
        <w:rPr>
          <w:rFonts w:cs="Arial"/>
        </w:rPr>
        <w:t xml:space="preserve"> CEPDP1051.</w:t>
      </w:r>
    </w:p>
    <w:p w14:paraId="06B47A2C" w14:textId="2320770E" w:rsidR="00B72AB2" w:rsidRPr="00D67C9B" w:rsidRDefault="00B72AB2" w:rsidP="00B72AB2">
      <w:pPr>
        <w:pStyle w:val="Bibliography"/>
        <w:rPr>
          <w:rFonts w:cs="Arial"/>
        </w:rPr>
      </w:pPr>
      <w:r w:rsidRPr="00D67C9B">
        <w:rPr>
          <w:rFonts w:cs="Arial"/>
        </w:rPr>
        <w:t>Renton, A., G. Phillips, N. Daykin, G. Yu, K. Taylor, and M. Petticrew. 2012. “Think of Your Art-eries: Arts Participation, Behavioural Cardiovascular Risk Factors and Mental Well</w:t>
      </w:r>
      <w:r w:rsidR="00213078">
        <w:rPr>
          <w:rFonts w:cs="Arial"/>
        </w:rPr>
        <w:t>being</w:t>
      </w:r>
      <w:r w:rsidRPr="00D67C9B">
        <w:rPr>
          <w:rFonts w:cs="Arial"/>
        </w:rPr>
        <w:t xml:space="preserve"> in Deprived Communities in London.” </w:t>
      </w:r>
      <w:r w:rsidRPr="00D67C9B">
        <w:rPr>
          <w:rFonts w:cs="Arial"/>
          <w:i/>
          <w:iCs/>
        </w:rPr>
        <w:t>Public Health</w:t>
      </w:r>
      <w:r w:rsidRPr="00D67C9B">
        <w:rPr>
          <w:rFonts w:cs="Arial"/>
        </w:rPr>
        <w:t xml:space="preserve"> 126, Supplement 1 (September 1): S57–S64. doi:10.1016/j.puhe.2012.05.025.</w:t>
      </w:r>
    </w:p>
    <w:p w14:paraId="06B47A2D" w14:textId="77777777" w:rsidR="00B72AB2" w:rsidRPr="00D67C9B" w:rsidRDefault="00B72AB2" w:rsidP="00B72AB2">
      <w:pPr>
        <w:pStyle w:val="Bibliography"/>
        <w:rPr>
          <w:rFonts w:cs="Arial"/>
        </w:rPr>
      </w:pPr>
      <w:r w:rsidRPr="00D67C9B">
        <w:rPr>
          <w:rFonts w:cs="Arial"/>
        </w:rPr>
        <w:t>Ruuskanen, Timo. 2013. “Statistics Finland - Adult Education Survey 2006.” Accessed February 17. http://www.stat.fi/til/aku/2006/05/aku_2006_05_2010-02-04_tie_002_en.html.</w:t>
      </w:r>
    </w:p>
    <w:p w14:paraId="06B47A2E" w14:textId="77777777" w:rsidR="00B72AB2" w:rsidRPr="00D67C9B" w:rsidRDefault="00B72AB2" w:rsidP="00B72AB2">
      <w:pPr>
        <w:pStyle w:val="Bibliography"/>
        <w:rPr>
          <w:rFonts w:cs="Arial"/>
        </w:rPr>
      </w:pPr>
      <w:r w:rsidRPr="00D67C9B">
        <w:rPr>
          <w:rFonts w:cs="Arial"/>
        </w:rPr>
        <w:t xml:space="preserve">Sabia, S., Al Dugravot, M. Kivimaki, E. Brunner, M. Shipley and A. Singh-Manoux. 2012. “Effect of Intensity and Type of Physical Activity on Mortality: Results from the Whitehall II Cohort Study.” </w:t>
      </w:r>
      <w:r w:rsidRPr="00D67C9B">
        <w:rPr>
          <w:rFonts w:cs="Arial"/>
          <w:i/>
          <w:iCs/>
        </w:rPr>
        <w:t>Journal Information</w:t>
      </w:r>
      <w:r w:rsidRPr="00D67C9B">
        <w:rPr>
          <w:rFonts w:cs="Arial"/>
        </w:rPr>
        <w:t xml:space="preserve"> </w:t>
      </w:r>
      <w:r w:rsidRPr="00D67C9B">
        <w:rPr>
          <w:rFonts w:cs="Arial"/>
        </w:rPr>
        <w:lastRenderedPageBreak/>
        <w:t>102 (4). http://ajph.aphapublications.org/doi/abs/10.2105/AJPH.2011.300257.</w:t>
      </w:r>
    </w:p>
    <w:p w14:paraId="06B47A2F" w14:textId="78C3BE3B" w:rsidR="00B72AB2" w:rsidRPr="00D67C9B" w:rsidRDefault="00B72AB2" w:rsidP="00B72AB2">
      <w:pPr>
        <w:pStyle w:val="Bibliography"/>
        <w:rPr>
          <w:rFonts w:cs="Arial"/>
        </w:rPr>
      </w:pPr>
      <w:r w:rsidRPr="00D67C9B">
        <w:rPr>
          <w:rFonts w:cs="Arial"/>
        </w:rPr>
        <w:t>Sandvik, Ed, Ed Diener, and Larry Seidlitz. 1993. “Subjective Well</w:t>
      </w:r>
      <w:r w:rsidR="00213078">
        <w:rPr>
          <w:rFonts w:cs="Arial"/>
        </w:rPr>
        <w:t>being</w:t>
      </w:r>
      <w:r w:rsidRPr="00D67C9B">
        <w:rPr>
          <w:rFonts w:cs="Arial"/>
        </w:rPr>
        <w:t xml:space="preserve">: The Convergence and Stability of Self-Report and Non-Self-Report Measures.” </w:t>
      </w:r>
      <w:r w:rsidRPr="00D67C9B">
        <w:rPr>
          <w:rFonts w:cs="Arial"/>
          <w:i/>
          <w:iCs/>
        </w:rPr>
        <w:t>Journal of Personality</w:t>
      </w:r>
      <w:r w:rsidRPr="00D67C9B">
        <w:rPr>
          <w:rFonts w:cs="Arial"/>
        </w:rPr>
        <w:t xml:space="preserve"> 61 (3): 317–342.</w:t>
      </w:r>
    </w:p>
    <w:p w14:paraId="06B47A30" w14:textId="77777777" w:rsidR="00B72AB2" w:rsidRPr="00D67C9B" w:rsidRDefault="00B72AB2" w:rsidP="00B72AB2">
      <w:pPr>
        <w:pStyle w:val="Bibliography"/>
        <w:rPr>
          <w:rFonts w:cs="Arial"/>
        </w:rPr>
      </w:pPr>
      <w:r w:rsidRPr="00D67C9B">
        <w:rPr>
          <w:rFonts w:cs="Arial"/>
        </w:rPr>
        <w:t xml:space="preserve">Sargant, Naomi, and Fiona Aldridge. 2002. </w:t>
      </w:r>
      <w:r w:rsidRPr="00D67C9B">
        <w:rPr>
          <w:rFonts w:cs="Arial"/>
          <w:i/>
          <w:iCs/>
        </w:rPr>
        <w:t>Adult Learning and Social Division: a Persistent Pattern</w:t>
      </w:r>
      <w:r w:rsidRPr="00D67C9B">
        <w:rPr>
          <w:rFonts w:cs="Arial"/>
        </w:rPr>
        <w:t>. Vol. 1. NIACE Leicester. http://www.niace.org.uk/sites/default/files/documents/publications/5.33-Adult-learning-and-social-division-Vol-1.pdf.</w:t>
      </w:r>
    </w:p>
    <w:p w14:paraId="06B47A31" w14:textId="77777777" w:rsidR="00B72AB2" w:rsidRPr="00D67C9B" w:rsidRDefault="00B72AB2" w:rsidP="00B72AB2">
      <w:pPr>
        <w:pStyle w:val="Bibliography"/>
        <w:rPr>
          <w:rFonts w:cs="Arial"/>
        </w:rPr>
      </w:pPr>
      <w:r w:rsidRPr="00D67C9B">
        <w:rPr>
          <w:rFonts w:cs="Arial"/>
        </w:rPr>
        <w:t xml:space="preserve">Schwerdt, Guido, Dolores Messer, Ludger Woessmann, and Stefan C. Wolter. 2012. “The Impact of an Adult Education Voucher Program: Evidence from a Randomized Field Experiment.” </w:t>
      </w:r>
      <w:r w:rsidRPr="00D67C9B">
        <w:rPr>
          <w:rFonts w:cs="Arial"/>
          <w:i/>
          <w:iCs/>
        </w:rPr>
        <w:t>Journal of Public Economics</w:t>
      </w:r>
      <w:r w:rsidRPr="00D67C9B">
        <w:rPr>
          <w:rFonts w:cs="Arial"/>
        </w:rPr>
        <w:t xml:space="preserve"> 96 (7–8) (August): 569–583. doi:10.1016/j.jpubeco.2012.03.001.</w:t>
      </w:r>
    </w:p>
    <w:p w14:paraId="06B47A32" w14:textId="77777777" w:rsidR="00B72AB2" w:rsidRPr="00D67C9B" w:rsidRDefault="00B72AB2" w:rsidP="00B72AB2">
      <w:pPr>
        <w:pStyle w:val="Bibliography"/>
        <w:rPr>
          <w:rFonts w:cs="Arial"/>
        </w:rPr>
      </w:pPr>
      <w:r w:rsidRPr="00D67C9B">
        <w:rPr>
          <w:rFonts w:cs="Arial"/>
        </w:rPr>
        <w:t xml:space="preserve">Tsiotsou, Rodoula. 1998. “Motivations for Donation to Athletic Programs.” </w:t>
      </w:r>
      <w:r w:rsidRPr="00D67C9B">
        <w:rPr>
          <w:rFonts w:cs="Arial"/>
          <w:i/>
          <w:iCs/>
        </w:rPr>
        <w:t>The Cyber-Journal of Sport Marketing</w:t>
      </w:r>
      <w:r w:rsidRPr="00D67C9B">
        <w:rPr>
          <w:rFonts w:cs="Arial"/>
        </w:rPr>
        <w:t xml:space="preserve"> 2 (2): 1–13.</w:t>
      </w:r>
    </w:p>
    <w:p w14:paraId="06B47A33" w14:textId="43934ED0" w:rsidR="00B72AB2" w:rsidRPr="00D67C9B" w:rsidRDefault="00B72AB2" w:rsidP="00B72AB2">
      <w:pPr>
        <w:pStyle w:val="Bibliography"/>
        <w:rPr>
          <w:rFonts w:cs="Arial"/>
        </w:rPr>
      </w:pPr>
      <w:r w:rsidRPr="00D67C9B">
        <w:rPr>
          <w:rFonts w:cs="Arial"/>
        </w:rPr>
        <w:t>Urry, Heather L., Jack B. Nitschke, Isa Dolski, Daren C. Jackson, Kim M. Dalton, Corrina J. Mueller, Melissa A. Rosenkranz, Carol D. Ryff, H. Singer Burton, and Richard J. Davidson. 2004. “Making a Life Worth Living: Neural Correlates of Well</w:t>
      </w:r>
      <w:r w:rsidR="00213078">
        <w:rPr>
          <w:rFonts w:cs="Arial"/>
        </w:rPr>
        <w:t>being</w:t>
      </w:r>
      <w:r w:rsidRPr="00D67C9B">
        <w:rPr>
          <w:rFonts w:cs="Arial"/>
        </w:rPr>
        <w:t xml:space="preserve">.” </w:t>
      </w:r>
      <w:r w:rsidRPr="00D67C9B">
        <w:rPr>
          <w:rFonts w:cs="Arial"/>
          <w:i/>
          <w:iCs/>
        </w:rPr>
        <w:t>Psychological Science</w:t>
      </w:r>
      <w:r w:rsidRPr="00D67C9B">
        <w:rPr>
          <w:rFonts w:cs="Arial"/>
        </w:rPr>
        <w:t xml:space="preserve"> 15 (6): 367–372.</w:t>
      </w:r>
    </w:p>
    <w:p w14:paraId="06B47A34" w14:textId="77777777" w:rsidR="00B72AB2" w:rsidRPr="00D67C9B" w:rsidRDefault="00B72AB2" w:rsidP="00B72AB2">
      <w:pPr>
        <w:pStyle w:val="Bibliography"/>
        <w:rPr>
          <w:rFonts w:cs="Arial"/>
        </w:rPr>
      </w:pPr>
      <w:r w:rsidRPr="00D67C9B">
        <w:rPr>
          <w:rFonts w:cs="Arial"/>
        </w:rPr>
        <w:t xml:space="preserve">Williams, Deidre. 1997. “How the Arts Measure Up: Australian Research into Social Impact.” </w:t>
      </w:r>
      <w:r w:rsidRPr="00D67C9B">
        <w:rPr>
          <w:rFonts w:cs="Arial"/>
          <w:i/>
          <w:iCs/>
        </w:rPr>
        <w:t>The Social Impact of Arts Programmes, Working Paper</w:t>
      </w:r>
      <w:r w:rsidRPr="00D67C9B">
        <w:rPr>
          <w:rFonts w:cs="Arial"/>
        </w:rPr>
        <w:t xml:space="preserve"> 8. http://www.opengrey.eu/item/display/10068/376885.</w:t>
      </w:r>
    </w:p>
    <w:p w14:paraId="06B47A35" w14:textId="77777777" w:rsidR="00B72AB2" w:rsidRPr="00D67C9B" w:rsidRDefault="00B72AB2" w:rsidP="00B72AB2">
      <w:pPr>
        <w:pStyle w:val="Bibliography"/>
        <w:rPr>
          <w:rFonts w:cs="Arial"/>
        </w:rPr>
      </w:pPr>
      <w:r w:rsidRPr="00D67C9B">
        <w:rPr>
          <w:rFonts w:cs="Arial"/>
        </w:rPr>
        <w:t xml:space="preserve">Wilson, T. D., and D. T. Gilbert. 2003. “Affective Forecasting.” </w:t>
      </w:r>
      <w:r w:rsidRPr="00D67C9B">
        <w:rPr>
          <w:rFonts w:cs="Arial"/>
          <w:i/>
          <w:iCs/>
        </w:rPr>
        <w:t>Advances in Experimental Social Psychology</w:t>
      </w:r>
      <w:r w:rsidRPr="00D67C9B">
        <w:rPr>
          <w:rFonts w:cs="Arial"/>
        </w:rPr>
        <w:t xml:space="preserve"> 35: 345–411.</w:t>
      </w:r>
    </w:p>
    <w:p w14:paraId="06B47A36" w14:textId="77777777" w:rsidR="000B1FC6" w:rsidRPr="00D67C9B" w:rsidRDefault="00EA267B" w:rsidP="00B72AB2">
      <w:pPr>
        <w:spacing w:before="0"/>
        <w:ind w:left="0"/>
        <w:rPr>
          <w:rFonts w:cs="Arial"/>
        </w:rPr>
      </w:pPr>
      <w:r w:rsidRPr="00D67C9B">
        <w:rPr>
          <w:rFonts w:cs="Arial"/>
        </w:rPr>
        <w:fldChar w:fldCharType="end"/>
      </w:r>
    </w:p>
    <w:p w14:paraId="06B47A37" w14:textId="2B6BF24B" w:rsidR="00125909" w:rsidRPr="00D67C9B" w:rsidRDefault="00BD592B" w:rsidP="0051143B">
      <w:pPr>
        <w:ind w:left="0"/>
        <w:rPr>
          <w:rFonts w:cs="Arial"/>
        </w:rPr>
      </w:pPr>
      <w:r w:rsidRPr="00D67C9B">
        <w:rPr>
          <w:rFonts w:cs="Arial"/>
          <w:noProof/>
        </w:rPr>
        <w:drawing>
          <wp:anchor distT="0" distB="0" distL="114300" distR="114300" simplePos="0" relativeHeight="251665920" behindDoc="0" locked="0" layoutInCell="0" allowOverlap="1" wp14:anchorId="06B47A3C" wp14:editId="06B47A3D">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anchor>
        </w:drawing>
      </w:r>
      <w:r w:rsidR="00C04AC9">
        <w:rPr>
          <w:rFonts w:cs="Arial"/>
          <w:noProof/>
        </w:rPr>
        <mc:AlternateContent>
          <mc:Choice Requires="wps">
            <w:drawing>
              <wp:anchor distT="0" distB="0" distL="114300" distR="114300" simplePos="0" relativeHeight="251658752" behindDoc="0" locked="0" layoutInCell="1" allowOverlap="1" wp14:anchorId="06B47A3E" wp14:editId="20DF23C5">
                <wp:simplePos x="0" y="0"/>
                <wp:positionH relativeFrom="column">
                  <wp:posOffset>-107950</wp:posOffset>
                </wp:positionH>
                <wp:positionV relativeFrom="paragraph">
                  <wp:posOffset>8834120</wp:posOffset>
                </wp:positionV>
                <wp:extent cx="2520315" cy="68770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47A7C" w14:textId="77777777" w:rsidR="00213078" w:rsidRPr="00E97289" w:rsidRDefault="00213078" w:rsidP="00E97289">
                            <w:pPr>
                              <w:pStyle w:val="WebAddress"/>
                              <w:rPr>
                                <w:b w:val="0"/>
                              </w:rPr>
                            </w:pPr>
                            <w:r w:rsidRPr="00E97289">
                              <w:rPr>
                                <w:b w:val="0"/>
                              </w:rPr>
                              <w:t>4th Floor, 100 Parliament Street</w:t>
                            </w:r>
                          </w:p>
                          <w:p w14:paraId="06B47A7D" w14:textId="77777777" w:rsidR="00213078" w:rsidRDefault="00213078" w:rsidP="00E97289">
                            <w:pPr>
                              <w:pStyle w:val="WebAddress"/>
                              <w:rPr>
                                <w:b w:val="0"/>
                              </w:rPr>
                            </w:pPr>
                            <w:r w:rsidRPr="00E97289">
                              <w:rPr>
                                <w:b w:val="0"/>
                              </w:rPr>
                              <w:t>London SW1A 2BQ</w:t>
                            </w:r>
                          </w:p>
                          <w:p w14:paraId="06B47A7E" w14:textId="77777777" w:rsidR="00213078" w:rsidRDefault="00213078"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FwhQIAABc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" stroked="f">
                <v:textbox>
                  <w:txbxContent>
                    <w:p w14:paraId="06B47A7C" w14:textId="77777777" w:rsidR="00213078" w:rsidRPr="00E97289" w:rsidRDefault="00213078" w:rsidP="00E97289">
                      <w:pPr>
                        <w:pStyle w:val="WebAddress"/>
                        <w:rPr>
                          <w:b w:val="0"/>
                        </w:rPr>
                      </w:pPr>
                      <w:r w:rsidRPr="00E97289">
                        <w:rPr>
                          <w:b w:val="0"/>
                        </w:rPr>
                        <w:t>4th Floor, 100 Parliament Street</w:t>
                      </w:r>
                    </w:p>
                    <w:p w14:paraId="06B47A7D" w14:textId="77777777" w:rsidR="00213078" w:rsidRDefault="00213078" w:rsidP="00E97289">
                      <w:pPr>
                        <w:pStyle w:val="WebAddress"/>
                        <w:rPr>
                          <w:b w:val="0"/>
                        </w:rPr>
                      </w:pPr>
                      <w:r w:rsidRPr="00E97289">
                        <w:rPr>
                          <w:b w:val="0"/>
                        </w:rPr>
                        <w:t>London SW1A 2BQ</w:t>
                      </w:r>
                    </w:p>
                    <w:p w14:paraId="06B47A7E" w14:textId="77777777" w:rsidR="00213078" w:rsidRDefault="00213078" w:rsidP="00E97289">
                      <w:pPr>
                        <w:pStyle w:val="WebAddress"/>
                      </w:pPr>
                      <w:r w:rsidRPr="00E97289">
                        <w:t>www.gov.uk/dcms</w:t>
                      </w:r>
                    </w:p>
                  </w:txbxContent>
                </v:textbox>
              </v:shape>
            </w:pict>
          </mc:Fallback>
        </mc:AlternateContent>
      </w:r>
    </w:p>
    <w:sectPr w:rsidR="00125909" w:rsidRPr="00D67C9B" w:rsidSect="002D3E77">
      <w:headerReference w:type="even" r:id="rId19"/>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47A44" w14:textId="77777777" w:rsidR="00213078" w:rsidRDefault="00213078" w:rsidP="00FD27B8">
      <w:pPr>
        <w:pStyle w:val="Header"/>
      </w:pPr>
      <w:r>
        <w:separator/>
      </w:r>
    </w:p>
    <w:p w14:paraId="06B47A45" w14:textId="77777777" w:rsidR="00213078" w:rsidRDefault="00213078"/>
  </w:endnote>
  <w:endnote w:type="continuationSeparator" w:id="0">
    <w:p w14:paraId="06B47A46" w14:textId="77777777" w:rsidR="00213078" w:rsidRDefault="00213078" w:rsidP="00FD27B8">
      <w:pPr>
        <w:pStyle w:val="Header"/>
      </w:pPr>
      <w:r>
        <w:continuationSeparator/>
      </w:r>
    </w:p>
    <w:p w14:paraId="06B47A47" w14:textId="77777777" w:rsidR="00213078" w:rsidRDefault="0021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A70D" w14:textId="77777777" w:rsidR="00B34003" w:rsidRDefault="00B34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3C59" w14:textId="77777777" w:rsidR="00B34003" w:rsidRDefault="00B34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6F42" w14:textId="77777777" w:rsidR="00B34003" w:rsidRDefault="00B34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47A40" w14:textId="77777777" w:rsidR="00213078" w:rsidRDefault="00213078" w:rsidP="00FD27B8">
      <w:pPr>
        <w:pStyle w:val="Header"/>
      </w:pPr>
    </w:p>
    <w:p w14:paraId="06B47A41" w14:textId="77777777" w:rsidR="00213078" w:rsidRDefault="00213078"/>
  </w:footnote>
  <w:footnote w:type="continuationSeparator" w:id="0">
    <w:p w14:paraId="06B47A42" w14:textId="77777777" w:rsidR="00213078" w:rsidRDefault="00213078" w:rsidP="00FD27B8">
      <w:pPr>
        <w:pStyle w:val="Header"/>
      </w:pPr>
      <w:r>
        <w:continuationSeparator/>
      </w:r>
    </w:p>
    <w:p w14:paraId="06B47A43" w14:textId="77777777" w:rsidR="00213078" w:rsidRDefault="00213078"/>
  </w:footnote>
  <w:footnote w:id="1">
    <w:p w14:paraId="06B47A63" w14:textId="0CC6449B" w:rsidR="00213078" w:rsidRDefault="00213078">
      <w:pPr>
        <w:pStyle w:val="FootnoteText"/>
      </w:pPr>
      <w:r w:rsidRPr="00507F58">
        <w:rPr>
          <w:rStyle w:val="FootnoteReference"/>
        </w:rPr>
        <w:footnoteRef/>
      </w:r>
      <w:r w:rsidRPr="00507F58">
        <w:t xml:space="preserve">  Quantifying the Social Impacts of Sport and Culture (</w:t>
      </w:r>
      <w:hyperlink r:id="rId1" w:history="1">
        <w:r w:rsidRPr="007A2252">
          <w:rPr>
            <w:rStyle w:val="Hyperlink"/>
            <w:sz w:val="20"/>
          </w:rPr>
          <w:t>https://www.gov.uk/government/publications/quantifying-the-social-impacts-of-sport-and-culture</w:t>
        </w:r>
      </w:hyperlink>
      <w:r>
        <w:t xml:space="preserve">) </w:t>
      </w:r>
    </w:p>
  </w:footnote>
  <w:footnote w:id="2">
    <w:p w14:paraId="06B47A64" w14:textId="77777777" w:rsidR="00213078" w:rsidRPr="007C1414" w:rsidRDefault="00213078" w:rsidP="00296AED">
      <w:pPr>
        <w:pStyle w:val="FootnoteText"/>
        <w:rPr>
          <w:rFonts w:asciiTheme="majorHAnsi" w:hAnsiTheme="majorHAnsi" w:cstheme="majorHAnsi"/>
        </w:rPr>
      </w:pPr>
      <w:r w:rsidRPr="00F848A9">
        <w:rPr>
          <w:rStyle w:val="FootnoteReference"/>
        </w:rPr>
        <w:footnoteRef/>
      </w:r>
      <w:r w:rsidRPr="007C1414">
        <w:rPr>
          <w:rFonts w:asciiTheme="majorHAnsi" w:hAnsiTheme="majorHAnsi" w:cstheme="majorHAnsi"/>
        </w:rPr>
        <w:t xml:space="preserve"> Definitions from Bockstael and McConnell (1980).</w:t>
      </w:r>
    </w:p>
  </w:footnote>
  <w:footnote w:id="3">
    <w:p w14:paraId="06B47A65" w14:textId="77777777" w:rsidR="00213078" w:rsidRPr="007C1414" w:rsidRDefault="00213078" w:rsidP="00296AED">
      <w:pPr>
        <w:pStyle w:val="FootnoteText"/>
        <w:rPr>
          <w:rFonts w:asciiTheme="majorHAnsi" w:hAnsiTheme="majorHAnsi" w:cstheme="majorHAnsi"/>
          <w:lang w:val="en-US"/>
        </w:rPr>
      </w:pPr>
      <w:r w:rsidRPr="00F848A9">
        <w:rPr>
          <w:rStyle w:val="FootnoteReference"/>
        </w:rPr>
        <w:footnoteRef/>
      </w:r>
      <w:r w:rsidRPr="007C1414">
        <w:rPr>
          <w:rFonts w:asciiTheme="majorHAnsi" w:hAnsiTheme="majorHAnsi" w:cstheme="majorHAnsi"/>
        </w:rPr>
        <w:t xml:space="preserve"> </w:t>
      </w:r>
      <w:r w:rsidRPr="007C1414">
        <w:rPr>
          <w:rFonts w:asciiTheme="majorHAnsi" w:hAnsiTheme="majorHAnsi" w:cstheme="majorHAnsi"/>
          <w:lang w:val="en-US"/>
        </w:rPr>
        <w:t>Here, we use the general term ‘good’ to refer to any good, service or experience that we are looking to value.</w:t>
      </w:r>
    </w:p>
  </w:footnote>
  <w:footnote w:id="4">
    <w:p w14:paraId="06B47A66" w14:textId="77777777" w:rsidR="00213078" w:rsidRPr="00E75B44" w:rsidRDefault="00213078" w:rsidP="00E75B44">
      <w:pPr>
        <w:pStyle w:val="FootnoteText"/>
        <w:rPr>
          <w:rFonts w:asciiTheme="majorHAnsi" w:hAnsiTheme="majorHAnsi" w:cstheme="majorHAnsi"/>
        </w:rPr>
      </w:pPr>
      <w:r w:rsidRPr="00E75B44">
        <w:rPr>
          <w:rStyle w:val="FootnoteReference"/>
          <w:rFonts w:asciiTheme="majorHAnsi" w:hAnsiTheme="majorHAnsi"/>
        </w:rPr>
        <w:footnoteRef/>
      </w:r>
      <w:r w:rsidRPr="00E75B44">
        <w:rPr>
          <w:rStyle w:val="FootnoteReference"/>
          <w:rFonts w:asciiTheme="majorHAnsi" w:hAnsiTheme="majorHAnsi"/>
        </w:rPr>
        <w:t xml:space="preserve"> </w:t>
      </w:r>
      <w:r w:rsidRPr="00E75B44">
        <w:rPr>
          <w:rStyle w:val="FootnoteReference"/>
          <w:rFonts w:asciiTheme="majorHAnsi" w:hAnsiTheme="majorHAnsi"/>
          <w:sz w:val="24"/>
        </w:rPr>
        <w:t>Fujiwara (2013a). ‘Museums and Happiness: The Value of Participating in Museums and the Arts’. The Happy Museum Project and the Arts Council England.</w:t>
      </w:r>
    </w:p>
  </w:footnote>
  <w:footnote w:id="5">
    <w:p w14:paraId="06B47A67" w14:textId="77777777" w:rsidR="00213078" w:rsidRPr="007C1414" w:rsidRDefault="00213078" w:rsidP="00296AED">
      <w:pPr>
        <w:pStyle w:val="FootnoteText"/>
        <w:rPr>
          <w:rFonts w:asciiTheme="majorHAnsi" w:hAnsiTheme="majorHAnsi" w:cstheme="majorHAnsi"/>
          <w:lang w:val="en-US"/>
        </w:rPr>
      </w:pPr>
      <w:r w:rsidRPr="00F848A9">
        <w:rPr>
          <w:rStyle w:val="FootnoteReference"/>
        </w:rPr>
        <w:footnoteRef/>
      </w:r>
      <w:r w:rsidRPr="007C1414">
        <w:rPr>
          <w:rFonts w:asciiTheme="majorHAnsi" w:hAnsiTheme="majorHAnsi" w:cstheme="majorHAnsi"/>
        </w:rPr>
        <w:t xml:space="preserve"> </w:t>
      </w:r>
      <w:r w:rsidRPr="007C1414">
        <w:rPr>
          <w:rFonts w:asciiTheme="majorHAnsi" w:hAnsiTheme="majorHAnsi" w:cstheme="majorHAnsi"/>
          <w:lang w:val="en-US"/>
        </w:rPr>
        <w:t>This is inferred from the fact that studies that have used instrumental variables for income in SWB models to solve for endogeneity and measurement error problems have tended to consistently find that the income coefficient increases (see Pischke, 2010 and Fujiwara and Campbell, 2011).</w:t>
      </w:r>
    </w:p>
  </w:footnote>
  <w:footnote w:id="6">
    <w:p w14:paraId="06B47A68" w14:textId="77777777" w:rsidR="00213078" w:rsidRPr="007C1414" w:rsidRDefault="00213078" w:rsidP="00296AED">
      <w:pPr>
        <w:pStyle w:val="FootnoteText"/>
        <w:rPr>
          <w:rFonts w:asciiTheme="majorHAnsi" w:hAnsiTheme="majorHAnsi" w:cstheme="majorHAnsi"/>
        </w:rPr>
      </w:pPr>
      <w:r w:rsidRPr="00F848A9">
        <w:rPr>
          <w:rStyle w:val="FootnoteReference"/>
        </w:rPr>
        <w:footnoteRef/>
      </w:r>
      <w:r w:rsidRPr="007C1414">
        <w:rPr>
          <w:rFonts w:asciiTheme="majorHAnsi" w:hAnsiTheme="majorHAnsi" w:cstheme="majorHAnsi"/>
        </w:rPr>
        <w:t xml:space="preserve"> We call these ‘Distributional Impacts’ in this paper.</w:t>
      </w:r>
    </w:p>
  </w:footnote>
  <w:footnote w:id="7">
    <w:p w14:paraId="06B47A69" w14:textId="77777777" w:rsidR="00213078" w:rsidRPr="007C1414" w:rsidRDefault="00213078" w:rsidP="00296AED">
      <w:pPr>
        <w:pStyle w:val="FootnoteText"/>
        <w:rPr>
          <w:rFonts w:asciiTheme="majorHAnsi" w:hAnsiTheme="majorHAnsi" w:cstheme="majorHAnsi"/>
        </w:rPr>
      </w:pPr>
      <w:r w:rsidRPr="00F848A9">
        <w:rPr>
          <w:rStyle w:val="FootnoteReference"/>
        </w:rPr>
        <w:footnoteRef/>
      </w:r>
      <w:r w:rsidRPr="007C1414">
        <w:rPr>
          <w:rFonts w:asciiTheme="majorHAnsi" w:hAnsiTheme="majorHAnsi" w:cstheme="majorHAnsi"/>
        </w:rPr>
        <w:t xml:space="preserve"> It can, however, probably be assumed that there are no ‘never-takers’ in this IV set-up, which narrows down the external group to which we are extrapolating the LATE.</w:t>
      </w:r>
    </w:p>
  </w:footnote>
  <w:footnote w:id="8">
    <w:p w14:paraId="06B47A6A" w14:textId="77777777" w:rsidR="00213078" w:rsidRPr="007C1414" w:rsidRDefault="00213078" w:rsidP="00296AED">
      <w:pPr>
        <w:pStyle w:val="FootnoteText"/>
        <w:rPr>
          <w:rFonts w:asciiTheme="majorHAnsi" w:hAnsiTheme="majorHAnsi" w:cstheme="majorHAnsi"/>
        </w:rPr>
      </w:pPr>
      <w:r w:rsidRPr="00F848A9">
        <w:rPr>
          <w:rStyle w:val="FootnoteReference"/>
        </w:rPr>
        <w:footnoteRef/>
      </w:r>
      <w:r w:rsidRPr="007C1414">
        <w:rPr>
          <w:rFonts w:asciiTheme="majorHAnsi" w:hAnsiTheme="majorHAnsi" w:cstheme="majorHAnsi"/>
        </w:rPr>
        <w:t xml:space="preserve"> This is not an unreasonable assumption given that there are no ‘defiers’ (by standard IV assumptions) and no ‘never-takers’ in this lottery IV set up.</w:t>
      </w:r>
    </w:p>
  </w:footnote>
  <w:footnote w:id="9">
    <w:p w14:paraId="06B47A6B" w14:textId="77777777" w:rsidR="00213078" w:rsidRPr="007C1414" w:rsidRDefault="00213078" w:rsidP="00296AED">
      <w:pPr>
        <w:pStyle w:val="FootnoteText"/>
        <w:rPr>
          <w:rFonts w:asciiTheme="majorHAnsi" w:hAnsiTheme="majorHAnsi" w:cstheme="majorHAnsi"/>
        </w:rPr>
      </w:pPr>
      <w:r w:rsidRPr="00F848A9">
        <w:rPr>
          <w:rStyle w:val="FootnoteReference"/>
        </w:rPr>
        <w:footnoteRef/>
      </w:r>
      <w:r w:rsidRPr="007C1414">
        <w:rPr>
          <w:rFonts w:asciiTheme="majorHAnsi" w:hAnsiTheme="majorHAnsi" w:cstheme="majorHAnsi"/>
        </w:rPr>
        <w:t xml:space="preserve"> This is the same approach as that taken in Fujiwara (2013a).</w:t>
      </w:r>
    </w:p>
  </w:footnote>
  <w:footnote w:id="10">
    <w:p w14:paraId="06B47A6C" w14:textId="77777777" w:rsidR="00213078" w:rsidRPr="007C1414" w:rsidRDefault="00213078" w:rsidP="00296AED">
      <w:pPr>
        <w:pStyle w:val="FootnoteText"/>
        <w:rPr>
          <w:rFonts w:asciiTheme="majorHAnsi" w:hAnsiTheme="majorHAnsi" w:cstheme="majorHAnsi"/>
        </w:rPr>
      </w:pPr>
      <w:r w:rsidRPr="00F848A9">
        <w:rPr>
          <w:rStyle w:val="FootnoteReference"/>
        </w:rPr>
        <w:footnoteRef/>
      </w:r>
      <w:r w:rsidRPr="007C1414">
        <w:rPr>
          <w:rFonts w:asciiTheme="majorHAnsi" w:hAnsiTheme="majorHAnsi" w:cstheme="majorHAnsi"/>
        </w:rPr>
        <w:t xml:space="preserve"> We have called this issue ‘distributional impacts’. They are also known as heterogenous impacts in the policy evaluation literature.</w:t>
      </w:r>
    </w:p>
  </w:footnote>
  <w:footnote w:id="11">
    <w:p w14:paraId="06B47A6D" w14:textId="77777777" w:rsidR="00213078" w:rsidRPr="007C1414" w:rsidRDefault="00213078" w:rsidP="00296AED">
      <w:pPr>
        <w:pStyle w:val="FootnoteText"/>
        <w:rPr>
          <w:rFonts w:asciiTheme="majorHAnsi" w:hAnsiTheme="majorHAnsi" w:cstheme="majorHAnsi"/>
        </w:rPr>
      </w:pPr>
      <w:r w:rsidRPr="00F848A9">
        <w:rPr>
          <w:rStyle w:val="FootnoteReference"/>
        </w:rPr>
        <w:footnoteRef/>
      </w:r>
      <w:r w:rsidRPr="007C1414">
        <w:rPr>
          <w:rFonts w:asciiTheme="majorHAnsi" w:hAnsiTheme="majorHAnsi" w:cstheme="majorHAnsi"/>
        </w:rPr>
        <w:t xml:space="preserve"> There are other assumptions here too – such as correct functional form and correctly measured variables, although the selection on observables assumption is the substantive identifying assumption.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213078" w14:paraId="06B47A49" w14:textId="77777777" w:rsidTr="00A35E9E">
      <w:tc>
        <w:tcPr>
          <w:tcW w:w="10080" w:type="dxa"/>
        </w:tcPr>
        <w:p w14:paraId="06B47A48" w14:textId="77777777" w:rsidR="00213078" w:rsidRDefault="00213078">
          <w:pPr>
            <w:pStyle w:val="Header"/>
          </w:pPr>
          <w:r>
            <w:t>Department for Culture, Media and Sport</w:t>
          </w:r>
        </w:p>
      </w:tc>
    </w:tr>
    <w:tr w:rsidR="00213078" w14:paraId="06B47A4B" w14:textId="77777777" w:rsidTr="00A35E9E">
      <w:tc>
        <w:tcPr>
          <w:tcW w:w="10080" w:type="dxa"/>
        </w:tcPr>
        <w:p w14:paraId="06B47A4A" w14:textId="77777777" w:rsidR="00213078" w:rsidRDefault="00213078" w:rsidP="00F51926">
          <w:pPr>
            <w:pStyle w:val="HeaderBold"/>
          </w:pPr>
          <w:r>
            <w:t>DocumentTitle</w:t>
          </w:r>
        </w:p>
      </w:tc>
    </w:tr>
  </w:tbl>
  <w:p w14:paraId="06B47A4C" w14:textId="77777777" w:rsidR="00213078" w:rsidRDefault="00213078"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DEDE" w14:textId="77777777" w:rsidR="00B34003" w:rsidRDefault="00B34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4457" w14:textId="77777777" w:rsidR="00B34003" w:rsidRDefault="00B340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7A51" w14:textId="77777777" w:rsidR="00213078" w:rsidRDefault="00213078" w:rsidP="00A35E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213078" w14:paraId="06B47A54" w14:textId="77777777" w:rsidTr="00645DC4">
      <w:tc>
        <w:tcPr>
          <w:tcW w:w="648" w:type="dxa"/>
        </w:tcPr>
        <w:p w14:paraId="06B47A52" w14:textId="027A283B" w:rsidR="00213078" w:rsidRDefault="00C04AC9" w:rsidP="004E5986">
          <w:pPr>
            <w:pStyle w:val="Header"/>
            <w:jc w:val="right"/>
          </w:pPr>
          <w:r>
            <w:rPr>
              <w:noProof/>
            </w:rPr>
            <mc:AlternateContent>
              <mc:Choice Requires="wps">
                <w:drawing>
                  <wp:anchor distT="0" distB="0" distL="114300" distR="114300" simplePos="0" relativeHeight="251658240" behindDoc="0" locked="0" layoutInCell="1" allowOverlap="1" wp14:anchorId="06B47A61" wp14:editId="33B6AF91">
                    <wp:simplePos x="0" y="0"/>
                    <wp:positionH relativeFrom="column">
                      <wp:posOffset>-1905</wp:posOffset>
                    </wp:positionH>
                    <wp:positionV relativeFrom="paragraph">
                      <wp:posOffset>-17780</wp:posOffset>
                    </wp:positionV>
                    <wp:extent cx="288290" cy="288290"/>
                    <wp:effectExtent l="0" t="0" r="16510" b="165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6B47A7F" w14:textId="77777777" w:rsidR="00213078" w:rsidRDefault="00213078" w:rsidP="00FE5D2B">
                                <w:pPr>
                                  <w:pStyle w:val="HeaderBold"/>
                                  <w:jc w:val="center"/>
                                </w:pPr>
                                <w:r>
                                  <w:fldChar w:fldCharType="begin"/>
                                </w:r>
                                <w:r>
                                  <w:instrText xml:space="preserve"> PAGE  \* Arabic  \* MERGEFORMAT </w:instrText>
                                </w:r>
                                <w:r>
                                  <w:fldChar w:fldCharType="separate"/>
                                </w:r>
                                <w:r w:rsidR="00C04AC9">
                                  <w:rPr>
                                    <w:noProof/>
                                  </w:rPr>
                                  <w:t>4</w:t>
                                </w:r>
                                <w:r>
                                  <w:rPr>
                                    <w:noProof/>
                                  </w:rP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OnzMGCcCAABQBAAADgAAAAAAAAAAAAAAAAAuAgAAZHJzL2Uyb0Rv&#10;Yy54bWxQSwECLQAUAAYACAAAACEAJsX7u90AAAAGAQAADwAAAAAAAAAAAAAAAACBBAAAZHJzL2Rv&#10;d25yZXYueG1sUEsFBgAAAAAEAAQA8wAAAIsFAAAAAA==&#10;" strokeweight=".5pt">
                    <v:textbox inset="1mm,.5mm,1mm">
                      <w:txbxContent>
                        <w:p w14:paraId="06B47A7F" w14:textId="77777777" w:rsidR="00213078" w:rsidRDefault="00213078" w:rsidP="00FE5D2B">
                          <w:pPr>
                            <w:pStyle w:val="HeaderBold"/>
                            <w:jc w:val="center"/>
                          </w:pPr>
                          <w:r>
                            <w:fldChar w:fldCharType="begin"/>
                          </w:r>
                          <w:r>
                            <w:instrText xml:space="preserve"> PAGE  \* Arabic  \* MERGEFORMAT </w:instrText>
                          </w:r>
                          <w:r>
                            <w:fldChar w:fldCharType="separate"/>
                          </w:r>
                          <w:r w:rsidR="00C04AC9">
                            <w:rPr>
                              <w:noProof/>
                            </w:rPr>
                            <w:t>4</w:t>
                          </w:r>
                          <w:r>
                            <w:rPr>
                              <w:noProof/>
                            </w:rPr>
                            <w:fldChar w:fldCharType="end"/>
                          </w:r>
                        </w:p>
                      </w:txbxContent>
                    </v:textbox>
                  </v:shape>
                </w:pict>
              </mc:Fallback>
            </mc:AlternateContent>
          </w:r>
        </w:p>
      </w:tc>
      <w:tc>
        <w:tcPr>
          <w:tcW w:w="9360" w:type="dxa"/>
        </w:tcPr>
        <w:p w14:paraId="06B47A53" w14:textId="77777777" w:rsidR="00213078" w:rsidRDefault="00213078" w:rsidP="001B13C9">
          <w:pPr>
            <w:pStyle w:val="Header"/>
          </w:pPr>
          <w:r>
            <w:t>Department for Culture, Media &amp; Sport</w:t>
          </w:r>
        </w:p>
      </w:tc>
    </w:tr>
    <w:tr w:rsidR="00213078" w14:paraId="06B47A57" w14:textId="77777777" w:rsidTr="00645DC4">
      <w:tc>
        <w:tcPr>
          <w:tcW w:w="648" w:type="dxa"/>
        </w:tcPr>
        <w:p w14:paraId="06B47A55" w14:textId="77777777" w:rsidR="00213078" w:rsidRDefault="00213078" w:rsidP="004E5986">
          <w:pPr>
            <w:pStyle w:val="HeaderBold"/>
            <w:jc w:val="right"/>
          </w:pPr>
        </w:p>
      </w:tc>
      <w:tc>
        <w:tcPr>
          <w:tcW w:w="9360" w:type="dxa"/>
        </w:tcPr>
        <w:p w14:paraId="06B47A56" w14:textId="77777777" w:rsidR="00213078" w:rsidRDefault="00213078" w:rsidP="00645DC4">
          <w:pPr>
            <w:pStyle w:val="HeaderBold"/>
          </w:pPr>
          <w:r>
            <w:t>Quantifying the Social Impacts of Culture and Sport</w:t>
          </w:r>
        </w:p>
      </w:tc>
    </w:tr>
  </w:tbl>
  <w:p w14:paraId="06B47A58" w14:textId="77777777" w:rsidR="00213078" w:rsidRDefault="00213078" w:rsidP="00A35E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213078" w14:paraId="06B47A5B" w14:textId="77777777" w:rsidTr="00645DC4">
      <w:tc>
        <w:tcPr>
          <w:tcW w:w="8618" w:type="dxa"/>
        </w:tcPr>
        <w:p w14:paraId="06B47A59" w14:textId="77777777" w:rsidR="00213078" w:rsidRDefault="00213078" w:rsidP="001B13C9">
          <w:pPr>
            <w:pStyle w:val="Header"/>
            <w:jc w:val="right"/>
          </w:pPr>
          <w:r>
            <w:t>Department for Culture, Media &amp; Sport</w:t>
          </w:r>
        </w:p>
      </w:tc>
      <w:tc>
        <w:tcPr>
          <w:tcW w:w="720" w:type="dxa"/>
        </w:tcPr>
        <w:p w14:paraId="06B47A5A" w14:textId="37A98C7E" w:rsidR="00213078" w:rsidRDefault="00C04AC9">
          <w:pPr>
            <w:pStyle w:val="Header"/>
          </w:pPr>
          <w:r>
            <w:rPr>
              <w:noProof/>
            </w:rPr>
            <mc:AlternateContent>
              <mc:Choice Requires="wps">
                <w:drawing>
                  <wp:anchor distT="0" distB="0" distL="114300" distR="114300" simplePos="0" relativeHeight="251657216" behindDoc="0" locked="0" layoutInCell="1" allowOverlap="1" wp14:anchorId="06B47A62" wp14:editId="7D5B6E75">
                    <wp:simplePos x="0" y="0"/>
                    <wp:positionH relativeFrom="column">
                      <wp:posOffset>45720</wp:posOffset>
                    </wp:positionH>
                    <wp:positionV relativeFrom="paragraph">
                      <wp:posOffset>-11430</wp:posOffset>
                    </wp:positionV>
                    <wp:extent cx="288290" cy="288290"/>
                    <wp:effectExtent l="0" t="0" r="16510" b="165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6B47A80" w14:textId="77777777" w:rsidR="00213078" w:rsidRDefault="00213078" w:rsidP="00FE5D2B">
                                <w:pPr>
                                  <w:pStyle w:val="HeaderBold"/>
                                  <w:jc w:val="center"/>
                                </w:pPr>
                                <w:r>
                                  <w:fldChar w:fldCharType="begin"/>
                                </w:r>
                                <w:r>
                                  <w:instrText xml:space="preserve"> PAGE  \* Arabic  \* MERGEFORMAT </w:instrText>
                                </w:r>
                                <w:r>
                                  <w:fldChar w:fldCharType="separate"/>
                                </w:r>
                                <w:r w:rsidR="00C04AC9">
                                  <w:rPr>
                                    <w:noProof/>
                                  </w:rPr>
                                  <w:t>3</w:t>
                                </w:r>
                                <w:r>
                                  <w:rPr>
                                    <w:noProof/>
                                  </w:rP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06B47A80" w14:textId="77777777" w:rsidR="00213078" w:rsidRDefault="00213078" w:rsidP="00FE5D2B">
                          <w:pPr>
                            <w:pStyle w:val="HeaderBold"/>
                            <w:jc w:val="center"/>
                          </w:pPr>
                          <w:r>
                            <w:fldChar w:fldCharType="begin"/>
                          </w:r>
                          <w:r>
                            <w:instrText xml:space="preserve"> PAGE  \* Arabic  \* MERGEFORMAT </w:instrText>
                          </w:r>
                          <w:r>
                            <w:fldChar w:fldCharType="separate"/>
                          </w:r>
                          <w:r w:rsidR="00C04AC9">
                            <w:rPr>
                              <w:noProof/>
                            </w:rPr>
                            <w:t>3</w:t>
                          </w:r>
                          <w:r>
                            <w:rPr>
                              <w:noProof/>
                            </w:rPr>
                            <w:fldChar w:fldCharType="end"/>
                          </w:r>
                        </w:p>
                      </w:txbxContent>
                    </v:textbox>
                  </v:shape>
                </w:pict>
              </mc:Fallback>
            </mc:AlternateContent>
          </w:r>
        </w:p>
      </w:tc>
    </w:tr>
    <w:tr w:rsidR="00213078" w14:paraId="06B47A5E" w14:textId="77777777" w:rsidTr="00645DC4">
      <w:tc>
        <w:tcPr>
          <w:tcW w:w="8618" w:type="dxa"/>
        </w:tcPr>
        <w:p w14:paraId="06B47A5C" w14:textId="24C536CC" w:rsidR="00213078" w:rsidRDefault="00213078" w:rsidP="0078217C">
          <w:pPr>
            <w:pStyle w:val="HeaderBold"/>
            <w:jc w:val="right"/>
          </w:pPr>
          <w:r>
            <w:t>Quantifying and Valuing the Wellbeing Impacts of Culture and Sport</w:t>
          </w:r>
        </w:p>
      </w:tc>
      <w:tc>
        <w:tcPr>
          <w:tcW w:w="720" w:type="dxa"/>
        </w:tcPr>
        <w:p w14:paraId="06B47A5D" w14:textId="77777777" w:rsidR="00213078" w:rsidRDefault="00213078" w:rsidP="001663B0">
          <w:pPr>
            <w:pStyle w:val="HeaderBold"/>
          </w:pPr>
        </w:p>
      </w:tc>
    </w:tr>
  </w:tbl>
  <w:p w14:paraId="06B47A5F" w14:textId="77777777" w:rsidR="00213078" w:rsidRDefault="002130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B34003" w14:paraId="085DE8E8" w14:textId="77777777" w:rsidTr="000605F9">
      <w:tc>
        <w:tcPr>
          <w:tcW w:w="648" w:type="dxa"/>
        </w:tcPr>
        <w:p w14:paraId="56B0AB48" w14:textId="16EDAB57" w:rsidR="00B34003" w:rsidRDefault="00C04AC9" w:rsidP="000605F9">
          <w:pPr>
            <w:pStyle w:val="Header"/>
            <w:jc w:val="right"/>
          </w:pPr>
          <w:r>
            <w:rPr>
              <w:noProof/>
            </w:rPr>
            <mc:AlternateContent>
              <mc:Choice Requires="wps">
                <w:drawing>
                  <wp:anchor distT="0" distB="0" distL="114300" distR="114300" simplePos="0" relativeHeight="251660288" behindDoc="0" locked="0" layoutInCell="1" allowOverlap="1" wp14:anchorId="2B13B731" wp14:editId="37F396D1">
                    <wp:simplePos x="0" y="0"/>
                    <wp:positionH relativeFrom="column">
                      <wp:posOffset>-1905</wp:posOffset>
                    </wp:positionH>
                    <wp:positionV relativeFrom="paragraph">
                      <wp:posOffset>-17780</wp:posOffset>
                    </wp:positionV>
                    <wp:extent cx="288290" cy="288290"/>
                    <wp:effectExtent l="0" t="0" r="1651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2E67944A" w14:textId="77777777" w:rsidR="00B34003" w:rsidRDefault="00B34003" w:rsidP="00B34003">
                                <w:pPr>
                                  <w:pStyle w:val="HeaderBold"/>
                                  <w:jc w:val="center"/>
                                </w:pPr>
                                <w:r>
                                  <w:fldChar w:fldCharType="begin"/>
                                </w:r>
                                <w:r>
                                  <w:instrText xml:space="preserve"> PAGE  \* Arabic  \* MERGEFORMAT </w:instrText>
                                </w:r>
                                <w:r>
                                  <w:fldChar w:fldCharType="separate"/>
                                </w:r>
                                <w:r w:rsidR="00C04AC9">
                                  <w:rPr>
                                    <w:noProof/>
                                  </w:rPr>
                                  <w:t>44</w:t>
                                </w:r>
                                <w:r>
                                  <w:rPr>
                                    <w:noProof/>
                                  </w:rP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5pt;margin-top:-1.4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" strokeweight=".5pt">
                    <v:textbox inset="1mm,.5mm,1mm">
                      <w:txbxContent>
                        <w:p w14:paraId="2E67944A" w14:textId="77777777" w:rsidR="00B34003" w:rsidRDefault="00B34003" w:rsidP="00B34003">
                          <w:pPr>
                            <w:pStyle w:val="HeaderBold"/>
                            <w:jc w:val="center"/>
                          </w:pPr>
                          <w:r>
                            <w:fldChar w:fldCharType="begin"/>
                          </w:r>
                          <w:r>
                            <w:instrText xml:space="preserve"> PAGE  \* Arabic  \* MERGEFORMAT </w:instrText>
                          </w:r>
                          <w:r>
                            <w:fldChar w:fldCharType="separate"/>
                          </w:r>
                          <w:r w:rsidR="00C04AC9">
                            <w:rPr>
                              <w:noProof/>
                            </w:rPr>
                            <w:t>44</w:t>
                          </w:r>
                          <w:r>
                            <w:rPr>
                              <w:noProof/>
                            </w:rPr>
                            <w:fldChar w:fldCharType="end"/>
                          </w:r>
                        </w:p>
                      </w:txbxContent>
                    </v:textbox>
                  </v:shape>
                </w:pict>
              </mc:Fallback>
            </mc:AlternateContent>
          </w:r>
        </w:p>
      </w:tc>
      <w:tc>
        <w:tcPr>
          <w:tcW w:w="9360" w:type="dxa"/>
        </w:tcPr>
        <w:p w14:paraId="52A7BF2C" w14:textId="77777777" w:rsidR="00B34003" w:rsidRDefault="00B34003" w:rsidP="000605F9">
          <w:pPr>
            <w:pStyle w:val="Header"/>
          </w:pPr>
          <w:r>
            <w:t>Department for Culture, Media &amp; Sport</w:t>
          </w:r>
        </w:p>
      </w:tc>
    </w:tr>
    <w:tr w:rsidR="00B34003" w14:paraId="10143211" w14:textId="77777777" w:rsidTr="000605F9">
      <w:tc>
        <w:tcPr>
          <w:tcW w:w="648" w:type="dxa"/>
        </w:tcPr>
        <w:p w14:paraId="15BCD1AB" w14:textId="77777777" w:rsidR="00B34003" w:rsidRDefault="00B34003" w:rsidP="000605F9">
          <w:pPr>
            <w:pStyle w:val="HeaderBold"/>
            <w:jc w:val="right"/>
          </w:pPr>
        </w:p>
      </w:tc>
      <w:tc>
        <w:tcPr>
          <w:tcW w:w="9360" w:type="dxa"/>
        </w:tcPr>
        <w:p w14:paraId="07C4483E" w14:textId="77777777" w:rsidR="00B34003" w:rsidRDefault="00B34003" w:rsidP="000605F9">
          <w:pPr>
            <w:pStyle w:val="HeaderBold"/>
          </w:pPr>
          <w:r>
            <w:t>Quantifying the Social Impacts of Culture and Sport</w:t>
          </w:r>
        </w:p>
      </w:tc>
    </w:tr>
  </w:tbl>
  <w:p w14:paraId="06B47A60" w14:textId="77777777" w:rsidR="00213078" w:rsidRDefault="00213078"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0CD6E0D"/>
    <w:multiLevelType w:val="hybridMultilevel"/>
    <w:tmpl w:val="8FDE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A93883"/>
    <w:multiLevelType w:val="hybridMultilevel"/>
    <w:tmpl w:val="55E0052C"/>
    <w:lvl w:ilvl="0" w:tplc="08090001">
      <w:start w:val="1"/>
      <w:numFmt w:val="bullet"/>
      <w:lvlText w:val=""/>
      <w:lvlJc w:val="left"/>
      <w:pPr>
        <w:ind w:left="2288" w:hanging="360"/>
      </w:pPr>
      <w:rPr>
        <w:rFonts w:ascii="Symbol" w:hAnsi="Symbol"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6">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0DC904F4"/>
    <w:multiLevelType w:val="hybridMultilevel"/>
    <w:tmpl w:val="7BEC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F71F2D"/>
    <w:multiLevelType w:val="multilevel"/>
    <w:tmpl w:val="CAAE0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B280637"/>
    <w:multiLevelType w:val="hybridMultilevel"/>
    <w:tmpl w:val="179AB092"/>
    <w:lvl w:ilvl="0" w:tplc="DB90C138">
      <w:start w:val="2"/>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CE11032"/>
    <w:multiLevelType w:val="hybridMultilevel"/>
    <w:tmpl w:val="74C2D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4007D"/>
    <w:multiLevelType w:val="hybridMultilevel"/>
    <w:tmpl w:val="E8545EB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nsid w:val="2189429B"/>
    <w:multiLevelType w:val="hybridMultilevel"/>
    <w:tmpl w:val="1B8876AC"/>
    <w:lvl w:ilvl="0" w:tplc="261EA5DC">
      <w:start w:val="1"/>
      <w:numFmt w:val="decimal"/>
      <w:lvlText w:val="%1."/>
      <w:lvlJc w:val="left"/>
      <w:pPr>
        <w:ind w:left="1080" w:hanging="360"/>
      </w:pPr>
      <w:rPr>
        <w:rFonts w:ascii="Times New Roman" w:eastAsia="Times New Roman" w:hAnsi="Times New Roman" w:cs="Times New Roman"/>
        <w:b w:val="0"/>
        <w:color w:val="FF0000"/>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4D6710"/>
    <w:multiLevelType w:val="hybridMultilevel"/>
    <w:tmpl w:val="2276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F04781"/>
    <w:multiLevelType w:val="hybridMultilevel"/>
    <w:tmpl w:val="EB8AAD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6">
    <w:nsid w:val="2CC544C3"/>
    <w:multiLevelType w:val="hybridMultilevel"/>
    <w:tmpl w:val="1E40E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3C1A17"/>
    <w:multiLevelType w:val="multilevel"/>
    <w:tmpl w:val="858E3526"/>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8">
    <w:nsid w:val="36C71DD1"/>
    <w:multiLevelType w:val="hybridMultilevel"/>
    <w:tmpl w:val="B97AED04"/>
    <w:lvl w:ilvl="0" w:tplc="D5CCAAB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D631A2"/>
    <w:multiLevelType w:val="hybridMultilevel"/>
    <w:tmpl w:val="BF88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483BF6"/>
    <w:multiLevelType w:val="multilevel"/>
    <w:tmpl w:val="6652CD9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1AB0F89"/>
    <w:multiLevelType w:val="hybridMultilevel"/>
    <w:tmpl w:val="6E82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090C65"/>
    <w:multiLevelType w:val="hybridMultilevel"/>
    <w:tmpl w:val="6B3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B82932"/>
    <w:multiLevelType w:val="hybridMultilevel"/>
    <w:tmpl w:val="D512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1E0101"/>
    <w:multiLevelType w:val="hybridMultilevel"/>
    <w:tmpl w:val="3EA4AAD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nsid w:val="44FE0097"/>
    <w:multiLevelType w:val="hybridMultilevel"/>
    <w:tmpl w:val="4B3EE0AC"/>
    <w:lvl w:ilvl="0" w:tplc="1368B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7E1277"/>
    <w:multiLevelType w:val="hybridMultilevel"/>
    <w:tmpl w:val="10CE1146"/>
    <w:lvl w:ilvl="0" w:tplc="21C84844">
      <w:start w:val="1"/>
      <w:numFmt w:val="decimal"/>
      <w:lvlText w:val="%1."/>
      <w:lvlJc w:val="left"/>
      <w:pPr>
        <w:ind w:left="1080" w:hanging="360"/>
      </w:pPr>
      <w:rPr>
        <w:rFonts w:asciiTheme="majorHAnsi" w:eastAsiaTheme="minorEastAsia" w:hAnsiTheme="majorHAnsi" w:cstheme="majorHAnsi"/>
        <w:b w:val="0"/>
        <w:color w:val="FF0000"/>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6DC3948"/>
    <w:multiLevelType w:val="hybridMultilevel"/>
    <w:tmpl w:val="5D9EE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BC6C33"/>
    <w:multiLevelType w:val="hybridMultilevel"/>
    <w:tmpl w:val="004CC018"/>
    <w:lvl w:ilvl="0" w:tplc="CA8C0C1C">
      <w:start w:val="1"/>
      <w:numFmt w:val="decimal"/>
      <w:lvlText w:val="%1."/>
      <w:lvlJc w:val="left"/>
      <w:pPr>
        <w:ind w:left="1080" w:hanging="360"/>
      </w:pPr>
      <w:rPr>
        <w:rFonts w:asciiTheme="majorHAnsi" w:eastAsiaTheme="minorEastAsia" w:hAnsiTheme="majorHAnsi" w:cstheme="majorHAnsi"/>
        <w:b w:val="0"/>
        <w:color w:val="FF0000"/>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F7B646B"/>
    <w:multiLevelType w:val="hybridMultilevel"/>
    <w:tmpl w:val="A2284348"/>
    <w:lvl w:ilvl="0" w:tplc="57A611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013EC6"/>
    <w:multiLevelType w:val="hybridMultilevel"/>
    <w:tmpl w:val="5E8E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58579B"/>
    <w:multiLevelType w:val="hybridMultilevel"/>
    <w:tmpl w:val="152C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A20D20"/>
    <w:multiLevelType w:val="hybridMultilevel"/>
    <w:tmpl w:val="74C2D1A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5FAE6E08"/>
    <w:multiLevelType w:val="hybridMultilevel"/>
    <w:tmpl w:val="FC6ED250"/>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nsid w:val="61D332D4"/>
    <w:multiLevelType w:val="multilevel"/>
    <w:tmpl w:val="F700509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40571B0"/>
    <w:multiLevelType w:val="hybridMultilevel"/>
    <w:tmpl w:val="06F8A6FA"/>
    <w:lvl w:ilvl="0" w:tplc="540CA0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3E693E"/>
    <w:multiLevelType w:val="hybridMultilevel"/>
    <w:tmpl w:val="9B18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38">
    <w:nsid w:val="6AEB7550"/>
    <w:multiLevelType w:val="hybridMultilevel"/>
    <w:tmpl w:val="57967E9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F1A12B3"/>
    <w:multiLevelType w:val="hybridMultilevel"/>
    <w:tmpl w:val="BABE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2C00FF"/>
    <w:multiLevelType w:val="multilevel"/>
    <w:tmpl w:val="004CC018"/>
    <w:lvl w:ilvl="0">
      <w:start w:val="1"/>
      <w:numFmt w:val="decimal"/>
      <w:lvlText w:val="%1."/>
      <w:lvlJc w:val="left"/>
      <w:pPr>
        <w:ind w:left="1080" w:hanging="360"/>
      </w:pPr>
      <w:rPr>
        <w:rFonts w:asciiTheme="majorHAnsi" w:eastAsiaTheme="minorEastAsia" w:hAnsiTheme="majorHAnsi" w:cstheme="majorHAnsi"/>
        <w:b w:val="0"/>
        <w:color w:val="FF0000"/>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7C21BF0"/>
    <w:multiLevelType w:val="hybridMultilevel"/>
    <w:tmpl w:val="D512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C03F16"/>
    <w:multiLevelType w:val="hybridMultilevel"/>
    <w:tmpl w:val="9BC45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2A24CB"/>
    <w:multiLevelType w:val="hybridMultilevel"/>
    <w:tmpl w:val="374E3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0C3A0D"/>
    <w:multiLevelType w:val="hybridMultilevel"/>
    <w:tmpl w:val="F480742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ECD457C"/>
    <w:multiLevelType w:val="hybridMultilevel"/>
    <w:tmpl w:val="AF444F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7"/>
  </w:num>
  <w:num w:numId="2">
    <w:abstractNumId w:val="15"/>
  </w:num>
  <w:num w:numId="3">
    <w:abstractNumId w:val="37"/>
  </w:num>
  <w:num w:numId="4">
    <w:abstractNumId w:val="0"/>
  </w:num>
  <w:num w:numId="5">
    <w:abstractNumId w:val="3"/>
  </w:num>
  <w:num w:numId="6">
    <w:abstractNumId w:val="6"/>
  </w:num>
  <w:num w:numId="7">
    <w:abstractNumId w:val="1"/>
  </w:num>
  <w:num w:numId="8">
    <w:abstractNumId w:val="2"/>
  </w:num>
  <w:num w:numId="9">
    <w:abstractNumId w:val="37"/>
  </w:num>
  <w:num w:numId="10">
    <w:abstractNumId w:val="17"/>
  </w:num>
  <w:num w:numId="11">
    <w:abstractNumId w:val="41"/>
  </w:num>
  <w:num w:numId="12">
    <w:abstractNumId w:val="19"/>
  </w:num>
  <w:num w:numId="13">
    <w:abstractNumId w:val="4"/>
  </w:num>
  <w:num w:numId="14">
    <w:abstractNumId w:val="22"/>
  </w:num>
  <w:num w:numId="15">
    <w:abstractNumId w:val="23"/>
  </w:num>
  <w:num w:numId="16">
    <w:abstractNumId w:val="21"/>
  </w:num>
  <w:num w:numId="17">
    <w:abstractNumId w:val="24"/>
  </w:num>
  <w:num w:numId="18">
    <w:abstractNumId w:val="14"/>
  </w:num>
  <w:num w:numId="19">
    <w:abstractNumId w:val="18"/>
  </w:num>
  <w:num w:numId="20">
    <w:abstractNumId w:val="7"/>
  </w:num>
  <w:num w:numId="21">
    <w:abstractNumId w:val="11"/>
  </w:num>
  <w:num w:numId="22">
    <w:abstractNumId w:val="16"/>
  </w:num>
  <w:num w:numId="23">
    <w:abstractNumId w:val="34"/>
  </w:num>
  <w:num w:numId="24">
    <w:abstractNumId w:val="8"/>
  </w:num>
  <w:num w:numId="25">
    <w:abstractNumId w:val="12"/>
  </w:num>
  <w:num w:numId="26">
    <w:abstractNumId w:val="29"/>
  </w:num>
  <w:num w:numId="27">
    <w:abstractNumId w:val="45"/>
  </w:num>
  <w:num w:numId="28">
    <w:abstractNumId w:val="13"/>
  </w:num>
  <w:num w:numId="29">
    <w:abstractNumId w:val="30"/>
  </w:num>
  <w:num w:numId="30">
    <w:abstractNumId w:val="31"/>
  </w:num>
  <w:num w:numId="31">
    <w:abstractNumId w:val="36"/>
  </w:num>
  <w:num w:numId="32">
    <w:abstractNumId w:val="39"/>
  </w:num>
  <w:num w:numId="33">
    <w:abstractNumId w:val="9"/>
  </w:num>
  <w:num w:numId="34">
    <w:abstractNumId w:val="28"/>
  </w:num>
  <w:num w:numId="35">
    <w:abstractNumId w:val="40"/>
  </w:num>
  <w:num w:numId="36">
    <w:abstractNumId w:val="32"/>
  </w:num>
  <w:num w:numId="37">
    <w:abstractNumId w:val="26"/>
  </w:num>
  <w:num w:numId="38">
    <w:abstractNumId w:val="20"/>
  </w:num>
  <w:num w:numId="39">
    <w:abstractNumId w:val="25"/>
  </w:num>
  <w:num w:numId="40">
    <w:abstractNumId w:val="35"/>
  </w:num>
  <w:num w:numId="41">
    <w:abstractNumId w:val="43"/>
  </w:num>
  <w:num w:numId="42">
    <w:abstractNumId w:val="27"/>
  </w:num>
  <w:num w:numId="43">
    <w:abstractNumId w:val="10"/>
  </w:num>
  <w:num w:numId="44">
    <w:abstractNumId w:val="42"/>
  </w:num>
  <w:num w:numId="45">
    <w:abstractNumId w:val="44"/>
  </w:num>
  <w:num w:numId="46">
    <w:abstractNumId w:val="38"/>
  </w:num>
  <w:num w:numId="47">
    <w:abstractNumId w:val="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D7"/>
    <w:rsid w:val="00015B61"/>
    <w:rsid w:val="000272A7"/>
    <w:rsid w:val="00041739"/>
    <w:rsid w:val="00042868"/>
    <w:rsid w:val="0004306B"/>
    <w:rsid w:val="00052A3E"/>
    <w:rsid w:val="00052AA1"/>
    <w:rsid w:val="00052F76"/>
    <w:rsid w:val="0005654A"/>
    <w:rsid w:val="00060D5C"/>
    <w:rsid w:val="0006321D"/>
    <w:rsid w:val="00066424"/>
    <w:rsid w:val="00070A1E"/>
    <w:rsid w:val="000718D4"/>
    <w:rsid w:val="00071BD7"/>
    <w:rsid w:val="0007598B"/>
    <w:rsid w:val="00082A8E"/>
    <w:rsid w:val="000971E8"/>
    <w:rsid w:val="000B1FC6"/>
    <w:rsid w:val="000F10ED"/>
    <w:rsid w:val="000F22F8"/>
    <w:rsid w:val="001062B9"/>
    <w:rsid w:val="00111B1F"/>
    <w:rsid w:val="001145D3"/>
    <w:rsid w:val="00125909"/>
    <w:rsid w:val="00127D0E"/>
    <w:rsid w:val="00135142"/>
    <w:rsid w:val="001369EA"/>
    <w:rsid w:val="0014102C"/>
    <w:rsid w:val="00155080"/>
    <w:rsid w:val="00157A69"/>
    <w:rsid w:val="00157C15"/>
    <w:rsid w:val="001663B0"/>
    <w:rsid w:val="00187DF4"/>
    <w:rsid w:val="001A1360"/>
    <w:rsid w:val="001A693F"/>
    <w:rsid w:val="001B13C9"/>
    <w:rsid w:val="001C350F"/>
    <w:rsid w:val="001D187C"/>
    <w:rsid w:val="001E1826"/>
    <w:rsid w:val="001E2003"/>
    <w:rsid w:val="001E4EE9"/>
    <w:rsid w:val="001F0A37"/>
    <w:rsid w:val="001F4ACA"/>
    <w:rsid w:val="00213078"/>
    <w:rsid w:val="00220892"/>
    <w:rsid w:val="00223F10"/>
    <w:rsid w:val="0023155C"/>
    <w:rsid w:val="0024027B"/>
    <w:rsid w:val="002436C4"/>
    <w:rsid w:val="00245AA5"/>
    <w:rsid w:val="00246FC5"/>
    <w:rsid w:val="00247145"/>
    <w:rsid w:val="00253104"/>
    <w:rsid w:val="00255C4F"/>
    <w:rsid w:val="00267D9A"/>
    <w:rsid w:val="002803C8"/>
    <w:rsid w:val="00281887"/>
    <w:rsid w:val="00283206"/>
    <w:rsid w:val="002941A0"/>
    <w:rsid w:val="00296AED"/>
    <w:rsid w:val="002A2D0A"/>
    <w:rsid w:val="002B19A2"/>
    <w:rsid w:val="002B1B33"/>
    <w:rsid w:val="002B1D7B"/>
    <w:rsid w:val="002B5C17"/>
    <w:rsid w:val="002C1B99"/>
    <w:rsid w:val="002C395A"/>
    <w:rsid w:val="002C5DF6"/>
    <w:rsid w:val="002D2A86"/>
    <w:rsid w:val="002D3E77"/>
    <w:rsid w:val="002D772A"/>
    <w:rsid w:val="002E2379"/>
    <w:rsid w:val="002E391C"/>
    <w:rsid w:val="002E512C"/>
    <w:rsid w:val="002E649F"/>
    <w:rsid w:val="002F2EBC"/>
    <w:rsid w:val="002F69CC"/>
    <w:rsid w:val="0035631A"/>
    <w:rsid w:val="003566D9"/>
    <w:rsid w:val="003774A1"/>
    <w:rsid w:val="003A11CC"/>
    <w:rsid w:val="003B01BF"/>
    <w:rsid w:val="003C5C92"/>
    <w:rsid w:val="003D7B62"/>
    <w:rsid w:val="003E2C43"/>
    <w:rsid w:val="003E5929"/>
    <w:rsid w:val="003F0099"/>
    <w:rsid w:val="003F4A6A"/>
    <w:rsid w:val="003F57EB"/>
    <w:rsid w:val="003F720D"/>
    <w:rsid w:val="00401173"/>
    <w:rsid w:val="00401C56"/>
    <w:rsid w:val="00404E0B"/>
    <w:rsid w:val="004052AB"/>
    <w:rsid w:val="004075A3"/>
    <w:rsid w:val="004247E4"/>
    <w:rsid w:val="00435158"/>
    <w:rsid w:val="004563B9"/>
    <w:rsid w:val="00475F6D"/>
    <w:rsid w:val="00477478"/>
    <w:rsid w:val="004824CD"/>
    <w:rsid w:val="00485B3F"/>
    <w:rsid w:val="00490DAD"/>
    <w:rsid w:val="00492820"/>
    <w:rsid w:val="00493B5C"/>
    <w:rsid w:val="00494FE2"/>
    <w:rsid w:val="0049714D"/>
    <w:rsid w:val="00497E55"/>
    <w:rsid w:val="004A5B9D"/>
    <w:rsid w:val="004A627C"/>
    <w:rsid w:val="004B23D5"/>
    <w:rsid w:val="004B6F84"/>
    <w:rsid w:val="004B7EBD"/>
    <w:rsid w:val="004C2265"/>
    <w:rsid w:val="004D6E11"/>
    <w:rsid w:val="004E584F"/>
    <w:rsid w:val="004E5986"/>
    <w:rsid w:val="00507F58"/>
    <w:rsid w:val="00510723"/>
    <w:rsid w:val="0051143B"/>
    <w:rsid w:val="0051626E"/>
    <w:rsid w:val="00525BB3"/>
    <w:rsid w:val="005365D1"/>
    <w:rsid w:val="00542840"/>
    <w:rsid w:val="00550F5A"/>
    <w:rsid w:val="00553255"/>
    <w:rsid w:val="00577B52"/>
    <w:rsid w:val="00577D31"/>
    <w:rsid w:val="00583CF2"/>
    <w:rsid w:val="005A51C7"/>
    <w:rsid w:val="005A5D21"/>
    <w:rsid w:val="005A76B6"/>
    <w:rsid w:val="005A76E5"/>
    <w:rsid w:val="005B04B7"/>
    <w:rsid w:val="005B39EB"/>
    <w:rsid w:val="005B3AFA"/>
    <w:rsid w:val="005C0743"/>
    <w:rsid w:val="005C4984"/>
    <w:rsid w:val="005D1207"/>
    <w:rsid w:val="005D3906"/>
    <w:rsid w:val="005E09C7"/>
    <w:rsid w:val="005E2EFA"/>
    <w:rsid w:val="005E332B"/>
    <w:rsid w:val="005F27B1"/>
    <w:rsid w:val="00606109"/>
    <w:rsid w:val="00615169"/>
    <w:rsid w:val="00631751"/>
    <w:rsid w:val="006351E3"/>
    <w:rsid w:val="00642D1B"/>
    <w:rsid w:val="00645DC4"/>
    <w:rsid w:val="00650B64"/>
    <w:rsid w:val="006702A6"/>
    <w:rsid w:val="00671E89"/>
    <w:rsid w:val="0068195C"/>
    <w:rsid w:val="00685EA1"/>
    <w:rsid w:val="0069013D"/>
    <w:rsid w:val="006A5E7F"/>
    <w:rsid w:val="006B7645"/>
    <w:rsid w:val="006C1D0C"/>
    <w:rsid w:val="006C33E3"/>
    <w:rsid w:val="006D62B2"/>
    <w:rsid w:val="006E1D3F"/>
    <w:rsid w:val="00702421"/>
    <w:rsid w:val="007065AC"/>
    <w:rsid w:val="00710B0E"/>
    <w:rsid w:val="00711B6E"/>
    <w:rsid w:val="007161D5"/>
    <w:rsid w:val="00720ECD"/>
    <w:rsid w:val="00724E7C"/>
    <w:rsid w:val="00726EC3"/>
    <w:rsid w:val="00746AE3"/>
    <w:rsid w:val="00760628"/>
    <w:rsid w:val="00761E9A"/>
    <w:rsid w:val="00767F75"/>
    <w:rsid w:val="0078217C"/>
    <w:rsid w:val="0079130D"/>
    <w:rsid w:val="007A182D"/>
    <w:rsid w:val="007A4A49"/>
    <w:rsid w:val="007B1027"/>
    <w:rsid w:val="007C12E9"/>
    <w:rsid w:val="007D12BA"/>
    <w:rsid w:val="007D2BEF"/>
    <w:rsid w:val="007D35B7"/>
    <w:rsid w:val="007D38A0"/>
    <w:rsid w:val="007D67A2"/>
    <w:rsid w:val="007F2E27"/>
    <w:rsid w:val="007F75E6"/>
    <w:rsid w:val="00803F82"/>
    <w:rsid w:val="00812DA1"/>
    <w:rsid w:val="008312A3"/>
    <w:rsid w:val="0084105C"/>
    <w:rsid w:val="00841BC2"/>
    <w:rsid w:val="008500BD"/>
    <w:rsid w:val="00861A6B"/>
    <w:rsid w:val="00870449"/>
    <w:rsid w:val="008A03B2"/>
    <w:rsid w:val="008A4F4F"/>
    <w:rsid w:val="008A74E9"/>
    <w:rsid w:val="008C1C80"/>
    <w:rsid w:val="008D1852"/>
    <w:rsid w:val="008D3B91"/>
    <w:rsid w:val="008D7340"/>
    <w:rsid w:val="008D7B48"/>
    <w:rsid w:val="009042D3"/>
    <w:rsid w:val="00911BF5"/>
    <w:rsid w:val="00920EAC"/>
    <w:rsid w:val="0092196E"/>
    <w:rsid w:val="00921ECE"/>
    <w:rsid w:val="009253DB"/>
    <w:rsid w:val="00933613"/>
    <w:rsid w:val="00942EA8"/>
    <w:rsid w:val="009456CE"/>
    <w:rsid w:val="00950AEB"/>
    <w:rsid w:val="00953499"/>
    <w:rsid w:val="00962D11"/>
    <w:rsid w:val="0097556C"/>
    <w:rsid w:val="00987BD5"/>
    <w:rsid w:val="00996262"/>
    <w:rsid w:val="009B069B"/>
    <w:rsid w:val="009B3D14"/>
    <w:rsid w:val="009C1B73"/>
    <w:rsid w:val="009C4DEC"/>
    <w:rsid w:val="009E1A86"/>
    <w:rsid w:val="009E2A20"/>
    <w:rsid w:val="009E78C9"/>
    <w:rsid w:val="00A20911"/>
    <w:rsid w:val="00A35E9E"/>
    <w:rsid w:val="00A4362F"/>
    <w:rsid w:val="00A53319"/>
    <w:rsid w:val="00A56E1C"/>
    <w:rsid w:val="00A677F3"/>
    <w:rsid w:val="00A71451"/>
    <w:rsid w:val="00A7769D"/>
    <w:rsid w:val="00A9448C"/>
    <w:rsid w:val="00AA0178"/>
    <w:rsid w:val="00AB2AB1"/>
    <w:rsid w:val="00AC5587"/>
    <w:rsid w:val="00AE2A0A"/>
    <w:rsid w:val="00AE7933"/>
    <w:rsid w:val="00AF150D"/>
    <w:rsid w:val="00AF50C8"/>
    <w:rsid w:val="00AF775C"/>
    <w:rsid w:val="00B107C7"/>
    <w:rsid w:val="00B11880"/>
    <w:rsid w:val="00B15705"/>
    <w:rsid w:val="00B16196"/>
    <w:rsid w:val="00B34003"/>
    <w:rsid w:val="00B35F26"/>
    <w:rsid w:val="00B36397"/>
    <w:rsid w:val="00B4688B"/>
    <w:rsid w:val="00B52CB1"/>
    <w:rsid w:val="00B5482B"/>
    <w:rsid w:val="00B72AB2"/>
    <w:rsid w:val="00B91E98"/>
    <w:rsid w:val="00B928E4"/>
    <w:rsid w:val="00B96BC4"/>
    <w:rsid w:val="00BA715A"/>
    <w:rsid w:val="00BC3D33"/>
    <w:rsid w:val="00BC770A"/>
    <w:rsid w:val="00BD3C7C"/>
    <w:rsid w:val="00BD3D34"/>
    <w:rsid w:val="00BD592B"/>
    <w:rsid w:val="00BE4A27"/>
    <w:rsid w:val="00BF3A98"/>
    <w:rsid w:val="00BF5395"/>
    <w:rsid w:val="00C01BDF"/>
    <w:rsid w:val="00C03131"/>
    <w:rsid w:val="00C04AC9"/>
    <w:rsid w:val="00C07DC1"/>
    <w:rsid w:val="00C17844"/>
    <w:rsid w:val="00C52E8C"/>
    <w:rsid w:val="00C6497E"/>
    <w:rsid w:val="00C713C3"/>
    <w:rsid w:val="00C71605"/>
    <w:rsid w:val="00C748D0"/>
    <w:rsid w:val="00C767AD"/>
    <w:rsid w:val="00C95C8D"/>
    <w:rsid w:val="00C97B4C"/>
    <w:rsid w:val="00CB78DA"/>
    <w:rsid w:val="00CC02EF"/>
    <w:rsid w:val="00CC1B2D"/>
    <w:rsid w:val="00CE0A8D"/>
    <w:rsid w:val="00CE51DC"/>
    <w:rsid w:val="00CF0597"/>
    <w:rsid w:val="00CF096A"/>
    <w:rsid w:val="00D03D99"/>
    <w:rsid w:val="00D04FA6"/>
    <w:rsid w:val="00D05FBF"/>
    <w:rsid w:val="00D072B7"/>
    <w:rsid w:val="00D1194B"/>
    <w:rsid w:val="00D134B1"/>
    <w:rsid w:val="00D255EF"/>
    <w:rsid w:val="00D2732F"/>
    <w:rsid w:val="00D315E2"/>
    <w:rsid w:val="00D4258B"/>
    <w:rsid w:val="00D6253C"/>
    <w:rsid w:val="00D6339E"/>
    <w:rsid w:val="00D64443"/>
    <w:rsid w:val="00D67C9B"/>
    <w:rsid w:val="00D73CC1"/>
    <w:rsid w:val="00D804E9"/>
    <w:rsid w:val="00D8513B"/>
    <w:rsid w:val="00D9489F"/>
    <w:rsid w:val="00DA248B"/>
    <w:rsid w:val="00DA7287"/>
    <w:rsid w:val="00DA7BB4"/>
    <w:rsid w:val="00DB69E8"/>
    <w:rsid w:val="00DC483B"/>
    <w:rsid w:val="00DD4B6B"/>
    <w:rsid w:val="00DE0B98"/>
    <w:rsid w:val="00DE4BD9"/>
    <w:rsid w:val="00DE5CAA"/>
    <w:rsid w:val="00DF26B0"/>
    <w:rsid w:val="00E033EA"/>
    <w:rsid w:val="00E06BD7"/>
    <w:rsid w:val="00E1082D"/>
    <w:rsid w:val="00E15968"/>
    <w:rsid w:val="00E27C51"/>
    <w:rsid w:val="00E41EE6"/>
    <w:rsid w:val="00E62E9B"/>
    <w:rsid w:val="00E75B44"/>
    <w:rsid w:val="00E7796B"/>
    <w:rsid w:val="00E916EB"/>
    <w:rsid w:val="00E92CC8"/>
    <w:rsid w:val="00E94D71"/>
    <w:rsid w:val="00E97289"/>
    <w:rsid w:val="00EA267B"/>
    <w:rsid w:val="00EB35BA"/>
    <w:rsid w:val="00EC0841"/>
    <w:rsid w:val="00EC4CF9"/>
    <w:rsid w:val="00EC6521"/>
    <w:rsid w:val="00EF4A0F"/>
    <w:rsid w:val="00EF55CC"/>
    <w:rsid w:val="00F02588"/>
    <w:rsid w:val="00F05B3D"/>
    <w:rsid w:val="00F066E3"/>
    <w:rsid w:val="00F21E39"/>
    <w:rsid w:val="00F234B1"/>
    <w:rsid w:val="00F42092"/>
    <w:rsid w:val="00F51926"/>
    <w:rsid w:val="00F545C4"/>
    <w:rsid w:val="00F666D9"/>
    <w:rsid w:val="00F80452"/>
    <w:rsid w:val="00F878CE"/>
    <w:rsid w:val="00F96EE4"/>
    <w:rsid w:val="00F9791D"/>
    <w:rsid w:val="00FA396B"/>
    <w:rsid w:val="00FA3AF7"/>
    <w:rsid w:val="00FA526F"/>
    <w:rsid w:val="00FA57BC"/>
    <w:rsid w:val="00FA5A08"/>
    <w:rsid w:val="00FB4543"/>
    <w:rsid w:val="00FB74E7"/>
    <w:rsid w:val="00FC5368"/>
    <w:rsid w:val="00FD125B"/>
    <w:rsid w:val="00FD1F00"/>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6B4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link w:val="Heading1Char"/>
    <w:uiPriority w:val="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D187C"/>
    <w:pPr>
      <w:pBdr>
        <w:top w:val="single" w:sz="4" w:space="6" w:color="auto"/>
      </w:pBdr>
    </w:pPr>
    <w:rPr>
      <w:sz w:val="20"/>
      <w:szCs w:val="20"/>
    </w:rPr>
  </w:style>
  <w:style w:type="character" w:styleId="FootnoteReference">
    <w:name w:val="footnote reference"/>
    <w:basedOn w:val="DefaultParagraphFont"/>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paragraph" w:styleId="Bibliography">
    <w:name w:val="Bibliography"/>
    <w:basedOn w:val="Normal"/>
    <w:next w:val="Normal"/>
    <w:uiPriority w:val="37"/>
    <w:unhideWhenUsed/>
    <w:rsid w:val="00B72AB2"/>
  </w:style>
  <w:style w:type="character" w:customStyle="1" w:styleId="FootnoteTextChar">
    <w:name w:val="Footnote Text Char"/>
    <w:basedOn w:val="DefaultParagraphFont"/>
    <w:link w:val="FootnoteText"/>
    <w:rsid w:val="00B72AB2"/>
    <w:rPr>
      <w:sz w:val="20"/>
      <w:szCs w:val="20"/>
    </w:rPr>
  </w:style>
  <w:style w:type="character" w:styleId="PlaceholderText">
    <w:name w:val="Placeholder Text"/>
    <w:basedOn w:val="DefaultParagraphFont"/>
    <w:uiPriority w:val="99"/>
    <w:semiHidden/>
    <w:rsid w:val="00B72AB2"/>
    <w:rPr>
      <w:color w:val="808080"/>
    </w:rPr>
  </w:style>
  <w:style w:type="paragraph" w:styleId="ListParagraph">
    <w:name w:val="List Paragraph"/>
    <w:basedOn w:val="Normal"/>
    <w:uiPriority w:val="34"/>
    <w:qFormat/>
    <w:rsid w:val="00B72AB2"/>
    <w:pPr>
      <w:spacing w:before="0"/>
      <w:ind w:left="720"/>
      <w:contextualSpacing/>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B72AB2"/>
    <w:rPr>
      <w:sz w:val="18"/>
    </w:rPr>
  </w:style>
  <w:style w:type="character" w:customStyle="1" w:styleId="FooterChar">
    <w:name w:val="Footer Char"/>
    <w:basedOn w:val="DefaultParagraphFont"/>
    <w:link w:val="Footer"/>
    <w:uiPriority w:val="99"/>
    <w:rsid w:val="00B72AB2"/>
  </w:style>
  <w:style w:type="character" w:styleId="EndnoteReference">
    <w:name w:val="endnote reference"/>
    <w:basedOn w:val="DefaultParagraphFont"/>
    <w:uiPriority w:val="99"/>
    <w:unhideWhenUsed/>
    <w:rsid w:val="00B72AB2"/>
    <w:rPr>
      <w:vertAlign w:val="superscript"/>
    </w:rPr>
  </w:style>
  <w:style w:type="character" w:customStyle="1" w:styleId="st">
    <w:name w:val="st"/>
    <w:basedOn w:val="DefaultParagraphFont"/>
    <w:rsid w:val="00B72AB2"/>
  </w:style>
  <w:style w:type="character" w:styleId="CommentReference">
    <w:name w:val="annotation reference"/>
    <w:basedOn w:val="DefaultParagraphFont"/>
    <w:uiPriority w:val="99"/>
    <w:unhideWhenUsed/>
    <w:rsid w:val="00B72AB2"/>
    <w:rPr>
      <w:sz w:val="16"/>
      <w:szCs w:val="16"/>
    </w:rPr>
  </w:style>
  <w:style w:type="paragraph" w:styleId="CommentText">
    <w:name w:val="annotation text"/>
    <w:basedOn w:val="Normal"/>
    <w:link w:val="CommentTextChar"/>
    <w:uiPriority w:val="99"/>
    <w:unhideWhenUsed/>
    <w:rsid w:val="00B72AB2"/>
    <w:pPr>
      <w:spacing w:before="0"/>
      <w:ind w:left="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B72AB2"/>
    <w:rPr>
      <w:rFonts w:asciiTheme="minorHAnsi" w:eastAsiaTheme="minorEastAsia" w:hAnsiTheme="minorHAnsi" w:cstheme="minorBidi"/>
      <w:sz w:val="20"/>
      <w:szCs w:val="20"/>
      <w:lang w:val="en-US" w:eastAsia="en-US"/>
    </w:rPr>
  </w:style>
  <w:style w:type="paragraph" w:styleId="CommentSubject">
    <w:name w:val="annotation subject"/>
    <w:basedOn w:val="CommentText"/>
    <w:next w:val="CommentText"/>
    <w:link w:val="CommentSubjectChar"/>
    <w:uiPriority w:val="99"/>
    <w:unhideWhenUsed/>
    <w:rsid w:val="00B72AB2"/>
    <w:rPr>
      <w:b/>
      <w:bCs/>
    </w:rPr>
  </w:style>
  <w:style w:type="character" w:customStyle="1" w:styleId="CommentSubjectChar">
    <w:name w:val="Comment Subject Char"/>
    <w:basedOn w:val="CommentTextChar"/>
    <w:link w:val="CommentSubject"/>
    <w:uiPriority w:val="99"/>
    <w:rsid w:val="00B72AB2"/>
    <w:rPr>
      <w:rFonts w:asciiTheme="minorHAnsi" w:eastAsiaTheme="minorEastAsia" w:hAnsiTheme="minorHAnsi" w:cstheme="minorBidi"/>
      <w:b/>
      <w:bCs/>
      <w:sz w:val="20"/>
      <w:szCs w:val="20"/>
      <w:lang w:val="en-US" w:eastAsia="en-US"/>
    </w:rPr>
  </w:style>
  <w:style w:type="paragraph" w:customStyle="1" w:styleId="Numbered">
    <w:name w:val="Numbered"/>
    <w:basedOn w:val="Normal"/>
    <w:rsid w:val="00B72AB2"/>
    <w:pPr>
      <w:widowControl w:val="0"/>
      <w:overflowPunct w:val="0"/>
      <w:autoSpaceDE w:val="0"/>
      <w:autoSpaceDN w:val="0"/>
      <w:adjustRightInd w:val="0"/>
      <w:spacing w:before="0" w:after="240"/>
      <w:ind w:left="0"/>
      <w:textAlignment w:val="baseline"/>
    </w:pPr>
    <w:rPr>
      <w:szCs w:val="20"/>
      <w:lang w:eastAsia="en-US"/>
    </w:rPr>
  </w:style>
  <w:style w:type="paragraph" w:styleId="Revision">
    <w:name w:val="Revision"/>
    <w:hidden/>
    <w:uiPriority w:val="99"/>
    <w:semiHidden/>
    <w:rsid w:val="00B72AB2"/>
    <w:rPr>
      <w:rFonts w:asciiTheme="minorHAnsi" w:eastAsiaTheme="minorEastAsia" w:hAnsiTheme="minorHAnsi" w:cstheme="minorBidi"/>
      <w:lang w:val="en-US" w:eastAsia="en-US"/>
    </w:rPr>
  </w:style>
  <w:style w:type="paragraph" w:styleId="PlainText">
    <w:name w:val="Plain Text"/>
    <w:basedOn w:val="Normal"/>
    <w:link w:val="PlainTextChar"/>
    <w:uiPriority w:val="99"/>
    <w:unhideWhenUsed/>
    <w:rsid w:val="00B72AB2"/>
    <w:pPr>
      <w:spacing w:before="0"/>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72AB2"/>
    <w:rPr>
      <w:rFonts w:ascii="Calibri" w:eastAsiaTheme="minorHAnsi" w:hAnsi="Calibri" w:cstheme="minorBidi"/>
      <w:sz w:val="22"/>
      <w:szCs w:val="21"/>
      <w:lang w:eastAsia="en-US"/>
    </w:rPr>
  </w:style>
  <w:style w:type="character" w:customStyle="1" w:styleId="Heading1Char">
    <w:name w:val="Heading 1 Char"/>
    <w:basedOn w:val="DefaultParagraphFont"/>
    <w:link w:val="Heading1"/>
    <w:uiPriority w:val="9"/>
    <w:rsid w:val="00B72AB2"/>
    <w:rPr>
      <w:sz w:val="56"/>
    </w:rPr>
  </w:style>
  <w:style w:type="numbering" w:customStyle="1" w:styleId="NoList1">
    <w:name w:val="No List1"/>
    <w:next w:val="NoList"/>
    <w:uiPriority w:val="99"/>
    <w:semiHidden/>
    <w:unhideWhenUsed/>
    <w:rsid w:val="00EC4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link w:val="Heading1Char"/>
    <w:uiPriority w:val="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D187C"/>
    <w:pPr>
      <w:pBdr>
        <w:top w:val="single" w:sz="4" w:space="6" w:color="auto"/>
      </w:pBdr>
    </w:pPr>
    <w:rPr>
      <w:sz w:val="20"/>
      <w:szCs w:val="20"/>
    </w:rPr>
  </w:style>
  <w:style w:type="character" w:styleId="FootnoteReference">
    <w:name w:val="footnote reference"/>
    <w:basedOn w:val="DefaultParagraphFont"/>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paragraph" w:styleId="Bibliography">
    <w:name w:val="Bibliography"/>
    <w:basedOn w:val="Normal"/>
    <w:next w:val="Normal"/>
    <w:uiPriority w:val="37"/>
    <w:unhideWhenUsed/>
    <w:rsid w:val="00B72AB2"/>
  </w:style>
  <w:style w:type="character" w:customStyle="1" w:styleId="FootnoteTextChar">
    <w:name w:val="Footnote Text Char"/>
    <w:basedOn w:val="DefaultParagraphFont"/>
    <w:link w:val="FootnoteText"/>
    <w:rsid w:val="00B72AB2"/>
    <w:rPr>
      <w:sz w:val="20"/>
      <w:szCs w:val="20"/>
    </w:rPr>
  </w:style>
  <w:style w:type="character" w:styleId="PlaceholderText">
    <w:name w:val="Placeholder Text"/>
    <w:basedOn w:val="DefaultParagraphFont"/>
    <w:uiPriority w:val="99"/>
    <w:semiHidden/>
    <w:rsid w:val="00B72AB2"/>
    <w:rPr>
      <w:color w:val="808080"/>
    </w:rPr>
  </w:style>
  <w:style w:type="paragraph" w:styleId="ListParagraph">
    <w:name w:val="List Paragraph"/>
    <w:basedOn w:val="Normal"/>
    <w:uiPriority w:val="34"/>
    <w:qFormat/>
    <w:rsid w:val="00B72AB2"/>
    <w:pPr>
      <w:spacing w:before="0"/>
      <w:ind w:left="720"/>
      <w:contextualSpacing/>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B72AB2"/>
    <w:rPr>
      <w:sz w:val="18"/>
    </w:rPr>
  </w:style>
  <w:style w:type="character" w:customStyle="1" w:styleId="FooterChar">
    <w:name w:val="Footer Char"/>
    <w:basedOn w:val="DefaultParagraphFont"/>
    <w:link w:val="Footer"/>
    <w:uiPriority w:val="99"/>
    <w:rsid w:val="00B72AB2"/>
  </w:style>
  <w:style w:type="character" w:styleId="EndnoteReference">
    <w:name w:val="endnote reference"/>
    <w:basedOn w:val="DefaultParagraphFont"/>
    <w:uiPriority w:val="99"/>
    <w:unhideWhenUsed/>
    <w:rsid w:val="00B72AB2"/>
    <w:rPr>
      <w:vertAlign w:val="superscript"/>
    </w:rPr>
  </w:style>
  <w:style w:type="character" w:customStyle="1" w:styleId="st">
    <w:name w:val="st"/>
    <w:basedOn w:val="DefaultParagraphFont"/>
    <w:rsid w:val="00B72AB2"/>
  </w:style>
  <w:style w:type="character" w:styleId="CommentReference">
    <w:name w:val="annotation reference"/>
    <w:basedOn w:val="DefaultParagraphFont"/>
    <w:uiPriority w:val="99"/>
    <w:unhideWhenUsed/>
    <w:rsid w:val="00B72AB2"/>
    <w:rPr>
      <w:sz w:val="16"/>
      <w:szCs w:val="16"/>
    </w:rPr>
  </w:style>
  <w:style w:type="paragraph" w:styleId="CommentText">
    <w:name w:val="annotation text"/>
    <w:basedOn w:val="Normal"/>
    <w:link w:val="CommentTextChar"/>
    <w:uiPriority w:val="99"/>
    <w:unhideWhenUsed/>
    <w:rsid w:val="00B72AB2"/>
    <w:pPr>
      <w:spacing w:before="0"/>
      <w:ind w:left="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B72AB2"/>
    <w:rPr>
      <w:rFonts w:asciiTheme="minorHAnsi" w:eastAsiaTheme="minorEastAsia" w:hAnsiTheme="minorHAnsi" w:cstheme="minorBidi"/>
      <w:sz w:val="20"/>
      <w:szCs w:val="20"/>
      <w:lang w:val="en-US" w:eastAsia="en-US"/>
    </w:rPr>
  </w:style>
  <w:style w:type="paragraph" w:styleId="CommentSubject">
    <w:name w:val="annotation subject"/>
    <w:basedOn w:val="CommentText"/>
    <w:next w:val="CommentText"/>
    <w:link w:val="CommentSubjectChar"/>
    <w:uiPriority w:val="99"/>
    <w:unhideWhenUsed/>
    <w:rsid w:val="00B72AB2"/>
    <w:rPr>
      <w:b/>
      <w:bCs/>
    </w:rPr>
  </w:style>
  <w:style w:type="character" w:customStyle="1" w:styleId="CommentSubjectChar">
    <w:name w:val="Comment Subject Char"/>
    <w:basedOn w:val="CommentTextChar"/>
    <w:link w:val="CommentSubject"/>
    <w:uiPriority w:val="99"/>
    <w:rsid w:val="00B72AB2"/>
    <w:rPr>
      <w:rFonts w:asciiTheme="minorHAnsi" w:eastAsiaTheme="minorEastAsia" w:hAnsiTheme="minorHAnsi" w:cstheme="minorBidi"/>
      <w:b/>
      <w:bCs/>
      <w:sz w:val="20"/>
      <w:szCs w:val="20"/>
      <w:lang w:val="en-US" w:eastAsia="en-US"/>
    </w:rPr>
  </w:style>
  <w:style w:type="paragraph" w:customStyle="1" w:styleId="Numbered">
    <w:name w:val="Numbered"/>
    <w:basedOn w:val="Normal"/>
    <w:rsid w:val="00B72AB2"/>
    <w:pPr>
      <w:widowControl w:val="0"/>
      <w:overflowPunct w:val="0"/>
      <w:autoSpaceDE w:val="0"/>
      <w:autoSpaceDN w:val="0"/>
      <w:adjustRightInd w:val="0"/>
      <w:spacing w:before="0" w:after="240"/>
      <w:ind w:left="0"/>
      <w:textAlignment w:val="baseline"/>
    </w:pPr>
    <w:rPr>
      <w:szCs w:val="20"/>
      <w:lang w:eastAsia="en-US"/>
    </w:rPr>
  </w:style>
  <w:style w:type="paragraph" w:styleId="Revision">
    <w:name w:val="Revision"/>
    <w:hidden/>
    <w:uiPriority w:val="99"/>
    <w:semiHidden/>
    <w:rsid w:val="00B72AB2"/>
    <w:rPr>
      <w:rFonts w:asciiTheme="minorHAnsi" w:eastAsiaTheme="minorEastAsia" w:hAnsiTheme="minorHAnsi" w:cstheme="minorBidi"/>
      <w:lang w:val="en-US" w:eastAsia="en-US"/>
    </w:rPr>
  </w:style>
  <w:style w:type="paragraph" w:styleId="PlainText">
    <w:name w:val="Plain Text"/>
    <w:basedOn w:val="Normal"/>
    <w:link w:val="PlainTextChar"/>
    <w:uiPriority w:val="99"/>
    <w:unhideWhenUsed/>
    <w:rsid w:val="00B72AB2"/>
    <w:pPr>
      <w:spacing w:before="0"/>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72AB2"/>
    <w:rPr>
      <w:rFonts w:ascii="Calibri" w:eastAsiaTheme="minorHAnsi" w:hAnsi="Calibri" w:cstheme="minorBidi"/>
      <w:sz w:val="22"/>
      <w:szCs w:val="21"/>
      <w:lang w:eastAsia="en-US"/>
    </w:rPr>
  </w:style>
  <w:style w:type="character" w:customStyle="1" w:styleId="Heading1Char">
    <w:name w:val="Heading 1 Char"/>
    <w:basedOn w:val="DefaultParagraphFont"/>
    <w:link w:val="Heading1"/>
    <w:uiPriority w:val="9"/>
    <w:rsid w:val="00B72AB2"/>
    <w:rPr>
      <w:sz w:val="56"/>
    </w:rPr>
  </w:style>
  <w:style w:type="numbering" w:customStyle="1" w:styleId="NoList1">
    <w:name w:val="No List1"/>
    <w:next w:val="NoList"/>
    <w:uiPriority w:val="99"/>
    <w:semiHidden/>
    <w:unhideWhenUsed/>
    <w:rsid w:val="00EC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quantifying-the-social-impacts-of-sport-and-cul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DF11-857B-4C3A-B136-695BAB79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45</Pages>
  <Words>13307</Words>
  <Characters>75851</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88981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Lee</dc:creator>
  <cp:lastModifiedBy>CAMERON, Douglas</cp:lastModifiedBy>
  <cp:revision>2</cp:revision>
  <cp:lastPrinted>2014-04-17T12:52:00Z</cp:lastPrinted>
  <dcterms:created xsi:type="dcterms:W3CDTF">2014-04-17T12:57:00Z</dcterms:created>
  <dcterms:modified xsi:type="dcterms:W3CDTF">2014-04-17T12:57:00Z</dcterms:modified>
</cp:coreProperties>
</file>