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67527" w14:textId="77777777" w:rsidR="005A0FFA" w:rsidRDefault="005A0FFA">
      <w:bookmarkStart w:id="0" w:name="_GoBack"/>
      <w:bookmarkEnd w:id="0"/>
    </w:p>
    <w:p w14:paraId="67993434" w14:textId="77777777" w:rsidR="005A0FFA" w:rsidRDefault="005A0FFA"/>
    <w:p w14:paraId="7B74A353" w14:textId="77777777" w:rsidR="005A0FFA" w:rsidRDefault="005A0FFA"/>
    <w:p w14:paraId="44AAB1B2" w14:textId="77777777" w:rsidR="005A0FFA" w:rsidRDefault="005A0FFA"/>
    <w:p w14:paraId="636FCDF5" w14:textId="77777777" w:rsidR="005A0FFA" w:rsidRDefault="005A0FFA"/>
    <w:p w14:paraId="533D171B" w14:textId="77777777" w:rsidR="005A0FFA" w:rsidRDefault="005A0FFA"/>
    <w:sdt>
      <w:sdtPr>
        <w:rPr>
          <w:rFonts w:eastAsiaTheme="minorHAnsi"/>
          <w:b/>
          <w:sz w:val="40"/>
          <w:szCs w:val="40"/>
          <w:lang w:val="en-GB" w:eastAsia="en-US"/>
        </w:rPr>
        <w:id w:val="-824053118"/>
        <w:docPartObj>
          <w:docPartGallery w:val="Cover Pages"/>
          <w:docPartUnique/>
        </w:docPartObj>
      </w:sdtPr>
      <w:sdtEndPr>
        <w:rPr>
          <w:b w:val="0"/>
          <w:sz w:val="48"/>
          <w:szCs w:val="48"/>
          <w:u w:val="single"/>
        </w:rPr>
      </w:sdtEndPr>
      <w:sdtContent>
        <w:tbl>
          <w:tblPr>
            <w:tblW w:w="5000" w:type="pct"/>
            <w:jc w:val="center"/>
            <w:tblLook w:val="04A0" w:firstRow="1" w:lastRow="0" w:firstColumn="1" w:lastColumn="0" w:noHBand="0" w:noVBand="1"/>
          </w:tblPr>
          <w:tblGrid>
            <w:gridCol w:w="9242"/>
          </w:tblGrid>
          <w:tr w:rsidR="00963744" w14:paraId="3CFBBC86" w14:textId="77777777" w:rsidTr="00963744">
            <w:trPr>
              <w:trHeight w:val="1940"/>
              <w:jc w:val="center"/>
            </w:trPr>
            <w:sdt>
              <w:sdtPr>
                <w:rPr>
                  <w:rFonts w:eastAsiaTheme="minorHAnsi"/>
                  <w:b/>
                  <w:sz w:val="40"/>
                  <w:szCs w:val="40"/>
                  <w:lang w:val="en-GB"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rFonts w:eastAsiaTheme="minorEastAsia"/>
                  <w:lang w:val="en-US" w:eastAsia="ja-JP"/>
                </w:rPr>
              </w:sdtEndPr>
              <w:sdtContent>
                <w:tc>
                  <w:tcPr>
                    <w:tcW w:w="5000" w:type="pct"/>
                    <w:tcBorders>
                      <w:bottom w:val="single" w:sz="4" w:space="0" w:color="4F81BD" w:themeColor="accent1"/>
                    </w:tcBorders>
                    <w:vAlign w:val="center"/>
                  </w:tcPr>
                  <w:p w14:paraId="7B7B1C5B" w14:textId="755FA94F" w:rsidR="00963744" w:rsidRDefault="007127E2" w:rsidP="00963744">
                    <w:pPr>
                      <w:pStyle w:val="NoSpacing"/>
                      <w:jc w:val="center"/>
                      <w:rPr>
                        <w:rFonts w:asciiTheme="majorHAnsi" w:eastAsiaTheme="majorEastAsia" w:hAnsiTheme="majorHAnsi" w:cstheme="majorBidi"/>
                        <w:sz w:val="80"/>
                        <w:szCs w:val="80"/>
                      </w:rPr>
                    </w:pPr>
                    <w:r>
                      <w:rPr>
                        <w:rFonts w:eastAsiaTheme="minorHAnsi"/>
                        <w:b/>
                        <w:sz w:val="40"/>
                        <w:szCs w:val="40"/>
                        <w:lang w:val="en-GB" w:eastAsia="en-US"/>
                      </w:rPr>
                      <w:t xml:space="preserve">EQUALITY 2.0 – </w:t>
                    </w:r>
                    <w:r w:rsidR="00963744" w:rsidRPr="009C726A">
                      <w:rPr>
                        <w:b/>
                        <w:sz w:val="40"/>
                        <w:szCs w:val="40"/>
                      </w:rPr>
                      <w:t>COMPLEMENTARY AND ALTERNATIVE PATHS TO EQUALITY – FINAL REPORT</w:t>
                    </w:r>
                  </w:p>
                </w:tc>
              </w:sdtContent>
            </w:sdt>
          </w:tr>
          <w:tr w:rsidR="00963744" w14:paraId="59E64617" w14:textId="77777777">
            <w:trPr>
              <w:trHeight w:val="720"/>
              <w:jc w:val="center"/>
            </w:trPr>
            <w:sdt>
              <w:sdtPr>
                <w:rPr>
                  <w:rFonts w:eastAsiaTheme="majorEastAsia" w:cstheme="minorHAnsi"/>
                  <w:sz w:val="28"/>
                  <w:szCs w:val="28"/>
                  <w:lang w:val="en-GB"/>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207C416A" w14:textId="7A9F1713" w:rsidR="00963744" w:rsidRDefault="009C726A" w:rsidP="0063180B">
                    <w:pPr>
                      <w:pStyle w:val="NoSpacing"/>
                      <w:jc w:val="center"/>
                      <w:rPr>
                        <w:rFonts w:asciiTheme="majorHAnsi" w:eastAsiaTheme="majorEastAsia" w:hAnsiTheme="majorHAnsi" w:cstheme="majorBidi"/>
                        <w:sz w:val="44"/>
                        <w:szCs w:val="44"/>
                      </w:rPr>
                    </w:pPr>
                    <w:r w:rsidRPr="00726ADD">
                      <w:rPr>
                        <w:rFonts w:eastAsiaTheme="majorEastAsia" w:cstheme="minorHAnsi"/>
                        <w:sz w:val="28"/>
                        <w:szCs w:val="28"/>
                        <w:lang w:val="en-GB"/>
                      </w:rPr>
                      <w:t>The final report</w:t>
                    </w:r>
                    <w:r w:rsidR="00D5236F">
                      <w:rPr>
                        <w:rFonts w:eastAsiaTheme="majorEastAsia" w:cstheme="minorHAnsi"/>
                        <w:sz w:val="28"/>
                        <w:szCs w:val="28"/>
                        <w:lang w:val="en-GB"/>
                      </w:rPr>
                      <w:t xml:space="preserve"> to GEO</w:t>
                    </w:r>
                    <w:r w:rsidRPr="00726ADD">
                      <w:rPr>
                        <w:rFonts w:eastAsiaTheme="majorEastAsia" w:cstheme="minorHAnsi"/>
                        <w:sz w:val="28"/>
                        <w:szCs w:val="28"/>
                        <w:lang w:val="en-GB"/>
                      </w:rPr>
                      <w:t xml:space="preserve"> </w:t>
                    </w:r>
                    <w:r w:rsidR="008479A1">
                      <w:rPr>
                        <w:rFonts w:eastAsiaTheme="majorEastAsia" w:cstheme="minorHAnsi"/>
                        <w:sz w:val="28"/>
                        <w:szCs w:val="28"/>
                        <w:lang w:val="en-GB"/>
                      </w:rPr>
                      <w:t>by</w:t>
                    </w:r>
                    <w:r w:rsidRPr="00726ADD">
                      <w:rPr>
                        <w:rFonts w:eastAsiaTheme="majorEastAsia" w:cstheme="minorHAnsi"/>
                        <w:sz w:val="28"/>
                        <w:szCs w:val="28"/>
                        <w:lang w:val="en-GB"/>
                      </w:rPr>
                      <w:t xml:space="preserve"> an ESRC/GEO Knowledge Exchange Fellowship examining behaviour change insights to improve equalit</w:t>
                    </w:r>
                    <w:r w:rsidR="0063180B">
                      <w:rPr>
                        <w:rFonts w:eastAsiaTheme="majorEastAsia" w:cstheme="minorHAnsi"/>
                        <w:sz w:val="28"/>
                        <w:szCs w:val="28"/>
                        <w:lang w:val="en-GB"/>
                      </w:rPr>
                      <w:t>ies</w:t>
                    </w:r>
                    <w:r w:rsidRPr="00726ADD">
                      <w:rPr>
                        <w:rFonts w:eastAsiaTheme="majorEastAsia" w:cstheme="minorHAnsi"/>
                        <w:sz w:val="28"/>
                        <w:szCs w:val="28"/>
                        <w:lang w:val="en-GB"/>
                      </w:rPr>
                      <w:t xml:space="preserve"> policy outcomes</w:t>
                    </w:r>
                  </w:p>
                </w:tc>
              </w:sdtContent>
            </w:sdt>
          </w:tr>
          <w:tr w:rsidR="00963744" w14:paraId="2D5E1ADB" w14:textId="77777777">
            <w:trPr>
              <w:trHeight w:val="360"/>
              <w:jc w:val="center"/>
            </w:trPr>
            <w:tc>
              <w:tcPr>
                <w:tcW w:w="5000" w:type="pct"/>
                <w:vAlign w:val="center"/>
              </w:tcPr>
              <w:p w14:paraId="29525007" w14:textId="77777777" w:rsidR="00963744" w:rsidRDefault="00963744">
                <w:pPr>
                  <w:pStyle w:val="NoSpacing"/>
                  <w:jc w:val="center"/>
                </w:pPr>
              </w:p>
              <w:p w14:paraId="721BBE3D" w14:textId="77777777" w:rsidR="009C726A" w:rsidRDefault="009C726A">
                <w:pPr>
                  <w:pStyle w:val="NoSpacing"/>
                  <w:jc w:val="center"/>
                </w:pPr>
              </w:p>
            </w:tc>
          </w:tr>
          <w:tr w:rsidR="00963744" w14:paraId="3B7DD987" w14:textId="77777777">
            <w:trPr>
              <w:trHeight w:val="360"/>
              <w:jc w:val="center"/>
            </w:trPr>
            <w:sdt>
              <w:sdtPr>
                <w:rPr>
                  <w:b/>
                  <w:bCs/>
                  <w:sz w:val="28"/>
                  <w:szCs w:val="28"/>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0E38FE3B" w14:textId="526D9186" w:rsidR="00963744" w:rsidRPr="009C726A" w:rsidRDefault="009920C6" w:rsidP="00963744">
                    <w:pPr>
                      <w:pStyle w:val="NoSpacing"/>
                      <w:jc w:val="center"/>
                      <w:rPr>
                        <w:b/>
                        <w:bCs/>
                        <w:sz w:val="28"/>
                        <w:szCs w:val="28"/>
                      </w:rPr>
                    </w:pPr>
                    <w:r>
                      <w:rPr>
                        <w:b/>
                        <w:bCs/>
                        <w:sz w:val="28"/>
                        <w:szCs w:val="28"/>
                        <w:lang w:val="en-GB"/>
                      </w:rPr>
                      <w:t xml:space="preserve">Shamit Saggar &amp; </w:t>
                    </w:r>
                    <w:r w:rsidR="003707E4">
                      <w:rPr>
                        <w:b/>
                        <w:bCs/>
                        <w:sz w:val="28"/>
                        <w:szCs w:val="28"/>
                        <w:lang w:val="en-GB"/>
                      </w:rPr>
                      <w:t>Tilmann Eckhardt</w:t>
                    </w:r>
                  </w:p>
                </w:tc>
              </w:sdtContent>
            </w:sdt>
          </w:tr>
          <w:tr w:rsidR="00963744" w14:paraId="63522A3D" w14:textId="77777777">
            <w:trPr>
              <w:trHeight w:val="360"/>
              <w:jc w:val="center"/>
            </w:trPr>
            <w:tc>
              <w:tcPr>
                <w:tcW w:w="5000" w:type="pct"/>
                <w:vAlign w:val="center"/>
              </w:tcPr>
              <w:p w14:paraId="45A15EED" w14:textId="77777777" w:rsidR="00963744" w:rsidRDefault="00963744">
                <w:pPr>
                  <w:pStyle w:val="NoSpacing"/>
                  <w:jc w:val="center"/>
                  <w:rPr>
                    <w:b/>
                    <w:bCs/>
                  </w:rPr>
                </w:pPr>
              </w:p>
              <w:p w14:paraId="660EDD71" w14:textId="5A584ABC" w:rsidR="00963744" w:rsidRDefault="0043415D" w:rsidP="00A065B9">
                <w:pPr>
                  <w:pStyle w:val="NoSpacing"/>
                  <w:jc w:val="center"/>
                  <w:rPr>
                    <w:b/>
                    <w:bCs/>
                  </w:rPr>
                </w:pPr>
                <w:r>
                  <w:rPr>
                    <w:b/>
                    <w:bCs/>
                  </w:rPr>
                  <w:t>January</w:t>
                </w:r>
                <w:r w:rsidR="00C86C71">
                  <w:rPr>
                    <w:b/>
                    <w:bCs/>
                  </w:rPr>
                  <w:t xml:space="preserve"> </w:t>
                </w:r>
                <w:r w:rsidR="00963744">
                  <w:rPr>
                    <w:b/>
                    <w:bCs/>
                  </w:rPr>
                  <w:t>201</w:t>
                </w:r>
                <w:r>
                  <w:rPr>
                    <w:b/>
                    <w:bCs/>
                  </w:rPr>
                  <w:t>4</w:t>
                </w:r>
                <w:r w:rsidR="00C86C71">
                  <w:rPr>
                    <w:b/>
                    <w:bCs/>
                  </w:rPr>
                  <w:t xml:space="preserve"> </w:t>
                </w:r>
              </w:p>
            </w:tc>
          </w:tr>
        </w:tbl>
        <w:p w14:paraId="622B5F78" w14:textId="77777777" w:rsidR="00963744" w:rsidRDefault="00963744"/>
        <w:p w14:paraId="34FA5B5B" w14:textId="77777777" w:rsidR="00963744" w:rsidRDefault="00963744"/>
        <w:tbl>
          <w:tblPr>
            <w:tblpPr w:leftFromText="187" w:rightFromText="187" w:horzAnchor="margin" w:tblpXSpec="center" w:tblpYSpec="bottom"/>
            <w:tblW w:w="5000" w:type="pct"/>
            <w:tblLook w:val="04A0" w:firstRow="1" w:lastRow="0" w:firstColumn="1" w:lastColumn="0" w:noHBand="0" w:noVBand="1"/>
          </w:tblPr>
          <w:tblGrid>
            <w:gridCol w:w="9242"/>
          </w:tblGrid>
          <w:tr w:rsidR="00963744" w14:paraId="343910C3" w14:textId="77777777">
            <w:tc>
              <w:tcPr>
                <w:tcW w:w="5000" w:type="pct"/>
              </w:tcPr>
              <w:p w14:paraId="038F86F5" w14:textId="1D8D926D" w:rsidR="00963744" w:rsidRDefault="00963744" w:rsidP="009C726A">
                <w:pPr>
                  <w:pStyle w:val="NoSpacing"/>
                  <w:jc w:val="center"/>
                </w:pPr>
              </w:p>
            </w:tc>
          </w:tr>
        </w:tbl>
        <w:p w14:paraId="0C44E5AE" w14:textId="77777777" w:rsidR="00963744" w:rsidRDefault="00963744"/>
        <w:p w14:paraId="012552C4" w14:textId="77777777" w:rsidR="00963744" w:rsidRDefault="00963744" w:rsidP="009C726A">
          <w:pPr>
            <w:jc w:val="center"/>
          </w:pPr>
        </w:p>
        <w:p w14:paraId="0FE4E333" w14:textId="77777777" w:rsidR="00963744" w:rsidRDefault="00963744"/>
        <w:p w14:paraId="5AECE5A2" w14:textId="77777777" w:rsidR="00963744" w:rsidRDefault="00963744"/>
        <w:p w14:paraId="4D324F7B" w14:textId="77777777" w:rsidR="00963744" w:rsidRDefault="00963744"/>
        <w:p w14:paraId="59326551" w14:textId="77777777" w:rsidR="009C726A" w:rsidRDefault="009C726A"/>
        <w:p w14:paraId="23D8D241" w14:textId="5AC382BB" w:rsidR="0038338F" w:rsidRPr="009C726A" w:rsidRDefault="00963744" w:rsidP="009C726A">
          <w:pPr>
            <w:jc w:val="center"/>
            <w:rPr>
              <w:rFonts w:eastAsia="Times New Roman" w:cs="Times New Roman"/>
              <w:sz w:val="48"/>
              <w:szCs w:val="48"/>
              <w:u w:val="single"/>
            </w:rPr>
          </w:pPr>
          <w:r>
            <w:rPr>
              <w:rFonts w:ascii="Arial" w:hAnsi="Arial" w:cs="Arial"/>
              <w:noProof/>
              <w:color w:val="0B0C0C"/>
              <w:sz w:val="25"/>
              <w:szCs w:val="25"/>
              <w:lang w:eastAsia="en-GB"/>
            </w:rPr>
            <w:drawing>
              <wp:inline distT="0" distB="0" distL="0" distR="0" wp14:anchorId="3B367052" wp14:editId="327FCDC9">
                <wp:extent cx="2621280" cy="1219200"/>
                <wp:effectExtent l="0" t="0" r="7620" b="0"/>
                <wp:docPr id="13" name="Picture 13" descr="New DCMS and GEO br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CMS and GEO bran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1280" cy="1219200"/>
                        </a:xfrm>
                        <a:prstGeom prst="rect">
                          <a:avLst/>
                        </a:prstGeom>
                        <a:noFill/>
                        <a:ln>
                          <a:noFill/>
                        </a:ln>
                      </pic:spPr>
                    </pic:pic>
                  </a:graphicData>
                </a:graphic>
              </wp:inline>
            </w:drawing>
          </w:r>
          <w:r>
            <w:rPr>
              <w:rFonts w:ascii="Helvetica" w:hAnsi="Helvetica" w:cs="Helvetica"/>
              <w:noProof/>
              <w:sz w:val="24"/>
              <w:szCs w:val="24"/>
              <w:lang w:eastAsia="en-GB"/>
            </w:rPr>
            <w:drawing>
              <wp:inline distT="0" distB="0" distL="0" distR="0" wp14:anchorId="37E04720" wp14:editId="73F7B55C">
                <wp:extent cx="1432560" cy="1219200"/>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313" cy="1224096"/>
                        </a:xfrm>
                        <a:prstGeom prst="rect">
                          <a:avLst/>
                        </a:prstGeom>
                        <a:noFill/>
                        <a:ln>
                          <a:noFill/>
                        </a:ln>
                      </pic:spPr>
                    </pic:pic>
                  </a:graphicData>
                </a:graphic>
              </wp:inline>
            </w:drawing>
          </w:r>
          <w:r>
            <w:rPr>
              <w:sz w:val="48"/>
              <w:szCs w:val="48"/>
              <w:u w:val="single"/>
            </w:rPr>
            <w:br w:type="page"/>
          </w:r>
        </w:p>
      </w:sdtContent>
    </w:sdt>
    <w:p w14:paraId="314944BB" w14:textId="77777777" w:rsidR="0038338F" w:rsidRDefault="0038338F" w:rsidP="0038338F">
      <w:pPr>
        <w:spacing w:after="0"/>
        <w:rPr>
          <w:b/>
        </w:rPr>
      </w:pPr>
    </w:p>
    <w:p w14:paraId="27191ED6" w14:textId="464D2391" w:rsidR="00696105" w:rsidRPr="008C4DAB" w:rsidRDefault="0024581A" w:rsidP="009C726A">
      <w:pPr>
        <w:pStyle w:val="Title"/>
        <w:jc w:val="center"/>
        <w:rPr>
          <w:rFonts w:asciiTheme="minorHAnsi" w:hAnsiTheme="minorHAnsi" w:cstheme="minorHAnsi"/>
        </w:rPr>
      </w:pPr>
      <w:r w:rsidRPr="008C4DAB">
        <w:rPr>
          <w:rFonts w:asciiTheme="minorHAnsi" w:hAnsiTheme="minorHAnsi" w:cstheme="minorHAnsi"/>
        </w:rPr>
        <w:t>C</w:t>
      </w:r>
      <w:r w:rsidR="00BC4482" w:rsidRPr="008C4DAB">
        <w:rPr>
          <w:rFonts w:asciiTheme="minorHAnsi" w:hAnsiTheme="minorHAnsi" w:cstheme="minorHAnsi"/>
        </w:rPr>
        <w:t>omplementary and Alternative Pathways to Equality</w:t>
      </w:r>
    </w:p>
    <w:p w14:paraId="185A3AE2" w14:textId="5891B556" w:rsidR="008C4DAB" w:rsidRPr="008C4DAB" w:rsidRDefault="008C4DAB" w:rsidP="008C4DAB">
      <w:pPr>
        <w:jc w:val="center"/>
        <w:rPr>
          <w:b/>
          <w:sz w:val="28"/>
          <w:szCs w:val="28"/>
        </w:rPr>
      </w:pPr>
      <w:r w:rsidRPr="008C4DAB">
        <w:rPr>
          <w:b/>
          <w:sz w:val="28"/>
          <w:szCs w:val="28"/>
        </w:rPr>
        <w:t>Executive Summary</w:t>
      </w:r>
    </w:p>
    <w:p w14:paraId="09B71B6C" w14:textId="480D6E9D" w:rsidR="00EC5C06" w:rsidRDefault="00EC5C06" w:rsidP="0052108D">
      <w:pPr>
        <w:jc w:val="both"/>
        <w:rPr>
          <w:i/>
          <w:sz w:val="24"/>
          <w:szCs w:val="24"/>
        </w:rPr>
      </w:pPr>
      <w:r w:rsidRPr="0052108D">
        <w:rPr>
          <w:i/>
          <w:sz w:val="24"/>
          <w:szCs w:val="24"/>
        </w:rPr>
        <w:t>All public policy involves behaviour change of some kind.</w:t>
      </w:r>
      <w:r>
        <w:rPr>
          <w:i/>
          <w:sz w:val="24"/>
          <w:szCs w:val="24"/>
        </w:rPr>
        <w:t xml:space="preserve"> This typically takes the form of direct intervention through setting rules and regulations and enforcing them, setting incentives in the form of benefits or taxation, and/or trying to persuade those targeted by policies through information and marketing campaigns. </w:t>
      </w:r>
    </w:p>
    <w:p w14:paraId="4B897D10" w14:textId="6812C75F" w:rsidR="00224F7F" w:rsidRDefault="00EC5C06" w:rsidP="0052108D">
      <w:pPr>
        <w:jc w:val="both"/>
        <w:rPr>
          <w:i/>
          <w:sz w:val="24"/>
          <w:szCs w:val="24"/>
        </w:rPr>
      </w:pPr>
      <w:r>
        <w:rPr>
          <w:i/>
          <w:sz w:val="24"/>
          <w:szCs w:val="24"/>
        </w:rPr>
        <w:t>However, changing people’s behaviour through policy is not simply a matter of setting rules and incentives and providing information, and expecting people to follow them</w:t>
      </w:r>
      <w:r w:rsidR="00A065B9">
        <w:rPr>
          <w:i/>
          <w:sz w:val="24"/>
          <w:szCs w:val="24"/>
        </w:rPr>
        <w:t xml:space="preserve"> rationally</w:t>
      </w:r>
      <w:r>
        <w:rPr>
          <w:i/>
          <w:sz w:val="24"/>
          <w:szCs w:val="24"/>
        </w:rPr>
        <w:t xml:space="preserve">. While reasoning and rational calculus inform a large part of people’s behaviour, it is also constantly influenced by </w:t>
      </w:r>
      <w:r w:rsidRPr="0052108D">
        <w:rPr>
          <w:i/>
          <w:sz w:val="24"/>
          <w:szCs w:val="24"/>
        </w:rPr>
        <w:t>shortcuts, inaccuracies, intuition and various rough rules-of-thumb.</w:t>
      </w:r>
      <w:r>
        <w:rPr>
          <w:i/>
          <w:sz w:val="24"/>
          <w:szCs w:val="24"/>
        </w:rPr>
        <w:t xml:space="preserve"> In short, people will not only base their decisions on thinking that is </w:t>
      </w:r>
      <w:r w:rsidR="00224F7F">
        <w:rPr>
          <w:i/>
          <w:sz w:val="24"/>
          <w:szCs w:val="24"/>
        </w:rPr>
        <w:t xml:space="preserve">fully </w:t>
      </w:r>
      <w:r>
        <w:rPr>
          <w:i/>
          <w:sz w:val="24"/>
          <w:szCs w:val="24"/>
        </w:rPr>
        <w:t>rational</w:t>
      </w:r>
      <w:r w:rsidR="00224F7F">
        <w:rPr>
          <w:i/>
          <w:sz w:val="24"/>
          <w:szCs w:val="24"/>
        </w:rPr>
        <w:t xml:space="preserve"> in weighing all the available information</w:t>
      </w:r>
      <w:r>
        <w:rPr>
          <w:i/>
          <w:sz w:val="24"/>
          <w:szCs w:val="24"/>
        </w:rPr>
        <w:t xml:space="preserve">, but </w:t>
      </w:r>
      <w:r w:rsidR="00224F7F">
        <w:rPr>
          <w:i/>
          <w:sz w:val="24"/>
          <w:szCs w:val="24"/>
        </w:rPr>
        <w:t>also on thinking that is easily accessible to them.</w:t>
      </w:r>
    </w:p>
    <w:p w14:paraId="511FFB72" w14:textId="61C69EF2" w:rsidR="00BC7D83" w:rsidRPr="0052108D" w:rsidRDefault="00BC7D83" w:rsidP="0052108D">
      <w:pPr>
        <w:jc w:val="both"/>
        <w:rPr>
          <w:i/>
          <w:sz w:val="24"/>
          <w:szCs w:val="24"/>
        </w:rPr>
      </w:pPr>
      <w:r w:rsidRPr="0052108D">
        <w:rPr>
          <w:i/>
          <w:sz w:val="24"/>
          <w:szCs w:val="24"/>
        </w:rPr>
        <w:t xml:space="preserve">This is </w:t>
      </w:r>
      <w:r w:rsidR="006F684F">
        <w:rPr>
          <w:i/>
          <w:sz w:val="24"/>
          <w:szCs w:val="24"/>
        </w:rPr>
        <w:t xml:space="preserve">a </w:t>
      </w:r>
      <w:r w:rsidRPr="0052108D">
        <w:rPr>
          <w:i/>
          <w:sz w:val="24"/>
          <w:szCs w:val="24"/>
        </w:rPr>
        <w:t>vital starting point for those concerned with policy</w:t>
      </w:r>
      <w:r w:rsidR="00573F9F">
        <w:rPr>
          <w:i/>
          <w:sz w:val="24"/>
          <w:szCs w:val="24"/>
        </w:rPr>
        <w:t>-</w:t>
      </w:r>
      <w:r w:rsidRPr="0052108D">
        <w:rPr>
          <w:i/>
          <w:sz w:val="24"/>
          <w:szCs w:val="24"/>
        </w:rPr>
        <w:t xml:space="preserve">making. </w:t>
      </w:r>
      <w:r w:rsidR="000A7977">
        <w:rPr>
          <w:i/>
          <w:sz w:val="24"/>
          <w:szCs w:val="24"/>
        </w:rPr>
        <w:t>Knowing</w:t>
      </w:r>
      <w:r w:rsidRPr="0052108D">
        <w:rPr>
          <w:i/>
          <w:sz w:val="24"/>
          <w:szCs w:val="24"/>
        </w:rPr>
        <w:t xml:space="preserve"> about how people live their lives </w:t>
      </w:r>
      <w:r w:rsidR="000A3022">
        <w:rPr>
          <w:i/>
          <w:sz w:val="24"/>
          <w:szCs w:val="24"/>
        </w:rPr>
        <w:t xml:space="preserve">in practice </w:t>
      </w:r>
      <w:r w:rsidRPr="0052108D">
        <w:rPr>
          <w:i/>
          <w:sz w:val="24"/>
          <w:szCs w:val="24"/>
        </w:rPr>
        <w:t xml:space="preserve">helps to account not just </w:t>
      </w:r>
      <w:r w:rsidR="00A065B9">
        <w:rPr>
          <w:i/>
          <w:sz w:val="24"/>
          <w:szCs w:val="24"/>
        </w:rPr>
        <w:t xml:space="preserve">for </w:t>
      </w:r>
      <w:r w:rsidRPr="0052108D">
        <w:rPr>
          <w:i/>
          <w:sz w:val="24"/>
          <w:szCs w:val="24"/>
        </w:rPr>
        <w:t xml:space="preserve">poor individual choices but also </w:t>
      </w:r>
      <w:r w:rsidR="00A065B9">
        <w:rPr>
          <w:i/>
          <w:sz w:val="24"/>
          <w:szCs w:val="24"/>
        </w:rPr>
        <w:t xml:space="preserve">for </w:t>
      </w:r>
      <w:r w:rsidRPr="0052108D">
        <w:rPr>
          <w:i/>
          <w:sz w:val="24"/>
          <w:szCs w:val="24"/>
        </w:rPr>
        <w:t xml:space="preserve">the regular patterns </w:t>
      </w:r>
      <w:r w:rsidR="000A7977">
        <w:rPr>
          <w:i/>
          <w:sz w:val="24"/>
          <w:szCs w:val="24"/>
        </w:rPr>
        <w:t>in</w:t>
      </w:r>
      <w:r w:rsidRPr="0052108D">
        <w:rPr>
          <w:i/>
          <w:sz w:val="24"/>
          <w:szCs w:val="24"/>
        </w:rPr>
        <w:t xml:space="preserve"> individuals’ choices. People often pay attention to messages that emanate from messengers they find credible, </w:t>
      </w:r>
      <w:r w:rsidR="007127E2">
        <w:rPr>
          <w:i/>
          <w:sz w:val="24"/>
          <w:szCs w:val="24"/>
        </w:rPr>
        <w:t xml:space="preserve">and ignore </w:t>
      </w:r>
      <w:r w:rsidRPr="0052108D">
        <w:rPr>
          <w:i/>
          <w:sz w:val="24"/>
          <w:szCs w:val="24"/>
        </w:rPr>
        <w:t xml:space="preserve">others. They are loss averse, unwilling to admit failure, distracted by others they relate to, and shun overly complex things. Crucially, </w:t>
      </w:r>
      <w:r w:rsidR="000A3022">
        <w:rPr>
          <w:i/>
          <w:sz w:val="24"/>
          <w:szCs w:val="24"/>
        </w:rPr>
        <w:t>without external stimulus</w:t>
      </w:r>
      <w:r w:rsidR="007127E2">
        <w:rPr>
          <w:i/>
          <w:sz w:val="24"/>
          <w:szCs w:val="24"/>
        </w:rPr>
        <w:t>,</w:t>
      </w:r>
      <w:r w:rsidR="007127E2" w:rsidRPr="0052108D">
        <w:rPr>
          <w:i/>
          <w:sz w:val="24"/>
          <w:szCs w:val="24"/>
        </w:rPr>
        <w:t xml:space="preserve"> </w:t>
      </w:r>
      <w:r w:rsidRPr="0052108D">
        <w:rPr>
          <w:i/>
          <w:sz w:val="24"/>
          <w:szCs w:val="24"/>
        </w:rPr>
        <w:t xml:space="preserve">they are unlikely to want to </w:t>
      </w:r>
      <w:r w:rsidR="000A3022">
        <w:rPr>
          <w:i/>
          <w:sz w:val="24"/>
          <w:szCs w:val="24"/>
        </w:rPr>
        <w:t>change habitual</w:t>
      </w:r>
      <w:r w:rsidRPr="0052108D">
        <w:rPr>
          <w:i/>
          <w:sz w:val="24"/>
          <w:szCs w:val="24"/>
        </w:rPr>
        <w:t xml:space="preserve"> behaviour and choose a new default.</w:t>
      </w:r>
    </w:p>
    <w:p w14:paraId="77B39FDD" w14:textId="35370F8F" w:rsidR="00BC7D83" w:rsidRPr="0052108D" w:rsidRDefault="00BC7D83" w:rsidP="0052108D">
      <w:pPr>
        <w:jc w:val="both"/>
        <w:rPr>
          <w:i/>
          <w:sz w:val="24"/>
          <w:szCs w:val="24"/>
        </w:rPr>
      </w:pPr>
      <w:r w:rsidRPr="0052108D">
        <w:rPr>
          <w:i/>
          <w:sz w:val="24"/>
          <w:szCs w:val="24"/>
        </w:rPr>
        <w:t xml:space="preserve">This report </w:t>
      </w:r>
      <w:r w:rsidR="00A065B9">
        <w:rPr>
          <w:i/>
          <w:sz w:val="24"/>
          <w:szCs w:val="24"/>
        </w:rPr>
        <w:t>outlines</w:t>
      </w:r>
      <w:r w:rsidRPr="0052108D">
        <w:rPr>
          <w:i/>
          <w:sz w:val="24"/>
          <w:szCs w:val="24"/>
        </w:rPr>
        <w:t xml:space="preserve"> the architecture of choice and decisions </w:t>
      </w:r>
      <w:proofErr w:type="gramStart"/>
      <w:r w:rsidRPr="0052108D">
        <w:rPr>
          <w:i/>
          <w:sz w:val="24"/>
          <w:szCs w:val="24"/>
        </w:rPr>
        <w:t>that results</w:t>
      </w:r>
      <w:proofErr w:type="gramEnd"/>
      <w:r w:rsidRPr="0052108D">
        <w:rPr>
          <w:i/>
          <w:sz w:val="24"/>
          <w:szCs w:val="24"/>
        </w:rPr>
        <w:t xml:space="preserve"> from</w:t>
      </w:r>
      <w:r w:rsidR="007127E2">
        <w:rPr>
          <w:i/>
          <w:sz w:val="24"/>
          <w:szCs w:val="24"/>
        </w:rPr>
        <w:t xml:space="preserve"> this picture</w:t>
      </w:r>
      <w:r w:rsidR="001C5E6F" w:rsidRPr="0052108D">
        <w:rPr>
          <w:i/>
          <w:sz w:val="24"/>
          <w:szCs w:val="24"/>
        </w:rPr>
        <w:t>. It explains the implications for policy</w:t>
      </w:r>
      <w:r w:rsidR="00573F9F">
        <w:rPr>
          <w:i/>
          <w:sz w:val="24"/>
          <w:szCs w:val="24"/>
        </w:rPr>
        <w:t>-</w:t>
      </w:r>
      <w:r w:rsidR="001C5E6F" w:rsidRPr="0052108D">
        <w:rPr>
          <w:i/>
          <w:sz w:val="24"/>
          <w:szCs w:val="24"/>
        </w:rPr>
        <w:t xml:space="preserve">makers, distinguishing between </w:t>
      </w:r>
      <w:r w:rsidR="009B7619">
        <w:rPr>
          <w:i/>
          <w:sz w:val="24"/>
          <w:szCs w:val="24"/>
        </w:rPr>
        <w:t>doing things better and doing better things.</w:t>
      </w:r>
      <w:r w:rsidR="001C5E6F" w:rsidRPr="0052108D">
        <w:rPr>
          <w:i/>
          <w:sz w:val="24"/>
          <w:szCs w:val="24"/>
        </w:rPr>
        <w:t xml:space="preserve"> </w:t>
      </w:r>
      <w:r w:rsidR="000A3022">
        <w:rPr>
          <w:i/>
          <w:sz w:val="24"/>
          <w:szCs w:val="24"/>
        </w:rPr>
        <w:t xml:space="preserve">This creates various </w:t>
      </w:r>
      <w:r w:rsidR="00B21B17">
        <w:rPr>
          <w:i/>
          <w:sz w:val="24"/>
          <w:szCs w:val="24"/>
        </w:rPr>
        <w:t>opportunities and additional le</w:t>
      </w:r>
      <w:r w:rsidR="000A3022">
        <w:rPr>
          <w:i/>
          <w:sz w:val="24"/>
          <w:szCs w:val="24"/>
        </w:rPr>
        <w:t>vers to consider</w:t>
      </w:r>
      <w:r w:rsidR="001C5E6F" w:rsidRPr="0052108D">
        <w:rPr>
          <w:i/>
          <w:sz w:val="24"/>
          <w:szCs w:val="24"/>
        </w:rPr>
        <w:t xml:space="preserve"> for policy</w:t>
      </w:r>
      <w:r w:rsidR="00573F9F">
        <w:rPr>
          <w:i/>
          <w:sz w:val="24"/>
          <w:szCs w:val="24"/>
        </w:rPr>
        <w:t>-</w:t>
      </w:r>
      <w:r w:rsidR="001C5E6F" w:rsidRPr="0052108D">
        <w:rPr>
          <w:i/>
          <w:sz w:val="24"/>
          <w:szCs w:val="24"/>
        </w:rPr>
        <w:t xml:space="preserve">makers seeking more positive policy impacts, </w:t>
      </w:r>
      <w:r w:rsidR="000A3022">
        <w:rPr>
          <w:i/>
          <w:sz w:val="24"/>
          <w:szCs w:val="24"/>
        </w:rPr>
        <w:t>greater efficiency</w:t>
      </w:r>
      <w:r w:rsidR="001C5E6F" w:rsidRPr="0052108D">
        <w:rPr>
          <w:i/>
          <w:sz w:val="24"/>
          <w:szCs w:val="24"/>
        </w:rPr>
        <w:t xml:space="preserve"> and change</w:t>
      </w:r>
      <w:r w:rsidR="00AF769D">
        <w:rPr>
          <w:i/>
          <w:sz w:val="24"/>
          <w:szCs w:val="24"/>
        </w:rPr>
        <w:t>s</w:t>
      </w:r>
      <w:r w:rsidR="007127E2">
        <w:rPr>
          <w:i/>
          <w:sz w:val="24"/>
          <w:szCs w:val="24"/>
        </w:rPr>
        <w:t xml:space="preserve"> that are</w:t>
      </w:r>
      <w:r w:rsidR="001C5E6F" w:rsidRPr="0052108D">
        <w:rPr>
          <w:i/>
          <w:sz w:val="24"/>
          <w:szCs w:val="24"/>
        </w:rPr>
        <w:t xml:space="preserve"> organic and self-sustaining.</w:t>
      </w:r>
    </w:p>
    <w:p w14:paraId="7E3B2A77" w14:textId="5CE0EBDE" w:rsidR="001C5E6F" w:rsidRPr="0052108D" w:rsidRDefault="001C5E6F" w:rsidP="0052108D">
      <w:pPr>
        <w:jc w:val="both"/>
        <w:rPr>
          <w:i/>
          <w:sz w:val="24"/>
          <w:szCs w:val="24"/>
        </w:rPr>
      </w:pPr>
      <w:r w:rsidRPr="0052108D">
        <w:rPr>
          <w:i/>
          <w:sz w:val="24"/>
          <w:szCs w:val="24"/>
        </w:rPr>
        <w:t xml:space="preserve">The report begins by introducing a pragmatic </w:t>
      </w:r>
      <w:r w:rsidR="00A5218F" w:rsidRPr="0052108D">
        <w:rPr>
          <w:i/>
          <w:sz w:val="24"/>
          <w:szCs w:val="24"/>
        </w:rPr>
        <w:t xml:space="preserve">view of human behaviour, </w:t>
      </w:r>
      <w:r w:rsidRPr="0052108D">
        <w:rPr>
          <w:i/>
          <w:sz w:val="24"/>
          <w:szCs w:val="24"/>
        </w:rPr>
        <w:t>applies this perspective to how change takes place in different sectors</w:t>
      </w:r>
      <w:r w:rsidR="00A5218F" w:rsidRPr="0052108D">
        <w:rPr>
          <w:i/>
          <w:sz w:val="24"/>
          <w:szCs w:val="24"/>
        </w:rPr>
        <w:t xml:space="preserve">, and emphasises the benefits of </w:t>
      </w:r>
      <w:r w:rsidR="00086C7F">
        <w:rPr>
          <w:i/>
          <w:sz w:val="24"/>
          <w:szCs w:val="24"/>
        </w:rPr>
        <w:t xml:space="preserve">targeting </w:t>
      </w:r>
      <w:r w:rsidR="00A5218F" w:rsidRPr="0052108D">
        <w:rPr>
          <w:i/>
          <w:sz w:val="24"/>
          <w:szCs w:val="24"/>
        </w:rPr>
        <w:t xml:space="preserve">change </w:t>
      </w:r>
      <w:r w:rsidR="00086C7F">
        <w:rPr>
          <w:i/>
          <w:sz w:val="24"/>
          <w:szCs w:val="24"/>
        </w:rPr>
        <w:t>at</w:t>
      </w:r>
      <w:r w:rsidR="00A5218F" w:rsidRPr="0052108D">
        <w:rPr>
          <w:i/>
          <w:sz w:val="24"/>
          <w:szCs w:val="24"/>
        </w:rPr>
        <w:t xml:space="preserve"> a fence-sitting middle that copies leaders and isolates laggards.</w:t>
      </w:r>
    </w:p>
    <w:p w14:paraId="0E22F612" w14:textId="323608AD" w:rsidR="00A5218F" w:rsidRPr="0052108D" w:rsidRDefault="00A5218F" w:rsidP="0052108D">
      <w:pPr>
        <w:jc w:val="both"/>
        <w:rPr>
          <w:i/>
          <w:sz w:val="24"/>
          <w:szCs w:val="24"/>
        </w:rPr>
      </w:pPr>
      <w:r w:rsidRPr="0052108D">
        <w:rPr>
          <w:i/>
          <w:sz w:val="24"/>
          <w:szCs w:val="24"/>
        </w:rPr>
        <w:t>Thereafter,</w:t>
      </w:r>
      <w:r w:rsidR="00AF70FF">
        <w:rPr>
          <w:i/>
          <w:sz w:val="24"/>
          <w:szCs w:val="24"/>
        </w:rPr>
        <w:t xml:space="preserve"> the report applies</w:t>
      </w:r>
      <w:r w:rsidRPr="0052108D">
        <w:rPr>
          <w:i/>
          <w:sz w:val="24"/>
          <w:szCs w:val="24"/>
        </w:rPr>
        <w:t xml:space="preserve"> these principles and concepts in three specific policy areas: developing the next phase of an existing policy to build equalities leadership among the private sector; scoping a strategy </w:t>
      </w:r>
      <w:r w:rsidR="007127E2">
        <w:rPr>
          <w:i/>
          <w:sz w:val="24"/>
          <w:szCs w:val="24"/>
        </w:rPr>
        <w:t xml:space="preserve">to </w:t>
      </w:r>
      <w:r w:rsidRPr="0052108D">
        <w:rPr>
          <w:i/>
          <w:sz w:val="24"/>
          <w:szCs w:val="24"/>
        </w:rPr>
        <w:t>ensure engagement with smaller firms on workplace equalities issues; and stimulating governmental and private sector interventions to deliver improved outcomes for female entrepreneurs.</w:t>
      </w:r>
    </w:p>
    <w:p w14:paraId="555C650C" w14:textId="7D40D026" w:rsidR="00A5218F" w:rsidRPr="0052108D" w:rsidRDefault="00A5218F" w:rsidP="0052108D">
      <w:pPr>
        <w:jc w:val="both"/>
        <w:rPr>
          <w:i/>
          <w:sz w:val="24"/>
          <w:szCs w:val="24"/>
        </w:rPr>
      </w:pPr>
      <w:r w:rsidRPr="0052108D">
        <w:rPr>
          <w:i/>
          <w:sz w:val="24"/>
          <w:szCs w:val="24"/>
        </w:rPr>
        <w:lastRenderedPageBreak/>
        <w:t>The report then assembles eight high level practical lessons for policy</w:t>
      </w:r>
      <w:r w:rsidR="00573F9F">
        <w:rPr>
          <w:i/>
          <w:sz w:val="24"/>
          <w:szCs w:val="24"/>
        </w:rPr>
        <w:t>-</w:t>
      </w:r>
      <w:r w:rsidRPr="0052108D">
        <w:rPr>
          <w:i/>
          <w:sz w:val="24"/>
          <w:szCs w:val="24"/>
        </w:rPr>
        <w:t>makers.</w:t>
      </w:r>
      <w:r w:rsidR="0052108D" w:rsidRPr="0052108D">
        <w:rPr>
          <w:i/>
          <w:sz w:val="24"/>
          <w:szCs w:val="24"/>
        </w:rPr>
        <w:t xml:space="preserve"> These range from some effective tools that recur</w:t>
      </w:r>
      <w:r w:rsidR="00086C7F">
        <w:rPr>
          <w:i/>
          <w:sz w:val="24"/>
          <w:szCs w:val="24"/>
        </w:rPr>
        <w:t xml:space="preserve"> in ‘nudge’ interventions across government</w:t>
      </w:r>
      <w:r w:rsidR="0052108D" w:rsidRPr="0052108D">
        <w:rPr>
          <w:i/>
          <w:sz w:val="24"/>
          <w:szCs w:val="24"/>
        </w:rPr>
        <w:t xml:space="preserve"> (typically refinements in communication with public service users) through to interventions</w:t>
      </w:r>
      <w:r w:rsidR="006C75CC">
        <w:rPr>
          <w:i/>
          <w:sz w:val="24"/>
          <w:szCs w:val="24"/>
        </w:rPr>
        <w:t xml:space="preserve"> to</w:t>
      </w:r>
      <w:r w:rsidR="0052108D" w:rsidRPr="0052108D">
        <w:rPr>
          <w:i/>
          <w:sz w:val="24"/>
          <w:szCs w:val="24"/>
        </w:rPr>
        <w:t xml:space="preserve"> </w:t>
      </w:r>
      <w:r w:rsidR="006C75CC">
        <w:rPr>
          <w:i/>
          <w:sz w:val="24"/>
          <w:szCs w:val="24"/>
        </w:rPr>
        <w:t xml:space="preserve">redesign </w:t>
      </w:r>
      <w:r w:rsidR="0052108D" w:rsidRPr="0052108D">
        <w:rPr>
          <w:i/>
          <w:sz w:val="24"/>
          <w:szCs w:val="24"/>
        </w:rPr>
        <w:t>policy</w:t>
      </w:r>
      <w:r w:rsidR="00086C7F">
        <w:rPr>
          <w:i/>
          <w:sz w:val="24"/>
          <w:szCs w:val="24"/>
        </w:rPr>
        <w:t xml:space="preserve"> and the way in which it is delivered</w:t>
      </w:r>
      <w:r w:rsidR="0052108D" w:rsidRPr="0052108D">
        <w:rPr>
          <w:i/>
          <w:sz w:val="24"/>
          <w:szCs w:val="24"/>
        </w:rPr>
        <w:t xml:space="preserve">. These lessons include illustrations </w:t>
      </w:r>
      <w:r w:rsidR="006C75CC">
        <w:rPr>
          <w:i/>
          <w:sz w:val="24"/>
          <w:szCs w:val="24"/>
        </w:rPr>
        <w:t>from the field of equalities policy as well as other policy domains</w:t>
      </w:r>
      <w:r w:rsidR="007127E2">
        <w:rPr>
          <w:i/>
          <w:sz w:val="24"/>
          <w:szCs w:val="24"/>
        </w:rPr>
        <w:t>.</w:t>
      </w:r>
    </w:p>
    <w:p w14:paraId="5A521B35" w14:textId="7CA6B327" w:rsidR="0052108D" w:rsidRPr="0052108D" w:rsidRDefault="0052108D" w:rsidP="0052108D">
      <w:pPr>
        <w:jc w:val="both"/>
        <w:rPr>
          <w:i/>
          <w:sz w:val="24"/>
          <w:szCs w:val="24"/>
        </w:rPr>
      </w:pPr>
      <w:r w:rsidRPr="0052108D">
        <w:rPr>
          <w:i/>
          <w:sz w:val="24"/>
          <w:szCs w:val="24"/>
        </w:rPr>
        <w:t xml:space="preserve">The main conclusions are threefold: first, designing policies, processes, institutions and delivery around people’s behavioural quirks is </w:t>
      </w:r>
      <w:r w:rsidR="00086C7F">
        <w:rPr>
          <w:i/>
          <w:sz w:val="24"/>
          <w:szCs w:val="24"/>
        </w:rPr>
        <w:t>promising</w:t>
      </w:r>
      <w:r w:rsidRPr="0052108D">
        <w:rPr>
          <w:i/>
          <w:sz w:val="24"/>
          <w:szCs w:val="24"/>
        </w:rPr>
        <w:t xml:space="preserve">; second, </w:t>
      </w:r>
      <w:r w:rsidR="00086C7F">
        <w:rPr>
          <w:i/>
          <w:sz w:val="24"/>
          <w:szCs w:val="24"/>
        </w:rPr>
        <w:t>there is considerable potential in the application of these insights to the field of equalities policy</w:t>
      </w:r>
      <w:r w:rsidR="00C86C71">
        <w:rPr>
          <w:i/>
          <w:sz w:val="24"/>
          <w:szCs w:val="24"/>
        </w:rPr>
        <w:t xml:space="preserve">, </w:t>
      </w:r>
      <w:r w:rsidR="00086C7F">
        <w:rPr>
          <w:i/>
          <w:sz w:val="24"/>
          <w:szCs w:val="24"/>
        </w:rPr>
        <w:t>including in areas where policy impacts have previously been limited</w:t>
      </w:r>
      <w:r w:rsidRPr="0052108D">
        <w:rPr>
          <w:i/>
          <w:sz w:val="24"/>
          <w:szCs w:val="24"/>
        </w:rPr>
        <w:t>; and finally, the practical tools and pointers that are delivered are central to improving policy professionals</w:t>
      </w:r>
      <w:r w:rsidR="00500D97">
        <w:rPr>
          <w:i/>
          <w:sz w:val="24"/>
          <w:szCs w:val="24"/>
        </w:rPr>
        <w:t>’</w:t>
      </w:r>
      <w:r w:rsidRPr="0052108D">
        <w:rPr>
          <w:i/>
          <w:sz w:val="24"/>
          <w:szCs w:val="24"/>
        </w:rPr>
        <w:t xml:space="preserve"> capabilities</w:t>
      </w:r>
      <w:r w:rsidR="00C34B58">
        <w:rPr>
          <w:i/>
          <w:sz w:val="24"/>
          <w:szCs w:val="24"/>
        </w:rPr>
        <w:t xml:space="preserve">, </w:t>
      </w:r>
      <w:r w:rsidR="007127E2">
        <w:rPr>
          <w:i/>
          <w:sz w:val="24"/>
          <w:szCs w:val="24"/>
        </w:rPr>
        <w:t xml:space="preserve">underpinning </w:t>
      </w:r>
      <w:r w:rsidR="00C34B58">
        <w:rPr>
          <w:i/>
          <w:sz w:val="24"/>
          <w:szCs w:val="24"/>
        </w:rPr>
        <w:t>open policy</w:t>
      </w:r>
      <w:r w:rsidR="00573F9F">
        <w:rPr>
          <w:i/>
          <w:sz w:val="24"/>
          <w:szCs w:val="24"/>
        </w:rPr>
        <w:t>-</w:t>
      </w:r>
      <w:r w:rsidR="00C34B58">
        <w:rPr>
          <w:i/>
          <w:sz w:val="24"/>
          <w:szCs w:val="24"/>
        </w:rPr>
        <w:t>making</w:t>
      </w:r>
      <w:r w:rsidRPr="0052108D">
        <w:rPr>
          <w:i/>
          <w:sz w:val="24"/>
          <w:szCs w:val="24"/>
        </w:rPr>
        <w:t xml:space="preserve"> and </w:t>
      </w:r>
      <w:r w:rsidR="00C34B58">
        <w:rPr>
          <w:i/>
          <w:sz w:val="24"/>
          <w:szCs w:val="24"/>
        </w:rPr>
        <w:t xml:space="preserve">wider </w:t>
      </w:r>
      <w:r w:rsidRPr="0052108D">
        <w:rPr>
          <w:i/>
          <w:sz w:val="24"/>
          <w:szCs w:val="24"/>
        </w:rPr>
        <w:t>civil service reform.</w:t>
      </w:r>
    </w:p>
    <w:p w14:paraId="22A7A41A" w14:textId="10B82F32" w:rsidR="00941B37" w:rsidRDefault="00941B37">
      <w:r>
        <w:br w:type="page"/>
      </w:r>
    </w:p>
    <w:sdt>
      <w:sdtPr>
        <w:rPr>
          <w:rFonts w:asciiTheme="minorHAnsi" w:eastAsiaTheme="minorHAnsi" w:hAnsiTheme="minorHAnsi" w:cstheme="minorBidi"/>
          <w:b w:val="0"/>
          <w:bCs w:val="0"/>
          <w:color w:val="auto"/>
          <w:sz w:val="22"/>
          <w:szCs w:val="22"/>
          <w:lang w:val="en-GB" w:eastAsia="en-US"/>
        </w:rPr>
        <w:id w:val="-1203863590"/>
        <w:docPartObj>
          <w:docPartGallery w:val="Table of Contents"/>
          <w:docPartUnique/>
        </w:docPartObj>
      </w:sdtPr>
      <w:sdtEndPr>
        <w:rPr>
          <w:noProof/>
        </w:rPr>
      </w:sdtEndPr>
      <w:sdtContent>
        <w:p w14:paraId="1B1DD44D" w14:textId="0E824714" w:rsidR="00077B11" w:rsidRDefault="00941B37" w:rsidP="005A094F">
          <w:pPr>
            <w:pStyle w:val="TOCHeading"/>
          </w:pPr>
          <w:r>
            <w:t>Table of Contents</w:t>
          </w:r>
        </w:p>
        <w:p w14:paraId="36ED8CBA" w14:textId="77777777" w:rsidR="00002CCB" w:rsidRPr="00002CCB" w:rsidRDefault="00002CCB" w:rsidP="00002CCB">
          <w:pPr>
            <w:rPr>
              <w:lang w:val="en-US" w:eastAsia="ja-JP"/>
            </w:rPr>
          </w:pPr>
        </w:p>
        <w:p w14:paraId="56EC3131" w14:textId="77777777" w:rsidR="00D8243B" w:rsidRDefault="00941B37">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78323548" w:history="1">
            <w:r w:rsidR="00D8243B" w:rsidRPr="005F41D2">
              <w:rPr>
                <w:rStyle w:val="Hyperlink"/>
                <w:noProof/>
              </w:rPr>
              <w:t>Background and Context</w:t>
            </w:r>
            <w:r w:rsidR="00D8243B">
              <w:rPr>
                <w:noProof/>
                <w:webHidden/>
              </w:rPr>
              <w:tab/>
            </w:r>
            <w:r w:rsidR="00D8243B">
              <w:rPr>
                <w:noProof/>
                <w:webHidden/>
              </w:rPr>
              <w:fldChar w:fldCharType="begin"/>
            </w:r>
            <w:r w:rsidR="00D8243B">
              <w:rPr>
                <w:noProof/>
                <w:webHidden/>
              </w:rPr>
              <w:instrText xml:space="preserve"> PAGEREF _Toc378323548 \h </w:instrText>
            </w:r>
            <w:r w:rsidR="00D8243B">
              <w:rPr>
                <w:noProof/>
                <w:webHidden/>
              </w:rPr>
            </w:r>
            <w:r w:rsidR="00D8243B">
              <w:rPr>
                <w:noProof/>
                <w:webHidden/>
              </w:rPr>
              <w:fldChar w:fldCharType="separate"/>
            </w:r>
            <w:r w:rsidR="00D07F92">
              <w:rPr>
                <w:noProof/>
                <w:webHidden/>
              </w:rPr>
              <w:t>4</w:t>
            </w:r>
            <w:r w:rsidR="00D8243B">
              <w:rPr>
                <w:noProof/>
                <w:webHidden/>
              </w:rPr>
              <w:fldChar w:fldCharType="end"/>
            </w:r>
          </w:hyperlink>
        </w:p>
        <w:p w14:paraId="3E281BDD" w14:textId="77777777" w:rsidR="00D8243B" w:rsidRDefault="00F248A2">
          <w:pPr>
            <w:pStyle w:val="TOC1"/>
            <w:tabs>
              <w:tab w:val="right" w:leader="dot" w:pos="9016"/>
            </w:tabs>
            <w:rPr>
              <w:rFonts w:eastAsiaTheme="minorEastAsia"/>
              <w:noProof/>
              <w:lang w:eastAsia="en-GB"/>
            </w:rPr>
          </w:pPr>
          <w:hyperlink w:anchor="_Toc378323549" w:history="1">
            <w:r w:rsidR="00D8243B" w:rsidRPr="005F41D2">
              <w:rPr>
                <w:rStyle w:val="Hyperlink"/>
                <w:noProof/>
              </w:rPr>
              <w:t>Introduction</w:t>
            </w:r>
            <w:r w:rsidR="00D8243B">
              <w:rPr>
                <w:noProof/>
                <w:webHidden/>
              </w:rPr>
              <w:tab/>
            </w:r>
            <w:r w:rsidR="00D8243B">
              <w:rPr>
                <w:noProof/>
                <w:webHidden/>
              </w:rPr>
              <w:fldChar w:fldCharType="begin"/>
            </w:r>
            <w:r w:rsidR="00D8243B">
              <w:rPr>
                <w:noProof/>
                <w:webHidden/>
              </w:rPr>
              <w:instrText xml:space="preserve"> PAGEREF _Toc378323549 \h </w:instrText>
            </w:r>
            <w:r w:rsidR="00D8243B">
              <w:rPr>
                <w:noProof/>
                <w:webHidden/>
              </w:rPr>
            </w:r>
            <w:r w:rsidR="00D8243B">
              <w:rPr>
                <w:noProof/>
                <w:webHidden/>
              </w:rPr>
              <w:fldChar w:fldCharType="separate"/>
            </w:r>
            <w:r w:rsidR="00D07F92">
              <w:rPr>
                <w:noProof/>
                <w:webHidden/>
              </w:rPr>
              <w:t>6</w:t>
            </w:r>
            <w:r w:rsidR="00D8243B">
              <w:rPr>
                <w:noProof/>
                <w:webHidden/>
              </w:rPr>
              <w:fldChar w:fldCharType="end"/>
            </w:r>
          </w:hyperlink>
        </w:p>
        <w:p w14:paraId="23C1B8D1" w14:textId="77777777" w:rsidR="00D8243B" w:rsidRDefault="00F248A2">
          <w:pPr>
            <w:pStyle w:val="TOC1"/>
            <w:tabs>
              <w:tab w:val="right" w:leader="dot" w:pos="9016"/>
            </w:tabs>
            <w:rPr>
              <w:rFonts w:eastAsiaTheme="minorEastAsia"/>
              <w:noProof/>
              <w:lang w:eastAsia="en-GB"/>
            </w:rPr>
          </w:pPr>
          <w:hyperlink w:anchor="_Toc378323550" w:history="1">
            <w:r w:rsidR="00D8243B" w:rsidRPr="005F41D2">
              <w:rPr>
                <w:rStyle w:val="Hyperlink"/>
                <w:noProof/>
              </w:rPr>
              <w:t>1. A Pragmatic View of Human Behaviour</w:t>
            </w:r>
            <w:r w:rsidR="00D8243B">
              <w:rPr>
                <w:noProof/>
                <w:webHidden/>
              </w:rPr>
              <w:tab/>
            </w:r>
            <w:r w:rsidR="00D8243B">
              <w:rPr>
                <w:noProof/>
                <w:webHidden/>
              </w:rPr>
              <w:fldChar w:fldCharType="begin"/>
            </w:r>
            <w:r w:rsidR="00D8243B">
              <w:rPr>
                <w:noProof/>
                <w:webHidden/>
              </w:rPr>
              <w:instrText xml:space="preserve"> PAGEREF _Toc378323550 \h </w:instrText>
            </w:r>
            <w:r w:rsidR="00D8243B">
              <w:rPr>
                <w:noProof/>
                <w:webHidden/>
              </w:rPr>
            </w:r>
            <w:r w:rsidR="00D8243B">
              <w:rPr>
                <w:noProof/>
                <w:webHidden/>
              </w:rPr>
              <w:fldChar w:fldCharType="separate"/>
            </w:r>
            <w:r w:rsidR="00D07F92">
              <w:rPr>
                <w:noProof/>
                <w:webHidden/>
              </w:rPr>
              <w:t>9</w:t>
            </w:r>
            <w:r w:rsidR="00D8243B">
              <w:rPr>
                <w:noProof/>
                <w:webHidden/>
              </w:rPr>
              <w:fldChar w:fldCharType="end"/>
            </w:r>
          </w:hyperlink>
        </w:p>
        <w:p w14:paraId="59DBE0FF" w14:textId="77777777" w:rsidR="00D8243B" w:rsidRDefault="00F248A2">
          <w:pPr>
            <w:pStyle w:val="TOC1"/>
            <w:tabs>
              <w:tab w:val="right" w:leader="dot" w:pos="9016"/>
            </w:tabs>
            <w:rPr>
              <w:rFonts w:eastAsiaTheme="minorEastAsia"/>
              <w:noProof/>
              <w:lang w:eastAsia="en-GB"/>
            </w:rPr>
          </w:pPr>
          <w:hyperlink w:anchor="_Toc378323551" w:history="1">
            <w:r w:rsidR="00D8243B" w:rsidRPr="005F41D2">
              <w:rPr>
                <w:rStyle w:val="Hyperlink"/>
                <w:noProof/>
              </w:rPr>
              <w:t>2. Consumers and Markets in a World of Limited Rationality</w:t>
            </w:r>
            <w:r w:rsidR="00D8243B">
              <w:rPr>
                <w:noProof/>
                <w:webHidden/>
              </w:rPr>
              <w:tab/>
            </w:r>
            <w:r w:rsidR="00D8243B">
              <w:rPr>
                <w:noProof/>
                <w:webHidden/>
              </w:rPr>
              <w:fldChar w:fldCharType="begin"/>
            </w:r>
            <w:r w:rsidR="00D8243B">
              <w:rPr>
                <w:noProof/>
                <w:webHidden/>
              </w:rPr>
              <w:instrText xml:space="preserve"> PAGEREF _Toc378323551 \h </w:instrText>
            </w:r>
            <w:r w:rsidR="00D8243B">
              <w:rPr>
                <w:noProof/>
                <w:webHidden/>
              </w:rPr>
            </w:r>
            <w:r w:rsidR="00D8243B">
              <w:rPr>
                <w:noProof/>
                <w:webHidden/>
              </w:rPr>
              <w:fldChar w:fldCharType="separate"/>
            </w:r>
            <w:r w:rsidR="00D07F92">
              <w:rPr>
                <w:noProof/>
                <w:webHidden/>
              </w:rPr>
              <w:t>14</w:t>
            </w:r>
            <w:r w:rsidR="00D8243B">
              <w:rPr>
                <w:noProof/>
                <w:webHidden/>
              </w:rPr>
              <w:fldChar w:fldCharType="end"/>
            </w:r>
          </w:hyperlink>
        </w:p>
        <w:p w14:paraId="635383E1" w14:textId="77777777" w:rsidR="00D8243B" w:rsidRDefault="00F248A2">
          <w:pPr>
            <w:pStyle w:val="TOC2"/>
            <w:tabs>
              <w:tab w:val="right" w:leader="dot" w:pos="9016"/>
            </w:tabs>
            <w:rPr>
              <w:rFonts w:eastAsiaTheme="minorEastAsia"/>
              <w:noProof/>
              <w:lang w:eastAsia="en-GB"/>
            </w:rPr>
          </w:pPr>
          <w:hyperlink w:anchor="_Toc378323552" w:history="1">
            <w:r w:rsidR="00D8243B" w:rsidRPr="005F41D2">
              <w:rPr>
                <w:rStyle w:val="Hyperlink"/>
                <w:noProof/>
              </w:rPr>
              <w:t>2.1 Behaviour Change in the Private and Public Sector</w:t>
            </w:r>
            <w:r w:rsidR="00D8243B">
              <w:rPr>
                <w:noProof/>
                <w:webHidden/>
              </w:rPr>
              <w:tab/>
            </w:r>
            <w:r w:rsidR="00D8243B">
              <w:rPr>
                <w:noProof/>
                <w:webHidden/>
              </w:rPr>
              <w:fldChar w:fldCharType="begin"/>
            </w:r>
            <w:r w:rsidR="00D8243B">
              <w:rPr>
                <w:noProof/>
                <w:webHidden/>
              </w:rPr>
              <w:instrText xml:space="preserve"> PAGEREF _Toc378323552 \h </w:instrText>
            </w:r>
            <w:r w:rsidR="00D8243B">
              <w:rPr>
                <w:noProof/>
                <w:webHidden/>
              </w:rPr>
            </w:r>
            <w:r w:rsidR="00D8243B">
              <w:rPr>
                <w:noProof/>
                <w:webHidden/>
              </w:rPr>
              <w:fldChar w:fldCharType="separate"/>
            </w:r>
            <w:r w:rsidR="00D07F92">
              <w:rPr>
                <w:noProof/>
                <w:webHidden/>
              </w:rPr>
              <w:t>14</w:t>
            </w:r>
            <w:r w:rsidR="00D8243B">
              <w:rPr>
                <w:noProof/>
                <w:webHidden/>
              </w:rPr>
              <w:fldChar w:fldCharType="end"/>
            </w:r>
          </w:hyperlink>
        </w:p>
        <w:p w14:paraId="15F74880" w14:textId="77777777" w:rsidR="00D8243B" w:rsidRDefault="00F248A2">
          <w:pPr>
            <w:pStyle w:val="TOC2"/>
            <w:tabs>
              <w:tab w:val="right" w:leader="dot" w:pos="9016"/>
            </w:tabs>
            <w:rPr>
              <w:rFonts w:eastAsiaTheme="minorEastAsia"/>
              <w:noProof/>
              <w:lang w:eastAsia="en-GB"/>
            </w:rPr>
          </w:pPr>
          <w:hyperlink w:anchor="_Toc378323553" w:history="1">
            <w:r w:rsidR="00D8243B" w:rsidRPr="005F41D2">
              <w:rPr>
                <w:rStyle w:val="Hyperlink"/>
                <w:noProof/>
              </w:rPr>
              <w:t>2.2 Moving the Middle</w:t>
            </w:r>
            <w:r w:rsidR="00D8243B">
              <w:rPr>
                <w:noProof/>
                <w:webHidden/>
              </w:rPr>
              <w:tab/>
            </w:r>
            <w:r w:rsidR="00D8243B">
              <w:rPr>
                <w:noProof/>
                <w:webHidden/>
              </w:rPr>
              <w:fldChar w:fldCharType="begin"/>
            </w:r>
            <w:r w:rsidR="00D8243B">
              <w:rPr>
                <w:noProof/>
                <w:webHidden/>
              </w:rPr>
              <w:instrText xml:space="preserve"> PAGEREF _Toc378323553 \h </w:instrText>
            </w:r>
            <w:r w:rsidR="00D8243B">
              <w:rPr>
                <w:noProof/>
                <w:webHidden/>
              </w:rPr>
            </w:r>
            <w:r w:rsidR="00D8243B">
              <w:rPr>
                <w:noProof/>
                <w:webHidden/>
              </w:rPr>
              <w:fldChar w:fldCharType="separate"/>
            </w:r>
            <w:r w:rsidR="00D07F92">
              <w:rPr>
                <w:noProof/>
                <w:webHidden/>
              </w:rPr>
              <w:t>16</w:t>
            </w:r>
            <w:r w:rsidR="00D8243B">
              <w:rPr>
                <w:noProof/>
                <w:webHidden/>
              </w:rPr>
              <w:fldChar w:fldCharType="end"/>
            </w:r>
          </w:hyperlink>
        </w:p>
        <w:p w14:paraId="4AA51058" w14:textId="77777777" w:rsidR="00D8243B" w:rsidRDefault="00F248A2">
          <w:pPr>
            <w:pStyle w:val="TOC1"/>
            <w:tabs>
              <w:tab w:val="right" w:leader="dot" w:pos="9016"/>
            </w:tabs>
            <w:rPr>
              <w:rFonts w:eastAsiaTheme="minorEastAsia"/>
              <w:noProof/>
              <w:lang w:eastAsia="en-GB"/>
            </w:rPr>
          </w:pPr>
          <w:hyperlink w:anchor="_Toc378323554" w:history="1">
            <w:r w:rsidR="00D8243B" w:rsidRPr="005F41D2">
              <w:rPr>
                <w:rStyle w:val="Hyperlink"/>
                <w:noProof/>
              </w:rPr>
              <w:t>3. Behaviour Change Complementing Equalities Policy</w:t>
            </w:r>
            <w:r w:rsidR="00D8243B">
              <w:rPr>
                <w:noProof/>
                <w:webHidden/>
              </w:rPr>
              <w:tab/>
            </w:r>
            <w:r w:rsidR="00D8243B">
              <w:rPr>
                <w:noProof/>
                <w:webHidden/>
              </w:rPr>
              <w:fldChar w:fldCharType="begin"/>
            </w:r>
            <w:r w:rsidR="00D8243B">
              <w:rPr>
                <w:noProof/>
                <w:webHidden/>
              </w:rPr>
              <w:instrText xml:space="preserve"> PAGEREF _Toc378323554 \h </w:instrText>
            </w:r>
            <w:r w:rsidR="00D8243B">
              <w:rPr>
                <w:noProof/>
                <w:webHidden/>
              </w:rPr>
            </w:r>
            <w:r w:rsidR="00D8243B">
              <w:rPr>
                <w:noProof/>
                <w:webHidden/>
              </w:rPr>
              <w:fldChar w:fldCharType="separate"/>
            </w:r>
            <w:r w:rsidR="00D07F92">
              <w:rPr>
                <w:noProof/>
                <w:webHidden/>
              </w:rPr>
              <w:t>19</w:t>
            </w:r>
            <w:r w:rsidR="00D8243B">
              <w:rPr>
                <w:noProof/>
                <w:webHidden/>
              </w:rPr>
              <w:fldChar w:fldCharType="end"/>
            </w:r>
          </w:hyperlink>
        </w:p>
        <w:p w14:paraId="3970E280" w14:textId="77777777" w:rsidR="00D8243B" w:rsidRDefault="00F248A2">
          <w:pPr>
            <w:pStyle w:val="TOC2"/>
            <w:tabs>
              <w:tab w:val="right" w:leader="dot" w:pos="9016"/>
            </w:tabs>
            <w:rPr>
              <w:rFonts w:eastAsiaTheme="minorEastAsia"/>
              <w:noProof/>
              <w:lang w:eastAsia="en-GB"/>
            </w:rPr>
          </w:pPr>
          <w:hyperlink w:anchor="_Toc378323555" w:history="1">
            <w:r w:rsidR="00D8243B" w:rsidRPr="005F41D2">
              <w:rPr>
                <w:rStyle w:val="Hyperlink"/>
                <w:noProof/>
              </w:rPr>
              <w:t>3.1 Think, Act, Report</w:t>
            </w:r>
            <w:r w:rsidR="00D8243B">
              <w:rPr>
                <w:noProof/>
                <w:webHidden/>
              </w:rPr>
              <w:tab/>
            </w:r>
            <w:r w:rsidR="00D8243B">
              <w:rPr>
                <w:noProof/>
                <w:webHidden/>
              </w:rPr>
              <w:fldChar w:fldCharType="begin"/>
            </w:r>
            <w:r w:rsidR="00D8243B">
              <w:rPr>
                <w:noProof/>
                <w:webHidden/>
              </w:rPr>
              <w:instrText xml:space="preserve"> PAGEREF _Toc378323555 \h </w:instrText>
            </w:r>
            <w:r w:rsidR="00D8243B">
              <w:rPr>
                <w:noProof/>
                <w:webHidden/>
              </w:rPr>
            </w:r>
            <w:r w:rsidR="00D8243B">
              <w:rPr>
                <w:noProof/>
                <w:webHidden/>
              </w:rPr>
              <w:fldChar w:fldCharType="separate"/>
            </w:r>
            <w:r w:rsidR="00D07F92">
              <w:rPr>
                <w:noProof/>
                <w:webHidden/>
              </w:rPr>
              <w:t>21</w:t>
            </w:r>
            <w:r w:rsidR="00D8243B">
              <w:rPr>
                <w:noProof/>
                <w:webHidden/>
              </w:rPr>
              <w:fldChar w:fldCharType="end"/>
            </w:r>
          </w:hyperlink>
        </w:p>
        <w:p w14:paraId="3AAE1CDF" w14:textId="77777777" w:rsidR="00D8243B" w:rsidRDefault="00F248A2">
          <w:pPr>
            <w:pStyle w:val="TOC2"/>
            <w:tabs>
              <w:tab w:val="right" w:leader="dot" w:pos="9016"/>
            </w:tabs>
            <w:rPr>
              <w:rFonts w:eastAsiaTheme="minorEastAsia"/>
              <w:noProof/>
              <w:lang w:eastAsia="en-GB"/>
            </w:rPr>
          </w:pPr>
          <w:hyperlink w:anchor="_Toc378323556" w:history="1">
            <w:r w:rsidR="00D8243B" w:rsidRPr="005F41D2">
              <w:rPr>
                <w:rStyle w:val="Hyperlink"/>
                <w:noProof/>
              </w:rPr>
              <w:t>3.2 Engaging with smaller businesses</w:t>
            </w:r>
            <w:r w:rsidR="00D8243B">
              <w:rPr>
                <w:noProof/>
                <w:webHidden/>
              </w:rPr>
              <w:tab/>
            </w:r>
            <w:r w:rsidR="00D8243B">
              <w:rPr>
                <w:noProof/>
                <w:webHidden/>
              </w:rPr>
              <w:fldChar w:fldCharType="begin"/>
            </w:r>
            <w:r w:rsidR="00D8243B">
              <w:rPr>
                <w:noProof/>
                <w:webHidden/>
              </w:rPr>
              <w:instrText xml:space="preserve"> PAGEREF _Toc378323556 \h </w:instrText>
            </w:r>
            <w:r w:rsidR="00D8243B">
              <w:rPr>
                <w:noProof/>
                <w:webHidden/>
              </w:rPr>
            </w:r>
            <w:r w:rsidR="00D8243B">
              <w:rPr>
                <w:noProof/>
                <w:webHidden/>
              </w:rPr>
              <w:fldChar w:fldCharType="separate"/>
            </w:r>
            <w:r w:rsidR="00D07F92">
              <w:rPr>
                <w:noProof/>
                <w:webHidden/>
              </w:rPr>
              <w:t>22</w:t>
            </w:r>
            <w:r w:rsidR="00D8243B">
              <w:rPr>
                <w:noProof/>
                <w:webHidden/>
              </w:rPr>
              <w:fldChar w:fldCharType="end"/>
            </w:r>
          </w:hyperlink>
        </w:p>
        <w:p w14:paraId="44965EB8" w14:textId="77777777" w:rsidR="00D8243B" w:rsidRDefault="00F248A2">
          <w:pPr>
            <w:pStyle w:val="TOC2"/>
            <w:tabs>
              <w:tab w:val="right" w:leader="dot" w:pos="9016"/>
            </w:tabs>
            <w:rPr>
              <w:rFonts w:eastAsiaTheme="minorEastAsia"/>
              <w:noProof/>
              <w:lang w:eastAsia="en-GB"/>
            </w:rPr>
          </w:pPr>
          <w:hyperlink w:anchor="_Toc378323557" w:history="1">
            <w:r w:rsidR="00D8243B" w:rsidRPr="005F41D2">
              <w:rPr>
                <w:rStyle w:val="Hyperlink"/>
                <w:noProof/>
              </w:rPr>
              <w:t>3.3 Women in Enterprise</w:t>
            </w:r>
            <w:r w:rsidR="00D8243B">
              <w:rPr>
                <w:noProof/>
                <w:webHidden/>
              </w:rPr>
              <w:tab/>
            </w:r>
            <w:r w:rsidR="00D8243B">
              <w:rPr>
                <w:noProof/>
                <w:webHidden/>
              </w:rPr>
              <w:fldChar w:fldCharType="begin"/>
            </w:r>
            <w:r w:rsidR="00D8243B">
              <w:rPr>
                <w:noProof/>
                <w:webHidden/>
              </w:rPr>
              <w:instrText xml:space="preserve"> PAGEREF _Toc378323557 \h </w:instrText>
            </w:r>
            <w:r w:rsidR="00D8243B">
              <w:rPr>
                <w:noProof/>
                <w:webHidden/>
              </w:rPr>
            </w:r>
            <w:r w:rsidR="00D8243B">
              <w:rPr>
                <w:noProof/>
                <w:webHidden/>
              </w:rPr>
              <w:fldChar w:fldCharType="separate"/>
            </w:r>
            <w:r w:rsidR="00D07F92">
              <w:rPr>
                <w:noProof/>
                <w:webHidden/>
              </w:rPr>
              <w:t>24</w:t>
            </w:r>
            <w:r w:rsidR="00D8243B">
              <w:rPr>
                <w:noProof/>
                <w:webHidden/>
              </w:rPr>
              <w:fldChar w:fldCharType="end"/>
            </w:r>
          </w:hyperlink>
        </w:p>
        <w:p w14:paraId="57BC8C2A" w14:textId="77777777" w:rsidR="00D8243B" w:rsidRDefault="00F248A2">
          <w:pPr>
            <w:pStyle w:val="TOC1"/>
            <w:tabs>
              <w:tab w:val="right" w:leader="dot" w:pos="9016"/>
            </w:tabs>
            <w:rPr>
              <w:rFonts w:eastAsiaTheme="minorEastAsia"/>
              <w:noProof/>
              <w:lang w:eastAsia="en-GB"/>
            </w:rPr>
          </w:pPr>
          <w:hyperlink w:anchor="_Toc378323558" w:history="1">
            <w:r w:rsidR="00D8243B" w:rsidRPr="005F41D2">
              <w:rPr>
                <w:rStyle w:val="Hyperlink"/>
                <w:noProof/>
              </w:rPr>
              <w:t>4. Behaviour Change Lessons for Policy-Making</w:t>
            </w:r>
            <w:r w:rsidR="00D8243B">
              <w:rPr>
                <w:noProof/>
                <w:webHidden/>
              </w:rPr>
              <w:tab/>
            </w:r>
            <w:r w:rsidR="00D8243B">
              <w:rPr>
                <w:noProof/>
                <w:webHidden/>
              </w:rPr>
              <w:fldChar w:fldCharType="begin"/>
            </w:r>
            <w:r w:rsidR="00D8243B">
              <w:rPr>
                <w:noProof/>
                <w:webHidden/>
              </w:rPr>
              <w:instrText xml:space="preserve"> PAGEREF _Toc378323558 \h </w:instrText>
            </w:r>
            <w:r w:rsidR="00D8243B">
              <w:rPr>
                <w:noProof/>
                <w:webHidden/>
              </w:rPr>
            </w:r>
            <w:r w:rsidR="00D8243B">
              <w:rPr>
                <w:noProof/>
                <w:webHidden/>
              </w:rPr>
              <w:fldChar w:fldCharType="separate"/>
            </w:r>
            <w:r w:rsidR="00D07F92">
              <w:rPr>
                <w:noProof/>
                <w:webHidden/>
              </w:rPr>
              <w:t>27</w:t>
            </w:r>
            <w:r w:rsidR="00D8243B">
              <w:rPr>
                <w:noProof/>
                <w:webHidden/>
              </w:rPr>
              <w:fldChar w:fldCharType="end"/>
            </w:r>
          </w:hyperlink>
        </w:p>
        <w:p w14:paraId="775A007F" w14:textId="77777777" w:rsidR="00D8243B" w:rsidRDefault="00F248A2">
          <w:pPr>
            <w:pStyle w:val="TOC1"/>
            <w:tabs>
              <w:tab w:val="right" w:leader="dot" w:pos="9016"/>
            </w:tabs>
            <w:rPr>
              <w:rFonts w:eastAsiaTheme="minorEastAsia"/>
              <w:noProof/>
              <w:lang w:eastAsia="en-GB"/>
            </w:rPr>
          </w:pPr>
          <w:hyperlink w:anchor="_Toc378323559" w:history="1">
            <w:r w:rsidR="00D8243B" w:rsidRPr="005F41D2">
              <w:rPr>
                <w:rStyle w:val="Hyperlink"/>
                <w:noProof/>
              </w:rPr>
              <w:t>Conclusions</w:t>
            </w:r>
            <w:r w:rsidR="00D8243B">
              <w:rPr>
                <w:noProof/>
                <w:webHidden/>
              </w:rPr>
              <w:tab/>
            </w:r>
            <w:r w:rsidR="00D8243B">
              <w:rPr>
                <w:noProof/>
                <w:webHidden/>
              </w:rPr>
              <w:fldChar w:fldCharType="begin"/>
            </w:r>
            <w:r w:rsidR="00D8243B">
              <w:rPr>
                <w:noProof/>
                <w:webHidden/>
              </w:rPr>
              <w:instrText xml:space="preserve"> PAGEREF _Toc378323559 \h </w:instrText>
            </w:r>
            <w:r w:rsidR="00D8243B">
              <w:rPr>
                <w:noProof/>
                <w:webHidden/>
              </w:rPr>
            </w:r>
            <w:r w:rsidR="00D8243B">
              <w:rPr>
                <w:noProof/>
                <w:webHidden/>
              </w:rPr>
              <w:fldChar w:fldCharType="separate"/>
            </w:r>
            <w:r w:rsidR="00D07F92">
              <w:rPr>
                <w:noProof/>
                <w:webHidden/>
              </w:rPr>
              <w:t>39</w:t>
            </w:r>
            <w:r w:rsidR="00D8243B">
              <w:rPr>
                <w:noProof/>
                <w:webHidden/>
              </w:rPr>
              <w:fldChar w:fldCharType="end"/>
            </w:r>
          </w:hyperlink>
        </w:p>
        <w:p w14:paraId="1EB44CFB" w14:textId="0A213170" w:rsidR="00941B37" w:rsidRDefault="00941B37">
          <w:r>
            <w:rPr>
              <w:b/>
              <w:bCs/>
              <w:noProof/>
            </w:rPr>
            <w:fldChar w:fldCharType="end"/>
          </w:r>
        </w:p>
      </w:sdtContent>
    </w:sdt>
    <w:p w14:paraId="407A7D5E" w14:textId="77777777" w:rsidR="00941B37" w:rsidRPr="00941B37" w:rsidRDefault="00941B37" w:rsidP="00941B37"/>
    <w:p w14:paraId="27191ED7" w14:textId="77777777" w:rsidR="00696105" w:rsidRDefault="00696105" w:rsidP="00696105">
      <w:pPr>
        <w:rPr>
          <w:b/>
        </w:rPr>
      </w:pPr>
    </w:p>
    <w:p w14:paraId="27191ED8" w14:textId="77777777" w:rsidR="00696105" w:rsidRDefault="00696105" w:rsidP="00696105">
      <w:pPr>
        <w:rPr>
          <w:b/>
        </w:rPr>
      </w:pPr>
    </w:p>
    <w:p w14:paraId="27191ED9" w14:textId="77777777" w:rsidR="00696105" w:rsidRDefault="00696105" w:rsidP="00696105">
      <w:pPr>
        <w:rPr>
          <w:b/>
        </w:rPr>
      </w:pPr>
    </w:p>
    <w:p w14:paraId="27191EDA" w14:textId="77777777" w:rsidR="00696105" w:rsidRDefault="00696105" w:rsidP="00696105">
      <w:pPr>
        <w:rPr>
          <w:b/>
        </w:rPr>
      </w:pPr>
    </w:p>
    <w:p w14:paraId="27191EDB" w14:textId="77777777" w:rsidR="00696105" w:rsidRDefault="00696105" w:rsidP="00696105">
      <w:pPr>
        <w:rPr>
          <w:b/>
        </w:rPr>
      </w:pPr>
    </w:p>
    <w:p w14:paraId="27191EDC" w14:textId="77777777" w:rsidR="00696105" w:rsidRDefault="00696105" w:rsidP="00696105">
      <w:pPr>
        <w:rPr>
          <w:b/>
        </w:rPr>
      </w:pPr>
    </w:p>
    <w:p w14:paraId="27191EDD" w14:textId="77777777" w:rsidR="00696105" w:rsidRDefault="00696105" w:rsidP="00696105">
      <w:pPr>
        <w:rPr>
          <w:b/>
        </w:rPr>
      </w:pPr>
    </w:p>
    <w:p w14:paraId="27191EDE" w14:textId="77777777" w:rsidR="00696105" w:rsidRDefault="00696105" w:rsidP="00696105">
      <w:pPr>
        <w:rPr>
          <w:b/>
        </w:rPr>
      </w:pPr>
    </w:p>
    <w:p w14:paraId="27191EDF" w14:textId="77777777" w:rsidR="00696105" w:rsidRDefault="00696105" w:rsidP="00696105">
      <w:pPr>
        <w:rPr>
          <w:b/>
        </w:rPr>
      </w:pPr>
    </w:p>
    <w:p w14:paraId="27191EE0" w14:textId="77777777" w:rsidR="00696105" w:rsidRDefault="00696105" w:rsidP="00696105">
      <w:pPr>
        <w:rPr>
          <w:b/>
        </w:rPr>
      </w:pPr>
    </w:p>
    <w:p w14:paraId="27191EE1" w14:textId="77777777" w:rsidR="00696105" w:rsidRDefault="00696105" w:rsidP="00696105">
      <w:pPr>
        <w:rPr>
          <w:b/>
        </w:rPr>
      </w:pPr>
    </w:p>
    <w:p w14:paraId="27191EE2" w14:textId="77777777" w:rsidR="00696105" w:rsidRDefault="00696105" w:rsidP="00696105">
      <w:pPr>
        <w:rPr>
          <w:b/>
        </w:rPr>
      </w:pPr>
    </w:p>
    <w:p w14:paraId="27191EE3" w14:textId="77777777" w:rsidR="00696105" w:rsidRDefault="00696105" w:rsidP="00696105">
      <w:pPr>
        <w:rPr>
          <w:b/>
        </w:rPr>
      </w:pPr>
    </w:p>
    <w:p w14:paraId="214C8080" w14:textId="77777777" w:rsidR="00B52451" w:rsidRDefault="00B52451" w:rsidP="00B52451">
      <w:pPr>
        <w:pStyle w:val="Heading1"/>
      </w:pPr>
      <w:bookmarkStart w:id="1" w:name="_Toc378323548"/>
      <w:bookmarkStart w:id="2" w:name="_Toc362614100"/>
      <w:r>
        <w:lastRenderedPageBreak/>
        <w:t>Background and Context</w:t>
      </w:r>
      <w:bookmarkEnd w:id="1"/>
    </w:p>
    <w:p w14:paraId="66AC4352" w14:textId="77777777" w:rsidR="00BC4482" w:rsidRDefault="00BC4482" w:rsidP="00BC4482">
      <w:pPr>
        <w:pStyle w:val="Default"/>
        <w:jc w:val="both"/>
        <w:rPr>
          <w:rFonts w:asciiTheme="minorHAnsi" w:hAnsiTheme="minorHAnsi" w:cstheme="minorHAnsi"/>
          <w:bCs/>
          <w:iCs/>
        </w:rPr>
      </w:pPr>
    </w:p>
    <w:p w14:paraId="551E9517" w14:textId="1548B75A" w:rsidR="00267ECE" w:rsidRPr="00267ECE" w:rsidRDefault="00BF799E" w:rsidP="009E7669">
      <w:pPr>
        <w:pStyle w:val="ListParagraph"/>
        <w:numPr>
          <w:ilvl w:val="0"/>
          <w:numId w:val="6"/>
        </w:numPr>
        <w:jc w:val="both"/>
        <w:rPr>
          <w:rStyle w:val="CommentReference"/>
          <w:rFonts w:asciiTheme="minorHAnsi" w:hAnsiTheme="minorHAnsi" w:cstheme="minorHAnsi"/>
          <w:sz w:val="24"/>
          <w:szCs w:val="24"/>
        </w:rPr>
      </w:pPr>
      <w:r w:rsidRPr="00BF799E">
        <w:rPr>
          <w:rFonts w:asciiTheme="minorHAnsi" w:hAnsiTheme="minorHAnsi" w:cstheme="minorHAnsi"/>
          <w:szCs w:val="24"/>
        </w:rPr>
        <w:t xml:space="preserve">The Complementary and Alternative Pathways to Equality (CAPE) project </w:t>
      </w:r>
      <w:r>
        <w:rPr>
          <w:rFonts w:asciiTheme="minorHAnsi" w:hAnsiTheme="minorHAnsi" w:cstheme="minorHAnsi"/>
          <w:szCs w:val="24"/>
        </w:rPr>
        <w:t>is a Knowledge</w:t>
      </w:r>
      <w:r w:rsidR="00003509">
        <w:rPr>
          <w:rFonts w:asciiTheme="minorHAnsi" w:hAnsiTheme="minorHAnsi" w:cstheme="minorHAnsi"/>
          <w:szCs w:val="24"/>
        </w:rPr>
        <w:t xml:space="preserve"> Exchange Fellowship (KEF),</w:t>
      </w:r>
      <w:r w:rsidR="0095501D">
        <w:rPr>
          <w:rStyle w:val="FootnoteReference"/>
          <w:rFonts w:asciiTheme="minorHAnsi" w:hAnsiTheme="minorHAnsi" w:cstheme="minorHAnsi"/>
          <w:szCs w:val="24"/>
        </w:rPr>
        <w:footnoteReference w:id="1"/>
      </w:r>
      <w:r w:rsidR="00003509">
        <w:rPr>
          <w:rFonts w:asciiTheme="minorHAnsi" w:hAnsiTheme="minorHAnsi" w:cstheme="minorHAnsi"/>
          <w:szCs w:val="24"/>
        </w:rPr>
        <w:t xml:space="preserve"> </w:t>
      </w:r>
      <w:r>
        <w:rPr>
          <w:rFonts w:asciiTheme="minorHAnsi" w:hAnsiTheme="minorHAnsi" w:cstheme="minorHAnsi"/>
          <w:szCs w:val="24"/>
        </w:rPr>
        <w:t>commissioned</w:t>
      </w:r>
      <w:r w:rsidR="00003509">
        <w:rPr>
          <w:rFonts w:asciiTheme="minorHAnsi" w:hAnsiTheme="minorHAnsi" w:cstheme="minorHAnsi"/>
          <w:szCs w:val="24"/>
        </w:rPr>
        <w:t xml:space="preserve"> in 2012</w:t>
      </w:r>
      <w:r>
        <w:rPr>
          <w:rFonts w:asciiTheme="minorHAnsi" w:hAnsiTheme="minorHAnsi" w:cstheme="minorHAnsi"/>
          <w:szCs w:val="24"/>
        </w:rPr>
        <w:t xml:space="preserve"> jointly by the Government Equalities Office (GEO) and the Economic and Social Rese</w:t>
      </w:r>
      <w:r w:rsidR="00003509">
        <w:rPr>
          <w:rFonts w:asciiTheme="minorHAnsi" w:hAnsiTheme="minorHAnsi" w:cstheme="minorHAnsi"/>
          <w:szCs w:val="24"/>
        </w:rPr>
        <w:t>arch Council (ESRC). It was</w:t>
      </w:r>
      <w:r>
        <w:rPr>
          <w:rFonts w:asciiTheme="minorHAnsi" w:hAnsiTheme="minorHAnsi" w:cstheme="minorHAnsi"/>
          <w:szCs w:val="24"/>
        </w:rPr>
        <w:t xml:space="preserve"> led by Professor </w:t>
      </w:r>
      <w:r w:rsidR="00267ECE">
        <w:rPr>
          <w:rFonts w:asciiTheme="minorHAnsi" w:hAnsiTheme="minorHAnsi" w:cstheme="minorHAnsi"/>
          <w:szCs w:val="24"/>
        </w:rPr>
        <w:t xml:space="preserve">Shamit Saggar of the </w:t>
      </w:r>
      <w:r>
        <w:rPr>
          <w:rFonts w:asciiTheme="minorHAnsi" w:hAnsiTheme="minorHAnsi" w:cstheme="minorHAnsi"/>
          <w:szCs w:val="24"/>
        </w:rPr>
        <w:t>University</w:t>
      </w:r>
      <w:r w:rsidR="00267ECE">
        <w:rPr>
          <w:rFonts w:asciiTheme="minorHAnsi" w:hAnsiTheme="minorHAnsi" w:cstheme="minorHAnsi"/>
          <w:szCs w:val="24"/>
        </w:rPr>
        <w:t xml:space="preserve"> of Sussex</w:t>
      </w:r>
      <w:r>
        <w:rPr>
          <w:rFonts w:asciiTheme="minorHAnsi" w:hAnsiTheme="minorHAnsi" w:cstheme="minorHAnsi"/>
          <w:szCs w:val="24"/>
        </w:rPr>
        <w:t xml:space="preserve"> as the Fellow, </w:t>
      </w:r>
      <w:r w:rsidR="008E2DC9">
        <w:rPr>
          <w:rFonts w:asciiTheme="minorHAnsi" w:hAnsiTheme="minorHAnsi" w:cstheme="minorHAnsi"/>
          <w:szCs w:val="24"/>
        </w:rPr>
        <w:t xml:space="preserve">supported by a GEO analyst, </w:t>
      </w:r>
      <w:r>
        <w:rPr>
          <w:rFonts w:asciiTheme="minorHAnsi" w:hAnsiTheme="minorHAnsi" w:cstheme="minorHAnsi"/>
          <w:szCs w:val="24"/>
        </w:rPr>
        <w:t xml:space="preserve">and conducted over the course of the </w:t>
      </w:r>
      <w:r w:rsidR="00267ECE">
        <w:rPr>
          <w:rFonts w:asciiTheme="minorHAnsi" w:hAnsiTheme="minorHAnsi" w:cstheme="minorHAnsi"/>
          <w:szCs w:val="24"/>
        </w:rPr>
        <w:t xml:space="preserve">2013 calendar </w:t>
      </w:r>
      <w:r w:rsidR="0095501D">
        <w:rPr>
          <w:rFonts w:asciiTheme="minorHAnsi" w:hAnsiTheme="minorHAnsi" w:cstheme="minorHAnsi"/>
          <w:szCs w:val="24"/>
        </w:rPr>
        <w:t>year. CAPE is anchored i</w:t>
      </w:r>
      <w:r w:rsidR="00D93E72">
        <w:rPr>
          <w:rFonts w:asciiTheme="minorHAnsi" w:hAnsiTheme="minorHAnsi" w:cstheme="minorHAnsi"/>
          <w:szCs w:val="24"/>
        </w:rPr>
        <w:t>n</w:t>
      </w:r>
      <w:r w:rsidR="0095501D">
        <w:rPr>
          <w:rFonts w:asciiTheme="minorHAnsi" w:hAnsiTheme="minorHAnsi" w:cstheme="minorHAnsi"/>
          <w:szCs w:val="24"/>
        </w:rPr>
        <w:t xml:space="preserve"> an agreed need to strengthen GEO’s analysis and</w:t>
      </w:r>
      <w:r>
        <w:rPr>
          <w:rFonts w:asciiTheme="minorHAnsi" w:hAnsiTheme="minorHAnsi" w:cstheme="minorHAnsi"/>
          <w:szCs w:val="24"/>
        </w:rPr>
        <w:t xml:space="preserve"> ho</w:t>
      </w:r>
      <w:r w:rsidR="0095501D">
        <w:rPr>
          <w:rFonts w:asciiTheme="minorHAnsi" w:hAnsiTheme="minorHAnsi" w:cstheme="minorHAnsi"/>
          <w:szCs w:val="24"/>
        </w:rPr>
        <w:t>rizon scanning functions</w:t>
      </w:r>
      <w:r w:rsidR="00425984">
        <w:rPr>
          <w:rFonts w:asciiTheme="minorHAnsi" w:hAnsiTheme="minorHAnsi" w:cstheme="minorHAnsi"/>
          <w:szCs w:val="24"/>
        </w:rPr>
        <w:t xml:space="preserve">, </w:t>
      </w:r>
      <w:r w:rsidR="0095501D">
        <w:rPr>
          <w:rFonts w:asciiTheme="minorHAnsi" w:hAnsiTheme="minorHAnsi" w:cstheme="minorHAnsi"/>
          <w:szCs w:val="24"/>
        </w:rPr>
        <w:t xml:space="preserve">coupled </w:t>
      </w:r>
      <w:r w:rsidR="00425984">
        <w:rPr>
          <w:rFonts w:asciiTheme="minorHAnsi" w:hAnsiTheme="minorHAnsi" w:cstheme="minorHAnsi"/>
          <w:szCs w:val="24"/>
        </w:rPr>
        <w:t>w</w:t>
      </w:r>
      <w:r w:rsidR="0095501D">
        <w:rPr>
          <w:rFonts w:asciiTheme="minorHAnsi" w:hAnsiTheme="minorHAnsi" w:cstheme="minorHAnsi"/>
          <w:szCs w:val="24"/>
        </w:rPr>
        <w:t xml:space="preserve">ith </w:t>
      </w:r>
      <w:r w:rsidR="00AB5FD6">
        <w:rPr>
          <w:rFonts w:asciiTheme="minorHAnsi" w:hAnsiTheme="minorHAnsi" w:cstheme="minorHAnsi"/>
          <w:szCs w:val="24"/>
        </w:rPr>
        <w:t xml:space="preserve">a </w:t>
      </w:r>
      <w:r w:rsidR="0095501D">
        <w:rPr>
          <w:rFonts w:asciiTheme="minorHAnsi" w:hAnsiTheme="minorHAnsi" w:cstheme="minorHAnsi"/>
          <w:szCs w:val="24"/>
        </w:rPr>
        <w:t>commitment to improve</w:t>
      </w:r>
      <w:r w:rsidR="00573F9F">
        <w:rPr>
          <w:rFonts w:asciiTheme="minorHAnsi" w:hAnsiTheme="minorHAnsi" w:cstheme="minorHAnsi"/>
          <w:szCs w:val="24"/>
        </w:rPr>
        <w:t xml:space="preserve"> GEO’s policy-</w:t>
      </w:r>
      <w:r w:rsidR="00425984">
        <w:rPr>
          <w:rFonts w:asciiTheme="minorHAnsi" w:hAnsiTheme="minorHAnsi" w:cstheme="minorHAnsi"/>
          <w:szCs w:val="24"/>
        </w:rPr>
        <w:t>making abilities and preparedness for future challenges</w:t>
      </w:r>
      <w:r w:rsidR="0095501D">
        <w:rPr>
          <w:rFonts w:asciiTheme="minorHAnsi" w:hAnsiTheme="minorHAnsi" w:cstheme="minorHAnsi"/>
          <w:szCs w:val="24"/>
        </w:rPr>
        <w:t>.</w:t>
      </w:r>
    </w:p>
    <w:p w14:paraId="71E0912E" w14:textId="114A8433" w:rsidR="00425984" w:rsidRDefault="00267ECE" w:rsidP="00267ECE">
      <w:pPr>
        <w:pStyle w:val="ListParagraph"/>
        <w:jc w:val="both"/>
        <w:rPr>
          <w:rFonts w:asciiTheme="minorHAnsi" w:hAnsiTheme="minorHAnsi" w:cstheme="minorHAnsi"/>
          <w:szCs w:val="24"/>
        </w:rPr>
      </w:pPr>
      <w:r>
        <w:rPr>
          <w:rFonts w:asciiTheme="minorHAnsi" w:hAnsiTheme="minorHAnsi" w:cstheme="minorHAnsi"/>
          <w:szCs w:val="24"/>
        </w:rPr>
        <w:t xml:space="preserve"> </w:t>
      </w:r>
    </w:p>
    <w:p w14:paraId="4F2E980F" w14:textId="0B0090B5" w:rsidR="00425984" w:rsidRDefault="00425984" w:rsidP="009E7669">
      <w:pPr>
        <w:pStyle w:val="ListParagraph"/>
        <w:numPr>
          <w:ilvl w:val="0"/>
          <w:numId w:val="6"/>
        </w:numPr>
        <w:jc w:val="both"/>
        <w:rPr>
          <w:rFonts w:asciiTheme="minorHAnsi" w:hAnsiTheme="minorHAnsi" w:cstheme="minorHAnsi"/>
          <w:szCs w:val="24"/>
        </w:rPr>
      </w:pPr>
      <w:r>
        <w:rPr>
          <w:rFonts w:asciiTheme="minorHAnsi" w:hAnsiTheme="minorHAnsi" w:cstheme="minorHAnsi"/>
          <w:szCs w:val="24"/>
        </w:rPr>
        <w:t>Over the course of the project, GEO underwent considerable c</w:t>
      </w:r>
      <w:r w:rsidR="00267ECE">
        <w:rPr>
          <w:rFonts w:asciiTheme="minorHAnsi" w:hAnsiTheme="minorHAnsi" w:cstheme="minorHAnsi"/>
          <w:szCs w:val="24"/>
        </w:rPr>
        <w:t xml:space="preserve">hanges, along with the rest of </w:t>
      </w:r>
      <w:r w:rsidR="00AB6FFF">
        <w:rPr>
          <w:rFonts w:asciiTheme="minorHAnsi" w:hAnsiTheme="minorHAnsi" w:cstheme="minorHAnsi"/>
          <w:szCs w:val="24"/>
        </w:rPr>
        <w:t>g</w:t>
      </w:r>
      <w:r>
        <w:rPr>
          <w:rFonts w:asciiTheme="minorHAnsi" w:hAnsiTheme="minorHAnsi" w:cstheme="minorHAnsi"/>
          <w:szCs w:val="24"/>
        </w:rPr>
        <w:t>overnment. The most notable of these has been the move from the Home Office to the Department for Culture, Media and Sport (DCMS), including internal reorganisation and the merging of corporate and analytical functions with their DCMS equivalent. This included the members of staff dedicated to</w:t>
      </w:r>
      <w:r w:rsidR="0095501D">
        <w:rPr>
          <w:rFonts w:asciiTheme="minorHAnsi" w:hAnsiTheme="minorHAnsi" w:cstheme="minorHAnsi"/>
          <w:szCs w:val="24"/>
        </w:rPr>
        <w:t xml:space="preserve"> supporting the CAPE project. Despites such hurdles,</w:t>
      </w:r>
      <w:r>
        <w:rPr>
          <w:rFonts w:asciiTheme="minorHAnsi" w:hAnsiTheme="minorHAnsi" w:cstheme="minorHAnsi"/>
          <w:szCs w:val="24"/>
        </w:rPr>
        <w:t xml:space="preserve"> the CAPE project’s outputs are now both more salient to the delivery of GEO policies and embedded in</w:t>
      </w:r>
      <w:r w:rsidR="00573F9F">
        <w:rPr>
          <w:rFonts w:asciiTheme="minorHAnsi" w:hAnsiTheme="minorHAnsi" w:cstheme="minorHAnsi"/>
          <w:szCs w:val="24"/>
        </w:rPr>
        <w:t xml:space="preserve"> wider DCMS analysis and policy-</w:t>
      </w:r>
      <w:r>
        <w:rPr>
          <w:rFonts w:asciiTheme="minorHAnsi" w:hAnsiTheme="minorHAnsi" w:cstheme="minorHAnsi"/>
          <w:szCs w:val="24"/>
        </w:rPr>
        <w:t xml:space="preserve">making. </w:t>
      </w:r>
    </w:p>
    <w:p w14:paraId="43930753" w14:textId="77777777" w:rsidR="00242B16" w:rsidRPr="00242B16" w:rsidRDefault="00242B16" w:rsidP="00242B16">
      <w:pPr>
        <w:pStyle w:val="ListParagraph"/>
        <w:rPr>
          <w:rFonts w:asciiTheme="minorHAnsi" w:hAnsiTheme="minorHAnsi" w:cstheme="minorHAnsi"/>
          <w:szCs w:val="24"/>
        </w:rPr>
      </w:pPr>
    </w:p>
    <w:p w14:paraId="3690C0FF" w14:textId="4F684748" w:rsidR="008E2DC9" w:rsidRPr="00C86C71" w:rsidRDefault="00242B16" w:rsidP="008E2DC9">
      <w:pPr>
        <w:pStyle w:val="ListParagraph"/>
        <w:numPr>
          <w:ilvl w:val="0"/>
          <w:numId w:val="6"/>
        </w:numPr>
        <w:jc w:val="both"/>
        <w:rPr>
          <w:rFonts w:asciiTheme="minorHAnsi" w:hAnsiTheme="minorHAnsi" w:cstheme="minorHAnsi"/>
          <w:szCs w:val="24"/>
        </w:rPr>
      </w:pPr>
      <w:r w:rsidRPr="00C86C71">
        <w:rPr>
          <w:rFonts w:asciiTheme="minorHAnsi" w:hAnsiTheme="minorHAnsi" w:cstheme="minorHAnsi"/>
          <w:szCs w:val="24"/>
        </w:rPr>
        <w:t xml:space="preserve">CAPE has </w:t>
      </w:r>
      <w:r w:rsidR="0095501D" w:rsidRPr="00C86C71">
        <w:rPr>
          <w:rFonts w:asciiTheme="minorHAnsi" w:hAnsiTheme="minorHAnsi" w:cstheme="minorHAnsi"/>
          <w:szCs w:val="24"/>
        </w:rPr>
        <w:t xml:space="preserve">also </w:t>
      </w:r>
      <w:r w:rsidRPr="00C86C71">
        <w:rPr>
          <w:rFonts w:asciiTheme="minorHAnsi" w:hAnsiTheme="minorHAnsi" w:cstheme="minorHAnsi"/>
          <w:szCs w:val="24"/>
        </w:rPr>
        <w:t>been part of a wide</w:t>
      </w:r>
      <w:r w:rsidR="0095501D" w:rsidRPr="00C86C71">
        <w:rPr>
          <w:rFonts w:asciiTheme="minorHAnsi" w:hAnsiTheme="minorHAnsi" w:cstheme="minorHAnsi"/>
          <w:szCs w:val="24"/>
        </w:rPr>
        <w:t>r cross-government interest in behaviour change and i</w:t>
      </w:r>
      <w:r w:rsidR="00C86C71" w:rsidRPr="00C86C71">
        <w:rPr>
          <w:rFonts w:asciiTheme="minorHAnsi" w:hAnsiTheme="minorHAnsi" w:cstheme="minorHAnsi"/>
          <w:szCs w:val="24"/>
        </w:rPr>
        <w:t>nsights. T</w:t>
      </w:r>
      <w:r w:rsidR="00003B2B" w:rsidRPr="00C86C71">
        <w:rPr>
          <w:rFonts w:asciiTheme="minorHAnsi" w:hAnsiTheme="minorHAnsi" w:cstheme="minorHAnsi"/>
          <w:szCs w:val="24"/>
        </w:rPr>
        <w:t>he project draws on a range of expertise from other parts of government as well as regulators, and has contribu</w:t>
      </w:r>
      <w:r w:rsidR="007E747B" w:rsidRPr="00C86C71">
        <w:rPr>
          <w:rFonts w:asciiTheme="minorHAnsi" w:hAnsiTheme="minorHAnsi" w:cstheme="minorHAnsi"/>
          <w:szCs w:val="24"/>
        </w:rPr>
        <w:t>ted to the work of the Cross-</w:t>
      </w:r>
      <w:r w:rsidR="00003B2B" w:rsidRPr="00C86C71">
        <w:rPr>
          <w:rFonts w:asciiTheme="minorHAnsi" w:hAnsiTheme="minorHAnsi" w:cstheme="minorHAnsi"/>
          <w:szCs w:val="24"/>
        </w:rPr>
        <w:t>Gover</w:t>
      </w:r>
      <w:r w:rsidR="007E747B" w:rsidRPr="00C86C71">
        <w:rPr>
          <w:rFonts w:asciiTheme="minorHAnsi" w:hAnsiTheme="minorHAnsi" w:cstheme="minorHAnsi"/>
          <w:szCs w:val="24"/>
        </w:rPr>
        <w:t>nment Behaviour Change Network,</w:t>
      </w:r>
      <w:r w:rsidR="007E747B" w:rsidRPr="00C86C71">
        <w:rPr>
          <w:rStyle w:val="FootnoteReference"/>
          <w:rFonts w:asciiTheme="minorHAnsi" w:hAnsiTheme="minorHAnsi" w:cstheme="minorHAnsi"/>
          <w:szCs w:val="24"/>
        </w:rPr>
        <w:footnoteReference w:id="2"/>
      </w:r>
      <w:r w:rsidR="007E747B" w:rsidRPr="00C86C71">
        <w:rPr>
          <w:rFonts w:asciiTheme="minorHAnsi" w:hAnsiTheme="minorHAnsi" w:cstheme="minorHAnsi"/>
          <w:szCs w:val="24"/>
        </w:rPr>
        <w:t xml:space="preserve"> </w:t>
      </w:r>
      <w:r w:rsidR="0095501D" w:rsidRPr="00C86C71">
        <w:rPr>
          <w:rFonts w:asciiTheme="minorHAnsi" w:hAnsiTheme="minorHAnsi" w:cstheme="minorHAnsi"/>
          <w:szCs w:val="24"/>
        </w:rPr>
        <w:t>as well as to wider government</w:t>
      </w:r>
      <w:r w:rsidR="007E747B" w:rsidRPr="00C86C71">
        <w:rPr>
          <w:rFonts w:asciiTheme="minorHAnsi" w:hAnsiTheme="minorHAnsi" w:cstheme="minorHAnsi"/>
          <w:szCs w:val="24"/>
        </w:rPr>
        <w:t xml:space="preserve"> equalities </w:t>
      </w:r>
      <w:r w:rsidR="009D424E" w:rsidRPr="00C86C71">
        <w:rPr>
          <w:rFonts w:asciiTheme="minorHAnsi" w:hAnsiTheme="minorHAnsi" w:cstheme="minorHAnsi"/>
          <w:szCs w:val="24"/>
        </w:rPr>
        <w:t xml:space="preserve">challenges and </w:t>
      </w:r>
      <w:r w:rsidR="007E747B" w:rsidRPr="00C86C71">
        <w:rPr>
          <w:rFonts w:asciiTheme="minorHAnsi" w:hAnsiTheme="minorHAnsi" w:cstheme="minorHAnsi"/>
          <w:szCs w:val="24"/>
        </w:rPr>
        <w:t>policies.</w:t>
      </w:r>
      <w:r w:rsidR="007E747B" w:rsidRPr="00C86C71">
        <w:rPr>
          <w:rStyle w:val="FootnoteReference"/>
          <w:rFonts w:asciiTheme="minorHAnsi" w:hAnsiTheme="minorHAnsi" w:cstheme="minorHAnsi"/>
          <w:szCs w:val="24"/>
        </w:rPr>
        <w:footnoteReference w:id="3"/>
      </w:r>
    </w:p>
    <w:p w14:paraId="0502BA8D" w14:textId="77777777" w:rsidR="008E2DC9" w:rsidRPr="008E2DC9" w:rsidRDefault="008E2DC9" w:rsidP="008E2DC9">
      <w:pPr>
        <w:pStyle w:val="ListParagraph"/>
        <w:rPr>
          <w:rFonts w:asciiTheme="minorHAnsi" w:hAnsiTheme="minorHAnsi" w:cstheme="minorHAnsi"/>
          <w:szCs w:val="24"/>
        </w:rPr>
      </w:pPr>
    </w:p>
    <w:p w14:paraId="1F4F4A69" w14:textId="49687742" w:rsidR="009D424E" w:rsidRPr="008E2DC9" w:rsidRDefault="009D424E" w:rsidP="008E2DC9">
      <w:pPr>
        <w:pStyle w:val="ListParagraph"/>
        <w:numPr>
          <w:ilvl w:val="0"/>
          <w:numId w:val="6"/>
        </w:numPr>
        <w:jc w:val="both"/>
        <w:rPr>
          <w:rFonts w:asciiTheme="minorHAnsi" w:hAnsiTheme="minorHAnsi" w:cstheme="minorHAnsi"/>
          <w:szCs w:val="24"/>
        </w:rPr>
      </w:pPr>
      <w:r w:rsidRPr="008E2DC9">
        <w:rPr>
          <w:rFonts w:asciiTheme="minorHAnsi" w:hAnsiTheme="minorHAnsi" w:cstheme="minorHAnsi"/>
          <w:szCs w:val="24"/>
        </w:rPr>
        <w:t xml:space="preserve">The project was structured into three phases. Phase 1 (January-April 2013) focused on research and evidence to deliver an interim analytical report, spanning a range of issues underpinning behaviour change and additionally identifying specific relevance to equalities challenges and policies. Phase 2 (May-October) concentrated on policy consulting in respect of three priority policy areas for GEO. The final phase (November-December) comprised dissemination and exchange across GEO, DCMS </w:t>
      </w:r>
      <w:r w:rsidRPr="008E2DC9">
        <w:rPr>
          <w:rFonts w:asciiTheme="minorHAnsi" w:hAnsiTheme="minorHAnsi" w:cstheme="minorHAnsi"/>
          <w:szCs w:val="24"/>
        </w:rPr>
        <w:lastRenderedPageBreak/>
        <w:t>and others,</w:t>
      </w:r>
      <w:r w:rsidR="008E2DC9">
        <w:rPr>
          <w:rStyle w:val="FootnoteReference"/>
          <w:rFonts w:asciiTheme="minorHAnsi" w:hAnsiTheme="minorHAnsi" w:cstheme="minorHAnsi"/>
          <w:szCs w:val="24"/>
        </w:rPr>
        <w:footnoteReference w:id="4"/>
      </w:r>
      <w:r w:rsidRPr="008E2DC9">
        <w:rPr>
          <w:rFonts w:asciiTheme="minorHAnsi" w:hAnsiTheme="minorHAnsi" w:cstheme="minorHAnsi"/>
          <w:szCs w:val="24"/>
        </w:rPr>
        <w:t xml:space="preserve"> highlighting practical knowledge, skills and tools for further work beyond the fellowship.</w:t>
      </w:r>
    </w:p>
    <w:p w14:paraId="2BCDD0E4" w14:textId="77777777" w:rsidR="009C726A" w:rsidRPr="009C726A" w:rsidRDefault="009C726A" w:rsidP="009C726A">
      <w:pPr>
        <w:pStyle w:val="ListParagraph"/>
        <w:rPr>
          <w:rFonts w:asciiTheme="minorHAnsi" w:hAnsiTheme="minorHAnsi" w:cstheme="minorHAnsi"/>
          <w:szCs w:val="24"/>
        </w:rPr>
      </w:pPr>
    </w:p>
    <w:p w14:paraId="4EB25E05" w14:textId="75860304" w:rsidR="009C726A" w:rsidRPr="00C15420" w:rsidRDefault="009C726A" w:rsidP="009E7669">
      <w:pPr>
        <w:pStyle w:val="ListParagraph"/>
        <w:numPr>
          <w:ilvl w:val="0"/>
          <w:numId w:val="6"/>
        </w:numPr>
        <w:jc w:val="both"/>
        <w:rPr>
          <w:rFonts w:asciiTheme="minorHAnsi" w:hAnsiTheme="minorHAnsi" w:cstheme="minorHAnsi"/>
          <w:szCs w:val="24"/>
        </w:rPr>
      </w:pPr>
      <w:r w:rsidRPr="00C15420">
        <w:rPr>
          <w:rFonts w:asciiTheme="minorHAnsi" w:hAnsiTheme="minorHAnsi" w:cstheme="minorHAnsi"/>
          <w:szCs w:val="24"/>
        </w:rPr>
        <w:t>This report is presented in four main parts. Following a scene-setting introduction, these are:</w:t>
      </w:r>
    </w:p>
    <w:p w14:paraId="65FAC4D7" w14:textId="77777777" w:rsidR="009C726A" w:rsidRPr="00C15420" w:rsidRDefault="009C726A" w:rsidP="009C726A">
      <w:pPr>
        <w:pStyle w:val="ListParagraph"/>
        <w:rPr>
          <w:rFonts w:asciiTheme="minorHAnsi" w:hAnsiTheme="minorHAnsi" w:cstheme="minorHAnsi"/>
          <w:szCs w:val="24"/>
        </w:rPr>
      </w:pPr>
    </w:p>
    <w:p w14:paraId="4358C8F1" w14:textId="2D5FB346" w:rsidR="009C726A" w:rsidRPr="00C15420" w:rsidRDefault="009C726A" w:rsidP="009E7669">
      <w:pPr>
        <w:pStyle w:val="ListParagraph"/>
        <w:numPr>
          <w:ilvl w:val="0"/>
          <w:numId w:val="18"/>
        </w:numPr>
        <w:jc w:val="both"/>
        <w:rPr>
          <w:rFonts w:asciiTheme="minorHAnsi" w:hAnsiTheme="minorHAnsi" w:cstheme="minorHAnsi"/>
          <w:szCs w:val="24"/>
        </w:rPr>
      </w:pPr>
      <w:r w:rsidRPr="00C15420">
        <w:rPr>
          <w:rFonts w:asciiTheme="minorHAnsi" w:hAnsiTheme="minorHAnsi" w:cstheme="minorHAnsi"/>
          <w:szCs w:val="24"/>
        </w:rPr>
        <w:t>Chapter one looks at how people’s behaviour is un</w:t>
      </w:r>
      <w:r w:rsidR="006108CE" w:rsidRPr="00C15420">
        <w:rPr>
          <w:rFonts w:asciiTheme="minorHAnsi" w:hAnsiTheme="minorHAnsi" w:cstheme="minorHAnsi"/>
          <w:szCs w:val="24"/>
        </w:rPr>
        <w:t>derstood in the real world, noting that classical rationality appears to miss much of what is important</w:t>
      </w:r>
      <w:r w:rsidR="00092BD3">
        <w:rPr>
          <w:rFonts w:asciiTheme="minorHAnsi" w:hAnsiTheme="minorHAnsi" w:cstheme="minorHAnsi"/>
          <w:szCs w:val="24"/>
        </w:rPr>
        <w:t>.</w:t>
      </w:r>
    </w:p>
    <w:p w14:paraId="305124F3" w14:textId="0CABCC6A" w:rsidR="009C726A" w:rsidRPr="00C15420" w:rsidRDefault="009C726A" w:rsidP="009E7669">
      <w:pPr>
        <w:pStyle w:val="ListParagraph"/>
        <w:numPr>
          <w:ilvl w:val="0"/>
          <w:numId w:val="18"/>
        </w:numPr>
        <w:jc w:val="both"/>
        <w:rPr>
          <w:rFonts w:asciiTheme="minorHAnsi" w:hAnsiTheme="minorHAnsi" w:cstheme="minorHAnsi"/>
          <w:szCs w:val="24"/>
        </w:rPr>
      </w:pPr>
      <w:r w:rsidRPr="00C15420">
        <w:rPr>
          <w:rFonts w:asciiTheme="minorHAnsi" w:hAnsiTheme="minorHAnsi" w:cstheme="minorHAnsi"/>
          <w:szCs w:val="24"/>
        </w:rPr>
        <w:t>Chapter two build</w:t>
      </w:r>
      <w:r w:rsidR="00092BD3">
        <w:rPr>
          <w:rFonts w:asciiTheme="minorHAnsi" w:hAnsiTheme="minorHAnsi" w:cstheme="minorHAnsi"/>
          <w:szCs w:val="24"/>
        </w:rPr>
        <w:t>s</w:t>
      </w:r>
      <w:r w:rsidRPr="00C15420">
        <w:rPr>
          <w:rFonts w:asciiTheme="minorHAnsi" w:hAnsiTheme="minorHAnsi" w:cstheme="minorHAnsi"/>
          <w:szCs w:val="24"/>
        </w:rPr>
        <w:t xml:space="preserve"> on this and focuses on </w:t>
      </w:r>
      <w:r w:rsidR="006108CE" w:rsidRPr="00C15420">
        <w:rPr>
          <w:rFonts w:asciiTheme="minorHAnsi" w:hAnsiTheme="minorHAnsi" w:cstheme="minorHAnsi"/>
          <w:szCs w:val="24"/>
        </w:rPr>
        <w:t>what this means for policy-makers grappling with complex problems</w:t>
      </w:r>
      <w:r w:rsidR="008C4DAB" w:rsidRPr="00C15420">
        <w:rPr>
          <w:rFonts w:asciiTheme="minorHAnsi" w:hAnsiTheme="minorHAnsi" w:cstheme="minorHAnsi"/>
          <w:szCs w:val="24"/>
        </w:rPr>
        <w:t>. It shows h</w:t>
      </w:r>
      <w:r w:rsidR="006108CE" w:rsidRPr="00C15420">
        <w:rPr>
          <w:rFonts w:asciiTheme="minorHAnsi" w:hAnsiTheme="minorHAnsi" w:cstheme="minorHAnsi"/>
          <w:szCs w:val="24"/>
        </w:rPr>
        <w:t>ow a wo</w:t>
      </w:r>
      <w:r w:rsidR="008C4DAB" w:rsidRPr="00C15420">
        <w:rPr>
          <w:rFonts w:asciiTheme="minorHAnsi" w:hAnsiTheme="minorHAnsi" w:cstheme="minorHAnsi"/>
          <w:szCs w:val="24"/>
        </w:rPr>
        <w:t>rkable theory of change can assist</w:t>
      </w:r>
      <w:r w:rsidR="006108CE" w:rsidRPr="00C15420">
        <w:rPr>
          <w:rFonts w:asciiTheme="minorHAnsi" w:hAnsiTheme="minorHAnsi" w:cstheme="minorHAnsi"/>
          <w:szCs w:val="24"/>
        </w:rPr>
        <w:t>, and an array of evidence to suggest that</w:t>
      </w:r>
      <w:r w:rsidR="008C4DAB" w:rsidRPr="00C15420">
        <w:rPr>
          <w:rFonts w:asciiTheme="minorHAnsi" w:hAnsiTheme="minorHAnsi" w:cstheme="minorHAnsi"/>
          <w:szCs w:val="24"/>
        </w:rPr>
        <w:t>, if</w:t>
      </w:r>
      <w:r w:rsidR="006108CE" w:rsidRPr="00C15420">
        <w:rPr>
          <w:rFonts w:asciiTheme="minorHAnsi" w:hAnsiTheme="minorHAnsi" w:cstheme="minorHAnsi"/>
          <w:szCs w:val="24"/>
        </w:rPr>
        <w:t xml:space="preserve"> behaviour can follow unusual and unexpected cues</w:t>
      </w:r>
      <w:r w:rsidR="008C4DAB" w:rsidRPr="00C15420">
        <w:rPr>
          <w:rFonts w:asciiTheme="minorHAnsi" w:hAnsiTheme="minorHAnsi" w:cstheme="minorHAnsi"/>
          <w:szCs w:val="24"/>
        </w:rPr>
        <w:t>, it can also be influenced in similar ways.</w:t>
      </w:r>
    </w:p>
    <w:p w14:paraId="5B474E21" w14:textId="77777777" w:rsidR="00C15420" w:rsidRDefault="006108CE" w:rsidP="00C15420">
      <w:pPr>
        <w:pStyle w:val="ListParagraph"/>
        <w:numPr>
          <w:ilvl w:val="0"/>
          <w:numId w:val="18"/>
        </w:numPr>
        <w:jc w:val="both"/>
        <w:rPr>
          <w:rFonts w:asciiTheme="minorHAnsi" w:hAnsiTheme="minorHAnsi" w:cstheme="minorHAnsi"/>
          <w:szCs w:val="24"/>
        </w:rPr>
      </w:pPr>
      <w:r w:rsidRPr="00C15420">
        <w:rPr>
          <w:rFonts w:asciiTheme="minorHAnsi" w:hAnsiTheme="minorHAnsi" w:cstheme="minorHAnsi"/>
          <w:szCs w:val="24"/>
        </w:rPr>
        <w:t>Chapter three drills into a number of on-going policy priorities for GEO. Taking each in turn, the chapter provides a connection to relevant behaviour change insights, explaining how these can be incorporated into policy and delivery.</w:t>
      </w:r>
    </w:p>
    <w:p w14:paraId="5E6D90BE" w14:textId="598D2DF7" w:rsidR="006108CE" w:rsidRPr="00C15420" w:rsidRDefault="006108CE" w:rsidP="00C15420">
      <w:pPr>
        <w:pStyle w:val="ListParagraph"/>
        <w:numPr>
          <w:ilvl w:val="0"/>
          <w:numId w:val="18"/>
        </w:numPr>
        <w:jc w:val="both"/>
        <w:rPr>
          <w:rFonts w:asciiTheme="minorHAnsi" w:hAnsiTheme="minorHAnsi" w:cstheme="minorHAnsi"/>
          <w:szCs w:val="24"/>
        </w:rPr>
      </w:pPr>
      <w:r w:rsidRPr="00C15420">
        <w:rPr>
          <w:rFonts w:asciiTheme="minorHAnsi" w:hAnsiTheme="minorHAnsi" w:cstheme="minorHAnsi"/>
          <w:szCs w:val="24"/>
        </w:rPr>
        <w:t xml:space="preserve">Chapter four pulls together these policy applications and </w:t>
      </w:r>
      <w:r w:rsidR="008C4DAB" w:rsidRPr="00C15420">
        <w:rPr>
          <w:rFonts w:asciiTheme="minorHAnsi" w:hAnsiTheme="minorHAnsi" w:cstheme="minorHAnsi"/>
          <w:szCs w:val="24"/>
        </w:rPr>
        <w:t>underlying principles</w:t>
      </w:r>
      <w:r w:rsidRPr="00C15420">
        <w:rPr>
          <w:rFonts w:asciiTheme="minorHAnsi" w:hAnsiTheme="minorHAnsi" w:cstheme="minorHAnsi"/>
          <w:szCs w:val="24"/>
        </w:rPr>
        <w:t xml:space="preserve"> to offer some generic lessons for GEO policy-making in the future</w:t>
      </w:r>
      <w:r w:rsidR="008C4DAB" w:rsidRPr="00C15420">
        <w:rPr>
          <w:rFonts w:asciiTheme="minorHAnsi" w:hAnsiTheme="minorHAnsi" w:cstheme="minorHAnsi"/>
          <w:szCs w:val="24"/>
        </w:rPr>
        <w:t>.</w:t>
      </w:r>
    </w:p>
    <w:p w14:paraId="474687D8" w14:textId="0EEA667A" w:rsidR="00290E6B" w:rsidRPr="008C4DAB" w:rsidRDefault="00290E6B" w:rsidP="00B52451">
      <w:pPr>
        <w:pStyle w:val="Heading1"/>
        <w:rPr>
          <w:rFonts w:asciiTheme="minorHAnsi" w:hAnsiTheme="minorHAnsi" w:cstheme="minorHAnsi"/>
        </w:rPr>
      </w:pPr>
      <w:r w:rsidRPr="008C4DAB">
        <w:rPr>
          <w:rFonts w:asciiTheme="minorHAnsi" w:hAnsiTheme="minorHAnsi" w:cstheme="minorHAnsi"/>
        </w:rPr>
        <w:br w:type="page"/>
      </w:r>
    </w:p>
    <w:p w14:paraId="27191EEB" w14:textId="0A53ADFD" w:rsidR="00696105" w:rsidRDefault="00696105" w:rsidP="00696105">
      <w:pPr>
        <w:pStyle w:val="Heading1"/>
      </w:pPr>
      <w:bookmarkStart w:id="3" w:name="_Toc378323549"/>
      <w:r>
        <w:lastRenderedPageBreak/>
        <w:t>Introduction</w:t>
      </w:r>
      <w:bookmarkEnd w:id="2"/>
      <w:bookmarkEnd w:id="3"/>
    </w:p>
    <w:p w14:paraId="27191EEC" w14:textId="77777777" w:rsidR="00696105" w:rsidRDefault="00696105" w:rsidP="00696105"/>
    <w:p w14:paraId="6D76108C" w14:textId="39F93AF6" w:rsidR="002F436B" w:rsidRDefault="00634EB8" w:rsidP="00505BE0">
      <w:pPr>
        <w:pStyle w:val="ListParagraph"/>
        <w:numPr>
          <w:ilvl w:val="0"/>
          <w:numId w:val="6"/>
        </w:numPr>
        <w:jc w:val="both"/>
        <w:rPr>
          <w:rFonts w:asciiTheme="minorHAnsi" w:hAnsiTheme="minorHAnsi" w:cs="Times New Roman"/>
        </w:rPr>
      </w:pPr>
      <w:r w:rsidRPr="005B28CA">
        <w:rPr>
          <w:rFonts w:asciiTheme="minorHAnsi" w:hAnsiTheme="minorHAnsi" w:cs="Times New Roman"/>
        </w:rPr>
        <w:t xml:space="preserve">Legislative and statutory means have come under increasing scrutiny as primary tools for policy-making </w:t>
      </w:r>
      <w:r w:rsidR="000F371B">
        <w:rPr>
          <w:rFonts w:asciiTheme="minorHAnsi" w:hAnsiTheme="minorHAnsi" w:cs="Times New Roman"/>
        </w:rPr>
        <w:t>in the UK over recent years, in</w:t>
      </w:r>
      <w:r w:rsidRPr="005B28CA">
        <w:rPr>
          <w:rFonts w:asciiTheme="minorHAnsi" w:hAnsiTheme="minorHAnsi" w:cs="Times New Roman"/>
        </w:rPr>
        <w:t xml:space="preserve"> part due to the Coalition Government’s goal to reduce regulatory burdens on business and society as a whole. </w:t>
      </w:r>
      <w:r>
        <w:rPr>
          <w:rFonts w:asciiTheme="minorHAnsi" w:hAnsiTheme="minorHAnsi" w:cs="Times New Roman"/>
        </w:rPr>
        <w:t>The Coalition Government is committed to making maximum use of behaviour</w:t>
      </w:r>
      <w:r w:rsidR="006C75CC">
        <w:rPr>
          <w:rFonts w:asciiTheme="minorHAnsi" w:hAnsiTheme="minorHAnsi" w:cs="Times New Roman"/>
        </w:rPr>
        <w:t xml:space="preserve"> </w:t>
      </w:r>
      <w:r>
        <w:rPr>
          <w:rFonts w:asciiTheme="minorHAnsi" w:hAnsiTheme="minorHAnsi" w:cs="Times New Roman"/>
        </w:rPr>
        <w:t>change techniques as part of its toolkit for p</w:t>
      </w:r>
      <w:r w:rsidR="002F436B">
        <w:rPr>
          <w:rFonts w:asciiTheme="minorHAnsi" w:hAnsiTheme="minorHAnsi" w:cs="Times New Roman"/>
        </w:rPr>
        <w:t>romoting effective policy design</w:t>
      </w:r>
      <w:r w:rsidR="009D424E">
        <w:rPr>
          <w:rFonts w:asciiTheme="minorHAnsi" w:hAnsiTheme="minorHAnsi" w:cs="Times New Roman"/>
        </w:rPr>
        <w:t>, enhancing positive po</w:t>
      </w:r>
      <w:r w:rsidR="002F436B">
        <w:rPr>
          <w:rFonts w:asciiTheme="minorHAnsi" w:hAnsiTheme="minorHAnsi" w:cs="Times New Roman"/>
        </w:rPr>
        <w:t>licy impacts,</w:t>
      </w:r>
      <w:r>
        <w:rPr>
          <w:rFonts w:asciiTheme="minorHAnsi" w:hAnsiTheme="minorHAnsi" w:cs="Times New Roman"/>
        </w:rPr>
        <w:t xml:space="preserve"> modern</w:t>
      </w:r>
      <w:r w:rsidR="00077B11">
        <w:rPr>
          <w:rFonts w:asciiTheme="minorHAnsi" w:hAnsiTheme="minorHAnsi" w:cs="Times New Roman"/>
        </w:rPr>
        <w:t>ising</w:t>
      </w:r>
      <w:r>
        <w:rPr>
          <w:rFonts w:asciiTheme="minorHAnsi" w:hAnsiTheme="minorHAnsi" w:cs="Times New Roman"/>
        </w:rPr>
        <w:t xml:space="preserve"> regulation</w:t>
      </w:r>
      <w:r w:rsidR="002F436B">
        <w:rPr>
          <w:rFonts w:asciiTheme="minorHAnsi" w:hAnsiTheme="minorHAnsi" w:cs="Times New Roman"/>
        </w:rPr>
        <w:t xml:space="preserve"> and supporting open or joint policy-making</w:t>
      </w:r>
      <w:r>
        <w:rPr>
          <w:rFonts w:asciiTheme="minorHAnsi" w:hAnsiTheme="minorHAnsi" w:cs="Times New Roman"/>
        </w:rPr>
        <w:t>.</w:t>
      </w:r>
      <w:r w:rsidR="007E747B">
        <w:rPr>
          <w:rStyle w:val="FootnoteReference"/>
          <w:rFonts w:asciiTheme="minorHAnsi" w:hAnsiTheme="minorHAnsi" w:cs="Times New Roman"/>
        </w:rPr>
        <w:footnoteReference w:id="5"/>
      </w:r>
      <w:r>
        <w:rPr>
          <w:rFonts w:asciiTheme="minorHAnsi" w:hAnsiTheme="minorHAnsi" w:cs="Times New Roman"/>
        </w:rPr>
        <w:t xml:space="preserve"> </w:t>
      </w:r>
      <w:r w:rsidR="003F2B8B">
        <w:rPr>
          <w:rFonts w:asciiTheme="minorHAnsi" w:hAnsiTheme="minorHAnsi" w:cs="Times New Roman"/>
        </w:rPr>
        <w:t>However,</w:t>
      </w:r>
      <w:r w:rsidRPr="005B28CA">
        <w:rPr>
          <w:rFonts w:asciiTheme="minorHAnsi" w:hAnsiTheme="minorHAnsi" w:cs="Times New Roman"/>
        </w:rPr>
        <w:t xml:space="preserve"> ensuring that modern regulation is</w:t>
      </w:r>
      <w:r>
        <w:rPr>
          <w:rFonts w:asciiTheme="minorHAnsi" w:hAnsiTheme="minorHAnsi" w:cs="Times New Roman"/>
        </w:rPr>
        <w:t xml:space="preserve"> strategically</w:t>
      </w:r>
      <w:r w:rsidRPr="005B28CA">
        <w:rPr>
          <w:rFonts w:asciiTheme="minorHAnsi" w:hAnsiTheme="minorHAnsi" w:cs="Times New Roman"/>
        </w:rPr>
        <w:t xml:space="preserve"> targeted and not unduly </w:t>
      </w:r>
      <w:r w:rsidR="003F2B8B" w:rsidRPr="005B28CA">
        <w:rPr>
          <w:rFonts w:asciiTheme="minorHAnsi" w:hAnsiTheme="minorHAnsi" w:cs="Times New Roman"/>
        </w:rPr>
        <w:t>burdensome</w:t>
      </w:r>
      <w:r w:rsidRPr="005B28CA">
        <w:rPr>
          <w:rFonts w:asciiTheme="minorHAnsi" w:hAnsiTheme="minorHAnsi" w:cs="Times New Roman"/>
        </w:rPr>
        <w:t xml:space="preserve"> predates the current Government. </w:t>
      </w:r>
    </w:p>
    <w:p w14:paraId="0C574022" w14:textId="77777777" w:rsidR="002F436B" w:rsidRDefault="002F436B" w:rsidP="002F436B">
      <w:pPr>
        <w:pStyle w:val="ListParagraph"/>
        <w:jc w:val="both"/>
        <w:rPr>
          <w:rFonts w:asciiTheme="minorHAnsi" w:hAnsiTheme="minorHAnsi" w:cs="Times New Roman"/>
        </w:rPr>
      </w:pPr>
    </w:p>
    <w:p w14:paraId="01B0B645" w14:textId="4F1D6C0E" w:rsidR="00C15420" w:rsidRDefault="00713FD0" w:rsidP="00505BE0">
      <w:pPr>
        <w:pStyle w:val="ListParagraph"/>
        <w:numPr>
          <w:ilvl w:val="0"/>
          <w:numId w:val="6"/>
        </w:numPr>
        <w:jc w:val="both"/>
        <w:rPr>
          <w:rFonts w:asciiTheme="minorHAnsi" w:hAnsiTheme="minorHAnsi" w:cs="Times New Roman"/>
        </w:rPr>
      </w:pPr>
      <w:r>
        <w:rPr>
          <w:rFonts w:asciiTheme="minorHAnsi" w:hAnsiTheme="minorHAnsi" w:cs="Times New Roman"/>
        </w:rPr>
        <w:t xml:space="preserve">In this context, </w:t>
      </w:r>
      <w:r w:rsidR="002F436B">
        <w:rPr>
          <w:rFonts w:asciiTheme="minorHAnsi" w:hAnsiTheme="minorHAnsi" w:cs="Times New Roman"/>
        </w:rPr>
        <w:t xml:space="preserve">innovative </w:t>
      </w:r>
      <w:r w:rsidR="005D6373">
        <w:rPr>
          <w:rFonts w:asciiTheme="minorHAnsi" w:hAnsiTheme="minorHAnsi" w:cs="Times New Roman"/>
        </w:rPr>
        <w:t>approaches based on behaviour change</w:t>
      </w:r>
      <w:r w:rsidR="002F436B">
        <w:rPr>
          <w:rFonts w:asciiTheme="minorHAnsi" w:hAnsiTheme="minorHAnsi" w:cs="Times New Roman"/>
        </w:rPr>
        <w:t>,</w:t>
      </w:r>
      <w:r w:rsidR="00634EB8" w:rsidRPr="00713FD0">
        <w:rPr>
          <w:rFonts w:asciiTheme="minorHAnsi" w:hAnsiTheme="minorHAnsi" w:cs="Times New Roman"/>
        </w:rPr>
        <w:t xml:space="preserve"> or ‘nudging’</w:t>
      </w:r>
      <w:r w:rsidR="002F436B">
        <w:rPr>
          <w:rFonts w:asciiTheme="minorHAnsi" w:hAnsiTheme="minorHAnsi" w:cs="Times New Roman"/>
        </w:rPr>
        <w:t>,</w:t>
      </w:r>
      <w:r w:rsidR="00634EB8" w:rsidRPr="00713FD0">
        <w:rPr>
          <w:rFonts w:asciiTheme="minorHAnsi" w:hAnsiTheme="minorHAnsi" w:cs="Times New Roman"/>
        </w:rPr>
        <w:t xml:space="preserve"> have been identified as promising alternatives or complements</w:t>
      </w:r>
      <w:r w:rsidR="00634EB8" w:rsidRPr="00713FD0">
        <w:rPr>
          <w:rFonts w:asciiTheme="minorHAnsi" w:hAnsiTheme="minorHAnsi" w:cs="Times New Roman"/>
          <w:i/>
        </w:rPr>
        <w:t xml:space="preserve"> </w:t>
      </w:r>
      <w:r w:rsidR="00634EB8" w:rsidRPr="00713FD0">
        <w:rPr>
          <w:rFonts w:asciiTheme="minorHAnsi" w:hAnsiTheme="minorHAnsi" w:cs="Times New Roman"/>
        </w:rPr>
        <w:t xml:space="preserve">to </w:t>
      </w:r>
      <w:r w:rsidR="002F436B">
        <w:rPr>
          <w:rFonts w:asciiTheme="minorHAnsi" w:hAnsiTheme="minorHAnsi" w:cs="Times New Roman"/>
        </w:rPr>
        <w:t>legislation. T</w:t>
      </w:r>
      <w:r w:rsidR="00634EB8" w:rsidRPr="00713FD0">
        <w:rPr>
          <w:rFonts w:asciiTheme="minorHAnsi" w:hAnsiTheme="minorHAnsi" w:cs="Times New Roman"/>
        </w:rPr>
        <w:t xml:space="preserve">hese approaches aim to apply lessons from behavioural economics </w:t>
      </w:r>
      <w:r w:rsidR="00077B11">
        <w:rPr>
          <w:rFonts w:asciiTheme="minorHAnsi" w:hAnsiTheme="minorHAnsi" w:cs="Times New Roman"/>
        </w:rPr>
        <w:t xml:space="preserve">and psychology, </w:t>
      </w:r>
      <w:r w:rsidR="00634EB8" w:rsidRPr="00713FD0">
        <w:rPr>
          <w:rFonts w:asciiTheme="minorHAnsi" w:hAnsiTheme="minorHAnsi" w:cs="Times New Roman"/>
        </w:rPr>
        <w:t>and the wider behavioural science literature</w:t>
      </w:r>
      <w:r w:rsidR="00077B11">
        <w:rPr>
          <w:rFonts w:asciiTheme="minorHAnsi" w:hAnsiTheme="minorHAnsi" w:cs="Times New Roman"/>
        </w:rPr>
        <w:t>,</w:t>
      </w:r>
      <w:r w:rsidR="00634EB8" w:rsidRPr="00713FD0">
        <w:rPr>
          <w:rFonts w:asciiTheme="minorHAnsi" w:hAnsiTheme="minorHAnsi" w:cs="Times New Roman"/>
        </w:rPr>
        <w:t xml:space="preserve"> to affect outcomes that were previously approached </w:t>
      </w:r>
      <w:r w:rsidR="007E747B">
        <w:rPr>
          <w:rFonts w:asciiTheme="minorHAnsi" w:hAnsiTheme="minorHAnsi" w:cs="Times New Roman"/>
        </w:rPr>
        <w:t>largely through statutory means</w:t>
      </w:r>
      <w:r w:rsidR="00634EB8" w:rsidRPr="00713FD0">
        <w:rPr>
          <w:rFonts w:asciiTheme="minorHAnsi" w:hAnsiTheme="minorHAnsi" w:cs="Times New Roman"/>
        </w:rPr>
        <w:t>.</w:t>
      </w:r>
    </w:p>
    <w:p w14:paraId="7110BA11" w14:textId="77777777" w:rsidR="00C15420" w:rsidRPr="00C15420" w:rsidRDefault="00C15420" w:rsidP="00C15420">
      <w:pPr>
        <w:pStyle w:val="ListParagraph"/>
        <w:rPr>
          <w:rFonts w:asciiTheme="minorHAnsi" w:hAnsiTheme="minorHAnsi" w:cs="Times New Roman"/>
        </w:rPr>
      </w:pPr>
    </w:p>
    <w:p w14:paraId="6E582676" w14:textId="734D21A5" w:rsidR="00B81B93" w:rsidRPr="00C15420" w:rsidRDefault="00B81B93" w:rsidP="00505BE0">
      <w:pPr>
        <w:pStyle w:val="ListParagraph"/>
        <w:numPr>
          <w:ilvl w:val="0"/>
          <w:numId w:val="6"/>
        </w:numPr>
        <w:jc w:val="both"/>
        <w:rPr>
          <w:rFonts w:asciiTheme="minorHAnsi" w:hAnsiTheme="minorHAnsi" w:cs="Times New Roman"/>
        </w:rPr>
      </w:pPr>
      <w:r w:rsidRPr="00C15420">
        <w:rPr>
          <w:rFonts w:asciiTheme="minorHAnsi" w:hAnsiTheme="minorHAnsi" w:cs="Times New Roman"/>
        </w:rPr>
        <w:t>The CAPE project</w:t>
      </w:r>
      <w:r w:rsidR="00AB5FD6" w:rsidRPr="00C15420">
        <w:rPr>
          <w:rFonts w:asciiTheme="minorHAnsi" w:hAnsiTheme="minorHAnsi" w:cs="Times New Roman"/>
        </w:rPr>
        <w:t>’s</w:t>
      </w:r>
      <w:r w:rsidRPr="00C15420">
        <w:rPr>
          <w:rFonts w:asciiTheme="minorHAnsi" w:hAnsiTheme="minorHAnsi" w:cs="Times New Roman"/>
        </w:rPr>
        <w:t xml:space="preserve"> core aims are three-fold:</w:t>
      </w:r>
    </w:p>
    <w:p w14:paraId="5C9C9E0D" w14:textId="77777777" w:rsidR="009357E6" w:rsidRDefault="009357E6" w:rsidP="009357E6">
      <w:pPr>
        <w:pStyle w:val="ListParagraph"/>
        <w:spacing w:line="240" w:lineRule="auto"/>
        <w:ind w:left="1440"/>
        <w:jc w:val="both"/>
        <w:rPr>
          <w:rFonts w:asciiTheme="minorHAnsi" w:hAnsiTheme="minorHAnsi" w:cs="Times New Roman"/>
        </w:rPr>
      </w:pPr>
    </w:p>
    <w:p w14:paraId="12942E5F" w14:textId="77777777" w:rsidR="00B81B93" w:rsidRPr="00B81B93" w:rsidRDefault="00634EB8" w:rsidP="009E7669">
      <w:pPr>
        <w:pStyle w:val="ListParagraph"/>
        <w:numPr>
          <w:ilvl w:val="0"/>
          <w:numId w:val="10"/>
        </w:numPr>
        <w:spacing w:line="240" w:lineRule="auto"/>
        <w:jc w:val="both"/>
        <w:rPr>
          <w:rFonts w:asciiTheme="minorHAnsi" w:hAnsiTheme="minorHAnsi" w:cs="Times New Roman"/>
        </w:rPr>
      </w:pPr>
      <w:r w:rsidRPr="00B81B93">
        <w:rPr>
          <w:rFonts w:asciiTheme="minorHAnsi" w:hAnsiTheme="minorHAnsi" w:cs="Times New Roman"/>
        </w:rPr>
        <w:t>str</w:t>
      </w:r>
      <w:r w:rsidR="007E747B" w:rsidRPr="00B81B93">
        <w:rPr>
          <w:rFonts w:asciiTheme="minorHAnsi" w:hAnsiTheme="minorHAnsi" w:cs="Times New Roman"/>
        </w:rPr>
        <w:t>engthen GEO’s capability in the</w:t>
      </w:r>
      <w:r w:rsidRPr="00B81B93">
        <w:rPr>
          <w:rFonts w:asciiTheme="minorHAnsi" w:hAnsiTheme="minorHAnsi" w:cs="Times New Roman"/>
        </w:rPr>
        <w:t xml:space="preserve"> growing</w:t>
      </w:r>
      <w:r w:rsidR="007E747B" w:rsidRPr="00B81B93">
        <w:rPr>
          <w:rFonts w:asciiTheme="minorHAnsi" w:hAnsiTheme="minorHAnsi" w:cs="Times New Roman"/>
        </w:rPr>
        <w:t xml:space="preserve"> and timely</w:t>
      </w:r>
      <w:r w:rsidRPr="00B81B93">
        <w:rPr>
          <w:rFonts w:asciiTheme="minorHAnsi" w:hAnsiTheme="minorHAnsi" w:cs="Times New Roman"/>
        </w:rPr>
        <w:t xml:space="preserve"> field of behaviour change interventions;</w:t>
      </w:r>
    </w:p>
    <w:p w14:paraId="7F684810" w14:textId="77777777" w:rsidR="009357E6" w:rsidRDefault="009357E6" w:rsidP="009357E6">
      <w:pPr>
        <w:pStyle w:val="ListParagraph"/>
        <w:spacing w:line="240" w:lineRule="auto"/>
        <w:ind w:left="1440"/>
        <w:jc w:val="both"/>
        <w:rPr>
          <w:rFonts w:asciiTheme="minorHAnsi" w:hAnsiTheme="minorHAnsi" w:cs="Times New Roman"/>
        </w:rPr>
      </w:pPr>
    </w:p>
    <w:p w14:paraId="1559245E" w14:textId="77777777" w:rsidR="00B81B93" w:rsidRDefault="00634EB8" w:rsidP="009E7669">
      <w:pPr>
        <w:pStyle w:val="ListParagraph"/>
        <w:numPr>
          <w:ilvl w:val="0"/>
          <w:numId w:val="10"/>
        </w:numPr>
        <w:spacing w:line="240" w:lineRule="auto"/>
        <w:jc w:val="both"/>
        <w:rPr>
          <w:rFonts w:asciiTheme="minorHAnsi" w:hAnsiTheme="minorHAnsi" w:cs="Times New Roman"/>
        </w:rPr>
      </w:pPr>
      <w:r w:rsidRPr="00B81B93">
        <w:rPr>
          <w:rFonts w:asciiTheme="minorHAnsi" w:hAnsiTheme="minorHAnsi" w:cs="Times New Roman"/>
        </w:rPr>
        <w:t>improve GEO’s abi</w:t>
      </w:r>
      <w:r w:rsidR="00B81B93">
        <w:rPr>
          <w:rFonts w:asciiTheme="minorHAnsi" w:hAnsiTheme="minorHAnsi" w:cs="Times New Roman"/>
        </w:rPr>
        <w:t xml:space="preserve">lity to deliver </w:t>
      </w:r>
      <w:r w:rsidRPr="00B81B93">
        <w:rPr>
          <w:rFonts w:asciiTheme="minorHAnsi" w:hAnsiTheme="minorHAnsi" w:cs="Times New Roman"/>
        </w:rPr>
        <w:t>equalities outcomes</w:t>
      </w:r>
      <w:r w:rsidR="00807E62" w:rsidRPr="00B81B93">
        <w:rPr>
          <w:rFonts w:asciiTheme="minorHAnsi" w:hAnsiTheme="minorHAnsi" w:cs="Times New Roman"/>
        </w:rPr>
        <w:t xml:space="preserve"> in a broad range of policy areas</w:t>
      </w:r>
      <w:r w:rsidRPr="00B81B93">
        <w:rPr>
          <w:rFonts w:asciiTheme="minorHAnsi" w:hAnsiTheme="minorHAnsi" w:cs="Times New Roman"/>
        </w:rPr>
        <w:t>; and</w:t>
      </w:r>
    </w:p>
    <w:p w14:paraId="5EA18ADE" w14:textId="77777777" w:rsidR="009357E6" w:rsidRDefault="009357E6" w:rsidP="009357E6">
      <w:pPr>
        <w:pStyle w:val="ListParagraph"/>
        <w:spacing w:line="240" w:lineRule="auto"/>
        <w:ind w:left="1440"/>
        <w:jc w:val="both"/>
        <w:rPr>
          <w:rFonts w:asciiTheme="minorHAnsi" w:hAnsiTheme="minorHAnsi" w:cs="Times New Roman"/>
        </w:rPr>
      </w:pPr>
    </w:p>
    <w:p w14:paraId="02D15EB6" w14:textId="17D4E844" w:rsidR="007F1124" w:rsidRPr="00B81B93" w:rsidRDefault="00807E62" w:rsidP="009E7669">
      <w:pPr>
        <w:pStyle w:val="ListParagraph"/>
        <w:numPr>
          <w:ilvl w:val="0"/>
          <w:numId w:val="10"/>
        </w:numPr>
        <w:spacing w:line="240" w:lineRule="auto"/>
        <w:jc w:val="both"/>
        <w:rPr>
          <w:rFonts w:asciiTheme="minorHAnsi" w:hAnsiTheme="minorHAnsi" w:cs="Times New Roman"/>
        </w:rPr>
      </w:pPr>
      <w:proofErr w:type="gramStart"/>
      <w:r w:rsidRPr="00B81B93">
        <w:rPr>
          <w:rFonts w:asciiTheme="minorHAnsi" w:hAnsiTheme="minorHAnsi" w:cs="Times New Roman"/>
        </w:rPr>
        <w:t>enhance</w:t>
      </w:r>
      <w:proofErr w:type="gramEnd"/>
      <w:r w:rsidR="00634EB8" w:rsidRPr="00B81B93">
        <w:rPr>
          <w:rFonts w:asciiTheme="minorHAnsi" w:hAnsiTheme="minorHAnsi" w:cs="Times New Roman"/>
        </w:rPr>
        <w:t xml:space="preserve"> GEO’s reputation as a policy innovator across Government. </w:t>
      </w:r>
    </w:p>
    <w:p w14:paraId="5031955F" w14:textId="77777777" w:rsidR="007F1124" w:rsidRPr="00B81B93" w:rsidRDefault="007F1124" w:rsidP="00B81B93">
      <w:pPr>
        <w:pStyle w:val="ListParagraph"/>
        <w:spacing w:line="240" w:lineRule="auto"/>
        <w:rPr>
          <w:rFonts w:asciiTheme="minorHAnsi" w:hAnsiTheme="minorHAnsi" w:cs="Times New Roman"/>
        </w:rPr>
      </w:pPr>
    </w:p>
    <w:p w14:paraId="113ACD92" w14:textId="77777777" w:rsidR="00B81B93" w:rsidRDefault="00B81B93" w:rsidP="00505BE0">
      <w:pPr>
        <w:pStyle w:val="ListParagraph"/>
        <w:numPr>
          <w:ilvl w:val="0"/>
          <w:numId w:val="6"/>
        </w:numPr>
        <w:spacing w:line="240" w:lineRule="auto"/>
        <w:jc w:val="both"/>
        <w:rPr>
          <w:rFonts w:asciiTheme="minorHAnsi" w:hAnsiTheme="minorHAnsi" w:cs="Times New Roman"/>
        </w:rPr>
      </w:pPr>
      <w:r>
        <w:rPr>
          <w:rFonts w:asciiTheme="minorHAnsi" w:hAnsiTheme="minorHAnsi" w:cs="Times New Roman"/>
        </w:rPr>
        <w:t>CAPE delivers an evidence-</w:t>
      </w:r>
      <w:r w:rsidR="00634EB8" w:rsidRPr="00B81B93">
        <w:rPr>
          <w:rFonts w:asciiTheme="minorHAnsi" w:hAnsiTheme="minorHAnsi" w:cs="Times New Roman"/>
        </w:rPr>
        <w:t>based set of frameworks and tools for behaviour change interventions t</w:t>
      </w:r>
      <w:r>
        <w:rPr>
          <w:rFonts w:asciiTheme="minorHAnsi" w:hAnsiTheme="minorHAnsi" w:cs="Times New Roman"/>
        </w:rPr>
        <w:t>o achieve equalities outcomes</w:t>
      </w:r>
      <w:r w:rsidR="00634EB8" w:rsidRPr="00B81B93">
        <w:rPr>
          <w:rFonts w:asciiTheme="minorHAnsi" w:hAnsiTheme="minorHAnsi" w:cs="Times New Roman"/>
        </w:rPr>
        <w:t>. It draws on</w:t>
      </w:r>
      <w:r>
        <w:rPr>
          <w:rFonts w:asciiTheme="minorHAnsi" w:hAnsiTheme="minorHAnsi" w:cs="Times New Roman"/>
        </w:rPr>
        <w:t xml:space="preserve"> several methods as follows:</w:t>
      </w:r>
    </w:p>
    <w:p w14:paraId="76B7030F" w14:textId="77777777" w:rsidR="009357E6" w:rsidRDefault="009357E6" w:rsidP="009357E6">
      <w:pPr>
        <w:pStyle w:val="ListParagraph"/>
        <w:spacing w:line="240" w:lineRule="auto"/>
        <w:ind w:left="1499"/>
        <w:jc w:val="both"/>
        <w:rPr>
          <w:rFonts w:asciiTheme="minorHAnsi" w:hAnsiTheme="minorHAnsi" w:cs="Times New Roman"/>
        </w:rPr>
      </w:pPr>
    </w:p>
    <w:p w14:paraId="130E7F89" w14:textId="77777777" w:rsidR="00B81B93" w:rsidRDefault="00B81B93" w:rsidP="009E7669">
      <w:pPr>
        <w:pStyle w:val="ListParagraph"/>
        <w:numPr>
          <w:ilvl w:val="0"/>
          <w:numId w:val="11"/>
        </w:numPr>
        <w:spacing w:line="240" w:lineRule="auto"/>
        <w:jc w:val="both"/>
        <w:rPr>
          <w:rFonts w:asciiTheme="minorHAnsi" w:hAnsiTheme="minorHAnsi" w:cs="Times New Roman"/>
        </w:rPr>
      </w:pPr>
      <w:r>
        <w:rPr>
          <w:rFonts w:asciiTheme="minorHAnsi" w:hAnsiTheme="minorHAnsi" w:cs="Times New Roman"/>
        </w:rPr>
        <w:t xml:space="preserve">published </w:t>
      </w:r>
      <w:r w:rsidR="00634EB8" w:rsidRPr="00B81B93">
        <w:rPr>
          <w:rFonts w:asciiTheme="minorHAnsi" w:hAnsiTheme="minorHAnsi" w:cs="Times New Roman"/>
        </w:rPr>
        <w:t>academic</w:t>
      </w:r>
      <w:r w:rsidR="00634EB8" w:rsidRPr="005B28CA">
        <w:rPr>
          <w:rFonts w:asciiTheme="minorHAnsi" w:hAnsiTheme="minorHAnsi" w:cs="Times New Roman"/>
        </w:rPr>
        <w:t xml:space="preserve"> research</w:t>
      </w:r>
      <w:r>
        <w:rPr>
          <w:rFonts w:asciiTheme="minorHAnsi" w:hAnsiTheme="minorHAnsi" w:cs="Times New Roman"/>
        </w:rPr>
        <w:t xml:space="preserve"> as well as consultation with academics in key or novel fields of interest to the project;</w:t>
      </w:r>
    </w:p>
    <w:p w14:paraId="3FEFB913" w14:textId="77777777" w:rsidR="009357E6" w:rsidRDefault="009357E6" w:rsidP="009357E6">
      <w:pPr>
        <w:pStyle w:val="ListParagraph"/>
        <w:spacing w:line="240" w:lineRule="auto"/>
        <w:ind w:left="1499"/>
        <w:jc w:val="both"/>
        <w:rPr>
          <w:rFonts w:asciiTheme="minorHAnsi" w:hAnsiTheme="minorHAnsi" w:cs="Times New Roman"/>
        </w:rPr>
      </w:pPr>
    </w:p>
    <w:p w14:paraId="414C8499" w14:textId="58C1E474" w:rsidR="00B81B93" w:rsidRDefault="00B81B93" w:rsidP="009E7669">
      <w:pPr>
        <w:pStyle w:val="ListParagraph"/>
        <w:numPr>
          <w:ilvl w:val="0"/>
          <w:numId w:val="11"/>
        </w:numPr>
        <w:spacing w:line="240" w:lineRule="auto"/>
        <w:jc w:val="both"/>
        <w:rPr>
          <w:rFonts w:asciiTheme="minorHAnsi" w:hAnsiTheme="minorHAnsi" w:cs="Times New Roman"/>
        </w:rPr>
      </w:pPr>
      <w:r>
        <w:rPr>
          <w:rFonts w:asciiTheme="minorHAnsi" w:hAnsiTheme="minorHAnsi" w:cs="Times New Roman"/>
        </w:rPr>
        <w:t>publications of</w:t>
      </w:r>
      <w:r w:rsidR="00C15420">
        <w:rPr>
          <w:rFonts w:asciiTheme="minorHAnsi" w:hAnsiTheme="minorHAnsi" w:cs="Times New Roman"/>
        </w:rPr>
        <w:t xml:space="preserve"> </w:t>
      </w:r>
      <w:r>
        <w:rPr>
          <w:rFonts w:asciiTheme="minorHAnsi" w:hAnsiTheme="minorHAnsi" w:cs="Times New Roman"/>
        </w:rPr>
        <w:t>key think-tanks and foundations;</w:t>
      </w:r>
    </w:p>
    <w:p w14:paraId="65FD4292" w14:textId="77777777" w:rsidR="009357E6" w:rsidRDefault="009357E6" w:rsidP="009357E6">
      <w:pPr>
        <w:pStyle w:val="ListParagraph"/>
        <w:spacing w:line="240" w:lineRule="auto"/>
        <w:ind w:left="1499"/>
        <w:jc w:val="both"/>
        <w:rPr>
          <w:rFonts w:asciiTheme="minorHAnsi" w:hAnsiTheme="minorHAnsi" w:cs="Times New Roman"/>
        </w:rPr>
      </w:pPr>
    </w:p>
    <w:p w14:paraId="06C2B90E" w14:textId="6DE199BB" w:rsidR="00B81B93" w:rsidRDefault="00B81B93" w:rsidP="009E7669">
      <w:pPr>
        <w:pStyle w:val="ListParagraph"/>
        <w:numPr>
          <w:ilvl w:val="0"/>
          <w:numId w:val="11"/>
        </w:numPr>
        <w:spacing w:line="240" w:lineRule="auto"/>
        <w:jc w:val="both"/>
        <w:rPr>
          <w:rFonts w:asciiTheme="minorHAnsi" w:hAnsiTheme="minorHAnsi" w:cs="Times New Roman"/>
        </w:rPr>
      </w:pPr>
      <w:r>
        <w:rPr>
          <w:rFonts w:asciiTheme="minorHAnsi" w:hAnsiTheme="minorHAnsi" w:cs="Times New Roman"/>
        </w:rPr>
        <w:t>insights and innovations of regulatory agencies;</w:t>
      </w:r>
      <w:r w:rsidR="00261ECB">
        <w:rPr>
          <w:rStyle w:val="FootnoteReference"/>
          <w:rFonts w:asciiTheme="minorHAnsi" w:hAnsiTheme="minorHAnsi" w:cs="Times New Roman"/>
        </w:rPr>
        <w:footnoteReference w:id="6"/>
      </w:r>
    </w:p>
    <w:p w14:paraId="6A9BE62A" w14:textId="77777777" w:rsidR="009357E6" w:rsidRDefault="009357E6" w:rsidP="009357E6">
      <w:pPr>
        <w:pStyle w:val="ListParagraph"/>
        <w:spacing w:line="240" w:lineRule="auto"/>
        <w:ind w:left="1499"/>
        <w:jc w:val="both"/>
        <w:rPr>
          <w:rFonts w:asciiTheme="minorHAnsi" w:hAnsiTheme="minorHAnsi" w:cs="Times New Roman"/>
        </w:rPr>
      </w:pPr>
    </w:p>
    <w:p w14:paraId="13E746A4" w14:textId="06D48311" w:rsidR="00B81B93" w:rsidRDefault="005D6373" w:rsidP="009E7669">
      <w:pPr>
        <w:pStyle w:val="ListParagraph"/>
        <w:numPr>
          <w:ilvl w:val="0"/>
          <w:numId w:val="11"/>
        </w:numPr>
        <w:spacing w:line="240" w:lineRule="auto"/>
        <w:jc w:val="both"/>
        <w:rPr>
          <w:rFonts w:asciiTheme="minorHAnsi" w:hAnsiTheme="minorHAnsi" w:cs="Times New Roman"/>
        </w:rPr>
      </w:pPr>
      <w:r>
        <w:rPr>
          <w:rFonts w:asciiTheme="minorHAnsi" w:hAnsiTheme="minorHAnsi" w:cs="Times New Roman"/>
        </w:rPr>
        <w:lastRenderedPageBreak/>
        <w:t xml:space="preserve">behaviour change </w:t>
      </w:r>
      <w:r w:rsidR="00B81B93">
        <w:rPr>
          <w:rFonts w:asciiTheme="minorHAnsi" w:hAnsiTheme="minorHAnsi" w:cs="Times New Roman"/>
        </w:rPr>
        <w:t>projects and reviews of OGDs;</w:t>
      </w:r>
      <w:r w:rsidR="006B33FE">
        <w:rPr>
          <w:rStyle w:val="FootnoteReference"/>
          <w:rFonts w:asciiTheme="minorHAnsi" w:hAnsiTheme="minorHAnsi" w:cs="Times New Roman"/>
        </w:rPr>
        <w:footnoteReference w:id="7"/>
      </w:r>
    </w:p>
    <w:p w14:paraId="79D9D868" w14:textId="77777777" w:rsidR="009357E6" w:rsidRDefault="009357E6" w:rsidP="009357E6">
      <w:pPr>
        <w:pStyle w:val="ListParagraph"/>
        <w:spacing w:line="240" w:lineRule="auto"/>
        <w:ind w:left="1499"/>
        <w:jc w:val="both"/>
        <w:rPr>
          <w:rFonts w:asciiTheme="minorHAnsi" w:hAnsiTheme="minorHAnsi" w:cs="Times New Roman"/>
        </w:rPr>
      </w:pPr>
    </w:p>
    <w:p w14:paraId="0E29B1A2" w14:textId="0C31A3A0" w:rsidR="00B81B93" w:rsidRDefault="00B81B93" w:rsidP="009E7669">
      <w:pPr>
        <w:pStyle w:val="ListParagraph"/>
        <w:numPr>
          <w:ilvl w:val="0"/>
          <w:numId w:val="11"/>
        </w:numPr>
        <w:spacing w:line="240" w:lineRule="auto"/>
        <w:jc w:val="both"/>
        <w:rPr>
          <w:rFonts w:asciiTheme="minorHAnsi" w:hAnsiTheme="minorHAnsi" w:cs="Times New Roman"/>
        </w:rPr>
      </w:pPr>
      <w:r>
        <w:rPr>
          <w:rFonts w:asciiTheme="minorHAnsi" w:hAnsiTheme="minorHAnsi" w:cs="Times New Roman"/>
        </w:rPr>
        <w:t xml:space="preserve">discussions with relevant </w:t>
      </w:r>
      <w:r w:rsidR="00634EB8" w:rsidRPr="00B81B93">
        <w:rPr>
          <w:rFonts w:asciiTheme="minorHAnsi" w:hAnsiTheme="minorHAnsi" w:cs="Times New Roman"/>
        </w:rPr>
        <w:t>private sector</w:t>
      </w:r>
      <w:r>
        <w:rPr>
          <w:rFonts w:asciiTheme="minorHAnsi" w:hAnsiTheme="minorHAnsi" w:cs="Times New Roman"/>
        </w:rPr>
        <w:t xml:space="preserve"> firms;</w:t>
      </w:r>
      <w:r w:rsidR="005D6373">
        <w:rPr>
          <w:rFonts w:asciiTheme="minorHAnsi" w:hAnsiTheme="minorHAnsi" w:cs="Times New Roman"/>
        </w:rPr>
        <w:t xml:space="preserve"> and</w:t>
      </w:r>
    </w:p>
    <w:p w14:paraId="3550175A" w14:textId="77777777" w:rsidR="009357E6" w:rsidRDefault="009357E6" w:rsidP="009357E6">
      <w:pPr>
        <w:pStyle w:val="ListParagraph"/>
        <w:spacing w:line="240" w:lineRule="auto"/>
        <w:ind w:left="1499"/>
        <w:jc w:val="both"/>
        <w:rPr>
          <w:rFonts w:asciiTheme="minorHAnsi" w:hAnsiTheme="minorHAnsi" w:cs="Times New Roman"/>
        </w:rPr>
      </w:pPr>
    </w:p>
    <w:p w14:paraId="3E719E9A" w14:textId="145CD4E2" w:rsidR="00807E62" w:rsidRPr="00B81B93" w:rsidRDefault="005D6373" w:rsidP="009E7669">
      <w:pPr>
        <w:pStyle w:val="ListParagraph"/>
        <w:numPr>
          <w:ilvl w:val="0"/>
          <w:numId w:val="11"/>
        </w:numPr>
        <w:spacing w:line="240" w:lineRule="auto"/>
        <w:jc w:val="both"/>
        <w:rPr>
          <w:rFonts w:asciiTheme="minorHAnsi" w:hAnsiTheme="minorHAnsi" w:cs="Times New Roman"/>
        </w:rPr>
      </w:pPr>
      <w:proofErr w:type="gramStart"/>
      <w:r>
        <w:rPr>
          <w:rFonts w:asciiTheme="minorHAnsi" w:hAnsiTheme="minorHAnsi" w:cs="Times New Roman"/>
        </w:rPr>
        <w:t>strategic</w:t>
      </w:r>
      <w:proofErr w:type="gramEnd"/>
      <w:r>
        <w:rPr>
          <w:rFonts w:asciiTheme="minorHAnsi" w:hAnsiTheme="minorHAnsi" w:cs="Times New Roman"/>
        </w:rPr>
        <w:t xml:space="preserve"> and operational contributions</w:t>
      </w:r>
      <w:r w:rsidR="00F74247">
        <w:rPr>
          <w:rFonts w:asciiTheme="minorHAnsi" w:hAnsiTheme="minorHAnsi" w:cs="Times New Roman"/>
        </w:rPr>
        <w:t xml:space="preserve"> from</w:t>
      </w:r>
      <w:r w:rsidR="00B81B93">
        <w:rPr>
          <w:rFonts w:asciiTheme="minorHAnsi" w:hAnsiTheme="minorHAnsi" w:cs="Times New Roman"/>
        </w:rPr>
        <w:t xml:space="preserve"> GEO </w:t>
      </w:r>
      <w:r>
        <w:rPr>
          <w:rFonts w:asciiTheme="minorHAnsi" w:hAnsiTheme="minorHAnsi" w:cs="Times New Roman"/>
        </w:rPr>
        <w:t xml:space="preserve">and DCMS </w:t>
      </w:r>
      <w:r w:rsidR="00B81B93">
        <w:rPr>
          <w:rFonts w:asciiTheme="minorHAnsi" w:hAnsiTheme="minorHAnsi" w:cs="Times New Roman"/>
        </w:rPr>
        <w:t>staff</w:t>
      </w:r>
      <w:r w:rsidR="00634EB8" w:rsidRPr="00B81B93">
        <w:rPr>
          <w:rFonts w:asciiTheme="minorHAnsi" w:hAnsiTheme="minorHAnsi" w:cs="Times New Roman"/>
        </w:rPr>
        <w:t xml:space="preserve">. </w:t>
      </w:r>
    </w:p>
    <w:p w14:paraId="19018385" w14:textId="77777777" w:rsidR="00807E62" w:rsidRDefault="00807E62" w:rsidP="00807E62">
      <w:pPr>
        <w:pStyle w:val="ListParagraph"/>
        <w:jc w:val="both"/>
        <w:rPr>
          <w:rFonts w:asciiTheme="minorHAnsi" w:hAnsiTheme="minorHAnsi" w:cs="Times New Roman"/>
        </w:rPr>
      </w:pPr>
    </w:p>
    <w:p w14:paraId="384FFD68" w14:textId="12C06FEC" w:rsidR="007F1124" w:rsidRPr="005D6373" w:rsidRDefault="00634EB8" w:rsidP="00505BE0">
      <w:pPr>
        <w:pStyle w:val="ListParagraph"/>
        <w:numPr>
          <w:ilvl w:val="0"/>
          <w:numId w:val="6"/>
        </w:numPr>
        <w:jc w:val="both"/>
        <w:rPr>
          <w:rFonts w:asciiTheme="minorHAnsi" w:hAnsiTheme="minorHAnsi" w:cs="Times New Roman"/>
        </w:rPr>
      </w:pPr>
      <w:r w:rsidRPr="005B28CA">
        <w:rPr>
          <w:rFonts w:asciiTheme="minorHAnsi" w:hAnsiTheme="minorHAnsi" w:cs="Times New Roman"/>
        </w:rPr>
        <w:t xml:space="preserve">The </w:t>
      </w:r>
      <w:r w:rsidR="003F2B8B">
        <w:rPr>
          <w:rFonts w:asciiTheme="minorHAnsi" w:hAnsiTheme="minorHAnsi" w:cs="Times New Roman"/>
        </w:rPr>
        <w:t>project’s over-arching</w:t>
      </w:r>
      <w:r w:rsidRPr="005B28CA">
        <w:rPr>
          <w:rFonts w:asciiTheme="minorHAnsi" w:hAnsiTheme="minorHAnsi" w:cs="Times New Roman"/>
        </w:rPr>
        <w:t xml:space="preserve"> research question is: </w:t>
      </w:r>
    </w:p>
    <w:p w14:paraId="468B5B2A" w14:textId="3C09A70C" w:rsidR="007F1124" w:rsidRPr="00752AFB" w:rsidRDefault="00634EB8" w:rsidP="005D6373">
      <w:pPr>
        <w:ind w:left="1440"/>
        <w:jc w:val="both"/>
        <w:rPr>
          <w:rFonts w:cs="Times New Roman"/>
          <w:sz w:val="24"/>
          <w:szCs w:val="24"/>
        </w:rPr>
      </w:pPr>
      <w:r w:rsidRPr="00752AFB">
        <w:rPr>
          <w:rFonts w:cs="Times New Roman"/>
          <w:sz w:val="24"/>
          <w:szCs w:val="24"/>
        </w:rPr>
        <w:t xml:space="preserve">‘Based on this wide array of sources, what kinds of interventions and </w:t>
      </w:r>
      <w:r w:rsidR="005D6373">
        <w:rPr>
          <w:rFonts w:cs="Times New Roman"/>
          <w:sz w:val="24"/>
          <w:szCs w:val="24"/>
        </w:rPr>
        <w:t>adaptations work, or are most promising</w:t>
      </w:r>
      <w:r w:rsidRPr="00752AFB">
        <w:rPr>
          <w:rFonts w:cs="Times New Roman"/>
          <w:sz w:val="24"/>
          <w:szCs w:val="24"/>
        </w:rPr>
        <w:t>, to affect better equalities outcomes?</w:t>
      </w:r>
      <w:r w:rsidR="007F1124" w:rsidRPr="00752AFB">
        <w:rPr>
          <w:rFonts w:cs="Times New Roman"/>
          <w:sz w:val="24"/>
          <w:szCs w:val="24"/>
        </w:rPr>
        <w:t>’</w:t>
      </w:r>
      <w:r w:rsidRPr="00752AFB">
        <w:rPr>
          <w:rFonts w:cs="Times New Roman"/>
          <w:sz w:val="24"/>
          <w:szCs w:val="24"/>
        </w:rPr>
        <w:t xml:space="preserve"> </w:t>
      </w:r>
    </w:p>
    <w:p w14:paraId="75611AA1" w14:textId="77777777" w:rsidR="007F1124" w:rsidRPr="00752AFB" w:rsidRDefault="007F1124" w:rsidP="001979B9">
      <w:pPr>
        <w:ind w:firstLine="720"/>
        <w:jc w:val="both"/>
        <w:rPr>
          <w:rFonts w:cs="Times New Roman"/>
          <w:sz w:val="24"/>
          <w:szCs w:val="24"/>
        </w:rPr>
      </w:pPr>
      <w:r w:rsidRPr="00752AFB">
        <w:rPr>
          <w:rFonts w:cs="Times New Roman"/>
          <w:sz w:val="24"/>
          <w:szCs w:val="24"/>
        </w:rPr>
        <w:t xml:space="preserve">A secondary question is: </w:t>
      </w:r>
    </w:p>
    <w:p w14:paraId="27191EF1" w14:textId="28EFDD87" w:rsidR="00634EB8" w:rsidRPr="00752AFB" w:rsidRDefault="007F1124" w:rsidP="005D6373">
      <w:pPr>
        <w:ind w:left="1440"/>
        <w:jc w:val="both"/>
        <w:rPr>
          <w:rFonts w:cs="Times New Roman"/>
          <w:sz w:val="24"/>
          <w:szCs w:val="24"/>
        </w:rPr>
      </w:pPr>
      <w:r w:rsidRPr="00752AFB">
        <w:rPr>
          <w:rFonts w:cs="Times New Roman"/>
          <w:sz w:val="24"/>
          <w:szCs w:val="24"/>
        </w:rPr>
        <w:t xml:space="preserve">‘With these insights, how might GEO and others most effectively boost positive outcomes in three </w:t>
      </w:r>
      <w:r w:rsidR="005D6373">
        <w:rPr>
          <w:rFonts w:cs="Times New Roman"/>
          <w:sz w:val="24"/>
          <w:szCs w:val="24"/>
        </w:rPr>
        <w:t xml:space="preserve">current policy priorities </w:t>
      </w:r>
      <w:r w:rsidRPr="00752AFB">
        <w:rPr>
          <w:rFonts w:cs="Times New Roman"/>
          <w:sz w:val="24"/>
          <w:szCs w:val="24"/>
        </w:rPr>
        <w:t>and</w:t>
      </w:r>
      <w:r w:rsidR="005D6373">
        <w:rPr>
          <w:rFonts w:cs="Times New Roman"/>
          <w:sz w:val="24"/>
          <w:szCs w:val="24"/>
        </w:rPr>
        <w:t xml:space="preserve"> also in future policy design</w:t>
      </w:r>
      <w:r w:rsidRPr="00752AFB">
        <w:rPr>
          <w:rFonts w:cs="Times New Roman"/>
          <w:sz w:val="24"/>
          <w:szCs w:val="24"/>
        </w:rPr>
        <w:t>?’</w:t>
      </w:r>
    </w:p>
    <w:p w14:paraId="27191EF2" w14:textId="77777777" w:rsidR="00634EB8" w:rsidRPr="005B28CA" w:rsidRDefault="00634EB8" w:rsidP="00634EB8">
      <w:pPr>
        <w:pStyle w:val="ListParagraph"/>
        <w:jc w:val="both"/>
        <w:rPr>
          <w:rFonts w:asciiTheme="minorHAnsi" w:hAnsiTheme="minorHAnsi" w:cs="Times New Roman"/>
        </w:rPr>
      </w:pPr>
    </w:p>
    <w:p w14:paraId="4978056E" w14:textId="486C8E82" w:rsidR="00D16A7E" w:rsidRDefault="005D6373" w:rsidP="00505BE0">
      <w:pPr>
        <w:pStyle w:val="ListParagraph"/>
        <w:numPr>
          <w:ilvl w:val="0"/>
          <w:numId w:val="6"/>
        </w:numPr>
        <w:jc w:val="both"/>
        <w:rPr>
          <w:rFonts w:asciiTheme="minorHAnsi" w:hAnsiTheme="minorHAnsi" w:cs="Times New Roman"/>
        </w:rPr>
      </w:pPr>
      <w:r>
        <w:rPr>
          <w:rFonts w:asciiTheme="minorHAnsi" w:hAnsiTheme="minorHAnsi" w:cs="Times New Roman"/>
        </w:rPr>
        <w:t>Behaviour change should not be a fetish of government. Indeed,</w:t>
      </w:r>
      <w:r w:rsidR="00634EB8" w:rsidRPr="005B28CA">
        <w:rPr>
          <w:rFonts w:asciiTheme="minorHAnsi" w:hAnsiTheme="minorHAnsi" w:cs="Times New Roman"/>
        </w:rPr>
        <w:t xml:space="preserve"> </w:t>
      </w:r>
      <w:r w:rsidR="00634EB8" w:rsidRPr="005B28CA">
        <w:rPr>
          <w:rFonts w:asciiTheme="minorHAnsi" w:hAnsiTheme="minorHAnsi" w:cs="Times New Roman"/>
          <w:i/>
        </w:rPr>
        <w:t>all</w:t>
      </w:r>
      <w:r w:rsidR="00634EB8" w:rsidRPr="005B28CA">
        <w:rPr>
          <w:rFonts w:asciiTheme="minorHAnsi" w:hAnsiTheme="minorHAnsi" w:cs="Times New Roman"/>
        </w:rPr>
        <w:t xml:space="preserve"> government interventions are aimed at changing the behaviour of those targeted in some way, irrespective of whether or not this is to be achieved by statutory means. Furthermore, only a very limited subse</w:t>
      </w:r>
      <w:r w:rsidR="00634EB8">
        <w:rPr>
          <w:rFonts w:asciiTheme="minorHAnsi" w:hAnsiTheme="minorHAnsi" w:cs="Times New Roman"/>
        </w:rPr>
        <w:t>t</w:t>
      </w:r>
      <w:r>
        <w:rPr>
          <w:rFonts w:asciiTheme="minorHAnsi" w:hAnsiTheme="minorHAnsi" w:cs="Times New Roman"/>
        </w:rPr>
        <w:t xml:space="preserve"> of behaviour change </w:t>
      </w:r>
      <w:r w:rsidR="00634EB8" w:rsidRPr="005B28CA">
        <w:rPr>
          <w:rFonts w:asciiTheme="minorHAnsi" w:hAnsiTheme="minorHAnsi" w:cs="Times New Roman"/>
        </w:rPr>
        <w:t xml:space="preserve">approaches can be implemented entirely without making use of </w:t>
      </w:r>
      <w:r>
        <w:rPr>
          <w:rFonts w:asciiTheme="minorHAnsi" w:hAnsiTheme="minorHAnsi" w:cs="Times New Roman"/>
        </w:rPr>
        <w:t>existing regulation. For example,</w:t>
      </w:r>
      <w:r w:rsidR="00634EB8" w:rsidRPr="005B28CA">
        <w:rPr>
          <w:rFonts w:asciiTheme="minorHAnsi" w:hAnsiTheme="minorHAnsi" w:cs="Times New Roman"/>
        </w:rPr>
        <w:t xml:space="preserve"> ‘traffic light’ approaches to food packaging and greater transparency in local energy consumption aim to change the behaviour of consumers without forcing them to do so</w:t>
      </w:r>
      <w:r w:rsidR="00AB5FD6">
        <w:rPr>
          <w:rFonts w:asciiTheme="minorHAnsi" w:hAnsiTheme="minorHAnsi" w:cs="Times New Roman"/>
        </w:rPr>
        <w:t>,</w:t>
      </w:r>
      <w:r w:rsidR="00634EB8">
        <w:rPr>
          <w:rStyle w:val="FootnoteReference"/>
          <w:rFonts w:asciiTheme="minorHAnsi" w:hAnsiTheme="minorHAnsi" w:cs="Times New Roman"/>
        </w:rPr>
        <w:footnoteReference w:id="8"/>
      </w:r>
      <w:r w:rsidR="00AB5FD6">
        <w:rPr>
          <w:rFonts w:asciiTheme="minorHAnsi" w:hAnsiTheme="minorHAnsi" w:cs="Times New Roman"/>
        </w:rPr>
        <w:t xml:space="preserve"> b</w:t>
      </w:r>
      <w:r>
        <w:rPr>
          <w:rFonts w:asciiTheme="minorHAnsi" w:hAnsiTheme="minorHAnsi" w:cs="Times New Roman"/>
        </w:rPr>
        <w:t xml:space="preserve">ut, sitting in </w:t>
      </w:r>
      <w:r w:rsidR="00D16A7E">
        <w:rPr>
          <w:rFonts w:asciiTheme="minorHAnsi" w:hAnsiTheme="minorHAnsi" w:cs="Times New Roman"/>
        </w:rPr>
        <w:t xml:space="preserve">the </w:t>
      </w:r>
      <w:r>
        <w:rPr>
          <w:rFonts w:asciiTheme="minorHAnsi" w:hAnsiTheme="minorHAnsi" w:cs="Times New Roman"/>
        </w:rPr>
        <w:t>shadows, are</w:t>
      </w:r>
      <w:r w:rsidR="00634EB8" w:rsidRPr="005B28CA">
        <w:rPr>
          <w:rFonts w:asciiTheme="minorHAnsi" w:hAnsiTheme="minorHAnsi" w:cs="Times New Roman"/>
        </w:rPr>
        <w:t xml:space="preserve"> legislati</w:t>
      </w:r>
      <w:r w:rsidR="007F1124">
        <w:rPr>
          <w:rFonts w:asciiTheme="minorHAnsi" w:hAnsiTheme="minorHAnsi" w:cs="Times New Roman"/>
        </w:rPr>
        <w:t>ve sanctions of some kind</w:t>
      </w:r>
      <w:r w:rsidR="001979B9">
        <w:rPr>
          <w:rFonts w:asciiTheme="minorHAnsi" w:hAnsiTheme="minorHAnsi" w:cs="Times New Roman"/>
        </w:rPr>
        <w:t xml:space="preserve"> </w:t>
      </w:r>
      <w:r w:rsidR="00634EB8" w:rsidRPr="005B28CA">
        <w:rPr>
          <w:rFonts w:asciiTheme="minorHAnsi" w:hAnsiTheme="minorHAnsi" w:cs="Times New Roman"/>
        </w:rPr>
        <w:t>to be imposed on companies in food or energy consumer markets</w:t>
      </w:r>
      <w:r w:rsidR="007F1124">
        <w:rPr>
          <w:rFonts w:asciiTheme="minorHAnsi" w:hAnsiTheme="minorHAnsi" w:cs="Times New Roman"/>
        </w:rPr>
        <w:t xml:space="preserve"> in cases of severe failure or shortfall</w:t>
      </w:r>
      <w:r w:rsidR="00634EB8" w:rsidRPr="005B28CA">
        <w:rPr>
          <w:rFonts w:asciiTheme="minorHAnsi" w:hAnsiTheme="minorHAnsi" w:cs="Times New Roman"/>
        </w:rPr>
        <w:t xml:space="preserve">. </w:t>
      </w:r>
    </w:p>
    <w:p w14:paraId="5769809B" w14:textId="77777777" w:rsidR="00D16A7E" w:rsidRDefault="00D16A7E" w:rsidP="00D16A7E">
      <w:pPr>
        <w:pStyle w:val="ListParagraph"/>
        <w:jc w:val="both"/>
        <w:rPr>
          <w:rFonts w:asciiTheme="minorHAnsi" w:hAnsiTheme="minorHAnsi" w:cs="Times New Roman"/>
        </w:rPr>
      </w:pPr>
    </w:p>
    <w:p w14:paraId="5D743597" w14:textId="77777777" w:rsidR="00C15420" w:rsidRDefault="00634EB8" w:rsidP="00505BE0">
      <w:pPr>
        <w:pStyle w:val="ListParagraph"/>
        <w:numPr>
          <w:ilvl w:val="0"/>
          <w:numId w:val="6"/>
        </w:numPr>
        <w:jc w:val="both"/>
        <w:rPr>
          <w:rFonts w:asciiTheme="minorHAnsi" w:hAnsiTheme="minorHAnsi" w:cs="Times New Roman"/>
        </w:rPr>
      </w:pPr>
      <w:r w:rsidRPr="005B28CA">
        <w:rPr>
          <w:rFonts w:asciiTheme="minorHAnsi" w:hAnsiTheme="minorHAnsi" w:cs="Times New Roman"/>
        </w:rPr>
        <w:t>In the same vein, the view that sustainable behaviour change can be delivered cost-effectively through non-legislative means alone will often be mistaken.</w:t>
      </w:r>
      <w:r w:rsidR="00D16A7E">
        <w:rPr>
          <w:rFonts w:asciiTheme="minorHAnsi" w:hAnsiTheme="minorHAnsi" w:cs="Times New Roman"/>
        </w:rPr>
        <w:t xml:space="preserve"> </w:t>
      </w:r>
      <w:r w:rsidRPr="00D16A7E">
        <w:rPr>
          <w:rFonts w:asciiTheme="minorHAnsi" w:hAnsiTheme="minorHAnsi" w:cs="Times New Roman"/>
        </w:rPr>
        <w:t xml:space="preserve">Hence, CAPE focuses on behaviour change both as an </w:t>
      </w:r>
      <w:r w:rsidRPr="00D16A7E">
        <w:rPr>
          <w:rFonts w:asciiTheme="minorHAnsi" w:hAnsiTheme="minorHAnsi" w:cs="Times New Roman"/>
          <w:i/>
        </w:rPr>
        <w:t xml:space="preserve">alternative </w:t>
      </w:r>
      <w:r w:rsidRPr="00D16A7E">
        <w:rPr>
          <w:rFonts w:asciiTheme="minorHAnsi" w:hAnsiTheme="minorHAnsi" w:cs="Times New Roman"/>
        </w:rPr>
        <w:t>and a</w:t>
      </w:r>
      <w:r w:rsidRPr="00D16A7E">
        <w:rPr>
          <w:rFonts w:asciiTheme="minorHAnsi" w:hAnsiTheme="minorHAnsi" w:cs="Times New Roman"/>
          <w:i/>
        </w:rPr>
        <w:t xml:space="preserve"> complement</w:t>
      </w:r>
      <w:r w:rsidRPr="00D16A7E">
        <w:rPr>
          <w:rFonts w:asciiTheme="minorHAnsi" w:hAnsiTheme="minorHAnsi" w:cs="Times New Roman"/>
        </w:rPr>
        <w:t xml:space="preserve"> to legislative tools, </w:t>
      </w:r>
      <w:r w:rsidR="00E60E84" w:rsidRPr="00D16A7E">
        <w:rPr>
          <w:rFonts w:asciiTheme="minorHAnsi" w:hAnsiTheme="minorHAnsi" w:cs="Times New Roman"/>
        </w:rPr>
        <w:t xml:space="preserve">and emphasises </w:t>
      </w:r>
      <w:r w:rsidRPr="00D16A7E">
        <w:rPr>
          <w:rFonts w:asciiTheme="minorHAnsi" w:hAnsiTheme="minorHAnsi" w:cs="Times New Roman"/>
        </w:rPr>
        <w:t xml:space="preserve">identifying the means to make the latter more effective. </w:t>
      </w:r>
    </w:p>
    <w:p w14:paraId="7340196B" w14:textId="77777777" w:rsidR="00C15420" w:rsidRPr="00C15420" w:rsidRDefault="00C15420" w:rsidP="00C15420">
      <w:pPr>
        <w:pStyle w:val="ListParagraph"/>
        <w:rPr>
          <w:rFonts w:asciiTheme="minorHAnsi" w:hAnsiTheme="minorHAnsi" w:cs="Times New Roman"/>
        </w:rPr>
      </w:pPr>
    </w:p>
    <w:p w14:paraId="1B2A89BD" w14:textId="4E38C73C" w:rsidR="009F7340" w:rsidRPr="00C15420" w:rsidRDefault="00634EB8" w:rsidP="00505BE0">
      <w:pPr>
        <w:pStyle w:val="ListParagraph"/>
        <w:numPr>
          <w:ilvl w:val="0"/>
          <w:numId w:val="6"/>
        </w:numPr>
        <w:jc w:val="both"/>
        <w:rPr>
          <w:rFonts w:asciiTheme="minorHAnsi" w:hAnsiTheme="minorHAnsi" w:cs="Times New Roman"/>
        </w:rPr>
      </w:pPr>
      <w:r w:rsidRPr="00C15420">
        <w:rPr>
          <w:rFonts w:asciiTheme="minorHAnsi" w:hAnsiTheme="minorHAnsi" w:cs="Times New Roman"/>
        </w:rPr>
        <w:t xml:space="preserve">The </w:t>
      </w:r>
      <w:r w:rsidR="00807E62" w:rsidRPr="00C15420">
        <w:rPr>
          <w:rFonts w:asciiTheme="minorHAnsi" w:hAnsiTheme="minorHAnsi" w:cs="Times New Roman"/>
        </w:rPr>
        <w:t xml:space="preserve">basic </w:t>
      </w:r>
      <w:r w:rsidR="00E60E84" w:rsidRPr="00C15420">
        <w:rPr>
          <w:rFonts w:asciiTheme="minorHAnsi" w:hAnsiTheme="minorHAnsi" w:cs="Times New Roman"/>
        </w:rPr>
        <w:t>concept of behaviour change</w:t>
      </w:r>
      <w:r w:rsidRPr="00C15420">
        <w:rPr>
          <w:rFonts w:asciiTheme="minorHAnsi" w:hAnsiTheme="minorHAnsi" w:cs="Times New Roman"/>
        </w:rPr>
        <w:t xml:space="preserve"> employed thro</w:t>
      </w:r>
      <w:r w:rsidR="00D16A7E" w:rsidRPr="00C15420">
        <w:rPr>
          <w:rFonts w:asciiTheme="minorHAnsi" w:hAnsiTheme="minorHAnsi" w:cs="Times New Roman"/>
        </w:rPr>
        <w:t>ughout the project stems</w:t>
      </w:r>
      <w:r w:rsidRPr="00C15420">
        <w:rPr>
          <w:rFonts w:asciiTheme="minorHAnsi" w:hAnsiTheme="minorHAnsi" w:cs="Times New Roman"/>
        </w:rPr>
        <w:t xml:space="preserve"> from behavioural economics</w:t>
      </w:r>
      <w:r w:rsidR="00E60E84" w:rsidRPr="00C15420">
        <w:rPr>
          <w:rFonts w:asciiTheme="minorHAnsi" w:hAnsiTheme="minorHAnsi" w:cs="Times New Roman"/>
        </w:rPr>
        <w:t xml:space="preserve"> and psychology</w:t>
      </w:r>
      <w:r w:rsidRPr="00C15420">
        <w:rPr>
          <w:rFonts w:asciiTheme="minorHAnsi" w:hAnsiTheme="minorHAnsi" w:cs="Times New Roman"/>
        </w:rPr>
        <w:t>, focusing on how human behaviour observed in rea</w:t>
      </w:r>
      <w:r w:rsidR="00E60E84" w:rsidRPr="00C15420">
        <w:rPr>
          <w:rFonts w:asciiTheme="minorHAnsi" w:hAnsiTheme="minorHAnsi" w:cs="Times New Roman"/>
        </w:rPr>
        <w:t>lity differs from the familiar predictions of neoclassical</w:t>
      </w:r>
      <w:r w:rsidRPr="00C15420">
        <w:rPr>
          <w:rFonts w:asciiTheme="minorHAnsi" w:hAnsiTheme="minorHAnsi" w:cs="Times New Roman"/>
        </w:rPr>
        <w:t xml:space="preserve"> economic theory.</w:t>
      </w:r>
      <w:r w:rsidR="00E60E84" w:rsidRPr="00C15420">
        <w:rPr>
          <w:rFonts w:asciiTheme="minorHAnsi" w:hAnsiTheme="minorHAnsi" w:cs="Times New Roman"/>
        </w:rPr>
        <w:t xml:space="preserve"> Remarkably, not every pound</w:t>
      </w:r>
      <w:r w:rsidR="00D16A7E" w:rsidRPr="00C15420">
        <w:rPr>
          <w:rFonts w:asciiTheme="minorHAnsi" w:hAnsiTheme="minorHAnsi" w:cs="Times New Roman"/>
        </w:rPr>
        <w:t xml:space="preserve"> or hour</w:t>
      </w:r>
      <w:r w:rsidR="00E60E84" w:rsidRPr="00C15420">
        <w:rPr>
          <w:rFonts w:asciiTheme="minorHAnsi" w:hAnsiTheme="minorHAnsi" w:cs="Times New Roman"/>
        </w:rPr>
        <w:t xml:space="preserve"> is equally valued: people often are creative in forging their own path that makes sense to them. </w:t>
      </w:r>
      <w:r w:rsidR="00D16A7E" w:rsidRPr="00C15420">
        <w:rPr>
          <w:rFonts w:asciiTheme="minorHAnsi" w:hAnsiTheme="minorHAnsi" w:cs="Times New Roman"/>
        </w:rPr>
        <w:t>This is a useful starting point for researchers and policy-makers alike.</w:t>
      </w:r>
    </w:p>
    <w:p w14:paraId="030BA805" w14:textId="77777777" w:rsidR="009F7340" w:rsidRPr="009F7340" w:rsidRDefault="009F7340" w:rsidP="009F7340">
      <w:pPr>
        <w:pStyle w:val="ListParagraph"/>
        <w:rPr>
          <w:rFonts w:asciiTheme="minorHAnsi" w:hAnsiTheme="minorHAnsi" w:cs="Times New Roman"/>
        </w:rPr>
      </w:pPr>
    </w:p>
    <w:p w14:paraId="661DCF36" w14:textId="2118B963" w:rsidR="009F7340" w:rsidRDefault="00E60E84" w:rsidP="00505BE0">
      <w:pPr>
        <w:pStyle w:val="ListParagraph"/>
        <w:numPr>
          <w:ilvl w:val="0"/>
          <w:numId w:val="6"/>
        </w:numPr>
        <w:jc w:val="both"/>
        <w:rPr>
          <w:rFonts w:asciiTheme="minorHAnsi" w:hAnsiTheme="minorHAnsi" w:cs="Times New Roman"/>
        </w:rPr>
      </w:pPr>
      <w:r w:rsidRPr="009F7340">
        <w:rPr>
          <w:rFonts w:asciiTheme="minorHAnsi" w:hAnsiTheme="minorHAnsi" w:cs="Times New Roman"/>
        </w:rPr>
        <w:t>An allied issue is being able to distinguish whose behaviour should change. One answer is to find out who</w:t>
      </w:r>
      <w:r w:rsidR="00807E62" w:rsidRPr="009F7340">
        <w:rPr>
          <w:rFonts w:asciiTheme="minorHAnsi" w:hAnsiTheme="minorHAnsi" w:cs="Times New Roman"/>
        </w:rPr>
        <w:t xml:space="preserve"> caus</w:t>
      </w:r>
      <w:r w:rsidRPr="009F7340">
        <w:rPr>
          <w:rFonts w:asciiTheme="minorHAnsi" w:hAnsiTheme="minorHAnsi" w:cs="Times New Roman"/>
        </w:rPr>
        <w:t>es the greatest detriment and should therefore be</w:t>
      </w:r>
      <w:r w:rsidR="00807E62" w:rsidRPr="009F7340">
        <w:rPr>
          <w:rFonts w:asciiTheme="minorHAnsi" w:hAnsiTheme="minorHAnsi" w:cs="Times New Roman"/>
        </w:rPr>
        <w:t xml:space="preserve"> </w:t>
      </w:r>
      <w:r w:rsidRPr="009F7340">
        <w:rPr>
          <w:rFonts w:asciiTheme="minorHAnsi" w:hAnsiTheme="minorHAnsi" w:cs="Times New Roman"/>
        </w:rPr>
        <w:t>targeted.</w:t>
      </w:r>
      <w:r w:rsidR="00807E62" w:rsidRPr="009F7340">
        <w:rPr>
          <w:rFonts w:asciiTheme="minorHAnsi" w:hAnsiTheme="minorHAnsi" w:cs="Times New Roman"/>
        </w:rPr>
        <w:t xml:space="preserve"> </w:t>
      </w:r>
      <w:r w:rsidR="00634EB8" w:rsidRPr="009F7340">
        <w:rPr>
          <w:rFonts w:asciiTheme="minorHAnsi" w:hAnsiTheme="minorHAnsi" w:cs="Times New Roman"/>
        </w:rPr>
        <w:t xml:space="preserve"> This approach is in line with on-going</w:t>
      </w:r>
      <w:r w:rsidRPr="009F7340">
        <w:rPr>
          <w:rFonts w:asciiTheme="minorHAnsi" w:hAnsiTheme="minorHAnsi" w:cs="Times New Roman"/>
        </w:rPr>
        <w:t xml:space="preserve"> innovations by g</w:t>
      </w:r>
      <w:r w:rsidR="00634EB8" w:rsidRPr="009F7340">
        <w:rPr>
          <w:rFonts w:asciiTheme="minorHAnsi" w:hAnsiTheme="minorHAnsi" w:cs="Times New Roman"/>
        </w:rPr>
        <w:t>overnment and</w:t>
      </w:r>
      <w:r w:rsidRPr="009F7340">
        <w:rPr>
          <w:rFonts w:asciiTheme="minorHAnsi" w:hAnsiTheme="minorHAnsi" w:cs="Times New Roman"/>
        </w:rPr>
        <w:t xml:space="preserve"> by</w:t>
      </w:r>
      <w:r w:rsidR="00634EB8" w:rsidRPr="009F7340">
        <w:rPr>
          <w:rFonts w:asciiTheme="minorHAnsi" w:hAnsiTheme="minorHAnsi" w:cs="Times New Roman"/>
        </w:rPr>
        <w:t xml:space="preserve"> regulators </w:t>
      </w:r>
      <w:r w:rsidR="00F74247">
        <w:rPr>
          <w:rFonts w:asciiTheme="minorHAnsi" w:hAnsiTheme="minorHAnsi" w:cs="Times New Roman"/>
        </w:rPr>
        <w:t>who must focus on</w:t>
      </w:r>
      <w:r w:rsidRPr="009F7340">
        <w:rPr>
          <w:rFonts w:asciiTheme="minorHAnsi" w:hAnsiTheme="minorHAnsi" w:cs="Times New Roman"/>
        </w:rPr>
        <w:t xml:space="preserve"> tackling the biggest harms </w:t>
      </w:r>
      <w:r w:rsidR="00634EB8" w:rsidRPr="009F7340">
        <w:rPr>
          <w:rFonts w:asciiTheme="minorHAnsi" w:hAnsiTheme="minorHAnsi" w:cs="Times New Roman"/>
        </w:rPr>
        <w:t xml:space="preserve">(e.g. </w:t>
      </w:r>
      <w:r w:rsidR="00807E62" w:rsidRPr="009F7340">
        <w:rPr>
          <w:rFonts w:asciiTheme="minorHAnsi" w:hAnsiTheme="minorHAnsi" w:cs="Times New Roman"/>
        </w:rPr>
        <w:t>Financial Conduct Authority (FCA)</w:t>
      </w:r>
      <w:r w:rsidR="00634EB8" w:rsidRPr="009F7340">
        <w:rPr>
          <w:rFonts w:asciiTheme="minorHAnsi" w:hAnsiTheme="minorHAnsi" w:cs="Times New Roman"/>
        </w:rPr>
        <w:t>).</w:t>
      </w:r>
      <w:r w:rsidR="004D64C4" w:rsidRPr="001D2EF8">
        <w:rPr>
          <w:rStyle w:val="FootnoteReference"/>
          <w:rFonts w:asciiTheme="minorHAnsi" w:hAnsiTheme="minorHAnsi" w:cs="Times New Roman"/>
        </w:rPr>
        <w:footnoteReference w:id="9"/>
      </w:r>
    </w:p>
    <w:p w14:paraId="30F928CD" w14:textId="77777777" w:rsidR="009F7340" w:rsidRPr="009F7340" w:rsidRDefault="009F7340" w:rsidP="009F7340">
      <w:pPr>
        <w:pStyle w:val="ListParagraph"/>
        <w:rPr>
          <w:rFonts w:asciiTheme="minorHAnsi" w:hAnsiTheme="minorHAnsi" w:cs="Times New Roman"/>
        </w:rPr>
      </w:pPr>
    </w:p>
    <w:p w14:paraId="456EAE65" w14:textId="20A33A1D" w:rsidR="009357E6" w:rsidRPr="009F7340" w:rsidRDefault="001D2EF8" w:rsidP="00505BE0">
      <w:pPr>
        <w:pStyle w:val="ListParagraph"/>
        <w:numPr>
          <w:ilvl w:val="0"/>
          <w:numId w:val="6"/>
        </w:numPr>
        <w:jc w:val="both"/>
        <w:rPr>
          <w:rFonts w:asciiTheme="minorHAnsi" w:hAnsiTheme="minorHAnsi" w:cs="Times New Roman"/>
        </w:rPr>
      </w:pPr>
      <w:r w:rsidRPr="009F7340">
        <w:rPr>
          <w:rFonts w:asciiTheme="minorHAnsi" w:hAnsiTheme="minorHAnsi" w:cs="Times New Roman"/>
        </w:rPr>
        <w:t>Finally, three</w:t>
      </w:r>
      <w:r w:rsidR="00D16A7E" w:rsidRPr="009F7340">
        <w:rPr>
          <w:rFonts w:asciiTheme="minorHAnsi" w:hAnsiTheme="minorHAnsi" w:cs="Times New Roman"/>
        </w:rPr>
        <w:t xml:space="preserve"> further challenges </w:t>
      </w:r>
      <w:r w:rsidRPr="009F7340">
        <w:rPr>
          <w:rFonts w:asciiTheme="minorHAnsi" w:hAnsiTheme="minorHAnsi" w:cs="Times New Roman"/>
        </w:rPr>
        <w:t xml:space="preserve">should not </w:t>
      </w:r>
      <w:r w:rsidR="00D16A7E" w:rsidRPr="009F7340">
        <w:rPr>
          <w:rFonts w:asciiTheme="minorHAnsi" w:hAnsiTheme="minorHAnsi" w:cs="Times New Roman"/>
        </w:rPr>
        <w:t>be overlooked:</w:t>
      </w:r>
    </w:p>
    <w:p w14:paraId="3D96CABE" w14:textId="77777777" w:rsidR="009357E6" w:rsidRDefault="009357E6" w:rsidP="009357E6">
      <w:pPr>
        <w:pStyle w:val="ListParagraph"/>
        <w:ind w:left="1800"/>
        <w:jc w:val="both"/>
        <w:rPr>
          <w:rFonts w:asciiTheme="minorHAnsi" w:hAnsiTheme="minorHAnsi" w:cs="Times New Roman"/>
        </w:rPr>
      </w:pPr>
    </w:p>
    <w:p w14:paraId="64B57926" w14:textId="47DAA6C6" w:rsidR="00D16A7E" w:rsidRPr="001D2EF8" w:rsidRDefault="00D16A7E" w:rsidP="009E7669">
      <w:pPr>
        <w:pStyle w:val="ListParagraph"/>
        <w:numPr>
          <w:ilvl w:val="0"/>
          <w:numId w:val="12"/>
        </w:numPr>
        <w:jc w:val="both"/>
        <w:rPr>
          <w:rFonts w:asciiTheme="minorHAnsi" w:hAnsiTheme="minorHAnsi" w:cs="Times New Roman"/>
        </w:rPr>
      </w:pPr>
      <w:r w:rsidRPr="001D2EF8">
        <w:rPr>
          <w:rFonts w:asciiTheme="minorHAnsi" w:hAnsiTheme="minorHAnsi" w:cs="Times New Roman"/>
        </w:rPr>
        <w:t>Sustainable behaviour change. Many novel interventions are able to deliver a single step kind of change (e.g. installing loft insulation). These are valuable but are distinct from longer run, enduring change</w:t>
      </w:r>
      <w:r w:rsidR="00D93E72">
        <w:rPr>
          <w:rFonts w:asciiTheme="minorHAnsi" w:hAnsiTheme="minorHAnsi" w:cs="Times New Roman"/>
        </w:rPr>
        <w:t>s</w:t>
      </w:r>
      <w:r w:rsidRPr="001D2EF8">
        <w:rPr>
          <w:rFonts w:asciiTheme="minorHAnsi" w:hAnsiTheme="minorHAnsi" w:cs="Times New Roman"/>
        </w:rPr>
        <w:t xml:space="preserve"> in habits and norms (e.g. reducing room thermostats).</w:t>
      </w:r>
    </w:p>
    <w:p w14:paraId="5CECAB7F" w14:textId="77777777" w:rsidR="009357E6" w:rsidRDefault="009357E6" w:rsidP="009357E6">
      <w:pPr>
        <w:pStyle w:val="ListParagraph"/>
        <w:ind w:left="1800"/>
        <w:jc w:val="both"/>
        <w:rPr>
          <w:rFonts w:asciiTheme="minorHAnsi" w:hAnsiTheme="minorHAnsi" w:cs="Times New Roman"/>
        </w:rPr>
      </w:pPr>
    </w:p>
    <w:p w14:paraId="641C8B6D" w14:textId="257441F5" w:rsidR="00D16A7E" w:rsidRPr="001D2EF8" w:rsidRDefault="001D2EF8" w:rsidP="009E7669">
      <w:pPr>
        <w:pStyle w:val="ListParagraph"/>
        <w:numPr>
          <w:ilvl w:val="0"/>
          <w:numId w:val="12"/>
        </w:numPr>
        <w:jc w:val="both"/>
        <w:rPr>
          <w:rFonts w:asciiTheme="minorHAnsi" w:hAnsiTheme="minorHAnsi" w:cs="Times New Roman"/>
        </w:rPr>
      </w:pPr>
      <w:r w:rsidRPr="001D2EF8">
        <w:rPr>
          <w:rFonts w:asciiTheme="minorHAnsi" w:hAnsiTheme="minorHAnsi" w:cs="Times New Roman"/>
        </w:rPr>
        <w:t>Snowballing behaviour change. A useful intervention may be to stimulate behaviour change among a pivotal sub-group in the expectation that this will drive larger, organic change across a much larger target group.</w:t>
      </w:r>
    </w:p>
    <w:p w14:paraId="7E7C041F" w14:textId="77777777" w:rsidR="009357E6" w:rsidRDefault="009357E6" w:rsidP="009357E6">
      <w:pPr>
        <w:pStyle w:val="ListParagraph"/>
        <w:ind w:left="1800"/>
        <w:jc w:val="both"/>
        <w:rPr>
          <w:rFonts w:asciiTheme="minorHAnsi" w:hAnsiTheme="minorHAnsi" w:cs="Times New Roman"/>
        </w:rPr>
      </w:pPr>
    </w:p>
    <w:p w14:paraId="4C739D3E" w14:textId="12D1E1BA" w:rsidR="001D2EF8" w:rsidRDefault="001D2EF8" w:rsidP="009E7669">
      <w:pPr>
        <w:pStyle w:val="ListParagraph"/>
        <w:numPr>
          <w:ilvl w:val="0"/>
          <w:numId w:val="12"/>
        </w:numPr>
        <w:jc w:val="both"/>
        <w:rPr>
          <w:rFonts w:asciiTheme="minorHAnsi" w:hAnsiTheme="minorHAnsi" w:cs="Times New Roman"/>
        </w:rPr>
      </w:pPr>
      <w:r w:rsidRPr="001D2EF8">
        <w:rPr>
          <w:rFonts w:asciiTheme="minorHAnsi" w:hAnsiTheme="minorHAnsi" w:cs="Times New Roman"/>
        </w:rPr>
        <w:t>Proportionality. There is naturally a premium on identifying and deploy</w:t>
      </w:r>
      <w:r w:rsidR="00EA42F1">
        <w:rPr>
          <w:rFonts w:asciiTheme="minorHAnsi" w:hAnsiTheme="minorHAnsi" w:cs="Times New Roman"/>
        </w:rPr>
        <w:t>ing</w:t>
      </w:r>
      <w:r w:rsidRPr="001D2EF8">
        <w:rPr>
          <w:rFonts w:asciiTheme="minorHAnsi" w:hAnsiTheme="minorHAnsi" w:cs="Times New Roman"/>
        </w:rPr>
        <w:t xml:space="preserve"> behavioural insights that are simple, easy and low cost where these drive relatively large changes in people’s behaviour. In some cases at least the evidence shows that such small scale refinement can deliver significant results.</w:t>
      </w:r>
    </w:p>
    <w:p w14:paraId="167CD771" w14:textId="77777777" w:rsidR="00AB5FD6" w:rsidRPr="00AB5FD6" w:rsidRDefault="00AB5FD6" w:rsidP="00AB5FD6">
      <w:pPr>
        <w:jc w:val="both"/>
        <w:rPr>
          <w:rFonts w:cs="Times New Roman"/>
        </w:rPr>
      </w:pPr>
    </w:p>
    <w:p w14:paraId="27191EF6" w14:textId="77777777" w:rsidR="0031072F" w:rsidRDefault="0031072F" w:rsidP="0031072F">
      <w:pPr>
        <w:pStyle w:val="ListParagraph"/>
        <w:rPr>
          <w:rFonts w:asciiTheme="minorHAnsi" w:hAnsiTheme="minorHAnsi" w:cs="Times New Roman"/>
        </w:rPr>
      </w:pPr>
    </w:p>
    <w:p w14:paraId="27191EF7" w14:textId="77777777" w:rsidR="000B0C97" w:rsidRDefault="000B0C97" w:rsidP="0031072F">
      <w:pPr>
        <w:pStyle w:val="ListParagraph"/>
        <w:rPr>
          <w:rFonts w:asciiTheme="minorHAnsi" w:hAnsiTheme="minorHAnsi" w:cs="Times New Roman"/>
        </w:rPr>
      </w:pPr>
    </w:p>
    <w:p w14:paraId="27191EF8" w14:textId="77777777" w:rsidR="000B0C97" w:rsidRDefault="000B0C97" w:rsidP="0031072F">
      <w:pPr>
        <w:pStyle w:val="ListParagraph"/>
        <w:rPr>
          <w:rFonts w:asciiTheme="minorHAnsi" w:hAnsiTheme="minorHAnsi" w:cs="Times New Roman"/>
        </w:rPr>
      </w:pPr>
    </w:p>
    <w:p w14:paraId="27191EF9" w14:textId="77777777" w:rsidR="000B0C97" w:rsidRDefault="000B0C97" w:rsidP="0031072F">
      <w:pPr>
        <w:pStyle w:val="ListParagraph"/>
        <w:rPr>
          <w:rFonts w:asciiTheme="minorHAnsi" w:hAnsiTheme="minorHAnsi" w:cs="Times New Roman"/>
        </w:rPr>
      </w:pPr>
    </w:p>
    <w:p w14:paraId="27191EFA" w14:textId="77777777" w:rsidR="000B0C97" w:rsidRDefault="000B0C97" w:rsidP="0031072F">
      <w:pPr>
        <w:pStyle w:val="ListParagraph"/>
        <w:rPr>
          <w:rFonts w:asciiTheme="minorHAnsi" w:hAnsiTheme="minorHAnsi" w:cs="Times New Roman"/>
        </w:rPr>
      </w:pPr>
    </w:p>
    <w:p w14:paraId="27191EFB" w14:textId="77777777" w:rsidR="000B0C97" w:rsidRDefault="000B0C97" w:rsidP="0031072F">
      <w:pPr>
        <w:pStyle w:val="ListParagraph"/>
        <w:rPr>
          <w:rFonts w:asciiTheme="minorHAnsi" w:hAnsiTheme="minorHAnsi" w:cs="Times New Roman"/>
        </w:rPr>
      </w:pPr>
    </w:p>
    <w:p w14:paraId="27191EFC" w14:textId="77777777" w:rsidR="000B0C97" w:rsidRDefault="000B0C97" w:rsidP="0031072F">
      <w:pPr>
        <w:pStyle w:val="ListParagraph"/>
        <w:rPr>
          <w:rFonts w:asciiTheme="minorHAnsi" w:hAnsiTheme="minorHAnsi" w:cs="Times New Roman"/>
        </w:rPr>
      </w:pPr>
    </w:p>
    <w:p w14:paraId="22D31296" w14:textId="77777777" w:rsidR="00AB5FD6" w:rsidRDefault="00AB5FD6">
      <w:pPr>
        <w:rPr>
          <w:rFonts w:cs="Times New Roman"/>
          <w:sz w:val="24"/>
        </w:rPr>
      </w:pPr>
      <w:bookmarkStart w:id="4" w:name="_Toc362614101"/>
      <w:r>
        <w:rPr>
          <w:rFonts w:cs="Times New Roman"/>
          <w:b/>
          <w:bCs/>
          <w:sz w:val="24"/>
        </w:rPr>
        <w:br w:type="page"/>
      </w:r>
    </w:p>
    <w:p w14:paraId="27191F0D" w14:textId="325931AA" w:rsidR="0031072F" w:rsidRDefault="0031072F" w:rsidP="00346F32">
      <w:pPr>
        <w:pStyle w:val="Heading1"/>
        <w:jc w:val="both"/>
      </w:pPr>
      <w:bookmarkStart w:id="5" w:name="_Toc378323550"/>
      <w:r w:rsidRPr="0031072F">
        <w:lastRenderedPageBreak/>
        <w:t>1. A Pragmatic View of Human Behaviour</w:t>
      </w:r>
      <w:bookmarkEnd w:id="4"/>
      <w:bookmarkEnd w:id="5"/>
    </w:p>
    <w:p w14:paraId="27191F0E" w14:textId="77777777" w:rsidR="0031072F" w:rsidRDefault="0031072F" w:rsidP="00346F32">
      <w:pPr>
        <w:jc w:val="both"/>
      </w:pPr>
    </w:p>
    <w:p w14:paraId="27191F10" w14:textId="2C47543F" w:rsidR="003D3AA3" w:rsidRDefault="00310BF8" w:rsidP="00505BE0">
      <w:pPr>
        <w:pStyle w:val="ListParagraph"/>
        <w:numPr>
          <w:ilvl w:val="0"/>
          <w:numId w:val="6"/>
        </w:numPr>
        <w:jc w:val="both"/>
        <w:rPr>
          <w:rFonts w:asciiTheme="minorHAnsi" w:hAnsiTheme="minorHAnsi" w:cstheme="minorHAnsi"/>
          <w:szCs w:val="24"/>
        </w:rPr>
      </w:pPr>
      <w:r>
        <w:rPr>
          <w:rFonts w:asciiTheme="minorHAnsi" w:hAnsiTheme="minorHAnsi" w:cstheme="minorHAnsi"/>
          <w:szCs w:val="24"/>
        </w:rPr>
        <w:t>Behaviour c</w:t>
      </w:r>
      <w:r w:rsidR="0031072F" w:rsidRPr="00E85492">
        <w:rPr>
          <w:rFonts w:asciiTheme="minorHAnsi" w:hAnsiTheme="minorHAnsi" w:cstheme="minorHAnsi"/>
          <w:szCs w:val="24"/>
        </w:rPr>
        <w:t xml:space="preserve">hange insights are </w:t>
      </w:r>
      <w:r w:rsidR="00687875">
        <w:rPr>
          <w:rFonts w:asciiTheme="minorHAnsi" w:hAnsiTheme="minorHAnsi" w:cstheme="minorHAnsi"/>
          <w:szCs w:val="24"/>
        </w:rPr>
        <w:t>defined as models of recurring</w:t>
      </w:r>
      <w:r w:rsidR="0031072F" w:rsidRPr="00E85492">
        <w:rPr>
          <w:rFonts w:asciiTheme="minorHAnsi" w:hAnsiTheme="minorHAnsi" w:cstheme="minorHAnsi"/>
          <w:szCs w:val="24"/>
        </w:rPr>
        <w:t xml:space="preserve"> human </w:t>
      </w:r>
      <w:r w:rsidRPr="00E85492">
        <w:rPr>
          <w:rFonts w:asciiTheme="minorHAnsi" w:hAnsiTheme="minorHAnsi" w:cstheme="minorHAnsi"/>
          <w:szCs w:val="24"/>
        </w:rPr>
        <w:t>behaviour that</w:t>
      </w:r>
      <w:r w:rsidR="0031072F" w:rsidRPr="00E85492">
        <w:rPr>
          <w:rFonts w:asciiTheme="minorHAnsi" w:hAnsiTheme="minorHAnsi" w:cstheme="minorHAnsi"/>
          <w:szCs w:val="24"/>
        </w:rPr>
        <w:t xml:space="preserve"> </w:t>
      </w:r>
      <w:r w:rsidR="00FA2AE8" w:rsidRPr="00E85492">
        <w:rPr>
          <w:rFonts w:asciiTheme="minorHAnsi" w:hAnsiTheme="minorHAnsi" w:cstheme="minorHAnsi"/>
          <w:szCs w:val="24"/>
        </w:rPr>
        <w:t>deviates</w:t>
      </w:r>
      <w:r w:rsidR="0031072F" w:rsidRPr="00E85492">
        <w:rPr>
          <w:rFonts w:asciiTheme="minorHAnsi" w:hAnsiTheme="minorHAnsi" w:cstheme="minorHAnsi"/>
          <w:szCs w:val="24"/>
        </w:rPr>
        <w:t xml:space="preserve"> from the </w:t>
      </w:r>
      <w:r w:rsidR="00FA2AE8" w:rsidRPr="00E85492">
        <w:rPr>
          <w:rFonts w:asciiTheme="minorHAnsi" w:hAnsiTheme="minorHAnsi" w:cstheme="minorHAnsi"/>
          <w:szCs w:val="24"/>
        </w:rPr>
        <w:t>predictions</w:t>
      </w:r>
      <w:r>
        <w:rPr>
          <w:rFonts w:asciiTheme="minorHAnsi" w:hAnsiTheme="minorHAnsi" w:cstheme="minorHAnsi"/>
          <w:szCs w:val="24"/>
        </w:rPr>
        <w:t xml:space="preserve"> of </w:t>
      </w:r>
      <w:r w:rsidR="0031072F" w:rsidRPr="00E85492">
        <w:rPr>
          <w:rFonts w:asciiTheme="minorHAnsi" w:hAnsiTheme="minorHAnsi" w:cstheme="minorHAnsi"/>
          <w:szCs w:val="24"/>
        </w:rPr>
        <w:t>rati</w:t>
      </w:r>
      <w:r>
        <w:rPr>
          <w:rFonts w:asciiTheme="minorHAnsi" w:hAnsiTheme="minorHAnsi" w:cstheme="minorHAnsi"/>
          <w:szCs w:val="24"/>
        </w:rPr>
        <w:t>onal choice assumptions</w:t>
      </w:r>
      <w:r w:rsidR="0031072F" w:rsidRPr="00E85492">
        <w:rPr>
          <w:rFonts w:asciiTheme="minorHAnsi" w:hAnsiTheme="minorHAnsi" w:cstheme="minorHAnsi"/>
          <w:szCs w:val="24"/>
        </w:rPr>
        <w:t xml:space="preserve"> in </w:t>
      </w:r>
      <w:r>
        <w:rPr>
          <w:rFonts w:asciiTheme="minorHAnsi" w:hAnsiTheme="minorHAnsi" w:cstheme="minorHAnsi"/>
          <w:szCs w:val="24"/>
        </w:rPr>
        <w:t>neo</w:t>
      </w:r>
      <w:r w:rsidR="0031072F" w:rsidRPr="00E85492">
        <w:rPr>
          <w:rFonts w:asciiTheme="minorHAnsi" w:hAnsiTheme="minorHAnsi" w:cstheme="minorHAnsi"/>
          <w:szCs w:val="24"/>
        </w:rPr>
        <w:t xml:space="preserve">classical economics. In short, these models </w:t>
      </w:r>
      <w:r w:rsidR="00FA2AE8" w:rsidRPr="00E85492">
        <w:rPr>
          <w:rFonts w:asciiTheme="minorHAnsi" w:hAnsiTheme="minorHAnsi" w:cstheme="minorHAnsi"/>
          <w:szCs w:val="24"/>
        </w:rPr>
        <w:t>say</w:t>
      </w:r>
      <w:r w:rsidR="0031072F" w:rsidRPr="00E85492">
        <w:rPr>
          <w:rFonts w:asciiTheme="minorHAnsi" w:hAnsiTheme="minorHAnsi" w:cstheme="minorHAnsi"/>
          <w:szCs w:val="24"/>
        </w:rPr>
        <w:t xml:space="preserve"> that people do not fully take into account all the costs and benefits of their decisions based on all the information available</w:t>
      </w:r>
      <w:r w:rsidR="000B0C97" w:rsidRPr="00E85492">
        <w:rPr>
          <w:rFonts w:asciiTheme="minorHAnsi" w:hAnsiTheme="minorHAnsi" w:cstheme="minorHAnsi"/>
          <w:szCs w:val="24"/>
        </w:rPr>
        <w:t xml:space="preserve"> in order to maximise</w:t>
      </w:r>
      <w:r w:rsidR="0028692B">
        <w:rPr>
          <w:rFonts w:asciiTheme="minorHAnsi" w:hAnsiTheme="minorHAnsi" w:cstheme="minorHAnsi"/>
          <w:szCs w:val="24"/>
        </w:rPr>
        <w:t xml:space="preserve"> personal or household</w:t>
      </w:r>
      <w:r w:rsidR="000B0C97" w:rsidRPr="00E85492">
        <w:rPr>
          <w:rFonts w:asciiTheme="minorHAnsi" w:hAnsiTheme="minorHAnsi" w:cstheme="minorHAnsi"/>
          <w:szCs w:val="24"/>
        </w:rPr>
        <w:t xml:space="preserve"> utility</w:t>
      </w:r>
      <w:r w:rsidR="003D3AA3" w:rsidRPr="00E85492">
        <w:rPr>
          <w:rFonts w:asciiTheme="minorHAnsi" w:hAnsiTheme="minorHAnsi" w:cstheme="minorHAnsi"/>
          <w:szCs w:val="24"/>
        </w:rPr>
        <w:t xml:space="preserve"> or financial gain. Rather, people will tend to base decisions on rules of thumb, intuition, past experience, satisficing or</w:t>
      </w:r>
      <w:r w:rsidR="0028692B">
        <w:rPr>
          <w:rFonts w:asciiTheme="minorHAnsi" w:hAnsiTheme="minorHAnsi" w:cstheme="minorHAnsi"/>
          <w:szCs w:val="24"/>
        </w:rPr>
        <w:t>, more colloquially,</w:t>
      </w:r>
      <w:r w:rsidR="003D3AA3" w:rsidRPr="00E85492">
        <w:rPr>
          <w:rFonts w:asciiTheme="minorHAnsi" w:hAnsiTheme="minorHAnsi" w:cstheme="minorHAnsi"/>
          <w:szCs w:val="24"/>
        </w:rPr>
        <w:t xml:space="preserve"> </w:t>
      </w:r>
      <w:r w:rsidR="0028692B">
        <w:rPr>
          <w:rFonts w:asciiTheme="minorHAnsi" w:hAnsiTheme="minorHAnsi" w:cstheme="minorHAnsi"/>
          <w:szCs w:val="24"/>
        </w:rPr>
        <w:t>‘</w:t>
      </w:r>
      <w:r w:rsidR="00822C47">
        <w:rPr>
          <w:rFonts w:asciiTheme="minorHAnsi" w:hAnsiTheme="minorHAnsi" w:cstheme="minorHAnsi"/>
          <w:szCs w:val="24"/>
        </w:rPr>
        <w:t>about-right’</w:t>
      </w:r>
      <w:r w:rsidR="003D3AA3" w:rsidRPr="00E85492">
        <w:rPr>
          <w:rFonts w:asciiTheme="minorHAnsi" w:hAnsiTheme="minorHAnsi" w:cstheme="minorHAnsi"/>
          <w:szCs w:val="24"/>
        </w:rPr>
        <w:t xml:space="preserve"> outcomes </w:t>
      </w:r>
      <w:r w:rsidR="001979B9">
        <w:rPr>
          <w:rFonts w:asciiTheme="minorHAnsi" w:hAnsiTheme="minorHAnsi" w:cstheme="minorHAnsi"/>
          <w:szCs w:val="24"/>
        </w:rPr>
        <w:t>and this often</w:t>
      </w:r>
      <w:r w:rsidR="003D3AA3" w:rsidRPr="00E85492">
        <w:rPr>
          <w:rFonts w:asciiTheme="minorHAnsi" w:hAnsiTheme="minorHAnsi" w:cstheme="minorHAnsi"/>
          <w:szCs w:val="24"/>
        </w:rPr>
        <w:t xml:space="preserve"> leads to consistent biases compared to </w:t>
      </w:r>
      <w:r>
        <w:rPr>
          <w:rFonts w:asciiTheme="minorHAnsi" w:hAnsiTheme="minorHAnsi" w:cstheme="minorHAnsi"/>
          <w:szCs w:val="24"/>
        </w:rPr>
        <w:t>truly ‘rational’ decision-</w:t>
      </w:r>
      <w:r w:rsidR="003D3AA3" w:rsidRPr="00E85492">
        <w:rPr>
          <w:rFonts w:asciiTheme="minorHAnsi" w:hAnsiTheme="minorHAnsi" w:cstheme="minorHAnsi"/>
          <w:szCs w:val="24"/>
        </w:rPr>
        <w:t>making.</w:t>
      </w:r>
      <w:r w:rsidR="00687875">
        <w:rPr>
          <w:rFonts w:asciiTheme="minorHAnsi" w:hAnsiTheme="minorHAnsi" w:cstheme="minorHAnsi"/>
          <w:szCs w:val="24"/>
        </w:rPr>
        <w:t xml:space="preserve"> </w:t>
      </w:r>
    </w:p>
    <w:p w14:paraId="46ED45B8" w14:textId="77777777" w:rsidR="00FA6280" w:rsidRDefault="00FA6280" w:rsidP="00FA6280">
      <w:pPr>
        <w:pStyle w:val="ListParagraph"/>
        <w:jc w:val="both"/>
        <w:rPr>
          <w:rFonts w:asciiTheme="minorHAnsi" w:hAnsiTheme="minorHAnsi" w:cstheme="minorHAnsi"/>
          <w:szCs w:val="24"/>
        </w:rPr>
      </w:pPr>
    </w:p>
    <w:p w14:paraId="326D4B44" w14:textId="5D1DAEDD" w:rsidR="00310BF8" w:rsidRPr="00C15420" w:rsidRDefault="00310BF8" w:rsidP="00505BE0">
      <w:pPr>
        <w:pStyle w:val="ListParagraph"/>
        <w:numPr>
          <w:ilvl w:val="0"/>
          <w:numId w:val="6"/>
        </w:numPr>
        <w:jc w:val="both"/>
        <w:rPr>
          <w:rFonts w:asciiTheme="minorHAnsi" w:hAnsiTheme="minorHAnsi" w:cstheme="minorHAnsi"/>
          <w:szCs w:val="24"/>
        </w:rPr>
      </w:pPr>
      <w:r w:rsidRPr="00C15420">
        <w:rPr>
          <w:rFonts w:asciiTheme="minorHAnsi" w:hAnsiTheme="minorHAnsi" w:cstheme="minorHAnsi"/>
          <w:szCs w:val="24"/>
        </w:rPr>
        <w:t>These biases are numerous and sometimes unexpected. For instance, people may be lured into paying attention to highly prominent things and, magpie-like, focus on only very limited attractions. People are also not as good at handling odds as they think they are</w:t>
      </w:r>
      <w:r w:rsidR="00FA6280" w:rsidRPr="00C15420">
        <w:rPr>
          <w:rFonts w:asciiTheme="minorHAnsi" w:hAnsiTheme="minorHAnsi" w:cstheme="minorHAnsi"/>
          <w:szCs w:val="24"/>
        </w:rPr>
        <w:t xml:space="preserve">: thus, they are averse to losses and yet </w:t>
      </w:r>
      <w:r w:rsidR="00EA42F1" w:rsidRPr="00C15420">
        <w:rPr>
          <w:rFonts w:asciiTheme="minorHAnsi" w:hAnsiTheme="minorHAnsi" w:cstheme="minorHAnsi"/>
          <w:szCs w:val="24"/>
        </w:rPr>
        <w:t>overestimate</w:t>
      </w:r>
      <w:r w:rsidR="00FA6280" w:rsidRPr="00C15420">
        <w:rPr>
          <w:rFonts w:asciiTheme="minorHAnsi" w:hAnsiTheme="minorHAnsi" w:cstheme="minorHAnsi"/>
          <w:szCs w:val="24"/>
        </w:rPr>
        <w:t xml:space="preserve"> the chances of winning in random scenarios. And they are </w:t>
      </w:r>
      <w:r w:rsidR="00C15420" w:rsidRPr="00C15420">
        <w:rPr>
          <w:rFonts w:asciiTheme="minorHAnsi" w:hAnsiTheme="minorHAnsi" w:cstheme="minorHAnsi"/>
          <w:szCs w:val="24"/>
        </w:rPr>
        <w:t xml:space="preserve">subtly </w:t>
      </w:r>
      <w:r w:rsidR="00FA6280" w:rsidRPr="00C15420">
        <w:rPr>
          <w:rFonts w:asciiTheme="minorHAnsi" w:hAnsiTheme="minorHAnsi" w:cstheme="minorHAnsi"/>
          <w:szCs w:val="24"/>
        </w:rPr>
        <w:t>influenced by the frame surrounding a decision or choice: no-one sets out to buy a power drill or screwdriver but rather they are motivated by the beautiful picture on their once-bare wall.</w:t>
      </w:r>
    </w:p>
    <w:p w14:paraId="7000F590" w14:textId="77777777" w:rsidR="00852E3B" w:rsidRPr="00852E3B" w:rsidRDefault="00852E3B" w:rsidP="00852E3B">
      <w:pPr>
        <w:pStyle w:val="ListParagraph"/>
        <w:jc w:val="both"/>
        <w:rPr>
          <w:rFonts w:asciiTheme="minorHAnsi" w:hAnsiTheme="minorHAnsi" w:cstheme="minorHAnsi"/>
          <w:szCs w:val="24"/>
        </w:rPr>
      </w:pPr>
    </w:p>
    <w:p w14:paraId="27191F11" w14:textId="31A53FB2" w:rsidR="003D3AA3" w:rsidRPr="00E85492" w:rsidRDefault="003D3AA3" w:rsidP="00505BE0">
      <w:pPr>
        <w:pStyle w:val="ListParagraph"/>
        <w:numPr>
          <w:ilvl w:val="0"/>
          <w:numId w:val="6"/>
        </w:numPr>
        <w:jc w:val="both"/>
        <w:rPr>
          <w:rFonts w:asciiTheme="minorHAnsi" w:hAnsiTheme="minorHAnsi" w:cstheme="minorHAnsi"/>
          <w:szCs w:val="24"/>
        </w:rPr>
      </w:pPr>
      <w:r w:rsidRPr="00E85492">
        <w:rPr>
          <w:rFonts w:asciiTheme="minorHAnsi" w:hAnsiTheme="minorHAnsi" w:cstheme="minorHAnsi"/>
          <w:szCs w:val="24"/>
        </w:rPr>
        <w:t xml:space="preserve">While this form of behaviour deviates from </w:t>
      </w:r>
      <w:r w:rsidR="00FA6280">
        <w:rPr>
          <w:rFonts w:asciiTheme="minorHAnsi" w:hAnsiTheme="minorHAnsi" w:cstheme="minorHAnsi"/>
          <w:szCs w:val="24"/>
        </w:rPr>
        <w:t>rational choice</w:t>
      </w:r>
      <w:r w:rsidR="003255BC" w:rsidRPr="00E85492">
        <w:rPr>
          <w:rFonts w:asciiTheme="minorHAnsi" w:hAnsiTheme="minorHAnsi" w:cstheme="minorHAnsi"/>
          <w:szCs w:val="24"/>
        </w:rPr>
        <w:t xml:space="preserve">, it would be wrong to label it as irrational. It should rather be seen as people making pragmatic </w:t>
      </w:r>
      <w:r w:rsidR="00C62CE6">
        <w:rPr>
          <w:rFonts w:asciiTheme="minorHAnsi" w:hAnsiTheme="minorHAnsi" w:cstheme="minorHAnsi"/>
          <w:szCs w:val="24"/>
        </w:rPr>
        <w:t xml:space="preserve">and intuitive </w:t>
      </w:r>
      <w:r w:rsidR="003255BC" w:rsidRPr="00E85492">
        <w:rPr>
          <w:rFonts w:asciiTheme="minorHAnsi" w:hAnsiTheme="minorHAnsi" w:cstheme="minorHAnsi"/>
          <w:szCs w:val="24"/>
        </w:rPr>
        <w:t xml:space="preserve">use of their cognitive resources and abilities. </w:t>
      </w:r>
      <w:r w:rsidR="0028692B">
        <w:rPr>
          <w:rFonts w:asciiTheme="minorHAnsi" w:hAnsiTheme="minorHAnsi" w:cstheme="minorHAnsi"/>
          <w:szCs w:val="24"/>
        </w:rPr>
        <w:t xml:space="preserve">Daniel </w:t>
      </w:r>
      <w:proofErr w:type="spellStart"/>
      <w:r w:rsidR="003255BC" w:rsidRPr="00E85492">
        <w:rPr>
          <w:rFonts w:asciiTheme="minorHAnsi" w:hAnsiTheme="minorHAnsi" w:cstheme="minorHAnsi"/>
          <w:szCs w:val="24"/>
        </w:rPr>
        <w:t>Kahneman’s</w:t>
      </w:r>
      <w:proofErr w:type="spellEnd"/>
      <w:r w:rsidR="003255BC" w:rsidRPr="00E85492">
        <w:rPr>
          <w:rStyle w:val="FootnoteReference"/>
          <w:rFonts w:asciiTheme="minorHAnsi" w:hAnsiTheme="minorHAnsi" w:cstheme="minorHAnsi"/>
          <w:szCs w:val="24"/>
        </w:rPr>
        <w:footnoteReference w:id="10"/>
      </w:r>
      <w:r w:rsidR="00346F32" w:rsidRPr="00E85492">
        <w:rPr>
          <w:rFonts w:asciiTheme="minorHAnsi" w:hAnsiTheme="minorHAnsi" w:cstheme="minorHAnsi"/>
          <w:szCs w:val="24"/>
        </w:rPr>
        <w:t xml:space="preserve"> seminal work in this area is summarised in Figure 1. His main conclusion is that we constantly use both intuitive, unconscious thinking and conscious, controlled reasoning at the same time. </w:t>
      </w:r>
      <w:r w:rsidR="00FA2AE8" w:rsidRPr="00E85492">
        <w:rPr>
          <w:rFonts w:asciiTheme="minorHAnsi" w:hAnsiTheme="minorHAnsi" w:cstheme="minorHAnsi"/>
          <w:szCs w:val="24"/>
        </w:rPr>
        <w:t>The</w:t>
      </w:r>
      <w:r w:rsidR="00346F32" w:rsidRPr="00E85492">
        <w:rPr>
          <w:rFonts w:asciiTheme="minorHAnsi" w:hAnsiTheme="minorHAnsi" w:cstheme="minorHAnsi"/>
          <w:szCs w:val="24"/>
        </w:rPr>
        <w:t xml:space="preserve"> former takes much less effort than the latter, and will thus often be used to make familiar or routine decisions, or to reach conclusions more quickly. </w:t>
      </w:r>
      <w:r w:rsidR="0028692B">
        <w:rPr>
          <w:rFonts w:asciiTheme="minorHAnsi" w:hAnsiTheme="minorHAnsi" w:cstheme="minorHAnsi"/>
          <w:szCs w:val="24"/>
        </w:rPr>
        <w:t xml:space="preserve">The conditioning effects of S1 thinking, he stresses, are </w:t>
      </w:r>
      <w:r w:rsidR="007466D8">
        <w:rPr>
          <w:rFonts w:asciiTheme="minorHAnsi" w:hAnsiTheme="minorHAnsi" w:cstheme="minorHAnsi"/>
          <w:szCs w:val="24"/>
        </w:rPr>
        <w:t>constantly present</w:t>
      </w:r>
      <w:r w:rsidR="00C62CE6">
        <w:rPr>
          <w:rFonts w:asciiTheme="minorHAnsi" w:hAnsiTheme="minorHAnsi" w:cstheme="minorHAnsi"/>
          <w:szCs w:val="24"/>
        </w:rPr>
        <w:t xml:space="preserve"> and affecting the space </w:t>
      </w:r>
      <w:r w:rsidR="0028692B">
        <w:rPr>
          <w:rFonts w:asciiTheme="minorHAnsi" w:hAnsiTheme="minorHAnsi" w:cstheme="minorHAnsi"/>
          <w:szCs w:val="24"/>
        </w:rPr>
        <w:t>in which S2 decision-making processes take place.</w:t>
      </w:r>
    </w:p>
    <w:p w14:paraId="2B896289" w14:textId="77777777" w:rsidR="00C62CE6" w:rsidRDefault="00C62CE6" w:rsidP="00346F32">
      <w:pPr>
        <w:jc w:val="both"/>
        <w:rPr>
          <w:rFonts w:cs="Times New Roman"/>
          <w:i/>
          <w:sz w:val="24"/>
          <w:szCs w:val="24"/>
        </w:rPr>
      </w:pPr>
    </w:p>
    <w:p w14:paraId="5095F790" w14:textId="77777777" w:rsidR="00C62CE6" w:rsidRDefault="00C62CE6" w:rsidP="00346F32">
      <w:pPr>
        <w:jc w:val="both"/>
        <w:rPr>
          <w:rFonts w:cs="Times New Roman"/>
          <w:i/>
          <w:sz w:val="24"/>
          <w:szCs w:val="24"/>
        </w:rPr>
      </w:pPr>
    </w:p>
    <w:p w14:paraId="24472854" w14:textId="77777777" w:rsidR="00C62CE6" w:rsidRDefault="00C62CE6" w:rsidP="00346F32">
      <w:pPr>
        <w:jc w:val="both"/>
        <w:rPr>
          <w:rFonts w:cs="Times New Roman"/>
          <w:i/>
          <w:sz w:val="24"/>
          <w:szCs w:val="24"/>
        </w:rPr>
      </w:pPr>
    </w:p>
    <w:p w14:paraId="58E2F043" w14:textId="77777777" w:rsidR="00C62CE6" w:rsidRDefault="00C62CE6" w:rsidP="00346F32">
      <w:pPr>
        <w:jc w:val="both"/>
        <w:rPr>
          <w:rFonts w:cs="Times New Roman"/>
          <w:i/>
          <w:sz w:val="24"/>
          <w:szCs w:val="24"/>
        </w:rPr>
      </w:pPr>
    </w:p>
    <w:p w14:paraId="15281AB3" w14:textId="77777777" w:rsidR="00C62CE6" w:rsidRDefault="00C62CE6" w:rsidP="00346F32">
      <w:pPr>
        <w:jc w:val="both"/>
        <w:rPr>
          <w:rFonts w:cs="Times New Roman"/>
          <w:i/>
          <w:sz w:val="24"/>
          <w:szCs w:val="24"/>
        </w:rPr>
      </w:pPr>
    </w:p>
    <w:p w14:paraId="3E950F22" w14:textId="77777777" w:rsidR="00C62CE6" w:rsidRDefault="00C62CE6" w:rsidP="00346F32">
      <w:pPr>
        <w:jc w:val="both"/>
        <w:rPr>
          <w:rFonts w:cs="Times New Roman"/>
          <w:i/>
          <w:sz w:val="24"/>
          <w:szCs w:val="24"/>
        </w:rPr>
      </w:pPr>
    </w:p>
    <w:p w14:paraId="27191F13" w14:textId="77777777" w:rsidR="00346F32" w:rsidRPr="00E85492" w:rsidRDefault="00346F32" w:rsidP="00346F32">
      <w:pPr>
        <w:jc w:val="both"/>
        <w:rPr>
          <w:rFonts w:cs="Times New Roman"/>
          <w:i/>
          <w:sz w:val="24"/>
          <w:szCs w:val="24"/>
        </w:rPr>
      </w:pPr>
      <w:r w:rsidRPr="00E85492">
        <w:rPr>
          <w:rFonts w:cs="Times New Roman"/>
          <w:i/>
          <w:sz w:val="24"/>
          <w:szCs w:val="24"/>
        </w:rPr>
        <w:lastRenderedPageBreak/>
        <w:t>Figure 1: Intuition and Reasoning.</w:t>
      </w:r>
    </w:p>
    <w:p w14:paraId="27191F14" w14:textId="77777777" w:rsidR="00346F32" w:rsidRDefault="00346F32" w:rsidP="00346F32">
      <w:pPr>
        <w:jc w:val="both"/>
        <w:rPr>
          <w:rFonts w:cs="Times New Roman"/>
        </w:rPr>
      </w:pPr>
      <w:r w:rsidRPr="001157D2">
        <w:rPr>
          <w:rFonts w:cs="Times New Roman"/>
          <w:noProof/>
          <w:lang w:eastAsia="en-GB"/>
        </w:rPr>
        <mc:AlternateContent>
          <mc:Choice Requires="wpg">
            <w:drawing>
              <wp:inline distT="0" distB="0" distL="0" distR="0" wp14:anchorId="27191F17" wp14:editId="34A4E91A">
                <wp:extent cx="5810250" cy="2476500"/>
                <wp:effectExtent l="0" t="0" r="19050" b="19050"/>
                <wp:docPr id="1" name="Group 1"/>
                <wp:cNvGraphicFramePr/>
                <a:graphic xmlns:a="http://schemas.openxmlformats.org/drawingml/2006/main">
                  <a:graphicData uri="http://schemas.microsoft.com/office/word/2010/wordprocessingGroup">
                    <wpg:wgp>
                      <wpg:cNvGrpSpPr/>
                      <wpg:grpSpPr>
                        <a:xfrm>
                          <a:off x="0" y="0"/>
                          <a:ext cx="5810250" cy="2476500"/>
                          <a:chOff x="1475656" y="2420888"/>
                          <a:chExt cx="5472608" cy="1584176"/>
                        </a:xfrm>
                      </wpg:grpSpPr>
                      <wps:wsp>
                        <wps:cNvPr id="4" name="Text Box 2"/>
                        <wps:cNvSpPr txBox="1">
                          <a:spLocks noChangeArrowheads="1"/>
                        </wps:cNvSpPr>
                        <wps:spPr bwMode="auto">
                          <a:xfrm>
                            <a:off x="1988997" y="2553998"/>
                            <a:ext cx="2280919" cy="398779"/>
                          </a:xfrm>
                          <a:prstGeom prst="rect">
                            <a:avLst/>
                          </a:prstGeom>
                          <a:solidFill>
                            <a:srgbClr val="FFFFFF"/>
                          </a:solidFill>
                          <a:ln w="9525">
                            <a:solidFill>
                              <a:srgbClr val="000000"/>
                            </a:solidFill>
                            <a:miter lim="800000"/>
                            <a:headEnd/>
                            <a:tailEnd/>
                          </a:ln>
                        </wps:spPr>
                        <wps:txbx>
                          <w:txbxContent>
                            <w:p w14:paraId="27191F1F" w14:textId="77777777" w:rsidR="00A065B9" w:rsidRDefault="00A065B9" w:rsidP="00346F32">
                              <w:pPr>
                                <w:pStyle w:val="NormalWeb"/>
                                <w:spacing w:before="0" w:beforeAutospacing="0" w:after="200" w:afterAutospacing="0"/>
                                <w:jc w:val="center"/>
                                <w:textAlignment w:val="baseline"/>
                              </w:pPr>
                              <w:r>
                                <w:rPr>
                                  <w:rFonts w:ascii="Calibri" w:eastAsia="MS PGothic" w:hAnsi="Calibri" w:cstheme="minorBidi"/>
                                  <w:b/>
                                  <w:bCs/>
                                  <w:color w:val="000000" w:themeColor="text1"/>
                                  <w:kern w:val="24"/>
                                  <w:sz w:val="22"/>
                                  <w:szCs w:val="22"/>
                                </w:rPr>
                                <w:t>System 1: Intuition</w:t>
                              </w:r>
                            </w:p>
                          </w:txbxContent>
                        </wps:txbx>
                        <wps:bodyPr vert="horz" wrap="square" lIns="91440" tIns="45720" rIns="91440" bIns="45720" numCol="1" anchor="t" anchorCtr="0" compatLnSpc="1">
                          <a:prstTxWarp prst="textNoShape">
                            <a:avLst/>
                          </a:prstTxWarp>
                          <a:noAutofit/>
                        </wps:bodyPr>
                      </wps:wsp>
                      <wps:wsp>
                        <wps:cNvPr id="5" name="Text Box 3"/>
                        <wps:cNvSpPr txBox="1">
                          <a:spLocks noChangeArrowheads="1"/>
                        </wps:cNvSpPr>
                        <wps:spPr bwMode="auto">
                          <a:xfrm>
                            <a:off x="4349533" y="2549238"/>
                            <a:ext cx="2282824" cy="398779"/>
                          </a:xfrm>
                          <a:prstGeom prst="rect">
                            <a:avLst/>
                          </a:prstGeom>
                          <a:solidFill>
                            <a:srgbClr val="FFFFFF"/>
                          </a:solidFill>
                          <a:ln w="9525">
                            <a:solidFill>
                              <a:srgbClr val="000000"/>
                            </a:solidFill>
                            <a:miter lim="800000"/>
                            <a:headEnd/>
                            <a:tailEnd/>
                          </a:ln>
                        </wps:spPr>
                        <wps:txbx>
                          <w:txbxContent>
                            <w:p w14:paraId="27191F20" w14:textId="77777777" w:rsidR="00A065B9" w:rsidRDefault="00A065B9" w:rsidP="00346F32">
                              <w:pPr>
                                <w:pStyle w:val="NormalWeb"/>
                                <w:spacing w:before="0" w:beforeAutospacing="0" w:after="200" w:afterAutospacing="0"/>
                                <w:jc w:val="center"/>
                                <w:textAlignment w:val="baseline"/>
                              </w:pPr>
                              <w:r>
                                <w:rPr>
                                  <w:rFonts w:ascii="Calibri" w:eastAsia="MS PGothic" w:hAnsi="Calibri" w:cstheme="minorBidi"/>
                                  <w:b/>
                                  <w:bCs/>
                                  <w:color w:val="000000" w:themeColor="text1"/>
                                  <w:kern w:val="24"/>
                                  <w:sz w:val="22"/>
                                  <w:szCs w:val="22"/>
                                </w:rPr>
                                <w:t>System 2: Reasoning</w:t>
                              </w:r>
                            </w:p>
                          </w:txbxContent>
                        </wps:txbx>
                        <wps:bodyPr vert="horz" wrap="square" lIns="91440" tIns="45720" rIns="91440" bIns="45720" numCol="1" anchor="t" anchorCtr="0" compatLnSpc="1">
                          <a:prstTxWarp prst="textNoShape">
                            <a:avLst/>
                          </a:prstTxWarp>
                          <a:noAutofit/>
                        </wps:bodyPr>
                      </wps:wsp>
                      <wps:wsp>
                        <wps:cNvPr id="6" name="Text Box 4"/>
                        <wps:cNvSpPr txBox="1">
                          <a:spLocks noChangeArrowheads="1"/>
                        </wps:cNvSpPr>
                        <wps:spPr bwMode="auto">
                          <a:xfrm>
                            <a:off x="1988997" y="3001537"/>
                            <a:ext cx="2276474" cy="993774"/>
                          </a:xfrm>
                          <a:prstGeom prst="rect">
                            <a:avLst/>
                          </a:prstGeom>
                          <a:solidFill>
                            <a:srgbClr val="FFFFFF"/>
                          </a:solidFill>
                          <a:ln w="9525">
                            <a:solidFill>
                              <a:srgbClr val="000000"/>
                            </a:solidFill>
                            <a:miter lim="800000"/>
                            <a:headEnd/>
                            <a:tailEnd/>
                          </a:ln>
                        </wps:spPr>
                        <wps:txbx>
                          <w:txbxContent>
                            <w:p w14:paraId="27191F21" w14:textId="77777777" w:rsidR="00A065B9" w:rsidRDefault="00A065B9" w:rsidP="00346F32">
                              <w:pPr>
                                <w:pStyle w:val="NormalWeb"/>
                                <w:spacing w:before="0" w:beforeAutospacing="0" w:after="200" w:afterAutospacing="0"/>
                                <w:jc w:val="center"/>
                                <w:textAlignment w:val="baseline"/>
                              </w:pPr>
                              <w:r>
                                <w:rPr>
                                  <w:rFonts w:ascii="Calibri" w:eastAsia="MS PGothic" w:hAnsi="Calibri" w:cstheme="minorBidi"/>
                                  <w:color w:val="000000" w:themeColor="text1"/>
                                  <w:kern w:val="24"/>
                                  <w:sz w:val="22"/>
                                  <w:szCs w:val="22"/>
                                </w:rPr>
                                <w:t>Automatic</w:t>
                              </w:r>
                            </w:p>
                            <w:p w14:paraId="27191F22" w14:textId="77777777" w:rsidR="00A065B9" w:rsidRDefault="00A065B9" w:rsidP="00346F32">
                              <w:pPr>
                                <w:pStyle w:val="NormalWeb"/>
                                <w:spacing w:before="0" w:beforeAutospacing="0" w:after="200" w:afterAutospacing="0"/>
                                <w:jc w:val="center"/>
                                <w:textAlignment w:val="baseline"/>
                              </w:pPr>
                              <w:r>
                                <w:rPr>
                                  <w:rFonts w:ascii="Calibri" w:eastAsia="MS PGothic" w:hAnsi="Calibri" w:cstheme="minorBidi"/>
                                  <w:color w:val="000000" w:themeColor="text1"/>
                                  <w:kern w:val="24"/>
                                  <w:sz w:val="22"/>
                                  <w:szCs w:val="22"/>
                                </w:rPr>
                                <w:t>Effortless</w:t>
                              </w:r>
                            </w:p>
                            <w:p w14:paraId="27191F23" w14:textId="77777777" w:rsidR="00A065B9" w:rsidRDefault="00A065B9" w:rsidP="00346F32">
                              <w:pPr>
                                <w:pStyle w:val="NormalWeb"/>
                                <w:spacing w:before="0" w:beforeAutospacing="0" w:after="200" w:afterAutospacing="0"/>
                                <w:jc w:val="center"/>
                                <w:textAlignment w:val="baseline"/>
                              </w:pPr>
                              <w:r>
                                <w:rPr>
                                  <w:rFonts w:ascii="Calibri" w:eastAsia="MS PGothic" w:hAnsi="Calibri" w:cstheme="minorBidi"/>
                                  <w:color w:val="000000" w:themeColor="text1"/>
                                  <w:kern w:val="24"/>
                                  <w:sz w:val="22"/>
                                  <w:szCs w:val="22"/>
                                </w:rPr>
                                <w:t>Emotional</w:t>
                              </w:r>
                            </w:p>
                          </w:txbxContent>
                        </wps:txbx>
                        <wps:bodyPr vert="horz" wrap="square" lIns="91440" tIns="45720" rIns="91440" bIns="45720" numCol="1" anchor="t" anchorCtr="0" compatLnSpc="1">
                          <a:prstTxWarp prst="textNoShape">
                            <a:avLst/>
                          </a:prstTxWarp>
                          <a:noAutofit/>
                        </wps:bodyPr>
                      </wps:wsp>
                      <wps:wsp>
                        <wps:cNvPr id="7" name="Text Box 5"/>
                        <wps:cNvSpPr txBox="1">
                          <a:spLocks noChangeArrowheads="1"/>
                        </wps:cNvSpPr>
                        <wps:spPr bwMode="auto">
                          <a:xfrm>
                            <a:off x="4355882" y="2996775"/>
                            <a:ext cx="2281554" cy="993774"/>
                          </a:xfrm>
                          <a:prstGeom prst="rect">
                            <a:avLst/>
                          </a:prstGeom>
                          <a:solidFill>
                            <a:srgbClr val="FFFFFF"/>
                          </a:solidFill>
                          <a:ln w="9525">
                            <a:solidFill>
                              <a:srgbClr val="000000"/>
                            </a:solidFill>
                            <a:miter lim="800000"/>
                            <a:headEnd/>
                            <a:tailEnd/>
                          </a:ln>
                        </wps:spPr>
                        <wps:txbx>
                          <w:txbxContent>
                            <w:p w14:paraId="27191F24" w14:textId="77777777" w:rsidR="00A065B9" w:rsidRDefault="00A065B9" w:rsidP="00346F32">
                              <w:pPr>
                                <w:pStyle w:val="NormalWeb"/>
                                <w:spacing w:before="0" w:beforeAutospacing="0" w:after="200" w:afterAutospacing="0"/>
                                <w:jc w:val="center"/>
                                <w:textAlignment w:val="baseline"/>
                              </w:pPr>
                              <w:r>
                                <w:rPr>
                                  <w:rFonts w:ascii="Calibri" w:eastAsia="MS PGothic" w:hAnsi="Calibri" w:cstheme="minorBidi"/>
                                  <w:color w:val="000000" w:themeColor="text1"/>
                                  <w:kern w:val="24"/>
                                  <w:sz w:val="22"/>
                                  <w:szCs w:val="22"/>
                                </w:rPr>
                                <w:t>Controlled</w:t>
                              </w:r>
                            </w:p>
                            <w:p w14:paraId="27191F25" w14:textId="77777777" w:rsidR="00A065B9" w:rsidRDefault="00A065B9" w:rsidP="00346F32">
                              <w:pPr>
                                <w:pStyle w:val="NormalWeb"/>
                                <w:spacing w:before="0" w:beforeAutospacing="0" w:after="200" w:afterAutospacing="0"/>
                                <w:jc w:val="center"/>
                                <w:textAlignment w:val="baseline"/>
                              </w:pPr>
                              <w:r>
                                <w:rPr>
                                  <w:rFonts w:ascii="Calibri" w:eastAsia="MS PGothic" w:hAnsi="Calibri" w:cstheme="minorBidi"/>
                                  <w:color w:val="000000" w:themeColor="text1"/>
                                  <w:kern w:val="24"/>
                                  <w:sz w:val="22"/>
                                  <w:szCs w:val="22"/>
                                </w:rPr>
                                <w:t>Effortful</w:t>
                              </w:r>
                            </w:p>
                            <w:p w14:paraId="27191F26" w14:textId="77777777" w:rsidR="00A065B9" w:rsidRDefault="00A065B9" w:rsidP="00346F32">
                              <w:pPr>
                                <w:pStyle w:val="NormalWeb"/>
                                <w:spacing w:before="0" w:beforeAutospacing="0" w:after="200" w:afterAutospacing="0"/>
                                <w:jc w:val="center"/>
                                <w:textAlignment w:val="baseline"/>
                              </w:pPr>
                              <w:r>
                                <w:rPr>
                                  <w:rFonts w:ascii="Calibri" w:eastAsia="MS PGothic" w:hAnsi="Calibri" w:cstheme="minorBidi"/>
                                  <w:color w:val="000000" w:themeColor="text1"/>
                                  <w:kern w:val="24"/>
                                  <w:sz w:val="22"/>
                                  <w:szCs w:val="22"/>
                                </w:rPr>
                                <w:t>Rule-Governed</w:t>
                              </w:r>
                            </w:p>
                          </w:txbxContent>
                        </wps:txbx>
                        <wps:bodyPr vert="horz" wrap="square" lIns="91440" tIns="45720" rIns="91440" bIns="45720" numCol="1" anchor="t" anchorCtr="0" compatLnSpc="1">
                          <a:prstTxWarp prst="textNoShape">
                            <a:avLst/>
                          </a:prstTxWarp>
                          <a:noAutofit/>
                        </wps:bodyPr>
                      </wps:wsp>
                      <wps:wsp>
                        <wps:cNvPr id="8" name="TextBox 7"/>
                        <wps:cNvSpPr txBox="1"/>
                        <wps:spPr>
                          <a:xfrm rot="16200000">
                            <a:off x="1110101" y="3074477"/>
                            <a:ext cx="1296146" cy="276999"/>
                          </a:xfrm>
                          <a:prstGeom prst="rect">
                            <a:avLst/>
                          </a:prstGeom>
                          <a:noFill/>
                          <a:ln>
                            <a:solidFill>
                              <a:schemeClr val="tx1"/>
                            </a:solidFill>
                          </a:ln>
                        </wps:spPr>
                        <wps:txbx>
                          <w:txbxContent>
                            <w:p w14:paraId="27191F27" w14:textId="77777777" w:rsidR="00A065B9" w:rsidRDefault="00A065B9" w:rsidP="00346F32">
                              <w:pPr>
                                <w:pStyle w:val="NormalWeb"/>
                                <w:spacing w:before="0" w:beforeAutospacing="0" w:after="0" w:afterAutospacing="0"/>
                                <w:jc w:val="center"/>
                                <w:textAlignment w:val="baseline"/>
                              </w:pPr>
                              <w:r>
                                <w:rPr>
                                  <w:rFonts w:ascii="Calibri" w:eastAsia="MS PGothic" w:hAnsi="Calibri" w:cstheme="minorBidi"/>
                                  <w:b/>
                                  <w:bCs/>
                                  <w:color w:val="000000" w:themeColor="text1"/>
                                  <w:kern w:val="24"/>
                                </w:rPr>
                                <w:t>Process</w:t>
                              </w:r>
                            </w:p>
                          </w:txbxContent>
                        </wps:txbx>
                        <wps:bodyPr wrap="square" rtlCol="0">
                          <a:noAutofit/>
                        </wps:bodyPr>
                      </wps:wsp>
                      <wps:wsp>
                        <wps:cNvPr id="9" name="Rectangle 9"/>
                        <wps:cNvSpPr/>
                        <wps:spPr>
                          <a:xfrm>
                            <a:off x="1475656" y="2420888"/>
                            <a:ext cx="5472608" cy="15841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191F28" w14:textId="77777777" w:rsidR="00A065B9" w:rsidRDefault="00A065B9" w:rsidP="00346F32">
                              <w:pPr>
                                <w:rPr>
                                  <w:rFonts w:eastAsia="Times New Roman"/>
                                </w:rPr>
                              </w:pPr>
                            </w:p>
                          </w:txbxContent>
                        </wps:txbx>
                        <wps:bodyPr rtlCol="0" anchor="ctr"/>
                      </wps:wsp>
                    </wpg:wgp>
                  </a:graphicData>
                </a:graphic>
              </wp:inline>
            </w:drawing>
          </mc:Choice>
          <mc:Fallback>
            <w:pict>
              <v:group id="Group 1" o:spid="_x0000_s1026" style="width:457.5pt;height:195pt;mso-position-horizontal-relative:char;mso-position-vertical-relative:line" coordorigin="14756,24208" coordsize="54726,15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">
                <v:shapetype id="_x0000_t202" coordsize="21600,21600" o:spt="202" path="m,l,21600r21600,l21600,xe">
                  <v:stroke joinstyle="miter"/>
                  <v:path gradientshapeok="t" o:connecttype="rect"/>
                </v:shapetype>
                <v:shape id="Text Box 2" o:spid="_x0000_s1027" type="#_x0000_t202" style="position:absolute;left:19889;top:25539;width:22810;height:3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27191F1F" w14:textId="77777777" w:rsidR="00A065B9" w:rsidRDefault="00A065B9" w:rsidP="00346F32">
                        <w:pPr>
                          <w:pStyle w:val="NormalWeb"/>
                          <w:spacing w:before="0" w:beforeAutospacing="0" w:after="200" w:afterAutospacing="0"/>
                          <w:jc w:val="center"/>
                          <w:textAlignment w:val="baseline"/>
                        </w:pPr>
                        <w:r>
                          <w:rPr>
                            <w:rFonts w:ascii="Calibri" w:eastAsia="MS PGothic" w:hAnsi="Calibri" w:cstheme="minorBidi"/>
                            <w:b/>
                            <w:bCs/>
                            <w:color w:val="000000" w:themeColor="text1"/>
                            <w:kern w:val="24"/>
                            <w:sz w:val="22"/>
                            <w:szCs w:val="22"/>
                          </w:rPr>
                          <w:t>System 1: Intuition</w:t>
                        </w:r>
                      </w:p>
                    </w:txbxContent>
                  </v:textbox>
                </v:shape>
                <v:shape id="Text Box 3" o:spid="_x0000_s1028" type="#_x0000_t202" style="position:absolute;left:43495;top:25492;width:22828;height:3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14:paraId="27191F20" w14:textId="77777777" w:rsidR="00A065B9" w:rsidRDefault="00A065B9" w:rsidP="00346F32">
                        <w:pPr>
                          <w:pStyle w:val="NormalWeb"/>
                          <w:spacing w:before="0" w:beforeAutospacing="0" w:after="200" w:afterAutospacing="0"/>
                          <w:jc w:val="center"/>
                          <w:textAlignment w:val="baseline"/>
                        </w:pPr>
                        <w:r>
                          <w:rPr>
                            <w:rFonts w:ascii="Calibri" w:eastAsia="MS PGothic" w:hAnsi="Calibri" w:cstheme="minorBidi"/>
                            <w:b/>
                            <w:bCs/>
                            <w:color w:val="000000" w:themeColor="text1"/>
                            <w:kern w:val="24"/>
                            <w:sz w:val="22"/>
                            <w:szCs w:val="22"/>
                          </w:rPr>
                          <w:t>System 2: Reasoning</w:t>
                        </w:r>
                      </w:p>
                    </w:txbxContent>
                  </v:textbox>
                </v:shape>
                <v:shape id="Text Box 4" o:spid="_x0000_s1029" type="#_x0000_t202" style="position:absolute;left:19889;top:30015;width:22765;height:9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27191F21" w14:textId="77777777" w:rsidR="00A065B9" w:rsidRDefault="00A065B9" w:rsidP="00346F32">
                        <w:pPr>
                          <w:pStyle w:val="NormalWeb"/>
                          <w:spacing w:before="0" w:beforeAutospacing="0" w:after="200" w:afterAutospacing="0"/>
                          <w:jc w:val="center"/>
                          <w:textAlignment w:val="baseline"/>
                        </w:pPr>
                        <w:r>
                          <w:rPr>
                            <w:rFonts w:ascii="Calibri" w:eastAsia="MS PGothic" w:hAnsi="Calibri" w:cstheme="minorBidi"/>
                            <w:color w:val="000000" w:themeColor="text1"/>
                            <w:kern w:val="24"/>
                            <w:sz w:val="22"/>
                            <w:szCs w:val="22"/>
                          </w:rPr>
                          <w:t>Automatic</w:t>
                        </w:r>
                      </w:p>
                      <w:p w14:paraId="27191F22" w14:textId="77777777" w:rsidR="00A065B9" w:rsidRDefault="00A065B9" w:rsidP="00346F32">
                        <w:pPr>
                          <w:pStyle w:val="NormalWeb"/>
                          <w:spacing w:before="0" w:beforeAutospacing="0" w:after="200" w:afterAutospacing="0"/>
                          <w:jc w:val="center"/>
                          <w:textAlignment w:val="baseline"/>
                        </w:pPr>
                        <w:r>
                          <w:rPr>
                            <w:rFonts w:ascii="Calibri" w:eastAsia="MS PGothic" w:hAnsi="Calibri" w:cstheme="minorBidi"/>
                            <w:color w:val="000000" w:themeColor="text1"/>
                            <w:kern w:val="24"/>
                            <w:sz w:val="22"/>
                            <w:szCs w:val="22"/>
                          </w:rPr>
                          <w:t>Effortless</w:t>
                        </w:r>
                      </w:p>
                      <w:p w14:paraId="27191F23" w14:textId="77777777" w:rsidR="00A065B9" w:rsidRDefault="00A065B9" w:rsidP="00346F32">
                        <w:pPr>
                          <w:pStyle w:val="NormalWeb"/>
                          <w:spacing w:before="0" w:beforeAutospacing="0" w:after="200" w:afterAutospacing="0"/>
                          <w:jc w:val="center"/>
                          <w:textAlignment w:val="baseline"/>
                        </w:pPr>
                        <w:r>
                          <w:rPr>
                            <w:rFonts w:ascii="Calibri" w:eastAsia="MS PGothic" w:hAnsi="Calibri" w:cstheme="minorBidi"/>
                            <w:color w:val="000000" w:themeColor="text1"/>
                            <w:kern w:val="24"/>
                            <w:sz w:val="22"/>
                            <w:szCs w:val="22"/>
                          </w:rPr>
                          <w:t>Emotional</w:t>
                        </w:r>
                      </w:p>
                    </w:txbxContent>
                  </v:textbox>
                </v:shape>
                <v:shape id="Text Box 5" o:spid="_x0000_s1030" type="#_x0000_t202" style="position:absolute;left:43558;top:29967;width:22816;height:9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14:paraId="27191F24" w14:textId="77777777" w:rsidR="00A065B9" w:rsidRDefault="00A065B9" w:rsidP="00346F32">
                        <w:pPr>
                          <w:pStyle w:val="NormalWeb"/>
                          <w:spacing w:before="0" w:beforeAutospacing="0" w:after="200" w:afterAutospacing="0"/>
                          <w:jc w:val="center"/>
                          <w:textAlignment w:val="baseline"/>
                        </w:pPr>
                        <w:r>
                          <w:rPr>
                            <w:rFonts w:ascii="Calibri" w:eastAsia="MS PGothic" w:hAnsi="Calibri" w:cstheme="minorBidi"/>
                            <w:color w:val="000000" w:themeColor="text1"/>
                            <w:kern w:val="24"/>
                            <w:sz w:val="22"/>
                            <w:szCs w:val="22"/>
                          </w:rPr>
                          <w:t>Controlled</w:t>
                        </w:r>
                      </w:p>
                      <w:p w14:paraId="27191F25" w14:textId="77777777" w:rsidR="00A065B9" w:rsidRDefault="00A065B9" w:rsidP="00346F32">
                        <w:pPr>
                          <w:pStyle w:val="NormalWeb"/>
                          <w:spacing w:before="0" w:beforeAutospacing="0" w:after="200" w:afterAutospacing="0"/>
                          <w:jc w:val="center"/>
                          <w:textAlignment w:val="baseline"/>
                        </w:pPr>
                        <w:r>
                          <w:rPr>
                            <w:rFonts w:ascii="Calibri" w:eastAsia="MS PGothic" w:hAnsi="Calibri" w:cstheme="minorBidi"/>
                            <w:color w:val="000000" w:themeColor="text1"/>
                            <w:kern w:val="24"/>
                            <w:sz w:val="22"/>
                            <w:szCs w:val="22"/>
                          </w:rPr>
                          <w:t>Effortful</w:t>
                        </w:r>
                      </w:p>
                      <w:p w14:paraId="27191F26" w14:textId="77777777" w:rsidR="00A065B9" w:rsidRDefault="00A065B9" w:rsidP="00346F32">
                        <w:pPr>
                          <w:pStyle w:val="NormalWeb"/>
                          <w:spacing w:before="0" w:beforeAutospacing="0" w:after="200" w:afterAutospacing="0"/>
                          <w:jc w:val="center"/>
                          <w:textAlignment w:val="baseline"/>
                        </w:pPr>
                        <w:r>
                          <w:rPr>
                            <w:rFonts w:ascii="Calibri" w:eastAsia="MS PGothic" w:hAnsi="Calibri" w:cstheme="minorBidi"/>
                            <w:color w:val="000000" w:themeColor="text1"/>
                            <w:kern w:val="24"/>
                            <w:sz w:val="22"/>
                            <w:szCs w:val="22"/>
                          </w:rPr>
                          <w:t>Rule-Governed</w:t>
                        </w:r>
                      </w:p>
                    </w:txbxContent>
                  </v:textbox>
                </v:shape>
                <v:shape id="TextBox 7" o:spid="_x0000_s1031" type="#_x0000_t202" style="position:absolute;left:11100;top:30745;width:12961;height:277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QTscEA&#10;AADaAAAADwAAAGRycy9kb3ducmV2LnhtbERP3WrCMBS+F3yHcARvZKaOIdI1llE2GHgzfx7gmJw1&#10;3ZqTrslqt6c3F4KXH99/UY6uFQP1ofGsYLXMQBBrbxquFZyObw8bECEiG2w9k4I/ClBup5MCc+Mv&#10;vKfhEGuRQjjkqMDG2OVSBm3JYVj6jjhxn753GBPsa2l6vKRw18rHLFtLhw2nBosdVZb09+HXKThX&#10;r4uPHx32g8Wv1U639v9pGJWaz8aXZxCRxngX39zvRkHamq6kG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kE7HBAAAA2gAAAA8AAAAAAAAAAAAAAAAAmAIAAGRycy9kb3du&#10;cmV2LnhtbFBLBQYAAAAABAAEAPUAAACGAwAAAAA=&#10;" filled="f" strokecolor="black [3213]">
                  <v:textbox>
                    <w:txbxContent>
                      <w:p w14:paraId="27191F27" w14:textId="77777777" w:rsidR="00A065B9" w:rsidRDefault="00A065B9" w:rsidP="00346F32">
                        <w:pPr>
                          <w:pStyle w:val="NormalWeb"/>
                          <w:spacing w:before="0" w:beforeAutospacing="0" w:after="0" w:afterAutospacing="0"/>
                          <w:jc w:val="center"/>
                          <w:textAlignment w:val="baseline"/>
                        </w:pPr>
                        <w:r>
                          <w:rPr>
                            <w:rFonts w:ascii="Calibri" w:eastAsia="MS PGothic" w:hAnsi="Calibri" w:cstheme="minorBidi"/>
                            <w:b/>
                            <w:bCs/>
                            <w:color w:val="000000" w:themeColor="text1"/>
                            <w:kern w:val="24"/>
                          </w:rPr>
                          <w:t>Process</w:t>
                        </w:r>
                      </w:p>
                    </w:txbxContent>
                  </v:textbox>
                </v:shape>
                <v:rect id="Rectangle 9" o:spid="_x0000_s1032" style="position:absolute;left:14756;top:24208;width:54726;height:15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MAssQA&#10;AADaAAAADwAAAGRycy9kb3ducmV2LnhtbESPQWsCMRSE74X+h/AKXqRm60Hq1ihSUBfBgloP3h6b&#10;52bp5iVsoq7/3ghCj8PMfMNMZp1txIXaUDtW8DHIQBCXTtdcKfjdL94/QYSIrLFxTApuFGA2fX2Z&#10;YK7dlbd02cVKJAiHHBWYGH0uZSgNWQwD54mTd3KtxZhkW0nd4jXBbSOHWTaSFmtOCwY9fRsq/3Zn&#10;q2CxMv25XG8Ovgg/Jzss/HLVPyrVe+vmXyAidfE//GwXWsEYHlfSDZ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zALLEAAAA2gAAAA8AAAAAAAAAAAAAAAAAmAIAAGRycy9k&#10;b3ducmV2LnhtbFBLBQYAAAAABAAEAPUAAACJAwAAAAA=&#10;" filled="f" strokecolor="black [3213]" strokeweight="2pt">
                  <v:textbox>
                    <w:txbxContent>
                      <w:p w14:paraId="27191F28" w14:textId="77777777" w:rsidR="00A065B9" w:rsidRDefault="00A065B9" w:rsidP="00346F32">
                        <w:pPr>
                          <w:rPr>
                            <w:rFonts w:eastAsia="Times New Roman"/>
                          </w:rPr>
                        </w:pPr>
                      </w:p>
                    </w:txbxContent>
                  </v:textbox>
                </v:rect>
                <w10:anchorlock/>
              </v:group>
            </w:pict>
          </mc:Fallback>
        </mc:AlternateContent>
      </w:r>
    </w:p>
    <w:p w14:paraId="27191F15" w14:textId="598DB18C" w:rsidR="00346F32" w:rsidRDefault="00852E3B" w:rsidP="00346F32">
      <w:pPr>
        <w:spacing w:line="240" w:lineRule="auto"/>
        <w:jc w:val="both"/>
        <w:rPr>
          <w:rFonts w:cs="Times New Roman"/>
          <w:i/>
          <w:sz w:val="20"/>
          <w:szCs w:val="20"/>
        </w:rPr>
      </w:pPr>
      <w:r>
        <w:rPr>
          <w:rFonts w:cs="Times New Roman"/>
          <w:sz w:val="20"/>
          <w:szCs w:val="20"/>
        </w:rPr>
        <w:t xml:space="preserve">Based on </w:t>
      </w:r>
      <w:proofErr w:type="spellStart"/>
      <w:r>
        <w:rPr>
          <w:rFonts w:cs="Times New Roman"/>
          <w:sz w:val="20"/>
          <w:szCs w:val="20"/>
        </w:rPr>
        <w:t>Kahneman</w:t>
      </w:r>
      <w:proofErr w:type="spellEnd"/>
      <w:r>
        <w:rPr>
          <w:rFonts w:cs="Times New Roman"/>
          <w:sz w:val="20"/>
          <w:szCs w:val="20"/>
        </w:rPr>
        <w:t>, D. (2002)</w:t>
      </w:r>
    </w:p>
    <w:p w14:paraId="19623F4F" w14:textId="77777777" w:rsidR="00FA2AE8" w:rsidRDefault="00FA2AE8" w:rsidP="00346F32">
      <w:pPr>
        <w:spacing w:line="240" w:lineRule="auto"/>
        <w:jc w:val="both"/>
        <w:rPr>
          <w:rFonts w:cs="Times New Roman"/>
        </w:rPr>
      </w:pPr>
    </w:p>
    <w:p w14:paraId="604ADE94" w14:textId="77777777" w:rsidR="00B70296" w:rsidRDefault="00E85492" w:rsidP="00505BE0">
      <w:pPr>
        <w:pStyle w:val="ListParagraph"/>
        <w:numPr>
          <w:ilvl w:val="0"/>
          <w:numId w:val="6"/>
        </w:numPr>
        <w:jc w:val="both"/>
        <w:rPr>
          <w:rFonts w:asciiTheme="minorHAnsi" w:hAnsiTheme="minorHAnsi" w:cstheme="minorHAnsi"/>
          <w:szCs w:val="24"/>
        </w:rPr>
      </w:pPr>
      <w:r w:rsidRPr="00C15420">
        <w:rPr>
          <w:rFonts w:asciiTheme="minorHAnsi" w:hAnsiTheme="minorHAnsi" w:cstheme="minorHAnsi"/>
          <w:szCs w:val="24"/>
        </w:rPr>
        <w:t xml:space="preserve">An important insight from this is that, far from always setting out to achieve the best possible </w:t>
      </w:r>
      <w:proofErr w:type="gramStart"/>
      <w:r w:rsidRPr="00C15420">
        <w:rPr>
          <w:rFonts w:asciiTheme="minorHAnsi" w:hAnsiTheme="minorHAnsi" w:cstheme="minorHAnsi"/>
          <w:szCs w:val="24"/>
        </w:rPr>
        <w:t>outcome,</w:t>
      </w:r>
      <w:proofErr w:type="gramEnd"/>
      <w:r w:rsidRPr="00C15420">
        <w:rPr>
          <w:rFonts w:asciiTheme="minorHAnsi" w:hAnsiTheme="minorHAnsi" w:cstheme="minorHAnsi"/>
          <w:szCs w:val="24"/>
        </w:rPr>
        <w:t xml:space="preserve"> people’s behaviour is more likely to comprise a series of ‘good enough’ decisions and outcomes. Specialists sometimes refer to this as ‘satisficing’ – the idea that people often aim to achieve much more than they accept in practice.</w:t>
      </w:r>
      <w:r w:rsidR="00775667" w:rsidRPr="00C15420">
        <w:rPr>
          <w:rFonts w:asciiTheme="minorHAnsi" w:hAnsiTheme="minorHAnsi" w:cstheme="minorHAnsi"/>
          <w:szCs w:val="24"/>
        </w:rPr>
        <w:t xml:space="preserve"> It is real-world behaviour and it is what matters.</w:t>
      </w:r>
      <w:r w:rsidR="00775667" w:rsidRPr="00C15420">
        <w:rPr>
          <w:rStyle w:val="FootnoteReference"/>
          <w:rFonts w:asciiTheme="minorHAnsi" w:hAnsiTheme="minorHAnsi" w:cstheme="minorHAnsi"/>
          <w:szCs w:val="24"/>
        </w:rPr>
        <w:footnoteReference w:id="11"/>
      </w:r>
    </w:p>
    <w:p w14:paraId="2E92AE17" w14:textId="77777777" w:rsidR="00B70296" w:rsidRDefault="00B70296" w:rsidP="00B70296">
      <w:pPr>
        <w:pStyle w:val="ListParagraph"/>
        <w:jc w:val="both"/>
        <w:rPr>
          <w:rFonts w:asciiTheme="minorHAnsi" w:hAnsiTheme="minorHAnsi" w:cstheme="minorHAnsi"/>
          <w:szCs w:val="24"/>
        </w:rPr>
      </w:pPr>
    </w:p>
    <w:p w14:paraId="3EC37DBB" w14:textId="4AE92C4C" w:rsidR="00B70296" w:rsidRDefault="00852E3B" w:rsidP="00505BE0">
      <w:pPr>
        <w:pStyle w:val="ListParagraph"/>
        <w:numPr>
          <w:ilvl w:val="0"/>
          <w:numId w:val="6"/>
        </w:numPr>
        <w:jc w:val="both"/>
        <w:rPr>
          <w:rFonts w:asciiTheme="minorHAnsi" w:hAnsiTheme="minorHAnsi" w:cstheme="minorHAnsi"/>
          <w:szCs w:val="24"/>
        </w:rPr>
      </w:pPr>
      <w:r w:rsidRPr="00B70296">
        <w:rPr>
          <w:rFonts w:asciiTheme="minorHAnsi" w:hAnsiTheme="minorHAnsi" w:cstheme="minorHAnsi"/>
          <w:szCs w:val="24"/>
        </w:rPr>
        <w:t xml:space="preserve">In some cases, people’s lives may necessitate numerous shortcuts and proxies in making such assessments. They may even struggle to know, let alone navigate, choice architectures facing them. They are often not in the best position to grasp what </w:t>
      </w:r>
      <w:r w:rsidR="00D93E72">
        <w:rPr>
          <w:rFonts w:asciiTheme="minorHAnsi" w:hAnsiTheme="minorHAnsi" w:cstheme="minorHAnsi"/>
          <w:szCs w:val="24"/>
        </w:rPr>
        <w:t>is</w:t>
      </w:r>
      <w:r w:rsidRPr="00B70296">
        <w:rPr>
          <w:rFonts w:asciiTheme="minorHAnsi" w:hAnsiTheme="minorHAnsi" w:cstheme="minorHAnsi"/>
          <w:szCs w:val="24"/>
        </w:rPr>
        <w:t xml:space="preserve"> in their own interests and are heavily reliant on paternalistic public bodies to protect t</w:t>
      </w:r>
      <w:r w:rsidR="00775667" w:rsidRPr="00B70296">
        <w:rPr>
          <w:rFonts w:asciiTheme="minorHAnsi" w:hAnsiTheme="minorHAnsi" w:cstheme="minorHAnsi"/>
          <w:szCs w:val="24"/>
        </w:rPr>
        <w:t>hem from harm or exploitation. For policy-makers, the implication is that things can be turned on their head: a</w:t>
      </w:r>
      <w:r w:rsidRPr="00B70296">
        <w:rPr>
          <w:rFonts w:asciiTheme="minorHAnsi" w:hAnsiTheme="minorHAnsi" w:cstheme="minorHAnsi"/>
          <w:szCs w:val="24"/>
        </w:rPr>
        <w:t xml:space="preserve">t an extreme, and given the pitfalls, it is </w:t>
      </w:r>
      <w:r w:rsidR="00775667" w:rsidRPr="00B70296">
        <w:rPr>
          <w:rFonts w:asciiTheme="minorHAnsi" w:hAnsiTheme="minorHAnsi" w:cstheme="minorHAnsi"/>
          <w:szCs w:val="24"/>
        </w:rPr>
        <w:t xml:space="preserve">a </w:t>
      </w:r>
      <w:r w:rsidRPr="00B70296">
        <w:rPr>
          <w:rFonts w:asciiTheme="minorHAnsi" w:hAnsiTheme="minorHAnsi" w:cstheme="minorHAnsi"/>
          <w:szCs w:val="24"/>
        </w:rPr>
        <w:t xml:space="preserve">wonder that </w:t>
      </w:r>
      <w:r w:rsidR="00424452" w:rsidRPr="00B70296">
        <w:rPr>
          <w:rFonts w:asciiTheme="minorHAnsi" w:hAnsiTheme="minorHAnsi" w:cstheme="minorHAnsi"/>
          <w:szCs w:val="24"/>
        </w:rPr>
        <w:t>neo</w:t>
      </w:r>
      <w:r w:rsidRPr="00B70296">
        <w:rPr>
          <w:rFonts w:asciiTheme="minorHAnsi" w:hAnsiTheme="minorHAnsi" w:cstheme="minorHAnsi"/>
          <w:szCs w:val="24"/>
        </w:rPr>
        <w:t>classical economic theory considers that anyone can have much more than a stab at navigating choice wisely.</w:t>
      </w:r>
      <w:r>
        <w:rPr>
          <w:rStyle w:val="FootnoteReference"/>
          <w:rFonts w:asciiTheme="minorHAnsi" w:hAnsiTheme="minorHAnsi" w:cstheme="minorHAnsi"/>
          <w:szCs w:val="24"/>
        </w:rPr>
        <w:footnoteReference w:id="12"/>
      </w:r>
      <w:r w:rsidR="00265C80" w:rsidRPr="00B70296">
        <w:rPr>
          <w:rFonts w:asciiTheme="minorHAnsi" w:hAnsiTheme="minorHAnsi" w:cstheme="minorHAnsi"/>
          <w:szCs w:val="24"/>
        </w:rPr>
        <w:t xml:space="preserve"> </w:t>
      </w:r>
    </w:p>
    <w:p w14:paraId="692876FC" w14:textId="77777777" w:rsidR="00B70296" w:rsidRPr="00B70296" w:rsidRDefault="00B70296" w:rsidP="00B70296">
      <w:pPr>
        <w:pStyle w:val="ListParagraph"/>
        <w:rPr>
          <w:rFonts w:asciiTheme="minorHAnsi" w:hAnsiTheme="minorHAnsi"/>
        </w:rPr>
      </w:pPr>
    </w:p>
    <w:p w14:paraId="3BA4A359" w14:textId="025A40C3" w:rsidR="00FA2AE8" w:rsidRPr="00B70296" w:rsidRDefault="00FA2AE8" w:rsidP="00505BE0">
      <w:pPr>
        <w:pStyle w:val="ListParagraph"/>
        <w:numPr>
          <w:ilvl w:val="0"/>
          <w:numId w:val="6"/>
        </w:numPr>
        <w:jc w:val="both"/>
        <w:rPr>
          <w:rFonts w:asciiTheme="minorHAnsi" w:hAnsiTheme="minorHAnsi" w:cstheme="minorHAnsi"/>
          <w:szCs w:val="24"/>
        </w:rPr>
      </w:pPr>
      <w:r w:rsidRPr="00B70296">
        <w:rPr>
          <w:rFonts w:asciiTheme="minorHAnsi" w:hAnsiTheme="minorHAnsi"/>
        </w:rPr>
        <w:t>Policies that ignore this di</w:t>
      </w:r>
      <w:r w:rsidR="00775667" w:rsidRPr="00B70296">
        <w:rPr>
          <w:rFonts w:asciiTheme="minorHAnsi" w:hAnsiTheme="minorHAnsi"/>
        </w:rPr>
        <w:t>stinction and only address the rational</w:t>
      </w:r>
      <w:r w:rsidRPr="00B70296">
        <w:rPr>
          <w:rFonts w:asciiTheme="minorHAnsi" w:hAnsiTheme="minorHAnsi"/>
        </w:rPr>
        <w:t xml:space="preserve"> part of decision-making are very likely to achieve outcomes below their potential. For example, </w:t>
      </w:r>
      <w:r w:rsidR="00BB2300" w:rsidRPr="00B70296">
        <w:rPr>
          <w:rFonts w:asciiTheme="minorHAnsi" w:hAnsiTheme="minorHAnsi" w:cs="Times New Roman"/>
        </w:rPr>
        <w:t>large-scale and costly information campaigns may be unable to overcome ingrained habits of those targeted. This may be the case in attempts to achieve a level playing field in the area of equalities, e.g. through equalising information</w:t>
      </w:r>
      <w:r w:rsidR="00775667" w:rsidRPr="00B70296">
        <w:rPr>
          <w:rFonts w:asciiTheme="minorHAnsi" w:hAnsiTheme="minorHAnsi" w:cs="Times New Roman"/>
        </w:rPr>
        <w:t xml:space="preserve"> and people’s awareness or </w:t>
      </w:r>
      <w:r w:rsidR="00775667" w:rsidRPr="00B70296">
        <w:rPr>
          <w:rFonts w:asciiTheme="minorHAnsi" w:hAnsiTheme="minorHAnsi" w:cs="Times New Roman"/>
        </w:rPr>
        <w:lastRenderedPageBreak/>
        <w:t xml:space="preserve">their </w:t>
      </w:r>
      <w:r w:rsidR="00BB2300" w:rsidRPr="00B70296">
        <w:rPr>
          <w:rFonts w:asciiTheme="minorHAnsi" w:hAnsiTheme="minorHAnsi" w:cs="Times New Roman"/>
        </w:rPr>
        <w:t xml:space="preserve">formal rights or </w:t>
      </w:r>
      <w:r w:rsidR="00775667" w:rsidRPr="00B70296">
        <w:rPr>
          <w:rFonts w:asciiTheme="minorHAnsi" w:hAnsiTheme="minorHAnsi" w:cs="Times New Roman"/>
        </w:rPr>
        <w:t xml:space="preserve">their take up of </w:t>
      </w:r>
      <w:r w:rsidR="000631EA" w:rsidRPr="00B70296">
        <w:rPr>
          <w:rFonts w:asciiTheme="minorHAnsi" w:hAnsiTheme="minorHAnsi" w:cs="Times New Roman"/>
        </w:rPr>
        <w:t xml:space="preserve">financial incentives. Policies can also have unintended consequences. </w:t>
      </w:r>
    </w:p>
    <w:p w14:paraId="33EF57C3" w14:textId="77777777" w:rsidR="00E85492" w:rsidRPr="00E85492" w:rsidRDefault="00E85492" w:rsidP="00E85492">
      <w:pPr>
        <w:pStyle w:val="ListParagraph"/>
        <w:rPr>
          <w:rFonts w:asciiTheme="minorHAnsi" w:hAnsiTheme="minorHAnsi" w:cstheme="minorHAnsi"/>
          <w:szCs w:val="24"/>
        </w:rPr>
      </w:pPr>
    </w:p>
    <w:p w14:paraId="71214D88" w14:textId="6501444A" w:rsidR="00E85492" w:rsidRDefault="00E85492" w:rsidP="00505BE0">
      <w:pPr>
        <w:pStyle w:val="ListParagraph"/>
        <w:numPr>
          <w:ilvl w:val="0"/>
          <w:numId w:val="6"/>
        </w:numPr>
        <w:jc w:val="both"/>
        <w:rPr>
          <w:rFonts w:asciiTheme="minorHAnsi" w:hAnsiTheme="minorHAnsi" w:cs="Times New Roman"/>
        </w:rPr>
      </w:pPr>
      <w:r>
        <w:rPr>
          <w:rFonts w:asciiTheme="minorHAnsi" w:hAnsiTheme="minorHAnsi" w:cs="Times New Roman"/>
        </w:rPr>
        <w:t>In the context of the UK, a systematic approach to make use of such forms of predictable behaviour is provided by the MINDSPACE framework</w:t>
      </w:r>
      <w:r w:rsidR="00A433D9">
        <w:rPr>
          <w:rFonts w:asciiTheme="minorHAnsi" w:hAnsiTheme="minorHAnsi" w:cs="Times New Roman"/>
        </w:rPr>
        <w:t>,</w:t>
      </w:r>
      <w:r>
        <w:rPr>
          <w:rStyle w:val="FootnoteReference"/>
          <w:rFonts w:asciiTheme="minorHAnsi" w:hAnsiTheme="minorHAnsi" w:cs="Times New Roman"/>
        </w:rPr>
        <w:footnoteReference w:id="13"/>
      </w:r>
      <w:r w:rsidR="000631EA">
        <w:rPr>
          <w:rFonts w:asciiTheme="minorHAnsi" w:hAnsiTheme="minorHAnsi" w:cs="Times New Roman"/>
        </w:rPr>
        <w:t xml:space="preserve"> which informs </w:t>
      </w:r>
      <w:r>
        <w:rPr>
          <w:rFonts w:asciiTheme="minorHAnsi" w:hAnsiTheme="minorHAnsi" w:cs="Times New Roman"/>
        </w:rPr>
        <w:t>this report. The a</w:t>
      </w:r>
      <w:r w:rsidR="000631EA">
        <w:rPr>
          <w:rFonts w:asciiTheme="minorHAnsi" w:hAnsiTheme="minorHAnsi" w:cs="Times New Roman"/>
        </w:rPr>
        <w:t xml:space="preserve">cronym refers to the levers of </w:t>
      </w:r>
      <w:r>
        <w:rPr>
          <w:rFonts w:asciiTheme="minorHAnsi" w:hAnsiTheme="minorHAnsi" w:cs="Times New Roman"/>
        </w:rPr>
        <w:t>Messenger, Incentives, Norms, Defaults, Salience, Priming,</w:t>
      </w:r>
      <w:r w:rsidR="0036639C">
        <w:rPr>
          <w:rFonts w:asciiTheme="minorHAnsi" w:hAnsiTheme="minorHAnsi" w:cs="Times New Roman"/>
        </w:rPr>
        <w:t xml:space="preserve"> Affects, Co</w:t>
      </w:r>
      <w:r w:rsidR="000631EA">
        <w:rPr>
          <w:rFonts w:asciiTheme="minorHAnsi" w:hAnsiTheme="minorHAnsi" w:cs="Times New Roman"/>
        </w:rPr>
        <w:t>mmitments and Ego</w:t>
      </w:r>
      <w:r w:rsidR="0036639C">
        <w:rPr>
          <w:rFonts w:asciiTheme="minorHAnsi" w:hAnsiTheme="minorHAnsi" w:cs="Times New Roman"/>
        </w:rPr>
        <w:t>, as explained below.</w:t>
      </w:r>
    </w:p>
    <w:p w14:paraId="62FB9B24" w14:textId="77777777" w:rsidR="00E636D4" w:rsidRPr="00E636D4" w:rsidRDefault="00E636D4" w:rsidP="00E636D4">
      <w:pPr>
        <w:pStyle w:val="ListParagraph"/>
        <w:rPr>
          <w:rFonts w:asciiTheme="minorHAnsi" w:hAnsiTheme="minorHAnsi" w:cs="Times New Roman"/>
        </w:rPr>
      </w:pPr>
    </w:p>
    <w:p w14:paraId="29880A30" w14:textId="410DF951" w:rsidR="00E636D4" w:rsidRPr="00B70296" w:rsidRDefault="00E636D4" w:rsidP="00505BE0">
      <w:pPr>
        <w:pStyle w:val="ListParagraph"/>
        <w:numPr>
          <w:ilvl w:val="0"/>
          <w:numId w:val="6"/>
        </w:numPr>
        <w:jc w:val="both"/>
        <w:rPr>
          <w:rFonts w:asciiTheme="minorHAnsi" w:hAnsiTheme="minorHAnsi" w:cs="Times New Roman"/>
        </w:rPr>
      </w:pPr>
      <w:r w:rsidRPr="00B70296">
        <w:rPr>
          <w:rFonts w:asciiTheme="minorHAnsi" w:hAnsiTheme="minorHAnsi" w:cs="Times New Roman"/>
        </w:rPr>
        <w:t>One field in which observed behaviour departs from rational choice theory is the interaction between individual behaviour and group behaviour.</w:t>
      </w:r>
      <w:r w:rsidR="002D77FC" w:rsidRPr="00B70296">
        <w:rPr>
          <w:rFonts w:asciiTheme="minorHAnsi" w:hAnsiTheme="minorHAnsi" w:cs="Times New Roman"/>
        </w:rPr>
        <w:t xml:space="preserve"> In reality, “we often just copy the actions of other people”.</w:t>
      </w:r>
      <w:r w:rsidR="00B70296" w:rsidRPr="00B70296">
        <w:rPr>
          <w:rStyle w:val="FootnoteReference"/>
          <w:rFonts w:asciiTheme="minorHAnsi" w:hAnsiTheme="minorHAnsi" w:cs="Times New Roman"/>
        </w:rPr>
        <w:footnoteReference w:id="14"/>
      </w:r>
      <w:r w:rsidR="002D77FC" w:rsidRPr="00B70296">
        <w:rPr>
          <w:rFonts w:asciiTheme="minorHAnsi" w:hAnsiTheme="minorHAnsi" w:cs="Times New Roman"/>
        </w:rPr>
        <w:t xml:space="preserve"> Importantly, this copying behaviour is strongest for actions by those groups with whom an individual </w:t>
      </w:r>
      <w:r w:rsidR="000631EA" w:rsidRPr="00B70296">
        <w:rPr>
          <w:rFonts w:asciiTheme="minorHAnsi" w:hAnsiTheme="minorHAnsi" w:cs="Times New Roman"/>
        </w:rPr>
        <w:t>identifies, demonstrating</w:t>
      </w:r>
      <w:r w:rsidR="002D77FC" w:rsidRPr="00B70296">
        <w:rPr>
          <w:rFonts w:asciiTheme="minorHAnsi" w:hAnsiTheme="minorHAnsi" w:cs="Times New Roman"/>
        </w:rPr>
        <w:t xml:space="preserve"> </w:t>
      </w:r>
      <w:r w:rsidR="000631EA" w:rsidRPr="00B70296">
        <w:rPr>
          <w:rFonts w:asciiTheme="minorHAnsi" w:hAnsiTheme="minorHAnsi" w:cs="Times New Roman"/>
        </w:rPr>
        <w:t>the effects of both Norms and Messengers</w:t>
      </w:r>
      <w:r w:rsidR="002D77FC" w:rsidRPr="00B70296">
        <w:rPr>
          <w:rFonts w:asciiTheme="minorHAnsi" w:hAnsiTheme="minorHAnsi" w:cs="Times New Roman"/>
        </w:rPr>
        <w:t>.</w:t>
      </w:r>
      <w:r w:rsidR="008203D5" w:rsidRPr="00B70296">
        <w:rPr>
          <w:rFonts w:asciiTheme="minorHAnsi" w:hAnsiTheme="minorHAnsi" w:cs="Times New Roman"/>
        </w:rPr>
        <w:t xml:space="preserve"> </w:t>
      </w:r>
      <w:r w:rsidR="000631EA" w:rsidRPr="00B70296">
        <w:rPr>
          <w:rFonts w:asciiTheme="minorHAnsi" w:hAnsiTheme="minorHAnsi" w:cs="Times New Roman"/>
        </w:rPr>
        <w:t xml:space="preserve">As a consequence, some interventions are </w:t>
      </w:r>
      <w:r w:rsidR="008203D5" w:rsidRPr="00B70296">
        <w:rPr>
          <w:rFonts w:asciiTheme="minorHAnsi" w:hAnsiTheme="minorHAnsi" w:cs="Times New Roman"/>
        </w:rPr>
        <w:t xml:space="preserve">likely to have a low degree of sustainability </w:t>
      </w:r>
      <w:r w:rsidR="000631EA" w:rsidRPr="00B70296">
        <w:rPr>
          <w:rFonts w:asciiTheme="minorHAnsi" w:hAnsiTheme="minorHAnsi" w:cs="Times New Roman"/>
        </w:rPr>
        <w:t xml:space="preserve">and/or </w:t>
      </w:r>
      <w:r w:rsidR="008203D5" w:rsidRPr="00B70296">
        <w:rPr>
          <w:rFonts w:asciiTheme="minorHAnsi" w:hAnsiTheme="minorHAnsi" w:cs="Times New Roman"/>
        </w:rPr>
        <w:t>be costly to enforce</w:t>
      </w:r>
      <w:r w:rsidR="000631EA" w:rsidRPr="00B70296">
        <w:rPr>
          <w:rFonts w:asciiTheme="minorHAnsi" w:hAnsiTheme="minorHAnsi" w:cs="Times New Roman"/>
        </w:rPr>
        <w:t>, as compared with</w:t>
      </w:r>
      <w:r w:rsidR="008203D5" w:rsidRPr="00B70296">
        <w:rPr>
          <w:rFonts w:asciiTheme="minorHAnsi" w:hAnsiTheme="minorHAnsi" w:cs="Times New Roman"/>
        </w:rPr>
        <w:t xml:space="preserve"> behaviour change inte</w:t>
      </w:r>
      <w:r w:rsidR="000631EA" w:rsidRPr="00B70296">
        <w:rPr>
          <w:rFonts w:asciiTheme="minorHAnsi" w:hAnsiTheme="minorHAnsi" w:cs="Times New Roman"/>
        </w:rPr>
        <w:t>rventions aimed at shap</w:t>
      </w:r>
      <w:r w:rsidR="008203D5" w:rsidRPr="00B70296">
        <w:rPr>
          <w:rFonts w:asciiTheme="minorHAnsi" w:hAnsiTheme="minorHAnsi" w:cs="Times New Roman"/>
        </w:rPr>
        <w:t xml:space="preserve">ing collective behaviour in the longer term, for example via </w:t>
      </w:r>
      <w:r w:rsidR="000631EA" w:rsidRPr="00B70296">
        <w:rPr>
          <w:rFonts w:asciiTheme="minorHAnsi" w:hAnsiTheme="minorHAnsi" w:cs="Times New Roman"/>
        </w:rPr>
        <w:t xml:space="preserve">new </w:t>
      </w:r>
      <w:r w:rsidR="008203D5" w:rsidRPr="00B70296">
        <w:rPr>
          <w:rFonts w:asciiTheme="minorHAnsi" w:hAnsiTheme="minorHAnsi" w:cs="Times New Roman"/>
        </w:rPr>
        <w:t>social norms.</w:t>
      </w:r>
    </w:p>
    <w:p w14:paraId="602015E7" w14:textId="77777777" w:rsidR="00C92A63" w:rsidRPr="00265C80" w:rsidRDefault="00C92A63" w:rsidP="00C92A63">
      <w:pPr>
        <w:pStyle w:val="ListParagraph"/>
        <w:rPr>
          <w:rFonts w:asciiTheme="minorHAnsi" w:hAnsiTheme="minorHAnsi" w:cs="Times New Roman"/>
          <w:highlight w:val="yellow"/>
        </w:rPr>
      </w:pPr>
    </w:p>
    <w:p w14:paraId="6C3FA168" w14:textId="53B12A54" w:rsidR="00C92A63" w:rsidRPr="00B70296" w:rsidRDefault="00C92A63" w:rsidP="00505BE0">
      <w:pPr>
        <w:pStyle w:val="ListParagraph"/>
        <w:numPr>
          <w:ilvl w:val="0"/>
          <w:numId w:val="6"/>
        </w:numPr>
        <w:jc w:val="both"/>
        <w:rPr>
          <w:rFonts w:asciiTheme="minorHAnsi" w:hAnsiTheme="minorHAnsi" w:cs="Times New Roman"/>
        </w:rPr>
      </w:pPr>
      <w:r w:rsidRPr="00B70296">
        <w:rPr>
          <w:rFonts w:asciiTheme="minorHAnsi" w:hAnsiTheme="minorHAnsi" w:cs="Times New Roman"/>
        </w:rPr>
        <w:t>A related aspect of human behaviour</w:t>
      </w:r>
      <w:r w:rsidR="000631EA" w:rsidRPr="00B70296">
        <w:rPr>
          <w:rFonts w:asciiTheme="minorHAnsi" w:hAnsiTheme="minorHAnsi" w:cs="Times New Roman"/>
        </w:rPr>
        <w:t xml:space="preserve"> in practice lies in assessing</w:t>
      </w:r>
      <w:r w:rsidRPr="00B70296">
        <w:rPr>
          <w:rFonts w:asciiTheme="minorHAnsi" w:hAnsiTheme="minorHAnsi" w:cs="Times New Roman"/>
        </w:rPr>
        <w:t xml:space="preserve"> altruistic motivations. This covers areas such as volunteer work and socialising with friends and family. Contrary to the predictions of rational choice models, financial rewards may in practice work as a disincentive in these cases.  Conversely, the introduction of fines has been found to make behaviour</w:t>
      </w:r>
      <w:r w:rsidR="00A433D9" w:rsidRPr="00B70296">
        <w:rPr>
          <w:rFonts w:asciiTheme="minorHAnsi" w:hAnsiTheme="minorHAnsi" w:cs="Times New Roman"/>
        </w:rPr>
        <w:t xml:space="preserve"> acceptable</w:t>
      </w:r>
      <w:r w:rsidRPr="00B70296">
        <w:rPr>
          <w:rFonts w:asciiTheme="minorHAnsi" w:hAnsiTheme="minorHAnsi" w:cs="Times New Roman"/>
        </w:rPr>
        <w:t xml:space="preserve"> that is usually seen as unattractive </w:t>
      </w:r>
      <w:r w:rsidR="00A433D9" w:rsidRPr="00B70296">
        <w:rPr>
          <w:rFonts w:asciiTheme="minorHAnsi" w:hAnsiTheme="minorHAnsi" w:cs="Times New Roman"/>
        </w:rPr>
        <w:t>(</w:t>
      </w:r>
      <w:r w:rsidRPr="00B70296">
        <w:rPr>
          <w:rFonts w:asciiTheme="minorHAnsi" w:hAnsiTheme="minorHAnsi" w:cs="Times New Roman"/>
        </w:rPr>
        <w:t xml:space="preserve">due to </w:t>
      </w:r>
      <w:r w:rsidR="00193A36" w:rsidRPr="00B70296">
        <w:rPr>
          <w:rFonts w:asciiTheme="minorHAnsi" w:hAnsiTheme="minorHAnsi" w:cs="Times New Roman"/>
        </w:rPr>
        <w:t xml:space="preserve">altruistic </w:t>
      </w:r>
      <w:r w:rsidRPr="00B70296">
        <w:rPr>
          <w:rFonts w:asciiTheme="minorHAnsi" w:hAnsiTheme="minorHAnsi" w:cs="Times New Roman"/>
        </w:rPr>
        <w:t>motivations</w:t>
      </w:r>
      <w:r w:rsidR="00A433D9" w:rsidRPr="00B70296">
        <w:rPr>
          <w:rFonts w:asciiTheme="minorHAnsi" w:hAnsiTheme="minorHAnsi" w:cs="Times New Roman"/>
        </w:rPr>
        <w:t>)</w:t>
      </w:r>
      <w:r w:rsidR="00424452" w:rsidRPr="00B70296">
        <w:rPr>
          <w:rFonts w:asciiTheme="minorHAnsi" w:hAnsiTheme="minorHAnsi" w:cs="Times New Roman"/>
        </w:rPr>
        <w:t>.</w:t>
      </w:r>
      <w:r w:rsidR="00FE130B" w:rsidRPr="00B70296">
        <w:rPr>
          <w:rFonts w:cs="Times New Roman"/>
        </w:rPr>
        <w:t xml:space="preserve"> </w:t>
      </w:r>
      <w:r w:rsidR="00FE130B" w:rsidRPr="00B70296">
        <w:rPr>
          <w:rFonts w:asciiTheme="minorHAnsi" w:hAnsiTheme="minorHAnsi" w:cs="Times New Roman"/>
        </w:rPr>
        <w:t>For e</w:t>
      </w:r>
      <w:r w:rsidR="000631EA" w:rsidRPr="00B70296">
        <w:rPr>
          <w:rFonts w:asciiTheme="minorHAnsi" w:hAnsiTheme="minorHAnsi" w:cs="Times New Roman"/>
        </w:rPr>
        <w:t>xample, in one case,</w:t>
      </w:r>
      <w:r w:rsidR="00FE130B" w:rsidRPr="00B70296">
        <w:rPr>
          <w:rFonts w:asciiTheme="minorHAnsi" w:hAnsiTheme="minorHAnsi" w:cs="Times New Roman"/>
        </w:rPr>
        <w:t xml:space="preserve"> small fines for parents who were late picking </w:t>
      </w:r>
      <w:r w:rsidR="00F74247">
        <w:rPr>
          <w:rFonts w:asciiTheme="minorHAnsi" w:hAnsiTheme="minorHAnsi" w:cs="Times New Roman"/>
        </w:rPr>
        <w:t xml:space="preserve">in </w:t>
      </w:r>
      <w:r w:rsidR="00FE130B" w:rsidRPr="00B70296">
        <w:rPr>
          <w:rFonts w:asciiTheme="minorHAnsi" w:hAnsiTheme="minorHAnsi" w:cs="Times New Roman"/>
        </w:rPr>
        <w:t>up their children from a nursery school in Israel led to an increase in the number of parents who came late</w:t>
      </w:r>
      <w:r w:rsidR="000631EA" w:rsidRPr="00B70296">
        <w:rPr>
          <w:rFonts w:asciiTheme="minorHAnsi" w:hAnsiTheme="minorHAnsi" w:cs="Times New Roman"/>
        </w:rPr>
        <w:t>.</w:t>
      </w:r>
      <w:r w:rsidR="00FE130B" w:rsidRPr="00B70296">
        <w:rPr>
          <w:rStyle w:val="FootnoteReference"/>
          <w:rFonts w:asciiTheme="minorHAnsi" w:hAnsiTheme="minorHAnsi" w:cs="Times New Roman"/>
        </w:rPr>
        <w:footnoteReference w:id="15"/>
      </w:r>
      <w:r w:rsidR="00FE130B" w:rsidRPr="00B70296">
        <w:rPr>
          <w:rFonts w:asciiTheme="minorHAnsi" w:hAnsiTheme="minorHAnsi" w:cs="Times New Roman"/>
        </w:rPr>
        <w:t xml:space="preserve"> While letting school staff wait for parents to pick up their children had previously caused parents discomfort and was seen as morally wrong, small fines were seen as a ‘fair price’, </w:t>
      </w:r>
      <w:r w:rsidR="00F74247">
        <w:rPr>
          <w:rFonts w:asciiTheme="minorHAnsi" w:hAnsiTheme="minorHAnsi" w:cs="Times New Roman"/>
        </w:rPr>
        <w:t xml:space="preserve">perversely </w:t>
      </w:r>
      <w:r w:rsidR="00FE130B" w:rsidRPr="00B70296">
        <w:rPr>
          <w:rFonts w:asciiTheme="minorHAnsi" w:hAnsiTheme="minorHAnsi" w:cs="Times New Roman"/>
        </w:rPr>
        <w:t xml:space="preserve">making delays more </w:t>
      </w:r>
      <w:r w:rsidR="000631EA" w:rsidRPr="00B70296">
        <w:rPr>
          <w:rFonts w:asciiTheme="minorHAnsi" w:hAnsiTheme="minorHAnsi" w:cs="Times New Roman"/>
        </w:rPr>
        <w:t xml:space="preserve">socially </w:t>
      </w:r>
      <w:r w:rsidR="00FE130B" w:rsidRPr="00B70296">
        <w:rPr>
          <w:rFonts w:asciiTheme="minorHAnsi" w:hAnsiTheme="minorHAnsi" w:cs="Times New Roman"/>
        </w:rPr>
        <w:t xml:space="preserve">acceptable. </w:t>
      </w:r>
    </w:p>
    <w:p w14:paraId="2EF79130" w14:textId="76D59E65" w:rsidR="008F15EA" w:rsidRDefault="008F15EA">
      <w:pPr>
        <w:rPr>
          <w:rFonts w:cs="Times New Roman"/>
          <w:b/>
          <w:sz w:val="24"/>
          <w:szCs w:val="24"/>
        </w:rPr>
      </w:pPr>
    </w:p>
    <w:p w14:paraId="45FD0A54" w14:textId="77777777" w:rsidR="00545610" w:rsidRDefault="00545610">
      <w:pPr>
        <w:rPr>
          <w:rFonts w:cs="Times New Roman"/>
          <w:b/>
          <w:sz w:val="24"/>
          <w:szCs w:val="24"/>
        </w:rPr>
      </w:pPr>
      <w:r>
        <w:rPr>
          <w:rFonts w:cs="Times New Roman"/>
          <w:b/>
          <w:sz w:val="24"/>
          <w:szCs w:val="24"/>
        </w:rPr>
        <w:br w:type="page"/>
      </w:r>
    </w:p>
    <w:p w14:paraId="2F2E0FD0" w14:textId="7C2A8DFC" w:rsidR="002538DD" w:rsidRPr="0036639C" w:rsidRDefault="00545610" w:rsidP="0048308C">
      <w:pPr>
        <w:ind w:right="521"/>
        <w:rPr>
          <w:rFonts w:cs="Times New Roman"/>
          <w:b/>
          <w:sz w:val="24"/>
          <w:szCs w:val="24"/>
        </w:rPr>
      </w:pPr>
      <w:r>
        <w:rPr>
          <w:rFonts w:cs="Times New Roman"/>
          <w:b/>
          <w:noProof/>
          <w:sz w:val="24"/>
          <w:szCs w:val="24"/>
          <w:lang w:eastAsia="en-GB"/>
        </w:rPr>
        <w:lastRenderedPageBreak/>
        <mc:AlternateContent>
          <mc:Choice Requires="wps">
            <w:drawing>
              <wp:anchor distT="0" distB="0" distL="114300" distR="114300" simplePos="0" relativeHeight="251659264" behindDoc="1" locked="0" layoutInCell="1" allowOverlap="1" wp14:anchorId="5896F00C" wp14:editId="07960226">
                <wp:simplePos x="0" y="0"/>
                <wp:positionH relativeFrom="column">
                  <wp:posOffset>-123825</wp:posOffset>
                </wp:positionH>
                <wp:positionV relativeFrom="paragraph">
                  <wp:posOffset>-245110</wp:posOffset>
                </wp:positionV>
                <wp:extent cx="5629275" cy="65246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5629275" cy="6524625"/>
                        </a:xfrm>
                        <a:prstGeom prst="roundRect">
                          <a:avLst>
                            <a:gd name="adj" fmla="val 3176"/>
                          </a:avLst>
                        </a:prstGeom>
                        <a:solidFill>
                          <a:schemeClr val="accent1">
                            <a:alpha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ounded Rectangle 2" o:spid="_x0000_s1026" style="position:absolute;margin-left:-9.75pt;margin-top:-19.3pt;width:443.25pt;height:5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" fillcolor="#4f81bd [3204]" strokecolor="#243f60 [1604]" strokeweight="2pt">
                <v:fill opacity="32896f"/>
              </v:roundrect>
            </w:pict>
          </mc:Fallback>
        </mc:AlternateContent>
      </w:r>
      <w:r w:rsidR="0036639C">
        <w:rPr>
          <w:rFonts w:cs="Times New Roman"/>
          <w:b/>
          <w:sz w:val="24"/>
          <w:szCs w:val="24"/>
        </w:rPr>
        <w:t>MINDSPACE</w:t>
      </w:r>
    </w:p>
    <w:p w14:paraId="62C32959" w14:textId="120B6AA6" w:rsidR="002538DD" w:rsidRPr="0036639C" w:rsidRDefault="002538DD" w:rsidP="0048308C">
      <w:pPr>
        <w:ind w:right="521"/>
        <w:rPr>
          <w:rFonts w:cstheme="minorHAnsi"/>
          <w:b/>
        </w:rPr>
      </w:pPr>
      <w:r w:rsidRPr="0036639C">
        <w:rPr>
          <w:rFonts w:cstheme="minorHAnsi"/>
          <w:b/>
        </w:rPr>
        <w:t>Messenger</w:t>
      </w:r>
      <w:r w:rsidRPr="002538DD">
        <w:rPr>
          <w:rFonts w:cstheme="minorHAnsi"/>
        </w:rPr>
        <w:t xml:space="preserve"> refers to the question of who communicates information. Regardless of the content of the message, it will be more convincing where the messenger is regarded as an expert, where he is part of the audience’s peer group, and where the choice of messenger does not undermine the message.</w:t>
      </w:r>
    </w:p>
    <w:p w14:paraId="4316C469" w14:textId="0AAF4398" w:rsidR="002538DD" w:rsidRPr="0036639C" w:rsidRDefault="002538DD" w:rsidP="0048308C">
      <w:pPr>
        <w:ind w:right="521"/>
        <w:jc w:val="both"/>
        <w:rPr>
          <w:rFonts w:cstheme="minorHAnsi"/>
        </w:rPr>
      </w:pPr>
      <w:r w:rsidRPr="0036639C">
        <w:rPr>
          <w:rFonts w:cstheme="minorHAnsi"/>
          <w:b/>
        </w:rPr>
        <w:t>Incentives</w:t>
      </w:r>
      <w:r w:rsidRPr="0036639C">
        <w:rPr>
          <w:rFonts w:cstheme="minorHAnsi"/>
        </w:rPr>
        <w:t xml:space="preserve"> extend beyond the profit maximisation in classical economic theory</w:t>
      </w:r>
      <w:r w:rsidR="0036639C">
        <w:rPr>
          <w:rFonts w:cstheme="minorHAnsi"/>
        </w:rPr>
        <w:t>. For example, in reality people will dislike losses more than they like gains, value the present higher than the future but later on regret their decision, and be poor at estimating probabilities.</w:t>
      </w:r>
    </w:p>
    <w:p w14:paraId="5B79D107" w14:textId="4683942F" w:rsidR="002538DD" w:rsidRPr="0036639C" w:rsidRDefault="002538DD" w:rsidP="0048308C">
      <w:pPr>
        <w:ind w:right="521"/>
        <w:jc w:val="both"/>
        <w:rPr>
          <w:rFonts w:cstheme="minorHAnsi"/>
        </w:rPr>
      </w:pPr>
      <w:r w:rsidRPr="0036639C">
        <w:rPr>
          <w:rFonts w:cstheme="minorHAnsi"/>
          <w:b/>
        </w:rPr>
        <w:t>Norms</w:t>
      </w:r>
      <w:r w:rsidRPr="0036639C">
        <w:rPr>
          <w:rFonts w:cstheme="minorHAnsi"/>
        </w:rPr>
        <w:t xml:space="preserve"> refer to the desire to adhere to what those around an individual are doing, irrespective of the payoffs. </w:t>
      </w:r>
      <w:r w:rsidR="0036639C">
        <w:rPr>
          <w:rFonts w:cstheme="minorHAnsi"/>
        </w:rPr>
        <w:t xml:space="preserve">Importantly, this may relate to both an individual’s perceived peer group and their </w:t>
      </w:r>
      <w:r w:rsidR="00DF398B">
        <w:rPr>
          <w:rFonts w:cstheme="minorHAnsi"/>
        </w:rPr>
        <w:t xml:space="preserve">current physical surroundings. </w:t>
      </w:r>
    </w:p>
    <w:p w14:paraId="6B54CE0F" w14:textId="4EF09BBB" w:rsidR="002538DD" w:rsidRPr="0036639C" w:rsidRDefault="002538DD" w:rsidP="0048308C">
      <w:pPr>
        <w:ind w:right="521"/>
        <w:jc w:val="both"/>
        <w:rPr>
          <w:rFonts w:cstheme="minorHAnsi"/>
        </w:rPr>
      </w:pPr>
      <w:r w:rsidRPr="0036639C">
        <w:rPr>
          <w:rFonts w:cstheme="minorHAnsi"/>
          <w:b/>
        </w:rPr>
        <w:t>Defaults</w:t>
      </w:r>
      <w:r w:rsidRPr="0036639C">
        <w:rPr>
          <w:rFonts w:cstheme="minorHAnsi"/>
        </w:rPr>
        <w:t xml:space="preserve"> refer to the low inclination to deviate from pre-set options, everything else being equal. </w:t>
      </w:r>
      <w:r w:rsidR="00DF398B">
        <w:rPr>
          <w:rFonts w:cstheme="minorHAnsi"/>
        </w:rPr>
        <w:t>This is the rationale for opt-out pension systems with the aim of increasing participation.</w:t>
      </w:r>
    </w:p>
    <w:p w14:paraId="2F721175" w14:textId="082B9FE4" w:rsidR="002538DD" w:rsidRPr="0036639C" w:rsidRDefault="002538DD" w:rsidP="0048308C">
      <w:pPr>
        <w:ind w:right="521"/>
        <w:jc w:val="both"/>
        <w:rPr>
          <w:rFonts w:cstheme="minorHAnsi"/>
        </w:rPr>
      </w:pPr>
      <w:r w:rsidRPr="0036639C">
        <w:rPr>
          <w:rFonts w:cstheme="minorHAnsi"/>
          <w:b/>
        </w:rPr>
        <w:t>Salience</w:t>
      </w:r>
      <w:r w:rsidRPr="0036639C">
        <w:rPr>
          <w:rFonts w:cstheme="minorHAnsi"/>
        </w:rPr>
        <w:t xml:space="preserve"> describes the allocation of attention to more ‘accessible’ stimuli, which tend to be novel, simple and/or highly visible</w:t>
      </w:r>
      <w:r w:rsidR="00DF398B">
        <w:rPr>
          <w:rFonts w:cstheme="minorHAnsi"/>
        </w:rPr>
        <w:t>.</w:t>
      </w:r>
      <w:r w:rsidRPr="0036639C">
        <w:rPr>
          <w:rFonts w:cstheme="minorHAnsi"/>
        </w:rPr>
        <w:t xml:space="preserve"> </w:t>
      </w:r>
    </w:p>
    <w:p w14:paraId="461480A8" w14:textId="099DAEA7" w:rsidR="002538DD" w:rsidRPr="0036639C" w:rsidRDefault="002538DD" w:rsidP="0048308C">
      <w:pPr>
        <w:ind w:right="521"/>
        <w:jc w:val="both"/>
        <w:rPr>
          <w:rFonts w:cstheme="minorHAnsi"/>
        </w:rPr>
      </w:pPr>
      <w:r w:rsidRPr="0036639C">
        <w:rPr>
          <w:rFonts w:cstheme="minorHAnsi"/>
          <w:b/>
        </w:rPr>
        <w:t>Priming</w:t>
      </w:r>
      <w:r w:rsidRPr="0036639C">
        <w:rPr>
          <w:rFonts w:cstheme="minorHAnsi"/>
        </w:rPr>
        <w:t xml:space="preserve"> refers to the influence of sub-conscious cues, which again influence behaviour by making certain thoughts more accessible than others. </w:t>
      </w:r>
      <w:r w:rsidR="00DF398B">
        <w:rPr>
          <w:rFonts w:cstheme="minorHAnsi"/>
        </w:rPr>
        <w:t>Supermarkets’ use of smells to increase sales, for example of fresh bread, is based on this mechanism.</w:t>
      </w:r>
    </w:p>
    <w:p w14:paraId="1B988DFE" w14:textId="77777777" w:rsidR="002538DD" w:rsidRPr="0036639C" w:rsidRDefault="002538DD" w:rsidP="0048308C">
      <w:pPr>
        <w:ind w:right="521"/>
        <w:jc w:val="both"/>
        <w:rPr>
          <w:rFonts w:cstheme="minorHAnsi"/>
        </w:rPr>
      </w:pPr>
      <w:r w:rsidRPr="0036639C">
        <w:rPr>
          <w:rFonts w:cstheme="minorHAnsi"/>
          <w:b/>
        </w:rPr>
        <w:t>Affect</w:t>
      </w:r>
      <w:r w:rsidRPr="0036639C">
        <w:rPr>
          <w:rFonts w:cstheme="minorHAnsi"/>
        </w:rPr>
        <w:t xml:space="preserve"> means the influences which emotions have on judgments and decisions. </w:t>
      </w:r>
    </w:p>
    <w:p w14:paraId="468BFE66" w14:textId="1749A31E" w:rsidR="002538DD" w:rsidRPr="0036639C" w:rsidRDefault="002538DD" w:rsidP="0048308C">
      <w:pPr>
        <w:ind w:right="521"/>
        <w:jc w:val="both"/>
        <w:rPr>
          <w:rFonts w:cstheme="minorHAnsi"/>
        </w:rPr>
      </w:pPr>
      <w:r w:rsidRPr="0036639C">
        <w:rPr>
          <w:rFonts w:cstheme="minorHAnsi"/>
          <w:b/>
        </w:rPr>
        <w:t>Commitments</w:t>
      </w:r>
      <w:r w:rsidRPr="0036639C">
        <w:rPr>
          <w:rFonts w:cstheme="minorHAnsi"/>
        </w:rPr>
        <w:t xml:space="preserve"> are devices employed by individuals who are aware of their inconsistent </w:t>
      </w:r>
      <w:r w:rsidR="00DF398B">
        <w:rPr>
          <w:rFonts w:cstheme="minorHAnsi"/>
        </w:rPr>
        <w:t>behaviour</w:t>
      </w:r>
      <w:r w:rsidRPr="0036639C">
        <w:rPr>
          <w:rFonts w:cstheme="minorHAnsi"/>
        </w:rPr>
        <w:t>, in order to achieve their long-term objectives. They will be more effective where they are formal, public and reciprocal.</w:t>
      </w:r>
    </w:p>
    <w:p w14:paraId="03AB6095" w14:textId="77777777" w:rsidR="002538DD" w:rsidRPr="0036639C" w:rsidRDefault="002538DD" w:rsidP="0048308C">
      <w:pPr>
        <w:ind w:right="521"/>
        <w:jc w:val="both"/>
        <w:rPr>
          <w:rFonts w:cstheme="minorHAnsi"/>
        </w:rPr>
      </w:pPr>
      <w:r w:rsidRPr="0036639C">
        <w:rPr>
          <w:rFonts w:cstheme="minorHAnsi"/>
          <w:b/>
        </w:rPr>
        <w:t>Ego</w:t>
      </w:r>
      <w:r w:rsidRPr="0036639C">
        <w:rPr>
          <w:rFonts w:cstheme="minorHAnsi"/>
        </w:rPr>
        <w:t xml:space="preserve"> refers to desires to act in line with one’s own positive self-image. Importantly, behaviour inconsistent with these beliefs may not lead to a change in behaviour, but to adjustments of beliefs and self-image in order to fit the new behaviour.</w:t>
      </w:r>
    </w:p>
    <w:p w14:paraId="43729777" w14:textId="02C1681F" w:rsidR="00925867" w:rsidRPr="00B70296" w:rsidRDefault="00925867" w:rsidP="00B70296">
      <w:pPr>
        <w:jc w:val="both"/>
        <w:rPr>
          <w:rFonts w:cstheme="minorHAnsi"/>
          <w:szCs w:val="24"/>
        </w:rPr>
      </w:pPr>
    </w:p>
    <w:p w14:paraId="49FC4A83" w14:textId="34C3EE7E" w:rsidR="00404F97" w:rsidRPr="00F74247" w:rsidRDefault="00925867" w:rsidP="00505BE0">
      <w:pPr>
        <w:pStyle w:val="ListParagraph"/>
        <w:numPr>
          <w:ilvl w:val="0"/>
          <w:numId w:val="6"/>
        </w:numPr>
        <w:jc w:val="both"/>
        <w:rPr>
          <w:rFonts w:asciiTheme="minorHAnsi" w:hAnsiTheme="minorHAnsi" w:cstheme="minorHAnsi"/>
          <w:szCs w:val="24"/>
        </w:rPr>
      </w:pPr>
      <w:r>
        <w:rPr>
          <w:rFonts w:asciiTheme="minorHAnsi" w:hAnsiTheme="minorHAnsi" w:cs="Times New Roman"/>
        </w:rPr>
        <w:t>In summary, better policy</w:t>
      </w:r>
      <w:r w:rsidR="00C75D0E">
        <w:rPr>
          <w:rFonts w:asciiTheme="minorHAnsi" w:hAnsiTheme="minorHAnsi" w:cs="Times New Roman"/>
        </w:rPr>
        <w:t>-</w:t>
      </w:r>
      <w:r>
        <w:rPr>
          <w:rFonts w:asciiTheme="minorHAnsi" w:hAnsiTheme="minorHAnsi" w:cs="Times New Roman"/>
        </w:rPr>
        <w:t xml:space="preserve">making is based on a </w:t>
      </w:r>
      <w:r w:rsidR="00611E32">
        <w:rPr>
          <w:rFonts w:asciiTheme="minorHAnsi" w:hAnsiTheme="minorHAnsi" w:cs="Times New Roman"/>
        </w:rPr>
        <w:t>more accurate picture</w:t>
      </w:r>
      <w:r>
        <w:rPr>
          <w:rFonts w:asciiTheme="minorHAnsi" w:hAnsiTheme="minorHAnsi" w:cs="Times New Roman"/>
        </w:rPr>
        <w:t xml:space="preserve"> of the motivations behind </w:t>
      </w:r>
      <w:r w:rsidR="00C75D0E">
        <w:rPr>
          <w:rFonts w:asciiTheme="minorHAnsi" w:hAnsiTheme="minorHAnsi" w:cs="Times New Roman"/>
        </w:rPr>
        <w:t xml:space="preserve">and heuristics of </w:t>
      </w:r>
      <w:r>
        <w:rPr>
          <w:rFonts w:asciiTheme="minorHAnsi" w:hAnsiTheme="minorHAnsi" w:cs="Times New Roman"/>
        </w:rPr>
        <w:t xml:space="preserve">human behaviour. This involves </w:t>
      </w:r>
      <w:r w:rsidR="00C75D0E">
        <w:rPr>
          <w:rFonts w:asciiTheme="minorHAnsi" w:hAnsiTheme="minorHAnsi" w:cs="Times New Roman"/>
        </w:rPr>
        <w:t>re-</w:t>
      </w:r>
      <w:r>
        <w:rPr>
          <w:rFonts w:asciiTheme="minorHAnsi" w:hAnsiTheme="minorHAnsi" w:cs="Times New Roman"/>
        </w:rPr>
        <w:t xml:space="preserve">balancing the default view that people have rational interests and the empirical reality that there are recurring barriers to behaviour based on them. </w:t>
      </w:r>
      <w:r w:rsidRPr="00F74247">
        <w:rPr>
          <w:rFonts w:asciiTheme="minorHAnsi" w:hAnsiTheme="minorHAnsi"/>
        </w:rPr>
        <w:t>Specifically, there is scepticism about interventions to modify behavi</w:t>
      </w:r>
      <w:r w:rsidR="00F72628" w:rsidRPr="00F74247">
        <w:rPr>
          <w:rFonts w:asciiTheme="minorHAnsi" w:hAnsiTheme="minorHAnsi"/>
        </w:rPr>
        <w:t>our based on a rational</w:t>
      </w:r>
      <w:r w:rsidR="00C75D0E" w:rsidRPr="00F74247">
        <w:rPr>
          <w:rFonts w:asciiTheme="minorHAnsi" w:hAnsiTheme="minorHAnsi"/>
        </w:rPr>
        <w:t xml:space="preserve"> </w:t>
      </w:r>
      <w:r w:rsidR="00C75D0E" w:rsidRPr="00F74247">
        <w:rPr>
          <w:rFonts w:asciiTheme="minorHAnsi" w:hAnsiTheme="minorHAnsi"/>
          <w:i/>
        </w:rPr>
        <w:t xml:space="preserve">homo </w:t>
      </w:r>
      <w:r w:rsidR="000100A0" w:rsidRPr="00F74247">
        <w:rPr>
          <w:rFonts w:asciiTheme="minorHAnsi" w:hAnsiTheme="minorHAnsi"/>
          <w:i/>
        </w:rPr>
        <w:t>economicus</w:t>
      </w:r>
      <w:r w:rsidR="00C75D0E" w:rsidRPr="00F74247">
        <w:rPr>
          <w:rFonts w:asciiTheme="minorHAnsi" w:hAnsiTheme="minorHAnsi"/>
        </w:rPr>
        <w:t>.</w:t>
      </w:r>
      <w:r w:rsidRPr="00F74247">
        <w:rPr>
          <w:rFonts w:asciiTheme="minorHAnsi" w:hAnsiTheme="minorHAnsi"/>
        </w:rPr>
        <w:t xml:space="preserve"> </w:t>
      </w:r>
      <w:r w:rsidR="00F74247">
        <w:rPr>
          <w:rFonts w:asciiTheme="minorHAnsi" w:hAnsiTheme="minorHAnsi"/>
        </w:rPr>
        <w:t>This is because d</w:t>
      </w:r>
      <w:r w:rsidR="00C75D0E" w:rsidRPr="00F74247">
        <w:rPr>
          <w:rFonts w:asciiTheme="minorHAnsi" w:hAnsiTheme="minorHAnsi"/>
        </w:rPr>
        <w:t>eep-</w:t>
      </w:r>
      <w:r w:rsidR="00967811" w:rsidRPr="00F74247">
        <w:rPr>
          <w:rFonts w:asciiTheme="minorHAnsi" w:hAnsiTheme="minorHAnsi"/>
        </w:rPr>
        <w:t xml:space="preserve">seated and self-generating </w:t>
      </w:r>
      <w:r w:rsidRPr="00F74247">
        <w:rPr>
          <w:rFonts w:asciiTheme="minorHAnsi" w:hAnsiTheme="minorHAnsi"/>
        </w:rPr>
        <w:t>grievance, deference, norms, denial and other traits appear rarely to respond to rational incentives, in large part because the conscious thinking of those involv</w:t>
      </w:r>
      <w:r w:rsidR="00C75D0E" w:rsidRPr="00F74247">
        <w:rPr>
          <w:rFonts w:asciiTheme="minorHAnsi" w:hAnsiTheme="minorHAnsi"/>
        </w:rPr>
        <w:t>ed sits on top of</w:t>
      </w:r>
      <w:r w:rsidR="00F74247">
        <w:rPr>
          <w:rFonts w:asciiTheme="minorHAnsi" w:hAnsiTheme="minorHAnsi"/>
        </w:rPr>
        <w:t>, and is intertwined with,</w:t>
      </w:r>
      <w:r w:rsidRPr="00F74247">
        <w:rPr>
          <w:rFonts w:asciiTheme="minorHAnsi" w:hAnsiTheme="minorHAnsi"/>
        </w:rPr>
        <w:t xml:space="preserve"> various layers of bias and emotional sentiment. At the same time, </w:t>
      </w:r>
      <w:r w:rsidRPr="00F74247">
        <w:rPr>
          <w:rFonts w:asciiTheme="minorHAnsi" w:hAnsiTheme="minorHAnsi"/>
        </w:rPr>
        <w:lastRenderedPageBreak/>
        <w:t>ignoring people’s a</w:t>
      </w:r>
      <w:r w:rsidR="00C75D0E" w:rsidRPr="00F74247">
        <w:rPr>
          <w:rFonts w:asciiTheme="minorHAnsi" w:hAnsiTheme="minorHAnsi"/>
        </w:rPr>
        <w:t>bility to reason, and treating behaviour c</w:t>
      </w:r>
      <w:r w:rsidRPr="00F74247">
        <w:rPr>
          <w:rFonts w:asciiTheme="minorHAnsi" w:hAnsiTheme="minorHAnsi"/>
        </w:rPr>
        <w:t>hange interventions as a costless</w:t>
      </w:r>
      <w:r w:rsidR="00967811" w:rsidRPr="00F74247">
        <w:rPr>
          <w:rFonts w:asciiTheme="minorHAnsi" w:hAnsiTheme="minorHAnsi"/>
        </w:rPr>
        <w:t>,</w:t>
      </w:r>
      <w:r w:rsidR="00C75D0E" w:rsidRPr="00F74247">
        <w:rPr>
          <w:rFonts w:asciiTheme="minorHAnsi" w:hAnsiTheme="minorHAnsi"/>
        </w:rPr>
        <w:t xml:space="preserve"> silver bullet</w:t>
      </w:r>
      <w:r w:rsidR="0040650A" w:rsidRPr="00F74247">
        <w:rPr>
          <w:rFonts w:asciiTheme="minorHAnsi" w:hAnsiTheme="minorHAnsi"/>
        </w:rPr>
        <w:t>,</w:t>
      </w:r>
      <w:r w:rsidR="00C75D0E" w:rsidRPr="00F74247">
        <w:rPr>
          <w:rFonts w:asciiTheme="minorHAnsi" w:hAnsiTheme="minorHAnsi"/>
        </w:rPr>
        <w:t xml:space="preserve"> is equally flawed</w:t>
      </w:r>
      <w:r w:rsidRPr="00F74247">
        <w:rPr>
          <w:rFonts w:asciiTheme="minorHAnsi" w:hAnsiTheme="minorHAnsi"/>
        </w:rPr>
        <w:t>.</w:t>
      </w:r>
    </w:p>
    <w:p w14:paraId="35055C97" w14:textId="77777777" w:rsidR="00BA2588" w:rsidRDefault="00BA2588">
      <w:pPr>
        <w:rPr>
          <w:rFonts w:asciiTheme="majorHAnsi" w:eastAsiaTheme="majorEastAsia" w:hAnsiTheme="majorHAnsi" w:cstheme="majorBidi"/>
          <w:b/>
          <w:bCs/>
          <w:color w:val="365F91" w:themeColor="accent1" w:themeShade="BF"/>
          <w:sz w:val="28"/>
          <w:szCs w:val="28"/>
        </w:rPr>
      </w:pPr>
      <w:bookmarkStart w:id="6" w:name="_Toc362614102"/>
      <w:r>
        <w:br w:type="page"/>
      </w:r>
    </w:p>
    <w:p w14:paraId="70D7FF20" w14:textId="0A63E2ED" w:rsidR="00404F97" w:rsidRDefault="00404F97" w:rsidP="00404F97">
      <w:pPr>
        <w:pStyle w:val="Heading1"/>
      </w:pPr>
      <w:bookmarkStart w:id="7" w:name="_Toc378323551"/>
      <w:r>
        <w:lastRenderedPageBreak/>
        <w:t>2. Consumers and Markets in a World of Limited Rationality</w:t>
      </w:r>
      <w:bookmarkEnd w:id="6"/>
      <w:bookmarkEnd w:id="7"/>
    </w:p>
    <w:p w14:paraId="084FA904" w14:textId="77777777" w:rsidR="00404F97" w:rsidRDefault="00404F97" w:rsidP="00404F97"/>
    <w:p w14:paraId="67142B4E" w14:textId="40CF9453" w:rsidR="00781400" w:rsidRDefault="00781400" w:rsidP="008415A7">
      <w:pPr>
        <w:pStyle w:val="Heading2"/>
      </w:pPr>
      <w:bookmarkStart w:id="8" w:name="_Toc378323552"/>
      <w:r>
        <w:t>2.1 Behaviour Change in the Private and Public Sector</w:t>
      </w:r>
      <w:bookmarkEnd w:id="8"/>
    </w:p>
    <w:p w14:paraId="7A718186" w14:textId="77777777" w:rsidR="00967811" w:rsidRPr="00967811" w:rsidRDefault="00967811" w:rsidP="00967811"/>
    <w:p w14:paraId="561F0A41" w14:textId="54091565" w:rsidR="00A1793A" w:rsidRDefault="00BA2588" w:rsidP="00505BE0">
      <w:pPr>
        <w:pStyle w:val="ListParagraph"/>
        <w:numPr>
          <w:ilvl w:val="0"/>
          <w:numId w:val="6"/>
        </w:numPr>
        <w:jc w:val="both"/>
        <w:rPr>
          <w:rFonts w:asciiTheme="minorHAnsi" w:hAnsiTheme="minorHAnsi" w:cstheme="minorHAnsi"/>
          <w:szCs w:val="24"/>
        </w:rPr>
      </w:pPr>
      <w:r>
        <w:rPr>
          <w:rFonts w:asciiTheme="minorHAnsi" w:hAnsiTheme="minorHAnsi" w:cstheme="minorHAnsi"/>
          <w:szCs w:val="24"/>
        </w:rPr>
        <w:t xml:space="preserve">Behaviour change </w:t>
      </w:r>
      <w:r w:rsidR="00404F97" w:rsidRPr="00404F97">
        <w:rPr>
          <w:rFonts w:asciiTheme="minorHAnsi" w:hAnsiTheme="minorHAnsi" w:cstheme="minorHAnsi"/>
          <w:szCs w:val="24"/>
        </w:rPr>
        <w:t>approaches have be</w:t>
      </w:r>
      <w:r>
        <w:rPr>
          <w:rFonts w:asciiTheme="minorHAnsi" w:hAnsiTheme="minorHAnsi" w:cstheme="minorHAnsi"/>
          <w:szCs w:val="24"/>
        </w:rPr>
        <w:t xml:space="preserve">come increasingly popular with government </w:t>
      </w:r>
      <w:r w:rsidR="00404F97" w:rsidRPr="00404F97">
        <w:rPr>
          <w:rFonts w:asciiTheme="minorHAnsi" w:hAnsiTheme="minorHAnsi" w:cstheme="minorHAnsi"/>
          <w:szCs w:val="24"/>
        </w:rPr>
        <w:t xml:space="preserve">and regulators who have been keen in recent years to enable change indirectly rather than through statutory means. </w:t>
      </w:r>
      <w:r w:rsidR="00A1793A">
        <w:rPr>
          <w:rFonts w:asciiTheme="minorHAnsi" w:hAnsiTheme="minorHAnsi" w:cstheme="minorHAnsi"/>
          <w:szCs w:val="24"/>
        </w:rPr>
        <w:t>Examples of these interventions include</w:t>
      </w:r>
      <w:r w:rsidR="0090577D">
        <w:rPr>
          <w:rFonts w:asciiTheme="minorHAnsi" w:hAnsiTheme="minorHAnsi" w:cstheme="minorHAnsi"/>
          <w:szCs w:val="24"/>
        </w:rPr>
        <w:t>:</w:t>
      </w:r>
    </w:p>
    <w:p w14:paraId="179F13DE" w14:textId="3BB3511F" w:rsidR="00A1793A" w:rsidRDefault="00A1793A" w:rsidP="00A1793A">
      <w:pPr>
        <w:pStyle w:val="ListParagraph"/>
        <w:jc w:val="both"/>
        <w:rPr>
          <w:rFonts w:asciiTheme="minorHAnsi" w:hAnsiTheme="minorHAnsi" w:cstheme="minorHAnsi"/>
          <w:szCs w:val="24"/>
        </w:rPr>
      </w:pPr>
    </w:p>
    <w:p w14:paraId="08D08721" w14:textId="77777777" w:rsidR="0048308C" w:rsidRDefault="00A379AA" w:rsidP="009E7669">
      <w:pPr>
        <w:pStyle w:val="ListParagraph"/>
        <w:numPr>
          <w:ilvl w:val="0"/>
          <w:numId w:val="13"/>
        </w:numPr>
        <w:ind w:left="1418" w:hanging="142"/>
        <w:jc w:val="both"/>
        <w:rPr>
          <w:rFonts w:asciiTheme="minorHAnsi" w:hAnsiTheme="minorHAnsi" w:cstheme="minorHAnsi"/>
          <w:szCs w:val="24"/>
        </w:rPr>
      </w:pPr>
      <w:r>
        <w:rPr>
          <w:rFonts w:asciiTheme="minorHAnsi" w:hAnsiTheme="minorHAnsi" w:cstheme="minorHAnsi"/>
          <w:szCs w:val="24"/>
        </w:rPr>
        <w:t>Attem</w:t>
      </w:r>
      <w:r w:rsidR="0048308C">
        <w:rPr>
          <w:rFonts w:asciiTheme="minorHAnsi" w:hAnsiTheme="minorHAnsi" w:cstheme="minorHAnsi"/>
          <w:szCs w:val="24"/>
        </w:rPr>
        <w:t xml:space="preserve">pts by BIS </w:t>
      </w:r>
      <w:r>
        <w:rPr>
          <w:rFonts w:asciiTheme="minorHAnsi" w:hAnsiTheme="minorHAnsi" w:cstheme="minorHAnsi"/>
          <w:szCs w:val="24"/>
        </w:rPr>
        <w:t>to promote the repayment of student loans with redesigned correspondence.</w:t>
      </w:r>
      <w:r w:rsidR="00967811">
        <w:rPr>
          <w:rStyle w:val="FootnoteReference"/>
          <w:rFonts w:asciiTheme="minorHAnsi" w:hAnsiTheme="minorHAnsi" w:cstheme="minorHAnsi"/>
          <w:szCs w:val="24"/>
        </w:rPr>
        <w:footnoteReference w:id="16"/>
      </w:r>
    </w:p>
    <w:p w14:paraId="12F24640" w14:textId="77777777" w:rsidR="0090577D" w:rsidRDefault="0090577D" w:rsidP="0090577D">
      <w:pPr>
        <w:pStyle w:val="ListParagraph"/>
        <w:ind w:left="1418"/>
        <w:jc w:val="both"/>
        <w:rPr>
          <w:rFonts w:asciiTheme="minorHAnsi" w:hAnsiTheme="minorHAnsi" w:cstheme="minorHAnsi"/>
          <w:szCs w:val="24"/>
        </w:rPr>
      </w:pPr>
    </w:p>
    <w:p w14:paraId="737DBE91" w14:textId="2BCD1A39" w:rsidR="0090577D" w:rsidRPr="0090577D" w:rsidRDefault="009E729A" w:rsidP="009E7669">
      <w:pPr>
        <w:pStyle w:val="ListParagraph"/>
        <w:numPr>
          <w:ilvl w:val="0"/>
          <w:numId w:val="13"/>
        </w:numPr>
        <w:ind w:left="1418" w:hanging="142"/>
        <w:jc w:val="both"/>
        <w:rPr>
          <w:rFonts w:asciiTheme="minorHAnsi" w:hAnsiTheme="minorHAnsi" w:cstheme="minorHAnsi"/>
          <w:szCs w:val="24"/>
        </w:rPr>
      </w:pPr>
      <w:r w:rsidRPr="0048308C">
        <w:rPr>
          <w:rFonts w:asciiTheme="minorHAnsi" w:hAnsiTheme="minorHAnsi" w:cstheme="minorHAnsi"/>
          <w:szCs w:val="24"/>
        </w:rPr>
        <w:t>Research by</w:t>
      </w:r>
      <w:r w:rsidR="0065281F" w:rsidRPr="0048308C">
        <w:rPr>
          <w:rFonts w:asciiTheme="minorHAnsi" w:hAnsiTheme="minorHAnsi" w:cstheme="minorHAnsi"/>
          <w:szCs w:val="24"/>
        </w:rPr>
        <w:t xml:space="preserve"> DEFRA into farmer an</w:t>
      </w:r>
      <w:r w:rsidRPr="0048308C">
        <w:rPr>
          <w:rFonts w:asciiTheme="minorHAnsi" w:hAnsiTheme="minorHAnsi" w:cstheme="minorHAnsi"/>
          <w:szCs w:val="24"/>
        </w:rPr>
        <w:t>d land manager behaviour in respect of</w:t>
      </w:r>
      <w:r w:rsidR="0065281F" w:rsidRPr="0048308C">
        <w:rPr>
          <w:rFonts w:asciiTheme="minorHAnsi" w:hAnsiTheme="minorHAnsi" w:cstheme="minorHAnsi"/>
          <w:szCs w:val="24"/>
        </w:rPr>
        <w:t xml:space="preserve"> animal health, environmental outcomes and </w:t>
      </w:r>
      <w:r w:rsidRPr="0048308C">
        <w:rPr>
          <w:rFonts w:asciiTheme="minorHAnsi" w:hAnsiTheme="minorHAnsi" w:cstheme="minorHAnsi"/>
          <w:szCs w:val="24"/>
        </w:rPr>
        <w:t xml:space="preserve">agricultural </w:t>
      </w:r>
      <w:r w:rsidR="0065281F" w:rsidRPr="0048308C">
        <w:rPr>
          <w:rFonts w:asciiTheme="minorHAnsi" w:hAnsiTheme="minorHAnsi" w:cstheme="minorHAnsi"/>
          <w:szCs w:val="24"/>
        </w:rPr>
        <w:t>productivity.</w:t>
      </w:r>
      <w:r w:rsidR="00967811">
        <w:rPr>
          <w:rStyle w:val="FootnoteReference"/>
          <w:rFonts w:asciiTheme="minorHAnsi" w:hAnsiTheme="minorHAnsi" w:cstheme="minorHAnsi"/>
          <w:szCs w:val="24"/>
        </w:rPr>
        <w:footnoteReference w:id="17"/>
      </w:r>
    </w:p>
    <w:p w14:paraId="7673D040" w14:textId="77777777" w:rsidR="0090577D" w:rsidRDefault="0090577D" w:rsidP="0090577D">
      <w:pPr>
        <w:pStyle w:val="ListParagraph"/>
        <w:ind w:left="1418"/>
        <w:jc w:val="both"/>
        <w:rPr>
          <w:rFonts w:asciiTheme="minorHAnsi" w:hAnsiTheme="minorHAnsi" w:cstheme="minorHAnsi"/>
          <w:szCs w:val="24"/>
        </w:rPr>
      </w:pPr>
    </w:p>
    <w:p w14:paraId="726D3970" w14:textId="286F6CFF" w:rsidR="004D72F2" w:rsidRPr="0048308C" w:rsidRDefault="00A03C40" w:rsidP="009E7669">
      <w:pPr>
        <w:pStyle w:val="ListParagraph"/>
        <w:numPr>
          <w:ilvl w:val="0"/>
          <w:numId w:val="13"/>
        </w:numPr>
        <w:ind w:left="1418" w:hanging="142"/>
        <w:jc w:val="both"/>
        <w:rPr>
          <w:rFonts w:asciiTheme="minorHAnsi" w:hAnsiTheme="minorHAnsi" w:cstheme="minorHAnsi"/>
          <w:szCs w:val="24"/>
        </w:rPr>
      </w:pPr>
      <w:r w:rsidRPr="0048308C">
        <w:rPr>
          <w:rFonts w:asciiTheme="minorHAnsi" w:hAnsiTheme="minorHAnsi" w:cstheme="minorHAnsi"/>
          <w:szCs w:val="24"/>
        </w:rPr>
        <w:t xml:space="preserve">Re-designed </w:t>
      </w:r>
      <w:r w:rsidR="0048308C" w:rsidRPr="0048308C">
        <w:rPr>
          <w:rFonts w:asciiTheme="minorHAnsi" w:hAnsiTheme="minorHAnsi" w:cstheme="minorHAnsi"/>
          <w:szCs w:val="24"/>
        </w:rPr>
        <w:t xml:space="preserve">HMRC </w:t>
      </w:r>
      <w:r w:rsidRPr="0048308C">
        <w:rPr>
          <w:rFonts w:asciiTheme="minorHAnsi" w:hAnsiTheme="minorHAnsi" w:cstheme="minorHAnsi"/>
          <w:szCs w:val="24"/>
        </w:rPr>
        <w:t>letters</w:t>
      </w:r>
      <w:r w:rsidR="0048308C" w:rsidRPr="0048308C">
        <w:rPr>
          <w:rFonts w:asciiTheme="minorHAnsi" w:hAnsiTheme="minorHAnsi" w:cstheme="minorHAnsi"/>
          <w:szCs w:val="24"/>
        </w:rPr>
        <w:t xml:space="preserve"> to customers</w:t>
      </w:r>
      <w:r w:rsidRPr="0048308C">
        <w:rPr>
          <w:rFonts w:asciiTheme="minorHAnsi" w:hAnsiTheme="minorHAnsi" w:cstheme="minorHAnsi"/>
          <w:szCs w:val="24"/>
        </w:rPr>
        <w:t>, highlighting the share of people who pay their taxes on time</w:t>
      </w:r>
      <w:r w:rsidR="008B64E0" w:rsidRPr="0048308C">
        <w:rPr>
          <w:rFonts w:asciiTheme="minorHAnsi" w:hAnsiTheme="minorHAnsi" w:cstheme="minorHAnsi"/>
          <w:szCs w:val="24"/>
        </w:rPr>
        <w:t>.</w:t>
      </w:r>
      <w:r w:rsidR="00967811">
        <w:rPr>
          <w:rStyle w:val="FootnoteReference"/>
          <w:rFonts w:asciiTheme="minorHAnsi" w:hAnsiTheme="minorHAnsi" w:cstheme="minorHAnsi"/>
          <w:szCs w:val="24"/>
        </w:rPr>
        <w:footnoteReference w:id="18"/>
      </w:r>
    </w:p>
    <w:p w14:paraId="53031EF7" w14:textId="77777777" w:rsidR="0065281F" w:rsidRPr="0065281F" w:rsidRDefault="0065281F" w:rsidP="0065281F">
      <w:pPr>
        <w:pStyle w:val="ListParagraph"/>
        <w:rPr>
          <w:rFonts w:asciiTheme="minorHAnsi" w:hAnsiTheme="minorHAnsi" w:cstheme="minorHAnsi"/>
          <w:szCs w:val="24"/>
        </w:rPr>
      </w:pPr>
    </w:p>
    <w:p w14:paraId="4E8050E4" w14:textId="2E759505" w:rsidR="00F30AC7" w:rsidRDefault="00F30AC7" w:rsidP="00F30AC7">
      <w:pPr>
        <w:pStyle w:val="ListParagraph"/>
        <w:jc w:val="both"/>
        <w:rPr>
          <w:rFonts w:asciiTheme="minorHAnsi" w:hAnsiTheme="minorHAnsi" w:cstheme="minorHAnsi"/>
          <w:szCs w:val="24"/>
        </w:rPr>
      </w:pPr>
    </w:p>
    <w:p w14:paraId="730B08D5" w14:textId="7B01040B" w:rsidR="00EF7191" w:rsidRDefault="00EF7191" w:rsidP="0048308C">
      <w:pPr>
        <w:jc w:val="both"/>
        <w:rPr>
          <w:rFonts w:cstheme="minorHAnsi"/>
          <w:sz w:val="24"/>
          <w:szCs w:val="24"/>
        </w:rPr>
      </w:pPr>
    </w:p>
    <w:p w14:paraId="2B826200" w14:textId="29072EDE" w:rsidR="0048308C" w:rsidRDefault="0048308C" w:rsidP="0048308C">
      <w:pPr>
        <w:pStyle w:val="ListParagraph"/>
        <w:ind w:right="4348"/>
        <w:jc w:val="both"/>
        <w:rPr>
          <w:rFonts w:asciiTheme="minorHAnsi" w:hAnsiTheme="minorHAnsi" w:cs="Times New Roman"/>
        </w:rPr>
      </w:pPr>
      <w:r>
        <w:rPr>
          <w:rFonts w:asciiTheme="minorHAnsi" w:hAnsiTheme="minorHAnsi" w:cstheme="minorHAnsi"/>
          <w:noProof/>
          <w:szCs w:val="24"/>
          <w:lang w:eastAsia="en-GB"/>
        </w:rPr>
        <mc:AlternateContent>
          <mc:Choice Requires="wps">
            <w:drawing>
              <wp:anchor distT="0" distB="0" distL="114300" distR="114300" simplePos="0" relativeHeight="251666432" behindDoc="1" locked="0" layoutInCell="1" allowOverlap="1" wp14:anchorId="0CAE36C4" wp14:editId="198F0701">
                <wp:simplePos x="0" y="0"/>
                <wp:positionH relativeFrom="column">
                  <wp:posOffset>342900</wp:posOffset>
                </wp:positionH>
                <wp:positionV relativeFrom="paragraph">
                  <wp:posOffset>-685800</wp:posOffset>
                </wp:positionV>
                <wp:extent cx="4914900" cy="2628900"/>
                <wp:effectExtent l="0" t="0" r="38100" b="38100"/>
                <wp:wrapNone/>
                <wp:docPr id="12" name="Text Box 12"/>
                <wp:cNvGraphicFramePr/>
                <a:graphic xmlns:a="http://schemas.openxmlformats.org/drawingml/2006/main">
                  <a:graphicData uri="http://schemas.microsoft.com/office/word/2010/wordprocessingShape">
                    <wps:wsp>
                      <wps:cNvSpPr txBox="1"/>
                      <wps:spPr>
                        <a:xfrm>
                          <a:off x="0" y="0"/>
                          <a:ext cx="4914900" cy="2628900"/>
                        </a:xfrm>
                        <a:prstGeom prst="rect">
                          <a:avLst/>
                        </a:prstGeom>
                        <a:solidFill>
                          <a:schemeClr val="accent1">
                            <a:alpha val="50000"/>
                          </a:schemeClr>
                        </a:solidFill>
                        <a:ln/>
                      </wps:spPr>
                      <wps:style>
                        <a:lnRef idx="2">
                          <a:schemeClr val="accent1"/>
                        </a:lnRef>
                        <a:fillRef idx="1">
                          <a:schemeClr val="lt1"/>
                        </a:fillRef>
                        <a:effectRef idx="0">
                          <a:schemeClr val="accent1"/>
                        </a:effectRef>
                        <a:fontRef idx="minor">
                          <a:schemeClr val="dk1"/>
                        </a:fontRef>
                      </wps:style>
                      <wps:txbx>
                        <w:txbxContent>
                          <w:p w14:paraId="4ED360D7" w14:textId="77777777" w:rsidR="00A065B9" w:rsidRPr="00F30AC7" w:rsidRDefault="00A065B9" w:rsidP="0048308C">
                            <w:pPr>
                              <w:jc w:val="both"/>
                              <w:rPr>
                                <w:rFonts w:cstheme="minorHAnsi"/>
                                <w:b/>
                                <w:sz w:val="24"/>
                                <w:szCs w:val="24"/>
                              </w:rPr>
                            </w:pPr>
                            <w:r>
                              <w:rPr>
                                <w:rFonts w:cstheme="minorHAnsi"/>
                                <w:b/>
                                <w:sz w:val="24"/>
                                <w:szCs w:val="24"/>
                              </w:rPr>
                              <w:t>Supermarkets</w:t>
                            </w:r>
                          </w:p>
                          <w:p w14:paraId="1E36E715" w14:textId="3FD16B29" w:rsidR="00A065B9" w:rsidRPr="00F30AC7" w:rsidRDefault="00A065B9" w:rsidP="0048308C">
                            <w:pPr>
                              <w:jc w:val="both"/>
                              <w:rPr>
                                <w:rFonts w:cstheme="minorHAnsi"/>
                                <w:sz w:val="24"/>
                                <w:szCs w:val="24"/>
                              </w:rPr>
                            </w:pPr>
                            <w:r w:rsidRPr="00F30AC7">
                              <w:rPr>
                                <w:rFonts w:cstheme="minorHAnsi"/>
                                <w:sz w:val="24"/>
                                <w:szCs w:val="24"/>
                              </w:rPr>
                              <w:t>Supermarkets and their interior design provide a well-known exam</w:t>
                            </w:r>
                            <w:r>
                              <w:rPr>
                                <w:rFonts w:cstheme="minorHAnsi"/>
                                <w:sz w:val="24"/>
                                <w:szCs w:val="24"/>
                              </w:rPr>
                              <w:t>ple of sales techniques addressing</w:t>
                            </w:r>
                            <w:r w:rsidRPr="00F30AC7">
                              <w:rPr>
                                <w:rFonts w:cstheme="minorHAnsi"/>
                                <w:sz w:val="24"/>
                                <w:szCs w:val="24"/>
                              </w:rPr>
                              <w:t xml:space="preserve"> intuitive rather than deliberative thinking</w:t>
                            </w:r>
                            <w:r>
                              <w:rPr>
                                <w:rFonts w:cstheme="minorHAnsi"/>
                                <w:sz w:val="24"/>
                                <w:szCs w:val="24"/>
                              </w:rPr>
                              <w:t>.</w:t>
                            </w:r>
                            <w:r w:rsidRPr="00F30AC7">
                              <w:rPr>
                                <w:rFonts w:cstheme="minorHAnsi"/>
                                <w:sz w:val="24"/>
                                <w:szCs w:val="24"/>
                              </w:rPr>
                              <w:t xml:space="preserve"> ‘Affect’ plays a large role in purchasing decisions, and retailers make use of this by altering colours to direct attention to certain items. Smells such as those of fresh bread or flowers are used as ‘priming’ devices to alter the mood of shoppers and their subsequent behaviour. Typical daily necessities are placed in a way that requires consumers to walk past less frequently required items, while more profitable items will tend to be placed at eye level of that product’s typical buyer, or lower if advertising is targeted at children.</w:t>
                            </w:r>
                          </w:p>
                          <w:p w14:paraId="3B4BD557" w14:textId="77777777" w:rsidR="00A065B9" w:rsidRDefault="00A065B9" w:rsidP="004830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left:0;text-align:left;margin-left:27pt;margin-top:-54pt;width:387pt;height:20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" fillcolor="#4f81bd [3204]" strokecolor="#4f81bd [3204]" strokeweight="2pt">
                <v:fill opacity="32896f"/>
                <v:textbox>
                  <w:txbxContent>
                    <w:p w14:paraId="4ED360D7" w14:textId="77777777" w:rsidR="00A065B9" w:rsidRPr="00F30AC7" w:rsidRDefault="00A065B9" w:rsidP="0048308C">
                      <w:pPr>
                        <w:jc w:val="both"/>
                        <w:rPr>
                          <w:rFonts w:cstheme="minorHAnsi"/>
                          <w:b/>
                          <w:sz w:val="24"/>
                          <w:szCs w:val="24"/>
                        </w:rPr>
                      </w:pPr>
                      <w:r>
                        <w:rPr>
                          <w:rFonts w:cstheme="minorHAnsi"/>
                          <w:b/>
                          <w:sz w:val="24"/>
                          <w:szCs w:val="24"/>
                        </w:rPr>
                        <w:t>Supermarkets</w:t>
                      </w:r>
                    </w:p>
                    <w:p w14:paraId="1E36E715" w14:textId="3FD16B29" w:rsidR="00A065B9" w:rsidRPr="00F30AC7" w:rsidRDefault="00A065B9" w:rsidP="0048308C">
                      <w:pPr>
                        <w:jc w:val="both"/>
                        <w:rPr>
                          <w:rFonts w:cstheme="minorHAnsi"/>
                          <w:sz w:val="24"/>
                          <w:szCs w:val="24"/>
                        </w:rPr>
                      </w:pPr>
                      <w:r w:rsidRPr="00F30AC7">
                        <w:rPr>
                          <w:rFonts w:cstheme="minorHAnsi"/>
                          <w:sz w:val="24"/>
                          <w:szCs w:val="24"/>
                        </w:rPr>
                        <w:t>Supermarkets and their interior design provide a well-known exam</w:t>
                      </w:r>
                      <w:r>
                        <w:rPr>
                          <w:rFonts w:cstheme="minorHAnsi"/>
                          <w:sz w:val="24"/>
                          <w:szCs w:val="24"/>
                        </w:rPr>
                        <w:t>ple of sales techniques addressing</w:t>
                      </w:r>
                      <w:r w:rsidRPr="00F30AC7">
                        <w:rPr>
                          <w:rFonts w:cstheme="minorHAnsi"/>
                          <w:sz w:val="24"/>
                          <w:szCs w:val="24"/>
                        </w:rPr>
                        <w:t xml:space="preserve"> intuitive rather than deliberative thinking</w:t>
                      </w:r>
                      <w:r>
                        <w:rPr>
                          <w:rFonts w:cstheme="minorHAnsi"/>
                          <w:sz w:val="24"/>
                          <w:szCs w:val="24"/>
                        </w:rPr>
                        <w:t>.</w:t>
                      </w:r>
                      <w:r w:rsidRPr="00F30AC7">
                        <w:rPr>
                          <w:rFonts w:cstheme="minorHAnsi"/>
                          <w:sz w:val="24"/>
                          <w:szCs w:val="24"/>
                        </w:rPr>
                        <w:t xml:space="preserve"> ‘Affect’ plays a large role in purchasing decisions, and retailers make use of this by altering colours to direct attention to certain items. Smells such as those of fresh bread or flowers are used as ‘priming’ devices to alter the mood of shoppers and their subsequent behaviour. Typical daily necessities are placed in a way that requires consumers to walk past less frequently required items, while more profitable items will tend to be placed at eye level of that product’s typical buyer, or lower if advertising is targeted at children.</w:t>
                      </w:r>
                    </w:p>
                    <w:p w14:paraId="3B4BD557" w14:textId="77777777" w:rsidR="00A065B9" w:rsidRDefault="00A065B9" w:rsidP="0048308C"/>
                  </w:txbxContent>
                </v:textbox>
              </v:shape>
            </w:pict>
          </mc:Fallback>
        </mc:AlternateContent>
      </w:r>
    </w:p>
    <w:p w14:paraId="43F67124" w14:textId="77777777" w:rsidR="0048308C" w:rsidRDefault="0048308C" w:rsidP="0048308C">
      <w:pPr>
        <w:pStyle w:val="ListParagraph"/>
        <w:ind w:right="4348"/>
        <w:jc w:val="both"/>
        <w:rPr>
          <w:rFonts w:asciiTheme="minorHAnsi" w:hAnsiTheme="minorHAnsi" w:cs="Times New Roman"/>
        </w:rPr>
      </w:pPr>
    </w:p>
    <w:p w14:paraId="605F556E" w14:textId="77777777" w:rsidR="0048308C" w:rsidRDefault="0048308C" w:rsidP="0048308C">
      <w:pPr>
        <w:pStyle w:val="ListParagraph"/>
        <w:ind w:right="4348"/>
        <w:jc w:val="both"/>
        <w:rPr>
          <w:rFonts w:asciiTheme="minorHAnsi" w:hAnsiTheme="minorHAnsi" w:cs="Times New Roman"/>
        </w:rPr>
      </w:pPr>
    </w:p>
    <w:p w14:paraId="445D579E" w14:textId="77777777" w:rsidR="0048308C" w:rsidRDefault="0048308C" w:rsidP="0048308C">
      <w:pPr>
        <w:pStyle w:val="ListParagraph"/>
        <w:ind w:right="4348"/>
        <w:jc w:val="both"/>
        <w:rPr>
          <w:rFonts w:asciiTheme="minorHAnsi" w:hAnsiTheme="minorHAnsi" w:cs="Times New Roman"/>
        </w:rPr>
      </w:pPr>
    </w:p>
    <w:p w14:paraId="4BF72F80" w14:textId="77777777" w:rsidR="0048308C" w:rsidRDefault="0048308C" w:rsidP="0048308C">
      <w:pPr>
        <w:pStyle w:val="ListParagraph"/>
        <w:ind w:right="4348"/>
        <w:jc w:val="both"/>
        <w:rPr>
          <w:rFonts w:asciiTheme="minorHAnsi" w:hAnsiTheme="minorHAnsi" w:cs="Times New Roman"/>
        </w:rPr>
      </w:pPr>
    </w:p>
    <w:p w14:paraId="64E618F0" w14:textId="77777777" w:rsidR="0048308C" w:rsidRDefault="0048308C" w:rsidP="0048308C">
      <w:pPr>
        <w:pStyle w:val="ListParagraph"/>
        <w:ind w:right="4348"/>
        <w:jc w:val="both"/>
        <w:rPr>
          <w:rFonts w:asciiTheme="minorHAnsi" w:hAnsiTheme="minorHAnsi" w:cs="Times New Roman"/>
        </w:rPr>
      </w:pPr>
    </w:p>
    <w:p w14:paraId="6A57AE6A" w14:textId="77777777" w:rsidR="0048308C" w:rsidRDefault="0048308C" w:rsidP="0048308C">
      <w:pPr>
        <w:pStyle w:val="ListParagraph"/>
        <w:ind w:right="4348"/>
        <w:jc w:val="both"/>
        <w:rPr>
          <w:rFonts w:asciiTheme="minorHAnsi" w:hAnsiTheme="minorHAnsi" w:cs="Times New Roman"/>
        </w:rPr>
      </w:pPr>
    </w:p>
    <w:p w14:paraId="40CB02AE" w14:textId="77777777" w:rsidR="0048308C" w:rsidRDefault="0048308C" w:rsidP="0048308C">
      <w:pPr>
        <w:pStyle w:val="ListParagraph"/>
        <w:ind w:right="4348"/>
        <w:jc w:val="both"/>
        <w:rPr>
          <w:rFonts w:asciiTheme="minorHAnsi" w:hAnsiTheme="minorHAnsi" w:cs="Times New Roman"/>
        </w:rPr>
      </w:pPr>
    </w:p>
    <w:p w14:paraId="4732B5D0" w14:textId="77777777" w:rsidR="0048308C" w:rsidRDefault="0048308C" w:rsidP="0048308C">
      <w:pPr>
        <w:pStyle w:val="ListParagraph"/>
        <w:ind w:right="4348"/>
        <w:jc w:val="both"/>
        <w:rPr>
          <w:rFonts w:asciiTheme="minorHAnsi" w:hAnsiTheme="minorHAnsi" w:cs="Times New Roman"/>
        </w:rPr>
      </w:pPr>
    </w:p>
    <w:p w14:paraId="7F75B5EA" w14:textId="77777777" w:rsidR="0048308C" w:rsidRPr="0048308C" w:rsidRDefault="0048308C" w:rsidP="0048308C">
      <w:pPr>
        <w:pStyle w:val="ListParagraph"/>
        <w:ind w:right="4348"/>
        <w:jc w:val="both"/>
        <w:rPr>
          <w:rFonts w:asciiTheme="minorHAnsi" w:hAnsiTheme="minorHAnsi" w:cs="Times New Roman"/>
        </w:rPr>
      </w:pPr>
    </w:p>
    <w:p w14:paraId="7EC36848" w14:textId="31CD9F2E" w:rsidR="0040650A" w:rsidRPr="0040650A" w:rsidRDefault="00A1793A" w:rsidP="00505BE0">
      <w:pPr>
        <w:pStyle w:val="ListParagraph"/>
        <w:numPr>
          <w:ilvl w:val="0"/>
          <w:numId w:val="6"/>
        </w:numPr>
        <w:tabs>
          <w:tab w:val="left" w:pos="8931"/>
        </w:tabs>
        <w:ind w:right="95"/>
        <w:jc w:val="both"/>
        <w:rPr>
          <w:rFonts w:asciiTheme="minorHAnsi" w:hAnsiTheme="minorHAnsi" w:cs="Times New Roman"/>
        </w:rPr>
      </w:pPr>
      <w:r w:rsidRPr="00404F97">
        <w:rPr>
          <w:rFonts w:asciiTheme="minorHAnsi" w:hAnsiTheme="minorHAnsi" w:cstheme="minorHAnsi"/>
          <w:szCs w:val="24"/>
        </w:rPr>
        <w:t xml:space="preserve">Meanwhile, </w:t>
      </w:r>
      <w:r w:rsidR="0048308C">
        <w:rPr>
          <w:rFonts w:asciiTheme="minorHAnsi" w:hAnsiTheme="minorHAnsi" w:cstheme="minorHAnsi"/>
          <w:szCs w:val="24"/>
        </w:rPr>
        <w:t xml:space="preserve">some </w:t>
      </w:r>
      <w:r w:rsidR="00F72628">
        <w:rPr>
          <w:rFonts w:asciiTheme="minorHAnsi" w:hAnsiTheme="minorHAnsi" w:cstheme="minorHAnsi"/>
          <w:szCs w:val="24"/>
        </w:rPr>
        <w:t xml:space="preserve">of </w:t>
      </w:r>
      <w:r w:rsidRPr="00404F97">
        <w:rPr>
          <w:rFonts w:asciiTheme="minorHAnsi" w:hAnsiTheme="minorHAnsi" w:cstheme="minorHAnsi"/>
          <w:szCs w:val="24"/>
        </w:rPr>
        <w:t xml:space="preserve">these </w:t>
      </w:r>
      <w:r w:rsidR="005E57F0">
        <w:rPr>
          <w:rFonts w:asciiTheme="minorHAnsi" w:hAnsiTheme="minorHAnsi" w:cstheme="minorHAnsi"/>
          <w:szCs w:val="24"/>
        </w:rPr>
        <w:t xml:space="preserve">insights </w:t>
      </w:r>
      <w:r w:rsidRPr="00404F97">
        <w:rPr>
          <w:rFonts w:asciiTheme="minorHAnsi" w:hAnsiTheme="minorHAnsi" w:cstheme="minorHAnsi"/>
          <w:szCs w:val="24"/>
        </w:rPr>
        <w:t>have long been implicitly or explicit</w:t>
      </w:r>
      <w:r w:rsidR="005E57F0">
        <w:rPr>
          <w:rFonts w:asciiTheme="minorHAnsi" w:hAnsiTheme="minorHAnsi" w:cstheme="minorHAnsi"/>
          <w:szCs w:val="24"/>
        </w:rPr>
        <w:t>ly applied by the regulators</w:t>
      </w:r>
      <w:r w:rsidRPr="00404F97">
        <w:rPr>
          <w:rFonts w:asciiTheme="minorHAnsi" w:hAnsiTheme="minorHAnsi" w:cstheme="minorHAnsi"/>
          <w:szCs w:val="24"/>
        </w:rPr>
        <w:t>.</w:t>
      </w:r>
      <w:r>
        <w:rPr>
          <w:rFonts w:asciiTheme="minorHAnsi" w:hAnsiTheme="minorHAnsi" w:cstheme="minorHAnsi"/>
          <w:szCs w:val="24"/>
        </w:rPr>
        <w:t xml:space="preserve"> </w:t>
      </w:r>
      <w:r w:rsidR="00802F37">
        <w:rPr>
          <w:rFonts w:asciiTheme="minorHAnsi" w:hAnsiTheme="minorHAnsi" w:cs="Times New Roman"/>
        </w:rPr>
        <w:t xml:space="preserve">In spite of efforts </w:t>
      </w:r>
      <w:r w:rsidR="000610D3">
        <w:rPr>
          <w:rFonts w:asciiTheme="minorHAnsi" w:hAnsiTheme="minorHAnsi" w:cs="Times New Roman"/>
        </w:rPr>
        <w:t xml:space="preserve">by the FCA </w:t>
      </w:r>
      <w:r w:rsidR="00802F37">
        <w:rPr>
          <w:rFonts w:asciiTheme="minorHAnsi" w:hAnsiTheme="minorHAnsi" w:cs="Times New Roman"/>
        </w:rPr>
        <w:t>at consumer education and facilitating access to infor</w:t>
      </w:r>
      <w:r w:rsidR="005E57F0">
        <w:rPr>
          <w:rFonts w:asciiTheme="minorHAnsi" w:hAnsiTheme="minorHAnsi" w:cs="Times New Roman"/>
        </w:rPr>
        <w:t>mation, features of real-</w:t>
      </w:r>
      <w:r w:rsidR="00802F37">
        <w:rPr>
          <w:rFonts w:asciiTheme="minorHAnsi" w:hAnsiTheme="minorHAnsi" w:cs="Times New Roman"/>
        </w:rPr>
        <w:t xml:space="preserve">world human thinking outlined by </w:t>
      </w:r>
      <w:proofErr w:type="spellStart"/>
      <w:r w:rsidR="006314E3">
        <w:rPr>
          <w:rFonts w:asciiTheme="minorHAnsi" w:hAnsiTheme="minorHAnsi" w:cs="Times New Roman"/>
        </w:rPr>
        <w:t>Kahneman</w:t>
      </w:r>
      <w:proofErr w:type="spellEnd"/>
      <w:r w:rsidR="006314E3">
        <w:rPr>
          <w:rFonts w:asciiTheme="minorHAnsi" w:hAnsiTheme="minorHAnsi" w:cs="Times New Roman"/>
        </w:rPr>
        <w:t xml:space="preserve"> </w:t>
      </w:r>
      <w:r w:rsidR="000610D3">
        <w:rPr>
          <w:rFonts w:asciiTheme="minorHAnsi" w:hAnsiTheme="minorHAnsi" w:cs="Times New Roman"/>
        </w:rPr>
        <w:t>have meant</w:t>
      </w:r>
      <w:r w:rsidR="00802F37">
        <w:rPr>
          <w:rFonts w:asciiTheme="minorHAnsi" w:hAnsiTheme="minorHAnsi" w:cs="Times New Roman"/>
        </w:rPr>
        <w:t xml:space="preserve"> that even where </w:t>
      </w:r>
      <w:r w:rsidR="001F668E">
        <w:rPr>
          <w:rFonts w:asciiTheme="minorHAnsi" w:hAnsiTheme="minorHAnsi" w:cs="Times New Roman"/>
        </w:rPr>
        <w:t>consumers were well informed, their</w:t>
      </w:r>
      <w:r w:rsidR="00802F37">
        <w:rPr>
          <w:rFonts w:asciiTheme="minorHAnsi" w:hAnsiTheme="minorHAnsi" w:cs="Times New Roman"/>
        </w:rPr>
        <w:t xml:space="preserve"> behaviour </w:t>
      </w:r>
      <w:r w:rsidR="000610D3">
        <w:rPr>
          <w:rFonts w:asciiTheme="minorHAnsi" w:hAnsiTheme="minorHAnsi" w:cs="Times New Roman"/>
        </w:rPr>
        <w:t>has not been</w:t>
      </w:r>
      <w:r w:rsidR="00802F37">
        <w:rPr>
          <w:rFonts w:asciiTheme="minorHAnsi" w:hAnsiTheme="minorHAnsi" w:cs="Times New Roman"/>
        </w:rPr>
        <w:t xml:space="preserve"> fully rational. Research by the </w:t>
      </w:r>
      <w:r w:rsidR="005E57F0">
        <w:rPr>
          <w:rFonts w:asciiTheme="minorHAnsi" w:hAnsiTheme="minorHAnsi" w:cs="Times New Roman"/>
        </w:rPr>
        <w:t xml:space="preserve">FCA’s predecessor, the </w:t>
      </w:r>
      <w:r w:rsidR="00802F37">
        <w:rPr>
          <w:rFonts w:asciiTheme="minorHAnsi" w:hAnsiTheme="minorHAnsi" w:cs="Times New Roman"/>
        </w:rPr>
        <w:t>FSA</w:t>
      </w:r>
      <w:r w:rsidR="005E57F0">
        <w:rPr>
          <w:rFonts w:asciiTheme="minorHAnsi" w:hAnsiTheme="minorHAnsi" w:cs="Times New Roman"/>
        </w:rPr>
        <w:t>,</w:t>
      </w:r>
      <w:r w:rsidR="00802F37">
        <w:rPr>
          <w:rFonts w:asciiTheme="minorHAnsi" w:hAnsiTheme="minorHAnsi" w:cs="Times New Roman"/>
        </w:rPr>
        <w:t xml:space="preserve"> evaluating its </w:t>
      </w:r>
      <w:r w:rsidR="00802F37">
        <w:rPr>
          <w:rFonts w:asciiTheme="minorHAnsi" w:hAnsiTheme="minorHAnsi" w:cs="Times New Roman"/>
        </w:rPr>
        <w:lastRenderedPageBreak/>
        <w:t>efforts to improve financial literacy highlights this crucial point</w:t>
      </w:r>
      <w:r w:rsidR="00A43E40">
        <w:rPr>
          <w:rFonts w:asciiTheme="minorHAnsi" w:hAnsiTheme="minorHAnsi" w:cs="Times New Roman"/>
        </w:rPr>
        <w:t>.</w:t>
      </w:r>
      <w:r w:rsidR="00802F37">
        <w:rPr>
          <w:rStyle w:val="FootnoteReference"/>
          <w:rFonts w:asciiTheme="minorHAnsi" w:hAnsiTheme="minorHAnsi" w:cs="Times New Roman"/>
        </w:rPr>
        <w:footnoteReference w:id="19"/>
      </w:r>
      <w:r w:rsidR="00802F37">
        <w:rPr>
          <w:rFonts w:asciiTheme="minorHAnsi" w:hAnsiTheme="minorHAnsi" w:cs="Times New Roman"/>
        </w:rPr>
        <w:t xml:space="preserve"> If the improvements in behaviour from such investments in consumer capability are modest, this will have a bearing on how much additional resource ought to be invested in su</w:t>
      </w:r>
      <w:r w:rsidR="005E57F0">
        <w:rPr>
          <w:rFonts w:asciiTheme="minorHAnsi" w:hAnsiTheme="minorHAnsi" w:cs="Times New Roman"/>
        </w:rPr>
        <w:t>ch an approach</w:t>
      </w:r>
      <w:r w:rsidR="000610D3">
        <w:rPr>
          <w:rFonts w:asciiTheme="minorHAnsi" w:hAnsiTheme="minorHAnsi" w:cs="Times New Roman"/>
        </w:rPr>
        <w:t xml:space="preserve">. </w:t>
      </w:r>
      <w:r w:rsidR="005E57F0">
        <w:rPr>
          <w:rFonts w:asciiTheme="minorHAnsi" w:hAnsiTheme="minorHAnsi" w:cstheme="minorHAnsi"/>
          <w:szCs w:val="24"/>
        </w:rPr>
        <w:t xml:space="preserve">For example, the Chief Executive of the FCA, Martin Wheatley, has cast doubt on the idea that better consumer education tools necessarily lead to </w:t>
      </w:r>
      <w:r w:rsidR="000100A0">
        <w:rPr>
          <w:rFonts w:asciiTheme="minorHAnsi" w:hAnsiTheme="minorHAnsi" w:cstheme="minorHAnsi"/>
          <w:szCs w:val="24"/>
        </w:rPr>
        <w:t>more</w:t>
      </w:r>
      <w:r w:rsidR="005E57F0">
        <w:rPr>
          <w:rFonts w:asciiTheme="minorHAnsi" w:hAnsiTheme="minorHAnsi" w:cstheme="minorHAnsi"/>
          <w:szCs w:val="24"/>
        </w:rPr>
        <w:t xml:space="preserve"> empowered consumers.</w:t>
      </w:r>
      <w:r w:rsidR="005E57F0">
        <w:rPr>
          <w:rStyle w:val="FootnoteReference"/>
          <w:rFonts w:asciiTheme="minorHAnsi" w:hAnsiTheme="minorHAnsi" w:cstheme="minorHAnsi"/>
          <w:szCs w:val="24"/>
        </w:rPr>
        <w:footnoteReference w:id="20"/>
      </w:r>
      <w:r w:rsidR="005E57F0">
        <w:rPr>
          <w:rFonts w:asciiTheme="minorHAnsi" w:hAnsiTheme="minorHAnsi" w:cstheme="minorHAnsi"/>
          <w:szCs w:val="24"/>
        </w:rPr>
        <w:t xml:space="preserve"> </w:t>
      </w:r>
      <w:r w:rsidR="000610D3">
        <w:rPr>
          <w:rFonts w:asciiTheme="minorHAnsi" w:hAnsiTheme="minorHAnsi" w:cs="Times New Roman"/>
        </w:rPr>
        <w:t xml:space="preserve">As many interventions in the field of equalities are based on the provision of guidance and </w:t>
      </w:r>
      <w:r w:rsidR="005E57F0">
        <w:rPr>
          <w:rFonts w:asciiTheme="minorHAnsi" w:hAnsiTheme="minorHAnsi" w:cs="Times New Roman"/>
        </w:rPr>
        <w:t xml:space="preserve">awareness </w:t>
      </w:r>
      <w:r w:rsidR="000610D3">
        <w:rPr>
          <w:rFonts w:asciiTheme="minorHAnsi" w:hAnsiTheme="minorHAnsi" w:cs="Times New Roman"/>
        </w:rPr>
        <w:t xml:space="preserve">campaigns, this has obvious </w:t>
      </w:r>
      <w:r w:rsidR="00D562C4">
        <w:rPr>
          <w:rFonts w:asciiTheme="minorHAnsi" w:hAnsiTheme="minorHAnsi" w:cs="Times New Roman"/>
        </w:rPr>
        <w:t>implications for the work of GEO.</w:t>
      </w:r>
      <w:r w:rsidR="008F15EA" w:rsidRPr="008F15EA">
        <w:rPr>
          <w:rFonts w:asciiTheme="minorHAnsi" w:hAnsiTheme="minorHAnsi" w:cstheme="minorHAnsi"/>
          <w:szCs w:val="24"/>
        </w:rPr>
        <w:t xml:space="preserve"> </w:t>
      </w:r>
    </w:p>
    <w:p w14:paraId="5FEF4E26" w14:textId="77777777" w:rsidR="0040650A" w:rsidRPr="0040650A" w:rsidRDefault="0040650A" w:rsidP="0040650A">
      <w:pPr>
        <w:pStyle w:val="ListParagraph"/>
        <w:tabs>
          <w:tab w:val="left" w:pos="8931"/>
        </w:tabs>
        <w:ind w:right="95"/>
        <w:jc w:val="both"/>
        <w:rPr>
          <w:rFonts w:asciiTheme="minorHAnsi" w:hAnsiTheme="minorHAnsi" w:cs="Times New Roman"/>
        </w:rPr>
      </w:pPr>
    </w:p>
    <w:p w14:paraId="05380277" w14:textId="3F84FCF1" w:rsidR="00EA7286" w:rsidRDefault="005E57F0" w:rsidP="00505BE0">
      <w:pPr>
        <w:pStyle w:val="ListParagraph"/>
        <w:numPr>
          <w:ilvl w:val="0"/>
          <w:numId w:val="6"/>
        </w:numPr>
        <w:tabs>
          <w:tab w:val="left" w:pos="8931"/>
        </w:tabs>
        <w:ind w:right="95"/>
        <w:jc w:val="both"/>
        <w:rPr>
          <w:rFonts w:asciiTheme="minorHAnsi" w:hAnsiTheme="minorHAnsi" w:cs="Times New Roman"/>
        </w:rPr>
      </w:pPr>
      <w:r w:rsidRPr="0040650A">
        <w:rPr>
          <w:rFonts w:asciiTheme="minorHAnsi" w:hAnsiTheme="minorHAnsi" w:cs="Times New Roman"/>
        </w:rPr>
        <w:t>T</w:t>
      </w:r>
      <w:r w:rsidR="00D562C4" w:rsidRPr="0040650A">
        <w:rPr>
          <w:rFonts w:asciiTheme="minorHAnsi" w:hAnsiTheme="minorHAnsi" w:cs="Times New Roman"/>
        </w:rPr>
        <w:t>hese</w:t>
      </w:r>
      <w:r w:rsidR="00447EB0" w:rsidRPr="0040650A">
        <w:rPr>
          <w:rFonts w:asciiTheme="minorHAnsi" w:hAnsiTheme="minorHAnsi" w:cs="Times New Roman"/>
        </w:rPr>
        <w:t xml:space="preserve"> recurring</w:t>
      </w:r>
      <w:r w:rsidR="00D562C4" w:rsidRPr="0040650A">
        <w:rPr>
          <w:rFonts w:asciiTheme="minorHAnsi" w:hAnsiTheme="minorHAnsi" w:cs="Times New Roman"/>
        </w:rPr>
        <w:t xml:space="preserve"> biases are also likely to have an impact on the</w:t>
      </w:r>
      <w:r w:rsidR="00DA4C25" w:rsidRPr="0040650A">
        <w:rPr>
          <w:rFonts w:asciiTheme="minorHAnsi" w:hAnsiTheme="minorHAnsi" w:cs="Times New Roman"/>
        </w:rPr>
        <w:t xml:space="preserve"> competitive behaviour of firms</w:t>
      </w:r>
      <w:r w:rsidR="00D562C4" w:rsidRPr="0040650A">
        <w:rPr>
          <w:rFonts w:asciiTheme="minorHAnsi" w:hAnsiTheme="minorHAnsi" w:cs="Times New Roman"/>
        </w:rPr>
        <w:t>. For example, the market po</w:t>
      </w:r>
      <w:r w:rsidR="00753BB8" w:rsidRPr="0040650A">
        <w:rPr>
          <w:rFonts w:asciiTheme="minorHAnsi" w:hAnsiTheme="minorHAnsi" w:cs="Times New Roman"/>
        </w:rPr>
        <w:t>sition</w:t>
      </w:r>
      <w:r w:rsidR="00D562C4" w:rsidRPr="0040650A">
        <w:rPr>
          <w:rFonts w:asciiTheme="minorHAnsi" w:hAnsiTheme="minorHAnsi" w:cs="Times New Roman"/>
        </w:rPr>
        <w:t xml:space="preserve"> of </w:t>
      </w:r>
      <w:r w:rsidR="00753BB8" w:rsidRPr="0040650A">
        <w:rPr>
          <w:rFonts w:asciiTheme="minorHAnsi" w:hAnsiTheme="minorHAnsi" w:cs="Times New Roman"/>
        </w:rPr>
        <w:t>established</w:t>
      </w:r>
      <w:r w:rsidR="00D562C4" w:rsidRPr="0040650A">
        <w:rPr>
          <w:rFonts w:asciiTheme="minorHAnsi" w:hAnsiTheme="minorHAnsi" w:cs="Times New Roman"/>
        </w:rPr>
        <w:t xml:space="preserve"> </w:t>
      </w:r>
      <w:r w:rsidR="00DA4C25" w:rsidRPr="0040650A">
        <w:rPr>
          <w:rFonts w:asciiTheme="minorHAnsi" w:hAnsiTheme="minorHAnsi" w:cs="Times New Roman"/>
        </w:rPr>
        <w:t xml:space="preserve">firms </w:t>
      </w:r>
      <w:r w:rsidR="00D562C4" w:rsidRPr="0040650A">
        <w:rPr>
          <w:rFonts w:asciiTheme="minorHAnsi" w:hAnsiTheme="minorHAnsi" w:cs="Times New Roman"/>
        </w:rPr>
        <w:t>may be strengthe</w:t>
      </w:r>
      <w:r w:rsidRPr="0040650A">
        <w:rPr>
          <w:rFonts w:asciiTheme="minorHAnsi" w:hAnsiTheme="minorHAnsi" w:cs="Times New Roman"/>
        </w:rPr>
        <w:t>ned by consumers responding (or not responding) to known defaults</w:t>
      </w:r>
      <w:r w:rsidR="00D562C4" w:rsidRPr="0040650A">
        <w:rPr>
          <w:rFonts w:asciiTheme="minorHAnsi" w:hAnsiTheme="minorHAnsi" w:cs="Times New Roman"/>
        </w:rPr>
        <w:t xml:space="preserve"> rather than to incentives to switch providers</w:t>
      </w:r>
      <w:r w:rsidRPr="0040650A">
        <w:rPr>
          <w:rFonts w:asciiTheme="minorHAnsi" w:hAnsiTheme="minorHAnsi" w:cs="Times New Roman"/>
        </w:rPr>
        <w:t>.</w:t>
      </w:r>
      <w:r w:rsidR="00D562C4">
        <w:rPr>
          <w:rStyle w:val="FootnoteReference"/>
          <w:rFonts w:asciiTheme="minorHAnsi" w:hAnsiTheme="minorHAnsi" w:cs="Times New Roman"/>
        </w:rPr>
        <w:footnoteReference w:id="21"/>
      </w:r>
      <w:r w:rsidRPr="0040650A">
        <w:rPr>
          <w:rFonts w:asciiTheme="minorHAnsi" w:hAnsiTheme="minorHAnsi" w:cs="Times New Roman"/>
        </w:rPr>
        <w:t xml:space="preserve"> Thus,</w:t>
      </w:r>
      <w:r w:rsidR="00D562C4" w:rsidRPr="0040650A">
        <w:rPr>
          <w:rFonts w:asciiTheme="minorHAnsi" w:hAnsiTheme="minorHAnsi" w:cs="Times New Roman"/>
        </w:rPr>
        <w:t xml:space="preserve"> </w:t>
      </w:r>
      <w:r w:rsidR="00753BB8" w:rsidRPr="0040650A">
        <w:rPr>
          <w:rFonts w:asciiTheme="minorHAnsi" w:hAnsiTheme="minorHAnsi" w:cs="Times New Roman"/>
        </w:rPr>
        <w:t>established fir</w:t>
      </w:r>
      <w:r w:rsidR="00DA4C25" w:rsidRPr="0040650A">
        <w:rPr>
          <w:rFonts w:asciiTheme="minorHAnsi" w:hAnsiTheme="minorHAnsi" w:cs="Times New Roman"/>
        </w:rPr>
        <w:t>ms</w:t>
      </w:r>
      <w:r w:rsidR="00753BB8" w:rsidRPr="0040650A">
        <w:rPr>
          <w:rFonts w:asciiTheme="minorHAnsi" w:hAnsiTheme="minorHAnsi" w:cs="Times New Roman"/>
        </w:rPr>
        <w:t xml:space="preserve"> </w:t>
      </w:r>
      <w:r w:rsidR="00EA7286">
        <w:rPr>
          <w:rFonts w:asciiTheme="minorHAnsi" w:hAnsiTheme="minorHAnsi" w:cs="Times New Roman"/>
        </w:rPr>
        <w:t xml:space="preserve">seek </w:t>
      </w:r>
      <w:r w:rsidR="00753BB8" w:rsidRPr="0040650A">
        <w:rPr>
          <w:rFonts w:asciiTheme="minorHAnsi" w:hAnsiTheme="minorHAnsi" w:cs="Times New Roman"/>
        </w:rPr>
        <w:t>to raise prices without losing customers</w:t>
      </w:r>
      <w:r w:rsidR="00D562C4" w:rsidRPr="0040650A">
        <w:rPr>
          <w:rFonts w:asciiTheme="minorHAnsi" w:hAnsiTheme="minorHAnsi" w:cs="Times New Roman"/>
        </w:rPr>
        <w:t xml:space="preserve">. </w:t>
      </w:r>
      <w:r w:rsidRPr="0040650A">
        <w:rPr>
          <w:rFonts w:asciiTheme="minorHAnsi" w:hAnsiTheme="minorHAnsi" w:cs="Times New Roman"/>
        </w:rPr>
        <w:t xml:space="preserve">There may additionally be high costs to exit for users: few will stray away from an Apple device knowing that their customer experience is largely an emotional one and may not be portable. </w:t>
      </w:r>
    </w:p>
    <w:p w14:paraId="6E7B4492" w14:textId="77777777" w:rsidR="00EA7286" w:rsidRPr="00EA7286" w:rsidRDefault="00EA7286" w:rsidP="00EA7286">
      <w:pPr>
        <w:pStyle w:val="ListParagraph"/>
        <w:rPr>
          <w:rFonts w:asciiTheme="minorHAnsi" w:hAnsiTheme="minorHAnsi" w:cs="Times New Roman"/>
        </w:rPr>
      </w:pPr>
    </w:p>
    <w:p w14:paraId="69291741" w14:textId="50C346AD" w:rsidR="00F30AC7" w:rsidRPr="00F50D73" w:rsidRDefault="00D562C4" w:rsidP="00505BE0">
      <w:pPr>
        <w:pStyle w:val="ListParagraph"/>
        <w:numPr>
          <w:ilvl w:val="0"/>
          <w:numId w:val="6"/>
        </w:numPr>
        <w:tabs>
          <w:tab w:val="left" w:pos="8931"/>
        </w:tabs>
        <w:ind w:right="95"/>
        <w:jc w:val="both"/>
        <w:rPr>
          <w:rFonts w:asciiTheme="minorHAnsi" w:hAnsiTheme="minorHAnsi" w:cs="Times New Roman"/>
        </w:rPr>
      </w:pPr>
      <w:r w:rsidRPr="00F50D73">
        <w:rPr>
          <w:rFonts w:asciiTheme="minorHAnsi" w:hAnsiTheme="minorHAnsi" w:cs="Times New Roman"/>
        </w:rPr>
        <w:t xml:space="preserve">Firms in a given sector may also have a collective incentive to make pricing practices more complex than necessary to increase customer loyalty and limit competition. </w:t>
      </w:r>
      <w:r w:rsidR="00A43E40" w:rsidRPr="00F50D73">
        <w:rPr>
          <w:rFonts w:asciiTheme="minorHAnsi" w:hAnsiTheme="minorHAnsi" w:cs="Times New Roman"/>
        </w:rPr>
        <w:t>The practice of bundling together different services is another illustration of this, and highlight</w:t>
      </w:r>
      <w:r w:rsidR="001F1549" w:rsidRPr="00F50D73">
        <w:rPr>
          <w:rFonts w:asciiTheme="minorHAnsi" w:hAnsiTheme="minorHAnsi" w:cs="Times New Roman"/>
        </w:rPr>
        <w:t>s</w:t>
      </w:r>
      <w:r w:rsidR="00A43E40" w:rsidRPr="00F50D73">
        <w:rPr>
          <w:rFonts w:asciiTheme="minorHAnsi" w:hAnsiTheme="minorHAnsi" w:cs="Times New Roman"/>
        </w:rPr>
        <w:t xml:space="preserve"> the higher than normal efforts consumers would have to </w:t>
      </w:r>
      <w:r w:rsidR="001F1549" w:rsidRPr="00F50D73">
        <w:rPr>
          <w:rFonts w:asciiTheme="minorHAnsi" w:hAnsiTheme="minorHAnsi" w:cs="Times New Roman"/>
        </w:rPr>
        <w:t>make</w:t>
      </w:r>
      <w:r w:rsidR="00A43E40" w:rsidRPr="00F50D73">
        <w:rPr>
          <w:rFonts w:asciiTheme="minorHAnsi" w:hAnsiTheme="minorHAnsi" w:cs="Times New Roman"/>
        </w:rPr>
        <w:t xml:space="preserve"> in order to evaluate the costs and benefits of each service. </w:t>
      </w:r>
      <w:r w:rsidR="005E57F0" w:rsidRPr="00F50D73">
        <w:rPr>
          <w:rFonts w:asciiTheme="minorHAnsi" w:hAnsiTheme="minorHAnsi" w:cs="Times New Roman"/>
        </w:rPr>
        <w:t>The same principle applies to confusion marketing</w:t>
      </w:r>
      <w:r w:rsidRPr="00F50D73">
        <w:rPr>
          <w:rFonts w:asciiTheme="minorHAnsi" w:hAnsiTheme="minorHAnsi" w:cs="Times New Roman"/>
        </w:rPr>
        <w:t xml:space="preserve"> techniques in which details of financial products are presented in </w:t>
      </w:r>
      <w:r w:rsidR="00447EB0" w:rsidRPr="00F50D73">
        <w:rPr>
          <w:rFonts w:asciiTheme="minorHAnsi" w:hAnsiTheme="minorHAnsi" w:cs="Times New Roman"/>
        </w:rPr>
        <w:t xml:space="preserve">opaque </w:t>
      </w:r>
      <w:r w:rsidRPr="00F50D73">
        <w:rPr>
          <w:rFonts w:asciiTheme="minorHAnsi" w:hAnsiTheme="minorHAnsi" w:cs="Times New Roman"/>
        </w:rPr>
        <w:t>and tedious ways, in order to direct consumers’ attention to attractive headline figures and make comparisons difficult</w:t>
      </w:r>
      <w:r w:rsidR="00A43E40" w:rsidRPr="00F50D73">
        <w:rPr>
          <w:rFonts w:asciiTheme="minorHAnsi" w:hAnsiTheme="minorHAnsi" w:cs="Times New Roman"/>
        </w:rPr>
        <w:t>.</w:t>
      </w:r>
      <w:r w:rsidRPr="00F50D73">
        <w:rPr>
          <w:rStyle w:val="FootnoteReference"/>
          <w:rFonts w:asciiTheme="minorHAnsi" w:hAnsiTheme="minorHAnsi" w:cs="Times New Roman"/>
        </w:rPr>
        <w:footnoteReference w:id="22"/>
      </w:r>
      <w:r w:rsidRPr="00F50D73">
        <w:rPr>
          <w:rFonts w:asciiTheme="minorHAnsi" w:hAnsiTheme="minorHAnsi" w:cs="Times New Roman"/>
        </w:rPr>
        <w:t xml:space="preserve"> </w:t>
      </w:r>
    </w:p>
    <w:p w14:paraId="5AC5EA07" w14:textId="00BF4099" w:rsidR="00DA4C25" w:rsidRPr="00DA4C25" w:rsidRDefault="00DA4C25" w:rsidP="00DA4C25">
      <w:pPr>
        <w:pStyle w:val="ListParagraph"/>
        <w:ind w:right="-46"/>
        <w:jc w:val="both"/>
        <w:rPr>
          <w:rFonts w:asciiTheme="minorHAnsi" w:hAnsiTheme="minorHAnsi" w:cstheme="minorHAnsi"/>
          <w:szCs w:val="24"/>
        </w:rPr>
      </w:pPr>
    </w:p>
    <w:p w14:paraId="05A25640" w14:textId="5635392C" w:rsidR="00EA2A73" w:rsidRPr="00211527" w:rsidRDefault="005E57F0" w:rsidP="00505BE0">
      <w:pPr>
        <w:pStyle w:val="ListParagraph"/>
        <w:numPr>
          <w:ilvl w:val="0"/>
          <w:numId w:val="6"/>
        </w:numPr>
        <w:jc w:val="both"/>
        <w:rPr>
          <w:rFonts w:asciiTheme="minorHAnsi" w:hAnsiTheme="minorHAnsi" w:cs="Times New Roman"/>
        </w:rPr>
      </w:pPr>
      <w:r w:rsidRPr="00211527">
        <w:rPr>
          <w:rFonts w:asciiTheme="minorHAnsi" w:hAnsiTheme="minorHAnsi" w:cs="Times New Roman"/>
        </w:rPr>
        <w:t>T</w:t>
      </w:r>
      <w:r w:rsidR="00EA2A73" w:rsidRPr="00211527">
        <w:rPr>
          <w:rFonts w:asciiTheme="minorHAnsi" w:hAnsiTheme="minorHAnsi" w:cs="Times New Roman"/>
        </w:rPr>
        <w:t xml:space="preserve">he Behavioural Insights Team </w:t>
      </w:r>
      <w:r w:rsidRPr="00211527">
        <w:rPr>
          <w:rFonts w:asciiTheme="minorHAnsi" w:hAnsiTheme="minorHAnsi" w:cs="Times New Roman"/>
        </w:rPr>
        <w:t>offer</w:t>
      </w:r>
      <w:r w:rsidR="005B5355" w:rsidRPr="00211527">
        <w:rPr>
          <w:rFonts w:asciiTheme="minorHAnsi" w:hAnsiTheme="minorHAnsi" w:cs="Times New Roman"/>
        </w:rPr>
        <w:t>s</w:t>
      </w:r>
      <w:r w:rsidRPr="00211527">
        <w:rPr>
          <w:rFonts w:asciiTheme="minorHAnsi" w:hAnsiTheme="minorHAnsi" w:cs="Times New Roman"/>
        </w:rPr>
        <w:t xml:space="preserve"> some </w:t>
      </w:r>
      <w:r w:rsidR="00EA2A73" w:rsidRPr="00211527">
        <w:rPr>
          <w:rFonts w:asciiTheme="minorHAnsi" w:hAnsiTheme="minorHAnsi" w:cs="Times New Roman"/>
        </w:rPr>
        <w:t>policy recommendations for a number of fields such as energy consumpt</w:t>
      </w:r>
      <w:r w:rsidR="005B5355" w:rsidRPr="00211527">
        <w:rPr>
          <w:rFonts w:asciiTheme="minorHAnsi" w:hAnsiTheme="minorHAnsi" w:cs="Times New Roman"/>
        </w:rPr>
        <w:t>ion and health. In the h</w:t>
      </w:r>
      <w:r w:rsidR="00EA2A73" w:rsidRPr="00211527">
        <w:rPr>
          <w:rFonts w:asciiTheme="minorHAnsi" w:hAnsiTheme="minorHAnsi" w:cs="Times New Roman"/>
        </w:rPr>
        <w:t>ealth sector, BIT lists a number of policies applied across different countries to improve public health</w:t>
      </w:r>
      <w:r w:rsidR="005B5355" w:rsidRPr="00211527">
        <w:rPr>
          <w:rFonts w:asciiTheme="minorHAnsi" w:hAnsiTheme="minorHAnsi" w:cs="Times New Roman"/>
        </w:rPr>
        <w:t xml:space="preserve"> outcomes</w:t>
      </w:r>
      <w:r w:rsidR="00EA2A73" w:rsidRPr="00211527">
        <w:rPr>
          <w:rFonts w:asciiTheme="minorHAnsi" w:hAnsiTheme="minorHAnsi" w:cs="Times New Roman"/>
        </w:rPr>
        <w:t>.</w:t>
      </w:r>
      <w:r w:rsidR="000100A0">
        <w:rPr>
          <w:rStyle w:val="FootnoteReference"/>
          <w:rFonts w:asciiTheme="minorHAnsi" w:hAnsiTheme="minorHAnsi" w:cs="Times New Roman"/>
        </w:rPr>
        <w:footnoteReference w:id="23"/>
      </w:r>
    </w:p>
    <w:p w14:paraId="0470B0C5" w14:textId="77777777" w:rsidR="00626D94" w:rsidRPr="00626D94" w:rsidRDefault="00626D94" w:rsidP="00626D94">
      <w:pPr>
        <w:pStyle w:val="ListParagraph"/>
        <w:rPr>
          <w:rFonts w:asciiTheme="minorHAnsi" w:hAnsiTheme="minorHAnsi" w:cs="Times New Roman"/>
        </w:rPr>
      </w:pPr>
    </w:p>
    <w:p w14:paraId="6DC4C269" w14:textId="77777777" w:rsidR="00764226" w:rsidRPr="005B5355" w:rsidRDefault="00764226" w:rsidP="00764226">
      <w:pPr>
        <w:pStyle w:val="ListParagraph"/>
        <w:jc w:val="both"/>
        <w:rPr>
          <w:rFonts w:asciiTheme="minorHAnsi" w:hAnsiTheme="minorHAnsi" w:cs="Times New Roman"/>
        </w:rPr>
      </w:pPr>
    </w:p>
    <w:p w14:paraId="4DF45F7E" w14:textId="77777777" w:rsidR="000100A0" w:rsidRDefault="000100A0">
      <w:pPr>
        <w:rPr>
          <w:rFonts w:cs="Times New Roman"/>
          <w:b/>
          <w:sz w:val="24"/>
          <w:szCs w:val="24"/>
        </w:rPr>
      </w:pPr>
      <w:r>
        <w:rPr>
          <w:rFonts w:cs="Times New Roman"/>
          <w:b/>
          <w:sz w:val="24"/>
          <w:szCs w:val="24"/>
        </w:rPr>
        <w:br w:type="page"/>
      </w:r>
    </w:p>
    <w:p w14:paraId="25AAA4A5" w14:textId="5F90B81F" w:rsidR="00EA2A73" w:rsidRPr="00EA2A73" w:rsidRDefault="00EA2A73" w:rsidP="005B5355">
      <w:pPr>
        <w:ind w:right="804"/>
        <w:rPr>
          <w:rFonts w:cs="Times New Roman"/>
          <w:sz w:val="24"/>
        </w:rPr>
      </w:pPr>
      <w:r>
        <w:rPr>
          <w:rFonts w:cs="Times New Roman"/>
          <w:b/>
          <w:noProof/>
          <w:sz w:val="24"/>
          <w:szCs w:val="24"/>
          <w:lang w:eastAsia="en-GB"/>
        </w:rPr>
        <w:lastRenderedPageBreak/>
        <mc:AlternateContent>
          <mc:Choice Requires="wps">
            <w:drawing>
              <wp:anchor distT="0" distB="0" distL="114300" distR="114300" simplePos="0" relativeHeight="251662336" behindDoc="1" locked="0" layoutInCell="1" allowOverlap="1" wp14:anchorId="374D137F" wp14:editId="1E696AA6">
                <wp:simplePos x="0" y="0"/>
                <wp:positionH relativeFrom="column">
                  <wp:posOffset>-94615</wp:posOffset>
                </wp:positionH>
                <wp:positionV relativeFrom="paragraph">
                  <wp:posOffset>-95250</wp:posOffset>
                </wp:positionV>
                <wp:extent cx="5467350" cy="3752850"/>
                <wp:effectExtent l="0" t="0" r="19050" b="31750"/>
                <wp:wrapNone/>
                <wp:docPr id="10" name="Rounded Rectangle 10"/>
                <wp:cNvGraphicFramePr/>
                <a:graphic xmlns:a="http://schemas.openxmlformats.org/drawingml/2006/main">
                  <a:graphicData uri="http://schemas.microsoft.com/office/word/2010/wordprocessingShape">
                    <wps:wsp>
                      <wps:cNvSpPr/>
                      <wps:spPr>
                        <a:xfrm>
                          <a:off x="0" y="0"/>
                          <a:ext cx="5467350" cy="3752850"/>
                        </a:xfrm>
                        <a:prstGeom prst="roundRect">
                          <a:avLst>
                            <a:gd name="adj" fmla="val 3176"/>
                          </a:avLst>
                        </a:prstGeom>
                        <a:solidFill>
                          <a:schemeClr val="accent1">
                            <a:alpha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ounded Rectangle 10" o:spid="_x0000_s1026" style="position:absolute;margin-left:-7.4pt;margin-top:-7.45pt;width:430.5pt;height:29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81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" fillcolor="#4f81bd [3204]" strokecolor="#243f60 [1604]" strokeweight="2pt">
                <v:fill opacity="32896f"/>
              </v:roundrect>
            </w:pict>
          </mc:Fallback>
        </mc:AlternateContent>
      </w:r>
      <w:r>
        <w:rPr>
          <w:rFonts w:cs="Times New Roman"/>
          <w:b/>
          <w:sz w:val="24"/>
          <w:szCs w:val="24"/>
        </w:rPr>
        <w:t>Behaviour Change in Health</w:t>
      </w:r>
    </w:p>
    <w:p w14:paraId="3C2396E3" w14:textId="1AE7EAF9" w:rsidR="00EA2A73" w:rsidRPr="00F50D73" w:rsidRDefault="005B5355" w:rsidP="005B5355">
      <w:pPr>
        <w:ind w:right="804"/>
        <w:jc w:val="both"/>
        <w:rPr>
          <w:rFonts w:cs="Times New Roman"/>
        </w:rPr>
      </w:pPr>
      <w:r>
        <w:rPr>
          <w:rFonts w:cs="Times New Roman"/>
        </w:rPr>
        <w:t>Defaults have</w:t>
      </w:r>
      <w:r w:rsidR="00EA2A73" w:rsidRPr="00EA2A73">
        <w:rPr>
          <w:rFonts w:cs="Times New Roman"/>
        </w:rPr>
        <w:t xml:space="preserve"> been found to have a strong impact when included in </w:t>
      </w:r>
      <w:r w:rsidR="00EA2A73" w:rsidRPr="00EA2A73">
        <w:rPr>
          <w:rFonts w:cs="Times New Roman"/>
          <w:b/>
        </w:rPr>
        <w:t>organ donation</w:t>
      </w:r>
      <w:r w:rsidR="00EA2A73" w:rsidRPr="00EA2A73">
        <w:rPr>
          <w:rFonts w:cs="Times New Roman"/>
        </w:rPr>
        <w:t xml:space="preserve"> polici</w:t>
      </w:r>
      <w:r>
        <w:rPr>
          <w:rFonts w:cs="Times New Roman"/>
        </w:rPr>
        <w:t>es. While switching from an opt-in system to an opt-out</w:t>
      </w:r>
      <w:r w:rsidR="00EA2A73" w:rsidRPr="00EA2A73">
        <w:rPr>
          <w:rFonts w:cs="Times New Roman"/>
        </w:rPr>
        <w:t xml:space="preserve"> system in which consent is assumed may be impr</w:t>
      </w:r>
      <w:r>
        <w:rPr>
          <w:rFonts w:cs="Times New Roman"/>
        </w:rPr>
        <w:t>actical due to ethical issues, prompted choice</w:t>
      </w:r>
      <w:r w:rsidR="00EA2A73" w:rsidRPr="00EA2A73">
        <w:rPr>
          <w:rFonts w:cs="Times New Roman"/>
        </w:rPr>
        <w:t xml:space="preserve"> may break the </w:t>
      </w:r>
      <w:r w:rsidR="00EA2A73" w:rsidRPr="00F50D73">
        <w:rPr>
          <w:rFonts w:cs="Times New Roman"/>
        </w:rPr>
        <w:t xml:space="preserve">persistence of default options by expressly asking people whether or not they want to become organ donors. </w:t>
      </w:r>
    </w:p>
    <w:p w14:paraId="3C606991" w14:textId="62F40F1B" w:rsidR="00EA2A73" w:rsidRPr="00F50D73" w:rsidRDefault="00EA2A73" w:rsidP="005B5355">
      <w:pPr>
        <w:ind w:right="804"/>
        <w:jc w:val="both"/>
        <w:rPr>
          <w:rFonts w:cs="Times New Roman"/>
        </w:rPr>
      </w:pPr>
      <w:r w:rsidRPr="00F50D73">
        <w:rPr>
          <w:rFonts w:cs="Times New Roman"/>
        </w:rPr>
        <w:t xml:space="preserve">Interventions against </w:t>
      </w:r>
      <w:r w:rsidRPr="00F50D73">
        <w:rPr>
          <w:rFonts w:cs="Times New Roman"/>
          <w:b/>
        </w:rPr>
        <w:t>teenage pregnancy</w:t>
      </w:r>
      <w:r w:rsidRPr="00F50D73">
        <w:rPr>
          <w:rFonts w:cs="Times New Roman"/>
        </w:rPr>
        <w:t xml:space="preserve"> have</w:t>
      </w:r>
      <w:r w:rsidR="009A147B">
        <w:rPr>
          <w:rFonts w:cs="Times New Roman"/>
        </w:rPr>
        <w:t xml:space="preserve"> been</w:t>
      </w:r>
      <w:r w:rsidRPr="00F50D73">
        <w:rPr>
          <w:rFonts w:cs="Times New Roman"/>
        </w:rPr>
        <w:t xml:space="preserve"> found to be most effective where they do not portray teenage pregnancy as frequent, i.e. by bringing teenage mothers into schools, and do not prompt active reaction against the recommendations by using the wrong messenger, such as schools or government. </w:t>
      </w:r>
    </w:p>
    <w:p w14:paraId="59BEB71E" w14:textId="56758225" w:rsidR="00EA2A73" w:rsidRPr="00F50D73" w:rsidRDefault="00EA2A73" w:rsidP="005B5355">
      <w:pPr>
        <w:ind w:right="804"/>
        <w:jc w:val="both"/>
        <w:rPr>
          <w:rFonts w:cs="Times New Roman"/>
        </w:rPr>
      </w:pPr>
      <w:r w:rsidRPr="00F50D73">
        <w:rPr>
          <w:rFonts w:cs="Times New Roman"/>
        </w:rPr>
        <w:t xml:space="preserve">Excessive </w:t>
      </w:r>
      <w:r w:rsidRPr="00F50D73">
        <w:rPr>
          <w:rFonts w:cs="Times New Roman"/>
          <w:b/>
        </w:rPr>
        <w:t>alcohol consumption</w:t>
      </w:r>
      <w:r w:rsidRPr="00F50D73">
        <w:rPr>
          <w:rFonts w:cs="Times New Roman"/>
        </w:rPr>
        <w:t xml:space="preserve"> </w:t>
      </w:r>
      <w:r w:rsidR="005B5355" w:rsidRPr="00F50D73">
        <w:rPr>
          <w:rFonts w:cs="Times New Roman"/>
        </w:rPr>
        <w:t>patterns have</w:t>
      </w:r>
      <w:r w:rsidRPr="00F50D73">
        <w:rPr>
          <w:rFonts w:cs="Times New Roman"/>
        </w:rPr>
        <w:t xml:space="preserve"> been found to be linked to perceptions of social norms </w:t>
      </w:r>
      <w:r w:rsidR="005B5355" w:rsidRPr="00F50D73">
        <w:rPr>
          <w:rFonts w:cs="Times New Roman"/>
        </w:rPr>
        <w:t xml:space="preserve">that </w:t>
      </w:r>
      <w:r w:rsidRPr="00F50D73">
        <w:rPr>
          <w:rFonts w:cs="Times New Roman"/>
        </w:rPr>
        <w:t>are distorted because of the differences in the accessibility of different memories. As incidents and stories of heavy drinking are more salient for most people and can thus be remembered more easily, people tend to overestimate the general level of alcohol con</w:t>
      </w:r>
      <w:r w:rsidR="005B5355" w:rsidRPr="00F50D73">
        <w:rPr>
          <w:rFonts w:cs="Times New Roman"/>
        </w:rPr>
        <w:t>sumption in their environment. Accurate i</w:t>
      </w:r>
      <w:r w:rsidRPr="00F50D73">
        <w:rPr>
          <w:rFonts w:cs="Times New Roman"/>
        </w:rPr>
        <w:t>nformation on the actual levels of drinking can remedy this bias.</w:t>
      </w:r>
    </w:p>
    <w:p w14:paraId="39C6BA23" w14:textId="77777777" w:rsidR="00EA2A73" w:rsidRPr="00EA2A73" w:rsidRDefault="00EA2A73" w:rsidP="00EA2A73">
      <w:pPr>
        <w:jc w:val="both"/>
        <w:rPr>
          <w:rFonts w:cs="Times New Roman"/>
        </w:rPr>
      </w:pPr>
    </w:p>
    <w:p w14:paraId="4537AFF1" w14:textId="77777777" w:rsidR="007E3A55" w:rsidRDefault="007E3A55" w:rsidP="008415A7">
      <w:pPr>
        <w:pStyle w:val="Heading2"/>
      </w:pPr>
    </w:p>
    <w:p w14:paraId="6D361E70" w14:textId="3492265B" w:rsidR="00781400" w:rsidRDefault="00781400" w:rsidP="008415A7">
      <w:pPr>
        <w:pStyle w:val="Heading2"/>
      </w:pPr>
      <w:bookmarkStart w:id="9" w:name="_Toc378323553"/>
      <w:r w:rsidRPr="00781400">
        <w:t>2.2</w:t>
      </w:r>
      <w:r>
        <w:t xml:space="preserve"> </w:t>
      </w:r>
      <w:r w:rsidR="00825644">
        <w:t>Moving the Middle</w:t>
      </w:r>
      <w:bookmarkEnd w:id="9"/>
    </w:p>
    <w:p w14:paraId="4D8367F3" w14:textId="77777777" w:rsidR="007E3A55" w:rsidRPr="007E3A55" w:rsidRDefault="007E3A55" w:rsidP="007E3A55"/>
    <w:p w14:paraId="3C9921F0" w14:textId="77777777" w:rsidR="003B6E0C" w:rsidRDefault="001C2C43" w:rsidP="00505BE0">
      <w:pPr>
        <w:pStyle w:val="ListParagraph"/>
        <w:numPr>
          <w:ilvl w:val="0"/>
          <w:numId w:val="6"/>
        </w:numPr>
        <w:jc w:val="both"/>
        <w:rPr>
          <w:rFonts w:asciiTheme="minorHAnsi" w:hAnsiTheme="minorHAnsi" w:cs="Times New Roman"/>
        </w:rPr>
      </w:pPr>
      <w:r>
        <w:rPr>
          <w:rFonts w:asciiTheme="minorHAnsi" w:hAnsiTheme="minorHAnsi" w:cs="Times New Roman"/>
        </w:rPr>
        <w:t>Not everyone’s behaviour is equally hard to influence. Some engage in serial unwelcome behaviour while others do so only rarely. Some are soake</w:t>
      </w:r>
      <w:r w:rsidR="003B6E0C">
        <w:rPr>
          <w:rFonts w:asciiTheme="minorHAnsi" w:hAnsiTheme="minorHAnsi" w:cs="Times New Roman"/>
        </w:rPr>
        <w:t>d in lifetime habit and others’ habits have barely settled if at all. And some will be drawn to changing their behaviour as part of other kinds of change they are attracted to, contrasting with others who had hardened in their opposition to change. Each of these polar opposites are commonly found but they also mask those who lie in-between and are susceptible to some behaviour change that is carefully handled and designed to ease the change involved. This is a vital opportunity for policy-makers.</w:t>
      </w:r>
    </w:p>
    <w:p w14:paraId="7CDD7A67" w14:textId="77777777" w:rsidR="003B6E0C" w:rsidRDefault="003B6E0C" w:rsidP="003B6E0C">
      <w:pPr>
        <w:pStyle w:val="ListParagraph"/>
        <w:jc w:val="both"/>
        <w:rPr>
          <w:rFonts w:asciiTheme="minorHAnsi" w:hAnsiTheme="minorHAnsi" w:cs="Times New Roman"/>
        </w:rPr>
      </w:pPr>
    </w:p>
    <w:p w14:paraId="626483E8" w14:textId="7BB958D4" w:rsidR="00256D82" w:rsidRPr="00A72487" w:rsidRDefault="003B6E0C" w:rsidP="00505BE0">
      <w:pPr>
        <w:pStyle w:val="ListParagraph"/>
        <w:numPr>
          <w:ilvl w:val="0"/>
          <w:numId w:val="6"/>
        </w:numPr>
        <w:jc w:val="both"/>
        <w:rPr>
          <w:rFonts w:asciiTheme="minorHAnsi" w:hAnsiTheme="minorHAnsi" w:cs="Times New Roman"/>
        </w:rPr>
      </w:pPr>
      <w:r>
        <w:rPr>
          <w:rFonts w:asciiTheme="minorHAnsi" w:hAnsiTheme="minorHAnsi" w:cs="Times New Roman"/>
        </w:rPr>
        <w:t>There is</w:t>
      </w:r>
      <w:r w:rsidR="00D91759" w:rsidRPr="003B6E0C">
        <w:rPr>
          <w:rFonts w:asciiTheme="minorHAnsi" w:hAnsiTheme="minorHAnsi" w:cs="Times New Roman"/>
        </w:rPr>
        <w:t xml:space="preserve"> </w:t>
      </w:r>
      <w:r w:rsidR="00211527">
        <w:rPr>
          <w:rFonts w:asciiTheme="minorHAnsi" w:hAnsiTheme="minorHAnsi" w:cs="Times New Roman"/>
        </w:rPr>
        <w:t>a</w:t>
      </w:r>
      <w:r w:rsidR="00D91759" w:rsidRPr="003B6E0C">
        <w:rPr>
          <w:rFonts w:asciiTheme="minorHAnsi" w:hAnsiTheme="minorHAnsi" w:cs="Times New Roman"/>
        </w:rPr>
        <w:t xml:space="preserve"> distinction between</w:t>
      </w:r>
      <w:r>
        <w:rPr>
          <w:rFonts w:asciiTheme="minorHAnsi" w:hAnsiTheme="minorHAnsi" w:cs="Times New Roman"/>
        </w:rPr>
        <w:t xml:space="preserve"> Leaders, Laggards and Fence-sitters</w:t>
      </w:r>
      <w:r w:rsidR="00D91759" w:rsidRPr="003B6E0C">
        <w:rPr>
          <w:rFonts w:asciiTheme="minorHAnsi" w:hAnsiTheme="minorHAnsi" w:cs="Times New Roman"/>
        </w:rPr>
        <w:t xml:space="preserve"> (LLF), as depicted in Figure </w:t>
      </w:r>
      <w:r w:rsidR="00256D82" w:rsidRPr="003B6E0C">
        <w:rPr>
          <w:rFonts w:asciiTheme="minorHAnsi" w:hAnsiTheme="minorHAnsi" w:cs="Times New Roman"/>
        </w:rPr>
        <w:t>2</w:t>
      </w:r>
      <w:r w:rsidR="00D91759" w:rsidRPr="003B6E0C">
        <w:rPr>
          <w:rFonts w:asciiTheme="minorHAnsi" w:hAnsiTheme="minorHAnsi" w:cs="Times New Roman"/>
        </w:rPr>
        <w:t>.</w:t>
      </w:r>
      <w:r w:rsidR="00463010">
        <w:rPr>
          <w:rFonts w:asciiTheme="minorHAnsi" w:hAnsiTheme="minorHAnsi" w:cs="Times New Roman"/>
        </w:rPr>
        <w:t xml:space="preserve"> </w:t>
      </w:r>
      <w:r w:rsidR="00211527">
        <w:rPr>
          <w:rFonts w:asciiTheme="minorHAnsi" w:hAnsiTheme="minorHAnsi" w:cs="Times New Roman"/>
        </w:rPr>
        <w:t>‘</w:t>
      </w:r>
      <w:r w:rsidR="00463010">
        <w:rPr>
          <w:rFonts w:asciiTheme="minorHAnsi" w:hAnsiTheme="minorHAnsi" w:cs="Times New Roman"/>
        </w:rPr>
        <w:t>Leaders</w:t>
      </w:r>
      <w:r w:rsidR="00211527">
        <w:rPr>
          <w:rFonts w:asciiTheme="minorHAnsi" w:hAnsiTheme="minorHAnsi" w:cs="Times New Roman"/>
        </w:rPr>
        <w:t>’</w:t>
      </w:r>
      <w:r w:rsidR="00D91759">
        <w:rPr>
          <w:rFonts w:asciiTheme="minorHAnsi" w:hAnsiTheme="minorHAnsi" w:cs="Times New Roman"/>
        </w:rPr>
        <w:t xml:space="preserve"> in this case refers to those in</w:t>
      </w:r>
      <w:r w:rsidR="002922FC">
        <w:rPr>
          <w:rFonts w:asciiTheme="minorHAnsi" w:hAnsiTheme="minorHAnsi" w:cs="Times New Roman"/>
        </w:rPr>
        <w:t>dividuals or organisations that</w:t>
      </w:r>
      <w:r w:rsidR="00D91759">
        <w:rPr>
          <w:rFonts w:asciiTheme="minorHAnsi" w:hAnsiTheme="minorHAnsi" w:cs="Times New Roman"/>
        </w:rPr>
        <w:t xml:space="preserve"> are already implementing change in the direction desired by</w:t>
      </w:r>
      <w:r w:rsidR="007E3A55">
        <w:rPr>
          <w:rFonts w:asciiTheme="minorHAnsi" w:hAnsiTheme="minorHAnsi" w:cs="Times New Roman"/>
        </w:rPr>
        <w:t xml:space="preserve"> the intervention. Examples of L</w:t>
      </w:r>
      <w:r w:rsidR="00D91759">
        <w:rPr>
          <w:rFonts w:asciiTheme="minorHAnsi" w:hAnsiTheme="minorHAnsi" w:cs="Times New Roman"/>
        </w:rPr>
        <w:t>eaders could include individuals recycling their waste voluntarily, employers voluntarily adopting transparent and fair pay structures, or organisations showing high degrees of corporate social responsibility without public authorities requiring</w:t>
      </w:r>
      <w:r w:rsidR="007E3A55">
        <w:rPr>
          <w:rFonts w:asciiTheme="minorHAnsi" w:hAnsiTheme="minorHAnsi" w:cs="Times New Roman"/>
        </w:rPr>
        <w:t xml:space="preserve"> them to do so. In most cases, L</w:t>
      </w:r>
      <w:r w:rsidR="00D91759">
        <w:rPr>
          <w:rFonts w:asciiTheme="minorHAnsi" w:hAnsiTheme="minorHAnsi" w:cs="Times New Roman"/>
        </w:rPr>
        <w:t xml:space="preserve">eaders will form a minority of the population targeted by an intervention. Heavy-handed interventions targeted at Leaders will usually be redundant. </w:t>
      </w:r>
      <w:r w:rsidR="007E3A55">
        <w:rPr>
          <w:rFonts w:asciiTheme="minorHAnsi" w:hAnsiTheme="minorHAnsi" w:cs="Times New Roman"/>
        </w:rPr>
        <w:t>However, L</w:t>
      </w:r>
      <w:r w:rsidR="00D91759" w:rsidRPr="006041DC">
        <w:rPr>
          <w:rFonts w:asciiTheme="minorHAnsi" w:hAnsiTheme="minorHAnsi" w:cs="Times New Roman"/>
        </w:rPr>
        <w:t xml:space="preserve">eaders can play an important role in bringing </w:t>
      </w:r>
      <w:r w:rsidR="002922FC">
        <w:rPr>
          <w:rFonts w:asciiTheme="minorHAnsi" w:hAnsiTheme="minorHAnsi" w:cs="Times New Roman"/>
        </w:rPr>
        <w:t xml:space="preserve">about change in </w:t>
      </w:r>
      <w:r w:rsidR="002922FC">
        <w:rPr>
          <w:rFonts w:asciiTheme="minorHAnsi" w:hAnsiTheme="minorHAnsi" w:cs="Times New Roman"/>
        </w:rPr>
        <w:lastRenderedPageBreak/>
        <w:t>the behaviour among the</w:t>
      </w:r>
      <w:r w:rsidR="00D91759" w:rsidRPr="006041DC">
        <w:rPr>
          <w:rFonts w:asciiTheme="minorHAnsi" w:hAnsiTheme="minorHAnsi" w:cs="Times New Roman"/>
        </w:rPr>
        <w:t xml:space="preserve"> wider population. As members of the targeted population, they will </w:t>
      </w:r>
      <w:r w:rsidR="00A72487">
        <w:rPr>
          <w:rFonts w:asciiTheme="minorHAnsi" w:hAnsiTheme="minorHAnsi" w:cs="Times New Roman"/>
        </w:rPr>
        <w:t>sometimes</w:t>
      </w:r>
      <w:r w:rsidR="002922FC">
        <w:rPr>
          <w:rFonts w:asciiTheme="minorHAnsi" w:hAnsiTheme="minorHAnsi" w:cs="Times New Roman"/>
        </w:rPr>
        <w:t xml:space="preserve"> be credible messengers</w:t>
      </w:r>
      <w:r w:rsidR="00D91759" w:rsidRPr="006041DC">
        <w:rPr>
          <w:rFonts w:asciiTheme="minorHAnsi" w:hAnsiTheme="minorHAnsi" w:cs="Times New Roman"/>
        </w:rPr>
        <w:t xml:space="preserve"> able to influence the behaviour of their peers more effec</w:t>
      </w:r>
      <w:r w:rsidR="007E3A55">
        <w:rPr>
          <w:rFonts w:asciiTheme="minorHAnsi" w:hAnsiTheme="minorHAnsi" w:cs="Times New Roman"/>
        </w:rPr>
        <w:t>tively than an outside body</w:t>
      </w:r>
      <w:r w:rsidR="00D91759" w:rsidRPr="006041DC">
        <w:rPr>
          <w:rFonts w:asciiTheme="minorHAnsi" w:hAnsiTheme="minorHAnsi" w:cs="Times New Roman"/>
        </w:rPr>
        <w:t xml:space="preserve">. </w:t>
      </w:r>
    </w:p>
    <w:p w14:paraId="22441E66" w14:textId="4FDDE856" w:rsidR="003559C3" w:rsidRDefault="003559C3">
      <w:pPr>
        <w:rPr>
          <w:rFonts w:cs="Times New Roman"/>
          <w:i/>
        </w:rPr>
      </w:pPr>
    </w:p>
    <w:p w14:paraId="4025EFEA" w14:textId="4B6365B7" w:rsidR="00256D82" w:rsidRPr="007B0198" w:rsidRDefault="004D55F1" w:rsidP="00256D82">
      <w:pPr>
        <w:jc w:val="both"/>
        <w:rPr>
          <w:rFonts w:cs="Times New Roman"/>
          <w:i/>
          <w:sz w:val="24"/>
          <w:szCs w:val="24"/>
        </w:rPr>
      </w:pPr>
      <w:r w:rsidRPr="007B0198">
        <w:rPr>
          <w:rFonts w:cs="Times New Roman"/>
          <w:i/>
          <w:sz w:val="24"/>
          <w:szCs w:val="24"/>
        </w:rPr>
        <w:t>Figure 2</w:t>
      </w:r>
      <w:r w:rsidR="00EF5C35" w:rsidRPr="007B0198">
        <w:rPr>
          <w:rFonts w:cs="Times New Roman"/>
          <w:i/>
          <w:sz w:val="24"/>
          <w:szCs w:val="24"/>
        </w:rPr>
        <w:t>: A Simpl</w:t>
      </w:r>
      <w:r w:rsidR="00BD004E">
        <w:rPr>
          <w:rFonts w:cs="Times New Roman"/>
          <w:i/>
          <w:sz w:val="24"/>
          <w:szCs w:val="24"/>
        </w:rPr>
        <w:t>ified</w:t>
      </w:r>
      <w:r w:rsidR="00EF5C35" w:rsidRPr="007B0198">
        <w:rPr>
          <w:rFonts w:cs="Times New Roman"/>
          <w:i/>
          <w:sz w:val="24"/>
          <w:szCs w:val="24"/>
        </w:rPr>
        <w:t xml:space="preserve"> V</w:t>
      </w:r>
      <w:r w:rsidR="00256D82" w:rsidRPr="007B0198">
        <w:rPr>
          <w:rFonts w:cs="Times New Roman"/>
          <w:i/>
          <w:sz w:val="24"/>
          <w:szCs w:val="24"/>
        </w:rPr>
        <w:t>ersion of the LLF Model</w:t>
      </w:r>
    </w:p>
    <w:p w14:paraId="452539C4" w14:textId="11A75B04" w:rsidR="00256D82" w:rsidRPr="00256D82" w:rsidRDefault="000A3E31" w:rsidP="007E3A55">
      <w:pPr>
        <w:jc w:val="center"/>
        <w:rPr>
          <w:rFonts w:cs="Times New Roman"/>
        </w:rPr>
      </w:pPr>
      <w:r>
        <w:rPr>
          <w:rFonts w:cs="Times New Roman"/>
          <w:noProof/>
          <w:lang w:eastAsia="en-GB"/>
        </w:rPr>
        <w:drawing>
          <wp:inline distT="0" distB="0" distL="0" distR="0" wp14:anchorId="0FE29604" wp14:editId="38E70493">
            <wp:extent cx="3670300" cy="3188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0300" cy="3188335"/>
                    </a:xfrm>
                    <a:prstGeom prst="rect">
                      <a:avLst/>
                    </a:prstGeom>
                    <a:noFill/>
                  </pic:spPr>
                </pic:pic>
              </a:graphicData>
            </a:graphic>
          </wp:inline>
        </w:drawing>
      </w:r>
    </w:p>
    <w:p w14:paraId="20ACC823" w14:textId="77777777" w:rsidR="00DA4C25" w:rsidRDefault="00DA4C25" w:rsidP="00DA4C25"/>
    <w:p w14:paraId="1062520E" w14:textId="3DDFF47D" w:rsidR="00EF5C35" w:rsidRDefault="00EF5C35" w:rsidP="00505BE0">
      <w:pPr>
        <w:pStyle w:val="ListParagraph"/>
        <w:numPr>
          <w:ilvl w:val="0"/>
          <w:numId w:val="6"/>
        </w:numPr>
        <w:jc w:val="both"/>
        <w:rPr>
          <w:rFonts w:asciiTheme="minorHAnsi" w:hAnsiTheme="minorHAnsi" w:cs="Times New Roman"/>
        </w:rPr>
      </w:pPr>
      <w:r>
        <w:rPr>
          <w:rFonts w:asciiTheme="minorHAnsi" w:hAnsiTheme="minorHAnsi" w:cs="Times New Roman"/>
        </w:rPr>
        <w:t>The minority on the other end of the popu</w:t>
      </w:r>
      <w:r w:rsidR="002922FC">
        <w:rPr>
          <w:rFonts w:asciiTheme="minorHAnsi" w:hAnsiTheme="minorHAnsi" w:cs="Times New Roman"/>
        </w:rPr>
        <w:t>lation is typically made up of Laggards</w:t>
      </w:r>
      <w:r>
        <w:rPr>
          <w:rFonts w:asciiTheme="minorHAnsi" w:hAnsiTheme="minorHAnsi" w:cs="Times New Roman"/>
        </w:rPr>
        <w:t xml:space="preserve">, who will consciously decide to resist </w:t>
      </w:r>
      <w:r w:rsidR="00146930">
        <w:rPr>
          <w:rFonts w:asciiTheme="minorHAnsi" w:hAnsiTheme="minorHAnsi" w:cs="Times New Roman"/>
        </w:rPr>
        <w:t>an intervention</w:t>
      </w:r>
      <w:r>
        <w:rPr>
          <w:rFonts w:asciiTheme="minorHAnsi" w:hAnsiTheme="minorHAnsi" w:cs="Times New Roman"/>
        </w:rPr>
        <w:t xml:space="preserve"> as much as possible. Laggards will be those organisations and individuals that are set in their ways and do not see any benefit to changing their behaviour. They may have a number of reasons for resisting the changes proposed. For example, their organisational norms may be in opposition to change, they may not perceive themselves as targeted by the intervention, the intervention may be unprofitable based on rational choice</w:t>
      </w:r>
      <w:r w:rsidR="00616902">
        <w:rPr>
          <w:rFonts w:asciiTheme="minorHAnsi" w:hAnsiTheme="minorHAnsi" w:cs="Times New Roman"/>
        </w:rPr>
        <w:t xml:space="preserve"> calculations</w:t>
      </w:r>
      <w:r>
        <w:rPr>
          <w:rFonts w:asciiTheme="minorHAnsi" w:hAnsiTheme="minorHAnsi" w:cs="Times New Roman"/>
        </w:rPr>
        <w:t xml:space="preserve"> or be perceived as such. </w:t>
      </w:r>
      <w:r w:rsidR="002922FC">
        <w:rPr>
          <w:rFonts w:asciiTheme="minorHAnsi" w:hAnsiTheme="minorHAnsi" w:cs="Times New Roman"/>
        </w:rPr>
        <w:t>Modest behaviour change</w:t>
      </w:r>
      <w:r>
        <w:rPr>
          <w:rFonts w:asciiTheme="minorHAnsi" w:hAnsiTheme="minorHAnsi" w:cs="Times New Roman"/>
        </w:rPr>
        <w:t xml:space="preserve"> interventions targeted at Laggards will commonly not be effective </w:t>
      </w:r>
      <w:r w:rsidR="002922FC">
        <w:rPr>
          <w:rFonts w:asciiTheme="minorHAnsi" w:hAnsiTheme="minorHAnsi" w:cs="Times New Roman"/>
        </w:rPr>
        <w:t xml:space="preserve">compared to legislation, monitoring and </w:t>
      </w:r>
      <w:r w:rsidR="00146930">
        <w:rPr>
          <w:rFonts w:asciiTheme="minorHAnsi" w:hAnsiTheme="minorHAnsi" w:cs="Times New Roman"/>
        </w:rPr>
        <w:t>enforcement</w:t>
      </w:r>
      <w:r>
        <w:rPr>
          <w:rFonts w:asciiTheme="minorHAnsi" w:hAnsiTheme="minorHAnsi" w:cs="Times New Roman"/>
        </w:rPr>
        <w:t xml:space="preserve">. </w:t>
      </w:r>
    </w:p>
    <w:p w14:paraId="74645A04" w14:textId="0CED72F5" w:rsidR="00146930" w:rsidRDefault="00146930" w:rsidP="00146930">
      <w:pPr>
        <w:pStyle w:val="ListParagraph"/>
        <w:jc w:val="both"/>
        <w:rPr>
          <w:rFonts w:asciiTheme="minorHAnsi" w:hAnsiTheme="minorHAnsi" w:cs="Times New Roman"/>
        </w:rPr>
      </w:pPr>
    </w:p>
    <w:p w14:paraId="27508025" w14:textId="2750F315" w:rsidR="00DA4C25" w:rsidRDefault="00146930" w:rsidP="00505BE0">
      <w:pPr>
        <w:pStyle w:val="ListParagraph"/>
        <w:numPr>
          <w:ilvl w:val="0"/>
          <w:numId w:val="6"/>
        </w:numPr>
        <w:jc w:val="both"/>
        <w:rPr>
          <w:rFonts w:asciiTheme="minorHAnsi" w:hAnsiTheme="minorHAnsi" w:cs="Times New Roman"/>
        </w:rPr>
      </w:pPr>
      <w:r>
        <w:rPr>
          <w:rFonts w:asciiTheme="minorHAnsi" w:hAnsiTheme="minorHAnsi" w:cs="Times New Roman"/>
        </w:rPr>
        <w:t>Finally, the largest and most diverse group in this model, and typically th</w:t>
      </w:r>
      <w:r w:rsidR="002922FC">
        <w:rPr>
          <w:rFonts w:asciiTheme="minorHAnsi" w:hAnsiTheme="minorHAnsi" w:cs="Times New Roman"/>
        </w:rPr>
        <w:t>e majority, will be made up of Fence-sitters</w:t>
      </w:r>
      <w:r>
        <w:rPr>
          <w:rFonts w:asciiTheme="minorHAnsi" w:hAnsiTheme="minorHAnsi" w:cs="Times New Roman"/>
        </w:rPr>
        <w:t xml:space="preserve">. </w:t>
      </w:r>
      <w:r w:rsidR="002922FC">
        <w:rPr>
          <w:rFonts w:asciiTheme="minorHAnsi" w:hAnsiTheme="minorHAnsi" w:cs="Times New Roman"/>
        </w:rPr>
        <w:t>They are</w:t>
      </w:r>
      <w:r>
        <w:rPr>
          <w:rFonts w:asciiTheme="minorHAnsi" w:hAnsiTheme="minorHAnsi" w:cs="Times New Roman"/>
        </w:rPr>
        <w:t xml:space="preserve"> individuals and/or organisations that are open to </w:t>
      </w:r>
      <w:r w:rsidR="007B0198">
        <w:rPr>
          <w:rFonts w:asciiTheme="minorHAnsi" w:hAnsiTheme="minorHAnsi" w:cs="Times New Roman"/>
        </w:rPr>
        <w:t>a policy</w:t>
      </w:r>
      <w:r w:rsidR="002922FC">
        <w:rPr>
          <w:rFonts w:asciiTheme="minorHAnsi" w:hAnsiTheme="minorHAnsi" w:cs="Times New Roman"/>
        </w:rPr>
        <w:t>’s goals</w:t>
      </w:r>
      <w:r>
        <w:rPr>
          <w:rFonts w:asciiTheme="minorHAnsi" w:hAnsiTheme="minorHAnsi" w:cs="Times New Roman"/>
        </w:rPr>
        <w:t xml:space="preserve"> in principle, or are already trying to</w:t>
      </w:r>
      <w:r w:rsidR="007B0198">
        <w:rPr>
          <w:rFonts w:asciiTheme="minorHAnsi" w:hAnsiTheme="minorHAnsi" w:cs="Times New Roman"/>
        </w:rPr>
        <w:t xml:space="preserve"> implement it, </w:t>
      </w:r>
      <w:r>
        <w:rPr>
          <w:rFonts w:asciiTheme="minorHAnsi" w:hAnsiTheme="minorHAnsi" w:cs="Times New Roman"/>
        </w:rPr>
        <w:t xml:space="preserve">but are </w:t>
      </w:r>
      <w:r w:rsidR="007B0198">
        <w:rPr>
          <w:rFonts w:asciiTheme="minorHAnsi" w:hAnsiTheme="minorHAnsi" w:cs="Times New Roman"/>
        </w:rPr>
        <w:t>uncertain</w:t>
      </w:r>
      <w:r>
        <w:rPr>
          <w:rFonts w:asciiTheme="minorHAnsi" w:hAnsiTheme="minorHAnsi" w:cs="Times New Roman"/>
        </w:rPr>
        <w:t xml:space="preserve"> how to do so </w:t>
      </w:r>
      <w:r w:rsidR="007B0198">
        <w:rPr>
          <w:rFonts w:asciiTheme="minorHAnsi" w:hAnsiTheme="minorHAnsi" w:cs="Times New Roman"/>
        </w:rPr>
        <w:t>effectively.</w:t>
      </w:r>
      <w:r>
        <w:rPr>
          <w:rFonts w:asciiTheme="minorHAnsi" w:hAnsiTheme="minorHAnsi" w:cs="Times New Roman"/>
        </w:rPr>
        <w:t xml:space="preserve"> Examples include organisations </w:t>
      </w:r>
      <w:r w:rsidR="007B0198">
        <w:rPr>
          <w:rFonts w:asciiTheme="minorHAnsi" w:hAnsiTheme="minorHAnsi" w:cs="Times New Roman"/>
        </w:rPr>
        <w:t xml:space="preserve">that are </w:t>
      </w:r>
      <w:r>
        <w:rPr>
          <w:rFonts w:asciiTheme="minorHAnsi" w:hAnsiTheme="minorHAnsi" w:cs="Times New Roman"/>
        </w:rPr>
        <w:t xml:space="preserve">in favour of equal pay, </w:t>
      </w:r>
      <w:r w:rsidR="007B0198">
        <w:rPr>
          <w:rFonts w:asciiTheme="minorHAnsi" w:hAnsiTheme="minorHAnsi" w:cs="Times New Roman"/>
        </w:rPr>
        <w:t>but are uncertain</w:t>
      </w:r>
      <w:r w:rsidR="00616902">
        <w:rPr>
          <w:rFonts w:asciiTheme="minorHAnsi" w:hAnsiTheme="minorHAnsi" w:cs="Times New Roman"/>
        </w:rPr>
        <w:t xml:space="preserve"> and nervous</w:t>
      </w:r>
      <w:r w:rsidR="007B0198">
        <w:rPr>
          <w:rFonts w:asciiTheme="minorHAnsi" w:hAnsiTheme="minorHAnsi" w:cs="Times New Roman"/>
        </w:rPr>
        <w:t xml:space="preserve"> </w:t>
      </w:r>
      <w:r w:rsidR="00616902">
        <w:rPr>
          <w:rFonts w:asciiTheme="minorHAnsi" w:hAnsiTheme="minorHAnsi" w:cs="Times New Roman"/>
        </w:rPr>
        <w:t>about</w:t>
      </w:r>
      <w:r w:rsidR="007B0198">
        <w:rPr>
          <w:rFonts w:asciiTheme="minorHAnsi" w:hAnsiTheme="minorHAnsi" w:cs="Times New Roman"/>
        </w:rPr>
        <w:t xml:space="preserve"> how to secure minimum legal </w:t>
      </w:r>
      <w:r w:rsidR="007B0198">
        <w:rPr>
          <w:rFonts w:asciiTheme="minorHAnsi" w:hAnsiTheme="minorHAnsi" w:cs="Times New Roman"/>
        </w:rPr>
        <w:lastRenderedPageBreak/>
        <w:t>compliance</w:t>
      </w:r>
      <w:r w:rsidR="002922FC">
        <w:rPr>
          <w:rFonts w:asciiTheme="minorHAnsi" w:hAnsiTheme="minorHAnsi" w:cs="Times New Roman"/>
        </w:rPr>
        <w:t xml:space="preserve"> without attracting legal challenge</w:t>
      </w:r>
      <w:r>
        <w:rPr>
          <w:rFonts w:asciiTheme="minorHAnsi" w:hAnsiTheme="minorHAnsi" w:cs="Times New Roman"/>
        </w:rPr>
        <w:t xml:space="preserve">. </w:t>
      </w:r>
      <w:r w:rsidRPr="008F7AC5">
        <w:rPr>
          <w:rFonts w:asciiTheme="minorHAnsi" w:hAnsiTheme="minorHAnsi" w:cs="Times New Roman"/>
          <w:i/>
        </w:rPr>
        <w:t>Behaviour change interventions wil</w:t>
      </w:r>
      <w:r w:rsidR="00BE161F">
        <w:rPr>
          <w:rFonts w:asciiTheme="minorHAnsi" w:hAnsiTheme="minorHAnsi" w:cs="Times New Roman"/>
          <w:i/>
        </w:rPr>
        <w:t xml:space="preserve">l generally be most </w:t>
      </w:r>
      <w:r w:rsidRPr="008F7AC5">
        <w:rPr>
          <w:rFonts w:asciiTheme="minorHAnsi" w:hAnsiTheme="minorHAnsi" w:cs="Times New Roman"/>
          <w:i/>
        </w:rPr>
        <w:t>successful when targeted at this group</w:t>
      </w:r>
      <w:r>
        <w:rPr>
          <w:rFonts w:asciiTheme="minorHAnsi" w:hAnsiTheme="minorHAnsi" w:cs="Times New Roman"/>
        </w:rPr>
        <w:t xml:space="preserve">. </w:t>
      </w:r>
    </w:p>
    <w:p w14:paraId="7BB401AC" w14:textId="77777777" w:rsidR="00777D7C" w:rsidRPr="00777D7C" w:rsidRDefault="00777D7C" w:rsidP="00777D7C">
      <w:pPr>
        <w:pStyle w:val="ListParagraph"/>
        <w:rPr>
          <w:rFonts w:asciiTheme="minorHAnsi" w:hAnsiTheme="minorHAnsi" w:cs="Times New Roman"/>
        </w:rPr>
      </w:pPr>
    </w:p>
    <w:p w14:paraId="77546502" w14:textId="475D8F23" w:rsidR="00777D7C" w:rsidRDefault="00777D7C" w:rsidP="00505BE0">
      <w:pPr>
        <w:pStyle w:val="ListParagraph"/>
        <w:numPr>
          <w:ilvl w:val="0"/>
          <w:numId w:val="6"/>
        </w:numPr>
        <w:jc w:val="both"/>
        <w:rPr>
          <w:rFonts w:asciiTheme="minorHAnsi" w:hAnsiTheme="minorHAnsi" w:cs="Times New Roman"/>
        </w:rPr>
      </w:pPr>
      <w:r>
        <w:rPr>
          <w:rFonts w:asciiTheme="minorHAnsi" w:hAnsiTheme="minorHAnsi" w:cs="Times New Roman"/>
        </w:rPr>
        <w:t xml:space="preserve">On the other hand, attempts to force </w:t>
      </w:r>
      <w:r w:rsidRPr="002922FC">
        <w:rPr>
          <w:rFonts w:asciiTheme="minorHAnsi" w:hAnsiTheme="minorHAnsi" w:cs="Times New Roman"/>
        </w:rPr>
        <w:t xml:space="preserve">this group to change its behaviour through statutory means may be effective, but often not efficient. As outlined above, </w:t>
      </w:r>
      <w:r w:rsidR="002922FC">
        <w:rPr>
          <w:rFonts w:asciiTheme="minorHAnsi" w:hAnsiTheme="minorHAnsi" w:cs="Times New Roman"/>
        </w:rPr>
        <w:t>pursuing</w:t>
      </w:r>
      <w:r w:rsidRPr="002922FC">
        <w:rPr>
          <w:rFonts w:asciiTheme="minorHAnsi" w:hAnsiTheme="minorHAnsi" w:cs="Times New Roman"/>
        </w:rPr>
        <w:t xml:space="preserve"> certain behaviours through financial incentives or </w:t>
      </w:r>
      <w:r w:rsidR="002922FC">
        <w:rPr>
          <w:rFonts w:asciiTheme="minorHAnsi" w:hAnsiTheme="minorHAnsi" w:cs="Times New Roman"/>
        </w:rPr>
        <w:t xml:space="preserve">by </w:t>
      </w:r>
      <w:r w:rsidRPr="002922FC">
        <w:rPr>
          <w:rFonts w:asciiTheme="minorHAnsi" w:hAnsiTheme="minorHAnsi" w:cs="Times New Roman"/>
        </w:rPr>
        <w:t xml:space="preserve">limiting choice can lead to perverse outcomes if those targeted already support the desired behaviour in principle. For example, limited </w:t>
      </w:r>
      <w:r w:rsidR="008070F9" w:rsidRPr="002922FC">
        <w:rPr>
          <w:rFonts w:asciiTheme="minorHAnsi" w:hAnsiTheme="minorHAnsi" w:cs="Times New Roman"/>
        </w:rPr>
        <w:t>fines</w:t>
      </w:r>
      <w:r w:rsidRPr="002922FC">
        <w:rPr>
          <w:rFonts w:asciiTheme="minorHAnsi" w:hAnsiTheme="minorHAnsi" w:cs="Times New Roman"/>
        </w:rPr>
        <w:t xml:space="preserve"> may</w:t>
      </w:r>
      <w:r>
        <w:rPr>
          <w:rFonts w:asciiTheme="minorHAnsi" w:hAnsiTheme="minorHAnsi" w:cs="Times New Roman"/>
        </w:rPr>
        <w:t xml:space="preserve"> be seen to justify behaviour, as </w:t>
      </w:r>
      <w:r w:rsidR="00616902">
        <w:rPr>
          <w:rFonts w:asciiTheme="minorHAnsi" w:hAnsiTheme="minorHAnsi" w:cs="Times New Roman"/>
        </w:rPr>
        <w:t xml:space="preserve">such </w:t>
      </w:r>
      <w:r>
        <w:rPr>
          <w:rFonts w:asciiTheme="minorHAnsi" w:hAnsiTheme="minorHAnsi" w:cs="Times New Roman"/>
        </w:rPr>
        <w:t>costs are now internalised, as in the case of drivers s</w:t>
      </w:r>
      <w:r w:rsidR="002922FC">
        <w:rPr>
          <w:rFonts w:asciiTheme="minorHAnsi" w:hAnsiTheme="minorHAnsi" w:cs="Times New Roman"/>
        </w:rPr>
        <w:t>eeing low-cost fines as a fair price</w:t>
      </w:r>
      <w:r>
        <w:rPr>
          <w:rFonts w:asciiTheme="minorHAnsi" w:hAnsiTheme="minorHAnsi" w:cs="Times New Roman"/>
        </w:rPr>
        <w:t xml:space="preserve"> of violating traffic regulations. While this reasoning will hold true in many cases, </w:t>
      </w:r>
      <w:r w:rsidR="008070F9">
        <w:rPr>
          <w:rFonts w:asciiTheme="minorHAnsi" w:hAnsiTheme="minorHAnsi" w:cs="Times New Roman"/>
        </w:rPr>
        <w:t>there are also complementarities between legislation and behaviour change</w:t>
      </w:r>
      <w:r>
        <w:rPr>
          <w:rFonts w:asciiTheme="minorHAnsi" w:hAnsiTheme="minorHAnsi" w:cs="Times New Roman"/>
        </w:rPr>
        <w:t xml:space="preserve">. For example, legislation on seatbelts was able to create a self-sustaining change in norms among </w:t>
      </w:r>
      <w:r w:rsidR="002922FC">
        <w:rPr>
          <w:rFonts w:asciiTheme="minorHAnsi" w:hAnsiTheme="minorHAnsi" w:cs="Times New Roman"/>
        </w:rPr>
        <w:t xml:space="preserve">majority </w:t>
      </w:r>
      <w:r>
        <w:rPr>
          <w:rFonts w:asciiTheme="minorHAnsi" w:hAnsiTheme="minorHAnsi" w:cs="Times New Roman"/>
        </w:rPr>
        <w:t>fence-sitters.</w:t>
      </w:r>
      <w:r w:rsidR="00F079C3">
        <w:rPr>
          <w:rStyle w:val="FootnoteReference"/>
          <w:rFonts w:asciiTheme="minorHAnsi" w:hAnsiTheme="minorHAnsi" w:cs="Times New Roman"/>
        </w:rPr>
        <w:footnoteReference w:id="24"/>
      </w:r>
    </w:p>
    <w:p w14:paraId="7F653952" w14:textId="77777777" w:rsidR="00941B37" w:rsidRPr="00941B37" w:rsidRDefault="00941B37" w:rsidP="00941B37">
      <w:pPr>
        <w:jc w:val="both"/>
        <w:rPr>
          <w:rFonts w:cs="Times New Roman"/>
        </w:rPr>
      </w:pPr>
    </w:p>
    <w:p w14:paraId="38EECB02" w14:textId="77777777" w:rsidR="001524AD" w:rsidRDefault="001524AD">
      <w:pPr>
        <w:rPr>
          <w:rFonts w:asciiTheme="majorHAnsi" w:eastAsiaTheme="majorEastAsia" w:hAnsiTheme="majorHAnsi" w:cstheme="majorBidi"/>
          <w:b/>
          <w:bCs/>
          <w:color w:val="365F91" w:themeColor="accent1" w:themeShade="BF"/>
          <w:sz w:val="28"/>
          <w:szCs w:val="28"/>
        </w:rPr>
      </w:pPr>
      <w:r>
        <w:br w:type="page"/>
      </w:r>
    </w:p>
    <w:p w14:paraId="578DEFCC" w14:textId="2D51DF43" w:rsidR="009F3B61" w:rsidRDefault="001524AD" w:rsidP="008415A7">
      <w:pPr>
        <w:pStyle w:val="Heading1"/>
      </w:pPr>
      <w:bookmarkStart w:id="10" w:name="_Toc378323554"/>
      <w:r>
        <w:lastRenderedPageBreak/>
        <w:t>3</w:t>
      </w:r>
      <w:r w:rsidR="008415A7">
        <w:t>. Behaviour Change Complementing Equalities Policy</w:t>
      </w:r>
      <w:bookmarkEnd w:id="10"/>
    </w:p>
    <w:p w14:paraId="56FBC95F" w14:textId="1F233074" w:rsidR="008415A7" w:rsidRDefault="00D461E7" w:rsidP="00D461E7">
      <w:pPr>
        <w:tabs>
          <w:tab w:val="left" w:pos="2745"/>
        </w:tabs>
      </w:pPr>
      <w:r>
        <w:tab/>
      </w:r>
    </w:p>
    <w:p w14:paraId="42E7954C" w14:textId="77777777" w:rsidR="00C83CCA" w:rsidRDefault="00E8022E" w:rsidP="00505BE0">
      <w:pPr>
        <w:pStyle w:val="ListParagraph"/>
        <w:numPr>
          <w:ilvl w:val="0"/>
          <w:numId w:val="6"/>
        </w:numPr>
        <w:jc w:val="both"/>
        <w:rPr>
          <w:rFonts w:asciiTheme="minorHAnsi" w:hAnsiTheme="minorHAnsi" w:cstheme="minorHAnsi"/>
          <w:szCs w:val="24"/>
        </w:rPr>
      </w:pPr>
      <w:r>
        <w:rPr>
          <w:rFonts w:asciiTheme="minorHAnsi" w:hAnsiTheme="minorHAnsi" w:cstheme="minorHAnsi"/>
          <w:szCs w:val="24"/>
        </w:rPr>
        <w:t xml:space="preserve">The rationale for </w:t>
      </w:r>
      <w:r w:rsidR="00CB39F7">
        <w:rPr>
          <w:rFonts w:asciiTheme="minorHAnsi" w:hAnsiTheme="minorHAnsi" w:cstheme="minorHAnsi"/>
          <w:szCs w:val="24"/>
        </w:rPr>
        <w:t>the CAPE project</w:t>
      </w:r>
      <w:r>
        <w:rPr>
          <w:rFonts w:asciiTheme="minorHAnsi" w:hAnsiTheme="minorHAnsi" w:cstheme="minorHAnsi"/>
          <w:szCs w:val="24"/>
        </w:rPr>
        <w:t xml:space="preserve"> involves strengthening the policy-making function alongside </w:t>
      </w:r>
      <w:r w:rsidR="00CB39F7">
        <w:rPr>
          <w:rFonts w:asciiTheme="minorHAnsi" w:hAnsiTheme="minorHAnsi" w:cstheme="minorHAnsi"/>
          <w:szCs w:val="24"/>
        </w:rPr>
        <w:t>the provision of specific advice to on-going GEO policies and pr</w:t>
      </w:r>
      <w:r>
        <w:rPr>
          <w:rFonts w:asciiTheme="minorHAnsi" w:hAnsiTheme="minorHAnsi" w:cstheme="minorHAnsi"/>
          <w:szCs w:val="24"/>
        </w:rPr>
        <w:t xml:space="preserve">iorities. Three priority areas were selected where </w:t>
      </w:r>
      <w:r w:rsidR="00C83CCA">
        <w:rPr>
          <w:rFonts w:asciiTheme="minorHAnsi" w:hAnsiTheme="minorHAnsi" w:cstheme="minorHAnsi"/>
          <w:szCs w:val="24"/>
        </w:rPr>
        <w:t>there was potential to shape policy levers and implementation and highlight new ways of working:</w:t>
      </w:r>
    </w:p>
    <w:p w14:paraId="2F714D7D" w14:textId="77777777" w:rsidR="004454B1" w:rsidRDefault="004454B1" w:rsidP="004454B1">
      <w:pPr>
        <w:pStyle w:val="ListParagraph"/>
        <w:jc w:val="both"/>
        <w:rPr>
          <w:rFonts w:asciiTheme="minorHAnsi" w:hAnsiTheme="minorHAnsi" w:cstheme="minorHAnsi"/>
          <w:szCs w:val="24"/>
        </w:rPr>
      </w:pPr>
    </w:p>
    <w:p w14:paraId="751AFC93" w14:textId="678A3F6C" w:rsidR="00C83CCA" w:rsidRDefault="00C83CCA" w:rsidP="009E7669">
      <w:pPr>
        <w:pStyle w:val="ListParagraph"/>
        <w:numPr>
          <w:ilvl w:val="0"/>
          <w:numId w:val="14"/>
        </w:numPr>
        <w:jc w:val="both"/>
        <w:rPr>
          <w:rFonts w:asciiTheme="minorHAnsi" w:hAnsiTheme="minorHAnsi" w:cstheme="minorHAnsi"/>
          <w:szCs w:val="24"/>
        </w:rPr>
      </w:pPr>
      <w:r>
        <w:rPr>
          <w:rFonts w:asciiTheme="minorHAnsi" w:hAnsiTheme="minorHAnsi" w:cstheme="minorHAnsi"/>
          <w:szCs w:val="24"/>
        </w:rPr>
        <w:t>Think, Act, Report (TAR). T</w:t>
      </w:r>
      <w:r w:rsidR="00CB39F7">
        <w:rPr>
          <w:rFonts w:asciiTheme="minorHAnsi" w:hAnsiTheme="minorHAnsi" w:cstheme="minorHAnsi"/>
          <w:szCs w:val="24"/>
        </w:rPr>
        <w:t xml:space="preserve">he </w:t>
      </w:r>
      <w:r>
        <w:rPr>
          <w:rFonts w:asciiTheme="minorHAnsi" w:hAnsiTheme="minorHAnsi" w:cstheme="minorHAnsi"/>
          <w:szCs w:val="24"/>
        </w:rPr>
        <w:t>future trajectory of TAR is an important area for review by GEO, given t</w:t>
      </w:r>
      <w:r w:rsidR="00BD004E">
        <w:rPr>
          <w:rFonts w:asciiTheme="minorHAnsi" w:hAnsiTheme="minorHAnsi" w:cstheme="minorHAnsi"/>
          <w:szCs w:val="24"/>
        </w:rPr>
        <w:t xml:space="preserve">hat the scheme has </w:t>
      </w:r>
      <w:r w:rsidR="00BE161F">
        <w:rPr>
          <w:rFonts w:asciiTheme="minorHAnsi" w:hAnsiTheme="minorHAnsi" w:cstheme="minorHAnsi"/>
          <w:szCs w:val="24"/>
        </w:rPr>
        <w:t xml:space="preserve">successfully </w:t>
      </w:r>
      <w:r w:rsidR="00BD004E">
        <w:rPr>
          <w:rFonts w:asciiTheme="minorHAnsi" w:hAnsiTheme="minorHAnsi" w:cstheme="minorHAnsi"/>
          <w:szCs w:val="24"/>
        </w:rPr>
        <w:t>delivered 134</w:t>
      </w:r>
      <w:r>
        <w:rPr>
          <w:rFonts w:asciiTheme="minorHAnsi" w:hAnsiTheme="minorHAnsi" w:cstheme="minorHAnsi"/>
          <w:szCs w:val="24"/>
        </w:rPr>
        <w:t xml:space="preserve"> signatory private</w:t>
      </w:r>
      <w:r w:rsidR="00BD004E">
        <w:rPr>
          <w:rFonts w:asciiTheme="minorHAnsi" w:hAnsiTheme="minorHAnsi" w:cstheme="minorHAnsi"/>
          <w:szCs w:val="24"/>
        </w:rPr>
        <w:t xml:space="preserve"> sector firms in a period of 24 months (building substantially on the 64 commitments in the first 12 months).</w:t>
      </w:r>
    </w:p>
    <w:p w14:paraId="184BCFD8" w14:textId="77777777" w:rsidR="004454B1" w:rsidRDefault="004454B1" w:rsidP="004454B1">
      <w:pPr>
        <w:pStyle w:val="ListParagraph"/>
        <w:ind w:left="1440"/>
        <w:jc w:val="both"/>
        <w:rPr>
          <w:rFonts w:asciiTheme="minorHAnsi" w:hAnsiTheme="minorHAnsi" w:cstheme="minorHAnsi"/>
          <w:szCs w:val="24"/>
        </w:rPr>
      </w:pPr>
    </w:p>
    <w:p w14:paraId="372D918A" w14:textId="568C2311" w:rsidR="00C83CCA" w:rsidRDefault="00D85350" w:rsidP="009E7669">
      <w:pPr>
        <w:pStyle w:val="ListParagraph"/>
        <w:numPr>
          <w:ilvl w:val="0"/>
          <w:numId w:val="14"/>
        </w:numPr>
        <w:jc w:val="both"/>
        <w:rPr>
          <w:rFonts w:asciiTheme="minorHAnsi" w:hAnsiTheme="minorHAnsi" w:cstheme="minorHAnsi"/>
          <w:szCs w:val="24"/>
        </w:rPr>
      </w:pPr>
      <w:r>
        <w:rPr>
          <w:rFonts w:asciiTheme="minorHAnsi" w:hAnsiTheme="minorHAnsi" w:cstheme="minorHAnsi"/>
          <w:szCs w:val="24"/>
        </w:rPr>
        <w:t xml:space="preserve">Engaging with smaller businesses (ESB). Pragmatic positioning, practical assistance, shrewd demystification and the introduction of </w:t>
      </w:r>
      <w:r w:rsidR="00B143DC">
        <w:rPr>
          <w:rFonts w:asciiTheme="minorHAnsi" w:hAnsiTheme="minorHAnsi" w:cstheme="minorHAnsi"/>
          <w:szCs w:val="24"/>
        </w:rPr>
        <w:t>Equal Pay Audits (EPAs)</w:t>
      </w:r>
      <w:r w:rsidR="0086395E">
        <w:rPr>
          <w:rFonts w:asciiTheme="minorHAnsi" w:hAnsiTheme="minorHAnsi" w:cstheme="minorHAnsi"/>
          <w:szCs w:val="24"/>
        </w:rPr>
        <w:t>, provide</w:t>
      </w:r>
      <w:r w:rsidR="00C83CCA">
        <w:rPr>
          <w:rFonts w:asciiTheme="minorHAnsi" w:hAnsiTheme="minorHAnsi" w:cstheme="minorHAnsi"/>
          <w:szCs w:val="24"/>
        </w:rPr>
        <w:t xml:space="preserve"> an op</w:t>
      </w:r>
      <w:r w:rsidR="004454B1">
        <w:rPr>
          <w:rFonts w:asciiTheme="minorHAnsi" w:hAnsiTheme="minorHAnsi" w:cstheme="minorHAnsi"/>
          <w:szCs w:val="24"/>
        </w:rPr>
        <w:t xml:space="preserve">portunity to tailor </w:t>
      </w:r>
      <w:r w:rsidR="00C83CCA">
        <w:rPr>
          <w:rFonts w:asciiTheme="minorHAnsi" w:hAnsiTheme="minorHAnsi" w:cstheme="minorHAnsi"/>
          <w:szCs w:val="24"/>
        </w:rPr>
        <w:t>the support offered to</w:t>
      </w:r>
      <w:r w:rsidR="004454B1">
        <w:rPr>
          <w:rFonts w:asciiTheme="minorHAnsi" w:hAnsiTheme="minorHAnsi" w:cstheme="minorHAnsi"/>
          <w:szCs w:val="24"/>
        </w:rPr>
        <w:t xml:space="preserve"> smaller firms </w:t>
      </w:r>
      <w:r w:rsidR="00C83CCA">
        <w:rPr>
          <w:rFonts w:asciiTheme="minorHAnsi" w:hAnsiTheme="minorHAnsi" w:cstheme="minorHAnsi"/>
          <w:szCs w:val="24"/>
        </w:rPr>
        <w:t>to be fully compliant with their legal non-discrimination obligation.</w:t>
      </w:r>
    </w:p>
    <w:p w14:paraId="2FB39AF1" w14:textId="77777777" w:rsidR="004454B1" w:rsidRDefault="004454B1" w:rsidP="004454B1">
      <w:pPr>
        <w:pStyle w:val="ListParagraph"/>
        <w:ind w:left="1440"/>
        <w:jc w:val="both"/>
        <w:rPr>
          <w:rFonts w:asciiTheme="minorHAnsi" w:hAnsiTheme="minorHAnsi" w:cstheme="minorHAnsi"/>
          <w:szCs w:val="24"/>
        </w:rPr>
      </w:pPr>
    </w:p>
    <w:p w14:paraId="09794DBF" w14:textId="4D11F4E6" w:rsidR="00C83CCA" w:rsidRPr="004454B1" w:rsidRDefault="002473A1" w:rsidP="009E7669">
      <w:pPr>
        <w:pStyle w:val="ListParagraph"/>
        <w:numPr>
          <w:ilvl w:val="0"/>
          <w:numId w:val="14"/>
        </w:numPr>
        <w:jc w:val="both"/>
        <w:rPr>
          <w:rFonts w:asciiTheme="minorHAnsi" w:hAnsiTheme="minorHAnsi" w:cstheme="minorHAnsi"/>
          <w:szCs w:val="24"/>
        </w:rPr>
      </w:pPr>
      <w:r>
        <w:rPr>
          <w:rFonts w:asciiTheme="minorHAnsi" w:hAnsiTheme="minorHAnsi" w:cstheme="minorHAnsi"/>
          <w:szCs w:val="24"/>
        </w:rPr>
        <w:t>Women in Enterprise</w:t>
      </w:r>
      <w:r w:rsidR="00B143DC">
        <w:rPr>
          <w:rFonts w:asciiTheme="minorHAnsi" w:hAnsiTheme="minorHAnsi" w:cstheme="minorHAnsi"/>
          <w:szCs w:val="24"/>
        </w:rPr>
        <w:t xml:space="preserve"> (</w:t>
      </w:r>
      <w:proofErr w:type="spellStart"/>
      <w:r w:rsidR="00B143DC">
        <w:rPr>
          <w:rFonts w:asciiTheme="minorHAnsi" w:hAnsiTheme="minorHAnsi" w:cstheme="minorHAnsi"/>
          <w:szCs w:val="24"/>
        </w:rPr>
        <w:t>W</w:t>
      </w:r>
      <w:r>
        <w:rPr>
          <w:rFonts w:asciiTheme="minorHAnsi" w:hAnsiTheme="minorHAnsi" w:cstheme="minorHAnsi"/>
          <w:szCs w:val="24"/>
        </w:rPr>
        <w:t>iE</w:t>
      </w:r>
      <w:proofErr w:type="spellEnd"/>
      <w:r w:rsidR="00B143DC">
        <w:rPr>
          <w:rFonts w:asciiTheme="minorHAnsi" w:hAnsiTheme="minorHAnsi" w:cstheme="minorHAnsi"/>
          <w:szCs w:val="24"/>
        </w:rPr>
        <w:t>).</w:t>
      </w:r>
      <w:r w:rsidR="00E76B86">
        <w:rPr>
          <w:rFonts w:asciiTheme="minorHAnsi" w:hAnsiTheme="minorHAnsi" w:cstheme="minorHAnsi"/>
          <w:szCs w:val="24"/>
        </w:rPr>
        <w:t xml:space="preserve"> </w:t>
      </w:r>
      <w:r w:rsidR="00C83CCA">
        <w:rPr>
          <w:rFonts w:asciiTheme="minorHAnsi" w:hAnsiTheme="minorHAnsi" w:cstheme="minorHAnsi"/>
          <w:szCs w:val="24"/>
        </w:rPr>
        <w:t>Supporting better outcomes for</w:t>
      </w:r>
      <w:r w:rsidR="004454B1">
        <w:rPr>
          <w:rFonts w:asciiTheme="minorHAnsi" w:hAnsiTheme="minorHAnsi" w:cstheme="minorHAnsi"/>
          <w:szCs w:val="24"/>
        </w:rPr>
        <w:t xml:space="preserve"> female entrepreneurs involves GEO having</w:t>
      </w:r>
      <w:r w:rsidR="00C83CCA">
        <w:rPr>
          <w:rFonts w:asciiTheme="minorHAnsi" w:hAnsiTheme="minorHAnsi" w:cstheme="minorHAnsi"/>
          <w:szCs w:val="24"/>
        </w:rPr>
        <w:t xml:space="preserve"> to be judi</w:t>
      </w:r>
      <w:r w:rsidR="004454B1">
        <w:rPr>
          <w:rFonts w:asciiTheme="minorHAnsi" w:hAnsiTheme="minorHAnsi" w:cstheme="minorHAnsi"/>
          <w:szCs w:val="24"/>
        </w:rPr>
        <w:t>cious in how to best</w:t>
      </w:r>
      <w:r w:rsidR="00C83CCA">
        <w:rPr>
          <w:rFonts w:asciiTheme="minorHAnsi" w:hAnsiTheme="minorHAnsi" w:cstheme="minorHAnsi"/>
          <w:szCs w:val="24"/>
        </w:rPr>
        <w:t xml:space="preserve"> deploy its resource across a wide terrain. Joint policy-making with lenders</w:t>
      </w:r>
      <w:r w:rsidR="00BE161F">
        <w:rPr>
          <w:rFonts w:asciiTheme="minorHAnsi" w:hAnsiTheme="minorHAnsi" w:cstheme="minorHAnsi"/>
          <w:szCs w:val="24"/>
        </w:rPr>
        <w:t>, business advisors and mentors,</w:t>
      </w:r>
      <w:r w:rsidR="00C83CCA">
        <w:rPr>
          <w:rFonts w:asciiTheme="minorHAnsi" w:hAnsiTheme="minorHAnsi" w:cstheme="minorHAnsi"/>
          <w:szCs w:val="24"/>
        </w:rPr>
        <w:t xml:space="preserve"> can be a </w:t>
      </w:r>
      <w:r w:rsidR="00BE161F">
        <w:rPr>
          <w:rFonts w:asciiTheme="minorHAnsi" w:hAnsiTheme="minorHAnsi" w:cstheme="minorHAnsi"/>
          <w:szCs w:val="24"/>
        </w:rPr>
        <w:t xml:space="preserve">unique </w:t>
      </w:r>
      <w:r w:rsidR="00C83CCA" w:rsidRPr="004454B1">
        <w:rPr>
          <w:rFonts w:asciiTheme="minorHAnsi" w:hAnsiTheme="minorHAnsi" w:cstheme="minorHAnsi"/>
          <w:szCs w:val="24"/>
        </w:rPr>
        <w:t xml:space="preserve">opportunity to support others to tackle </w:t>
      </w:r>
      <w:r w:rsidR="00BE161F">
        <w:rPr>
          <w:rFonts w:asciiTheme="minorHAnsi" w:hAnsiTheme="minorHAnsi" w:cstheme="minorHAnsi"/>
          <w:szCs w:val="24"/>
        </w:rPr>
        <w:t>barriers among</w:t>
      </w:r>
      <w:r w:rsidR="004454B1">
        <w:rPr>
          <w:rFonts w:asciiTheme="minorHAnsi" w:hAnsiTheme="minorHAnsi" w:cstheme="minorHAnsi"/>
          <w:szCs w:val="24"/>
        </w:rPr>
        <w:t xml:space="preserve"> </w:t>
      </w:r>
      <w:r w:rsidR="00C83CCA" w:rsidRPr="004454B1">
        <w:rPr>
          <w:rFonts w:asciiTheme="minorHAnsi" w:hAnsiTheme="minorHAnsi" w:cstheme="minorHAnsi"/>
          <w:szCs w:val="24"/>
        </w:rPr>
        <w:t>the biggest drivers of current outcomes.</w:t>
      </w:r>
    </w:p>
    <w:p w14:paraId="3D22725A" w14:textId="77777777" w:rsidR="004454B1" w:rsidRPr="004454B1" w:rsidRDefault="004454B1" w:rsidP="004454B1">
      <w:pPr>
        <w:pStyle w:val="ListParagraph"/>
        <w:ind w:left="1440"/>
        <w:jc w:val="both"/>
        <w:rPr>
          <w:rFonts w:asciiTheme="minorHAnsi" w:hAnsiTheme="minorHAnsi" w:cstheme="minorHAnsi"/>
          <w:szCs w:val="24"/>
        </w:rPr>
      </w:pPr>
    </w:p>
    <w:p w14:paraId="2E65BC0B" w14:textId="3EB5CCD0" w:rsidR="004454B1" w:rsidRDefault="004454B1" w:rsidP="00505BE0">
      <w:pPr>
        <w:pStyle w:val="ListParagraph"/>
        <w:numPr>
          <w:ilvl w:val="0"/>
          <w:numId w:val="6"/>
        </w:numPr>
        <w:jc w:val="both"/>
        <w:rPr>
          <w:rFonts w:asciiTheme="minorHAnsi" w:hAnsiTheme="minorHAnsi" w:cstheme="minorHAnsi"/>
          <w:szCs w:val="24"/>
        </w:rPr>
      </w:pPr>
      <w:r w:rsidRPr="004454B1">
        <w:rPr>
          <w:rFonts w:asciiTheme="minorHAnsi" w:hAnsiTheme="minorHAnsi" w:cstheme="minorHAnsi"/>
          <w:szCs w:val="24"/>
        </w:rPr>
        <w:t>Integrating b</w:t>
      </w:r>
      <w:r w:rsidR="00E76B86" w:rsidRPr="004454B1">
        <w:rPr>
          <w:rFonts w:asciiTheme="minorHAnsi" w:hAnsiTheme="minorHAnsi" w:cstheme="minorHAnsi"/>
          <w:szCs w:val="24"/>
        </w:rPr>
        <w:t>ehavio</w:t>
      </w:r>
      <w:r w:rsidRPr="004454B1">
        <w:rPr>
          <w:rFonts w:asciiTheme="minorHAnsi" w:hAnsiTheme="minorHAnsi" w:cstheme="minorHAnsi"/>
          <w:szCs w:val="24"/>
        </w:rPr>
        <w:t>ur c</w:t>
      </w:r>
      <w:r w:rsidR="00E76B86" w:rsidRPr="004454B1">
        <w:rPr>
          <w:rFonts w:asciiTheme="minorHAnsi" w:hAnsiTheme="minorHAnsi" w:cstheme="minorHAnsi"/>
          <w:szCs w:val="24"/>
        </w:rPr>
        <w:t>hange insights into these policy streams falls into two</w:t>
      </w:r>
      <w:r w:rsidR="00364651" w:rsidRPr="004454B1">
        <w:rPr>
          <w:rFonts w:asciiTheme="minorHAnsi" w:hAnsiTheme="minorHAnsi" w:cstheme="minorHAnsi"/>
          <w:szCs w:val="24"/>
        </w:rPr>
        <w:t xml:space="preserve"> broad</w:t>
      </w:r>
      <w:r w:rsidR="00E76B86" w:rsidRPr="004454B1">
        <w:rPr>
          <w:rFonts w:asciiTheme="minorHAnsi" w:hAnsiTheme="minorHAnsi" w:cstheme="minorHAnsi"/>
          <w:szCs w:val="24"/>
        </w:rPr>
        <w:t xml:space="preserve"> categories:</w:t>
      </w:r>
    </w:p>
    <w:p w14:paraId="2E0A6152" w14:textId="77777777" w:rsidR="004454B1" w:rsidRPr="004454B1" w:rsidRDefault="004454B1" w:rsidP="004454B1">
      <w:pPr>
        <w:pStyle w:val="ListParagraph"/>
        <w:jc w:val="both"/>
        <w:rPr>
          <w:rFonts w:asciiTheme="minorHAnsi" w:hAnsiTheme="minorHAnsi" w:cstheme="minorHAnsi"/>
          <w:szCs w:val="24"/>
        </w:rPr>
      </w:pPr>
    </w:p>
    <w:p w14:paraId="475E4D5B" w14:textId="44ECE895" w:rsidR="004454B1" w:rsidRDefault="00AC7CEA" w:rsidP="009E7669">
      <w:pPr>
        <w:pStyle w:val="ListParagraph"/>
        <w:numPr>
          <w:ilvl w:val="0"/>
          <w:numId w:val="15"/>
        </w:numPr>
        <w:jc w:val="both"/>
        <w:rPr>
          <w:rFonts w:asciiTheme="minorHAnsi" w:hAnsiTheme="minorHAnsi" w:cstheme="minorHAnsi"/>
          <w:szCs w:val="24"/>
        </w:rPr>
      </w:pPr>
      <w:r w:rsidRPr="004454B1">
        <w:rPr>
          <w:rFonts w:asciiTheme="minorHAnsi" w:hAnsiTheme="minorHAnsi" w:cstheme="minorHAnsi"/>
          <w:szCs w:val="24"/>
        </w:rPr>
        <w:t xml:space="preserve">Doing </w:t>
      </w:r>
      <w:r w:rsidRPr="004454B1">
        <w:rPr>
          <w:rFonts w:asciiTheme="minorHAnsi" w:hAnsiTheme="minorHAnsi" w:cstheme="minorHAnsi"/>
          <w:i/>
          <w:szCs w:val="24"/>
        </w:rPr>
        <w:t>Things Better</w:t>
      </w:r>
      <w:r w:rsidRPr="004454B1">
        <w:rPr>
          <w:rFonts w:asciiTheme="minorHAnsi" w:hAnsiTheme="minorHAnsi" w:cstheme="minorHAnsi"/>
          <w:szCs w:val="24"/>
        </w:rPr>
        <w:t>. This is the basis for a number of simple nudge</w:t>
      </w:r>
      <w:r w:rsidR="00364651" w:rsidRPr="004454B1">
        <w:rPr>
          <w:rFonts w:asciiTheme="minorHAnsi" w:hAnsiTheme="minorHAnsi" w:cstheme="minorHAnsi"/>
          <w:szCs w:val="24"/>
        </w:rPr>
        <w:t>s</w:t>
      </w:r>
      <w:r w:rsidRPr="004454B1">
        <w:rPr>
          <w:rFonts w:asciiTheme="minorHAnsi" w:hAnsiTheme="minorHAnsi" w:cstheme="minorHAnsi"/>
          <w:szCs w:val="24"/>
        </w:rPr>
        <w:t xml:space="preserve"> </w:t>
      </w:r>
      <w:r w:rsidR="00364651" w:rsidRPr="004454B1">
        <w:rPr>
          <w:rFonts w:asciiTheme="minorHAnsi" w:hAnsiTheme="minorHAnsi" w:cstheme="minorHAnsi"/>
          <w:szCs w:val="24"/>
        </w:rPr>
        <w:t>that</w:t>
      </w:r>
      <w:r w:rsidRPr="004454B1">
        <w:rPr>
          <w:rFonts w:asciiTheme="minorHAnsi" w:hAnsiTheme="minorHAnsi" w:cstheme="minorHAnsi"/>
          <w:szCs w:val="24"/>
        </w:rPr>
        <w:t xml:space="preserve"> try to improve the impact of </w:t>
      </w:r>
      <w:r w:rsidR="007E3A55" w:rsidRPr="004454B1">
        <w:rPr>
          <w:rFonts w:asciiTheme="minorHAnsi" w:hAnsiTheme="minorHAnsi" w:cstheme="minorHAnsi"/>
          <w:szCs w:val="24"/>
        </w:rPr>
        <w:t>existing interven</w:t>
      </w:r>
      <w:r w:rsidR="00364651" w:rsidRPr="004454B1">
        <w:rPr>
          <w:rFonts w:asciiTheme="minorHAnsi" w:hAnsiTheme="minorHAnsi" w:cstheme="minorHAnsi"/>
          <w:szCs w:val="24"/>
        </w:rPr>
        <w:t>tions</w:t>
      </w:r>
      <w:r w:rsidR="004454B1">
        <w:rPr>
          <w:rFonts w:asciiTheme="minorHAnsi" w:hAnsiTheme="minorHAnsi" w:cstheme="minorHAnsi"/>
          <w:szCs w:val="24"/>
        </w:rPr>
        <w:t xml:space="preserve"> through minor, largely low cost</w:t>
      </w:r>
      <w:r w:rsidRPr="004454B1">
        <w:rPr>
          <w:rFonts w:asciiTheme="minorHAnsi" w:hAnsiTheme="minorHAnsi" w:cstheme="minorHAnsi"/>
          <w:szCs w:val="24"/>
        </w:rPr>
        <w:t xml:space="preserve"> changes. Changing written communications, i.e. by simplifying </w:t>
      </w:r>
      <w:r w:rsidR="007E3A55" w:rsidRPr="004454B1">
        <w:rPr>
          <w:rFonts w:asciiTheme="minorHAnsi" w:hAnsiTheme="minorHAnsi" w:cstheme="minorHAnsi"/>
          <w:szCs w:val="24"/>
        </w:rPr>
        <w:t>the language and using clearer</w:t>
      </w:r>
      <w:r w:rsidR="004454B1">
        <w:rPr>
          <w:rFonts w:asciiTheme="minorHAnsi" w:hAnsiTheme="minorHAnsi" w:cstheme="minorHAnsi"/>
          <w:szCs w:val="24"/>
        </w:rPr>
        <w:t>, tailored</w:t>
      </w:r>
      <w:r w:rsidR="007E3A55" w:rsidRPr="004454B1">
        <w:rPr>
          <w:rFonts w:asciiTheme="minorHAnsi" w:hAnsiTheme="minorHAnsi" w:cstheme="minorHAnsi"/>
          <w:szCs w:val="24"/>
        </w:rPr>
        <w:t xml:space="preserve"> messages</w:t>
      </w:r>
      <w:r w:rsidRPr="004454B1">
        <w:rPr>
          <w:rFonts w:asciiTheme="minorHAnsi" w:hAnsiTheme="minorHAnsi" w:cstheme="minorHAnsi"/>
          <w:szCs w:val="24"/>
        </w:rPr>
        <w:t xml:space="preserve">, to make them more salient and accessible to the target audience without changing their </w:t>
      </w:r>
      <w:r w:rsidR="007E3A55" w:rsidRPr="004454B1">
        <w:rPr>
          <w:rFonts w:asciiTheme="minorHAnsi" w:hAnsiTheme="minorHAnsi" w:cstheme="minorHAnsi"/>
          <w:szCs w:val="24"/>
        </w:rPr>
        <w:t xml:space="preserve">substantive </w:t>
      </w:r>
      <w:r w:rsidRPr="004454B1">
        <w:rPr>
          <w:rFonts w:asciiTheme="minorHAnsi" w:hAnsiTheme="minorHAnsi" w:cstheme="minorHAnsi"/>
          <w:szCs w:val="24"/>
        </w:rPr>
        <w:t>content</w:t>
      </w:r>
      <w:r w:rsidR="007E3A55" w:rsidRPr="004454B1">
        <w:rPr>
          <w:rFonts w:asciiTheme="minorHAnsi" w:hAnsiTheme="minorHAnsi" w:cstheme="minorHAnsi"/>
          <w:szCs w:val="24"/>
        </w:rPr>
        <w:t>,</w:t>
      </w:r>
      <w:r w:rsidRPr="004454B1">
        <w:rPr>
          <w:rFonts w:asciiTheme="minorHAnsi" w:hAnsiTheme="minorHAnsi" w:cstheme="minorHAnsi"/>
          <w:szCs w:val="24"/>
        </w:rPr>
        <w:t xml:space="preserve"> is a typical example.</w:t>
      </w:r>
      <w:r w:rsidR="007E3A55" w:rsidRPr="004454B1">
        <w:rPr>
          <w:rFonts w:asciiTheme="minorHAnsi" w:hAnsiTheme="minorHAnsi" w:cstheme="minorHAnsi"/>
          <w:szCs w:val="24"/>
        </w:rPr>
        <w:t xml:space="preserve"> </w:t>
      </w:r>
      <w:r w:rsidR="00313A50">
        <w:rPr>
          <w:rFonts w:asciiTheme="minorHAnsi" w:hAnsiTheme="minorHAnsi" w:cstheme="minorHAnsi"/>
          <w:szCs w:val="24"/>
        </w:rPr>
        <w:t>Using</w:t>
      </w:r>
      <w:r w:rsidR="007E3A55" w:rsidRPr="004454B1">
        <w:rPr>
          <w:rFonts w:asciiTheme="minorHAnsi" w:hAnsiTheme="minorHAnsi" w:cstheme="minorHAnsi"/>
          <w:szCs w:val="24"/>
        </w:rPr>
        <w:t xml:space="preserve"> better </w:t>
      </w:r>
      <w:r w:rsidR="004454B1">
        <w:rPr>
          <w:rFonts w:asciiTheme="minorHAnsi" w:hAnsiTheme="minorHAnsi" w:cstheme="minorHAnsi"/>
          <w:szCs w:val="24"/>
        </w:rPr>
        <w:t xml:space="preserve">(more credible) </w:t>
      </w:r>
      <w:r w:rsidR="007E3A55" w:rsidRPr="004454B1">
        <w:rPr>
          <w:rFonts w:asciiTheme="minorHAnsi" w:hAnsiTheme="minorHAnsi" w:cstheme="minorHAnsi"/>
          <w:szCs w:val="24"/>
        </w:rPr>
        <w:t>messengers to articulate or endorse existing policy is another example.</w:t>
      </w:r>
    </w:p>
    <w:p w14:paraId="0021E750" w14:textId="77777777" w:rsidR="004454B1" w:rsidRDefault="004454B1" w:rsidP="004454B1">
      <w:pPr>
        <w:pStyle w:val="ListParagraph"/>
        <w:ind w:left="1440"/>
        <w:jc w:val="both"/>
        <w:rPr>
          <w:rFonts w:asciiTheme="minorHAnsi" w:hAnsiTheme="minorHAnsi" w:cstheme="minorHAnsi"/>
          <w:szCs w:val="24"/>
        </w:rPr>
      </w:pPr>
    </w:p>
    <w:p w14:paraId="0EC5389E" w14:textId="1A5218DD" w:rsidR="00C56C35" w:rsidRPr="004454B1" w:rsidRDefault="002979D1" w:rsidP="009E7669">
      <w:pPr>
        <w:pStyle w:val="ListParagraph"/>
        <w:numPr>
          <w:ilvl w:val="0"/>
          <w:numId w:val="15"/>
        </w:numPr>
        <w:jc w:val="both"/>
        <w:rPr>
          <w:rFonts w:asciiTheme="minorHAnsi" w:hAnsiTheme="minorHAnsi" w:cstheme="minorHAnsi"/>
          <w:szCs w:val="24"/>
        </w:rPr>
      </w:pPr>
      <w:r w:rsidRPr="004454B1">
        <w:rPr>
          <w:rFonts w:asciiTheme="minorHAnsi" w:hAnsiTheme="minorHAnsi" w:cstheme="minorHAnsi"/>
          <w:szCs w:val="24"/>
        </w:rPr>
        <w:t xml:space="preserve">Doing </w:t>
      </w:r>
      <w:r w:rsidRPr="004454B1">
        <w:rPr>
          <w:rFonts w:asciiTheme="minorHAnsi" w:hAnsiTheme="minorHAnsi" w:cstheme="minorHAnsi"/>
          <w:i/>
          <w:szCs w:val="24"/>
        </w:rPr>
        <w:t xml:space="preserve">Better Things. </w:t>
      </w:r>
      <w:r w:rsidR="008F437F">
        <w:rPr>
          <w:rFonts w:asciiTheme="minorHAnsi" w:hAnsiTheme="minorHAnsi" w:cstheme="minorHAnsi"/>
          <w:szCs w:val="24"/>
        </w:rPr>
        <w:t>Such</w:t>
      </w:r>
      <w:r w:rsidRPr="004454B1">
        <w:rPr>
          <w:rFonts w:asciiTheme="minorHAnsi" w:hAnsiTheme="minorHAnsi" w:cstheme="minorHAnsi"/>
          <w:szCs w:val="24"/>
        </w:rPr>
        <w:t xml:space="preserve"> proposals include a more comprehensive change in the content of a policy, while still trying to achieve </w:t>
      </w:r>
      <w:r w:rsidR="008F437F">
        <w:rPr>
          <w:rFonts w:asciiTheme="minorHAnsi" w:hAnsiTheme="minorHAnsi" w:cstheme="minorHAnsi"/>
          <w:szCs w:val="24"/>
        </w:rPr>
        <w:t>the same outcomes. Stand-alone behaviour c</w:t>
      </w:r>
      <w:r w:rsidRPr="004454B1">
        <w:rPr>
          <w:rFonts w:asciiTheme="minorHAnsi" w:hAnsiTheme="minorHAnsi" w:cstheme="minorHAnsi"/>
          <w:szCs w:val="24"/>
        </w:rPr>
        <w:t xml:space="preserve">hange interventions which do not merely </w:t>
      </w:r>
      <w:r w:rsidR="008F437F">
        <w:rPr>
          <w:rFonts w:asciiTheme="minorHAnsi" w:hAnsiTheme="minorHAnsi" w:cstheme="minorHAnsi"/>
          <w:szCs w:val="24"/>
        </w:rPr>
        <w:t xml:space="preserve">alter </w:t>
      </w:r>
      <w:r w:rsidRPr="004454B1">
        <w:rPr>
          <w:rFonts w:asciiTheme="minorHAnsi" w:hAnsiTheme="minorHAnsi" w:cstheme="minorHAnsi"/>
          <w:szCs w:val="24"/>
        </w:rPr>
        <w:t xml:space="preserve">pre-existing interventions </w:t>
      </w:r>
      <w:r w:rsidR="008F437F">
        <w:rPr>
          <w:rFonts w:asciiTheme="minorHAnsi" w:hAnsiTheme="minorHAnsi" w:cstheme="minorHAnsi"/>
          <w:szCs w:val="24"/>
        </w:rPr>
        <w:t>fall into this category, for example by</w:t>
      </w:r>
      <w:r w:rsidRPr="004454B1">
        <w:rPr>
          <w:rFonts w:asciiTheme="minorHAnsi" w:hAnsiTheme="minorHAnsi" w:cstheme="minorHAnsi"/>
          <w:szCs w:val="24"/>
        </w:rPr>
        <w:t xml:space="preserve"> </w:t>
      </w:r>
      <w:r w:rsidR="004D72F2" w:rsidRPr="004454B1">
        <w:rPr>
          <w:rFonts w:asciiTheme="minorHAnsi" w:hAnsiTheme="minorHAnsi" w:cstheme="minorHAnsi"/>
          <w:szCs w:val="24"/>
        </w:rPr>
        <w:t xml:space="preserve">providing </w:t>
      </w:r>
      <w:r w:rsidR="008F437F">
        <w:rPr>
          <w:rFonts w:asciiTheme="minorHAnsi" w:hAnsiTheme="minorHAnsi" w:cstheme="minorHAnsi"/>
          <w:szCs w:val="24"/>
        </w:rPr>
        <w:t xml:space="preserve">fresh </w:t>
      </w:r>
      <w:r w:rsidR="004D72F2" w:rsidRPr="004454B1">
        <w:rPr>
          <w:rFonts w:asciiTheme="minorHAnsi" w:hAnsiTheme="minorHAnsi" w:cstheme="minorHAnsi"/>
          <w:szCs w:val="24"/>
        </w:rPr>
        <w:t>information on real rather than the perceived levels of drinking among university students, as outlined in Chapter 2.</w:t>
      </w:r>
      <w:r w:rsidR="00946E7A" w:rsidRPr="004454B1">
        <w:rPr>
          <w:rFonts w:asciiTheme="minorHAnsi" w:hAnsiTheme="minorHAnsi" w:cstheme="minorHAnsi"/>
          <w:szCs w:val="24"/>
        </w:rPr>
        <w:t xml:space="preserve"> Other </w:t>
      </w:r>
      <w:r w:rsidR="008F437F">
        <w:rPr>
          <w:rFonts w:asciiTheme="minorHAnsi" w:hAnsiTheme="minorHAnsi" w:cstheme="minorHAnsi"/>
          <w:szCs w:val="24"/>
        </w:rPr>
        <w:t xml:space="preserve">illustrations </w:t>
      </w:r>
      <w:r w:rsidR="00946E7A" w:rsidRPr="004454B1">
        <w:rPr>
          <w:rFonts w:asciiTheme="minorHAnsi" w:hAnsiTheme="minorHAnsi" w:cstheme="minorHAnsi"/>
          <w:szCs w:val="24"/>
        </w:rPr>
        <w:t xml:space="preserve">are </w:t>
      </w:r>
      <w:r w:rsidR="00946E7A" w:rsidRPr="004454B1">
        <w:rPr>
          <w:rFonts w:asciiTheme="minorHAnsi" w:hAnsiTheme="minorHAnsi" w:cstheme="minorHAnsi"/>
          <w:szCs w:val="24"/>
        </w:rPr>
        <w:lastRenderedPageBreak/>
        <w:t xml:space="preserve">interventions to </w:t>
      </w:r>
      <w:r w:rsidR="00185E45" w:rsidRPr="004454B1">
        <w:rPr>
          <w:rFonts w:asciiTheme="minorHAnsi" w:hAnsiTheme="minorHAnsi" w:cstheme="minorHAnsi"/>
          <w:szCs w:val="24"/>
        </w:rPr>
        <w:t xml:space="preserve">recast the way in which a target group think or feel about a </w:t>
      </w:r>
      <w:r w:rsidR="008F437F">
        <w:rPr>
          <w:rFonts w:asciiTheme="minorHAnsi" w:hAnsiTheme="minorHAnsi" w:cstheme="minorHAnsi"/>
          <w:szCs w:val="24"/>
        </w:rPr>
        <w:t>particular behaviour – for example,</w:t>
      </w:r>
      <w:r w:rsidR="00185E45" w:rsidRPr="004454B1">
        <w:rPr>
          <w:rFonts w:asciiTheme="minorHAnsi" w:hAnsiTheme="minorHAnsi" w:cstheme="minorHAnsi"/>
          <w:szCs w:val="24"/>
        </w:rPr>
        <w:t xml:space="preserve"> pointing out</w:t>
      </w:r>
      <w:r w:rsidR="008F437F">
        <w:rPr>
          <w:rFonts w:asciiTheme="minorHAnsi" w:hAnsiTheme="minorHAnsi" w:cstheme="minorHAnsi"/>
          <w:szCs w:val="24"/>
        </w:rPr>
        <w:t xml:space="preserve"> in a timely way</w:t>
      </w:r>
      <w:r w:rsidR="00185E45" w:rsidRPr="004454B1">
        <w:rPr>
          <w:rFonts w:asciiTheme="minorHAnsi" w:hAnsiTheme="minorHAnsi" w:cstheme="minorHAnsi"/>
          <w:szCs w:val="24"/>
        </w:rPr>
        <w:t xml:space="preserve"> what </w:t>
      </w:r>
      <w:r w:rsidR="008F437F">
        <w:rPr>
          <w:rFonts w:asciiTheme="minorHAnsi" w:hAnsiTheme="minorHAnsi" w:cstheme="minorHAnsi"/>
          <w:szCs w:val="24"/>
        </w:rPr>
        <w:t>others (especially perceived</w:t>
      </w:r>
      <w:r w:rsidR="00185E45" w:rsidRPr="004454B1">
        <w:rPr>
          <w:rFonts w:asciiTheme="minorHAnsi" w:hAnsiTheme="minorHAnsi" w:cstheme="minorHAnsi"/>
          <w:szCs w:val="24"/>
        </w:rPr>
        <w:t xml:space="preserve"> peers</w:t>
      </w:r>
      <w:r w:rsidR="008F437F">
        <w:rPr>
          <w:rFonts w:asciiTheme="minorHAnsi" w:hAnsiTheme="minorHAnsi" w:cstheme="minorHAnsi"/>
          <w:szCs w:val="24"/>
        </w:rPr>
        <w:t>)</w:t>
      </w:r>
      <w:r w:rsidR="00185E45" w:rsidRPr="004454B1">
        <w:rPr>
          <w:rFonts w:asciiTheme="minorHAnsi" w:hAnsiTheme="minorHAnsi" w:cstheme="minorHAnsi"/>
          <w:szCs w:val="24"/>
        </w:rPr>
        <w:t xml:space="preserve"> are already doing in relation to paying taxes or registering for organ donation.</w:t>
      </w:r>
    </w:p>
    <w:p w14:paraId="580F4BD6" w14:textId="77777777" w:rsidR="00BE2E47" w:rsidRDefault="00BE2E47" w:rsidP="00BE2E47">
      <w:pPr>
        <w:spacing w:after="0" w:line="240" w:lineRule="auto"/>
        <w:rPr>
          <w:rFonts w:cstheme="minorHAnsi"/>
          <w:sz w:val="20"/>
          <w:szCs w:val="20"/>
        </w:rPr>
      </w:pPr>
    </w:p>
    <w:p w14:paraId="39CABF7E" w14:textId="3C0144F1" w:rsidR="00200384" w:rsidRPr="00764226" w:rsidRDefault="00764226" w:rsidP="00BE2E47">
      <w:pPr>
        <w:spacing w:after="0" w:line="240" w:lineRule="auto"/>
        <w:ind w:firstLine="720"/>
        <w:rPr>
          <w:rFonts w:cstheme="minorHAnsi"/>
          <w:b/>
          <w:i/>
          <w:sz w:val="24"/>
          <w:szCs w:val="24"/>
        </w:rPr>
      </w:pPr>
      <w:r>
        <w:rPr>
          <w:rFonts w:cstheme="minorHAnsi"/>
          <w:b/>
          <w:i/>
          <w:sz w:val="24"/>
          <w:szCs w:val="24"/>
        </w:rPr>
        <w:t>Example: Reducing</w:t>
      </w:r>
      <w:r w:rsidR="00BE2E47" w:rsidRPr="00764226">
        <w:rPr>
          <w:rFonts w:cstheme="minorHAnsi"/>
          <w:b/>
          <w:i/>
          <w:sz w:val="24"/>
          <w:szCs w:val="24"/>
        </w:rPr>
        <w:t xml:space="preserve"> missed hospital appointments</w:t>
      </w:r>
    </w:p>
    <w:p w14:paraId="4297D0F7" w14:textId="77777777" w:rsidR="00BE2E47" w:rsidRPr="00BE2E47" w:rsidRDefault="00BE2E47" w:rsidP="00BE2E47">
      <w:pPr>
        <w:spacing w:after="0" w:line="240" w:lineRule="auto"/>
        <w:ind w:firstLine="720"/>
        <w:rPr>
          <w:rFonts w:cstheme="minorHAnsi"/>
          <w:sz w:val="24"/>
          <w:szCs w:val="24"/>
        </w:rPr>
      </w:pPr>
    </w:p>
    <w:tbl>
      <w:tblPr>
        <w:tblStyle w:val="TableGrid"/>
        <w:tblW w:w="0" w:type="auto"/>
        <w:tblInd w:w="720" w:type="dxa"/>
        <w:tblLook w:val="04A0" w:firstRow="1" w:lastRow="0" w:firstColumn="1" w:lastColumn="0" w:noHBand="0" w:noVBand="1"/>
      </w:tblPr>
      <w:tblGrid>
        <w:gridCol w:w="4294"/>
        <w:gridCol w:w="4228"/>
      </w:tblGrid>
      <w:tr w:rsidR="00F237CA" w:rsidRPr="00BE2E47" w14:paraId="16FA38EB" w14:textId="77777777" w:rsidTr="00F237CA">
        <w:tc>
          <w:tcPr>
            <w:tcW w:w="4621" w:type="dxa"/>
          </w:tcPr>
          <w:p w14:paraId="02CE8D54" w14:textId="4385655C" w:rsidR="00F237CA" w:rsidRPr="00BE2E47" w:rsidRDefault="00F237CA" w:rsidP="00200384">
            <w:pPr>
              <w:pStyle w:val="ListParagraph"/>
              <w:ind w:left="0"/>
              <w:rPr>
                <w:rFonts w:asciiTheme="minorHAnsi" w:hAnsiTheme="minorHAnsi" w:cstheme="minorHAnsi"/>
                <w:szCs w:val="24"/>
              </w:rPr>
            </w:pPr>
            <w:r w:rsidRPr="00BE2E47">
              <w:rPr>
                <w:rFonts w:asciiTheme="minorHAnsi" w:hAnsiTheme="minorHAnsi" w:cstheme="minorHAnsi"/>
                <w:szCs w:val="24"/>
              </w:rPr>
              <w:t>Doing existing things better</w:t>
            </w:r>
          </w:p>
        </w:tc>
        <w:tc>
          <w:tcPr>
            <w:tcW w:w="4621" w:type="dxa"/>
          </w:tcPr>
          <w:p w14:paraId="49107235" w14:textId="6F8E56BB" w:rsidR="00F237CA" w:rsidRPr="00BE2E47" w:rsidRDefault="00F237CA" w:rsidP="00200384">
            <w:pPr>
              <w:pStyle w:val="ListParagraph"/>
              <w:ind w:left="0"/>
              <w:rPr>
                <w:rFonts w:asciiTheme="minorHAnsi" w:hAnsiTheme="minorHAnsi" w:cstheme="minorHAnsi"/>
                <w:szCs w:val="24"/>
              </w:rPr>
            </w:pPr>
            <w:r w:rsidRPr="00BE2E47">
              <w:rPr>
                <w:rFonts w:asciiTheme="minorHAnsi" w:hAnsiTheme="minorHAnsi" w:cstheme="minorHAnsi"/>
                <w:szCs w:val="24"/>
              </w:rPr>
              <w:t>Doing better things</w:t>
            </w:r>
          </w:p>
        </w:tc>
      </w:tr>
      <w:tr w:rsidR="00F237CA" w:rsidRPr="00BE2E47" w14:paraId="0BF7FBD9" w14:textId="77777777" w:rsidTr="00F237CA">
        <w:tc>
          <w:tcPr>
            <w:tcW w:w="4621" w:type="dxa"/>
          </w:tcPr>
          <w:p w14:paraId="42A23BBE" w14:textId="1B34D645" w:rsidR="00F237CA" w:rsidRPr="00BE2E47" w:rsidRDefault="00F237CA" w:rsidP="00200384">
            <w:pPr>
              <w:pStyle w:val="ListParagraph"/>
              <w:ind w:left="0"/>
              <w:rPr>
                <w:rFonts w:asciiTheme="minorHAnsi" w:hAnsiTheme="minorHAnsi" w:cstheme="minorHAnsi"/>
                <w:szCs w:val="24"/>
              </w:rPr>
            </w:pPr>
          </w:p>
          <w:p w14:paraId="600E44BE" w14:textId="77777777" w:rsidR="00BE2E47" w:rsidRPr="00BE2E47" w:rsidRDefault="00F237CA" w:rsidP="009E7669">
            <w:pPr>
              <w:pStyle w:val="ListParagraph"/>
              <w:numPr>
                <w:ilvl w:val="0"/>
                <w:numId w:val="16"/>
              </w:numPr>
              <w:ind w:left="556" w:hanging="283"/>
              <w:rPr>
                <w:rFonts w:asciiTheme="minorHAnsi" w:hAnsiTheme="minorHAnsi" w:cstheme="minorHAnsi"/>
                <w:szCs w:val="24"/>
              </w:rPr>
            </w:pPr>
            <w:r w:rsidRPr="00BE2E47">
              <w:rPr>
                <w:rFonts w:asciiTheme="minorHAnsi" w:hAnsiTheme="minorHAnsi" w:cstheme="minorHAnsi"/>
                <w:szCs w:val="24"/>
              </w:rPr>
              <w:t>Discontinuing formal letters that say what the recipient already knows</w:t>
            </w:r>
          </w:p>
          <w:p w14:paraId="1AA5BED4" w14:textId="77777777" w:rsidR="00BE2E47" w:rsidRPr="00BE2E47" w:rsidRDefault="00F237CA" w:rsidP="009E7669">
            <w:pPr>
              <w:pStyle w:val="ListParagraph"/>
              <w:numPr>
                <w:ilvl w:val="0"/>
                <w:numId w:val="16"/>
              </w:numPr>
              <w:ind w:left="556" w:hanging="283"/>
              <w:rPr>
                <w:rFonts w:asciiTheme="minorHAnsi" w:hAnsiTheme="minorHAnsi" w:cstheme="minorHAnsi"/>
                <w:szCs w:val="24"/>
              </w:rPr>
            </w:pPr>
            <w:r w:rsidRPr="00BE2E47">
              <w:rPr>
                <w:rFonts w:asciiTheme="minorHAnsi" w:hAnsiTheme="minorHAnsi" w:cstheme="minorHAnsi"/>
                <w:szCs w:val="24"/>
              </w:rPr>
              <w:t>Replacing with a reminder letter ahead of the appointment</w:t>
            </w:r>
          </w:p>
          <w:p w14:paraId="4198BA6E" w14:textId="1F0C7E9F" w:rsidR="00F237CA" w:rsidRPr="00BE2E47" w:rsidRDefault="00F237CA" w:rsidP="009E7669">
            <w:pPr>
              <w:pStyle w:val="ListParagraph"/>
              <w:numPr>
                <w:ilvl w:val="0"/>
                <w:numId w:val="16"/>
              </w:numPr>
              <w:ind w:left="556" w:hanging="283"/>
              <w:rPr>
                <w:rFonts w:asciiTheme="minorHAnsi" w:hAnsiTheme="minorHAnsi" w:cstheme="minorHAnsi"/>
                <w:szCs w:val="24"/>
              </w:rPr>
            </w:pPr>
            <w:r w:rsidRPr="00BE2E47">
              <w:rPr>
                <w:rFonts w:asciiTheme="minorHAnsi" w:hAnsiTheme="minorHAnsi" w:cstheme="minorHAnsi"/>
                <w:szCs w:val="24"/>
              </w:rPr>
              <w:t>Replacing with a reminder text</w:t>
            </w:r>
            <w:r w:rsidR="00BE2E47" w:rsidRPr="00BE2E47">
              <w:rPr>
                <w:rFonts w:asciiTheme="minorHAnsi" w:hAnsiTheme="minorHAnsi" w:cstheme="minorHAnsi"/>
                <w:szCs w:val="24"/>
              </w:rPr>
              <w:t xml:space="preserve"> that simply conveys factual information about the forthcoming appointment</w:t>
            </w:r>
          </w:p>
          <w:p w14:paraId="6E4BAE56" w14:textId="77777777" w:rsidR="00F237CA" w:rsidRPr="00BE2E47" w:rsidRDefault="00F237CA" w:rsidP="00F237CA">
            <w:pPr>
              <w:pStyle w:val="ListParagraph"/>
              <w:rPr>
                <w:rFonts w:asciiTheme="minorHAnsi" w:hAnsiTheme="minorHAnsi" w:cstheme="minorHAnsi"/>
                <w:szCs w:val="24"/>
              </w:rPr>
            </w:pPr>
          </w:p>
          <w:p w14:paraId="18665BCD" w14:textId="3E895145" w:rsidR="00F237CA" w:rsidRPr="00BE2E47" w:rsidRDefault="00F237CA" w:rsidP="00BE2E47">
            <w:pPr>
              <w:pStyle w:val="ListParagraph"/>
              <w:rPr>
                <w:rFonts w:asciiTheme="minorHAnsi" w:hAnsiTheme="minorHAnsi" w:cstheme="minorHAnsi"/>
                <w:szCs w:val="24"/>
              </w:rPr>
            </w:pPr>
          </w:p>
        </w:tc>
        <w:tc>
          <w:tcPr>
            <w:tcW w:w="4621" w:type="dxa"/>
          </w:tcPr>
          <w:p w14:paraId="18D18EE9" w14:textId="77777777" w:rsidR="00F237CA" w:rsidRPr="00BE2E47" w:rsidRDefault="00F237CA" w:rsidP="00200384">
            <w:pPr>
              <w:pStyle w:val="ListParagraph"/>
              <w:ind w:left="0"/>
              <w:rPr>
                <w:rFonts w:asciiTheme="minorHAnsi" w:hAnsiTheme="minorHAnsi" w:cstheme="minorHAnsi"/>
                <w:szCs w:val="24"/>
              </w:rPr>
            </w:pPr>
          </w:p>
          <w:p w14:paraId="765DDDAD" w14:textId="7231DBCD" w:rsidR="00F237CA" w:rsidRPr="00BE2E47" w:rsidRDefault="00BE2E47" w:rsidP="009E7669">
            <w:pPr>
              <w:pStyle w:val="ListParagraph"/>
              <w:numPr>
                <w:ilvl w:val="0"/>
                <w:numId w:val="16"/>
              </w:numPr>
              <w:ind w:left="828" w:hanging="399"/>
              <w:rPr>
                <w:rFonts w:asciiTheme="minorHAnsi" w:hAnsiTheme="minorHAnsi" w:cstheme="minorHAnsi"/>
                <w:szCs w:val="24"/>
              </w:rPr>
            </w:pPr>
            <w:r>
              <w:rPr>
                <w:rFonts w:asciiTheme="minorHAnsi" w:hAnsiTheme="minorHAnsi" w:cstheme="minorHAnsi"/>
                <w:szCs w:val="24"/>
              </w:rPr>
              <w:t>A</w:t>
            </w:r>
            <w:r w:rsidR="00F237CA" w:rsidRPr="00BE2E47">
              <w:rPr>
                <w:rFonts w:asciiTheme="minorHAnsi" w:hAnsiTheme="minorHAnsi" w:cstheme="minorHAnsi"/>
                <w:szCs w:val="24"/>
              </w:rPr>
              <w:t xml:space="preserve"> text reminder that points out how a missed appointment has led to someone else losing out in a specific way</w:t>
            </w:r>
          </w:p>
          <w:p w14:paraId="5AB8AB06" w14:textId="77777777" w:rsidR="00F237CA" w:rsidRPr="00BE2E47" w:rsidRDefault="00F237CA" w:rsidP="009E7669">
            <w:pPr>
              <w:pStyle w:val="ListParagraph"/>
              <w:numPr>
                <w:ilvl w:val="0"/>
                <w:numId w:val="16"/>
              </w:numPr>
              <w:ind w:left="828" w:hanging="399"/>
              <w:rPr>
                <w:rFonts w:asciiTheme="minorHAnsi" w:hAnsiTheme="minorHAnsi" w:cstheme="minorHAnsi"/>
                <w:szCs w:val="24"/>
              </w:rPr>
            </w:pPr>
            <w:r w:rsidRPr="00BE2E47">
              <w:rPr>
                <w:rFonts w:asciiTheme="minorHAnsi" w:hAnsiTheme="minorHAnsi" w:cstheme="minorHAnsi"/>
                <w:szCs w:val="24"/>
              </w:rPr>
              <w:t>A text reminder that appeals to a known social norm</w:t>
            </w:r>
          </w:p>
          <w:p w14:paraId="29DC8571" w14:textId="3C3D2366" w:rsidR="00F237CA" w:rsidRPr="00BE2E47" w:rsidRDefault="00F237CA" w:rsidP="009E7669">
            <w:pPr>
              <w:pStyle w:val="ListParagraph"/>
              <w:numPr>
                <w:ilvl w:val="0"/>
                <w:numId w:val="16"/>
              </w:numPr>
              <w:ind w:left="828" w:hanging="399"/>
              <w:rPr>
                <w:rFonts w:asciiTheme="minorHAnsi" w:hAnsiTheme="minorHAnsi" w:cstheme="minorHAnsi"/>
                <w:szCs w:val="24"/>
              </w:rPr>
            </w:pPr>
            <w:r w:rsidRPr="00BE2E47">
              <w:rPr>
                <w:rFonts w:asciiTheme="minorHAnsi" w:hAnsiTheme="minorHAnsi" w:cstheme="minorHAnsi"/>
                <w:szCs w:val="24"/>
              </w:rPr>
              <w:t>A text</w:t>
            </w:r>
            <w:r w:rsidR="00BE2E47" w:rsidRPr="00BE2E47">
              <w:rPr>
                <w:rFonts w:asciiTheme="minorHAnsi" w:hAnsiTheme="minorHAnsi" w:cstheme="minorHAnsi"/>
                <w:szCs w:val="24"/>
              </w:rPr>
              <w:t xml:space="preserve"> reminder putting the recipient in the shoes of someone waiting for an appointment</w:t>
            </w:r>
          </w:p>
        </w:tc>
      </w:tr>
    </w:tbl>
    <w:p w14:paraId="0770A89D" w14:textId="7985DE0B" w:rsidR="00522E06" w:rsidRDefault="00522E06" w:rsidP="00200384">
      <w:pPr>
        <w:pStyle w:val="ListParagraph"/>
        <w:rPr>
          <w:rFonts w:asciiTheme="minorHAnsi" w:hAnsiTheme="minorHAnsi" w:cstheme="minorHAnsi"/>
          <w:szCs w:val="24"/>
        </w:rPr>
      </w:pPr>
    </w:p>
    <w:p w14:paraId="1CDE659C" w14:textId="3A503924" w:rsidR="00C3020D" w:rsidRPr="00F50D73" w:rsidRDefault="00C3020D" w:rsidP="00C3020D">
      <w:pPr>
        <w:spacing w:after="0" w:line="240" w:lineRule="auto"/>
        <w:ind w:firstLine="720"/>
        <w:rPr>
          <w:rFonts w:cstheme="minorHAnsi"/>
          <w:b/>
          <w:i/>
          <w:sz w:val="24"/>
          <w:szCs w:val="24"/>
        </w:rPr>
      </w:pPr>
      <w:r w:rsidRPr="00F50D73">
        <w:rPr>
          <w:rFonts w:cstheme="minorHAnsi"/>
          <w:b/>
          <w:i/>
          <w:sz w:val="24"/>
          <w:szCs w:val="24"/>
        </w:rPr>
        <w:t>Example: Redesigning consumer redress</w:t>
      </w:r>
    </w:p>
    <w:p w14:paraId="1AECD748" w14:textId="77777777" w:rsidR="00C3020D" w:rsidRPr="00284D79" w:rsidRDefault="00C3020D" w:rsidP="00C3020D">
      <w:pPr>
        <w:spacing w:after="0" w:line="240" w:lineRule="auto"/>
        <w:ind w:firstLine="720"/>
        <w:rPr>
          <w:rFonts w:cstheme="minorHAnsi"/>
          <w:sz w:val="24"/>
          <w:szCs w:val="24"/>
        </w:rPr>
      </w:pPr>
    </w:p>
    <w:tbl>
      <w:tblPr>
        <w:tblStyle w:val="TableGrid"/>
        <w:tblW w:w="0" w:type="auto"/>
        <w:tblInd w:w="720" w:type="dxa"/>
        <w:tblLook w:val="04A0" w:firstRow="1" w:lastRow="0" w:firstColumn="1" w:lastColumn="0" w:noHBand="0" w:noVBand="1"/>
      </w:tblPr>
      <w:tblGrid>
        <w:gridCol w:w="4287"/>
        <w:gridCol w:w="4235"/>
      </w:tblGrid>
      <w:tr w:rsidR="00C3020D" w:rsidRPr="00F50D73" w14:paraId="3B48966A" w14:textId="77777777" w:rsidTr="00C3020D">
        <w:tc>
          <w:tcPr>
            <w:tcW w:w="4621" w:type="dxa"/>
          </w:tcPr>
          <w:p w14:paraId="0B0BB52F" w14:textId="77777777" w:rsidR="00C3020D" w:rsidRPr="00284D79" w:rsidRDefault="00C3020D" w:rsidP="00C3020D">
            <w:pPr>
              <w:pStyle w:val="ListParagraph"/>
              <w:spacing w:after="200" w:line="276" w:lineRule="auto"/>
              <w:ind w:left="0"/>
              <w:rPr>
                <w:rFonts w:asciiTheme="minorHAnsi" w:hAnsiTheme="minorHAnsi" w:cstheme="minorHAnsi"/>
                <w:szCs w:val="24"/>
              </w:rPr>
            </w:pPr>
            <w:r w:rsidRPr="00284D79">
              <w:rPr>
                <w:rFonts w:asciiTheme="minorHAnsi" w:hAnsiTheme="minorHAnsi" w:cstheme="minorHAnsi"/>
                <w:szCs w:val="24"/>
              </w:rPr>
              <w:t>Doing existing things better</w:t>
            </w:r>
          </w:p>
        </w:tc>
        <w:tc>
          <w:tcPr>
            <w:tcW w:w="4621" w:type="dxa"/>
          </w:tcPr>
          <w:p w14:paraId="5B327F40" w14:textId="77777777" w:rsidR="00C3020D" w:rsidRPr="00284D79" w:rsidRDefault="00C3020D" w:rsidP="00C3020D">
            <w:pPr>
              <w:pStyle w:val="ListParagraph"/>
              <w:spacing w:after="200" w:line="276" w:lineRule="auto"/>
              <w:ind w:left="0"/>
              <w:rPr>
                <w:rFonts w:asciiTheme="minorHAnsi" w:hAnsiTheme="minorHAnsi" w:cstheme="minorHAnsi"/>
                <w:szCs w:val="24"/>
              </w:rPr>
            </w:pPr>
            <w:r w:rsidRPr="00284D79">
              <w:rPr>
                <w:rFonts w:asciiTheme="minorHAnsi" w:hAnsiTheme="minorHAnsi" w:cstheme="minorHAnsi"/>
                <w:szCs w:val="24"/>
              </w:rPr>
              <w:t>Doing better things</w:t>
            </w:r>
          </w:p>
        </w:tc>
      </w:tr>
      <w:tr w:rsidR="00C3020D" w:rsidRPr="00BE2E47" w14:paraId="2813EC4B" w14:textId="77777777" w:rsidTr="00C3020D">
        <w:tc>
          <w:tcPr>
            <w:tcW w:w="4621" w:type="dxa"/>
          </w:tcPr>
          <w:p w14:paraId="6ABF2404" w14:textId="49B37B50" w:rsidR="00C3020D" w:rsidRPr="00F50D73" w:rsidRDefault="00C3020D" w:rsidP="00C3020D">
            <w:pPr>
              <w:pStyle w:val="ListParagraph"/>
              <w:spacing w:after="200" w:line="276" w:lineRule="auto"/>
              <w:ind w:left="0"/>
              <w:rPr>
                <w:rFonts w:asciiTheme="minorHAnsi" w:hAnsiTheme="minorHAnsi" w:cstheme="minorHAnsi"/>
                <w:szCs w:val="24"/>
              </w:rPr>
            </w:pPr>
          </w:p>
          <w:p w14:paraId="41D5A08B" w14:textId="55E8A00A" w:rsidR="00C3020D" w:rsidRPr="00284D79" w:rsidRDefault="00C3020D" w:rsidP="009E7669">
            <w:pPr>
              <w:pStyle w:val="ListParagraph"/>
              <w:numPr>
                <w:ilvl w:val="0"/>
                <w:numId w:val="16"/>
              </w:numPr>
              <w:spacing w:after="200" w:line="276" w:lineRule="auto"/>
              <w:ind w:left="556" w:hanging="283"/>
              <w:rPr>
                <w:rFonts w:asciiTheme="minorHAnsi" w:hAnsiTheme="minorHAnsi" w:cstheme="minorHAnsi"/>
                <w:szCs w:val="24"/>
              </w:rPr>
            </w:pPr>
            <w:r w:rsidRPr="00284D79">
              <w:rPr>
                <w:rFonts w:asciiTheme="minorHAnsi" w:hAnsiTheme="minorHAnsi" w:cstheme="minorHAnsi"/>
                <w:szCs w:val="24"/>
              </w:rPr>
              <w:t>Better turnaround times in responding to consumer concerns/complaints</w:t>
            </w:r>
          </w:p>
          <w:p w14:paraId="58508862" w14:textId="77777777" w:rsidR="00C3020D" w:rsidRPr="00284D79" w:rsidRDefault="00C3020D" w:rsidP="009E7669">
            <w:pPr>
              <w:pStyle w:val="ListParagraph"/>
              <w:numPr>
                <w:ilvl w:val="0"/>
                <w:numId w:val="16"/>
              </w:numPr>
              <w:spacing w:after="200" w:line="276" w:lineRule="auto"/>
              <w:ind w:left="556" w:hanging="283"/>
              <w:rPr>
                <w:rFonts w:asciiTheme="minorHAnsi" w:hAnsiTheme="minorHAnsi" w:cstheme="minorHAnsi"/>
                <w:szCs w:val="24"/>
              </w:rPr>
            </w:pPr>
            <w:r w:rsidRPr="00284D79">
              <w:rPr>
                <w:rFonts w:asciiTheme="minorHAnsi" w:hAnsiTheme="minorHAnsi" w:cstheme="minorHAnsi"/>
                <w:szCs w:val="24"/>
              </w:rPr>
              <w:t>Use of simple English in written communications</w:t>
            </w:r>
          </w:p>
          <w:p w14:paraId="4DB5921F" w14:textId="52938E69" w:rsidR="00C3020D" w:rsidRPr="00F50D73" w:rsidRDefault="00C3020D" w:rsidP="009E7669">
            <w:pPr>
              <w:pStyle w:val="ListParagraph"/>
              <w:numPr>
                <w:ilvl w:val="0"/>
                <w:numId w:val="16"/>
              </w:numPr>
              <w:spacing w:after="200" w:line="276" w:lineRule="auto"/>
              <w:ind w:left="556" w:hanging="283"/>
              <w:rPr>
                <w:rFonts w:asciiTheme="minorHAnsi" w:hAnsiTheme="minorHAnsi" w:cstheme="minorHAnsi"/>
                <w:szCs w:val="24"/>
              </w:rPr>
            </w:pPr>
            <w:r w:rsidRPr="008C1B83">
              <w:rPr>
                <w:rFonts w:asciiTheme="minorHAnsi" w:hAnsiTheme="minorHAnsi" w:cstheme="minorHAnsi"/>
                <w:szCs w:val="24"/>
              </w:rPr>
              <w:t>Improved written explanations of possible remedies (refunds, compensation, apologies, etc</w:t>
            </w:r>
            <w:r w:rsidR="006D7BB4" w:rsidRPr="00F50D73">
              <w:rPr>
                <w:rFonts w:asciiTheme="minorHAnsi" w:hAnsiTheme="minorHAnsi" w:cstheme="minorHAnsi"/>
                <w:szCs w:val="24"/>
              </w:rPr>
              <w:t>.</w:t>
            </w:r>
            <w:r w:rsidRPr="00F50D73">
              <w:rPr>
                <w:rFonts w:asciiTheme="minorHAnsi" w:hAnsiTheme="minorHAnsi" w:cstheme="minorHAnsi"/>
                <w:szCs w:val="24"/>
              </w:rPr>
              <w:t>)</w:t>
            </w:r>
          </w:p>
          <w:p w14:paraId="4F520C66" w14:textId="77777777" w:rsidR="00C3020D" w:rsidRPr="00F50D73" w:rsidRDefault="00C3020D" w:rsidP="00C3020D">
            <w:pPr>
              <w:pStyle w:val="ListParagraph"/>
              <w:spacing w:after="200" w:line="276" w:lineRule="auto"/>
              <w:rPr>
                <w:rFonts w:asciiTheme="minorHAnsi" w:hAnsiTheme="minorHAnsi" w:cstheme="minorHAnsi"/>
                <w:szCs w:val="24"/>
              </w:rPr>
            </w:pPr>
          </w:p>
          <w:p w14:paraId="19B27348" w14:textId="77777777" w:rsidR="00C3020D" w:rsidRPr="00F50D73" w:rsidRDefault="00C3020D" w:rsidP="00C3020D">
            <w:pPr>
              <w:pStyle w:val="ListParagraph"/>
              <w:spacing w:after="200" w:line="276" w:lineRule="auto"/>
              <w:rPr>
                <w:rFonts w:asciiTheme="minorHAnsi" w:hAnsiTheme="minorHAnsi" w:cstheme="minorHAnsi"/>
                <w:szCs w:val="24"/>
              </w:rPr>
            </w:pPr>
          </w:p>
        </w:tc>
        <w:tc>
          <w:tcPr>
            <w:tcW w:w="4621" w:type="dxa"/>
          </w:tcPr>
          <w:p w14:paraId="6DFD5CE8" w14:textId="77777777" w:rsidR="00C3020D" w:rsidRPr="00F50D73" w:rsidRDefault="00C3020D" w:rsidP="00C3020D">
            <w:pPr>
              <w:pStyle w:val="ListParagraph"/>
              <w:spacing w:after="200" w:line="276" w:lineRule="auto"/>
              <w:ind w:left="0"/>
              <w:rPr>
                <w:rFonts w:asciiTheme="minorHAnsi" w:hAnsiTheme="minorHAnsi" w:cstheme="minorHAnsi"/>
                <w:szCs w:val="24"/>
              </w:rPr>
            </w:pPr>
          </w:p>
          <w:p w14:paraId="2BE222A0" w14:textId="0CF2B07A" w:rsidR="00C3020D" w:rsidRPr="00F50D73" w:rsidRDefault="00C3020D" w:rsidP="009E7669">
            <w:pPr>
              <w:pStyle w:val="ListParagraph"/>
              <w:numPr>
                <w:ilvl w:val="0"/>
                <w:numId w:val="16"/>
              </w:numPr>
              <w:spacing w:after="200" w:line="276" w:lineRule="auto"/>
              <w:ind w:left="828" w:hanging="399"/>
              <w:rPr>
                <w:rFonts w:asciiTheme="minorHAnsi" w:hAnsiTheme="minorHAnsi" w:cstheme="minorHAnsi"/>
                <w:szCs w:val="24"/>
              </w:rPr>
            </w:pPr>
            <w:r w:rsidRPr="00F50D73">
              <w:rPr>
                <w:rFonts w:asciiTheme="minorHAnsi" w:hAnsiTheme="minorHAnsi" w:cstheme="minorHAnsi"/>
                <w:szCs w:val="24"/>
              </w:rPr>
              <w:t xml:space="preserve">Use of a telephone service </w:t>
            </w:r>
            <w:r w:rsidR="00764226" w:rsidRPr="00F50D73">
              <w:rPr>
                <w:rFonts w:asciiTheme="minorHAnsi" w:hAnsiTheme="minorHAnsi" w:cstheme="minorHAnsi"/>
                <w:szCs w:val="24"/>
              </w:rPr>
              <w:t xml:space="preserve">(including evening extended opening) </w:t>
            </w:r>
            <w:r w:rsidRPr="00F50D73">
              <w:rPr>
                <w:rFonts w:asciiTheme="minorHAnsi" w:hAnsiTheme="minorHAnsi" w:cstheme="minorHAnsi"/>
                <w:szCs w:val="24"/>
              </w:rPr>
              <w:t>or on-line platform for consumers</w:t>
            </w:r>
          </w:p>
          <w:p w14:paraId="1D570ECC" w14:textId="36D42FA4" w:rsidR="00C3020D" w:rsidRPr="00F50D73" w:rsidRDefault="00C3020D" w:rsidP="009E7669">
            <w:pPr>
              <w:pStyle w:val="ListParagraph"/>
              <w:numPr>
                <w:ilvl w:val="0"/>
                <w:numId w:val="16"/>
              </w:numPr>
              <w:spacing w:after="200" w:line="276" w:lineRule="auto"/>
              <w:ind w:left="828" w:hanging="399"/>
              <w:rPr>
                <w:rFonts w:asciiTheme="minorHAnsi" w:hAnsiTheme="minorHAnsi" w:cstheme="minorHAnsi"/>
                <w:szCs w:val="24"/>
              </w:rPr>
            </w:pPr>
            <w:r w:rsidRPr="00F50D73">
              <w:rPr>
                <w:rFonts w:asciiTheme="minorHAnsi" w:hAnsiTheme="minorHAnsi" w:cstheme="minorHAnsi"/>
                <w:szCs w:val="24"/>
              </w:rPr>
              <w:t>Shrewd use of market intelligence to</w:t>
            </w:r>
            <w:r w:rsidR="00764226" w:rsidRPr="00F50D73">
              <w:rPr>
                <w:rFonts w:asciiTheme="minorHAnsi" w:hAnsiTheme="minorHAnsi" w:cstheme="minorHAnsi"/>
                <w:szCs w:val="24"/>
              </w:rPr>
              <w:t xml:space="preserve"> create fresh opportunities for</w:t>
            </w:r>
            <w:r w:rsidRPr="00F50D73">
              <w:rPr>
                <w:rFonts w:asciiTheme="minorHAnsi" w:hAnsiTheme="minorHAnsi" w:cstheme="minorHAnsi"/>
                <w:szCs w:val="24"/>
              </w:rPr>
              <w:t xml:space="preserve"> consumer feedback (e.g. telephone calls or texts immediately after a product return or equivalent)</w:t>
            </w:r>
          </w:p>
          <w:p w14:paraId="053483DE" w14:textId="7E584ECA" w:rsidR="00C3020D" w:rsidRPr="00F50D73" w:rsidRDefault="006D7BB4" w:rsidP="009E7669">
            <w:pPr>
              <w:pStyle w:val="ListParagraph"/>
              <w:numPr>
                <w:ilvl w:val="0"/>
                <w:numId w:val="16"/>
              </w:numPr>
              <w:spacing w:after="200" w:line="276" w:lineRule="auto"/>
              <w:ind w:left="828" w:hanging="399"/>
              <w:rPr>
                <w:rFonts w:asciiTheme="minorHAnsi" w:hAnsiTheme="minorHAnsi" w:cstheme="minorHAnsi"/>
                <w:szCs w:val="24"/>
              </w:rPr>
            </w:pPr>
            <w:r w:rsidRPr="00F50D73">
              <w:rPr>
                <w:rFonts w:asciiTheme="minorHAnsi" w:hAnsiTheme="minorHAnsi" w:cstheme="minorHAnsi"/>
                <w:szCs w:val="24"/>
              </w:rPr>
              <w:t>Using</w:t>
            </w:r>
            <w:r w:rsidR="00C3020D" w:rsidRPr="00F50D73">
              <w:rPr>
                <w:rFonts w:asciiTheme="minorHAnsi" w:hAnsiTheme="minorHAnsi" w:cstheme="minorHAnsi"/>
                <w:szCs w:val="24"/>
              </w:rPr>
              <w:t xml:space="preserve"> complaint find</w:t>
            </w:r>
            <w:r w:rsidR="00764226" w:rsidRPr="00F50D73">
              <w:rPr>
                <w:rFonts w:asciiTheme="minorHAnsi" w:hAnsiTheme="minorHAnsi" w:cstheme="minorHAnsi"/>
                <w:szCs w:val="24"/>
              </w:rPr>
              <w:t>ings to affect</w:t>
            </w:r>
            <w:r w:rsidR="00C3020D" w:rsidRPr="00F50D73">
              <w:rPr>
                <w:rFonts w:asciiTheme="minorHAnsi" w:hAnsiTheme="minorHAnsi" w:cstheme="minorHAnsi"/>
                <w:szCs w:val="24"/>
              </w:rPr>
              <w:t xml:space="preserve"> service improvements</w:t>
            </w:r>
            <w:r w:rsidR="00B80E9D" w:rsidRPr="00F50D73">
              <w:rPr>
                <w:rFonts w:asciiTheme="minorHAnsi" w:hAnsiTheme="minorHAnsi" w:cstheme="minorHAnsi"/>
                <w:szCs w:val="24"/>
              </w:rPr>
              <w:t xml:space="preserve"> and as an additional remedy sought by consumers</w:t>
            </w:r>
          </w:p>
          <w:p w14:paraId="2FDF6434" w14:textId="1B1A1490" w:rsidR="00764226" w:rsidRPr="00BE2E47" w:rsidRDefault="00764226" w:rsidP="00764226">
            <w:pPr>
              <w:pStyle w:val="ListParagraph"/>
              <w:ind w:left="828"/>
              <w:rPr>
                <w:rFonts w:asciiTheme="minorHAnsi" w:hAnsiTheme="minorHAnsi" w:cstheme="minorHAnsi"/>
                <w:szCs w:val="24"/>
              </w:rPr>
            </w:pPr>
          </w:p>
        </w:tc>
      </w:tr>
    </w:tbl>
    <w:p w14:paraId="6E826EB7" w14:textId="77777777" w:rsidR="00C3020D" w:rsidRPr="004454B1" w:rsidRDefault="00C3020D" w:rsidP="00200384">
      <w:pPr>
        <w:pStyle w:val="ListParagraph"/>
        <w:rPr>
          <w:rFonts w:asciiTheme="minorHAnsi" w:hAnsiTheme="minorHAnsi" w:cstheme="minorHAnsi"/>
          <w:szCs w:val="24"/>
        </w:rPr>
      </w:pPr>
    </w:p>
    <w:p w14:paraId="04BBEE4D" w14:textId="4FA36B7A" w:rsidR="00B143DC" w:rsidRPr="00313A50" w:rsidRDefault="00B03A51" w:rsidP="00505BE0">
      <w:pPr>
        <w:pStyle w:val="ListParagraph"/>
        <w:numPr>
          <w:ilvl w:val="0"/>
          <w:numId w:val="6"/>
        </w:numPr>
        <w:jc w:val="both"/>
        <w:rPr>
          <w:rFonts w:cstheme="minorHAnsi"/>
          <w:szCs w:val="24"/>
        </w:rPr>
      </w:pPr>
      <w:r>
        <w:rPr>
          <w:rFonts w:asciiTheme="minorHAnsi" w:hAnsiTheme="minorHAnsi" w:cstheme="minorHAnsi"/>
          <w:szCs w:val="24"/>
        </w:rPr>
        <w:lastRenderedPageBreak/>
        <w:t>The following chapter provides</w:t>
      </w:r>
      <w:r w:rsidR="00013538" w:rsidRPr="00FA49D6">
        <w:rPr>
          <w:rFonts w:asciiTheme="minorHAnsi" w:hAnsiTheme="minorHAnsi" w:cstheme="minorHAnsi"/>
          <w:szCs w:val="24"/>
        </w:rPr>
        <w:t xml:space="preserve"> a more detailed outline of the policy recommendations, including a brief description of the policy and its status, </w:t>
      </w:r>
      <w:r w:rsidR="001603DB" w:rsidRPr="00FA49D6">
        <w:rPr>
          <w:rFonts w:asciiTheme="minorHAnsi" w:hAnsiTheme="minorHAnsi" w:cstheme="minorHAnsi"/>
          <w:szCs w:val="24"/>
        </w:rPr>
        <w:t xml:space="preserve">the proposed </w:t>
      </w:r>
      <w:r w:rsidR="001603DB" w:rsidRPr="00FA49D6">
        <w:rPr>
          <w:rFonts w:asciiTheme="minorHAnsi" w:hAnsiTheme="minorHAnsi" w:cstheme="minorHAnsi"/>
          <w:i/>
          <w:szCs w:val="24"/>
        </w:rPr>
        <w:t xml:space="preserve">Things Better </w:t>
      </w:r>
      <w:r w:rsidR="001603DB" w:rsidRPr="00FA49D6">
        <w:rPr>
          <w:rFonts w:asciiTheme="minorHAnsi" w:hAnsiTheme="minorHAnsi" w:cstheme="minorHAnsi"/>
          <w:szCs w:val="24"/>
        </w:rPr>
        <w:t xml:space="preserve">and/or </w:t>
      </w:r>
      <w:r w:rsidR="00E174B5" w:rsidRPr="00FA49D6">
        <w:rPr>
          <w:rFonts w:asciiTheme="minorHAnsi" w:hAnsiTheme="minorHAnsi" w:cstheme="minorHAnsi"/>
          <w:i/>
          <w:szCs w:val="24"/>
        </w:rPr>
        <w:t>Better Things</w:t>
      </w:r>
      <w:r>
        <w:rPr>
          <w:rFonts w:asciiTheme="minorHAnsi" w:hAnsiTheme="minorHAnsi" w:cstheme="minorHAnsi"/>
          <w:szCs w:val="24"/>
        </w:rPr>
        <w:t xml:space="preserve"> changes, </w:t>
      </w:r>
      <w:r w:rsidR="001603DB" w:rsidRPr="00FA49D6">
        <w:rPr>
          <w:rFonts w:asciiTheme="minorHAnsi" w:hAnsiTheme="minorHAnsi" w:cstheme="minorHAnsi"/>
          <w:szCs w:val="24"/>
        </w:rPr>
        <w:t>their relation to the MINDSPACE framework</w:t>
      </w:r>
      <w:r w:rsidR="006D7BB4">
        <w:rPr>
          <w:rFonts w:asciiTheme="minorHAnsi" w:hAnsiTheme="minorHAnsi" w:cstheme="minorHAnsi"/>
          <w:szCs w:val="24"/>
        </w:rPr>
        <w:t>,</w:t>
      </w:r>
      <w:r>
        <w:rPr>
          <w:rFonts w:asciiTheme="minorHAnsi" w:hAnsiTheme="minorHAnsi" w:cstheme="minorHAnsi"/>
          <w:szCs w:val="24"/>
        </w:rPr>
        <w:t xml:space="preserve"> and other key principles in improving policy outcomes</w:t>
      </w:r>
      <w:r w:rsidR="001603DB" w:rsidRPr="00FA49D6">
        <w:rPr>
          <w:rFonts w:asciiTheme="minorHAnsi" w:hAnsiTheme="minorHAnsi" w:cstheme="minorHAnsi"/>
          <w:szCs w:val="24"/>
        </w:rPr>
        <w:t>.</w:t>
      </w:r>
    </w:p>
    <w:p w14:paraId="13A951FC" w14:textId="77777777" w:rsidR="00B52451" w:rsidRPr="00B143DC" w:rsidRDefault="00B52451" w:rsidP="00B143DC">
      <w:pPr>
        <w:jc w:val="both"/>
        <w:rPr>
          <w:rFonts w:cstheme="minorHAnsi"/>
          <w:szCs w:val="24"/>
        </w:rPr>
      </w:pPr>
    </w:p>
    <w:p w14:paraId="146916A2" w14:textId="0BFC8918" w:rsidR="008415A7" w:rsidRPr="00A842BF" w:rsidRDefault="00522E06" w:rsidP="00A842BF">
      <w:pPr>
        <w:pStyle w:val="Heading2"/>
      </w:pPr>
      <w:bookmarkStart w:id="11" w:name="_Toc378323555"/>
      <w:r w:rsidRPr="00A842BF">
        <w:t>3</w:t>
      </w:r>
      <w:r w:rsidR="00A842BF">
        <w:t xml:space="preserve">.1 </w:t>
      </w:r>
      <w:r w:rsidR="008415A7" w:rsidRPr="00A842BF">
        <w:t>Think, Act, Report</w:t>
      </w:r>
      <w:bookmarkEnd w:id="11"/>
    </w:p>
    <w:p w14:paraId="73E8573B" w14:textId="77777777" w:rsidR="000E1A8D" w:rsidRPr="007518E4" w:rsidRDefault="000E1A8D" w:rsidP="000E1A8D">
      <w:pPr>
        <w:rPr>
          <w:sz w:val="24"/>
          <w:szCs w:val="24"/>
        </w:rPr>
      </w:pPr>
    </w:p>
    <w:p w14:paraId="7C0A006D" w14:textId="5C8B66C7" w:rsidR="007518E4" w:rsidRDefault="007518E4" w:rsidP="00505BE0">
      <w:pPr>
        <w:pStyle w:val="ListParagraph"/>
        <w:numPr>
          <w:ilvl w:val="0"/>
          <w:numId w:val="6"/>
        </w:numPr>
        <w:jc w:val="both"/>
        <w:rPr>
          <w:rFonts w:asciiTheme="minorHAnsi" w:hAnsiTheme="minorHAnsi" w:cstheme="minorHAnsi"/>
          <w:szCs w:val="24"/>
        </w:rPr>
      </w:pPr>
      <w:r w:rsidRPr="007518E4">
        <w:rPr>
          <w:rFonts w:asciiTheme="minorHAnsi" w:hAnsiTheme="minorHAnsi" w:cstheme="minorHAnsi"/>
          <w:szCs w:val="24"/>
        </w:rPr>
        <w:t>The Think, Act, Report (TAR) initiative has been a significant success delivered by GEO. Starting in late 2011, in a period of two years the scheme has gained 134 member firms (who, between them, employ almost 2 million workers). It has showcased a voluntary approach to gender equality in the workplace and secured backing from a number of high profile private sector firms in different sectors.</w:t>
      </w:r>
      <w:r>
        <w:rPr>
          <w:rFonts w:asciiTheme="minorHAnsi" w:hAnsiTheme="minorHAnsi" w:cstheme="minorHAnsi"/>
          <w:szCs w:val="24"/>
        </w:rPr>
        <w:t xml:space="preserve"> With this solid platform, there are strategic choices for its future trajectory that can be informed by selected behaviour change insights.</w:t>
      </w:r>
    </w:p>
    <w:p w14:paraId="2AA73CFE" w14:textId="77777777" w:rsidR="007518E4" w:rsidRPr="007518E4" w:rsidRDefault="007518E4" w:rsidP="007518E4">
      <w:pPr>
        <w:pStyle w:val="ListParagraph"/>
        <w:jc w:val="both"/>
        <w:rPr>
          <w:rFonts w:asciiTheme="minorHAnsi" w:hAnsiTheme="minorHAnsi" w:cstheme="minorHAnsi"/>
          <w:szCs w:val="24"/>
        </w:rPr>
      </w:pPr>
    </w:p>
    <w:p w14:paraId="2358B772" w14:textId="26BF5A73" w:rsidR="007518E4" w:rsidRPr="007518E4" w:rsidRDefault="007518E4" w:rsidP="007518E4">
      <w:pPr>
        <w:rPr>
          <w:b/>
          <w:sz w:val="24"/>
          <w:szCs w:val="24"/>
        </w:rPr>
      </w:pPr>
      <w:r w:rsidRPr="007518E4">
        <w:rPr>
          <w:b/>
          <w:sz w:val="24"/>
          <w:szCs w:val="24"/>
        </w:rPr>
        <w:t>Behaviour Change Insights</w:t>
      </w:r>
    </w:p>
    <w:p w14:paraId="4FE43CE5" w14:textId="5F6AFE18" w:rsidR="00B52451" w:rsidRPr="00B52451" w:rsidRDefault="00B52451" w:rsidP="00505BE0">
      <w:pPr>
        <w:pStyle w:val="ListParagraph"/>
        <w:numPr>
          <w:ilvl w:val="0"/>
          <w:numId w:val="6"/>
        </w:numPr>
        <w:jc w:val="both"/>
        <w:rPr>
          <w:rFonts w:asciiTheme="minorHAnsi" w:hAnsiTheme="minorHAnsi" w:cstheme="minorHAnsi"/>
          <w:szCs w:val="24"/>
          <w:u w:val="single"/>
        </w:rPr>
      </w:pPr>
      <w:r w:rsidRPr="007518E4">
        <w:rPr>
          <w:rFonts w:asciiTheme="minorHAnsi" w:hAnsiTheme="minorHAnsi" w:cstheme="minorHAnsi"/>
          <w:b/>
          <w:szCs w:val="24"/>
        </w:rPr>
        <w:t>Messengers</w:t>
      </w:r>
      <w:r w:rsidRPr="007518E4">
        <w:rPr>
          <w:rFonts w:asciiTheme="minorHAnsi" w:hAnsiTheme="minorHAnsi" w:cstheme="minorHAnsi"/>
          <w:szCs w:val="24"/>
        </w:rPr>
        <w:t xml:space="preserve"> are likely to be a key lever</w:t>
      </w:r>
      <w:r w:rsidR="006D7BB4" w:rsidRPr="007518E4">
        <w:rPr>
          <w:rFonts w:asciiTheme="minorHAnsi" w:hAnsiTheme="minorHAnsi" w:cstheme="minorHAnsi"/>
          <w:szCs w:val="24"/>
        </w:rPr>
        <w:t xml:space="preserve"> in the case of TAR. Behaviour c</w:t>
      </w:r>
      <w:r w:rsidRPr="007518E4">
        <w:rPr>
          <w:rFonts w:asciiTheme="minorHAnsi" w:hAnsiTheme="minorHAnsi" w:cstheme="minorHAnsi"/>
          <w:szCs w:val="24"/>
        </w:rPr>
        <w:t>hange theory argues that the same message will have a stronger impact if it comes from a source that those</w:t>
      </w:r>
      <w:r w:rsidRPr="00B52451">
        <w:rPr>
          <w:rFonts w:asciiTheme="minorHAnsi" w:hAnsiTheme="minorHAnsi" w:cstheme="minorHAnsi"/>
          <w:szCs w:val="24"/>
        </w:rPr>
        <w:t xml:space="preserve"> targeted consider an expert </w:t>
      </w:r>
      <w:r w:rsidR="006D7BB4">
        <w:rPr>
          <w:rFonts w:asciiTheme="minorHAnsi" w:hAnsiTheme="minorHAnsi" w:cstheme="minorHAnsi"/>
          <w:szCs w:val="24"/>
        </w:rPr>
        <w:t xml:space="preserve">with authority </w:t>
      </w:r>
      <w:r w:rsidRPr="00B52451">
        <w:rPr>
          <w:rFonts w:asciiTheme="minorHAnsi" w:hAnsiTheme="minorHAnsi" w:cstheme="minorHAnsi"/>
          <w:szCs w:val="24"/>
        </w:rPr>
        <w:t>and/or part of their peer group. Both are unlikely to apply in the case of government communicating to busine</w:t>
      </w:r>
      <w:r w:rsidR="006D7BB4">
        <w:rPr>
          <w:rFonts w:asciiTheme="minorHAnsi" w:hAnsiTheme="minorHAnsi" w:cstheme="minorHAnsi"/>
          <w:szCs w:val="24"/>
        </w:rPr>
        <w:t>ss. On the other hand, business-to-</w:t>
      </w:r>
      <w:r w:rsidRPr="00B52451">
        <w:rPr>
          <w:rFonts w:asciiTheme="minorHAnsi" w:hAnsiTheme="minorHAnsi" w:cstheme="minorHAnsi"/>
          <w:szCs w:val="24"/>
        </w:rPr>
        <w:t xml:space="preserve">business communication is much more promising in the </w:t>
      </w:r>
      <w:r w:rsidR="006D7BB4">
        <w:rPr>
          <w:rFonts w:asciiTheme="minorHAnsi" w:hAnsiTheme="minorHAnsi" w:cstheme="minorHAnsi"/>
          <w:szCs w:val="24"/>
        </w:rPr>
        <w:t>case of TAR, as supported by Department of Health’</w:t>
      </w:r>
      <w:r w:rsidRPr="00B52451">
        <w:rPr>
          <w:rFonts w:asciiTheme="minorHAnsi" w:hAnsiTheme="minorHAnsi" w:cstheme="minorHAnsi"/>
          <w:szCs w:val="24"/>
        </w:rPr>
        <w:t>s</w:t>
      </w:r>
      <w:r w:rsidR="006D7BB4">
        <w:rPr>
          <w:rFonts w:asciiTheme="minorHAnsi" w:hAnsiTheme="minorHAnsi" w:cstheme="minorHAnsi"/>
          <w:szCs w:val="24"/>
        </w:rPr>
        <w:t xml:space="preserve"> (DH)</w:t>
      </w:r>
      <w:r w:rsidRPr="00B52451">
        <w:rPr>
          <w:rFonts w:asciiTheme="minorHAnsi" w:hAnsiTheme="minorHAnsi" w:cstheme="minorHAnsi"/>
          <w:szCs w:val="24"/>
        </w:rPr>
        <w:t xml:space="preserve"> advice on the </w:t>
      </w:r>
      <w:r w:rsidR="006D7BB4">
        <w:rPr>
          <w:rFonts w:asciiTheme="minorHAnsi" w:hAnsiTheme="minorHAnsi" w:cstheme="minorHAnsi"/>
          <w:szCs w:val="24"/>
        </w:rPr>
        <w:t>Public Health Responsibility Deal (</w:t>
      </w:r>
      <w:r w:rsidRPr="00B52451">
        <w:rPr>
          <w:rFonts w:asciiTheme="minorHAnsi" w:hAnsiTheme="minorHAnsi" w:cstheme="minorHAnsi"/>
          <w:szCs w:val="24"/>
        </w:rPr>
        <w:t>PHRD</w:t>
      </w:r>
      <w:r w:rsidR="006D7BB4">
        <w:rPr>
          <w:rFonts w:asciiTheme="minorHAnsi" w:hAnsiTheme="minorHAnsi" w:cstheme="minorHAnsi"/>
          <w:szCs w:val="24"/>
        </w:rPr>
        <w:t>). Importantly, business-to-</w:t>
      </w:r>
      <w:r w:rsidRPr="00B52451">
        <w:rPr>
          <w:rFonts w:asciiTheme="minorHAnsi" w:hAnsiTheme="minorHAnsi" w:cstheme="minorHAnsi"/>
          <w:szCs w:val="24"/>
        </w:rPr>
        <w:t>business communication is only likely to be successful for similar businesses</w:t>
      </w:r>
      <w:r w:rsidR="006D7BB4">
        <w:rPr>
          <w:rFonts w:asciiTheme="minorHAnsi" w:hAnsiTheme="minorHAnsi" w:cstheme="minorHAnsi"/>
          <w:szCs w:val="24"/>
        </w:rPr>
        <w:t>, for instance in relation to business size</w:t>
      </w:r>
      <w:r w:rsidRPr="00B52451">
        <w:rPr>
          <w:rFonts w:asciiTheme="minorHAnsi" w:hAnsiTheme="minorHAnsi" w:cstheme="minorHAnsi"/>
          <w:szCs w:val="24"/>
        </w:rPr>
        <w:t xml:space="preserve"> but it also appears plausible </w:t>
      </w:r>
      <w:r w:rsidR="006D7BB4">
        <w:rPr>
          <w:rFonts w:asciiTheme="minorHAnsi" w:hAnsiTheme="minorHAnsi" w:cstheme="minorHAnsi"/>
          <w:szCs w:val="24"/>
        </w:rPr>
        <w:t xml:space="preserve">in terms of business </w:t>
      </w:r>
      <w:r w:rsidRPr="00B52451">
        <w:rPr>
          <w:rFonts w:asciiTheme="minorHAnsi" w:hAnsiTheme="minorHAnsi" w:cstheme="minorHAnsi"/>
          <w:szCs w:val="24"/>
        </w:rPr>
        <w:t>sectors.</w:t>
      </w:r>
    </w:p>
    <w:p w14:paraId="7ACCAE2C" w14:textId="77777777" w:rsidR="00B52451" w:rsidRPr="00B52451" w:rsidRDefault="00B52451" w:rsidP="00B52451">
      <w:pPr>
        <w:pStyle w:val="ListParagraph"/>
        <w:jc w:val="both"/>
        <w:rPr>
          <w:rFonts w:asciiTheme="minorHAnsi" w:hAnsiTheme="minorHAnsi" w:cstheme="minorHAnsi"/>
          <w:szCs w:val="24"/>
          <w:u w:val="single"/>
        </w:rPr>
      </w:pPr>
    </w:p>
    <w:p w14:paraId="4F2B1EBF" w14:textId="3EFDDB83" w:rsidR="00B52451" w:rsidRPr="00B52451" w:rsidRDefault="00B52451" w:rsidP="00505BE0">
      <w:pPr>
        <w:pStyle w:val="ListParagraph"/>
        <w:numPr>
          <w:ilvl w:val="0"/>
          <w:numId w:val="6"/>
        </w:numPr>
        <w:jc w:val="both"/>
        <w:rPr>
          <w:rFonts w:asciiTheme="minorHAnsi" w:hAnsiTheme="minorHAnsi" w:cstheme="minorHAnsi"/>
          <w:szCs w:val="24"/>
          <w:u w:val="single"/>
        </w:rPr>
      </w:pPr>
      <w:r w:rsidRPr="00B52451">
        <w:rPr>
          <w:rFonts w:asciiTheme="minorHAnsi" w:hAnsiTheme="minorHAnsi"/>
          <w:b/>
          <w:szCs w:val="24"/>
        </w:rPr>
        <w:t>Norms</w:t>
      </w:r>
      <w:r w:rsidRPr="00B52451">
        <w:rPr>
          <w:rFonts w:asciiTheme="minorHAnsi" w:hAnsiTheme="minorHAnsi"/>
          <w:szCs w:val="24"/>
        </w:rPr>
        <w:t>, in the sense of behavioural</w:t>
      </w:r>
      <w:r w:rsidR="006D7BB4">
        <w:rPr>
          <w:rFonts w:asciiTheme="minorHAnsi" w:hAnsiTheme="minorHAnsi"/>
          <w:szCs w:val="24"/>
        </w:rPr>
        <w:t xml:space="preserve"> research</w:t>
      </w:r>
      <w:r w:rsidRPr="00B52451">
        <w:rPr>
          <w:rFonts w:asciiTheme="minorHAnsi" w:hAnsiTheme="minorHAnsi"/>
          <w:szCs w:val="24"/>
        </w:rPr>
        <w:t>, are another key lever in the case of TAR. In this case, they refer to the desire of businesses and their executives to emulate the behaviour of those they consider to be their peers, even where this does not generate tangible business ben</w:t>
      </w:r>
      <w:r w:rsidR="006D7BB4">
        <w:rPr>
          <w:rFonts w:asciiTheme="minorHAnsi" w:hAnsiTheme="minorHAnsi"/>
          <w:szCs w:val="24"/>
        </w:rPr>
        <w:t>efit. A</w:t>
      </w:r>
      <w:r w:rsidRPr="00B52451">
        <w:rPr>
          <w:rFonts w:asciiTheme="minorHAnsi" w:hAnsiTheme="minorHAnsi"/>
          <w:szCs w:val="24"/>
        </w:rPr>
        <w:t>n important consideration is the definition of the peer group.</w:t>
      </w:r>
      <w:r w:rsidR="006D7BB4">
        <w:rPr>
          <w:rStyle w:val="FootnoteReference"/>
          <w:rFonts w:asciiTheme="minorHAnsi" w:hAnsiTheme="minorHAnsi"/>
          <w:szCs w:val="24"/>
        </w:rPr>
        <w:footnoteReference w:id="25"/>
      </w:r>
      <w:r w:rsidRPr="00B52451">
        <w:rPr>
          <w:rFonts w:asciiTheme="minorHAnsi" w:hAnsiTheme="minorHAnsi"/>
          <w:szCs w:val="24"/>
        </w:rPr>
        <w:t xml:space="preserve"> Specifically, if the group is defined narrowly in terms of sector and business size, tipping points should be easier to reach and communicate to those companies who </w:t>
      </w:r>
      <w:r w:rsidR="006D7BB4">
        <w:rPr>
          <w:rFonts w:asciiTheme="minorHAnsi" w:hAnsiTheme="minorHAnsi"/>
          <w:szCs w:val="24"/>
        </w:rPr>
        <w:t xml:space="preserve">currently </w:t>
      </w:r>
      <w:r w:rsidRPr="00B52451">
        <w:rPr>
          <w:rFonts w:asciiTheme="minorHAnsi" w:hAnsiTheme="minorHAnsi"/>
          <w:szCs w:val="24"/>
        </w:rPr>
        <w:t>remain outside of TAR.</w:t>
      </w:r>
    </w:p>
    <w:p w14:paraId="009E8B70" w14:textId="77777777" w:rsidR="00B52451" w:rsidRPr="00B52451" w:rsidRDefault="00B52451" w:rsidP="00B52451">
      <w:pPr>
        <w:pStyle w:val="ListParagraph"/>
        <w:rPr>
          <w:rFonts w:asciiTheme="minorHAnsi" w:hAnsiTheme="minorHAnsi"/>
          <w:szCs w:val="24"/>
        </w:rPr>
      </w:pPr>
    </w:p>
    <w:p w14:paraId="79C8C07B" w14:textId="30F5B4B3" w:rsidR="00764226" w:rsidRPr="00284D79" w:rsidRDefault="00B52451" w:rsidP="00505BE0">
      <w:pPr>
        <w:pStyle w:val="ListParagraph"/>
        <w:numPr>
          <w:ilvl w:val="0"/>
          <w:numId w:val="6"/>
        </w:numPr>
        <w:jc w:val="both"/>
        <w:rPr>
          <w:rFonts w:asciiTheme="minorHAnsi" w:hAnsiTheme="minorHAnsi" w:cstheme="minorHAnsi"/>
          <w:szCs w:val="24"/>
          <w:u w:val="single"/>
        </w:rPr>
      </w:pPr>
      <w:proofErr w:type="gramStart"/>
      <w:r w:rsidRPr="00B52451">
        <w:rPr>
          <w:rFonts w:asciiTheme="minorHAnsi" w:hAnsiTheme="minorHAnsi"/>
          <w:b/>
          <w:szCs w:val="24"/>
        </w:rPr>
        <w:t>Salience</w:t>
      </w:r>
      <w:r w:rsidR="006D7BB4" w:rsidRPr="006D7BB4">
        <w:rPr>
          <w:rFonts w:asciiTheme="minorHAnsi" w:hAnsiTheme="minorHAnsi"/>
          <w:szCs w:val="24"/>
        </w:rPr>
        <w:t>,</w:t>
      </w:r>
      <w:proofErr w:type="gramEnd"/>
      <w:r w:rsidRPr="006D7BB4">
        <w:rPr>
          <w:rFonts w:asciiTheme="minorHAnsi" w:hAnsiTheme="minorHAnsi"/>
          <w:szCs w:val="24"/>
        </w:rPr>
        <w:t xml:space="preserve"> </w:t>
      </w:r>
      <w:r w:rsidRPr="00B52451">
        <w:rPr>
          <w:rFonts w:asciiTheme="minorHAnsi" w:hAnsiTheme="minorHAnsi"/>
          <w:szCs w:val="24"/>
        </w:rPr>
        <w:t>or the lack thereof</w:t>
      </w:r>
      <w:r w:rsidR="006D7BB4">
        <w:rPr>
          <w:rFonts w:asciiTheme="minorHAnsi" w:hAnsiTheme="minorHAnsi"/>
          <w:szCs w:val="24"/>
        </w:rPr>
        <w:t>,</w:t>
      </w:r>
      <w:r w:rsidRPr="00B52451">
        <w:rPr>
          <w:rFonts w:asciiTheme="minorHAnsi" w:hAnsiTheme="minorHAnsi"/>
          <w:szCs w:val="24"/>
        </w:rPr>
        <w:t xml:space="preserve"> is rele</w:t>
      </w:r>
      <w:r w:rsidR="006D7BB4">
        <w:rPr>
          <w:rFonts w:asciiTheme="minorHAnsi" w:hAnsiTheme="minorHAnsi"/>
          <w:szCs w:val="24"/>
        </w:rPr>
        <w:t>vant to TAR with regard to the ‘crowded field’</w:t>
      </w:r>
      <w:r w:rsidRPr="00B52451">
        <w:rPr>
          <w:rFonts w:asciiTheme="minorHAnsi" w:hAnsiTheme="minorHAnsi"/>
          <w:szCs w:val="24"/>
        </w:rPr>
        <w:t xml:space="preserve"> problem highlighted by policy leads. To the most advanced Leaders, there appears to be little setting TAR apart from other initiatives and volun</w:t>
      </w:r>
      <w:r w:rsidR="006D7BB4">
        <w:rPr>
          <w:rFonts w:asciiTheme="minorHAnsi" w:hAnsiTheme="minorHAnsi"/>
          <w:szCs w:val="24"/>
        </w:rPr>
        <w:t xml:space="preserve">tary agreements offered by </w:t>
      </w:r>
      <w:r w:rsidR="006D7BB4">
        <w:rPr>
          <w:rFonts w:asciiTheme="minorHAnsi" w:hAnsiTheme="minorHAnsi"/>
          <w:szCs w:val="24"/>
        </w:rPr>
        <w:lastRenderedPageBreak/>
        <w:t>the so-called equalities industry. Such crow</w:t>
      </w:r>
      <w:r w:rsidR="000042F3">
        <w:rPr>
          <w:rFonts w:asciiTheme="minorHAnsi" w:hAnsiTheme="minorHAnsi"/>
          <w:szCs w:val="24"/>
        </w:rPr>
        <w:t>d</w:t>
      </w:r>
      <w:r w:rsidR="006D7BB4">
        <w:rPr>
          <w:rFonts w:asciiTheme="minorHAnsi" w:hAnsiTheme="minorHAnsi"/>
          <w:szCs w:val="24"/>
        </w:rPr>
        <w:t xml:space="preserve">ing </w:t>
      </w:r>
      <w:r w:rsidRPr="00B52451">
        <w:rPr>
          <w:rFonts w:asciiTheme="minorHAnsi" w:hAnsiTheme="minorHAnsi"/>
          <w:szCs w:val="24"/>
        </w:rPr>
        <w:t xml:space="preserve">is likely to result in a lower </w:t>
      </w:r>
      <w:r w:rsidR="00E1775B">
        <w:rPr>
          <w:rFonts w:asciiTheme="minorHAnsi" w:hAnsiTheme="minorHAnsi"/>
          <w:szCs w:val="24"/>
        </w:rPr>
        <w:t>priority being given to</w:t>
      </w:r>
      <w:r w:rsidRPr="00B52451">
        <w:rPr>
          <w:rFonts w:asciiTheme="minorHAnsi" w:hAnsiTheme="minorHAnsi"/>
          <w:szCs w:val="24"/>
        </w:rPr>
        <w:t xml:space="preserve"> sig</w:t>
      </w:r>
      <w:r w:rsidR="00E1775B">
        <w:rPr>
          <w:rFonts w:asciiTheme="minorHAnsi" w:hAnsiTheme="minorHAnsi"/>
          <w:szCs w:val="24"/>
        </w:rPr>
        <w:t>ning up, tipping</w:t>
      </w:r>
      <w:r w:rsidRPr="00B52451">
        <w:rPr>
          <w:rFonts w:asciiTheme="minorHAnsi" w:hAnsiTheme="minorHAnsi"/>
          <w:szCs w:val="24"/>
        </w:rPr>
        <w:t xml:space="preserve"> decisions against signing up. </w:t>
      </w:r>
      <w:r w:rsidR="00E1775B">
        <w:rPr>
          <w:rFonts w:asciiTheme="minorHAnsi" w:hAnsiTheme="minorHAnsi"/>
          <w:szCs w:val="24"/>
        </w:rPr>
        <w:t xml:space="preserve">One response would be to raise the bar for firms in terms of what is expected of them from TAR membership: setting the bar too low can unintentionally signal that little is being lost in not joining. </w:t>
      </w:r>
      <w:r w:rsidRPr="00B52451">
        <w:rPr>
          <w:rFonts w:asciiTheme="minorHAnsi" w:hAnsiTheme="minorHAnsi"/>
          <w:szCs w:val="24"/>
        </w:rPr>
        <w:t>Direct ministerial contact has been identified by policy-leads as something unique to TAR and effective in creating business interest. Any other refinements making use of this lever should equally make use of things that are only available to government. Stronger link</w:t>
      </w:r>
      <w:r w:rsidR="00E1775B">
        <w:rPr>
          <w:rFonts w:asciiTheme="minorHAnsi" w:hAnsiTheme="minorHAnsi"/>
          <w:szCs w:val="24"/>
        </w:rPr>
        <w:t>ages of TAR to Equal Pay Audits/</w:t>
      </w:r>
      <w:r w:rsidRPr="00B52451">
        <w:rPr>
          <w:rFonts w:asciiTheme="minorHAnsi" w:hAnsiTheme="minorHAnsi"/>
          <w:szCs w:val="24"/>
        </w:rPr>
        <w:t>Equal Pay</w:t>
      </w:r>
      <w:r w:rsidR="00BE161F">
        <w:rPr>
          <w:rFonts w:asciiTheme="minorHAnsi" w:hAnsiTheme="minorHAnsi"/>
          <w:szCs w:val="24"/>
        </w:rPr>
        <w:t xml:space="preserve"> law are an obvious advantage</w:t>
      </w:r>
      <w:r w:rsidRPr="00B52451">
        <w:rPr>
          <w:rFonts w:asciiTheme="minorHAnsi" w:hAnsiTheme="minorHAnsi"/>
          <w:szCs w:val="24"/>
        </w:rPr>
        <w:t xml:space="preserve">, but </w:t>
      </w:r>
      <w:r w:rsidR="00BE161F">
        <w:rPr>
          <w:rFonts w:asciiTheme="minorHAnsi" w:hAnsiTheme="minorHAnsi"/>
          <w:szCs w:val="24"/>
        </w:rPr>
        <w:t xml:space="preserve">this </w:t>
      </w:r>
      <w:r w:rsidRPr="00B52451">
        <w:rPr>
          <w:rFonts w:asciiTheme="minorHAnsi" w:hAnsiTheme="minorHAnsi"/>
          <w:szCs w:val="24"/>
        </w:rPr>
        <w:t>would depend on careful framing and political willingness to connect them directly.</w:t>
      </w:r>
    </w:p>
    <w:p w14:paraId="1CD38602" w14:textId="77777777" w:rsidR="00764226" w:rsidRDefault="00764226" w:rsidP="00764226">
      <w:pPr>
        <w:pStyle w:val="Heading2"/>
        <w:ind w:left="720"/>
      </w:pPr>
    </w:p>
    <w:p w14:paraId="6B7BE8A3" w14:textId="3E3705A3" w:rsidR="007A4264" w:rsidRPr="00A842BF" w:rsidRDefault="00A842BF" w:rsidP="00A842BF">
      <w:pPr>
        <w:pStyle w:val="Heading2"/>
      </w:pPr>
      <w:bookmarkStart w:id="12" w:name="_Toc378323556"/>
      <w:r>
        <w:t xml:space="preserve">3.2 </w:t>
      </w:r>
      <w:r w:rsidR="007A4264" w:rsidRPr="00A842BF">
        <w:t>Engaging with smaller business</w:t>
      </w:r>
      <w:r w:rsidR="00AF3B9F" w:rsidRPr="00A842BF">
        <w:t>es</w:t>
      </w:r>
      <w:bookmarkEnd w:id="12"/>
    </w:p>
    <w:p w14:paraId="4278457E" w14:textId="77777777" w:rsidR="007A4264" w:rsidRDefault="007A4264" w:rsidP="007A4264">
      <w:pPr>
        <w:pStyle w:val="ListParagraph"/>
        <w:spacing w:line="240" w:lineRule="auto"/>
        <w:jc w:val="both"/>
        <w:rPr>
          <w:rFonts w:asciiTheme="minorHAnsi" w:hAnsiTheme="minorHAnsi" w:cstheme="minorHAnsi"/>
          <w:szCs w:val="24"/>
        </w:rPr>
      </w:pPr>
    </w:p>
    <w:p w14:paraId="1B0EC3D9" w14:textId="6CAB8D52" w:rsidR="007A4264" w:rsidRPr="000E1A8D" w:rsidRDefault="00313A50" w:rsidP="00505BE0">
      <w:pPr>
        <w:pStyle w:val="ListParagraph"/>
        <w:numPr>
          <w:ilvl w:val="0"/>
          <w:numId w:val="6"/>
        </w:numPr>
        <w:spacing w:line="240" w:lineRule="auto"/>
        <w:jc w:val="both"/>
        <w:rPr>
          <w:rFonts w:asciiTheme="minorHAnsi" w:hAnsiTheme="minorHAnsi" w:cstheme="minorHAnsi"/>
          <w:szCs w:val="24"/>
        </w:rPr>
      </w:pPr>
      <w:r>
        <w:rPr>
          <w:rFonts w:asciiTheme="minorHAnsi" w:hAnsiTheme="minorHAnsi" w:cstheme="minorHAnsi"/>
          <w:szCs w:val="24"/>
        </w:rPr>
        <w:t xml:space="preserve">This policy area </w:t>
      </w:r>
      <w:r w:rsidR="00006E19">
        <w:rPr>
          <w:rFonts w:asciiTheme="minorHAnsi" w:hAnsiTheme="minorHAnsi" w:cstheme="minorHAnsi"/>
          <w:szCs w:val="24"/>
        </w:rPr>
        <w:t>gives an illustrative example of</w:t>
      </w:r>
      <w:r>
        <w:rPr>
          <w:rFonts w:asciiTheme="minorHAnsi" w:hAnsiTheme="minorHAnsi" w:cstheme="minorHAnsi"/>
          <w:szCs w:val="24"/>
        </w:rPr>
        <w:t xml:space="preserve"> the use of behaviour change insights as a sense-checking and positioning tool in an area where the policy process is well advanced, legislation is set, and </w:t>
      </w:r>
      <w:r w:rsidR="009415BE">
        <w:rPr>
          <w:rFonts w:asciiTheme="minorHAnsi" w:hAnsiTheme="minorHAnsi" w:cstheme="minorHAnsi"/>
          <w:szCs w:val="24"/>
        </w:rPr>
        <w:t xml:space="preserve">options for substantive change are thus limited. </w:t>
      </w:r>
      <w:r w:rsidR="007A4264" w:rsidRPr="000E1A8D">
        <w:rPr>
          <w:rFonts w:asciiTheme="minorHAnsi" w:hAnsiTheme="minorHAnsi" w:cstheme="minorHAnsi"/>
          <w:szCs w:val="24"/>
        </w:rPr>
        <w:t>In</w:t>
      </w:r>
      <w:r w:rsidR="00006E19">
        <w:rPr>
          <w:rFonts w:asciiTheme="minorHAnsi" w:hAnsiTheme="minorHAnsi" w:cstheme="minorHAnsi"/>
          <w:szCs w:val="24"/>
        </w:rPr>
        <w:t xml:space="preserve"> an early iteration of</w:t>
      </w:r>
      <w:r w:rsidR="007A4264" w:rsidRPr="000E1A8D">
        <w:rPr>
          <w:rFonts w:asciiTheme="minorHAnsi" w:hAnsiTheme="minorHAnsi" w:cstheme="minorHAnsi"/>
          <w:szCs w:val="24"/>
        </w:rPr>
        <w:t xml:space="preserve"> its private se</w:t>
      </w:r>
      <w:r w:rsidR="007A4264">
        <w:rPr>
          <w:rFonts w:asciiTheme="minorHAnsi" w:hAnsiTheme="minorHAnsi" w:cstheme="minorHAnsi"/>
          <w:szCs w:val="24"/>
        </w:rPr>
        <w:t>ctor strategy, the E</w:t>
      </w:r>
      <w:r w:rsidR="00006E19">
        <w:rPr>
          <w:rFonts w:asciiTheme="minorHAnsi" w:hAnsiTheme="minorHAnsi" w:cstheme="minorHAnsi"/>
          <w:szCs w:val="24"/>
        </w:rPr>
        <w:t>quality and Human Rights Commission (E</w:t>
      </w:r>
      <w:r w:rsidR="007A4264">
        <w:rPr>
          <w:rFonts w:asciiTheme="minorHAnsi" w:hAnsiTheme="minorHAnsi" w:cstheme="minorHAnsi"/>
          <w:szCs w:val="24"/>
        </w:rPr>
        <w:t>HRC</w:t>
      </w:r>
      <w:r w:rsidR="00006E19">
        <w:rPr>
          <w:rFonts w:asciiTheme="minorHAnsi" w:hAnsiTheme="minorHAnsi" w:cstheme="minorHAnsi"/>
          <w:szCs w:val="24"/>
        </w:rPr>
        <w:t>)</w:t>
      </w:r>
      <w:r w:rsidR="007A4264">
        <w:rPr>
          <w:rFonts w:asciiTheme="minorHAnsi" w:hAnsiTheme="minorHAnsi" w:cstheme="minorHAnsi"/>
          <w:szCs w:val="24"/>
        </w:rPr>
        <w:t xml:space="preserve"> recognis</w:t>
      </w:r>
      <w:r w:rsidR="007A4264" w:rsidRPr="000E1A8D">
        <w:rPr>
          <w:rFonts w:asciiTheme="minorHAnsi" w:hAnsiTheme="minorHAnsi" w:cstheme="minorHAnsi"/>
          <w:szCs w:val="24"/>
        </w:rPr>
        <w:t xml:space="preserve">es that large, small and medium sized enterprises are likely to have different needs, and that it needs to reach all of these audiences. However, as one of its primary tools for business engagement, the strategy recommends a Business </w:t>
      </w:r>
      <w:r w:rsidR="00161C05">
        <w:rPr>
          <w:rFonts w:asciiTheme="minorHAnsi" w:hAnsiTheme="minorHAnsi" w:cstheme="minorHAnsi"/>
          <w:szCs w:val="24"/>
        </w:rPr>
        <w:t xml:space="preserve">Association </w:t>
      </w:r>
      <w:r w:rsidR="007A4264" w:rsidRPr="000E1A8D">
        <w:rPr>
          <w:rFonts w:asciiTheme="minorHAnsi" w:hAnsiTheme="minorHAnsi" w:cstheme="minorHAnsi"/>
          <w:szCs w:val="24"/>
        </w:rPr>
        <w:t xml:space="preserve">Advisory Group </w:t>
      </w:r>
      <w:r w:rsidR="00161C05">
        <w:rPr>
          <w:rFonts w:asciiTheme="minorHAnsi" w:hAnsiTheme="minorHAnsi" w:cstheme="minorHAnsi"/>
          <w:szCs w:val="24"/>
        </w:rPr>
        <w:t xml:space="preserve">(BAAG) </w:t>
      </w:r>
      <w:r w:rsidR="007A4264" w:rsidRPr="000E1A8D">
        <w:rPr>
          <w:rFonts w:asciiTheme="minorHAnsi" w:hAnsiTheme="minorHAnsi" w:cstheme="minorHAnsi"/>
          <w:szCs w:val="24"/>
        </w:rPr>
        <w:t xml:space="preserve">consisting of senior executives or chief executives from FTSE350 </w:t>
      </w:r>
      <w:r w:rsidR="007A4264">
        <w:rPr>
          <w:rFonts w:asciiTheme="minorHAnsi" w:hAnsiTheme="minorHAnsi" w:cstheme="minorHAnsi"/>
          <w:szCs w:val="24"/>
        </w:rPr>
        <w:t>companies that</w:t>
      </w:r>
      <w:r w:rsidR="007A4264" w:rsidRPr="000E1A8D">
        <w:rPr>
          <w:rFonts w:asciiTheme="minorHAnsi" w:hAnsiTheme="minorHAnsi" w:cstheme="minorHAnsi"/>
          <w:szCs w:val="24"/>
        </w:rPr>
        <w:t xml:space="preserve"> have a reputation as “leaders in equality and human rights issues”. These companies are described as “most likely to drive change in their sectors, particularly in large and medium sized companies”. </w:t>
      </w:r>
    </w:p>
    <w:p w14:paraId="207C23D7" w14:textId="77777777" w:rsidR="007A4264" w:rsidRPr="000E1A8D" w:rsidRDefault="007A4264" w:rsidP="007A4264">
      <w:pPr>
        <w:pStyle w:val="ListParagraph"/>
        <w:spacing w:line="240" w:lineRule="auto"/>
        <w:jc w:val="both"/>
        <w:rPr>
          <w:rFonts w:asciiTheme="minorHAnsi" w:hAnsiTheme="minorHAnsi" w:cstheme="minorHAnsi"/>
          <w:szCs w:val="24"/>
        </w:rPr>
      </w:pPr>
    </w:p>
    <w:p w14:paraId="5577B7EF" w14:textId="51E48240" w:rsidR="007A4264" w:rsidRPr="000E1A8D" w:rsidRDefault="007A4264" w:rsidP="00505BE0">
      <w:pPr>
        <w:pStyle w:val="ListParagraph"/>
        <w:numPr>
          <w:ilvl w:val="0"/>
          <w:numId w:val="6"/>
        </w:numPr>
        <w:spacing w:line="240" w:lineRule="auto"/>
        <w:jc w:val="both"/>
        <w:rPr>
          <w:rFonts w:asciiTheme="minorHAnsi" w:hAnsiTheme="minorHAnsi" w:cstheme="minorHAnsi"/>
          <w:szCs w:val="24"/>
        </w:rPr>
      </w:pPr>
      <w:r w:rsidRPr="000E1A8D">
        <w:rPr>
          <w:rFonts w:asciiTheme="minorHAnsi" w:hAnsiTheme="minorHAnsi" w:cstheme="minorHAnsi"/>
          <w:szCs w:val="24"/>
        </w:rPr>
        <w:t>However, recent experience from GEO policy delivery and business engagement suggests that senior executives from large companies that are leading on best pract</w:t>
      </w:r>
      <w:r>
        <w:rPr>
          <w:rFonts w:asciiTheme="minorHAnsi" w:hAnsiTheme="minorHAnsi" w:cstheme="minorHAnsi"/>
          <w:szCs w:val="24"/>
        </w:rPr>
        <w:t>ice in equality</w:t>
      </w:r>
      <w:r w:rsidRPr="000E1A8D">
        <w:rPr>
          <w:rFonts w:asciiTheme="minorHAnsi" w:hAnsiTheme="minorHAnsi" w:cstheme="minorHAnsi"/>
          <w:szCs w:val="24"/>
        </w:rPr>
        <w:t xml:space="preserve"> issues may not be ideally positioned to drive change among </w:t>
      </w:r>
      <w:r w:rsidR="009415BE">
        <w:rPr>
          <w:rFonts w:asciiTheme="minorHAnsi" w:hAnsiTheme="minorHAnsi" w:cstheme="minorHAnsi"/>
          <w:szCs w:val="24"/>
        </w:rPr>
        <w:t>SMEs</w:t>
      </w:r>
      <w:r>
        <w:rPr>
          <w:rFonts w:asciiTheme="minorHAnsi" w:hAnsiTheme="minorHAnsi" w:cstheme="minorHAnsi"/>
          <w:szCs w:val="24"/>
        </w:rPr>
        <w:t>, which make up 47% of UK private sector employment</w:t>
      </w:r>
      <w:r w:rsidR="00113BCE">
        <w:rPr>
          <w:rFonts w:asciiTheme="minorHAnsi" w:hAnsiTheme="minorHAnsi" w:cstheme="minorHAnsi"/>
          <w:szCs w:val="24"/>
        </w:rPr>
        <w:t xml:space="preserve"> and the vast majority of companies and who are concerned about achieving minimum compliance</w:t>
      </w:r>
      <w:r w:rsidRPr="000E1A8D">
        <w:rPr>
          <w:rFonts w:asciiTheme="minorHAnsi" w:hAnsiTheme="minorHAnsi" w:cstheme="minorHAnsi"/>
          <w:szCs w:val="24"/>
        </w:rPr>
        <w:t>.</w:t>
      </w:r>
      <w:r>
        <w:rPr>
          <w:rStyle w:val="FootnoteReference"/>
          <w:rFonts w:asciiTheme="minorHAnsi" w:hAnsiTheme="minorHAnsi" w:cstheme="minorHAnsi"/>
        </w:rPr>
        <w:footnoteReference w:id="26"/>
      </w:r>
      <w:r w:rsidRPr="000E1A8D">
        <w:rPr>
          <w:rFonts w:asciiTheme="minorHAnsi" w:hAnsiTheme="minorHAnsi" w:cstheme="minorHAnsi"/>
          <w:szCs w:val="24"/>
        </w:rPr>
        <w:t xml:space="preserve"> This has been particularly evident in the context of the </w:t>
      </w:r>
      <w:r w:rsidRPr="0051077A">
        <w:rPr>
          <w:rFonts w:asciiTheme="minorHAnsi" w:hAnsiTheme="minorHAnsi" w:cstheme="minorHAnsi"/>
          <w:i/>
          <w:szCs w:val="24"/>
        </w:rPr>
        <w:t>Think, Act, Report</w:t>
      </w:r>
      <w:r>
        <w:rPr>
          <w:rFonts w:asciiTheme="minorHAnsi" w:hAnsiTheme="minorHAnsi" w:cstheme="minorHAnsi"/>
          <w:szCs w:val="24"/>
        </w:rPr>
        <w:t xml:space="preserve"> scheme</w:t>
      </w:r>
      <w:r w:rsidRPr="000E1A8D">
        <w:rPr>
          <w:rFonts w:asciiTheme="minorHAnsi" w:hAnsiTheme="minorHAnsi" w:cstheme="minorHAnsi"/>
          <w:szCs w:val="24"/>
        </w:rPr>
        <w:t>, which has thus far been limited to large companies, particularly those already leading on equal</w:t>
      </w:r>
      <w:r>
        <w:rPr>
          <w:rFonts w:asciiTheme="minorHAnsi" w:hAnsiTheme="minorHAnsi" w:cstheme="minorHAnsi"/>
          <w:szCs w:val="24"/>
        </w:rPr>
        <w:t xml:space="preserve"> pay. While </w:t>
      </w:r>
      <w:r w:rsidR="00113BCE">
        <w:rPr>
          <w:rFonts w:asciiTheme="minorHAnsi" w:hAnsiTheme="minorHAnsi" w:cstheme="minorHAnsi"/>
          <w:szCs w:val="24"/>
        </w:rPr>
        <w:t>the proposed BAAG w</w:t>
      </w:r>
      <w:r w:rsidR="00006E19">
        <w:rPr>
          <w:rFonts w:asciiTheme="minorHAnsi" w:hAnsiTheme="minorHAnsi" w:cstheme="minorHAnsi"/>
          <w:szCs w:val="24"/>
        </w:rPr>
        <w:t>ould</w:t>
      </w:r>
      <w:r w:rsidR="00113BCE">
        <w:rPr>
          <w:rFonts w:asciiTheme="minorHAnsi" w:hAnsiTheme="minorHAnsi" w:cstheme="minorHAnsi"/>
          <w:szCs w:val="24"/>
        </w:rPr>
        <w:t xml:space="preserve"> be beneficial in promoting </w:t>
      </w:r>
      <w:r w:rsidR="00A4304C">
        <w:rPr>
          <w:rFonts w:asciiTheme="minorHAnsi" w:hAnsiTheme="minorHAnsi" w:cstheme="minorHAnsi"/>
          <w:szCs w:val="24"/>
        </w:rPr>
        <w:t>best practice</w:t>
      </w:r>
      <w:r w:rsidR="00113BCE">
        <w:rPr>
          <w:rFonts w:asciiTheme="minorHAnsi" w:hAnsiTheme="minorHAnsi" w:cstheme="minorHAnsi"/>
          <w:szCs w:val="24"/>
        </w:rPr>
        <w:t xml:space="preserve"> among large companies</w:t>
      </w:r>
      <w:r w:rsidRPr="000E1A8D">
        <w:rPr>
          <w:rFonts w:asciiTheme="minorHAnsi" w:hAnsiTheme="minorHAnsi" w:cstheme="minorHAnsi"/>
          <w:szCs w:val="24"/>
        </w:rPr>
        <w:t>, wider change, particularly among SMEs, driven by</w:t>
      </w:r>
      <w:r w:rsidR="00006E19">
        <w:rPr>
          <w:rFonts w:asciiTheme="minorHAnsi" w:hAnsiTheme="minorHAnsi" w:cstheme="minorHAnsi"/>
          <w:szCs w:val="24"/>
        </w:rPr>
        <w:t xml:space="preserve"> the behaviour of</w:t>
      </w:r>
      <w:r w:rsidRPr="000E1A8D">
        <w:rPr>
          <w:rFonts w:asciiTheme="minorHAnsi" w:hAnsiTheme="minorHAnsi" w:cstheme="minorHAnsi"/>
          <w:szCs w:val="24"/>
        </w:rPr>
        <w:t xml:space="preserve"> </w:t>
      </w:r>
      <w:r w:rsidR="00006E19">
        <w:rPr>
          <w:rFonts w:asciiTheme="minorHAnsi" w:hAnsiTheme="minorHAnsi" w:cstheme="minorHAnsi"/>
          <w:szCs w:val="24"/>
        </w:rPr>
        <w:t xml:space="preserve">large companies </w:t>
      </w:r>
      <w:r w:rsidRPr="000E1A8D">
        <w:rPr>
          <w:rFonts w:asciiTheme="minorHAnsi" w:hAnsiTheme="minorHAnsi" w:cstheme="minorHAnsi"/>
          <w:szCs w:val="24"/>
        </w:rPr>
        <w:t>has thus far been</w:t>
      </w:r>
      <w:r>
        <w:rPr>
          <w:rFonts w:asciiTheme="minorHAnsi" w:hAnsiTheme="minorHAnsi" w:cstheme="minorHAnsi"/>
          <w:szCs w:val="24"/>
        </w:rPr>
        <w:t xml:space="preserve"> minimal</w:t>
      </w:r>
      <w:r w:rsidRPr="000E1A8D">
        <w:rPr>
          <w:rFonts w:asciiTheme="minorHAnsi" w:hAnsiTheme="minorHAnsi" w:cstheme="minorHAnsi"/>
          <w:szCs w:val="24"/>
        </w:rPr>
        <w:t xml:space="preserve">. As it is described, the EHRC’s planned </w:t>
      </w:r>
      <w:r w:rsidR="00161C05">
        <w:rPr>
          <w:rFonts w:asciiTheme="minorHAnsi" w:hAnsiTheme="minorHAnsi" w:cstheme="minorHAnsi"/>
          <w:szCs w:val="24"/>
        </w:rPr>
        <w:t xml:space="preserve">BAAG </w:t>
      </w:r>
      <w:r w:rsidRPr="000E1A8D">
        <w:rPr>
          <w:rFonts w:asciiTheme="minorHAnsi" w:hAnsiTheme="minorHAnsi" w:cstheme="minorHAnsi"/>
          <w:szCs w:val="24"/>
        </w:rPr>
        <w:t>faces a risk of replicating a similar ‘club’ of businesses which seize on an additional ability to showcase their equaliti</w:t>
      </w:r>
      <w:r>
        <w:rPr>
          <w:rFonts w:asciiTheme="minorHAnsi" w:hAnsiTheme="minorHAnsi" w:cstheme="minorHAnsi"/>
          <w:szCs w:val="24"/>
        </w:rPr>
        <w:t>es policies, but which are</w:t>
      </w:r>
      <w:r w:rsidR="00113BCE">
        <w:rPr>
          <w:rFonts w:asciiTheme="minorHAnsi" w:hAnsiTheme="minorHAnsi" w:cstheme="minorHAnsi"/>
          <w:szCs w:val="24"/>
        </w:rPr>
        <w:t xml:space="preserve"> likely</w:t>
      </w:r>
      <w:r>
        <w:rPr>
          <w:rFonts w:asciiTheme="minorHAnsi" w:hAnsiTheme="minorHAnsi" w:cstheme="minorHAnsi"/>
          <w:szCs w:val="24"/>
        </w:rPr>
        <w:t xml:space="preserve"> </w:t>
      </w:r>
      <w:r w:rsidR="00113BCE">
        <w:rPr>
          <w:rFonts w:asciiTheme="minorHAnsi" w:hAnsiTheme="minorHAnsi" w:cstheme="minorHAnsi"/>
          <w:szCs w:val="24"/>
        </w:rPr>
        <w:t>not suited</w:t>
      </w:r>
      <w:r w:rsidRPr="000E1A8D">
        <w:rPr>
          <w:rFonts w:asciiTheme="minorHAnsi" w:hAnsiTheme="minorHAnsi" w:cstheme="minorHAnsi"/>
          <w:szCs w:val="24"/>
        </w:rPr>
        <w:t xml:space="preserve"> as role mode</w:t>
      </w:r>
      <w:r>
        <w:rPr>
          <w:rFonts w:asciiTheme="minorHAnsi" w:hAnsiTheme="minorHAnsi" w:cstheme="minorHAnsi"/>
          <w:szCs w:val="24"/>
        </w:rPr>
        <w:t xml:space="preserve">ls for smaller </w:t>
      </w:r>
      <w:r w:rsidRPr="000E1A8D">
        <w:rPr>
          <w:rFonts w:asciiTheme="minorHAnsi" w:hAnsiTheme="minorHAnsi" w:cstheme="minorHAnsi"/>
          <w:szCs w:val="24"/>
        </w:rPr>
        <w:t>enterprises</w:t>
      </w:r>
      <w:r w:rsidR="00862FEF">
        <w:rPr>
          <w:rFonts w:asciiTheme="minorHAnsi" w:hAnsiTheme="minorHAnsi" w:cstheme="minorHAnsi"/>
          <w:szCs w:val="24"/>
        </w:rPr>
        <w:t xml:space="preserve"> with</w:t>
      </w:r>
      <w:r w:rsidR="00A4304C">
        <w:rPr>
          <w:rFonts w:asciiTheme="minorHAnsi" w:hAnsiTheme="minorHAnsi" w:cstheme="minorHAnsi"/>
          <w:szCs w:val="24"/>
        </w:rPr>
        <w:t xml:space="preserve"> more limited HR capacities </w:t>
      </w:r>
      <w:r w:rsidR="00862FEF">
        <w:rPr>
          <w:rFonts w:asciiTheme="minorHAnsi" w:hAnsiTheme="minorHAnsi" w:cstheme="minorHAnsi"/>
          <w:szCs w:val="24"/>
        </w:rPr>
        <w:t>and concerns</w:t>
      </w:r>
      <w:r w:rsidR="00A4304C">
        <w:rPr>
          <w:rFonts w:asciiTheme="minorHAnsi" w:hAnsiTheme="minorHAnsi" w:cstheme="minorHAnsi"/>
          <w:szCs w:val="24"/>
        </w:rPr>
        <w:t xml:space="preserve"> about achieving legal compliance rather than best practice</w:t>
      </w:r>
      <w:r w:rsidRPr="000E1A8D">
        <w:rPr>
          <w:rFonts w:asciiTheme="minorHAnsi" w:hAnsiTheme="minorHAnsi" w:cstheme="minorHAnsi"/>
          <w:szCs w:val="24"/>
        </w:rPr>
        <w:t xml:space="preserve">. </w:t>
      </w:r>
    </w:p>
    <w:p w14:paraId="6CD83AF1" w14:textId="77777777" w:rsidR="007A4264" w:rsidRPr="000E1A8D" w:rsidRDefault="007A4264" w:rsidP="007A4264">
      <w:pPr>
        <w:pStyle w:val="ListParagraph"/>
        <w:spacing w:line="240" w:lineRule="auto"/>
        <w:rPr>
          <w:rFonts w:asciiTheme="minorHAnsi" w:hAnsiTheme="minorHAnsi" w:cstheme="minorHAnsi"/>
          <w:szCs w:val="24"/>
        </w:rPr>
      </w:pPr>
    </w:p>
    <w:p w14:paraId="3E5A17B4" w14:textId="182985BF" w:rsidR="007A4264" w:rsidRDefault="00993067" w:rsidP="00505BE0">
      <w:pPr>
        <w:pStyle w:val="ListParagraph"/>
        <w:numPr>
          <w:ilvl w:val="0"/>
          <w:numId w:val="6"/>
        </w:numPr>
        <w:spacing w:line="240" w:lineRule="auto"/>
        <w:jc w:val="both"/>
        <w:rPr>
          <w:rFonts w:asciiTheme="minorHAnsi" w:hAnsiTheme="minorHAnsi" w:cstheme="minorHAnsi"/>
          <w:szCs w:val="24"/>
        </w:rPr>
      </w:pPr>
      <w:r>
        <w:rPr>
          <w:rFonts w:asciiTheme="minorHAnsi" w:hAnsiTheme="minorHAnsi" w:cstheme="minorHAnsi"/>
          <w:szCs w:val="24"/>
        </w:rPr>
        <w:lastRenderedPageBreak/>
        <w:t>Concerns</w:t>
      </w:r>
      <w:r w:rsidR="007A4264">
        <w:rPr>
          <w:rFonts w:asciiTheme="minorHAnsi" w:hAnsiTheme="minorHAnsi" w:cstheme="minorHAnsi"/>
          <w:szCs w:val="24"/>
        </w:rPr>
        <w:t xml:space="preserve"> about reaching out to SMEs through best practice</w:t>
      </w:r>
      <w:r w:rsidR="007A4264" w:rsidRPr="000E1A8D">
        <w:rPr>
          <w:rFonts w:asciiTheme="minorHAnsi" w:hAnsiTheme="minorHAnsi" w:cstheme="minorHAnsi"/>
          <w:szCs w:val="24"/>
        </w:rPr>
        <w:t xml:space="preserve"> examples</w:t>
      </w:r>
      <w:r w:rsidR="007A4264">
        <w:rPr>
          <w:rFonts w:asciiTheme="minorHAnsi" w:hAnsiTheme="minorHAnsi" w:cstheme="minorHAnsi"/>
          <w:szCs w:val="24"/>
        </w:rPr>
        <w:t xml:space="preserve"> have been confirmed by GEO’s own Private Sector Road S</w:t>
      </w:r>
      <w:r w:rsidR="007A4264" w:rsidRPr="000E1A8D">
        <w:rPr>
          <w:rFonts w:asciiTheme="minorHAnsi" w:hAnsiTheme="minorHAnsi" w:cstheme="minorHAnsi"/>
          <w:szCs w:val="24"/>
        </w:rPr>
        <w:t>hows</w:t>
      </w:r>
      <w:r w:rsidR="007A4264">
        <w:rPr>
          <w:rFonts w:asciiTheme="minorHAnsi" w:hAnsiTheme="minorHAnsi" w:cstheme="minorHAnsi"/>
          <w:szCs w:val="24"/>
        </w:rPr>
        <w:t xml:space="preserve"> which were held in partnership</w:t>
      </w:r>
      <w:r w:rsidR="007A4264" w:rsidRPr="000E1A8D">
        <w:rPr>
          <w:rFonts w:asciiTheme="minorHAnsi" w:hAnsiTheme="minorHAnsi" w:cstheme="minorHAnsi"/>
          <w:szCs w:val="24"/>
        </w:rPr>
        <w:t xml:space="preserve"> with the British Chambers of Commerce </w:t>
      </w:r>
      <w:r w:rsidR="007A4264">
        <w:rPr>
          <w:rFonts w:asciiTheme="minorHAnsi" w:hAnsiTheme="minorHAnsi" w:cstheme="minorHAnsi"/>
          <w:szCs w:val="24"/>
        </w:rPr>
        <w:t xml:space="preserve">(BCC) </w:t>
      </w:r>
      <w:r w:rsidR="007A4264" w:rsidRPr="000E1A8D">
        <w:rPr>
          <w:rFonts w:asciiTheme="minorHAnsi" w:hAnsiTheme="minorHAnsi" w:cstheme="minorHAnsi"/>
          <w:szCs w:val="24"/>
        </w:rPr>
        <w:t xml:space="preserve">in late 2012 and early 2013, and directed specifically at local SME employers. One </w:t>
      </w:r>
      <w:r w:rsidR="007A4264">
        <w:rPr>
          <w:rFonts w:asciiTheme="minorHAnsi" w:hAnsiTheme="minorHAnsi" w:cstheme="minorHAnsi"/>
          <w:szCs w:val="24"/>
        </w:rPr>
        <w:t>of the key outcomes from these R</w:t>
      </w:r>
      <w:r w:rsidR="007A4264" w:rsidRPr="000E1A8D">
        <w:rPr>
          <w:rFonts w:asciiTheme="minorHAnsi" w:hAnsiTheme="minorHAnsi" w:cstheme="minorHAnsi"/>
          <w:szCs w:val="24"/>
        </w:rPr>
        <w:t xml:space="preserve">oundtables was that SMEs were generally in favour of the principles enshrined in equalities legislation, but concerned about their ability to achieve compliance. </w:t>
      </w:r>
    </w:p>
    <w:p w14:paraId="214C1A4D" w14:textId="77777777" w:rsidR="007A4264" w:rsidRPr="0051077A" w:rsidRDefault="007A4264" w:rsidP="007A4264">
      <w:pPr>
        <w:pStyle w:val="ListParagraph"/>
        <w:rPr>
          <w:rFonts w:asciiTheme="minorHAnsi" w:hAnsiTheme="minorHAnsi" w:cstheme="minorHAnsi"/>
          <w:szCs w:val="24"/>
        </w:rPr>
      </w:pPr>
    </w:p>
    <w:p w14:paraId="7F99C181" w14:textId="3118B0F3" w:rsidR="007A4264" w:rsidRDefault="007A4264" w:rsidP="00505BE0">
      <w:pPr>
        <w:pStyle w:val="ListParagraph"/>
        <w:numPr>
          <w:ilvl w:val="0"/>
          <w:numId w:val="6"/>
        </w:numPr>
        <w:spacing w:line="240" w:lineRule="auto"/>
        <w:jc w:val="both"/>
        <w:rPr>
          <w:rFonts w:asciiTheme="minorHAnsi" w:hAnsiTheme="minorHAnsi" w:cstheme="minorHAnsi"/>
          <w:szCs w:val="24"/>
        </w:rPr>
      </w:pPr>
      <w:r w:rsidRPr="000E1A8D">
        <w:rPr>
          <w:rFonts w:asciiTheme="minorHAnsi" w:hAnsiTheme="minorHAnsi" w:cstheme="minorHAnsi"/>
          <w:szCs w:val="24"/>
        </w:rPr>
        <w:t>These concerns were</w:t>
      </w:r>
      <w:r>
        <w:rPr>
          <w:rFonts w:asciiTheme="minorHAnsi" w:hAnsiTheme="minorHAnsi" w:cstheme="minorHAnsi"/>
          <w:szCs w:val="24"/>
        </w:rPr>
        <w:t>,</w:t>
      </w:r>
      <w:r w:rsidRPr="000E1A8D">
        <w:rPr>
          <w:rFonts w:asciiTheme="minorHAnsi" w:hAnsiTheme="minorHAnsi" w:cstheme="minorHAnsi"/>
          <w:szCs w:val="24"/>
        </w:rPr>
        <w:t xml:space="preserve"> at least in part related to an unclear distinction between ‘best practice’ and ‘compliance’. For example, SMEs were often surprised that a formal diversity policy </w:t>
      </w:r>
      <w:r>
        <w:rPr>
          <w:rFonts w:asciiTheme="minorHAnsi" w:hAnsiTheme="minorHAnsi" w:cstheme="minorHAnsi"/>
          <w:szCs w:val="24"/>
        </w:rPr>
        <w:t>is</w:t>
      </w:r>
      <w:r w:rsidRPr="000E1A8D">
        <w:rPr>
          <w:rFonts w:asciiTheme="minorHAnsi" w:hAnsiTheme="minorHAnsi" w:cstheme="minorHAnsi"/>
          <w:szCs w:val="24"/>
        </w:rPr>
        <w:t xml:space="preserve"> not a legal requirement. It also became clear that the government’s message </w:t>
      </w:r>
      <w:r>
        <w:rPr>
          <w:rFonts w:asciiTheme="minorHAnsi" w:hAnsiTheme="minorHAnsi" w:cstheme="minorHAnsi"/>
          <w:szCs w:val="24"/>
        </w:rPr>
        <w:t xml:space="preserve">– </w:t>
      </w:r>
      <w:r w:rsidRPr="000E1A8D">
        <w:rPr>
          <w:rFonts w:asciiTheme="minorHAnsi" w:hAnsiTheme="minorHAnsi" w:cstheme="minorHAnsi"/>
          <w:szCs w:val="24"/>
        </w:rPr>
        <w:t>that</w:t>
      </w:r>
      <w:r>
        <w:rPr>
          <w:rFonts w:asciiTheme="minorHAnsi" w:hAnsiTheme="minorHAnsi" w:cstheme="minorHAnsi"/>
          <w:szCs w:val="24"/>
        </w:rPr>
        <w:t>, other than reasonable adjustments for disabled people, in fact employers need do relatively little to</w:t>
      </w:r>
      <w:r w:rsidRPr="000E1A8D">
        <w:rPr>
          <w:rFonts w:asciiTheme="minorHAnsi" w:hAnsiTheme="minorHAnsi" w:cstheme="minorHAnsi"/>
          <w:szCs w:val="24"/>
        </w:rPr>
        <w:t xml:space="preserve"> compl</w:t>
      </w:r>
      <w:r>
        <w:rPr>
          <w:rFonts w:asciiTheme="minorHAnsi" w:hAnsiTheme="minorHAnsi" w:cstheme="minorHAnsi"/>
          <w:szCs w:val="24"/>
        </w:rPr>
        <w:t>y</w:t>
      </w:r>
      <w:r w:rsidRPr="000E1A8D">
        <w:rPr>
          <w:rFonts w:asciiTheme="minorHAnsi" w:hAnsiTheme="minorHAnsi" w:cstheme="minorHAnsi"/>
          <w:szCs w:val="24"/>
        </w:rPr>
        <w:t xml:space="preserve"> with the law</w:t>
      </w:r>
      <w:r>
        <w:rPr>
          <w:rFonts w:asciiTheme="minorHAnsi" w:hAnsiTheme="minorHAnsi" w:cstheme="minorHAnsi"/>
          <w:szCs w:val="24"/>
        </w:rPr>
        <w:t xml:space="preserve"> (essentially, they should not discriminate against, ha</w:t>
      </w:r>
      <w:r w:rsidRPr="00C35650">
        <w:rPr>
          <w:rFonts w:asciiTheme="minorHAnsi" w:hAnsiTheme="minorHAnsi" w:cstheme="minorHAnsi"/>
          <w:szCs w:val="24"/>
        </w:rPr>
        <w:t>rass or victimise thei</w:t>
      </w:r>
      <w:r>
        <w:rPr>
          <w:rFonts w:asciiTheme="minorHAnsi" w:hAnsiTheme="minorHAnsi" w:cstheme="minorHAnsi"/>
          <w:szCs w:val="24"/>
        </w:rPr>
        <w:t xml:space="preserve">r employees or customers) - </w:t>
      </w:r>
      <w:r w:rsidRPr="000E1A8D">
        <w:rPr>
          <w:rFonts w:asciiTheme="minorHAnsi" w:hAnsiTheme="minorHAnsi" w:cstheme="minorHAnsi"/>
          <w:szCs w:val="24"/>
        </w:rPr>
        <w:t xml:space="preserve">was often </w:t>
      </w:r>
      <w:r>
        <w:rPr>
          <w:rFonts w:asciiTheme="minorHAnsi" w:hAnsiTheme="minorHAnsi" w:cstheme="minorHAnsi"/>
          <w:szCs w:val="24"/>
        </w:rPr>
        <w:t>modified in</w:t>
      </w:r>
      <w:r w:rsidRPr="000E1A8D">
        <w:rPr>
          <w:rFonts w:asciiTheme="minorHAnsi" w:hAnsiTheme="minorHAnsi" w:cstheme="minorHAnsi"/>
          <w:szCs w:val="24"/>
        </w:rPr>
        <w:t xml:space="preserve"> advice given by </w:t>
      </w:r>
      <w:r>
        <w:rPr>
          <w:rFonts w:asciiTheme="minorHAnsi" w:hAnsiTheme="minorHAnsi" w:cstheme="minorHAnsi"/>
          <w:szCs w:val="24"/>
        </w:rPr>
        <w:t>specialist consultants and other service providers</w:t>
      </w:r>
      <w:r w:rsidRPr="000E1A8D">
        <w:rPr>
          <w:rFonts w:asciiTheme="minorHAnsi" w:hAnsiTheme="minorHAnsi" w:cstheme="minorHAnsi"/>
          <w:szCs w:val="24"/>
        </w:rPr>
        <w:t xml:space="preserve"> </w:t>
      </w:r>
      <w:r>
        <w:rPr>
          <w:rFonts w:asciiTheme="minorHAnsi" w:hAnsiTheme="minorHAnsi" w:cstheme="minorHAnsi"/>
          <w:szCs w:val="24"/>
        </w:rPr>
        <w:t xml:space="preserve">suggesting </w:t>
      </w:r>
      <w:r w:rsidRPr="000E1A8D">
        <w:rPr>
          <w:rFonts w:asciiTheme="minorHAnsi" w:hAnsiTheme="minorHAnsi" w:cstheme="minorHAnsi"/>
          <w:szCs w:val="24"/>
        </w:rPr>
        <w:t xml:space="preserve">that best practice was necessary to avoid litigation. SMEs were generally concerned about the </w:t>
      </w:r>
      <w:r>
        <w:rPr>
          <w:rFonts w:asciiTheme="minorHAnsi" w:hAnsiTheme="minorHAnsi" w:cstheme="minorHAnsi"/>
          <w:szCs w:val="24"/>
        </w:rPr>
        <w:t>prospect of legal challenges</w:t>
      </w:r>
      <w:r w:rsidRPr="000E1A8D">
        <w:rPr>
          <w:rFonts w:asciiTheme="minorHAnsi" w:hAnsiTheme="minorHAnsi" w:cstheme="minorHAnsi"/>
          <w:szCs w:val="24"/>
        </w:rPr>
        <w:t>, since they were less equipped to deal with cost and resource shoc</w:t>
      </w:r>
      <w:r>
        <w:rPr>
          <w:rFonts w:asciiTheme="minorHAnsi" w:hAnsiTheme="minorHAnsi" w:cstheme="minorHAnsi"/>
          <w:szCs w:val="24"/>
        </w:rPr>
        <w:t>ks caused by an unexpected tribunal</w:t>
      </w:r>
      <w:r w:rsidRPr="000E1A8D">
        <w:rPr>
          <w:rFonts w:asciiTheme="minorHAnsi" w:hAnsiTheme="minorHAnsi" w:cstheme="minorHAnsi"/>
          <w:szCs w:val="24"/>
        </w:rPr>
        <w:t xml:space="preserve"> case. </w:t>
      </w:r>
    </w:p>
    <w:p w14:paraId="5F0F8E9C" w14:textId="77777777" w:rsidR="007A4264" w:rsidRPr="007A4264" w:rsidRDefault="007A4264" w:rsidP="007A4264">
      <w:pPr>
        <w:pStyle w:val="ListParagraph"/>
        <w:rPr>
          <w:rFonts w:asciiTheme="minorHAnsi" w:hAnsiTheme="minorHAnsi" w:cstheme="minorHAnsi"/>
          <w:szCs w:val="24"/>
        </w:rPr>
      </w:pPr>
    </w:p>
    <w:p w14:paraId="20F255B8" w14:textId="044C5B20" w:rsidR="007A4264" w:rsidRDefault="007A4264" w:rsidP="00505BE0">
      <w:pPr>
        <w:pStyle w:val="ListParagraph"/>
        <w:numPr>
          <w:ilvl w:val="0"/>
          <w:numId w:val="6"/>
        </w:numPr>
        <w:spacing w:line="240" w:lineRule="auto"/>
        <w:jc w:val="both"/>
        <w:rPr>
          <w:rFonts w:asciiTheme="minorHAnsi" w:hAnsiTheme="minorHAnsi" w:cstheme="minorHAnsi"/>
          <w:szCs w:val="24"/>
        </w:rPr>
      </w:pPr>
      <w:r>
        <w:rPr>
          <w:rFonts w:asciiTheme="minorHAnsi" w:hAnsiTheme="minorHAnsi" w:cstheme="minorHAnsi"/>
          <w:szCs w:val="24"/>
        </w:rPr>
        <w:t xml:space="preserve">Meanwhile, new legislation on EPAs will </w:t>
      </w:r>
      <w:r w:rsidR="00AB558E">
        <w:rPr>
          <w:rFonts w:asciiTheme="minorHAnsi" w:hAnsiTheme="minorHAnsi" w:cstheme="minorHAnsi"/>
          <w:szCs w:val="24"/>
        </w:rPr>
        <w:t>allow</w:t>
      </w:r>
      <w:r>
        <w:rPr>
          <w:rFonts w:asciiTheme="minorHAnsi" w:hAnsiTheme="minorHAnsi" w:cstheme="minorHAnsi"/>
          <w:szCs w:val="24"/>
        </w:rPr>
        <w:t xml:space="preserve"> Employment Tribunals (ET) to order employers to carry out an equal pay audit of their pay structure, where they have lost a an equal pay and/or a pay-related sex discrimination case at tribunal</w:t>
      </w:r>
      <w:r w:rsidR="00AB558E">
        <w:rPr>
          <w:rFonts w:asciiTheme="minorHAnsi" w:hAnsiTheme="minorHAnsi" w:cstheme="minorHAnsi"/>
          <w:szCs w:val="24"/>
        </w:rPr>
        <w:t xml:space="preserve"> and the tribunal considers the imposition of an EPA beneficial</w:t>
      </w:r>
      <w:r>
        <w:rPr>
          <w:rFonts w:asciiTheme="minorHAnsi" w:hAnsiTheme="minorHAnsi" w:cstheme="minorHAnsi"/>
          <w:szCs w:val="24"/>
        </w:rPr>
        <w:t xml:space="preserve">.  However, while the proposals have met strong reservations from parts of the business community, GEO’s impact assessment suggests that there are likely to be only two EPAs per year. </w:t>
      </w:r>
    </w:p>
    <w:p w14:paraId="0BCF4A51" w14:textId="77777777" w:rsidR="007A4264" w:rsidRDefault="007A4264" w:rsidP="007A4264">
      <w:pPr>
        <w:pStyle w:val="ListParagraph"/>
        <w:spacing w:line="240" w:lineRule="auto"/>
        <w:jc w:val="both"/>
        <w:rPr>
          <w:rFonts w:asciiTheme="minorHAnsi" w:hAnsiTheme="minorHAnsi" w:cstheme="minorHAnsi"/>
          <w:szCs w:val="24"/>
        </w:rPr>
      </w:pPr>
    </w:p>
    <w:p w14:paraId="4E41D4B9" w14:textId="18045FD3" w:rsidR="007A4264" w:rsidRPr="00161C05" w:rsidRDefault="007A4264" w:rsidP="00505BE0">
      <w:pPr>
        <w:pStyle w:val="ListParagraph"/>
        <w:numPr>
          <w:ilvl w:val="0"/>
          <w:numId w:val="6"/>
        </w:numPr>
        <w:spacing w:line="240" w:lineRule="auto"/>
        <w:jc w:val="both"/>
        <w:rPr>
          <w:rFonts w:asciiTheme="minorHAnsi" w:hAnsiTheme="minorHAnsi" w:cstheme="minorHAnsi"/>
          <w:szCs w:val="24"/>
        </w:rPr>
      </w:pPr>
      <w:r>
        <w:rPr>
          <w:rFonts w:asciiTheme="minorHAnsi" w:hAnsiTheme="minorHAnsi" w:cstheme="minorHAnsi"/>
          <w:szCs w:val="24"/>
        </w:rPr>
        <w:t xml:space="preserve">As legislation is set quite firmly at this stage, behaviour change insights seem ideally placed as a </w:t>
      </w:r>
      <w:r>
        <w:rPr>
          <w:rFonts w:asciiTheme="minorHAnsi" w:hAnsiTheme="minorHAnsi" w:cstheme="minorHAnsi"/>
          <w:i/>
          <w:szCs w:val="24"/>
        </w:rPr>
        <w:t>complement</w:t>
      </w:r>
      <w:r>
        <w:rPr>
          <w:rFonts w:asciiTheme="minorHAnsi" w:hAnsiTheme="minorHAnsi" w:cstheme="minorHAnsi"/>
          <w:szCs w:val="24"/>
        </w:rPr>
        <w:t xml:space="preserve"> to improve its impacts on pay discrimination in the workplace. One recommendat</w:t>
      </w:r>
      <w:r w:rsidR="00161C05">
        <w:rPr>
          <w:rFonts w:asciiTheme="minorHAnsi" w:hAnsiTheme="minorHAnsi" w:cstheme="minorHAnsi"/>
          <w:szCs w:val="24"/>
        </w:rPr>
        <w:t>ion in this regard is to capitalise on</w:t>
      </w:r>
      <w:r>
        <w:rPr>
          <w:rFonts w:asciiTheme="minorHAnsi" w:hAnsiTheme="minorHAnsi" w:cstheme="minorHAnsi"/>
          <w:szCs w:val="24"/>
        </w:rPr>
        <w:t xml:space="preserve"> often inaccurate assessments among employers of the likelihood of having to carry out an EPA. </w:t>
      </w:r>
      <w:r w:rsidRPr="00161C05">
        <w:rPr>
          <w:rFonts w:asciiTheme="minorHAnsi" w:hAnsiTheme="minorHAnsi" w:cstheme="minorHAnsi"/>
          <w:szCs w:val="24"/>
        </w:rPr>
        <w:t>This can serve to bolster the impact of the EHRC’s private sector engagement strategy for 2014/15. But this needs to be balanced by offering reassurance</w:t>
      </w:r>
      <w:r w:rsidR="00161C05">
        <w:rPr>
          <w:rFonts w:asciiTheme="minorHAnsi" w:hAnsiTheme="minorHAnsi" w:cstheme="minorHAnsi"/>
          <w:szCs w:val="24"/>
        </w:rPr>
        <w:t xml:space="preserve"> and practical support</w:t>
      </w:r>
      <w:r w:rsidRPr="00161C05">
        <w:rPr>
          <w:rFonts w:asciiTheme="minorHAnsi" w:hAnsiTheme="minorHAnsi" w:cstheme="minorHAnsi"/>
          <w:szCs w:val="24"/>
        </w:rPr>
        <w:t xml:space="preserve"> to employers who are nervous about how to improve equalities outcomes for their employees.</w:t>
      </w:r>
    </w:p>
    <w:p w14:paraId="369AAFFB" w14:textId="77777777" w:rsidR="007A4264" w:rsidRPr="007A4264" w:rsidRDefault="007A4264" w:rsidP="007A4264">
      <w:pPr>
        <w:pStyle w:val="ListParagraph"/>
        <w:rPr>
          <w:rFonts w:asciiTheme="minorHAnsi" w:hAnsiTheme="minorHAnsi" w:cstheme="minorHAnsi"/>
          <w:szCs w:val="24"/>
        </w:rPr>
      </w:pPr>
    </w:p>
    <w:p w14:paraId="295F4BBC" w14:textId="77777777" w:rsidR="00284D79" w:rsidRDefault="007A4264" w:rsidP="00505BE0">
      <w:pPr>
        <w:pStyle w:val="ListParagraph"/>
        <w:numPr>
          <w:ilvl w:val="0"/>
          <w:numId w:val="6"/>
        </w:numPr>
        <w:spacing w:line="240" w:lineRule="auto"/>
        <w:jc w:val="both"/>
        <w:rPr>
          <w:rFonts w:asciiTheme="minorHAnsi" w:hAnsiTheme="minorHAnsi" w:cstheme="minorHAnsi"/>
          <w:szCs w:val="24"/>
        </w:rPr>
      </w:pPr>
      <w:r w:rsidRPr="007A4264">
        <w:rPr>
          <w:rFonts w:asciiTheme="minorHAnsi" w:hAnsiTheme="minorHAnsi" w:cstheme="minorHAnsi"/>
          <w:szCs w:val="24"/>
        </w:rPr>
        <w:t>Overall for SMEs, failure t</w:t>
      </w:r>
      <w:r w:rsidR="00161C05">
        <w:rPr>
          <w:rFonts w:asciiTheme="minorHAnsi" w:hAnsiTheme="minorHAnsi" w:cstheme="minorHAnsi"/>
          <w:szCs w:val="24"/>
        </w:rPr>
        <w:t>o achieve compliance tends</w:t>
      </w:r>
      <w:r w:rsidRPr="007A4264">
        <w:rPr>
          <w:rFonts w:asciiTheme="minorHAnsi" w:hAnsiTheme="minorHAnsi" w:cstheme="minorHAnsi"/>
          <w:szCs w:val="24"/>
        </w:rPr>
        <w:t xml:space="preserve"> to be driven by uncertainty about the law rather than malicious intent, and emulating the best practice of larger companies was generally seen as unachievable due to limited HR resources and </w:t>
      </w:r>
      <w:r w:rsidR="00161C05">
        <w:rPr>
          <w:rFonts w:asciiTheme="minorHAnsi" w:hAnsiTheme="minorHAnsi" w:cstheme="minorHAnsi"/>
          <w:szCs w:val="24"/>
        </w:rPr>
        <w:t xml:space="preserve">operational </w:t>
      </w:r>
      <w:r w:rsidRPr="007A4264">
        <w:rPr>
          <w:rFonts w:asciiTheme="minorHAnsi" w:hAnsiTheme="minorHAnsi" w:cstheme="minorHAnsi"/>
          <w:szCs w:val="24"/>
        </w:rPr>
        <w:t xml:space="preserve">business constraints. </w:t>
      </w:r>
    </w:p>
    <w:p w14:paraId="338B8962" w14:textId="77777777" w:rsidR="007A4264" w:rsidRPr="00284D79" w:rsidRDefault="007A4264" w:rsidP="00284D79">
      <w:pPr>
        <w:spacing w:line="240" w:lineRule="auto"/>
        <w:jc w:val="both"/>
        <w:rPr>
          <w:rFonts w:cstheme="minorHAnsi"/>
          <w:szCs w:val="24"/>
        </w:rPr>
      </w:pPr>
    </w:p>
    <w:p w14:paraId="0B224AB3" w14:textId="77777777" w:rsidR="007A4264" w:rsidRPr="000E1A8D" w:rsidRDefault="007A4264" w:rsidP="007A4264">
      <w:pPr>
        <w:spacing w:line="240" w:lineRule="auto"/>
        <w:jc w:val="both"/>
        <w:rPr>
          <w:rFonts w:cstheme="minorHAnsi"/>
          <w:b/>
          <w:sz w:val="24"/>
          <w:szCs w:val="24"/>
        </w:rPr>
      </w:pPr>
      <w:r w:rsidRPr="000E1A8D">
        <w:rPr>
          <w:rFonts w:cstheme="minorHAnsi"/>
          <w:b/>
          <w:sz w:val="24"/>
          <w:szCs w:val="24"/>
        </w:rPr>
        <w:t>Behaviour Change Insights</w:t>
      </w:r>
    </w:p>
    <w:p w14:paraId="4E8E5B3F" w14:textId="3DC36CCC" w:rsidR="00284D79" w:rsidRPr="00AB558E" w:rsidRDefault="00284D79" w:rsidP="00AB558E">
      <w:pPr>
        <w:pStyle w:val="ListParagraph"/>
        <w:numPr>
          <w:ilvl w:val="0"/>
          <w:numId w:val="6"/>
        </w:numPr>
        <w:spacing w:line="240" w:lineRule="auto"/>
        <w:jc w:val="both"/>
        <w:rPr>
          <w:rFonts w:asciiTheme="minorHAnsi" w:hAnsiTheme="minorHAnsi" w:cstheme="minorHAnsi"/>
          <w:szCs w:val="24"/>
        </w:rPr>
      </w:pPr>
      <w:r>
        <w:rPr>
          <w:rFonts w:asciiTheme="minorHAnsi" w:hAnsiTheme="minorHAnsi" w:cstheme="minorHAnsi"/>
          <w:szCs w:val="24"/>
        </w:rPr>
        <w:t xml:space="preserve">An overarching </w:t>
      </w:r>
      <w:r w:rsidRPr="00284D79">
        <w:rPr>
          <w:rFonts w:asciiTheme="minorHAnsi" w:hAnsiTheme="minorHAnsi" w:cstheme="minorHAnsi"/>
          <w:szCs w:val="24"/>
        </w:rPr>
        <w:t>behavioural insight for successfully engaging with smaller businesses is to demystify</w:t>
      </w:r>
      <w:r w:rsidR="003768BA">
        <w:rPr>
          <w:rFonts w:asciiTheme="minorHAnsi" w:hAnsiTheme="minorHAnsi" w:cstheme="minorHAnsi"/>
          <w:szCs w:val="24"/>
        </w:rPr>
        <w:t>,</w:t>
      </w:r>
      <w:r w:rsidRPr="00284D79">
        <w:rPr>
          <w:rFonts w:asciiTheme="minorHAnsi" w:hAnsiTheme="minorHAnsi" w:cstheme="minorHAnsi"/>
          <w:szCs w:val="24"/>
        </w:rPr>
        <w:t xml:space="preserve"> and</w:t>
      </w:r>
      <w:r w:rsidR="003768BA">
        <w:rPr>
          <w:rFonts w:asciiTheme="minorHAnsi" w:hAnsiTheme="minorHAnsi" w:cstheme="minorHAnsi"/>
          <w:szCs w:val="24"/>
        </w:rPr>
        <w:t xml:space="preserve"> provide</w:t>
      </w:r>
      <w:r w:rsidRPr="00284D79">
        <w:rPr>
          <w:rFonts w:asciiTheme="minorHAnsi" w:hAnsiTheme="minorHAnsi" w:cstheme="minorHAnsi"/>
          <w:szCs w:val="24"/>
        </w:rPr>
        <w:t xml:space="preserve"> </w:t>
      </w:r>
      <w:r w:rsidR="009415BE">
        <w:rPr>
          <w:rFonts w:asciiTheme="minorHAnsi" w:hAnsiTheme="minorHAnsi" w:cstheme="minorHAnsi"/>
          <w:szCs w:val="24"/>
        </w:rPr>
        <w:t>reassur</w:t>
      </w:r>
      <w:r w:rsidR="003768BA">
        <w:rPr>
          <w:rFonts w:asciiTheme="minorHAnsi" w:hAnsiTheme="minorHAnsi" w:cstheme="minorHAnsi"/>
          <w:szCs w:val="24"/>
        </w:rPr>
        <w:t>ance,</w:t>
      </w:r>
      <w:r w:rsidR="009415BE">
        <w:rPr>
          <w:rFonts w:asciiTheme="minorHAnsi" w:hAnsiTheme="minorHAnsi" w:cstheme="minorHAnsi"/>
          <w:szCs w:val="24"/>
        </w:rPr>
        <w:t xml:space="preserve"> on</w:t>
      </w:r>
      <w:r w:rsidRPr="00284D79">
        <w:rPr>
          <w:rFonts w:asciiTheme="minorHAnsi" w:hAnsiTheme="minorHAnsi" w:cstheme="minorHAnsi"/>
          <w:szCs w:val="24"/>
        </w:rPr>
        <w:t xml:space="preserve"> the practical steps that firms perceive as standing in the way of change. Unrealistic benchmarking, legal challenge and insufficient resources are key elements for </w:t>
      </w:r>
      <w:r w:rsidR="009415BE" w:rsidRPr="00284D79">
        <w:rPr>
          <w:rFonts w:asciiTheme="minorHAnsi" w:hAnsiTheme="minorHAnsi" w:cstheme="minorHAnsi"/>
          <w:szCs w:val="24"/>
        </w:rPr>
        <w:t>demystif</w:t>
      </w:r>
      <w:r w:rsidR="009415BE">
        <w:rPr>
          <w:rFonts w:asciiTheme="minorHAnsi" w:hAnsiTheme="minorHAnsi" w:cstheme="minorHAnsi"/>
          <w:szCs w:val="24"/>
        </w:rPr>
        <w:t>ication</w:t>
      </w:r>
      <w:r w:rsidR="009415BE" w:rsidRPr="00284D79">
        <w:rPr>
          <w:rFonts w:asciiTheme="minorHAnsi" w:hAnsiTheme="minorHAnsi" w:cstheme="minorHAnsi"/>
          <w:szCs w:val="24"/>
        </w:rPr>
        <w:t xml:space="preserve"> </w:t>
      </w:r>
      <w:r w:rsidRPr="00284D79">
        <w:rPr>
          <w:rFonts w:asciiTheme="minorHAnsi" w:hAnsiTheme="minorHAnsi" w:cstheme="minorHAnsi"/>
          <w:szCs w:val="24"/>
        </w:rPr>
        <w:t xml:space="preserve">and </w:t>
      </w:r>
      <w:r w:rsidR="009415BE">
        <w:rPr>
          <w:rFonts w:asciiTheme="minorHAnsi" w:hAnsiTheme="minorHAnsi" w:cstheme="minorHAnsi"/>
          <w:szCs w:val="24"/>
        </w:rPr>
        <w:t>reassurance</w:t>
      </w:r>
      <w:r w:rsidRPr="00284D79">
        <w:rPr>
          <w:rFonts w:asciiTheme="minorHAnsi" w:hAnsiTheme="minorHAnsi" w:cstheme="minorHAnsi"/>
          <w:szCs w:val="24"/>
        </w:rPr>
        <w:t>.</w:t>
      </w:r>
    </w:p>
    <w:p w14:paraId="3D985D30" w14:textId="77777777" w:rsidR="007A4264" w:rsidRDefault="007A4264" w:rsidP="00505BE0">
      <w:pPr>
        <w:pStyle w:val="ListParagraph"/>
        <w:numPr>
          <w:ilvl w:val="0"/>
          <w:numId w:val="6"/>
        </w:numPr>
        <w:spacing w:line="240" w:lineRule="auto"/>
        <w:jc w:val="both"/>
        <w:rPr>
          <w:rFonts w:asciiTheme="minorHAnsi" w:hAnsiTheme="minorHAnsi" w:cstheme="minorHAnsi"/>
          <w:szCs w:val="24"/>
        </w:rPr>
      </w:pPr>
      <w:r w:rsidRPr="000E1A8D">
        <w:rPr>
          <w:rFonts w:asciiTheme="minorHAnsi" w:hAnsiTheme="minorHAnsi" w:cstheme="minorHAnsi"/>
          <w:b/>
          <w:szCs w:val="24"/>
        </w:rPr>
        <w:lastRenderedPageBreak/>
        <w:t>Incentives</w:t>
      </w:r>
      <w:r w:rsidRPr="000E1A8D">
        <w:rPr>
          <w:rFonts w:asciiTheme="minorHAnsi" w:hAnsiTheme="minorHAnsi" w:cstheme="minorHAnsi"/>
          <w:szCs w:val="24"/>
        </w:rPr>
        <w:t>, from the point of view of behaviou</w:t>
      </w:r>
      <w:r>
        <w:rPr>
          <w:rFonts w:asciiTheme="minorHAnsi" w:hAnsiTheme="minorHAnsi" w:cstheme="minorHAnsi"/>
          <w:szCs w:val="24"/>
        </w:rPr>
        <w:t>ral insights</w:t>
      </w:r>
      <w:r w:rsidRPr="000E1A8D">
        <w:rPr>
          <w:rFonts w:asciiTheme="minorHAnsi" w:hAnsiTheme="minorHAnsi" w:cstheme="minorHAnsi"/>
          <w:szCs w:val="24"/>
        </w:rPr>
        <w:t>, do not only encompass direct monetary incentives, but also describe the inability of individuals to estimate probabilities correctly or to discount the future in a consistent way. In the case at hand, the importance of incentives is that small and medium sized employers are unlikely to be able to correctly estimate the number of EPAs that employers will be ordered to c</w:t>
      </w:r>
      <w:r>
        <w:rPr>
          <w:rFonts w:asciiTheme="minorHAnsi" w:hAnsiTheme="minorHAnsi" w:cstheme="minorHAnsi"/>
          <w:szCs w:val="24"/>
        </w:rPr>
        <w:t>arry out by ETs</w:t>
      </w:r>
      <w:r w:rsidRPr="000E1A8D">
        <w:rPr>
          <w:rFonts w:asciiTheme="minorHAnsi" w:hAnsiTheme="minorHAnsi" w:cstheme="minorHAnsi"/>
          <w:szCs w:val="24"/>
        </w:rPr>
        <w:t xml:space="preserve"> as a consequence of the new legislation. </w:t>
      </w:r>
    </w:p>
    <w:p w14:paraId="193BE211" w14:textId="77777777" w:rsidR="007A4264" w:rsidRDefault="007A4264" w:rsidP="007A4264">
      <w:pPr>
        <w:pStyle w:val="ListParagraph"/>
        <w:spacing w:line="240" w:lineRule="auto"/>
        <w:jc w:val="both"/>
        <w:rPr>
          <w:rFonts w:asciiTheme="minorHAnsi" w:hAnsiTheme="minorHAnsi" w:cstheme="minorHAnsi"/>
          <w:szCs w:val="24"/>
        </w:rPr>
      </w:pPr>
    </w:p>
    <w:p w14:paraId="295C61AC" w14:textId="123BC1CD" w:rsidR="007A4264" w:rsidRPr="000E1A8D" w:rsidRDefault="007A4264" w:rsidP="00505BE0">
      <w:pPr>
        <w:pStyle w:val="ListParagraph"/>
        <w:numPr>
          <w:ilvl w:val="0"/>
          <w:numId w:val="6"/>
        </w:numPr>
        <w:spacing w:line="240" w:lineRule="auto"/>
        <w:jc w:val="both"/>
        <w:rPr>
          <w:rFonts w:asciiTheme="minorHAnsi" w:hAnsiTheme="minorHAnsi" w:cstheme="minorHAnsi"/>
          <w:szCs w:val="24"/>
        </w:rPr>
      </w:pPr>
      <w:r w:rsidRPr="000E1A8D">
        <w:rPr>
          <w:rFonts w:asciiTheme="minorHAnsi" w:hAnsiTheme="minorHAnsi" w:cstheme="minorHAnsi"/>
          <w:szCs w:val="24"/>
        </w:rPr>
        <w:t xml:space="preserve">Contrary to </w:t>
      </w:r>
      <w:r>
        <w:rPr>
          <w:rFonts w:asciiTheme="minorHAnsi" w:hAnsiTheme="minorHAnsi" w:cstheme="minorHAnsi"/>
          <w:szCs w:val="24"/>
        </w:rPr>
        <w:t>neo</w:t>
      </w:r>
      <w:r w:rsidRPr="000E1A8D">
        <w:rPr>
          <w:rFonts w:asciiTheme="minorHAnsi" w:hAnsiTheme="minorHAnsi" w:cstheme="minorHAnsi"/>
          <w:szCs w:val="24"/>
        </w:rPr>
        <w:t>classic</w:t>
      </w:r>
      <w:r>
        <w:rPr>
          <w:rFonts w:asciiTheme="minorHAnsi" w:hAnsiTheme="minorHAnsi" w:cstheme="minorHAnsi"/>
          <w:szCs w:val="24"/>
        </w:rPr>
        <w:t xml:space="preserve">al economic theory, </w:t>
      </w:r>
      <w:r w:rsidRPr="000E1A8D">
        <w:rPr>
          <w:rFonts w:asciiTheme="minorHAnsi" w:hAnsiTheme="minorHAnsi" w:cstheme="minorHAnsi"/>
          <w:szCs w:val="24"/>
        </w:rPr>
        <w:t>in practice</w:t>
      </w:r>
      <w:r>
        <w:rPr>
          <w:rFonts w:asciiTheme="minorHAnsi" w:hAnsiTheme="minorHAnsi" w:cstheme="minorHAnsi"/>
          <w:szCs w:val="24"/>
        </w:rPr>
        <w:t>, individuals</w:t>
      </w:r>
      <w:r w:rsidRPr="000E1A8D">
        <w:rPr>
          <w:rFonts w:asciiTheme="minorHAnsi" w:hAnsiTheme="minorHAnsi" w:cstheme="minorHAnsi"/>
          <w:szCs w:val="24"/>
        </w:rPr>
        <w:t xml:space="preserve"> tend to value losses higher than gains, meaning that the subjective impact of having to conduct an EPA for employers would be larger than what would be expected based on economic theory. </w:t>
      </w:r>
      <w:r>
        <w:rPr>
          <w:rFonts w:asciiTheme="minorHAnsi" w:hAnsiTheme="minorHAnsi" w:cstheme="minorHAnsi"/>
          <w:szCs w:val="24"/>
        </w:rPr>
        <w:t xml:space="preserve">Such loss aversion is critical to the setting. </w:t>
      </w:r>
      <w:r w:rsidRPr="000E1A8D">
        <w:rPr>
          <w:rFonts w:asciiTheme="minorHAnsi" w:hAnsiTheme="minorHAnsi" w:cstheme="minorHAnsi"/>
          <w:szCs w:val="24"/>
        </w:rPr>
        <w:t>More importantly, individuals will overestimate the probability of events which are salient and easy to imagine. This means that while it is highly unlikely that an SME would have to conduc</w:t>
      </w:r>
      <w:r>
        <w:rPr>
          <w:rFonts w:asciiTheme="minorHAnsi" w:hAnsiTheme="minorHAnsi" w:cstheme="minorHAnsi"/>
          <w:szCs w:val="24"/>
        </w:rPr>
        <w:t>t an EPA, such</w:t>
      </w:r>
      <w:r w:rsidRPr="000E1A8D">
        <w:rPr>
          <w:rFonts w:asciiTheme="minorHAnsi" w:hAnsiTheme="minorHAnsi" w:cstheme="minorHAnsi"/>
          <w:szCs w:val="24"/>
        </w:rPr>
        <w:t xml:space="preserve"> employers are likely to overestimate this pro</w:t>
      </w:r>
      <w:r>
        <w:rPr>
          <w:rFonts w:asciiTheme="minorHAnsi" w:hAnsiTheme="minorHAnsi" w:cstheme="minorHAnsi"/>
          <w:szCs w:val="24"/>
        </w:rPr>
        <w:t xml:space="preserve">bability. This can also be inferred from the </w:t>
      </w:r>
      <w:r w:rsidRPr="000E1A8D">
        <w:rPr>
          <w:rFonts w:asciiTheme="minorHAnsi" w:hAnsiTheme="minorHAnsi" w:cstheme="minorHAnsi"/>
          <w:szCs w:val="24"/>
        </w:rPr>
        <w:t>number of responses to the government</w:t>
      </w:r>
      <w:r>
        <w:rPr>
          <w:rFonts w:asciiTheme="minorHAnsi" w:hAnsiTheme="minorHAnsi" w:cstheme="minorHAnsi"/>
          <w:szCs w:val="24"/>
        </w:rPr>
        <w:t>’s</w:t>
      </w:r>
      <w:r w:rsidR="00AF3B9F">
        <w:rPr>
          <w:rFonts w:asciiTheme="minorHAnsi" w:hAnsiTheme="minorHAnsi" w:cstheme="minorHAnsi"/>
          <w:szCs w:val="24"/>
        </w:rPr>
        <w:t xml:space="preserve"> consultation on EPAs</w:t>
      </w:r>
      <w:r w:rsidR="006C3977">
        <w:rPr>
          <w:rFonts w:asciiTheme="minorHAnsi" w:hAnsiTheme="minorHAnsi" w:cstheme="minorHAnsi"/>
          <w:szCs w:val="24"/>
        </w:rPr>
        <w:t xml:space="preserve"> – the high response rate suggests that the likelihood has been significantly over-estimated</w:t>
      </w:r>
      <w:r w:rsidR="00AF3B9F">
        <w:rPr>
          <w:rFonts w:asciiTheme="minorHAnsi" w:hAnsiTheme="minorHAnsi" w:cstheme="minorHAnsi"/>
          <w:szCs w:val="24"/>
        </w:rPr>
        <w:t>. In addition to suitably engaging smaller firms with practical help, o</w:t>
      </w:r>
      <w:r w:rsidRPr="000E1A8D">
        <w:rPr>
          <w:rFonts w:asciiTheme="minorHAnsi" w:hAnsiTheme="minorHAnsi" w:cstheme="minorHAnsi"/>
          <w:szCs w:val="24"/>
        </w:rPr>
        <w:t>verestimating the likelihood of EPAs should make SMEs more likely to seek EHRC advice on how to ensure compliance, so long as it is communicated correctly.</w:t>
      </w:r>
    </w:p>
    <w:p w14:paraId="581BBF80" w14:textId="77777777" w:rsidR="007A4264" w:rsidRPr="000E1A8D" w:rsidRDefault="007A4264" w:rsidP="007A4264">
      <w:pPr>
        <w:pStyle w:val="ListParagraph"/>
        <w:spacing w:line="240" w:lineRule="auto"/>
        <w:jc w:val="both"/>
        <w:rPr>
          <w:rFonts w:asciiTheme="minorHAnsi" w:hAnsiTheme="minorHAnsi" w:cstheme="minorHAnsi"/>
          <w:szCs w:val="24"/>
        </w:rPr>
      </w:pPr>
    </w:p>
    <w:p w14:paraId="3B8E7E4C" w14:textId="77777777" w:rsidR="007A4264" w:rsidRDefault="007A4264" w:rsidP="00505BE0">
      <w:pPr>
        <w:pStyle w:val="ListParagraph"/>
        <w:numPr>
          <w:ilvl w:val="0"/>
          <w:numId w:val="6"/>
        </w:numPr>
        <w:spacing w:line="240" w:lineRule="auto"/>
        <w:jc w:val="both"/>
        <w:rPr>
          <w:rFonts w:asciiTheme="minorHAnsi" w:hAnsiTheme="minorHAnsi" w:cstheme="minorHAnsi"/>
          <w:szCs w:val="24"/>
        </w:rPr>
      </w:pPr>
      <w:r w:rsidRPr="000E1A8D">
        <w:rPr>
          <w:rFonts w:asciiTheme="minorHAnsi" w:hAnsiTheme="minorHAnsi" w:cstheme="minorHAnsi"/>
          <w:b/>
          <w:szCs w:val="24"/>
        </w:rPr>
        <w:t>Messengers</w:t>
      </w:r>
      <w:r>
        <w:rPr>
          <w:rFonts w:asciiTheme="minorHAnsi" w:hAnsiTheme="minorHAnsi" w:cstheme="minorHAnsi"/>
          <w:szCs w:val="24"/>
        </w:rPr>
        <w:t>, in a behavioural change</w:t>
      </w:r>
      <w:r w:rsidRPr="000E1A8D">
        <w:rPr>
          <w:rFonts w:asciiTheme="minorHAnsi" w:hAnsiTheme="minorHAnsi" w:cstheme="minorHAnsi"/>
          <w:szCs w:val="24"/>
        </w:rPr>
        <w:t xml:space="preserve"> context, refer to who communicates information. Different messengers will have a different impact on the audience regardless of the content of the message. An effective me</w:t>
      </w:r>
      <w:r>
        <w:rPr>
          <w:rFonts w:asciiTheme="minorHAnsi" w:hAnsiTheme="minorHAnsi" w:cstheme="minorHAnsi"/>
          <w:szCs w:val="24"/>
        </w:rPr>
        <w:t>ssenger will be considered as a proven</w:t>
      </w:r>
      <w:r w:rsidRPr="000E1A8D">
        <w:rPr>
          <w:rFonts w:asciiTheme="minorHAnsi" w:hAnsiTheme="minorHAnsi" w:cstheme="minorHAnsi"/>
          <w:szCs w:val="24"/>
        </w:rPr>
        <w:t xml:space="preserve"> expert</w:t>
      </w:r>
      <w:r>
        <w:rPr>
          <w:rFonts w:asciiTheme="minorHAnsi" w:hAnsiTheme="minorHAnsi" w:cstheme="minorHAnsi"/>
          <w:szCs w:val="24"/>
        </w:rPr>
        <w:t>, a known quantity,</w:t>
      </w:r>
      <w:r w:rsidRPr="000E1A8D">
        <w:rPr>
          <w:rFonts w:asciiTheme="minorHAnsi" w:hAnsiTheme="minorHAnsi" w:cstheme="minorHAnsi"/>
          <w:szCs w:val="24"/>
        </w:rPr>
        <w:t xml:space="preserve"> and </w:t>
      </w:r>
      <w:r>
        <w:rPr>
          <w:rFonts w:asciiTheme="minorHAnsi" w:hAnsiTheme="minorHAnsi" w:cstheme="minorHAnsi"/>
          <w:szCs w:val="24"/>
        </w:rPr>
        <w:t xml:space="preserve">ideally </w:t>
      </w:r>
      <w:r w:rsidRPr="000E1A8D">
        <w:rPr>
          <w:rFonts w:asciiTheme="minorHAnsi" w:hAnsiTheme="minorHAnsi" w:cstheme="minorHAnsi"/>
          <w:szCs w:val="24"/>
        </w:rPr>
        <w:t>be part of the audience’s peer group. In other words, an effective messenger needs to be both trustworthy and relatable. The messenger must also be chosen in a way that makes the message credible. Examples of ineffective messengers include talks about t</w:t>
      </w:r>
      <w:r>
        <w:rPr>
          <w:rFonts w:asciiTheme="minorHAnsi" w:hAnsiTheme="minorHAnsi" w:cstheme="minorHAnsi"/>
          <w:szCs w:val="24"/>
        </w:rPr>
        <w:t>eenage pregnancy in schools given</w:t>
      </w:r>
      <w:r w:rsidRPr="000E1A8D">
        <w:rPr>
          <w:rFonts w:asciiTheme="minorHAnsi" w:hAnsiTheme="minorHAnsi" w:cstheme="minorHAnsi"/>
          <w:szCs w:val="24"/>
        </w:rPr>
        <w:t xml:space="preserve"> by teenage mothers, with volunteers for these talks typically being those teenage mothers who had </w:t>
      </w:r>
      <w:r>
        <w:rPr>
          <w:rFonts w:asciiTheme="minorHAnsi" w:hAnsiTheme="minorHAnsi" w:cstheme="minorHAnsi"/>
          <w:szCs w:val="24"/>
        </w:rPr>
        <w:t xml:space="preserve">comparatively </w:t>
      </w:r>
      <w:r w:rsidRPr="000E1A8D">
        <w:rPr>
          <w:rFonts w:asciiTheme="minorHAnsi" w:hAnsiTheme="minorHAnsi" w:cstheme="minorHAnsi"/>
          <w:szCs w:val="24"/>
        </w:rPr>
        <w:t xml:space="preserve">coped well with early maternity. </w:t>
      </w:r>
    </w:p>
    <w:p w14:paraId="648FF98E" w14:textId="77777777" w:rsidR="007A4264" w:rsidRPr="00572745" w:rsidRDefault="007A4264" w:rsidP="007A4264">
      <w:pPr>
        <w:pStyle w:val="ListParagraph"/>
        <w:spacing w:line="240" w:lineRule="auto"/>
        <w:rPr>
          <w:rFonts w:asciiTheme="minorHAnsi" w:hAnsiTheme="minorHAnsi" w:cstheme="minorHAnsi"/>
          <w:szCs w:val="24"/>
        </w:rPr>
      </w:pPr>
    </w:p>
    <w:p w14:paraId="0265B586" w14:textId="6C7C5980" w:rsidR="007A4264" w:rsidRDefault="007A4264" w:rsidP="00505BE0">
      <w:pPr>
        <w:pStyle w:val="ListParagraph"/>
        <w:numPr>
          <w:ilvl w:val="0"/>
          <w:numId w:val="6"/>
        </w:numPr>
        <w:spacing w:line="240" w:lineRule="auto"/>
        <w:jc w:val="both"/>
        <w:rPr>
          <w:rFonts w:asciiTheme="minorHAnsi" w:hAnsiTheme="minorHAnsi" w:cstheme="minorHAnsi"/>
          <w:szCs w:val="24"/>
        </w:rPr>
      </w:pPr>
      <w:r w:rsidRPr="000E1A8D">
        <w:rPr>
          <w:rFonts w:asciiTheme="minorHAnsi" w:hAnsiTheme="minorHAnsi" w:cstheme="minorHAnsi"/>
          <w:szCs w:val="24"/>
        </w:rPr>
        <w:t>While leading FTSE350 companies may be able to showcase best practice in equalities and human rights, it is unlikely that SMEs worried about how to secure compliance with the law will be able to relate to these examples, or</w:t>
      </w:r>
      <w:r>
        <w:rPr>
          <w:rFonts w:asciiTheme="minorHAnsi" w:hAnsiTheme="minorHAnsi" w:cstheme="minorHAnsi"/>
          <w:szCs w:val="24"/>
        </w:rPr>
        <w:t xml:space="preserve"> be keen to</w:t>
      </w:r>
      <w:r w:rsidRPr="000E1A8D">
        <w:rPr>
          <w:rFonts w:asciiTheme="minorHAnsi" w:hAnsiTheme="minorHAnsi" w:cstheme="minorHAnsi"/>
          <w:szCs w:val="24"/>
        </w:rPr>
        <w:t xml:space="preserve"> trust messages from leading</w:t>
      </w:r>
      <w:r>
        <w:rPr>
          <w:rFonts w:asciiTheme="minorHAnsi" w:hAnsiTheme="minorHAnsi" w:cstheme="minorHAnsi"/>
          <w:szCs w:val="24"/>
        </w:rPr>
        <w:t>, yet distant,</w:t>
      </w:r>
      <w:r w:rsidRPr="000E1A8D">
        <w:rPr>
          <w:rFonts w:asciiTheme="minorHAnsi" w:hAnsiTheme="minorHAnsi" w:cstheme="minorHAnsi"/>
          <w:szCs w:val="24"/>
        </w:rPr>
        <w:t xml:space="preserve"> large employers. Relying on champions from within the SME community, and focusing on the more achievable aim of compliance, appears a more promising approach in this case. </w:t>
      </w:r>
    </w:p>
    <w:p w14:paraId="20E5E64E" w14:textId="77777777" w:rsidR="00A842BF" w:rsidRDefault="00A842BF" w:rsidP="00A842BF">
      <w:pPr>
        <w:pStyle w:val="Heading2"/>
        <w:rPr>
          <w:rFonts w:asciiTheme="minorHAnsi" w:hAnsiTheme="minorHAnsi"/>
        </w:rPr>
      </w:pPr>
    </w:p>
    <w:p w14:paraId="7B1B97FD" w14:textId="6CB75CB4" w:rsidR="001869F0" w:rsidRPr="001869F0" w:rsidRDefault="00A842BF" w:rsidP="00A842BF">
      <w:pPr>
        <w:pStyle w:val="Heading2"/>
        <w:rPr>
          <w:rFonts w:asciiTheme="minorHAnsi" w:hAnsiTheme="minorHAnsi"/>
        </w:rPr>
      </w:pPr>
      <w:bookmarkStart w:id="13" w:name="_Toc378323557"/>
      <w:r>
        <w:t xml:space="preserve">3.3 </w:t>
      </w:r>
      <w:r w:rsidR="001869F0">
        <w:t>Women in Enterprise</w:t>
      </w:r>
      <w:bookmarkEnd w:id="13"/>
    </w:p>
    <w:p w14:paraId="112C6CF2" w14:textId="77777777" w:rsidR="00D541F4" w:rsidRDefault="00D541F4" w:rsidP="000E1A8D">
      <w:pPr>
        <w:jc w:val="both"/>
        <w:rPr>
          <w:rFonts w:cstheme="minorHAnsi"/>
          <w:sz w:val="24"/>
          <w:szCs w:val="24"/>
        </w:rPr>
      </w:pPr>
    </w:p>
    <w:p w14:paraId="7F038FFF" w14:textId="3FFA8299" w:rsidR="00DC0C0B" w:rsidRPr="00DC0C0B" w:rsidRDefault="001869F0" w:rsidP="00505BE0">
      <w:pPr>
        <w:pStyle w:val="ListParagraph"/>
        <w:numPr>
          <w:ilvl w:val="0"/>
          <w:numId w:val="6"/>
        </w:numPr>
        <w:jc w:val="both"/>
        <w:rPr>
          <w:rFonts w:asciiTheme="minorHAnsi" w:hAnsiTheme="minorHAnsi" w:cstheme="minorHAnsi"/>
          <w:szCs w:val="24"/>
        </w:rPr>
      </w:pPr>
      <w:r w:rsidRPr="00DC0C0B">
        <w:rPr>
          <w:rFonts w:asciiTheme="minorHAnsi" w:hAnsiTheme="minorHAnsi" w:cstheme="minorHAnsi"/>
          <w:szCs w:val="24"/>
        </w:rPr>
        <w:t xml:space="preserve">Different rates of entrepreneurship between men and women have been a long standing issue for GEO. In its 2013 report, the Women’s Business Council </w:t>
      </w:r>
      <w:r w:rsidR="00800E84" w:rsidRPr="00DC0C0B">
        <w:rPr>
          <w:rFonts w:asciiTheme="minorHAnsi" w:hAnsiTheme="minorHAnsi" w:cstheme="minorHAnsi"/>
          <w:szCs w:val="24"/>
        </w:rPr>
        <w:t>(WBC)</w:t>
      </w:r>
      <w:r w:rsidR="003F6D74" w:rsidRPr="00DC0C0B">
        <w:rPr>
          <w:rFonts w:asciiTheme="minorHAnsi" w:hAnsiTheme="minorHAnsi" w:cstheme="minorHAnsi"/>
          <w:szCs w:val="24"/>
        </w:rPr>
        <w:t>,</w:t>
      </w:r>
      <w:r w:rsidR="00800E84" w:rsidRPr="00DC0C0B">
        <w:rPr>
          <w:rFonts w:asciiTheme="minorHAnsi" w:hAnsiTheme="minorHAnsi" w:cstheme="minorHAnsi"/>
          <w:szCs w:val="24"/>
        </w:rPr>
        <w:t xml:space="preserve"> </w:t>
      </w:r>
      <w:r w:rsidRPr="00DC0C0B">
        <w:rPr>
          <w:rFonts w:asciiTheme="minorHAnsi" w:hAnsiTheme="minorHAnsi" w:cstheme="minorHAnsi"/>
          <w:szCs w:val="24"/>
        </w:rPr>
        <w:t>convened by GEO</w:t>
      </w:r>
      <w:r w:rsidR="003F6D74" w:rsidRPr="00DC0C0B">
        <w:rPr>
          <w:rFonts w:asciiTheme="minorHAnsi" w:hAnsiTheme="minorHAnsi" w:cstheme="minorHAnsi"/>
          <w:szCs w:val="24"/>
        </w:rPr>
        <w:t>,</w:t>
      </w:r>
      <w:r w:rsidRPr="00DC0C0B">
        <w:rPr>
          <w:rFonts w:asciiTheme="minorHAnsi" w:hAnsiTheme="minorHAnsi" w:cstheme="minorHAnsi"/>
          <w:szCs w:val="24"/>
        </w:rPr>
        <w:t xml:space="preserve"> found that equalising men’s and women’s rates of entrepreneurship upwards could lead to </w:t>
      </w:r>
      <w:r w:rsidR="00800E84" w:rsidRPr="00DC0C0B">
        <w:rPr>
          <w:rFonts w:asciiTheme="minorHAnsi" w:hAnsiTheme="minorHAnsi" w:cstheme="minorHAnsi"/>
          <w:szCs w:val="24"/>
        </w:rPr>
        <w:t>around one million additional businesses in the UK. Barriers to women’s enterprise are linked to a number of behavioural</w:t>
      </w:r>
      <w:r w:rsidR="00BF484D">
        <w:rPr>
          <w:rFonts w:asciiTheme="minorHAnsi" w:hAnsiTheme="minorHAnsi" w:cstheme="minorHAnsi"/>
          <w:szCs w:val="24"/>
        </w:rPr>
        <w:t xml:space="preserve"> issues, </w:t>
      </w:r>
      <w:r w:rsidR="00BF484D">
        <w:rPr>
          <w:rFonts w:asciiTheme="minorHAnsi" w:hAnsiTheme="minorHAnsi" w:cstheme="minorHAnsi"/>
          <w:szCs w:val="24"/>
        </w:rPr>
        <w:lastRenderedPageBreak/>
        <w:t>such as social norms, estimating</w:t>
      </w:r>
      <w:r w:rsidR="00800E84" w:rsidRPr="00DC0C0B">
        <w:rPr>
          <w:rFonts w:asciiTheme="minorHAnsi" w:hAnsiTheme="minorHAnsi" w:cstheme="minorHAnsi"/>
          <w:szCs w:val="24"/>
        </w:rPr>
        <w:t xml:space="preserve"> incentives and outcomes</w:t>
      </w:r>
      <w:r w:rsidR="00BF484D">
        <w:rPr>
          <w:rFonts w:asciiTheme="minorHAnsi" w:hAnsiTheme="minorHAnsi" w:cstheme="minorHAnsi"/>
          <w:szCs w:val="24"/>
        </w:rPr>
        <w:t>,</w:t>
      </w:r>
      <w:r w:rsidR="00800E84" w:rsidRPr="00DC0C0B">
        <w:rPr>
          <w:rFonts w:asciiTheme="minorHAnsi" w:hAnsiTheme="minorHAnsi" w:cstheme="minorHAnsi"/>
          <w:szCs w:val="24"/>
        </w:rPr>
        <w:t xml:space="preserve"> influencing se</w:t>
      </w:r>
      <w:r w:rsidR="00BF484D">
        <w:rPr>
          <w:rFonts w:asciiTheme="minorHAnsi" w:hAnsiTheme="minorHAnsi" w:cstheme="minorHAnsi"/>
          <w:szCs w:val="24"/>
        </w:rPr>
        <w:t>lf-image, and so on</w:t>
      </w:r>
      <w:r w:rsidR="00800E84" w:rsidRPr="00DC0C0B">
        <w:rPr>
          <w:rFonts w:asciiTheme="minorHAnsi" w:hAnsiTheme="minorHAnsi" w:cstheme="minorHAnsi"/>
          <w:szCs w:val="24"/>
        </w:rPr>
        <w:t>.</w:t>
      </w:r>
    </w:p>
    <w:p w14:paraId="1FC5AA53" w14:textId="77777777" w:rsidR="00DC0C0B" w:rsidRPr="00DC0C0B" w:rsidRDefault="00DC0C0B" w:rsidP="00DC0C0B">
      <w:pPr>
        <w:pStyle w:val="ListParagraph"/>
        <w:jc w:val="both"/>
        <w:rPr>
          <w:rFonts w:asciiTheme="minorHAnsi" w:hAnsiTheme="minorHAnsi" w:cstheme="minorHAnsi"/>
          <w:szCs w:val="24"/>
        </w:rPr>
      </w:pPr>
    </w:p>
    <w:p w14:paraId="27947B40" w14:textId="3A4BBF6B" w:rsidR="00DC0C0B" w:rsidRDefault="00EE5551" w:rsidP="00505BE0">
      <w:pPr>
        <w:pStyle w:val="ListParagraph"/>
        <w:numPr>
          <w:ilvl w:val="0"/>
          <w:numId w:val="6"/>
        </w:numPr>
        <w:jc w:val="both"/>
        <w:rPr>
          <w:rFonts w:asciiTheme="minorHAnsi" w:hAnsiTheme="minorHAnsi" w:cstheme="minorHAnsi"/>
          <w:szCs w:val="24"/>
        </w:rPr>
      </w:pPr>
      <w:r w:rsidRPr="00DC0C0B">
        <w:rPr>
          <w:rFonts w:asciiTheme="minorHAnsi" w:hAnsiTheme="minorHAnsi" w:cstheme="minorHAnsi"/>
          <w:szCs w:val="24"/>
        </w:rPr>
        <w:t xml:space="preserve">Barriers to women’s enterprise identified by the WBC include access to finance, with women-led SMEs less likely to use external finance than those led by men. </w:t>
      </w:r>
      <w:r w:rsidR="00F20BBD" w:rsidRPr="00DC0C0B">
        <w:rPr>
          <w:rFonts w:asciiTheme="minorHAnsi" w:hAnsiTheme="minorHAnsi" w:cstheme="minorHAnsi"/>
          <w:szCs w:val="24"/>
        </w:rPr>
        <w:t>Self-confidence is also likely to be an issue, with fewer women than men thinkin</w:t>
      </w:r>
      <w:r w:rsidR="00BF484D">
        <w:rPr>
          <w:rFonts w:asciiTheme="minorHAnsi" w:hAnsiTheme="minorHAnsi" w:cstheme="minorHAnsi"/>
          <w:szCs w:val="24"/>
        </w:rPr>
        <w:t>g they had the skills necessary</w:t>
      </w:r>
      <w:r w:rsidR="00F20BBD" w:rsidRPr="00DC0C0B">
        <w:rPr>
          <w:rFonts w:asciiTheme="minorHAnsi" w:hAnsiTheme="minorHAnsi" w:cstheme="minorHAnsi"/>
          <w:szCs w:val="24"/>
        </w:rPr>
        <w:t xml:space="preserve"> to run a business, in spite </w:t>
      </w:r>
      <w:r w:rsidR="005319A0">
        <w:rPr>
          <w:rFonts w:asciiTheme="minorHAnsi" w:hAnsiTheme="minorHAnsi" w:cstheme="minorHAnsi"/>
          <w:szCs w:val="24"/>
        </w:rPr>
        <w:t xml:space="preserve">of </w:t>
      </w:r>
      <w:r w:rsidR="00F20BBD" w:rsidRPr="00DC0C0B">
        <w:rPr>
          <w:rFonts w:asciiTheme="minorHAnsi" w:hAnsiTheme="minorHAnsi" w:cstheme="minorHAnsi"/>
          <w:szCs w:val="24"/>
        </w:rPr>
        <w:t xml:space="preserve">being no less qualified objectively than men. Furthermore, research suggests that </w:t>
      </w:r>
      <w:r w:rsidR="00813CA6">
        <w:rPr>
          <w:rFonts w:asciiTheme="minorHAnsi" w:hAnsiTheme="minorHAnsi" w:cstheme="minorHAnsi"/>
          <w:szCs w:val="24"/>
        </w:rPr>
        <w:t>gender inferences are drawn by lenders,</w:t>
      </w:r>
      <w:r w:rsidR="00813CA6">
        <w:rPr>
          <w:rStyle w:val="FootnoteReference"/>
          <w:rFonts w:asciiTheme="minorHAnsi" w:hAnsiTheme="minorHAnsi" w:cstheme="minorHAnsi"/>
          <w:szCs w:val="24"/>
        </w:rPr>
        <w:footnoteReference w:id="27"/>
      </w:r>
      <w:r w:rsidR="00813CA6">
        <w:rPr>
          <w:rFonts w:asciiTheme="minorHAnsi" w:hAnsiTheme="minorHAnsi" w:cstheme="minorHAnsi"/>
          <w:szCs w:val="24"/>
        </w:rPr>
        <w:t xml:space="preserve"> and that </w:t>
      </w:r>
      <w:r w:rsidR="00F20BBD" w:rsidRPr="00DC0C0B">
        <w:rPr>
          <w:rFonts w:asciiTheme="minorHAnsi" w:hAnsiTheme="minorHAnsi" w:cstheme="minorHAnsi"/>
          <w:szCs w:val="24"/>
        </w:rPr>
        <w:t xml:space="preserve">women tend to have different motivations for becoming entrepreneurs than men, with the ability to ‘be </w:t>
      </w:r>
      <w:r w:rsidR="009817D1" w:rsidRPr="00DC0C0B">
        <w:rPr>
          <w:rFonts w:asciiTheme="minorHAnsi" w:hAnsiTheme="minorHAnsi" w:cstheme="minorHAnsi"/>
          <w:szCs w:val="24"/>
        </w:rPr>
        <w:t xml:space="preserve">one’s </w:t>
      </w:r>
      <w:r w:rsidR="00F20BBD" w:rsidRPr="00DC0C0B">
        <w:rPr>
          <w:rFonts w:asciiTheme="minorHAnsi" w:hAnsiTheme="minorHAnsi" w:cstheme="minorHAnsi"/>
          <w:szCs w:val="24"/>
        </w:rPr>
        <w:t>own boss’</w:t>
      </w:r>
      <w:r w:rsidR="009817D1" w:rsidRPr="00DC0C0B">
        <w:rPr>
          <w:rFonts w:asciiTheme="minorHAnsi" w:hAnsiTheme="minorHAnsi" w:cstheme="minorHAnsi"/>
          <w:szCs w:val="24"/>
        </w:rPr>
        <w:t xml:space="preserve"> and managing one’s time independently being relatively more important than financial motivations compared to men. These barriers are compounded by a lack o</w:t>
      </w:r>
      <w:r w:rsidR="00831ACB">
        <w:rPr>
          <w:rFonts w:asciiTheme="minorHAnsi" w:hAnsiTheme="minorHAnsi" w:cstheme="minorHAnsi"/>
          <w:szCs w:val="24"/>
        </w:rPr>
        <w:t>f role models and, crucially, Competition Neglect</w:t>
      </w:r>
      <w:r w:rsidR="009817D1" w:rsidRPr="00DC0C0B">
        <w:rPr>
          <w:rFonts w:asciiTheme="minorHAnsi" w:hAnsiTheme="minorHAnsi" w:cstheme="minorHAnsi"/>
          <w:szCs w:val="24"/>
        </w:rPr>
        <w:t>, meaning the excess entry into typically female</w:t>
      </w:r>
      <w:r w:rsidR="00D2629F">
        <w:rPr>
          <w:rFonts w:asciiTheme="minorHAnsi" w:hAnsiTheme="minorHAnsi" w:cstheme="minorHAnsi"/>
          <w:szCs w:val="24"/>
        </w:rPr>
        <w:t>-dominated</w:t>
      </w:r>
      <w:r w:rsidR="009817D1" w:rsidRPr="00DC0C0B">
        <w:rPr>
          <w:rFonts w:asciiTheme="minorHAnsi" w:hAnsiTheme="minorHAnsi" w:cstheme="minorHAnsi"/>
          <w:szCs w:val="24"/>
        </w:rPr>
        <w:t xml:space="preserve"> se</w:t>
      </w:r>
      <w:r w:rsidR="00D2629F">
        <w:rPr>
          <w:rFonts w:asciiTheme="minorHAnsi" w:hAnsiTheme="minorHAnsi" w:cstheme="minorHAnsi"/>
          <w:szCs w:val="24"/>
        </w:rPr>
        <w:t>ctors because they are seen as easy</w:t>
      </w:r>
      <w:r w:rsidR="009817D1" w:rsidRPr="00DC0C0B">
        <w:rPr>
          <w:rFonts w:asciiTheme="minorHAnsi" w:hAnsiTheme="minorHAnsi" w:cstheme="minorHAnsi"/>
          <w:szCs w:val="24"/>
        </w:rPr>
        <w:t xml:space="preserve">, making them more competitive and reducing growth prospects relative to other sectors. </w:t>
      </w:r>
    </w:p>
    <w:p w14:paraId="3BEE4039" w14:textId="77777777" w:rsidR="00DC0C0B" w:rsidRPr="00DC0C0B" w:rsidRDefault="00DC0C0B" w:rsidP="00DC0C0B">
      <w:pPr>
        <w:pStyle w:val="ListParagraph"/>
        <w:rPr>
          <w:rFonts w:asciiTheme="minorHAnsi" w:hAnsiTheme="minorHAnsi" w:cstheme="minorHAnsi"/>
          <w:szCs w:val="24"/>
        </w:rPr>
      </w:pPr>
    </w:p>
    <w:p w14:paraId="122E4AF1" w14:textId="30FC6E40" w:rsidR="00250CC3" w:rsidRPr="00DC0C0B" w:rsidRDefault="00800E84" w:rsidP="00505BE0">
      <w:pPr>
        <w:pStyle w:val="ListParagraph"/>
        <w:numPr>
          <w:ilvl w:val="0"/>
          <w:numId w:val="6"/>
        </w:numPr>
        <w:jc w:val="both"/>
        <w:rPr>
          <w:rFonts w:asciiTheme="minorHAnsi" w:hAnsiTheme="minorHAnsi" w:cstheme="minorHAnsi"/>
          <w:szCs w:val="24"/>
        </w:rPr>
      </w:pPr>
      <w:r w:rsidRPr="00DC0C0B">
        <w:rPr>
          <w:rFonts w:asciiTheme="minorHAnsi" w:hAnsiTheme="minorHAnsi" w:cstheme="minorHAnsi"/>
          <w:szCs w:val="24"/>
        </w:rPr>
        <w:t xml:space="preserve">The CAPE project </w:t>
      </w:r>
      <w:r w:rsidR="00813CA6">
        <w:rPr>
          <w:rFonts w:asciiTheme="minorHAnsi" w:hAnsiTheme="minorHAnsi" w:cstheme="minorHAnsi"/>
          <w:szCs w:val="24"/>
        </w:rPr>
        <w:t>developed some new and timely</w:t>
      </w:r>
      <w:r w:rsidRPr="00DC0C0B">
        <w:rPr>
          <w:rFonts w:asciiTheme="minorHAnsi" w:hAnsiTheme="minorHAnsi" w:cstheme="minorHAnsi"/>
          <w:szCs w:val="24"/>
        </w:rPr>
        <w:t xml:space="preserve"> options for taking </w:t>
      </w:r>
      <w:r w:rsidR="00EE5551" w:rsidRPr="00DC0C0B">
        <w:rPr>
          <w:rFonts w:asciiTheme="minorHAnsi" w:hAnsiTheme="minorHAnsi" w:cstheme="minorHAnsi"/>
          <w:szCs w:val="24"/>
        </w:rPr>
        <w:t xml:space="preserve">forward </w:t>
      </w:r>
      <w:r w:rsidRPr="00DC0C0B">
        <w:rPr>
          <w:rFonts w:asciiTheme="minorHAnsi" w:hAnsiTheme="minorHAnsi" w:cstheme="minorHAnsi"/>
          <w:szCs w:val="24"/>
        </w:rPr>
        <w:t>the Women in Enterprise o</w:t>
      </w:r>
      <w:r w:rsidR="00EE5551" w:rsidRPr="00DC0C0B">
        <w:rPr>
          <w:rFonts w:asciiTheme="minorHAnsi" w:hAnsiTheme="minorHAnsi" w:cstheme="minorHAnsi"/>
          <w:szCs w:val="24"/>
        </w:rPr>
        <w:t xml:space="preserve">bjectives of the WBC and GEO’s work on access to finance. </w:t>
      </w:r>
      <w:r w:rsidR="00650605" w:rsidRPr="00DC0C0B">
        <w:rPr>
          <w:rFonts w:asciiTheme="minorHAnsi" w:hAnsiTheme="minorHAnsi" w:cstheme="minorHAnsi"/>
          <w:szCs w:val="24"/>
        </w:rPr>
        <w:t xml:space="preserve">Specifically, this work has taken the form of identifying underlying behavioural issues which may not be fully addressed by the current focus of WBC recommendations around information and education, and by building links to the work of </w:t>
      </w:r>
      <w:r w:rsidR="00CF09ED">
        <w:rPr>
          <w:rFonts w:asciiTheme="minorHAnsi" w:hAnsiTheme="minorHAnsi" w:cstheme="minorHAnsi"/>
          <w:szCs w:val="24"/>
        </w:rPr>
        <w:t>behavioural finance practitioners in the private sector.</w:t>
      </w:r>
    </w:p>
    <w:p w14:paraId="26515F53" w14:textId="77777777" w:rsidR="00250CC3" w:rsidRPr="00250CC3" w:rsidRDefault="00250CC3" w:rsidP="00250CC3">
      <w:pPr>
        <w:pStyle w:val="ListParagraph"/>
        <w:rPr>
          <w:rFonts w:asciiTheme="minorHAnsi" w:hAnsiTheme="minorHAnsi" w:cstheme="minorHAnsi"/>
          <w:szCs w:val="24"/>
        </w:rPr>
      </w:pPr>
    </w:p>
    <w:p w14:paraId="6F8210E2" w14:textId="1522B919" w:rsidR="00250CC3" w:rsidRPr="0044602C" w:rsidRDefault="00250CC3" w:rsidP="00250CC3">
      <w:pPr>
        <w:jc w:val="both"/>
        <w:rPr>
          <w:rFonts w:cstheme="minorHAnsi"/>
          <w:b/>
          <w:sz w:val="24"/>
          <w:szCs w:val="24"/>
        </w:rPr>
      </w:pPr>
      <w:r w:rsidRPr="0044602C">
        <w:rPr>
          <w:rFonts w:cstheme="minorHAnsi"/>
          <w:b/>
          <w:sz w:val="24"/>
          <w:szCs w:val="24"/>
        </w:rPr>
        <w:t>Behaviour Change Insights</w:t>
      </w:r>
    </w:p>
    <w:p w14:paraId="1FC91FE2" w14:textId="39EA0E11" w:rsidR="00DC0C0B" w:rsidRDefault="00250CC3" w:rsidP="00505BE0">
      <w:pPr>
        <w:pStyle w:val="ListParagraph"/>
        <w:numPr>
          <w:ilvl w:val="0"/>
          <w:numId w:val="6"/>
        </w:numPr>
        <w:jc w:val="both"/>
        <w:rPr>
          <w:rFonts w:asciiTheme="minorHAnsi" w:hAnsiTheme="minorHAnsi" w:cstheme="minorHAnsi"/>
          <w:szCs w:val="24"/>
        </w:rPr>
      </w:pPr>
      <w:r w:rsidRPr="00DC0C0B">
        <w:rPr>
          <w:rFonts w:asciiTheme="minorHAnsi" w:hAnsiTheme="minorHAnsi" w:cstheme="minorHAnsi"/>
          <w:szCs w:val="24"/>
        </w:rPr>
        <w:t xml:space="preserve">The </w:t>
      </w:r>
      <w:r w:rsidRPr="00DC0C0B">
        <w:rPr>
          <w:rFonts w:asciiTheme="minorHAnsi" w:hAnsiTheme="minorHAnsi" w:cstheme="minorHAnsi"/>
          <w:b/>
          <w:szCs w:val="24"/>
        </w:rPr>
        <w:t>‘messenger’</w:t>
      </w:r>
      <w:r w:rsidRPr="00DC0C0B">
        <w:rPr>
          <w:rFonts w:asciiTheme="minorHAnsi" w:hAnsiTheme="minorHAnsi" w:cstheme="minorHAnsi"/>
          <w:szCs w:val="24"/>
        </w:rPr>
        <w:t xml:space="preserve"> concept broadly states that the </w:t>
      </w:r>
      <w:r w:rsidR="00831ACB">
        <w:rPr>
          <w:rFonts w:asciiTheme="minorHAnsi" w:hAnsiTheme="minorHAnsi" w:cstheme="minorHAnsi"/>
          <w:szCs w:val="24"/>
        </w:rPr>
        <w:t xml:space="preserve">individual </w:t>
      </w:r>
      <w:r w:rsidRPr="00DC0C0B">
        <w:rPr>
          <w:rFonts w:asciiTheme="minorHAnsi" w:hAnsiTheme="minorHAnsi" w:cstheme="minorHAnsi"/>
          <w:szCs w:val="24"/>
        </w:rPr>
        <w:t>transmitting a message may be just as important as the message i</w:t>
      </w:r>
      <w:r w:rsidR="00831ACB">
        <w:rPr>
          <w:rFonts w:asciiTheme="minorHAnsi" w:hAnsiTheme="minorHAnsi" w:cstheme="minorHAnsi"/>
          <w:szCs w:val="24"/>
        </w:rPr>
        <w:t>tself, as people are not fully rational, or rather objective,</w:t>
      </w:r>
      <w:r w:rsidRPr="00DC0C0B">
        <w:rPr>
          <w:rFonts w:asciiTheme="minorHAnsi" w:hAnsiTheme="minorHAnsi" w:cstheme="minorHAnsi"/>
          <w:szCs w:val="24"/>
        </w:rPr>
        <w:t xml:space="preserve"> in their evaluation of its content. Specifically, messengers will be regarded as more credible when they are seen as experts, as part of the audience’s peer group, and if their situation</w:t>
      </w:r>
      <w:r w:rsidR="00831ACB">
        <w:rPr>
          <w:rFonts w:asciiTheme="minorHAnsi" w:hAnsiTheme="minorHAnsi" w:cstheme="minorHAnsi"/>
          <w:szCs w:val="24"/>
        </w:rPr>
        <w:t xml:space="preserve"> or personal story</w:t>
      </w:r>
      <w:r w:rsidRPr="00DC0C0B">
        <w:rPr>
          <w:rFonts w:asciiTheme="minorHAnsi" w:hAnsiTheme="minorHAnsi" w:cstheme="minorHAnsi"/>
          <w:szCs w:val="24"/>
        </w:rPr>
        <w:t xml:space="preserve"> does not undermine the message itself. </w:t>
      </w:r>
    </w:p>
    <w:p w14:paraId="7A1D385E" w14:textId="77777777" w:rsidR="00DC0C0B" w:rsidRDefault="00DC0C0B" w:rsidP="00DC0C0B">
      <w:pPr>
        <w:pStyle w:val="ListParagraph"/>
        <w:jc w:val="both"/>
        <w:rPr>
          <w:rFonts w:asciiTheme="minorHAnsi" w:hAnsiTheme="minorHAnsi" w:cstheme="minorHAnsi"/>
          <w:szCs w:val="24"/>
        </w:rPr>
      </w:pPr>
    </w:p>
    <w:p w14:paraId="3805BEAA" w14:textId="0F251DE0" w:rsidR="00250CC3" w:rsidRPr="00DC0C0B" w:rsidRDefault="00831ACB" w:rsidP="00505BE0">
      <w:pPr>
        <w:pStyle w:val="ListParagraph"/>
        <w:numPr>
          <w:ilvl w:val="0"/>
          <w:numId w:val="6"/>
        </w:numPr>
        <w:jc w:val="both"/>
        <w:rPr>
          <w:rFonts w:asciiTheme="minorHAnsi" w:hAnsiTheme="minorHAnsi" w:cstheme="minorHAnsi"/>
          <w:szCs w:val="24"/>
        </w:rPr>
      </w:pPr>
      <w:r>
        <w:rPr>
          <w:rFonts w:asciiTheme="minorHAnsi" w:hAnsiTheme="minorHAnsi" w:cstheme="minorHAnsi"/>
          <w:szCs w:val="24"/>
        </w:rPr>
        <w:t xml:space="preserve">The lack of large </w:t>
      </w:r>
      <w:r w:rsidR="00250CC3" w:rsidRPr="00DC0C0B">
        <w:rPr>
          <w:rFonts w:asciiTheme="minorHAnsi" w:hAnsiTheme="minorHAnsi" w:cstheme="minorHAnsi"/>
          <w:szCs w:val="24"/>
        </w:rPr>
        <w:t>number</w:t>
      </w:r>
      <w:r>
        <w:rPr>
          <w:rFonts w:asciiTheme="minorHAnsi" w:hAnsiTheme="minorHAnsi" w:cstheme="minorHAnsi"/>
          <w:szCs w:val="24"/>
        </w:rPr>
        <w:t>s</w:t>
      </w:r>
      <w:r w:rsidR="00250CC3" w:rsidRPr="00DC0C0B">
        <w:rPr>
          <w:rFonts w:asciiTheme="minorHAnsi" w:hAnsiTheme="minorHAnsi" w:cstheme="minorHAnsi"/>
          <w:szCs w:val="24"/>
        </w:rPr>
        <w:t xml:space="preserve"> of female entrepreneurs who can act as role models means that the role of messenger will often be taken by other agents, such as government, banks and trade associations, which are less like</w:t>
      </w:r>
      <w:r>
        <w:rPr>
          <w:rFonts w:asciiTheme="minorHAnsi" w:hAnsiTheme="minorHAnsi" w:cstheme="minorHAnsi"/>
          <w:szCs w:val="24"/>
        </w:rPr>
        <w:t>ly to be seen as part of women</w:t>
      </w:r>
      <w:r w:rsidR="00250CC3" w:rsidRPr="00DC0C0B">
        <w:rPr>
          <w:rFonts w:asciiTheme="minorHAnsi" w:hAnsiTheme="minorHAnsi" w:cstheme="minorHAnsi"/>
          <w:szCs w:val="24"/>
        </w:rPr>
        <w:t xml:space="preserve"> entrepreneurs</w:t>
      </w:r>
      <w:r>
        <w:rPr>
          <w:rFonts w:asciiTheme="minorHAnsi" w:hAnsiTheme="minorHAnsi" w:cstheme="minorHAnsi"/>
          <w:szCs w:val="24"/>
        </w:rPr>
        <w:t>’</w:t>
      </w:r>
      <w:r w:rsidR="00250CC3" w:rsidRPr="00DC0C0B">
        <w:rPr>
          <w:rFonts w:asciiTheme="minorHAnsi" w:hAnsiTheme="minorHAnsi" w:cstheme="minorHAnsi"/>
          <w:szCs w:val="24"/>
        </w:rPr>
        <w:t xml:space="preserve"> peer groups or as experts on the issues f</w:t>
      </w:r>
      <w:r>
        <w:rPr>
          <w:rFonts w:asciiTheme="minorHAnsi" w:hAnsiTheme="minorHAnsi" w:cstheme="minorHAnsi"/>
          <w:szCs w:val="24"/>
        </w:rPr>
        <w:t>acing them. On the other hand, superwoman</w:t>
      </w:r>
      <w:r w:rsidR="00250CC3" w:rsidRPr="00DC0C0B">
        <w:rPr>
          <w:rFonts w:asciiTheme="minorHAnsi" w:hAnsiTheme="minorHAnsi" w:cstheme="minorHAnsi"/>
          <w:szCs w:val="24"/>
        </w:rPr>
        <w:t xml:space="preserve"> role models, i.e. extremely successful female entrepreneurs, are likely to be counter-productive </w:t>
      </w:r>
      <w:r>
        <w:rPr>
          <w:rFonts w:asciiTheme="minorHAnsi" w:hAnsiTheme="minorHAnsi" w:cstheme="minorHAnsi"/>
          <w:szCs w:val="24"/>
        </w:rPr>
        <w:t xml:space="preserve">for two reasons: </w:t>
      </w:r>
      <w:r w:rsidR="00250CC3" w:rsidRPr="00DC0C0B">
        <w:rPr>
          <w:rFonts w:asciiTheme="minorHAnsi" w:hAnsiTheme="minorHAnsi" w:cstheme="minorHAnsi"/>
          <w:szCs w:val="24"/>
        </w:rPr>
        <w:t xml:space="preserve">they are not part </w:t>
      </w:r>
      <w:r w:rsidR="00250CC3" w:rsidRPr="00DC0C0B">
        <w:rPr>
          <w:rFonts w:asciiTheme="minorHAnsi" w:hAnsiTheme="minorHAnsi" w:cstheme="minorHAnsi"/>
          <w:szCs w:val="24"/>
        </w:rPr>
        <w:lastRenderedPageBreak/>
        <w:t xml:space="preserve">of the close peer group </w:t>
      </w:r>
      <w:r>
        <w:rPr>
          <w:rFonts w:asciiTheme="minorHAnsi" w:hAnsiTheme="minorHAnsi" w:cstheme="minorHAnsi"/>
          <w:szCs w:val="24"/>
        </w:rPr>
        <w:t xml:space="preserve">of most women in business, </w:t>
      </w:r>
      <w:r w:rsidR="00250CC3" w:rsidRPr="00DC0C0B">
        <w:rPr>
          <w:rFonts w:asciiTheme="minorHAnsi" w:hAnsiTheme="minorHAnsi" w:cstheme="minorHAnsi"/>
          <w:szCs w:val="24"/>
        </w:rPr>
        <w:t xml:space="preserve">facing </w:t>
      </w:r>
      <w:r>
        <w:rPr>
          <w:rFonts w:asciiTheme="minorHAnsi" w:hAnsiTheme="minorHAnsi" w:cstheme="minorHAnsi"/>
          <w:szCs w:val="24"/>
        </w:rPr>
        <w:t xml:space="preserve">common obstacles, and </w:t>
      </w:r>
      <w:r w:rsidR="00250CC3" w:rsidRPr="00DC0C0B">
        <w:rPr>
          <w:rFonts w:asciiTheme="minorHAnsi" w:hAnsiTheme="minorHAnsi" w:cstheme="minorHAnsi"/>
          <w:szCs w:val="24"/>
        </w:rPr>
        <w:t>their personal background is likely to undermine messages that failure is acceptable.</w:t>
      </w:r>
    </w:p>
    <w:p w14:paraId="5F1B24B3" w14:textId="77777777" w:rsidR="0044602C" w:rsidRPr="00DC0C0B" w:rsidRDefault="0044602C" w:rsidP="0044602C">
      <w:pPr>
        <w:pStyle w:val="ListParagraph"/>
        <w:jc w:val="both"/>
        <w:rPr>
          <w:rFonts w:asciiTheme="minorHAnsi" w:hAnsiTheme="minorHAnsi" w:cstheme="minorHAnsi"/>
          <w:szCs w:val="24"/>
        </w:rPr>
      </w:pPr>
    </w:p>
    <w:p w14:paraId="4E0876AB" w14:textId="4C5EA9F9" w:rsidR="00DC0C0B" w:rsidRDefault="00431223" w:rsidP="00505BE0">
      <w:pPr>
        <w:pStyle w:val="ListParagraph"/>
        <w:numPr>
          <w:ilvl w:val="0"/>
          <w:numId w:val="6"/>
        </w:numPr>
        <w:jc w:val="both"/>
        <w:rPr>
          <w:rFonts w:asciiTheme="minorHAnsi" w:hAnsiTheme="minorHAnsi" w:cstheme="minorHAnsi"/>
          <w:szCs w:val="24"/>
        </w:rPr>
      </w:pPr>
      <w:r w:rsidRPr="00DC0C0B">
        <w:rPr>
          <w:rFonts w:asciiTheme="minorHAnsi" w:hAnsiTheme="minorHAnsi" w:cstheme="minorHAnsi"/>
          <w:b/>
          <w:szCs w:val="24"/>
        </w:rPr>
        <w:t>‘Norms’</w:t>
      </w:r>
      <w:r w:rsidRPr="00DC0C0B">
        <w:rPr>
          <w:rFonts w:asciiTheme="minorHAnsi" w:hAnsiTheme="minorHAnsi" w:cstheme="minorHAnsi"/>
          <w:szCs w:val="24"/>
        </w:rPr>
        <w:t xml:space="preserve"> describes the desire to act similar to those in o</w:t>
      </w:r>
      <w:r w:rsidR="00831ACB">
        <w:rPr>
          <w:rFonts w:asciiTheme="minorHAnsi" w:hAnsiTheme="minorHAnsi" w:cstheme="minorHAnsi"/>
          <w:szCs w:val="24"/>
        </w:rPr>
        <w:t>ne’s peer group, regardless of rational</w:t>
      </w:r>
      <w:r w:rsidRPr="00DC0C0B">
        <w:rPr>
          <w:rFonts w:asciiTheme="minorHAnsi" w:hAnsiTheme="minorHAnsi" w:cstheme="minorHAnsi"/>
          <w:szCs w:val="24"/>
        </w:rPr>
        <w:t xml:space="preserve"> welfare and utility calculations. </w:t>
      </w:r>
      <w:r w:rsidR="00831ACB">
        <w:rPr>
          <w:rFonts w:asciiTheme="minorHAnsi" w:hAnsiTheme="minorHAnsi" w:cstheme="minorHAnsi"/>
          <w:szCs w:val="24"/>
        </w:rPr>
        <w:t xml:space="preserve">People tend to conform with and/or please their peer, and in doing so, disregard whether this directly benefits themselves. </w:t>
      </w:r>
      <w:r w:rsidRPr="00DC0C0B">
        <w:rPr>
          <w:rFonts w:asciiTheme="minorHAnsi" w:hAnsiTheme="minorHAnsi" w:cstheme="minorHAnsi"/>
          <w:szCs w:val="24"/>
        </w:rPr>
        <w:t xml:space="preserve">In </w:t>
      </w:r>
      <w:r w:rsidR="00250CC3" w:rsidRPr="00DC0C0B">
        <w:rPr>
          <w:rFonts w:asciiTheme="minorHAnsi" w:hAnsiTheme="minorHAnsi" w:cstheme="minorHAnsi"/>
          <w:szCs w:val="24"/>
        </w:rPr>
        <w:t>terms of Competition Neglect, segregation by secto</w:t>
      </w:r>
      <w:r w:rsidR="00831ACB">
        <w:rPr>
          <w:rFonts w:asciiTheme="minorHAnsi" w:hAnsiTheme="minorHAnsi" w:cstheme="minorHAnsi"/>
          <w:szCs w:val="24"/>
        </w:rPr>
        <w:t xml:space="preserve">r and attitudes to growth, the behavioural concepts of norms, incentives, and ego </w:t>
      </w:r>
      <w:r w:rsidR="00250CC3" w:rsidRPr="00DC0C0B">
        <w:rPr>
          <w:rFonts w:asciiTheme="minorHAnsi" w:hAnsiTheme="minorHAnsi" w:cstheme="minorHAnsi"/>
          <w:szCs w:val="24"/>
        </w:rPr>
        <w:t xml:space="preserve">likely play a role. </w:t>
      </w:r>
      <w:r w:rsidR="00831ACB">
        <w:rPr>
          <w:rFonts w:asciiTheme="minorHAnsi" w:hAnsiTheme="minorHAnsi" w:cstheme="minorHAnsi"/>
          <w:szCs w:val="24"/>
        </w:rPr>
        <w:t xml:space="preserve">On the latter, female entrepreneurs can explain less successful businesses as something they always anticipated – somewhat like female employees </w:t>
      </w:r>
      <w:r w:rsidR="00425EEA">
        <w:rPr>
          <w:rFonts w:asciiTheme="minorHAnsi" w:hAnsiTheme="minorHAnsi" w:cstheme="minorHAnsi"/>
          <w:szCs w:val="24"/>
        </w:rPr>
        <w:t>experiencing poorer pay and less progression (than men).</w:t>
      </w:r>
    </w:p>
    <w:p w14:paraId="3F0925D4" w14:textId="77777777" w:rsidR="00DC0C0B" w:rsidRPr="00DC0C0B" w:rsidRDefault="00DC0C0B" w:rsidP="00DC0C0B">
      <w:pPr>
        <w:pStyle w:val="ListParagraph"/>
        <w:rPr>
          <w:rFonts w:asciiTheme="minorHAnsi" w:hAnsiTheme="minorHAnsi" w:cstheme="minorHAnsi"/>
          <w:szCs w:val="24"/>
        </w:rPr>
      </w:pPr>
    </w:p>
    <w:p w14:paraId="23B84EC6" w14:textId="1824703C" w:rsidR="00DC0C0B" w:rsidRPr="00DC0C0B" w:rsidRDefault="00250CC3" w:rsidP="00505BE0">
      <w:pPr>
        <w:pStyle w:val="ListParagraph"/>
        <w:numPr>
          <w:ilvl w:val="0"/>
          <w:numId w:val="6"/>
        </w:numPr>
        <w:jc w:val="both"/>
        <w:rPr>
          <w:rFonts w:asciiTheme="minorHAnsi" w:hAnsiTheme="minorHAnsi" w:cstheme="minorHAnsi"/>
          <w:szCs w:val="24"/>
        </w:rPr>
      </w:pPr>
      <w:r w:rsidRPr="00DC0C0B">
        <w:rPr>
          <w:rFonts w:asciiTheme="minorHAnsi" w:hAnsiTheme="minorHAnsi" w:cstheme="minorHAnsi"/>
          <w:szCs w:val="24"/>
        </w:rPr>
        <w:t>This has the potential impact of women entrepreneurs trying to follow the behaviour of other women entrepreneurs, even where it increases the likelihood of failure. In practice, being part o</w:t>
      </w:r>
      <w:r w:rsidR="00425EEA">
        <w:rPr>
          <w:rFonts w:asciiTheme="minorHAnsi" w:hAnsiTheme="minorHAnsi" w:cstheme="minorHAnsi"/>
          <w:szCs w:val="24"/>
        </w:rPr>
        <w:t>f a larger group of women in a difficult</w:t>
      </w:r>
      <w:r w:rsidRPr="00DC0C0B">
        <w:rPr>
          <w:rFonts w:asciiTheme="minorHAnsi" w:hAnsiTheme="minorHAnsi" w:cstheme="minorHAnsi"/>
          <w:szCs w:val="24"/>
        </w:rPr>
        <w:t xml:space="preserve"> sector with many female entrepreneurs might be seen as more attractive than being one of very few women in a male dominated sector, in spite of higher profit and growth potential in the latter. </w:t>
      </w:r>
    </w:p>
    <w:p w14:paraId="2EA2DEF4" w14:textId="77777777" w:rsidR="00DC0C0B" w:rsidRPr="00DC0C0B" w:rsidRDefault="00DC0C0B" w:rsidP="00DC0C0B">
      <w:pPr>
        <w:pStyle w:val="ListParagraph"/>
        <w:ind w:left="360"/>
        <w:jc w:val="both"/>
        <w:rPr>
          <w:rFonts w:asciiTheme="minorHAnsi" w:hAnsiTheme="minorHAnsi" w:cstheme="minorHAnsi"/>
          <w:szCs w:val="24"/>
        </w:rPr>
      </w:pPr>
    </w:p>
    <w:p w14:paraId="23F93674" w14:textId="41E44B41" w:rsidR="00250CC3" w:rsidRPr="00DC0C0B" w:rsidRDefault="00250CC3" w:rsidP="00505BE0">
      <w:pPr>
        <w:pStyle w:val="ListParagraph"/>
        <w:numPr>
          <w:ilvl w:val="0"/>
          <w:numId w:val="6"/>
        </w:numPr>
        <w:jc w:val="both"/>
        <w:rPr>
          <w:rFonts w:asciiTheme="minorHAnsi" w:hAnsiTheme="minorHAnsi" w:cstheme="minorHAnsi"/>
          <w:szCs w:val="24"/>
        </w:rPr>
      </w:pPr>
      <w:r w:rsidRPr="00DC0C0B">
        <w:rPr>
          <w:rFonts w:asciiTheme="minorHAnsi" w:hAnsiTheme="minorHAnsi" w:cstheme="minorHAnsi"/>
          <w:b/>
          <w:szCs w:val="24"/>
        </w:rPr>
        <w:t xml:space="preserve">‘Incentives’ </w:t>
      </w:r>
      <w:r w:rsidRPr="00DC0C0B">
        <w:rPr>
          <w:rFonts w:asciiTheme="minorHAnsi" w:hAnsiTheme="minorHAnsi" w:cstheme="minorHAnsi"/>
          <w:szCs w:val="24"/>
        </w:rPr>
        <w:t xml:space="preserve">describes </w:t>
      </w:r>
      <w:r w:rsidR="00425EEA">
        <w:rPr>
          <w:rFonts w:asciiTheme="minorHAnsi" w:hAnsiTheme="minorHAnsi" w:cstheme="minorHAnsi"/>
          <w:szCs w:val="24"/>
        </w:rPr>
        <w:t>the difficulty individuals have in</w:t>
      </w:r>
      <w:r w:rsidRPr="00DC0C0B">
        <w:rPr>
          <w:rFonts w:asciiTheme="minorHAnsi" w:hAnsiTheme="minorHAnsi" w:cstheme="minorHAnsi"/>
          <w:szCs w:val="24"/>
        </w:rPr>
        <w:t xml:space="preserve"> strictly follow</w:t>
      </w:r>
      <w:r w:rsidR="00425EEA">
        <w:rPr>
          <w:rFonts w:asciiTheme="minorHAnsi" w:hAnsiTheme="minorHAnsi" w:cstheme="minorHAnsi"/>
          <w:szCs w:val="24"/>
        </w:rPr>
        <w:t>ing</w:t>
      </w:r>
      <w:r w:rsidRPr="00DC0C0B">
        <w:rPr>
          <w:rFonts w:asciiTheme="minorHAnsi" w:hAnsiTheme="minorHAnsi" w:cstheme="minorHAnsi"/>
          <w:szCs w:val="24"/>
        </w:rPr>
        <w:t xml:space="preserve"> the incentives that would be economically rational, for example due to hyperbolic discounting (impatience that is regretted in retrospect) and the difficulty</w:t>
      </w:r>
      <w:r w:rsidR="00425EEA">
        <w:rPr>
          <w:rFonts w:asciiTheme="minorHAnsi" w:hAnsiTheme="minorHAnsi" w:cstheme="minorHAnsi"/>
          <w:szCs w:val="24"/>
        </w:rPr>
        <w:t xml:space="preserve"> of most individuals in</w:t>
      </w:r>
      <w:r w:rsidRPr="00DC0C0B">
        <w:rPr>
          <w:rFonts w:asciiTheme="minorHAnsi" w:hAnsiTheme="minorHAnsi" w:cstheme="minorHAnsi"/>
          <w:szCs w:val="24"/>
        </w:rPr>
        <w:t xml:space="preserve"> correctly assess</w:t>
      </w:r>
      <w:r w:rsidR="00425EEA">
        <w:rPr>
          <w:rFonts w:asciiTheme="minorHAnsi" w:hAnsiTheme="minorHAnsi" w:cstheme="minorHAnsi"/>
          <w:szCs w:val="24"/>
        </w:rPr>
        <w:t>ing</w:t>
      </w:r>
      <w:r w:rsidRPr="00DC0C0B">
        <w:rPr>
          <w:rFonts w:asciiTheme="minorHAnsi" w:hAnsiTheme="minorHAnsi" w:cstheme="minorHAnsi"/>
          <w:szCs w:val="24"/>
        </w:rPr>
        <w:t xml:space="preserve"> proba</w:t>
      </w:r>
      <w:r w:rsidR="00425EEA">
        <w:rPr>
          <w:rFonts w:asciiTheme="minorHAnsi" w:hAnsiTheme="minorHAnsi" w:cstheme="minorHAnsi"/>
          <w:szCs w:val="24"/>
        </w:rPr>
        <w:t>bilities. In the case of female</w:t>
      </w:r>
      <w:r w:rsidRPr="00DC0C0B">
        <w:rPr>
          <w:rFonts w:asciiTheme="minorHAnsi" w:hAnsiTheme="minorHAnsi" w:cstheme="minorHAnsi"/>
          <w:szCs w:val="24"/>
        </w:rPr>
        <w:t xml:space="preserve"> entr</w:t>
      </w:r>
      <w:r w:rsidR="00425EEA">
        <w:rPr>
          <w:rFonts w:asciiTheme="minorHAnsi" w:hAnsiTheme="minorHAnsi" w:cstheme="minorHAnsi"/>
          <w:szCs w:val="24"/>
        </w:rPr>
        <w:t>epreneurship, this may support Competition N</w:t>
      </w:r>
      <w:r w:rsidRPr="00DC0C0B">
        <w:rPr>
          <w:rFonts w:asciiTheme="minorHAnsi" w:hAnsiTheme="minorHAnsi" w:cstheme="minorHAnsi"/>
          <w:szCs w:val="24"/>
        </w:rPr>
        <w:t>eglect as stories of failure or high degrees of stress may be associated with certain sectors mor</w:t>
      </w:r>
      <w:r w:rsidR="00425EEA">
        <w:rPr>
          <w:rFonts w:asciiTheme="minorHAnsi" w:hAnsiTheme="minorHAnsi" w:cstheme="minorHAnsi"/>
          <w:szCs w:val="24"/>
        </w:rPr>
        <w:t>e than others, which results in distorted</w:t>
      </w:r>
      <w:r w:rsidRPr="00DC0C0B">
        <w:rPr>
          <w:rFonts w:asciiTheme="minorHAnsi" w:hAnsiTheme="minorHAnsi" w:cstheme="minorHAnsi"/>
          <w:szCs w:val="24"/>
        </w:rPr>
        <w:t xml:space="preserve"> </w:t>
      </w:r>
      <w:r w:rsidR="00425EEA">
        <w:rPr>
          <w:rFonts w:asciiTheme="minorHAnsi" w:hAnsiTheme="minorHAnsi" w:cstheme="minorHAnsi"/>
          <w:szCs w:val="24"/>
        </w:rPr>
        <w:t>estimates of which sectors are easy or difficult</w:t>
      </w:r>
      <w:r w:rsidRPr="00DC0C0B">
        <w:rPr>
          <w:rFonts w:asciiTheme="minorHAnsi" w:hAnsiTheme="minorHAnsi" w:cstheme="minorHAnsi"/>
          <w:szCs w:val="24"/>
        </w:rPr>
        <w:t xml:space="preserve"> in terms of business failure and growth potential. </w:t>
      </w:r>
      <w:r w:rsidR="00425EEA">
        <w:rPr>
          <w:rFonts w:asciiTheme="minorHAnsi" w:hAnsiTheme="minorHAnsi" w:cstheme="minorHAnsi"/>
          <w:szCs w:val="24"/>
        </w:rPr>
        <w:t>A received wisdom can quickly become embedded that pre-determines a path that any first-time businesswoman is likely to follow. Wider business possibilities are crowded out and only limited corrective messages filter through to the target group.</w:t>
      </w:r>
    </w:p>
    <w:p w14:paraId="54069786" w14:textId="77777777" w:rsidR="0044602C" w:rsidRPr="00DC0C0B" w:rsidRDefault="0044602C" w:rsidP="0044602C">
      <w:pPr>
        <w:pStyle w:val="ListParagraph"/>
        <w:jc w:val="both"/>
        <w:rPr>
          <w:rFonts w:asciiTheme="minorHAnsi" w:hAnsiTheme="minorHAnsi" w:cstheme="minorHAnsi"/>
          <w:szCs w:val="24"/>
        </w:rPr>
      </w:pPr>
    </w:p>
    <w:p w14:paraId="787FA6F1" w14:textId="1042B8B2" w:rsidR="00DC0C0B" w:rsidRDefault="00431223" w:rsidP="00505BE0">
      <w:pPr>
        <w:pStyle w:val="ListParagraph"/>
        <w:numPr>
          <w:ilvl w:val="0"/>
          <w:numId w:val="6"/>
        </w:numPr>
        <w:jc w:val="both"/>
        <w:rPr>
          <w:rFonts w:asciiTheme="minorHAnsi" w:hAnsiTheme="minorHAnsi" w:cstheme="minorHAnsi"/>
          <w:szCs w:val="24"/>
        </w:rPr>
      </w:pPr>
      <w:r w:rsidRPr="00DC0C0B">
        <w:rPr>
          <w:rFonts w:asciiTheme="minorHAnsi" w:hAnsiTheme="minorHAnsi" w:cstheme="minorHAnsi"/>
          <w:b/>
          <w:szCs w:val="24"/>
        </w:rPr>
        <w:t>‘E</w:t>
      </w:r>
      <w:r w:rsidR="00250CC3" w:rsidRPr="00DC0C0B">
        <w:rPr>
          <w:rFonts w:asciiTheme="minorHAnsi" w:hAnsiTheme="minorHAnsi" w:cstheme="minorHAnsi"/>
          <w:b/>
          <w:szCs w:val="24"/>
        </w:rPr>
        <w:t xml:space="preserve">go’ </w:t>
      </w:r>
      <w:r w:rsidR="00250CC3" w:rsidRPr="00DC0C0B">
        <w:rPr>
          <w:rFonts w:asciiTheme="minorHAnsi" w:hAnsiTheme="minorHAnsi" w:cstheme="minorHAnsi"/>
          <w:szCs w:val="24"/>
        </w:rPr>
        <w:t>describes individuals’ desire to act in line with their own self-image. Crucially, this refers not</w:t>
      </w:r>
      <w:r w:rsidR="0023171C">
        <w:rPr>
          <w:rFonts w:asciiTheme="minorHAnsi" w:hAnsiTheme="minorHAnsi" w:cstheme="minorHAnsi"/>
          <w:szCs w:val="24"/>
        </w:rPr>
        <w:t xml:space="preserve"> only to changes in an individual’s</w:t>
      </w:r>
      <w:r w:rsidR="00250CC3" w:rsidRPr="00DC0C0B">
        <w:rPr>
          <w:rFonts w:asciiTheme="minorHAnsi" w:hAnsiTheme="minorHAnsi" w:cstheme="minorHAnsi"/>
          <w:szCs w:val="24"/>
        </w:rPr>
        <w:t xml:space="preserve"> behavio</w:t>
      </w:r>
      <w:r w:rsidR="0023171C">
        <w:rPr>
          <w:rFonts w:asciiTheme="minorHAnsi" w:hAnsiTheme="minorHAnsi" w:cstheme="minorHAnsi"/>
          <w:szCs w:val="24"/>
        </w:rPr>
        <w:t>ur, but also to changes in an individual’s</w:t>
      </w:r>
      <w:r w:rsidR="00250CC3" w:rsidRPr="00DC0C0B">
        <w:rPr>
          <w:rFonts w:asciiTheme="minorHAnsi" w:hAnsiTheme="minorHAnsi" w:cstheme="minorHAnsi"/>
          <w:szCs w:val="24"/>
        </w:rPr>
        <w:t xml:space="preserve"> self-image if behaviour or other outcomes cannot be changed. In the case </w:t>
      </w:r>
      <w:r w:rsidR="006A12D3">
        <w:rPr>
          <w:rFonts w:asciiTheme="minorHAnsi" w:hAnsiTheme="minorHAnsi" w:cstheme="minorHAnsi"/>
          <w:szCs w:val="24"/>
        </w:rPr>
        <w:t>of female entrepreneurship and Competition N</w:t>
      </w:r>
      <w:r w:rsidR="00250CC3" w:rsidRPr="00DC0C0B">
        <w:rPr>
          <w:rFonts w:asciiTheme="minorHAnsi" w:hAnsiTheme="minorHAnsi" w:cstheme="minorHAnsi"/>
          <w:szCs w:val="24"/>
        </w:rPr>
        <w:t xml:space="preserve">eglect, </w:t>
      </w:r>
      <w:r w:rsidR="006A12D3">
        <w:rPr>
          <w:rFonts w:asciiTheme="minorHAnsi" w:hAnsiTheme="minorHAnsi" w:cstheme="minorHAnsi"/>
          <w:szCs w:val="24"/>
        </w:rPr>
        <w:t>this casts some doubt over female</w:t>
      </w:r>
      <w:r w:rsidR="00250CC3" w:rsidRPr="00DC0C0B">
        <w:rPr>
          <w:rFonts w:asciiTheme="minorHAnsi" w:hAnsiTheme="minorHAnsi" w:cstheme="minorHAnsi"/>
          <w:szCs w:val="24"/>
        </w:rPr>
        <w:t xml:space="preserve"> entrepreneurs reporting lower growth aspira</w:t>
      </w:r>
      <w:r w:rsidR="006A12D3">
        <w:rPr>
          <w:rFonts w:asciiTheme="minorHAnsi" w:hAnsiTheme="minorHAnsi" w:cstheme="minorHAnsi"/>
          <w:szCs w:val="24"/>
        </w:rPr>
        <w:t>tions. Taking this behavioural i</w:t>
      </w:r>
      <w:r w:rsidR="00250CC3" w:rsidRPr="00DC0C0B">
        <w:rPr>
          <w:rFonts w:asciiTheme="minorHAnsi" w:hAnsiTheme="minorHAnsi" w:cstheme="minorHAnsi"/>
          <w:szCs w:val="24"/>
        </w:rPr>
        <w:t>nsight into account, causality could potentially run from low growth prospects due to the sectors wome</w:t>
      </w:r>
      <w:r w:rsidR="001F3980">
        <w:rPr>
          <w:rFonts w:asciiTheme="minorHAnsi" w:hAnsiTheme="minorHAnsi" w:cstheme="minorHAnsi"/>
          <w:szCs w:val="24"/>
        </w:rPr>
        <w:t>n choose</w:t>
      </w:r>
      <w:r w:rsidR="00A5625A">
        <w:rPr>
          <w:rFonts w:asciiTheme="minorHAnsi" w:hAnsiTheme="minorHAnsi" w:cstheme="minorHAnsi"/>
          <w:szCs w:val="24"/>
        </w:rPr>
        <w:t xml:space="preserve"> and</w:t>
      </w:r>
      <w:r w:rsidR="001F3980">
        <w:rPr>
          <w:rFonts w:asciiTheme="minorHAnsi" w:hAnsiTheme="minorHAnsi" w:cstheme="minorHAnsi"/>
          <w:szCs w:val="24"/>
        </w:rPr>
        <w:t xml:space="preserve"> time constraints, through </w:t>
      </w:r>
      <w:r w:rsidR="00250CC3" w:rsidRPr="00DC0C0B">
        <w:rPr>
          <w:rFonts w:asciiTheme="minorHAnsi" w:hAnsiTheme="minorHAnsi" w:cstheme="minorHAnsi"/>
          <w:szCs w:val="24"/>
        </w:rPr>
        <w:t>to lower reported growth aspirations. Obviously, this effect would be very difficult</w:t>
      </w:r>
      <w:r w:rsidR="001F3980">
        <w:rPr>
          <w:rFonts w:asciiTheme="minorHAnsi" w:hAnsiTheme="minorHAnsi" w:cstheme="minorHAnsi"/>
          <w:szCs w:val="24"/>
        </w:rPr>
        <w:t xml:space="preserve"> to demonstrate in practice, but</w:t>
      </w:r>
      <w:r w:rsidR="00250CC3" w:rsidRPr="00DC0C0B">
        <w:rPr>
          <w:rFonts w:asciiTheme="minorHAnsi" w:hAnsiTheme="minorHAnsi" w:cstheme="minorHAnsi"/>
          <w:szCs w:val="24"/>
        </w:rPr>
        <w:t xml:space="preserve"> its p</w:t>
      </w:r>
      <w:r w:rsidR="001F3980">
        <w:rPr>
          <w:rFonts w:asciiTheme="minorHAnsi" w:hAnsiTheme="minorHAnsi" w:cstheme="minorHAnsi"/>
          <w:szCs w:val="24"/>
        </w:rPr>
        <w:t>resence cannot be dismissed</w:t>
      </w:r>
      <w:r w:rsidR="00250CC3" w:rsidRPr="00DC0C0B">
        <w:rPr>
          <w:rFonts w:asciiTheme="minorHAnsi" w:hAnsiTheme="minorHAnsi" w:cstheme="minorHAnsi"/>
          <w:szCs w:val="24"/>
        </w:rPr>
        <w:t xml:space="preserve">. </w:t>
      </w:r>
    </w:p>
    <w:p w14:paraId="342B7A7B" w14:textId="77777777" w:rsidR="00481C61" w:rsidRDefault="00481C61" w:rsidP="00481C61">
      <w:pPr>
        <w:rPr>
          <w:rFonts w:cstheme="minorHAnsi"/>
          <w:szCs w:val="24"/>
        </w:rPr>
      </w:pPr>
    </w:p>
    <w:p w14:paraId="328C27F9" w14:textId="613C4D19" w:rsidR="00FD72CE" w:rsidRPr="00CF09ED" w:rsidRDefault="00A842BF" w:rsidP="00CF09ED">
      <w:pPr>
        <w:pStyle w:val="Heading1"/>
      </w:pPr>
      <w:bookmarkStart w:id="14" w:name="_Toc378323558"/>
      <w:r>
        <w:lastRenderedPageBreak/>
        <w:t>4</w:t>
      </w:r>
      <w:r w:rsidR="00FD72CE" w:rsidRPr="00D42476">
        <w:t>. Behaviour Change Lessons for Policy-Making</w:t>
      </w:r>
      <w:bookmarkEnd w:id="14"/>
    </w:p>
    <w:p w14:paraId="7523B5BD" w14:textId="77777777" w:rsidR="0044602C" w:rsidRPr="00D42476" w:rsidRDefault="0044602C" w:rsidP="00411661">
      <w:pPr>
        <w:jc w:val="both"/>
        <w:rPr>
          <w:rFonts w:cstheme="minorHAnsi"/>
        </w:rPr>
      </w:pPr>
    </w:p>
    <w:p w14:paraId="71DB3D74" w14:textId="5E7CF55E" w:rsidR="0085140A" w:rsidRPr="00D46FCA" w:rsidRDefault="0085140A" w:rsidP="00505BE0">
      <w:pPr>
        <w:pStyle w:val="ListParagraph"/>
        <w:numPr>
          <w:ilvl w:val="0"/>
          <w:numId w:val="6"/>
        </w:numPr>
        <w:jc w:val="both"/>
        <w:rPr>
          <w:rFonts w:asciiTheme="minorHAnsi" w:hAnsiTheme="minorHAnsi" w:cstheme="minorHAnsi"/>
        </w:rPr>
      </w:pPr>
      <w:r w:rsidRPr="00D42476">
        <w:rPr>
          <w:rFonts w:asciiTheme="minorHAnsi" w:hAnsiTheme="minorHAnsi" w:cstheme="minorHAnsi"/>
        </w:rPr>
        <w:t xml:space="preserve">The report thus far has reviewed a broad terrain of behaviour change literature, concepts and insights and applied these to a discrete set of current policy areas. </w:t>
      </w:r>
      <w:r w:rsidR="00302723" w:rsidRPr="00D42476">
        <w:rPr>
          <w:rFonts w:asciiTheme="minorHAnsi" w:hAnsiTheme="minorHAnsi" w:cstheme="minorHAnsi"/>
        </w:rPr>
        <w:t xml:space="preserve">The previous chapters, in other words, move from the general to the specific. In this final </w:t>
      </w:r>
      <w:r w:rsidR="00BE6947" w:rsidRPr="00D42476">
        <w:rPr>
          <w:rFonts w:asciiTheme="minorHAnsi" w:hAnsiTheme="minorHAnsi" w:cstheme="minorHAnsi"/>
        </w:rPr>
        <w:t>chapter</w:t>
      </w:r>
      <w:r w:rsidR="00BE6947" w:rsidRPr="00D46FCA">
        <w:rPr>
          <w:rFonts w:asciiTheme="minorHAnsi" w:hAnsiTheme="minorHAnsi" w:cstheme="minorHAnsi"/>
        </w:rPr>
        <w:t>, we turn to gather together the broad lessons</w:t>
      </w:r>
      <w:r w:rsidR="00D46FCA" w:rsidRPr="00D46FCA">
        <w:rPr>
          <w:rFonts w:asciiTheme="minorHAnsi" w:hAnsiTheme="minorHAnsi" w:cstheme="minorHAnsi"/>
        </w:rPr>
        <w:t xml:space="preserve">. These are presented as a Top </w:t>
      </w:r>
      <w:r w:rsidR="009415BE">
        <w:rPr>
          <w:rFonts w:asciiTheme="minorHAnsi" w:hAnsiTheme="minorHAnsi" w:cstheme="minorHAnsi"/>
        </w:rPr>
        <w:t>Eight</w:t>
      </w:r>
      <w:r w:rsidR="009415BE" w:rsidRPr="00D46FCA">
        <w:rPr>
          <w:rFonts w:asciiTheme="minorHAnsi" w:hAnsiTheme="minorHAnsi" w:cstheme="minorHAnsi"/>
        </w:rPr>
        <w:t xml:space="preserve"> </w:t>
      </w:r>
      <w:r w:rsidR="00BE6947" w:rsidRPr="00D46FCA">
        <w:rPr>
          <w:rFonts w:asciiTheme="minorHAnsi" w:hAnsiTheme="minorHAnsi" w:cstheme="minorHAnsi"/>
        </w:rPr>
        <w:t>set of observations that derive both from the remit of the CAPE project and also from wider cross-government behaviour change understanding and know-how.</w:t>
      </w:r>
    </w:p>
    <w:p w14:paraId="21A87609" w14:textId="77777777" w:rsidR="00D46FCA" w:rsidRPr="00D46FCA" w:rsidRDefault="00D46FCA" w:rsidP="00411661">
      <w:pPr>
        <w:pStyle w:val="ListParagraph"/>
        <w:jc w:val="both"/>
        <w:rPr>
          <w:rFonts w:asciiTheme="minorHAnsi" w:hAnsiTheme="minorHAnsi" w:cstheme="minorHAnsi"/>
        </w:rPr>
      </w:pPr>
    </w:p>
    <w:p w14:paraId="10F00E15" w14:textId="1FDA9DF6" w:rsidR="00302723" w:rsidRPr="00292D81" w:rsidRDefault="00D46FCA" w:rsidP="00505BE0">
      <w:pPr>
        <w:pStyle w:val="ListParagraph"/>
        <w:numPr>
          <w:ilvl w:val="0"/>
          <w:numId w:val="6"/>
        </w:numPr>
        <w:jc w:val="both"/>
        <w:rPr>
          <w:rFonts w:asciiTheme="minorHAnsi" w:hAnsiTheme="minorHAnsi" w:cstheme="minorHAnsi"/>
          <w:szCs w:val="24"/>
        </w:rPr>
      </w:pPr>
      <w:r w:rsidRPr="00411661">
        <w:rPr>
          <w:rFonts w:asciiTheme="minorHAnsi" w:hAnsiTheme="minorHAnsi" w:cstheme="minorHAnsi"/>
          <w:szCs w:val="24"/>
        </w:rPr>
        <w:t xml:space="preserve">There are </w:t>
      </w:r>
      <w:r w:rsidR="0023697E">
        <w:rPr>
          <w:rFonts w:asciiTheme="minorHAnsi" w:hAnsiTheme="minorHAnsi" w:cstheme="minorHAnsi"/>
          <w:i/>
          <w:szCs w:val="24"/>
        </w:rPr>
        <w:t>eight</w:t>
      </w:r>
      <w:r w:rsidRPr="00D42476">
        <w:rPr>
          <w:rFonts w:asciiTheme="minorHAnsi" w:hAnsiTheme="minorHAnsi" w:cstheme="minorHAnsi"/>
          <w:szCs w:val="24"/>
        </w:rPr>
        <w:t xml:space="preserve"> key lessons for more successful pol</w:t>
      </w:r>
      <w:r w:rsidR="00D42E14">
        <w:rPr>
          <w:rFonts w:asciiTheme="minorHAnsi" w:hAnsiTheme="minorHAnsi" w:cstheme="minorHAnsi"/>
          <w:szCs w:val="24"/>
        </w:rPr>
        <w:t xml:space="preserve">icy </w:t>
      </w:r>
      <w:r w:rsidR="002E081E">
        <w:rPr>
          <w:rFonts w:asciiTheme="minorHAnsi" w:hAnsiTheme="minorHAnsi" w:cstheme="minorHAnsi"/>
          <w:szCs w:val="24"/>
        </w:rPr>
        <w:t xml:space="preserve">and institutional </w:t>
      </w:r>
      <w:r w:rsidR="00D42E14">
        <w:rPr>
          <w:rFonts w:asciiTheme="minorHAnsi" w:hAnsiTheme="minorHAnsi" w:cstheme="minorHAnsi"/>
          <w:szCs w:val="24"/>
        </w:rPr>
        <w:t>design</w:t>
      </w:r>
      <w:r w:rsidR="003768BA">
        <w:rPr>
          <w:rFonts w:asciiTheme="minorHAnsi" w:hAnsiTheme="minorHAnsi" w:cstheme="minorHAnsi"/>
          <w:szCs w:val="24"/>
        </w:rPr>
        <w:t>, and these vary in their nature from redesigning existing tools of engagement with people through to capturing the essence</w:t>
      </w:r>
      <w:r w:rsidR="00A92558">
        <w:rPr>
          <w:rFonts w:asciiTheme="minorHAnsi" w:hAnsiTheme="minorHAnsi" w:cstheme="minorHAnsi"/>
          <w:szCs w:val="24"/>
        </w:rPr>
        <w:t xml:space="preserve"> of modern consumer culture and influencing the </w:t>
      </w:r>
      <w:r w:rsidR="003768BA">
        <w:rPr>
          <w:rFonts w:asciiTheme="minorHAnsi" w:hAnsiTheme="minorHAnsi" w:cstheme="minorHAnsi"/>
          <w:szCs w:val="24"/>
        </w:rPr>
        <w:t>array of factors that shape people’s decisions.</w:t>
      </w:r>
    </w:p>
    <w:p w14:paraId="48883409" w14:textId="77777777" w:rsidR="008C1B83" w:rsidRDefault="008C1B83" w:rsidP="00292D81">
      <w:pPr>
        <w:ind w:left="360"/>
        <w:jc w:val="both"/>
        <w:rPr>
          <w:rFonts w:cstheme="minorHAnsi"/>
          <w:b/>
          <w:i/>
          <w:color w:val="365F91" w:themeColor="accent1" w:themeShade="BF"/>
          <w:sz w:val="28"/>
          <w:szCs w:val="28"/>
        </w:rPr>
      </w:pPr>
    </w:p>
    <w:p w14:paraId="7E60191B" w14:textId="25C0802F" w:rsidR="0044602C" w:rsidRPr="00292D81" w:rsidRDefault="000907C7" w:rsidP="00292D81">
      <w:pPr>
        <w:ind w:left="360"/>
        <w:jc w:val="both"/>
        <w:rPr>
          <w:rFonts w:cstheme="minorHAnsi"/>
          <w:b/>
          <w:i/>
          <w:color w:val="365F91" w:themeColor="accent1" w:themeShade="BF"/>
          <w:sz w:val="28"/>
          <w:szCs w:val="28"/>
        </w:rPr>
      </w:pPr>
      <w:r>
        <w:rPr>
          <w:rFonts w:cstheme="minorHAnsi"/>
          <w:b/>
          <w:i/>
          <w:color w:val="365F91" w:themeColor="accent1" w:themeShade="BF"/>
          <w:sz w:val="28"/>
          <w:szCs w:val="28"/>
        </w:rPr>
        <w:t>(</w:t>
      </w:r>
      <w:proofErr w:type="spellStart"/>
      <w:r>
        <w:rPr>
          <w:rFonts w:cstheme="minorHAnsi"/>
          <w:b/>
          <w:i/>
          <w:color w:val="365F91" w:themeColor="accent1" w:themeShade="BF"/>
          <w:sz w:val="28"/>
          <w:szCs w:val="28"/>
        </w:rPr>
        <w:t>i</w:t>
      </w:r>
      <w:proofErr w:type="spellEnd"/>
      <w:r>
        <w:rPr>
          <w:rFonts w:cstheme="minorHAnsi"/>
          <w:b/>
          <w:i/>
          <w:color w:val="365F91" w:themeColor="accent1" w:themeShade="BF"/>
          <w:sz w:val="28"/>
          <w:szCs w:val="28"/>
        </w:rPr>
        <w:t xml:space="preserve">) </w:t>
      </w:r>
      <w:r w:rsidR="00D42E14">
        <w:rPr>
          <w:rFonts w:cstheme="minorHAnsi"/>
          <w:b/>
          <w:i/>
          <w:color w:val="365F91" w:themeColor="accent1" w:themeShade="BF"/>
          <w:sz w:val="28"/>
          <w:szCs w:val="28"/>
        </w:rPr>
        <w:t>T</w:t>
      </w:r>
      <w:r w:rsidR="00D46FCA" w:rsidRPr="000907C7">
        <w:rPr>
          <w:rFonts w:cstheme="minorHAnsi"/>
          <w:b/>
          <w:i/>
          <w:color w:val="365F91" w:themeColor="accent1" w:themeShade="BF"/>
          <w:sz w:val="28"/>
          <w:szCs w:val="28"/>
        </w:rPr>
        <w:t>here are r</w:t>
      </w:r>
      <w:r w:rsidR="0044602C" w:rsidRPr="000907C7">
        <w:rPr>
          <w:rFonts w:cstheme="minorHAnsi"/>
          <w:b/>
          <w:i/>
          <w:color w:val="365F91" w:themeColor="accent1" w:themeShade="BF"/>
          <w:sz w:val="28"/>
          <w:szCs w:val="28"/>
        </w:rPr>
        <w:t>ecurring succe</w:t>
      </w:r>
      <w:r w:rsidR="00D46FCA" w:rsidRPr="000907C7">
        <w:rPr>
          <w:rFonts w:cstheme="minorHAnsi"/>
          <w:b/>
          <w:i/>
          <w:color w:val="365F91" w:themeColor="accent1" w:themeShade="BF"/>
          <w:sz w:val="28"/>
          <w:szCs w:val="28"/>
        </w:rPr>
        <w:t>ssful interventions that can</w:t>
      </w:r>
      <w:r w:rsidR="00D42E14">
        <w:rPr>
          <w:rFonts w:cstheme="minorHAnsi"/>
          <w:b/>
          <w:i/>
          <w:color w:val="365F91" w:themeColor="accent1" w:themeShade="BF"/>
          <w:sz w:val="28"/>
          <w:szCs w:val="28"/>
        </w:rPr>
        <w:t xml:space="preserve"> deliver value</w:t>
      </w:r>
      <w:r w:rsidR="00D46FCA" w:rsidRPr="000907C7">
        <w:rPr>
          <w:rFonts w:cstheme="minorHAnsi"/>
          <w:b/>
          <w:i/>
          <w:color w:val="365F91" w:themeColor="accent1" w:themeShade="BF"/>
          <w:sz w:val="28"/>
          <w:szCs w:val="28"/>
        </w:rPr>
        <w:t>.</w:t>
      </w:r>
    </w:p>
    <w:p w14:paraId="42896400" w14:textId="3D79247C" w:rsidR="00411661" w:rsidRPr="00D42E14" w:rsidRDefault="00D46FCA" w:rsidP="00505BE0">
      <w:pPr>
        <w:pStyle w:val="ListParagraph"/>
        <w:numPr>
          <w:ilvl w:val="0"/>
          <w:numId w:val="6"/>
        </w:numPr>
        <w:jc w:val="both"/>
        <w:rPr>
          <w:rFonts w:asciiTheme="minorHAnsi" w:hAnsiTheme="minorHAnsi" w:cstheme="minorHAnsi"/>
          <w:szCs w:val="24"/>
        </w:rPr>
      </w:pPr>
      <w:r w:rsidRPr="00D42E14">
        <w:rPr>
          <w:rFonts w:asciiTheme="minorHAnsi" w:hAnsiTheme="minorHAnsi" w:cstheme="minorHAnsi"/>
          <w:szCs w:val="24"/>
        </w:rPr>
        <w:t>The most common behaviour change</w:t>
      </w:r>
      <w:r w:rsidR="0044602C" w:rsidRPr="00D42E14">
        <w:rPr>
          <w:rFonts w:asciiTheme="minorHAnsi" w:hAnsiTheme="minorHAnsi" w:cstheme="minorHAnsi"/>
          <w:szCs w:val="24"/>
        </w:rPr>
        <w:t xml:space="preserve"> interventions used by Whitehall exploit a common set of observations about people’s behaviour. For example, people continuously pay closer attention to messages if they find the messenger credible; they regularly under-estimate losses and yet over-estimate their own performance; and they are likely to stick with existing paths for fear of appearing unwise or foolish.</w:t>
      </w:r>
      <w:r w:rsidR="00411661" w:rsidRPr="00D42E14">
        <w:rPr>
          <w:rFonts w:asciiTheme="minorHAnsi" w:hAnsiTheme="minorHAnsi" w:cstheme="minorHAnsi"/>
          <w:szCs w:val="24"/>
        </w:rPr>
        <w:t xml:space="preserve"> And people also work against themselves, or at least their own self-image, causing them to head down paths that are unlikely to serve them well.</w:t>
      </w:r>
    </w:p>
    <w:p w14:paraId="204B5C92" w14:textId="77777777" w:rsidR="00411661" w:rsidRPr="00D42E14" w:rsidRDefault="00411661" w:rsidP="00411661">
      <w:pPr>
        <w:pStyle w:val="ListParagraph"/>
        <w:jc w:val="both"/>
        <w:rPr>
          <w:rFonts w:asciiTheme="minorHAnsi" w:hAnsiTheme="minorHAnsi" w:cstheme="minorHAnsi"/>
          <w:szCs w:val="24"/>
        </w:rPr>
      </w:pPr>
    </w:p>
    <w:p w14:paraId="09DB5772" w14:textId="322BCC20" w:rsidR="001B5820" w:rsidRPr="00CF09ED" w:rsidRDefault="0044602C" w:rsidP="00CF09ED">
      <w:pPr>
        <w:pStyle w:val="ListParagraph"/>
        <w:numPr>
          <w:ilvl w:val="0"/>
          <w:numId w:val="6"/>
        </w:numPr>
        <w:jc w:val="both"/>
        <w:rPr>
          <w:rFonts w:asciiTheme="minorHAnsi" w:hAnsiTheme="minorHAnsi" w:cstheme="minorHAnsi"/>
          <w:szCs w:val="24"/>
        </w:rPr>
      </w:pPr>
      <w:r w:rsidRPr="00D42E14">
        <w:rPr>
          <w:rFonts w:asciiTheme="minorHAnsi" w:hAnsiTheme="minorHAnsi" w:cstheme="minorHAnsi"/>
          <w:szCs w:val="24"/>
        </w:rPr>
        <w:t>So smart interventions are about correcting</w:t>
      </w:r>
      <w:r w:rsidR="00411661" w:rsidRPr="00D42E14">
        <w:rPr>
          <w:rFonts w:asciiTheme="minorHAnsi" w:hAnsiTheme="minorHAnsi" w:cstheme="minorHAnsi"/>
          <w:szCs w:val="24"/>
        </w:rPr>
        <w:t>, or altering,</w:t>
      </w:r>
      <w:r w:rsidRPr="00D42E14">
        <w:rPr>
          <w:rFonts w:asciiTheme="minorHAnsi" w:hAnsiTheme="minorHAnsi" w:cstheme="minorHAnsi"/>
          <w:szCs w:val="24"/>
        </w:rPr>
        <w:t xml:space="preserve"> these common traits and doing so in a way that gains buy-in from the start. Interventions that are heavy handed</w:t>
      </w:r>
      <w:r w:rsidR="00411661" w:rsidRPr="00D42E14">
        <w:rPr>
          <w:rFonts w:asciiTheme="minorHAnsi" w:hAnsiTheme="minorHAnsi" w:cstheme="minorHAnsi"/>
          <w:szCs w:val="24"/>
        </w:rPr>
        <w:t xml:space="preserve"> or remotely communicated</w:t>
      </w:r>
      <w:r w:rsidRPr="00D42E14">
        <w:rPr>
          <w:rFonts w:asciiTheme="minorHAnsi" w:hAnsiTheme="minorHAnsi" w:cstheme="minorHAnsi"/>
          <w:szCs w:val="24"/>
        </w:rPr>
        <w:t xml:space="preserve"> to alter behaviour can often be counter-productive. For example, people’s implicit ego means that they want to be credited for changing course and they do not want to start by admitting what or why they have got so badly wrong</w:t>
      </w:r>
      <w:r w:rsidRPr="00411661">
        <w:rPr>
          <w:rFonts w:asciiTheme="minorHAnsi" w:hAnsiTheme="minorHAnsi" w:cstheme="minorHAnsi"/>
          <w:szCs w:val="24"/>
        </w:rPr>
        <w:t>. Tackling discrimination centred on workplace cultures is a p</w:t>
      </w:r>
      <w:r w:rsidR="00411661" w:rsidRPr="00411661">
        <w:rPr>
          <w:rFonts w:asciiTheme="minorHAnsi" w:hAnsiTheme="minorHAnsi" w:cstheme="minorHAnsi"/>
          <w:szCs w:val="24"/>
        </w:rPr>
        <w:t>rime example of the dangers of pressing the wrong button</w:t>
      </w:r>
      <w:r w:rsidRPr="00411661">
        <w:rPr>
          <w:rFonts w:asciiTheme="minorHAnsi" w:hAnsiTheme="minorHAnsi" w:cstheme="minorHAnsi"/>
          <w:szCs w:val="24"/>
        </w:rPr>
        <w:t xml:space="preserve"> that </w:t>
      </w:r>
      <w:r w:rsidR="00411661" w:rsidRPr="00411661">
        <w:rPr>
          <w:rFonts w:asciiTheme="minorHAnsi" w:hAnsiTheme="minorHAnsi" w:cstheme="minorHAnsi"/>
          <w:szCs w:val="24"/>
        </w:rPr>
        <w:t xml:space="preserve">hinders, perhaps stymies, </w:t>
      </w:r>
      <w:r w:rsidRPr="00411661">
        <w:rPr>
          <w:rFonts w:asciiTheme="minorHAnsi" w:hAnsiTheme="minorHAnsi" w:cstheme="minorHAnsi"/>
          <w:szCs w:val="24"/>
        </w:rPr>
        <w:t>buy-in later on.</w:t>
      </w:r>
    </w:p>
    <w:p w14:paraId="5999A304" w14:textId="77777777" w:rsidR="00CF09ED" w:rsidRPr="001B5820" w:rsidRDefault="00CF09ED" w:rsidP="001B5820">
      <w:pPr>
        <w:pStyle w:val="ListParagraph"/>
        <w:rPr>
          <w:rFonts w:asciiTheme="minorHAnsi" w:hAnsiTheme="minorHAnsi" w:cstheme="minorHAnsi"/>
          <w:szCs w:val="24"/>
        </w:rPr>
      </w:pPr>
    </w:p>
    <w:p w14:paraId="68F901FB" w14:textId="3DC6ACAE" w:rsidR="0044602C" w:rsidRPr="001B5820" w:rsidRDefault="0044602C" w:rsidP="00505BE0">
      <w:pPr>
        <w:pStyle w:val="ListParagraph"/>
        <w:numPr>
          <w:ilvl w:val="0"/>
          <w:numId w:val="6"/>
        </w:numPr>
        <w:jc w:val="both"/>
        <w:rPr>
          <w:rFonts w:asciiTheme="minorHAnsi" w:hAnsiTheme="minorHAnsi" w:cstheme="minorHAnsi"/>
          <w:szCs w:val="24"/>
        </w:rPr>
      </w:pPr>
      <w:r w:rsidRPr="001B5820">
        <w:rPr>
          <w:rFonts w:asciiTheme="minorHAnsi" w:hAnsiTheme="minorHAnsi" w:cstheme="minorHAnsi"/>
          <w:szCs w:val="24"/>
        </w:rPr>
        <w:t xml:space="preserve">Three common, effective interventions </w:t>
      </w:r>
      <w:r w:rsidR="00411661" w:rsidRPr="001B5820">
        <w:rPr>
          <w:rFonts w:asciiTheme="minorHAnsi" w:hAnsiTheme="minorHAnsi" w:cstheme="minorHAnsi"/>
          <w:szCs w:val="24"/>
        </w:rPr>
        <w:t xml:space="preserve">in response </w:t>
      </w:r>
      <w:r w:rsidRPr="001B5820">
        <w:rPr>
          <w:rFonts w:asciiTheme="minorHAnsi" w:hAnsiTheme="minorHAnsi" w:cstheme="minorHAnsi"/>
          <w:szCs w:val="24"/>
        </w:rPr>
        <w:t>are:</w:t>
      </w:r>
    </w:p>
    <w:p w14:paraId="33CDEF99" w14:textId="77777777" w:rsidR="0044602C" w:rsidRPr="00411661" w:rsidRDefault="0044602C" w:rsidP="00596AEC">
      <w:pPr>
        <w:pStyle w:val="ListParagraph"/>
        <w:jc w:val="both"/>
        <w:rPr>
          <w:rFonts w:asciiTheme="minorHAnsi" w:hAnsiTheme="minorHAnsi" w:cstheme="minorHAnsi"/>
          <w:szCs w:val="24"/>
        </w:rPr>
      </w:pPr>
    </w:p>
    <w:p w14:paraId="4BAAAB59" w14:textId="3EDC36FE" w:rsidR="0044602C" w:rsidRPr="00411661" w:rsidRDefault="0044602C" w:rsidP="009E7669">
      <w:pPr>
        <w:pStyle w:val="ListParagraph"/>
        <w:numPr>
          <w:ilvl w:val="0"/>
          <w:numId w:val="21"/>
        </w:numPr>
        <w:jc w:val="both"/>
        <w:rPr>
          <w:rFonts w:asciiTheme="minorHAnsi" w:hAnsiTheme="minorHAnsi" w:cstheme="minorHAnsi"/>
          <w:szCs w:val="24"/>
        </w:rPr>
      </w:pPr>
      <w:r w:rsidRPr="00411661">
        <w:rPr>
          <w:rFonts w:asciiTheme="minorHAnsi" w:hAnsiTheme="minorHAnsi" w:cstheme="minorHAnsi"/>
          <w:b/>
          <w:szCs w:val="24"/>
        </w:rPr>
        <w:t>Reveal what happens when individual actions are added together</w:t>
      </w:r>
      <w:r w:rsidRPr="00411661">
        <w:rPr>
          <w:rFonts w:asciiTheme="minorHAnsi" w:hAnsiTheme="minorHAnsi" w:cstheme="minorHAnsi"/>
          <w:szCs w:val="24"/>
        </w:rPr>
        <w:t>. Each individual case may be understood as a one-off and/or as something</w:t>
      </w:r>
      <w:r w:rsidR="00411661" w:rsidRPr="00411661">
        <w:rPr>
          <w:rFonts w:asciiTheme="minorHAnsi" w:hAnsiTheme="minorHAnsi" w:cstheme="minorHAnsi"/>
          <w:szCs w:val="24"/>
        </w:rPr>
        <w:t xml:space="preserve"> that cannot be generalised about. However, once lots of cases are</w:t>
      </w:r>
      <w:r w:rsidRPr="00411661">
        <w:rPr>
          <w:rFonts w:asciiTheme="minorHAnsi" w:hAnsiTheme="minorHAnsi" w:cstheme="minorHAnsi"/>
          <w:szCs w:val="24"/>
        </w:rPr>
        <w:t xml:space="preserve"> combined a </w:t>
      </w:r>
      <w:r w:rsidRPr="00411661">
        <w:rPr>
          <w:rFonts w:asciiTheme="minorHAnsi" w:hAnsiTheme="minorHAnsi" w:cstheme="minorHAnsi"/>
          <w:szCs w:val="24"/>
        </w:rPr>
        <w:lastRenderedPageBreak/>
        <w:t xml:space="preserve">different picture can emerge that draws out patterns of </w:t>
      </w:r>
      <w:r w:rsidR="00411661" w:rsidRPr="00411661">
        <w:rPr>
          <w:rFonts w:asciiTheme="minorHAnsi" w:hAnsiTheme="minorHAnsi" w:cstheme="minorHAnsi"/>
          <w:szCs w:val="24"/>
        </w:rPr>
        <w:t xml:space="preserve">undesirable or unexpected </w:t>
      </w:r>
      <w:r w:rsidRPr="00411661">
        <w:rPr>
          <w:rFonts w:asciiTheme="minorHAnsi" w:hAnsiTheme="minorHAnsi" w:cstheme="minorHAnsi"/>
          <w:szCs w:val="24"/>
        </w:rPr>
        <w:t>behaviour.</w:t>
      </w:r>
    </w:p>
    <w:p w14:paraId="6D7C5A68" w14:textId="77777777" w:rsidR="0044602C" w:rsidRPr="00411661" w:rsidRDefault="0044602C" w:rsidP="00596AEC">
      <w:pPr>
        <w:pStyle w:val="ListParagraph"/>
        <w:ind w:left="1440"/>
        <w:jc w:val="both"/>
        <w:rPr>
          <w:rFonts w:asciiTheme="minorHAnsi" w:hAnsiTheme="minorHAnsi" w:cstheme="minorHAnsi"/>
          <w:szCs w:val="24"/>
        </w:rPr>
      </w:pPr>
    </w:p>
    <w:p w14:paraId="56A54942" w14:textId="77777777" w:rsidR="0044602C" w:rsidRPr="00411661" w:rsidRDefault="0044602C" w:rsidP="005354A5">
      <w:pPr>
        <w:pStyle w:val="ListParagraph"/>
        <w:ind w:left="1800"/>
        <w:jc w:val="both"/>
        <w:rPr>
          <w:rFonts w:asciiTheme="minorHAnsi" w:hAnsiTheme="minorHAnsi" w:cstheme="minorHAnsi"/>
          <w:i/>
          <w:szCs w:val="24"/>
          <w:u w:val="single"/>
        </w:rPr>
      </w:pPr>
      <w:r w:rsidRPr="00411661">
        <w:rPr>
          <w:rFonts w:asciiTheme="minorHAnsi" w:hAnsiTheme="minorHAnsi" w:cstheme="minorHAnsi"/>
          <w:i/>
          <w:szCs w:val="24"/>
          <w:u w:val="single"/>
        </w:rPr>
        <w:t>Example: Public engagement with climate change on shorter timescales that relates to people’s lives.</w:t>
      </w:r>
    </w:p>
    <w:p w14:paraId="1DF83E06" w14:textId="41EAF693" w:rsidR="0044602C" w:rsidRPr="0044602C" w:rsidRDefault="0044602C" w:rsidP="005354A5">
      <w:pPr>
        <w:pStyle w:val="ListParagraph"/>
        <w:ind w:left="1800"/>
        <w:jc w:val="both"/>
        <w:rPr>
          <w:rFonts w:asciiTheme="minorHAnsi" w:hAnsiTheme="minorHAnsi" w:cstheme="minorHAnsi"/>
          <w:i/>
          <w:szCs w:val="24"/>
        </w:rPr>
      </w:pPr>
      <w:r w:rsidRPr="00411661">
        <w:rPr>
          <w:rFonts w:asciiTheme="minorHAnsi" w:hAnsiTheme="minorHAnsi" w:cstheme="minorHAnsi"/>
          <w:i/>
          <w:szCs w:val="24"/>
        </w:rPr>
        <w:t xml:space="preserve">Irene </w:t>
      </w:r>
      <w:proofErr w:type="spellStart"/>
      <w:r w:rsidRPr="00411661">
        <w:rPr>
          <w:rFonts w:asciiTheme="minorHAnsi" w:hAnsiTheme="minorHAnsi" w:cstheme="minorHAnsi"/>
          <w:i/>
          <w:szCs w:val="24"/>
        </w:rPr>
        <w:t>Lorenzoni</w:t>
      </w:r>
      <w:proofErr w:type="spellEnd"/>
      <w:r w:rsidR="0093073D">
        <w:rPr>
          <w:rFonts w:asciiTheme="minorHAnsi" w:hAnsiTheme="minorHAnsi" w:cstheme="minorHAnsi"/>
          <w:i/>
          <w:szCs w:val="24"/>
        </w:rPr>
        <w:t xml:space="preserve"> and colleagues</w:t>
      </w:r>
      <w:r w:rsidRPr="00411661">
        <w:rPr>
          <w:rStyle w:val="FootnoteReference"/>
          <w:rFonts w:asciiTheme="minorHAnsi" w:hAnsiTheme="minorHAnsi" w:cstheme="minorHAnsi"/>
          <w:i/>
          <w:szCs w:val="24"/>
        </w:rPr>
        <w:footnoteReference w:id="28"/>
      </w:r>
      <w:r w:rsidR="0093073D">
        <w:rPr>
          <w:rFonts w:asciiTheme="minorHAnsi" w:hAnsiTheme="minorHAnsi" w:cstheme="minorHAnsi"/>
          <w:i/>
          <w:szCs w:val="24"/>
        </w:rPr>
        <w:t xml:space="preserve"> have</w:t>
      </w:r>
      <w:r w:rsidRPr="00411661">
        <w:rPr>
          <w:rFonts w:asciiTheme="minorHAnsi" w:hAnsiTheme="minorHAnsi" w:cstheme="minorHAnsi"/>
          <w:i/>
          <w:szCs w:val="24"/>
        </w:rPr>
        <w:t xml:space="preserve"> highlighted that individuals’ outlooks to climate change and the environment are</w:t>
      </w:r>
      <w:r w:rsidRPr="0044602C">
        <w:rPr>
          <w:rFonts w:asciiTheme="minorHAnsi" w:hAnsiTheme="minorHAnsi" w:cstheme="minorHAnsi"/>
          <w:i/>
          <w:szCs w:val="24"/>
        </w:rPr>
        <w:t xml:space="preserve"> highly linked to social context. These create substantial barriers to engagement. Effective engagement is more conducive by operating on a short timescale </w:t>
      </w:r>
      <w:r w:rsidR="005354A5">
        <w:rPr>
          <w:rFonts w:asciiTheme="minorHAnsi" w:hAnsiTheme="minorHAnsi" w:cstheme="minorHAnsi"/>
          <w:i/>
          <w:szCs w:val="24"/>
        </w:rPr>
        <w:t xml:space="preserve">as </w:t>
      </w:r>
      <w:r w:rsidRPr="0044602C">
        <w:rPr>
          <w:rFonts w:asciiTheme="minorHAnsi" w:hAnsiTheme="minorHAnsi" w:cstheme="minorHAnsi"/>
          <w:i/>
          <w:szCs w:val="24"/>
        </w:rPr>
        <w:t>people cannot effectively relate to long term horizons) and by situating interventions as part of a coherent and consistent response to climate change.</w:t>
      </w:r>
    </w:p>
    <w:p w14:paraId="577025E0" w14:textId="77777777" w:rsidR="0044602C" w:rsidRPr="0044602C" w:rsidRDefault="0044602C" w:rsidP="00596AEC">
      <w:pPr>
        <w:pStyle w:val="ListParagraph"/>
        <w:ind w:left="1440"/>
        <w:jc w:val="both"/>
        <w:rPr>
          <w:rFonts w:asciiTheme="minorHAnsi" w:hAnsiTheme="minorHAnsi" w:cstheme="minorHAnsi"/>
          <w:szCs w:val="24"/>
        </w:rPr>
      </w:pPr>
    </w:p>
    <w:p w14:paraId="0469D6F9" w14:textId="77777777" w:rsidR="0044602C" w:rsidRPr="0044602C" w:rsidRDefault="0044602C" w:rsidP="005354A5">
      <w:pPr>
        <w:pStyle w:val="ListParagraph"/>
        <w:ind w:left="1800"/>
        <w:jc w:val="both"/>
        <w:rPr>
          <w:rFonts w:asciiTheme="minorHAnsi" w:hAnsiTheme="minorHAnsi" w:cstheme="minorHAnsi"/>
          <w:i/>
          <w:szCs w:val="24"/>
          <w:u w:val="single"/>
        </w:rPr>
      </w:pPr>
      <w:r w:rsidRPr="0044602C">
        <w:rPr>
          <w:rFonts w:asciiTheme="minorHAnsi" w:hAnsiTheme="minorHAnsi" w:cstheme="minorHAnsi"/>
          <w:i/>
          <w:szCs w:val="24"/>
          <w:u w:val="single"/>
        </w:rPr>
        <w:t>Equalities example: switching to multiple recruitments to tackle latent discrimination patterns.</w:t>
      </w:r>
    </w:p>
    <w:p w14:paraId="6B68C4B4" w14:textId="5771FC72" w:rsidR="0044602C" w:rsidRPr="0044602C" w:rsidRDefault="0044602C" w:rsidP="005354A5">
      <w:pPr>
        <w:pStyle w:val="ListParagraph"/>
        <w:ind w:left="1800"/>
        <w:jc w:val="both"/>
        <w:rPr>
          <w:rFonts w:asciiTheme="minorHAnsi" w:hAnsiTheme="minorHAnsi" w:cstheme="minorHAnsi"/>
          <w:i/>
          <w:szCs w:val="24"/>
        </w:rPr>
      </w:pPr>
      <w:r w:rsidRPr="0044602C">
        <w:rPr>
          <w:rFonts w:asciiTheme="minorHAnsi" w:hAnsiTheme="minorHAnsi" w:cstheme="minorHAnsi"/>
          <w:i/>
          <w:szCs w:val="24"/>
        </w:rPr>
        <w:t xml:space="preserve">Irene </w:t>
      </w:r>
      <w:proofErr w:type="spellStart"/>
      <w:r w:rsidRPr="0044602C">
        <w:rPr>
          <w:rFonts w:asciiTheme="minorHAnsi" w:hAnsiTheme="minorHAnsi" w:cstheme="minorHAnsi"/>
          <w:i/>
          <w:szCs w:val="24"/>
        </w:rPr>
        <w:t>Bohnet</w:t>
      </w:r>
      <w:proofErr w:type="spellEnd"/>
      <w:r w:rsidRPr="0044602C">
        <w:rPr>
          <w:rStyle w:val="FootnoteReference"/>
          <w:rFonts w:asciiTheme="minorHAnsi" w:hAnsiTheme="minorHAnsi" w:cstheme="minorHAnsi"/>
          <w:i/>
          <w:szCs w:val="24"/>
        </w:rPr>
        <w:footnoteReference w:id="29"/>
      </w:r>
      <w:r w:rsidRPr="0044602C">
        <w:rPr>
          <w:rFonts w:asciiTheme="minorHAnsi" w:hAnsiTheme="minorHAnsi" w:cstheme="minorHAnsi"/>
          <w:i/>
          <w:szCs w:val="24"/>
        </w:rPr>
        <w:t xml:space="preserve"> has shown that individual hires can obscure tendencies to over or under recruit particular groups into the workplace. Something similar occurs with respect to promotion and awarding of performance-related bonuses. By moving to recruit employees in batches i</w:t>
      </w:r>
      <w:r w:rsidR="003768BA">
        <w:rPr>
          <w:rFonts w:asciiTheme="minorHAnsi" w:hAnsiTheme="minorHAnsi" w:cstheme="minorHAnsi"/>
          <w:i/>
          <w:szCs w:val="24"/>
        </w:rPr>
        <w:t xml:space="preserve">t quickly becomes clear whether, or </w:t>
      </w:r>
      <w:r w:rsidRPr="0044602C">
        <w:rPr>
          <w:rFonts w:asciiTheme="minorHAnsi" w:hAnsiTheme="minorHAnsi" w:cstheme="minorHAnsi"/>
          <w:i/>
          <w:szCs w:val="24"/>
        </w:rPr>
        <w:t>how far</w:t>
      </w:r>
      <w:r w:rsidR="003768BA">
        <w:rPr>
          <w:rFonts w:asciiTheme="minorHAnsi" w:hAnsiTheme="minorHAnsi" w:cstheme="minorHAnsi"/>
          <w:i/>
          <w:szCs w:val="24"/>
        </w:rPr>
        <w:t>,</w:t>
      </w:r>
      <w:r w:rsidRPr="0044602C">
        <w:rPr>
          <w:rFonts w:asciiTheme="minorHAnsi" w:hAnsiTheme="minorHAnsi" w:cstheme="minorHAnsi"/>
          <w:i/>
          <w:szCs w:val="24"/>
        </w:rPr>
        <w:t xml:space="preserve"> </w:t>
      </w:r>
      <w:r w:rsidR="009415BE">
        <w:rPr>
          <w:rFonts w:asciiTheme="minorHAnsi" w:hAnsiTheme="minorHAnsi" w:cstheme="minorHAnsi"/>
          <w:i/>
          <w:szCs w:val="24"/>
        </w:rPr>
        <w:t>biases are present</w:t>
      </w:r>
      <w:r w:rsidRPr="0044602C">
        <w:rPr>
          <w:rFonts w:asciiTheme="minorHAnsi" w:hAnsiTheme="minorHAnsi" w:cstheme="minorHAnsi"/>
          <w:i/>
          <w:szCs w:val="24"/>
        </w:rPr>
        <w:t>. In any case</w:t>
      </w:r>
      <w:r w:rsidR="005354A5">
        <w:rPr>
          <w:rFonts w:asciiTheme="minorHAnsi" w:hAnsiTheme="minorHAnsi" w:cstheme="minorHAnsi"/>
          <w:i/>
          <w:szCs w:val="24"/>
        </w:rPr>
        <w:t>,</w:t>
      </w:r>
      <w:r w:rsidRPr="0044602C">
        <w:rPr>
          <w:rFonts w:asciiTheme="minorHAnsi" w:hAnsiTheme="minorHAnsi" w:cstheme="minorHAnsi"/>
          <w:i/>
          <w:szCs w:val="24"/>
        </w:rPr>
        <w:t xml:space="preserve"> it becomes harder for employers to defend such outcomes.</w:t>
      </w:r>
    </w:p>
    <w:p w14:paraId="2D4F1AB6" w14:textId="77777777" w:rsidR="0044602C" w:rsidRPr="0044602C" w:rsidRDefault="0044602C" w:rsidP="00596AEC">
      <w:pPr>
        <w:pStyle w:val="ListParagraph"/>
        <w:ind w:left="1440"/>
        <w:jc w:val="both"/>
        <w:rPr>
          <w:rFonts w:asciiTheme="minorHAnsi" w:hAnsiTheme="minorHAnsi" w:cstheme="minorHAnsi"/>
          <w:i/>
          <w:szCs w:val="24"/>
        </w:rPr>
      </w:pPr>
    </w:p>
    <w:p w14:paraId="4EC0928E" w14:textId="56946C1A" w:rsidR="0044602C" w:rsidRPr="0044602C" w:rsidRDefault="0044602C" w:rsidP="001B5820">
      <w:pPr>
        <w:pStyle w:val="ListParagraph"/>
        <w:ind w:left="1800"/>
        <w:jc w:val="both"/>
        <w:rPr>
          <w:rFonts w:asciiTheme="minorHAnsi" w:hAnsiTheme="minorHAnsi" w:cstheme="minorHAnsi"/>
          <w:i/>
          <w:szCs w:val="24"/>
        </w:rPr>
      </w:pPr>
      <w:r w:rsidRPr="0044602C">
        <w:rPr>
          <w:rFonts w:asciiTheme="minorHAnsi" w:hAnsiTheme="minorHAnsi" w:cstheme="minorHAnsi"/>
          <w:i/>
          <w:szCs w:val="24"/>
        </w:rPr>
        <w:t>There is application value here in considering interventions to support women on boards. For instance, it can be helpful to carry out multiple recruitments for several board places at the same time, delaying filling vacancies if necessary. Such multiple recruitments are usually more common for boards of public sector organisations than private sector boards, and this u</w:t>
      </w:r>
      <w:r w:rsidR="001B5820">
        <w:rPr>
          <w:rFonts w:asciiTheme="minorHAnsi" w:hAnsiTheme="minorHAnsi" w:cstheme="minorHAnsi"/>
          <w:i/>
          <w:szCs w:val="24"/>
        </w:rPr>
        <w:t>seful experience can be harnessed</w:t>
      </w:r>
      <w:r w:rsidRPr="0044602C">
        <w:rPr>
          <w:rFonts w:asciiTheme="minorHAnsi" w:hAnsiTheme="minorHAnsi" w:cstheme="minorHAnsi"/>
          <w:i/>
          <w:szCs w:val="24"/>
        </w:rPr>
        <w:t xml:space="preserve"> fairly rapidly. A minimum of three vacancies could be adopt</w:t>
      </w:r>
      <w:r w:rsidR="001B5820">
        <w:rPr>
          <w:rFonts w:asciiTheme="minorHAnsi" w:hAnsiTheme="minorHAnsi" w:cstheme="minorHAnsi"/>
          <w:i/>
          <w:szCs w:val="24"/>
        </w:rPr>
        <w:t>ed as normal practice and would allow any disproportionate patterns to emerge quite quickly</w:t>
      </w:r>
      <w:r w:rsidRPr="0044602C">
        <w:rPr>
          <w:rFonts w:asciiTheme="minorHAnsi" w:hAnsiTheme="minorHAnsi" w:cstheme="minorHAnsi"/>
          <w:i/>
          <w:szCs w:val="24"/>
        </w:rPr>
        <w:t>.</w:t>
      </w:r>
    </w:p>
    <w:p w14:paraId="4CC334A4" w14:textId="77777777" w:rsidR="0044602C" w:rsidRPr="0044602C" w:rsidRDefault="0044602C" w:rsidP="001B5820">
      <w:pPr>
        <w:pStyle w:val="ListParagraph"/>
        <w:ind w:left="1440"/>
        <w:jc w:val="both"/>
        <w:rPr>
          <w:rFonts w:asciiTheme="minorHAnsi" w:hAnsiTheme="minorHAnsi" w:cstheme="minorHAnsi"/>
          <w:szCs w:val="24"/>
        </w:rPr>
      </w:pPr>
    </w:p>
    <w:p w14:paraId="3548FF02" w14:textId="3E1578F2" w:rsidR="0044602C" w:rsidRPr="001B5820" w:rsidRDefault="0044602C" w:rsidP="009E7669">
      <w:pPr>
        <w:pStyle w:val="ListParagraph"/>
        <w:numPr>
          <w:ilvl w:val="0"/>
          <w:numId w:val="21"/>
        </w:numPr>
        <w:jc w:val="both"/>
        <w:rPr>
          <w:rFonts w:asciiTheme="minorHAnsi" w:hAnsiTheme="minorHAnsi" w:cstheme="minorHAnsi"/>
          <w:szCs w:val="24"/>
          <w:u w:val="single"/>
        </w:rPr>
      </w:pPr>
      <w:r w:rsidRPr="0044602C">
        <w:rPr>
          <w:rFonts w:asciiTheme="minorHAnsi" w:hAnsiTheme="minorHAnsi" w:cstheme="minorHAnsi"/>
          <w:b/>
          <w:szCs w:val="24"/>
          <w:u w:val="single"/>
        </w:rPr>
        <w:t>Point out what peers are doing in a timely way</w:t>
      </w:r>
      <w:r w:rsidRPr="0044602C">
        <w:rPr>
          <w:rFonts w:asciiTheme="minorHAnsi" w:hAnsiTheme="minorHAnsi" w:cstheme="minorHAnsi"/>
          <w:szCs w:val="24"/>
          <w:u w:val="single"/>
        </w:rPr>
        <w:t>.</w:t>
      </w:r>
      <w:r w:rsidRPr="001B5820">
        <w:rPr>
          <w:rFonts w:asciiTheme="minorHAnsi" w:hAnsiTheme="minorHAnsi" w:cstheme="minorHAnsi"/>
          <w:szCs w:val="24"/>
        </w:rPr>
        <w:t xml:space="preserve"> </w:t>
      </w:r>
      <w:r w:rsidR="001B5820" w:rsidRPr="001B5820">
        <w:rPr>
          <w:rFonts w:asciiTheme="minorHAnsi" w:hAnsiTheme="minorHAnsi" w:cstheme="minorHAnsi"/>
          <w:szCs w:val="24"/>
        </w:rPr>
        <w:t xml:space="preserve"> </w:t>
      </w:r>
      <w:r w:rsidRPr="001B5820">
        <w:rPr>
          <w:rFonts w:asciiTheme="minorHAnsi" w:hAnsiTheme="minorHAnsi" w:cstheme="minorHAnsi"/>
          <w:szCs w:val="24"/>
        </w:rPr>
        <w:t>Numerous interventions show that people’s behaviour is influenced by knowing what others (like them</w:t>
      </w:r>
      <w:r w:rsidR="002E081E">
        <w:rPr>
          <w:rFonts w:asciiTheme="minorHAnsi" w:hAnsiTheme="minorHAnsi" w:cstheme="minorHAnsi"/>
          <w:szCs w:val="24"/>
        </w:rPr>
        <w:t>, and with whom they identify</w:t>
      </w:r>
      <w:r w:rsidRPr="001B5820">
        <w:rPr>
          <w:rFonts w:asciiTheme="minorHAnsi" w:hAnsiTheme="minorHAnsi" w:cstheme="minorHAnsi"/>
          <w:szCs w:val="24"/>
        </w:rPr>
        <w:t>) are doing (and thinking). This may only be sheer nosiness but it is clear that we are social animals who are keenly interested in the behaviour of those around us.</w:t>
      </w:r>
    </w:p>
    <w:p w14:paraId="4C6BC5AB" w14:textId="77777777" w:rsidR="0044602C" w:rsidRPr="0044602C" w:rsidRDefault="0044602C" w:rsidP="0044602C">
      <w:pPr>
        <w:pStyle w:val="ListParagraph"/>
        <w:ind w:left="1440"/>
        <w:rPr>
          <w:rFonts w:asciiTheme="minorHAnsi" w:hAnsiTheme="minorHAnsi" w:cstheme="minorHAnsi"/>
          <w:szCs w:val="24"/>
        </w:rPr>
      </w:pPr>
    </w:p>
    <w:p w14:paraId="0F473F78" w14:textId="5121E620" w:rsidR="001B5820" w:rsidRDefault="0044602C" w:rsidP="001B5820">
      <w:pPr>
        <w:pStyle w:val="ListParagraph"/>
        <w:ind w:left="1800"/>
        <w:jc w:val="both"/>
        <w:rPr>
          <w:rFonts w:asciiTheme="minorHAnsi" w:hAnsiTheme="minorHAnsi" w:cstheme="minorHAnsi"/>
          <w:i/>
          <w:szCs w:val="24"/>
        </w:rPr>
      </w:pPr>
      <w:r w:rsidRPr="0044602C">
        <w:rPr>
          <w:rFonts w:asciiTheme="minorHAnsi" w:hAnsiTheme="minorHAnsi" w:cstheme="minorHAnsi"/>
          <w:i/>
          <w:szCs w:val="24"/>
          <w:u w:val="single"/>
        </w:rPr>
        <w:lastRenderedPageBreak/>
        <w:t xml:space="preserve">Example: </w:t>
      </w:r>
      <w:r w:rsidR="00291E41">
        <w:rPr>
          <w:rFonts w:asciiTheme="minorHAnsi" w:hAnsiTheme="minorHAnsi" w:cstheme="minorHAnsi"/>
          <w:i/>
          <w:szCs w:val="24"/>
          <w:u w:val="single"/>
        </w:rPr>
        <w:t xml:space="preserve">Professionals’ (e.g. </w:t>
      </w:r>
      <w:r w:rsidRPr="0044602C">
        <w:rPr>
          <w:rFonts w:asciiTheme="minorHAnsi" w:hAnsiTheme="minorHAnsi" w:cstheme="minorHAnsi"/>
          <w:i/>
          <w:szCs w:val="24"/>
          <w:u w:val="single"/>
        </w:rPr>
        <w:t>GPs’</w:t>
      </w:r>
      <w:r w:rsidR="00291E41">
        <w:rPr>
          <w:rFonts w:asciiTheme="minorHAnsi" w:hAnsiTheme="minorHAnsi" w:cstheme="minorHAnsi"/>
          <w:i/>
          <w:szCs w:val="24"/>
          <w:u w:val="single"/>
        </w:rPr>
        <w:t>)</w:t>
      </w:r>
      <w:r w:rsidRPr="0044602C">
        <w:rPr>
          <w:rFonts w:asciiTheme="minorHAnsi" w:hAnsiTheme="minorHAnsi" w:cstheme="minorHAnsi"/>
          <w:i/>
          <w:szCs w:val="24"/>
          <w:u w:val="single"/>
        </w:rPr>
        <w:t xml:space="preserve"> willingness to declare taxable income is affected by knowledge of compliant behaviour among fellow GPs.</w:t>
      </w:r>
      <w:r w:rsidRPr="0044602C">
        <w:rPr>
          <w:rStyle w:val="FootnoteReference"/>
          <w:rFonts w:asciiTheme="minorHAnsi" w:hAnsiTheme="minorHAnsi" w:cstheme="minorHAnsi"/>
          <w:i/>
          <w:szCs w:val="24"/>
        </w:rPr>
        <w:footnoteReference w:id="30"/>
      </w:r>
      <w:r w:rsidRPr="0044602C">
        <w:rPr>
          <w:rFonts w:asciiTheme="minorHAnsi" w:hAnsiTheme="minorHAnsi" w:cstheme="minorHAnsi"/>
          <w:i/>
          <w:szCs w:val="24"/>
        </w:rPr>
        <w:t xml:space="preserve"> </w:t>
      </w:r>
    </w:p>
    <w:p w14:paraId="5D8B1812" w14:textId="3B5A9CB6" w:rsidR="0044602C" w:rsidRPr="0044602C" w:rsidRDefault="00BE3BDD" w:rsidP="001B5820">
      <w:pPr>
        <w:pStyle w:val="ListParagraph"/>
        <w:ind w:left="1800"/>
        <w:jc w:val="both"/>
        <w:rPr>
          <w:rFonts w:asciiTheme="minorHAnsi" w:hAnsiTheme="minorHAnsi" w:cstheme="minorHAnsi"/>
          <w:i/>
          <w:szCs w:val="24"/>
        </w:rPr>
      </w:pPr>
      <w:r>
        <w:rPr>
          <w:rFonts w:asciiTheme="minorHAnsi" w:hAnsiTheme="minorHAnsi" w:cstheme="minorHAnsi"/>
          <w:i/>
          <w:szCs w:val="24"/>
        </w:rPr>
        <w:t>Simply</w:t>
      </w:r>
      <w:r w:rsidR="0044602C" w:rsidRPr="0044602C">
        <w:rPr>
          <w:rFonts w:asciiTheme="minorHAnsi" w:hAnsiTheme="minorHAnsi" w:cstheme="minorHAnsi"/>
          <w:i/>
          <w:szCs w:val="24"/>
        </w:rPr>
        <w:t xml:space="preserve"> pointing out that others have complied</w:t>
      </w:r>
      <w:r w:rsidR="001B5820">
        <w:rPr>
          <w:rFonts w:asciiTheme="minorHAnsi" w:hAnsiTheme="minorHAnsi" w:cstheme="minorHAnsi"/>
          <w:i/>
          <w:szCs w:val="24"/>
        </w:rPr>
        <w:t xml:space="preserve"> itself encourages</w:t>
      </w:r>
      <w:r w:rsidR="0044602C" w:rsidRPr="0044602C">
        <w:rPr>
          <w:rFonts w:asciiTheme="minorHAnsi" w:hAnsiTheme="minorHAnsi" w:cstheme="minorHAnsi"/>
          <w:i/>
          <w:szCs w:val="24"/>
        </w:rPr>
        <w:t xml:space="preserve"> better behaviour. This is principally a peer effect: individuals do not want to think of themselves as ‘letting the side down’ and nor do they want to countenance bad behaviour when reminded of their</w:t>
      </w:r>
      <w:r w:rsidR="001B5820">
        <w:rPr>
          <w:rFonts w:asciiTheme="minorHAnsi" w:hAnsiTheme="minorHAnsi" w:cstheme="minorHAnsi"/>
          <w:i/>
          <w:szCs w:val="24"/>
        </w:rPr>
        <w:t xml:space="preserve"> own</w:t>
      </w:r>
      <w:r w:rsidR="0044602C" w:rsidRPr="0044602C">
        <w:rPr>
          <w:rFonts w:asciiTheme="minorHAnsi" w:hAnsiTheme="minorHAnsi" w:cstheme="minorHAnsi"/>
          <w:i/>
          <w:szCs w:val="24"/>
        </w:rPr>
        <w:t xml:space="preserve"> professional status.</w:t>
      </w:r>
    </w:p>
    <w:p w14:paraId="3C275A68" w14:textId="77777777" w:rsidR="0044602C" w:rsidRPr="0044602C" w:rsidRDefault="0044602C" w:rsidP="00B127A5">
      <w:pPr>
        <w:pStyle w:val="ListParagraph"/>
        <w:ind w:left="1440"/>
        <w:jc w:val="both"/>
        <w:rPr>
          <w:rFonts w:asciiTheme="minorHAnsi" w:hAnsiTheme="minorHAnsi" w:cstheme="minorHAnsi"/>
          <w:szCs w:val="24"/>
        </w:rPr>
      </w:pPr>
    </w:p>
    <w:p w14:paraId="1E3ABBD9" w14:textId="11559228" w:rsidR="001B5820" w:rsidRDefault="0044602C" w:rsidP="001B5820">
      <w:pPr>
        <w:pStyle w:val="ListParagraph"/>
        <w:ind w:left="1800"/>
        <w:jc w:val="both"/>
        <w:rPr>
          <w:rFonts w:asciiTheme="minorHAnsi" w:hAnsiTheme="minorHAnsi" w:cstheme="minorHAnsi"/>
          <w:i/>
          <w:szCs w:val="24"/>
        </w:rPr>
      </w:pPr>
      <w:r w:rsidRPr="0044602C">
        <w:rPr>
          <w:rFonts w:asciiTheme="minorHAnsi" w:hAnsiTheme="minorHAnsi" w:cstheme="minorHAnsi"/>
          <w:i/>
          <w:szCs w:val="24"/>
          <w:u w:val="single"/>
        </w:rPr>
        <w:t>Equalit</w:t>
      </w:r>
      <w:r w:rsidR="001B5820">
        <w:rPr>
          <w:rFonts w:asciiTheme="minorHAnsi" w:hAnsiTheme="minorHAnsi" w:cstheme="minorHAnsi"/>
          <w:i/>
          <w:szCs w:val="24"/>
          <w:u w:val="single"/>
        </w:rPr>
        <w:t>ies exampl</w:t>
      </w:r>
      <w:r w:rsidR="001536EA">
        <w:rPr>
          <w:rFonts w:asciiTheme="minorHAnsi" w:hAnsiTheme="minorHAnsi" w:cstheme="minorHAnsi"/>
          <w:i/>
          <w:szCs w:val="24"/>
          <w:u w:val="single"/>
        </w:rPr>
        <w:t>e: Harnessing CEOs as alternative</w:t>
      </w:r>
      <w:r w:rsidRPr="0044602C">
        <w:rPr>
          <w:rFonts w:asciiTheme="minorHAnsi" w:hAnsiTheme="minorHAnsi" w:cstheme="minorHAnsi"/>
          <w:i/>
          <w:szCs w:val="24"/>
          <w:u w:val="single"/>
        </w:rPr>
        <w:t xml:space="preserve"> equalities champions</w:t>
      </w:r>
      <w:r w:rsidRPr="0044602C">
        <w:rPr>
          <w:rFonts w:asciiTheme="minorHAnsi" w:hAnsiTheme="minorHAnsi" w:cstheme="minorHAnsi"/>
          <w:i/>
          <w:szCs w:val="24"/>
        </w:rPr>
        <w:t xml:space="preserve">. </w:t>
      </w:r>
    </w:p>
    <w:p w14:paraId="4CC428E3" w14:textId="4E45437B" w:rsidR="0044602C" w:rsidRPr="0044602C" w:rsidRDefault="0044602C" w:rsidP="001B5820">
      <w:pPr>
        <w:pStyle w:val="ListParagraph"/>
        <w:ind w:left="1800"/>
        <w:jc w:val="both"/>
        <w:rPr>
          <w:rFonts w:asciiTheme="minorHAnsi" w:hAnsiTheme="minorHAnsi" w:cstheme="minorHAnsi"/>
          <w:i/>
          <w:szCs w:val="24"/>
        </w:rPr>
      </w:pPr>
      <w:r w:rsidRPr="0044602C">
        <w:rPr>
          <w:rFonts w:asciiTheme="minorHAnsi" w:hAnsiTheme="minorHAnsi" w:cstheme="minorHAnsi"/>
          <w:i/>
          <w:szCs w:val="24"/>
        </w:rPr>
        <w:t xml:space="preserve">The Think, Act, Report initiative has been effective in driving leadership in the private sector for modern equalities policies and procedures. A key, latent asset of TAR is the leadership of member firms’ CEOs. This is reinforced by a push to see greater private sector-led action. </w:t>
      </w:r>
    </w:p>
    <w:p w14:paraId="1C6175E4" w14:textId="77777777" w:rsidR="0044602C" w:rsidRPr="0044602C" w:rsidRDefault="0044602C" w:rsidP="00B127A5">
      <w:pPr>
        <w:pStyle w:val="ListParagraph"/>
        <w:ind w:left="1440"/>
        <w:jc w:val="both"/>
        <w:rPr>
          <w:rFonts w:asciiTheme="minorHAnsi" w:hAnsiTheme="minorHAnsi" w:cstheme="minorHAnsi"/>
          <w:i/>
          <w:szCs w:val="24"/>
        </w:rPr>
      </w:pPr>
    </w:p>
    <w:p w14:paraId="61F4751B" w14:textId="46FA1CAA" w:rsidR="0044602C" w:rsidRPr="0044602C" w:rsidRDefault="0044602C" w:rsidP="001B5820">
      <w:pPr>
        <w:pStyle w:val="ListParagraph"/>
        <w:ind w:left="1800"/>
        <w:jc w:val="both"/>
        <w:rPr>
          <w:rFonts w:asciiTheme="minorHAnsi" w:hAnsiTheme="minorHAnsi" w:cstheme="minorHAnsi"/>
          <w:i/>
          <w:szCs w:val="24"/>
        </w:rPr>
      </w:pPr>
      <w:r w:rsidRPr="0044602C">
        <w:rPr>
          <w:rFonts w:asciiTheme="minorHAnsi" w:hAnsiTheme="minorHAnsi" w:cstheme="minorHAnsi"/>
          <w:i/>
          <w:szCs w:val="24"/>
        </w:rPr>
        <w:t xml:space="preserve">There is application value here </w:t>
      </w:r>
      <w:r w:rsidR="00B127A5">
        <w:rPr>
          <w:rFonts w:asciiTheme="minorHAnsi" w:hAnsiTheme="minorHAnsi" w:cstheme="minorHAnsi"/>
          <w:i/>
          <w:szCs w:val="24"/>
        </w:rPr>
        <w:t>in</w:t>
      </w:r>
      <w:r w:rsidR="003768BA">
        <w:rPr>
          <w:rFonts w:asciiTheme="minorHAnsi" w:hAnsiTheme="minorHAnsi" w:cstheme="minorHAnsi"/>
          <w:i/>
          <w:szCs w:val="24"/>
        </w:rPr>
        <w:t xml:space="preserve"> moving to</w:t>
      </w:r>
      <w:r w:rsidRPr="0044602C">
        <w:rPr>
          <w:rFonts w:asciiTheme="minorHAnsi" w:hAnsiTheme="minorHAnsi" w:cstheme="minorHAnsi"/>
          <w:i/>
          <w:szCs w:val="24"/>
        </w:rPr>
        <w:t xml:space="preserve"> further recruitment drives</w:t>
      </w:r>
      <w:r w:rsidR="003768BA">
        <w:rPr>
          <w:rFonts w:asciiTheme="minorHAnsi" w:hAnsiTheme="minorHAnsi" w:cstheme="minorHAnsi"/>
          <w:i/>
          <w:szCs w:val="24"/>
        </w:rPr>
        <w:t xml:space="preserve"> for TAR signatories</w:t>
      </w:r>
      <w:r w:rsidRPr="0044602C">
        <w:rPr>
          <w:rFonts w:asciiTheme="minorHAnsi" w:hAnsiTheme="minorHAnsi" w:cstheme="minorHAnsi"/>
          <w:i/>
          <w:szCs w:val="24"/>
        </w:rPr>
        <w:t xml:space="preserve"> based on CEO-to-CEO pressure. CEOs can write directly to their peers and follow up to push reputational membership benefits. This can be </w:t>
      </w:r>
      <w:r w:rsidR="001B5820">
        <w:rPr>
          <w:rFonts w:asciiTheme="minorHAnsi" w:hAnsiTheme="minorHAnsi" w:cstheme="minorHAnsi"/>
          <w:i/>
          <w:szCs w:val="24"/>
        </w:rPr>
        <w:t xml:space="preserve">a </w:t>
      </w:r>
      <w:r w:rsidRPr="0044602C">
        <w:rPr>
          <w:rFonts w:asciiTheme="minorHAnsi" w:hAnsiTheme="minorHAnsi" w:cstheme="minorHAnsi"/>
          <w:i/>
          <w:szCs w:val="24"/>
        </w:rPr>
        <w:t>direct substitute for specific ministerial engagement, and ministers can</w:t>
      </w:r>
      <w:r w:rsidR="001B5820">
        <w:rPr>
          <w:rFonts w:asciiTheme="minorHAnsi" w:hAnsiTheme="minorHAnsi" w:cstheme="minorHAnsi"/>
          <w:i/>
          <w:szCs w:val="24"/>
        </w:rPr>
        <w:t>, over time, shift to</w:t>
      </w:r>
      <w:r w:rsidRPr="0044602C">
        <w:rPr>
          <w:rFonts w:asciiTheme="minorHAnsi" w:hAnsiTheme="minorHAnsi" w:cstheme="minorHAnsi"/>
          <w:i/>
          <w:szCs w:val="24"/>
        </w:rPr>
        <w:t xml:space="preserve"> play a background supportive role.</w:t>
      </w:r>
    </w:p>
    <w:p w14:paraId="7A3D7F5F" w14:textId="77777777" w:rsidR="0044602C" w:rsidRPr="0044602C" w:rsidRDefault="0044602C" w:rsidP="0044602C">
      <w:pPr>
        <w:pStyle w:val="ListParagraph"/>
        <w:ind w:left="1440"/>
        <w:rPr>
          <w:rFonts w:asciiTheme="minorHAnsi" w:hAnsiTheme="minorHAnsi" w:cstheme="minorHAnsi"/>
          <w:szCs w:val="24"/>
        </w:rPr>
      </w:pPr>
    </w:p>
    <w:p w14:paraId="1F713322" w14:textId="0C4C3719" w:rsidR="0044602C" w:rsidRPr="001B5820" w:rsidRDefault="0044602C" w:rsidP="009E7669">
      <w:pPr>
        <w:pStyle w:val="ListParagraph"/>
        <w:numPr>
          <w:ilvl w:val="0"/>
          <w:numId w:val="21"/>
        </w:numPr>
        <w:jc w:val="both"/>
        <w:rPr>
          <w:rFonts w:asciiTheme="minorHAnsi" w:hAnsiTheme="minorHAnsi" w:cstheme="minorHAnsi"/>
          <w:b/>
          <w:szCs w:val="24"/>
          <w:u w:val="single"/>
        </w:rPr>
      </w:pPr>
      <w:r w:rsidRPr="0044602C">
        <w:rPr>
          <w:rFonts w:asciiTheme="minorHAnsi" w:hAnsiTheme="minorHAnsi" w:cstheme="minorHAnsi"/>
          <w:b/>
          <w:szCs w:val="24"/>
          <w:u w:val="single"/>
        </w:rPr>
        <w:t>Redesign</w:t>
      </w:r>
      <w:r w:rsidR="001536EA">
        <w:rPr>
          <w:rFonts w:asciiTheme="minorHAnsi" w:hAnsiTheme="minorHAnsi" w:cstheme="minorHAnsi"/>
          <w:b/>
          <w:szCs w:val="24"/>
          <w:u w:val="single"/>
        </w:rPr>
        <w:t xml:space="preserve"> and reposition</w:t>
      </w:r>
      <w:r w:rsidRPr="0044602C">
        <w:rPr>
          <w:rFonts w:asciiTheme="minorHAnsi" w:hAnsiTheme="minorHAnsi" w:cstheme="minorHAnsi"/>
          <w:b/>
          <w:szCs w:val="24"/>
          <w:u w:val="single"/>
        </w:rPr>
        <w:t xml:space="preserve"> communication and administrative materials.</w:t>
      </w:r>
      <w:r w:rsidR="001B5820" w:rsidRPr="001B5820">
        <w:rPr>
          <w:rFonts w:asciiTheme="minorHAnsi" w:hAnsiTheme="minorHAnsi" w:cstheme="minorHAnsi"/>
          <w:b/>
          <w:szCs w:val="24"/>
        </w:rPr>
        <w:t xml:space="preserve"> </w:t>
      </w:r>
      <w:r w:rsidRPr="001B5820">
        <w:rPr>
          <w:rFonts w:asciiTheme="minorHAnsi" w:hAnsiTheme="minorHAnsi" w:cstheme="minorHAnsi"/>
          <w:szCs w:val="24"/>
        </w:rPr>
        <w:t>Considerable evidence exists to show that people respond to written communication in different ways depending on the basic design of</w:t>
      </w:r>
      <w:r w:rsidR="001B5820">
        <w:rPr>
          <w:rFonts w:asciiTheme="minorHAnsi" w:hAnsiTheme="minorHAnsi" w:cstheme="minorHAnsi"/>
          <w:szCs w:val="24"/>
        </w:rPr>
        <w:t xml:space="preserve"> the communication</w:t>
      </w:r>
      <w:r w:rsidRPr="001B5820">
        <w:rPr>
          <w:rFonts w:asciiTheme="minorHAnsi" w:hAnsiTheme="minorHAnsi" w:cstheme="minorHAnsi"/>
          <w:szCs w:val="24"/>
        </w:rPr>
        <w:t xml:space="preserve"> material. Things as s</w:t>
      </w:r>
      <w:r w:rsidR="001B5820">
        <w:rPr>
          <w:rFonts w:asciiTheme="minorHAnsi" w:hAnsiTheme="minorHAnsi" w:cstheme="minorHAnsi"/>
          <w:szCs w:val="24"/>
        </w:rPr>
        <w:t>imple as font size, or bulleted</w:t>
      </w:r>
      <w:r w:rsidRPr="001B5820">
        <w:rPr>
          <w:rFonts w:asciiTheme="minorHAnsi" w:hAnsiTheme="minorHAnsi" w:cstheme="minorHAnsi"/>
          <w:szCs w:val="24"/>
        </w:rPr>
        <w:t xml:space="preserve"> key points, or highlighting actions or options, are all important. Commercial firms have gained a head start in trialling better letter writing and website navigation; public bodies are </w:t>
      </w:r>
      <w:r w:rsidR="001B5820">
        <w:rPr>
          <w:rFonts w:asciiTheme="minorHAnsi" w:hAnsiTheme="minorHAnsi" w:cstheme="minorHAnsi"/>
          <w:szCs w:val="24"/>
        </w:rPr>
        <w:t xml:space="preserve">now </w:t>
      </w:r>
      <w:r w:rsidRPr="001B5820">
        <w:rPr>
          <w:rFonts w:asciiTheme="minorHAnsi" w:hAnsiTheme="minorHAnsi" w:cstheme="minorHAnsi"/>
          <w:szCs w:val="24"/>
        </w:rPr>
        <w:t>swiftly drawing down on this knowledge.</w:t>
      </w:r>
    </w:p>
    <w:p w14:paraId="54C34FC1" w14:textId="77777777" w:rsidR="0044602C" w:rsidRPr="0044602C" w:rsidRDefault="0044602C" w:rsidP="00B127A5">
      <w:pPr>
        <w:pStyle w:val="ListParagraph"/>
        <w:ind w:left="1440"/>
        <w:jc w:val="both"/>
        <w:rPr>
          <w:rFonts w:asciiTheme="minorHAnsi" w:hAnsiTheme="minorHAnsi" w:cstheme="minorHAnsi"/>
          <w:szCs w:val="24"/>
        </w:rPr>
      </w:pPr>
    </w:p>
    <w:p w14:paraId="61F1DF32" w14:textId="77777777" w:rsidR="001B5820" w:rsidRDefault="0044602C" w:rsidP="001B5820">
      <w:pPr>
        <w:pStyle w:val="ListParagraph"/>
        <w:ind w:left="1800"/>
        <w:jc w:val="both"/>
        <w:rPr>
          <w:rFonts w:asciiTheme="minorHAnsi" w:hAnsiTheme="minorHAnsi" w:cstheme="minorHAnsi"/>
          <w:i/>
          <w:szCs w:val="24"/>
        </w:rPr>
      </w:pPr>
      <w:r w:rsidRPr="001B5820">
        <w:rPr>
          <w:rFonts w:asciiTheme="minorHAnsi" w:hAnsiTheme="minorHAnsi" w:cstheme="minorHAnsi"/>
          <w:i/>
          <w:szCs w:val="24"/>
          <w:u w:val="single"/>
        </w:rPr>
        <w:t>Example: Redesign of compensation letters to aggrieved financial services customers</w:t>
      </w:r>
      <w:r w:rsidRPr="0044602C">
        <w:rPr>
          <w:rFonts w:asciiTheme="minorHAnsi" w:hAnsiTheme="minorHAnsi" w:cstheme="minorHAnsi"/>
          <w:i/>
          <w:szCs w:val="24"/>
        </w:rPr>
        <w:t xml:space="preserve">. </w:t>
      </w:r>
    </w:p>
    <w:p w14:paraId="63D785FD" w14:textId="28AF0461" w:rsidR="0044602C" w:rsidRPr="0044602C" w:rsidRDefault="0044602C" w:rsidP="001B5820">
      <w:pPr>
        <w:pStyle w:val="ListParagraph"/>
        <w:ind w:left="1800"/>
        <w:jc w:val="both"/>
        <w:rPr>
          <w:rFonts w:asciiTheme="minorHAnsi" w:hAnsiTheme="minorHAnsi" w:cstheme="minorHAnsi"/>
          <w:i/>
          <w:szCs w:val="24"/>
        </w:rPr>
      </w:pPr>
      <w:r w:rsidRPr="0044602C">
        <w:rPr>
          <w:rFonts w:asciiTheme="minorHAnsi" w:hAnsiTheme="minorHAnsi" w:cstheme="minorHAnsi"/>
          <w:i/>
          <w:szCs w:val="24"/>
        </w:rPr>
        <w:t xml:space="preserve">BIT collaboration with FCA has shown that </w:t>
      </w:r>
      <w:r w:rsidR="001B5820">
        <w:rPr>
          <w:rFonts w:asciiTheme="minorHAnsi" w:hAnsiTheme="minorHAnsi" w:cstheme="minorHAnsi"/>
          <w:i/>
          <w:szCs w:val="24"/>
        </w:rPr>
        <w:t xml:space="preserve">a </w:t>
      </w:r>
      <w:r w:rsidRPr="0044602C">
        <w:rPr>
          <w:rFonts w:asciiTheme="minorHAnsi" w:hAnsiTheme="minorHAnsi" w:cstheme="minorHAnsi"/>
          <w:i/>
          <w:szCs w:val="24"/>
        </w:rPr>
        <w:t>straight forward redesign of letters setting out redress options can lift response rates by up to 6 per cent. This is a big rise given the low baseline and the</w:t>
      </w:r>
      <w:r w:rsidR="002E081E">
        <w:rPr>
          <w:rFonts w:asciiTheme="minorHAnsi" w:hAnsiTheme="minorHAnsi" w:cstheme="minorHAnsi"/>
          <w:i/>
          <w:szCs w:val="24"/>
        </w:rPr>
        <w:t xml:space="preserve"> frequency of upheld complaints.</w:t>
      </w:r>
      <w:r w:rsidR="002E081E">
        <w:rPr>
          <w:rStyle w:val="FootnoteReference"/>
          <w:rFonts w:asciiTheme="minorHAnsi" w:hAnsiTheme="minorHAnsi" w:cstheme="minorHAnsi"/>
          <w:i/>
          <w:szCs w:val="24"/>
        </w:rPr>
        <w:footnoteReference w:id="31"/>
      </w:r>
    </w:p>
    <w:p w14:paraId="5E3C23CF" w14:textId="77777777" w:rsidR="0044602C" w:rsidRPr="0044602C" w:rsidRDefault="0044602C" w:rsidP="00B127A5">
      <w:pPr>
        <w:pStyle w:val="ListParagraph"/>
        <w:ind w:left="1440"/>
        <w:jc w:val="both"/>
        <w:rPr>
          <w:rFonts w:asciiTheme="minorHAnsi" w:hAnsiTheme="minorHAnsi" w:cstheme="minorHAnsi"/>
          <w:i/>
          <w:szCs w:val="24"/>
        </w:rPr>
      </w:pPr>
    </w:p>
    <w:p w14:paraId="4560D99E" w14:textId="77777777" w:rsidR="001B5820" w:rsidRDefault="0044602C" w:rsidP="001B5820">
      <w:pPr>
        <w:pStyle w:val="ListParagraph"/>
        <w:ind w:left="1800"/>
        <w:jc w:val="both"/>
        <w:rPr>
          <w:rFonts w:asciiTheme="minorHAnsi" w:hAnsiTheme="minorHAnsi" w:cstheme="minorHAnsi"/>
          <w:i/>
          <w:szCs w:val="24"/>
        </w:rPr>
      </w:pPr>
      <w:r w:rsidRPr="0044602C">
        <w:rPr>
          <w:rFonts w:asciiTheme="minorHAnsi" w:hAnsiTheme="minorHAnsi" w:cstheme="minorHAnsi"/>
          <w:i/>
          <w:szCs w:val="24"/>
          <w:u w:val="single"/>
        </w:rPr>
        <w:t>Example: Reducing hospital missed appointment rates</w:t>
      </w:r>
      <w:r w:rsidRPr="0044602C">
        <w:rPr>
          <w:rFonts w:asciiTheme="minorHAnsi" w:hAnsiTheme="minorHAnsi" w:cstheme="minorHAnsi"/>
          <w:i/>
          <w:szCs w:val="24"/>
        </w:rPr>
        <w:t>.</w:t>
      </w:r>
      <w:r w:rsidRPr="0044602C">
        <w:rPr>
          <w:rStyle w:val="FootnoteReference"/>
          <w:rFonts w:asciiTheme="minorHAnsi" w:hAnsiTheme="minorHAnsi" w:cstheme="minorHAnsi"/>
          <w:i/>
          <w:szCs w:val="24"/>
        </w:rPr>
        <w:footnoteReference w:id="32"/>
      </w:r>
      <w:r w:rsidRPr="0044602C">
        <w:rPr>
          <w:rFonts w:asciiTheme="minorHAnsi" w:hAnsiTheme="minorHAnsi" w:cstheme="minorHAnsi"/>
          <w:i/>
          <w:szCs w:val="24"/>
        </w:rPr>
        <w:t xml:space="preserve"> </w:t>
      </w:r>
    </w:p>
    <w:p w14:paraId="4436A16D" w14:textId="2F89586B" w:rsidR="0044602C" w:rsidRPr="0044602C" w:rsidRDefault="0044602C" w:rsidP="001B5820">
      <w:pPr>
        <w:pStyle w:val="ListParagraph"/>
        <w:ind w:left="1800"/>
        <w:jc w:val="both"/>
        <w:rPr>
          <w:rFonts w:asciiTheme="minorHAnsi" w:hAnsiTheme="minorHAnsi" w:cstheme="minorHAnsi"/>
          <w:i/>
          <w:szCs w:val="24"/>
        </w:rPr>
      </w:pPr>
      <w:r w:rsidRPr="0044602C">
        <w:rPr>
          <w:rFonts w:asciiTheme="minorHAnsi" w:hAnsiTheme="minorHAnsi" w:cstheme="minorHAnsi"/>
          <w:i/>
          <w:szCs w:val="24"/>
        </w:rPr>
        <w:t xml:space="preserve">DH has trialled the impact of four slightly different text messages to prompt better attendance at appointments. Some just set out the basic information more fluently; others encouraging compliance though social norms; and others invoke reminders of the cost to the </w:t>
      </w:r>
      <w:r w:rsidR="001B5820">
        <w:rPr>
          <w:rFonts w:asciiTheme="minorHAnsi" w:hAnsiTheme="minorHAnsi" w:cstheme="minorHAnsi"/>
          <w:i/>
          <w:szCs w:val="24"/>
        </w:rPr>
        <w:t>public purse. All are effective; some are more effective than others.</w:t>
      </w:r>
    </w:p>
    <w:p w14:paraId="7EDBBBA5" w14:textId="77777777" w:rsidR="0044602C" w:rsidRPr="0044602C" w:rsidRDefault="0044602C" w:rsidP="00B127A5">
      <w:pPr>
        <w:pStyle w:val="ListParagraph"/>
        <w:ind w:left="1440"/>
        <w:jc w:val="both"/>
        <w:rPr>
          <w:rFonts w:asciiTheme="minorHAnsi" w:hAnsiTheme="minorHAnsi" w:cstheme="minorHAnsi"/>
          <w:i/>
          <w:szCs w:val="24"/>
        </w:rPr>
      </w:pPr>
    </w:p>
    <w:p w14:paraId="4311C86E" w14:textId="4EAE30E7" w:rsidR="001B5820" w:rsidRPr="008C1B83" w:rsidRDefault="0044602C" w:rsidP="001B5820">
      <w:pPr>
        <w:pStyle w:val="ListParagraph"/>
        <w:ind w:left="1800"/>
        <w:jc w:val="both"/>
        <w:rPr>
          <w:rFonts w:asciiTheme="minorHAnsi" w:hAnsiTheme="minorHAnsi" w:cstheme="minorHAnsi"/>
          <w:i/>
          <w:szCs w:val="24"/>
        </w:rPr>
      </w:pPr>
      <w:r w:rsidRPr="008C1B83">
        <w:rPr>
          <w:rFonts w:asciiTheme="minorHAnsi" w:hAnsiTheme="minorHAnsi" w:cstheme="minorHAnsi"/>
          <w:i/>
          <w:szCs w:val="24"/>
          <w:u w:val="single"/>
        </w:rPr>
        <w:t>Example: Stimulating complainants to seek redress by by-passing cumbersome written processes</w:t>
      </w:r>
      <w:r w:rsidRPr="008C1B83">
        <w:rPr>
          <w:rFonts w:asciiTheme="minorHAnsi" w:hAnsiTheme="minorHAnsi" w:cstheme="minorHAnsi"/>
          <w:i/>
          <w:szCs w:val="24"/>
        </w:rPr>
        <w:t>.</w:t>
      </w:r>
      <w:r w:rsidR="00292D81" w:rsidRPr="008C1B83">
        <w:rPr>
          <w:rStyle w:val="FootnoteReference"/>
          <w:rFonts w:asciiTheme="minorHAnsi" w:hAnsiTheme="minorHAnsi" w:cstheme="minorHAnsi"/>
          <w:i/>
          <w:szCs w:val="24"/>
        </w:rPr>
        <w:footnoteReference w:id="33"/>
      </w:r>
      <w:r w:rsidRPr="008C1B83">
        <w:rPr>
          <w:rFonts w:asciiTheme="minorHAnsi" w:hAnsiTheme="minorHAnsi" w:cstheme="minorHAnsi"/>
          <w:i/>
          <w:szCs w:val="24"/>
        </w:rPr>
        <w:t xml:space="preserve"> </w:t>
      </w:r>
    </w:p>
    <w:p w14:paraId="4EBA9C1B" w14:textId="4C1070AF" w:rsidR="0044602C" w:rsidRPr="0044602C" w:rsidRDefault="0044602C" w:rsidP="001B5820">
      <w:pPr>
        <w:pStyle w:val="ListParagraph"/>
        <w:ind w:left="1800"/>
        <w:jc w:val="both"/>
        <w:rPr>
          <w:rFonts w:asciiTheme="minorHAnsi" w:hAnsiTheme="minorHAnsi" w:cstheme="minorHAnsi"/>
          <w:i/>
          <w:szCs w:val="24"/>
        </w:rPr>
      </w:pPr>
      <w:r w:rsidRPr="008C1B83">
        <w:rPr>
          <w:rFonts w:asciiTheme="minorHAnsi" w:hAnsiTheme="minorHAnsi" w:cstheme="minorHAnsi"/>
          <w:i/>
          <w:szCs w:val="24"/>
        </w:rPr>
        <w:t>The Law Society’s Legal Complaints Service</w:t>
      </w:r>
      <w:r w:rsidR="008C1B83">
        <w:rPr>
          <w:rStyle w:val="FootnoteReference"/>
          <w:rFonts w:asciiTheme="minorHAnsi" w:hAnsiTheme="minorHAnsi" w:cstheme="minorHAnsi"/>
          <w:i/>
          <w:szCs w:val="24"/>
        </w:rPr>
        <w:footnoteReference w:id="34"/>
      </w:r>
      <w:r w:rsidRPr="008C1B83">
        <w:rPr>
          <w:rFonts w:asciiTheme="minorHAnsi" w:hAnsiTheme="minorHAnsi" w:cstheme="minorHAnsi"/>
          <w:i/>
          <w:szCs w:val="24"/>
        </w:rPr>
        <w:t xml:space="preserve"> succeeded in helping over 1,000 former mineworkers to lodge complaints against their solicitors by holding a road show event in the Rother Valley</w:t>
      </w:r>
      <w:r w:rsidR="00BA0933" w:rsidRPr="008C1B83">
        <w:rPr>
          <w:rFonts w:asciiTheme="minorHAnsi" w:hAnsiTheme="minorHAnsi" w:cstheme="minorHAnsi"/>
          <w:i/>
          <w:szCs w:val="24"/>
        </w:rPr>
        <w:t>.</w:t>
      </w:r>
      <w:r w:rsidRPr="008C1B83">
        <w:rPr>
          <w:rFonts w:asciiTheme="minorHAnsi" w:hAnsiTheme="minorHAnsi" w:cstheme="minorHAnsi"/>
          <w:i/>
          <w:szCs w:val="24"/>
        </w:rPr>
        <w:t xml:space="preserve"> Affected members of the public were able to talk to spec</w:t>
      </w:r>
      <w:r w:rsidR="001B5820" w:rsidRPr="008C1B83">
        <w:rPr>
          <w:rFonts w:asciiTheme="minorHAnsi" w:hAnsiTheme="minorHAnsi" w:cstheme="minorHAnsi"/>
          <w:i/>
          <w:szCs w:val="24"/>
        </w:rPr>
        <w:t>ially trained caseworkers while on a High S</w:t>
      </w:r>
      <w:r w:rsidRPr="008C1B83">
        <w:rPr>
          <w:rFonts w:asciiTheme="minorHAnsi" w:hAnsiTheme="minorHAnsi" w:cstheme="minorHAnsi"/>
          <w:i/>
          <w:szCs w:val="24"/>
        </w:rPr>
        <w:t>treet shopping trip and submit claims verbally. This pilot was a demonstration project to highlight the barriers unintentionally created through existing processes based on written complaints and couched in anachronistic legal jargon. Streamlining processes in this way is a common tool used by redress bodies to assist highly vulnerable target groups.</w:t>
      </w:r>
    </w:p>
    <w:p w14:paraId="680398B0" w14:textId="77777777" w:rsidR="0044602C" w:rsidRPr="0044602C" w:rsidRDefault="0044602C" w:rsidP="00B127A5">
      <w:pPr>
        <w:pStyle w:val="ListParagraph"/>
        <w:ind w:left="1440"/>
        <w:jc w:val="both"/>
        <w:rPr>
          <w:rFonts w:asciiTheme="minorHAnsi" w:hAnsiTheme="minorHAnsi" w:cstheme="minorHAnsi"/>
          <w:szCs w:val="24"/>
        </w:rPr>
      </w:pPr>
    </w:p>
    <w:p w14:paraId="0FCD89CC" w14:textId="77777777" w:rsidR="001B5820" w:rsidRDefault="0044602C" w:rsidP="001B5820">
      <w:pPr>
        <w:pStyle w:val="ListParagraph"/>
        <w:ind w:left="1800"/>
        <w:jc w:val="both"/>
        <w:rPr>
          <w:rFonts w:asciiTheme="minorHAnsi" w:hAnsiTheme="minorHAnsi" w:cstheme="minorHAnsi"/>
          <w:i/>
          <w:szCs w:val="24"/>
        </w:rPr>
      </w:pPr>
      <w:r w:rsidRPr="0044602C">
        <w:rPr>
          <w:rFonts w:asciiTheme="minorHAnsi" w:hAnsiTheme="minorHAnsi" w:cstheme="minorHAnsi"/>
          <w:i/>
          <w:szCs w:val="24"/>
          <w:u w:val="single"/>
        </w:rPr>
        <w:t>Equalities example: Remind appointment panels of the current composition of the workforce</w:t>
      </w:r>
      <w:r w:rsidRPr="0044602C">
        <w:rPr>
          <w:rFonts w:asciiTheme="minorHAnsi" w:hAnsiTheme="minorHAnsi" w:cstheme="minorHAnsi"/>
          <w:i/>
          <w:szCs w:val="24"/>
        </w:rPr>
        <w:t xml:space="preserve">. </w:t>
      </w:r>
    </w:p>
    <w:p w14:paraId="01A9F5C8" w14:textId="72207FE2" w:rsidR="0044602C" w:rsidRDefault="0044602C" w:rsidP="008C1B83">
      <w:pPr>
        <w:pStyle w:val="ListParagraph"/>
        <w:ind w:left="1800"/>
        <w:jc w:val="both"/>
        <w:rPr>
          <w:rFonts w:asciiTheme="minorHAnsi" w:hAnsiTheme="minorHAnsi" w:cstheme="minorHAnsi"/>
          <w:i/>
          <w:szCs w:val="24"/>
        </w:rPr>
      </w:pPr>
      <w:r w:rsidRPr="0044602C">
        <w:rPr>
          <w:rFonts w:asciiTheme="minorHAnsi" w:hAnsiTheme="minorHAnsi" w:cstheme="minorHAnsi"/>
          <w:i/>
          <w:szCs w:val="24"/>
        </w:rPr>
        <w:t xml:space="preserve">This is a general principle that can be adapted locally. For instance, there are two variables: first, the timing and style of the reminder (a formal corporate letter versus a simple bar chart-centred reminder, a reminder far ahead of shortlisting versus a prompt just an hour before commencing interviews);  and second, the actual reminder message (information that is highly pertinent to the firm as against national patterns). The </w:t>
      </w:r>
      <w:r w:rsidR="001B5820">
        <w:rPr>
          <w:rFonts w:asciiTheme="minorHAnsi" w:hAnsiTheme="minorHAnsi" w:cstheme="minorHAnsi"/>
          <w:i/>
          <w:szCs w:val="24"/>
        </w:rPr>
        <w:t xml:space="preserve">intervention </w:t>
      </w:r>
      <w:r w:rsidRPr="0044602C">
        <w:rPr>
          <w:rFonts w:asciiTheme="minorHAnsi" w:hAnsiTheme="minorHAnsi" w:cstheme="minorHAnsi"/>
          <w:i/>
          <w:szCs w:val="24"/>
        </w:rPr>
        <w:t xml:space="preserve">can additionally be strengthened by reminding panels that their personnel appointment outcomes will be transparent and/or fed into a </w:t>
      </w:r>
      <w:r w:rsidR="008C1B83">
        <w:rPr>
          <w:rFonts w:asciiTheme="minorHAnsi" w:hAnsiTheme="minorHAnsi" w:cstheme="minorHAnsi"/>
          <w:i/>
          <w:szCs w:val="24"/>
        </w:rPr>
        <w:t>reminder to a subsequent panel.</w:t>
      </w:r>
    </w:p>
    <w:p w14:paraId="63D6F52A" w14:textId="77777777" w:rsidR="008C1B83" w:rsidRPr="008C1B83" w:rsidRDefault="008C1B83" w:rsidP="008C1B83">
      <w:pPr>
        <w:pStyle w:val="ListParagraph"/>
        <w:ind w:left="1800"/>
        <w:jc w:val="both"/>
        <w:rPr>
          <w:rFonts w:asciiTheme="minorHAnsi" w:hAnsiTheme="minorHAnsi" w:cstheme="minorHAnsi"/>
          <w:i/>
          <w:szCs w:val="24"/>
        </w:rPr>
      </w:pPr>
    </w:p>
    <w:p w14:paraId="631900A5" w14:textId="710DD548" w:rsidR="000907C7" w:rsidRPr="00292D81" w:rsidRDefault="0044602C" w:rsidP="00292D81">
      <w:pPr>
        <w:pStyle w:val="ListParagraph"/>
        <w:ind w:left="1800"/>
        <w:jc w:val="both"/>
        <w:rPr>
          <w:rFonts w:asciiTheme="minorHAnsi" w:hAnsiTheme="minorHAnsi" w:cstheme="minorHAnsi"/>
          <w:i/>
          <w:szCs w:val="24"/>
        </w:rPr>
      </w:pPr>
      <w:r w:rsidRPr="0044602C">
        <w:rPr>
          <w:rFonts w:asciiTheme="minorHAnsi" w:hAnsiTheme="minorHAnsi" w:cstheme="minorHAnsi"/>
          <w:i/>
          <w:szCs w:val="24"/>
          <w:u w:val="single"/>
        </w:rPr>
        <w:t>Equalities example: Simplifying the wording of public consultations</w:t>
      </w:r>
      <w:r w:rsidRPr="0044602C">
        <w:rPr>
          <w:rFonts w:asciiTheme="minorHAnsi" w:hAnsiTheme="minorHAnsi" w:cstheme="minorHAnsi"/>
          <w:i/>
          <w:szCs w:val="24"/>
        </w:rPr>
        <w:t>. Considerable practical knowledge shows how particular formal or professionalised terms can alienate public e</w:t>
      </w:r>
      <w:r w:rsidR="001536EA">
        <w:rPr>
          <w:rFonts w:asciiTheme="minorHAnsi" w:hAnsiTheme="minorHAnsi" w:cstheme="minorHAnsi"/>
          <w:i/>
          <w:szCs w:val="24"/>
        </w:rPr>
        <w:t xml:space="preserve">ngagement. For example, in designing </w:t>
      </w:r>
      <w:r w:rsidRPr="0044602C">
        <w:rPr>
          <w:rFonts w:asciiTheme="minorHAnsi" w:hAnsiTheme="minorHAnsi" w:cstheme="minorHAnsi"/>
          <w:i/>
          <w:szCs w:val="24"/>
        </w:rPr>
        <w:t>consultation</w:t>
      </w:r>
      <w:r w:rsidR="001536EA">
        <w:rPr>
          <w:rFonts w:asciiTheme="minorHAnsi" w:hAnsiTheme="minorHAnsi" w:cstheme="minorHAnsi"/>
          <w:i/>
          <w:szCs w:val="24"/>
        </w:rPr>
        <w:t xml:space="preserve"> on the future of Civil Partnerships, it is important to limit choice between preferences, and that the reasons given may sometimes be post-hoc rationalisations of unpopular se</w:t>
      </w:r>
      <w:r w:rsidR="0023697E">
        <w:rPr>
          <w:rFonts w:asciiTheme="minorHAnsi" w:hAnsiTheme="minorHAnsi" w:cstheme="minorHAnsi"/>
          <w:i/>
          <w:szCs w:val="24"/>
        </w:rPr>
        <w:t>ntiment. In addition, responding individuals</w:t>
      </w:r>
      <w:r w:rsidR="001536EA">
        <w:rPr>
          <w:rFonts w:asciiTheme="minorHAnsi" w:hAnsiTheme="minorHAnsi" w:cstheme="minorHAnsi"/>
          <w:i/>
          <w:szCs w:val="24"/>
        </w:rPr>
        <w:t xml:space="preserve"> will want to see the questions posed in ways that reflect the lexicon of everyday experiences (i.e. legal rights and challenges are unlikely to match these).</w:t>
      </w:r>
    </w:p>
    <w:p w14:paraId="2C4106B3" w14:textId="77777777" w:rsidR="008C1B83" w:rsidRDefault="008C1B83" w:rsidP="00292D81">
      <w:pPr>
        <w:ind w:firstLine="360"/>
        <w:jc w:val="both"/>
        <w:rPr>
          <w:rFonts w:cstheme="minorHAnsi"/>
          <w:b/>
          <w:i/>
          <w:color w:val="365F91" w:themeColor="accent1" w:themeShade="BF"/>
          <w:sz w:val="28"/>
          <w:szCs w:val="28"/>
        </w:rPr>
      </w:pPr>
    </w:p>
    <w:p w14:paraId="071E8ABD" w14:textId="54968B82" w:rsidR="0044602C" w:rsidRPr="00292D81" w:rsidRDefault="000907C7" w:rsidP="00292D81">
      <w:pPr>
        <w:ind w:firstLine="360"/>
        <w:jc w:val="both"/>
        <w:rPr>
          <w:rFonts w:cstheme="minorHAnsi"/>
          <w:b/>
          <w:i/>
          <w:color w:val="365F91" w:themeColor="accent1" w:themeShade="BF"/>
          <w:sz w:val="28"/>
          <w:szCs w:val="28"/>
        </w:rPr>
      </w:pPr>
      <w:r>
        <w:rPr>
          <w:rFonts w:cstheme="minorHAnsi"/>
          <w:b/>
          <w:i/>
          <w:color w:val="365F91" w:themeColor="accent1" w:themeShade="BF"/>
          <w:sz w:val="28"/>
          <w:szCs w:val="28"/>
        </w:rPr>
        <w:t>(ii)</w:t>
      </w:r>
      <w:r w:rsidRPr="000907C7">
        <w:rPr>
          <w:rFonts w:cstheme="minorHAnsi"/>
          <w:b/>
          <w:i/>
          <w:color w:val="365F91" w:themeColor="accent1" w:themeShade="BF"/>
          <w:sz w:val="28"/>
          <w:szCs w:val="28"/>
        </w:rPr>
        <w:t xml:space="preserve"> </w:t>
      </w:r>
      <w:r w:rsidR="0044602C" w:rsidRPr="000907C7">
        <w:rPr>
          <w:rFonts w:cstheme="minorHAnsi"/>
          <w:b/>
          <w:i/>
          <w:color w:val="365F91" w:themeColor="accent1" w:themeShade="BF"/>
          <w:sz w:val="28"/>
          <w:szCs w:val="28"/>
        </w:rPr>
        <w:t>All policy is about behaviour change of some kind</w:t>
      </w:r>
      <w:r w:rsidR="00236D4A" w:rsidRPr="000907C7">
        <w:rPr>
          <w:rFonts w:cstheme="minorHAnsi"/>
          <w:b/>
          <w:i/>
          <w:color w:val="365F91" w:themeColor="accent1" w:themeShade="BF"/>
          <w:sz w:val="28"/>
          <w:szCs w:val="28"/>
        </w:rPr>
        <w:t>.</w:t>
      </w:r>
    </w:p>
    <w:p w14:paraId="4934B12C" w14:textId="597CF506" w:rsidR="00D42476" w:rsidRDefault="00463AD1" w:rsidP="00505BE0">
      <w:pPr>
        <w:pStyle w:val="ListParagraph"/>
        <w:numPr>
          <w:ilvl w:val="0"/>
          <w:numId w:val="6"/>
        </w:numPr>
        <w:jc w:val="both"/>
        <w:rPr>
          <w:rFonts w:asciiTheme="minorHAnsi" w:hAnsiTheme="minorHAnsi" w:cstheme="minorHAnsi"/>
          <w:szCs w:val="24"/>
        </w:rPr>
      </w:pPr>
      <w:r w:rsidRPr="00D42476">
        <w:rPr>
          <w:rFonts w:asciiTheme="minorHAnsi" w:hAnsiTheme="minorHAnsi" w:cstheme="minorHAnsi"/>
          <w:szCs w:val="24"/>
        </w:rPr>
        <w:t>This point refers to a number of caveats w</w:t>
      </w:r>
      <w:r w:rsidR="00D42476">
        <w:rPr>
          <w:rFonts w:asciiTheme="minorHAnsi" w:hAnsiTheme="minorHAnsi" w:cstheme="minorHAnsi"/>
          <w:szCs w:val="24"/>
        </w:rPr>
        <w:t xml:space="preserve">hen considering behaviour change </w:t>
      </w:r>
      <w:r w:rsidR="004F5EF4" w:rsidRPr="00D42476">
        <w:rPr>
          <w:rFonts w:asciiTheme="minorHAnsi" w:hAnsiTheme="minorHAnsi" w:cstheme="minorHAnsi"/>
          <w:szCs w:val="24"/>
        </w:rPr>
        <w:t>interventions</w:t>
      </w:r>
      <w:r w:rsidRPr="00D42476">
        <w:rPr>
          <w:rFonts w:asciiTheme="minorHAnsi" w:hAnsiTheme="minorHAnsi" w:cstheme="minorHAnsi"/>
          <w:szCs w:val="24"/>
        </w:rPr>
        <w:t>. I</w:t>
      </w:r>
      <w:r w:rsidR="004F5EF4" w:rsidRPr="00D42476">
        <w:rPr>
          <w:rFonts w:asciiTheme="minorHAnsi" w:hAnsiTheme="minorHAnsi" w:cstheme="minorHAnsi"/>
          <w:szCs w:val="24"/>
        </w:rPr>
        <w:t>t is important to remember that all government policy is about changing people’s behaviour in some way, be it to keep a certain speed limit when driving, maintain certain health and safety standard</w:t>
      </w:r>
      <w:r w:rsidRPr="00D42476">
        <w:rPr>
          <w:rFonts w:asciiTheme="minorHAnsi" w:hAnsiTheme="minorHAnsi" w:cstheme="minorHAnsi"/>
          <w:szCs w:val="24"/>
        </w:rPr>
        <w:t>s when deve</w:t>
      </w:r>
      <w:r w:rsidR="00D42476">
        <w:rPr>
          <w:rFonts w:asciiTheme="minorHAnsi" w:hAnsiTheme="minorHAnsi" w:cstheme="minorHAnsi"/>
          <w:szCs w:val="24"/>
        </w:rPr>
        <w:t xml:space="preserve">loping new products or </w:t>
      </w:r>
      <w:r w:rsidR="008842FF">
        <w:rPr>
          <w:rFonts w:asciiTheme="minorHAnsi" w:hAnsiTheme="minorHAnsi" w:cstheme="minorHAnsi"/>
          <w:szCs w:val="24"/>
        </w:rPr>
        <w:t xml:space="preserve">setting </w:t>
      </w:r>
      <w:r w:rsidR="00D42476">
        <w:rPr>
          <w:rFonts w:asciiTheme="minorHAnsi" w:hAnsiTheme="minorHAnsi" w:cstheme="minorHAnsi"/>
          <w:szCs w:val="24"/>
        </w:rPr>
        <w:t>incentives to protect the environment</w:t>
      </w:r>
      <w:r w:rsidRPr="00D42476">
        <w:rPr>
          <w:rFonts w:asciiTheme="minorHAnsi" w:hAnsiTheme="minorHAnsi" w:cstheme="minorHAnsi"/>
          <w:szCs w:val="24"/>
        </w:rPr>
        <w:t xml:space="preserve">. While statutory legislation </w:t>
      </w:r>
      <w:r w:rsidR="003E076F" w:rsidRPr="00D42476">
        <w:rPr>
          <w:rFonts w:asciiTheme="minorHAnsi" w:hAnsiTheme="minorHAnsi" w:cstheme="minorHAnsi"/>
          <w:szCs w:val="24"/>
        </w:rPr>
        <w:t xml:space="preserve">and sanctions </w:t>
      </w:r>
      <w:r w:rsidRPr="00D42476">
        <w:rPr>
          <w:rFonts w:asciiTheme="minorHAnsi" w:hAnsiTheme="minorHAnsi" w:cstheme="minorHAnsi"/>
          <w:szCs w:val="24"/>
        </w:rPr>
        <w:t xml:space="preserve">may </w:t>
      </w:r>
      <w:r w:rsidR="003E076F" w:rsidRPr="00D42476">
        <w:rPr>
          <w:rFonts w:asciiTheme="minorHAnsi" w:hAnsiTheme="minorHAnsi" w:cstheme="minorHAnsi"/>
          <w:szCs w:val="24"/>
        </w:rPr>
        <w:t>be</w:t>
      </w:r>
      <w:r w:rsidR="00D42476">
        <w:rPr>
          <w:rFonts w:asciiTheme="minorHAnsi" w:hAnsiTheme="minorHAnsi" w:cstheme="minorHAnsi"/>
          <w:szCs w:val="24"/>
        </w:rPr>
        <w:t xml:space="preserve"> employed in these</w:t>
      </w:r>
      <w:r w:rsidRPr="00D42476">
        <w:rPr>
          <w:rFonts w:asciiTheme="minorHAnsi" w:hAnsiTheme="minorHAnsi" w:cstheme="minorHAnsi"/>
          <w:szCs w:val="24"/>
        </w:rPr>
        <w:t xml:space="preserve"> case</w:t>
      </w:r>
      <w:r w:rsidR="00D42476">
        <w:rPr>
          <w:rFonts w:asciiTheme="minorHAnsi" w:hAnsiTheme="minorHAnsi" w:cstheme="minorHAnsi"/>
          <w:szCs w:val="24"/>
        </w:rPr>
        <w:t>s</w:t>
      </w:r>
      <w:r w:rsidRPr="00D42476">
        <w:rPr>
          <w:rFonts w:asciiTheme="minorHAnsi" w:hAnsiTheme="minorHAnsi" w:cstheme="minorHAnsi"/>
          <w:szCs w:val="24"/>
        </w:rPr>
        <w:t xml:space="preserve">, </w:t>
      </w:r>
      <w:r w:rsidR="003E076F" w:rsidRPr="00D42476">
        <w:rPr>
          <w:rFonts w:asciiTheme="minorHAnsi" w:hAnsiTheme="minorHAnsi" w:cstheme="minorHAnsi"/>
          <w:szCs w:val="24"/>
        </w:rPr>
        <w:t>they are likely to be far more effective than any nudges would be on their own.</w:t>
      </w:r>
    </w:p>
    <w:p w14:paraId="444AD39C" w14:textId="77777777" w:rsidR="00D42476" w:rsidRDefault="00D42476" w:rsidP="00D42476">
      <w:pPr>
        <w:pStyle w:val="ListParagraph"/>
        <w:jc w:val="both"/>
        <w:rPr>
          <w:rFonts w:asciiTheme="minorHAnsi" w:hAnsiTheme="minorHAnsi" w:cstheme="minorHAnsi"/>
          <w:szCs w:val="24"/>
        </w:rPr>
      </w:pPr>
    </w:p>
    <w:p w14:paraId="709E9D27" w14:textId="536E73E4" w:rsidR="00292D81" w:rsidRPr="00292D81" w:rsidRDefault="00463AD1" w:rsidP="00505BE0">
      <w:pPr>
        <w:pStyle w:val="ListParagraph"/>
        <w:numPr>
          <w:ilvl w:val="0"/>
          <w:numId w:val="6"/>
        </w:numPr>
        <w:jc w:val="both"/>
        <w:rPr>
          <w:rFonts w:asciiTheme="minorHAnsi" w:hAnsiTheme="minorHAnsi" w:cstheme="minorHAnsi"/>
          <w:szCs w:val="24"/>
        </w:rPr>
      </w:pPr>
      <w:r w:rsidRPr="00D42476">
        <w:rPr>
          <w:rFonts w:asciiTheme="minorHAnsi" w:hAnsiTheme="minorHAnsi" w:cstheme="minorHAnsi"/>
          <w:szCs w:val="24"/>
        </w:rPr>
        <w:t xml:space="preserve">Similarly, all </w:t>
      </w:r>
      <w:r w:rsidR="00D42476">
        <w:rPr>
          <w:rFonts w:asciiTheme="minorHAnsi" w:hAnsiTheme="minorHAnsi" w:cstheme="minorHAnsi"/>
          <w:szCs w:val="24"/>
        </w:rPr>
        <w:t>behaviour c</w:t>
      </w:r>
      <w:r w:rsidR="003E076F" w:rsidRPr="00D42476">
        <w:rPr>
          <w:rFonts w:asciiTheme="minorHAnsi" w:hAnsiTheme="minorHAnsi" w:cstheme="minorHAnsi"/>
          <w:szCs w:val="24"/>
        </w:rPr>
        <w:t xml:space="preserve">hange interventions require rules to be changed somewhere, and there are few cases where their costs are truly zero. An obvious example of this is provided by large scale campaigns aimed </w:t>
      </w:r>
      <w:r w:rsidR="00420540" w:rsidRPr="00D42476">
        <w:rPr>
          <w:rFonts w:asciiTheme="minorHAnsi" w:hAnsiTheme="minorHAnsi" w:cstheme="minorHAnsi"/>
          <w:szCs w:val="24"/>
        </w:rPr>
        <w:t>at cutting households’ energy consumption by informing them about their neighbours’ energy use. While households are not forced to reduce consumption through legislation or taxes, their energy provider will still have to be compelled to produce and send out the letters, which will lead to costs. Even smaller changes such as tweaks to existing HMRC letters will require changes in HMRC’s procedures and some</w:t>
      </w:r>
      <w:r w:rsidR="00D42476">
        <w:rPr>
          <w:rFonts w:asciiTheme="minorHAnsi" w:hAnsiTheme="minorHAnsi" w:cstheme="minorHAnsi"/>
          <w:szCs w:val="24"/>
        </w:rPr>
        <w:t xml:space="preserve"> modest</w:t>
      </w:r>
      <w:r w:rsidR="00420540" w:rsidRPr="00D42476">
        <w:rPr>
          <w:rFonts w:asciiTheme="minorHAnsi" w:hAnsiTheme="minorHAnsi" w:cstheme="minorHAnsi"/>
          <w:szCs w:val="24"/>
        </w:rPr>
        <w:t xml:space="preserve"> int</w:t>
      </w:r>
      <w:r w:rsidR="00D42476">
        <w:rPr>
          <w:rFonts w:asciiTheme="minorHAnsi" w:hAnsiTheme="minorHAnsi" w:cstheme="minorHAnsi"/>
          <w:szCs w:val="24"/>
        </w:rPr>
        <w:t xml:space="preserve">ernal </w:t>
      </w:r>
      <w:r w:rsidR="00D42476" w:rsidRPr="00906F18">
        <w:rPr>
          <w:rFonts w:asciiTheme="minorHAnsi" w:hAnsiTheme="minorHAnsi" w:cstheme="minorHAnsi"/>
          <w:szCs w:val="24"/>
        </w:rPr>
        <w:t>resource to be committed. In almost all cases, behaviour c</w:t>
      </w:r>
      <w:r w:rsidR="00420540" w:rsidRPr="00906F18">
        <w:rPr>
          <w:rFonts w:asciiTheme="minorHAnsi" w:hAnsiTheme="minorHAnsi" w:cstheme="minorHAnsi"/>
          <w:szCs w:val="24"/>
        </w:rPr>
        <w:t>hange interventions will thus be complements to existing or new rules or legislation.</w:t>
      </w:r>
    </w:p>
    <w:p w14:paraId="55AADB2A" w14:textId="77777777" w:rsidR="008C1B83" w:rsidRDefault="008C1B83" w:rsidP="00292D81">
      <w:pPr>
        <w:ind w:firstLine="360"/>
        <w:jc w:val="both"/>
        <w:rPr>
          <w:rFonts w:cstheme="minorHAnsi"/>
          <w:b/>
          <w:i/>
          <w:color w:val="365F91" w:themeColor="accent1" w:themeShade="BF"/>
          <w:sz w:val="28"/>
          <w:szCs w:val="28"/>
        </w:rPr>
      </w:pPr>
    </w:p>
    <w:p w14:paraId="2E72E929" w14:textId="35B0FAD7" w:rsidR="00292D81" w:rsidRPr="00292D81" w:rsidRDefault="000907C7" w:rsidP="00292D81">
      <w:pPr>
        <w:ind w:firstLine="360"/>
        <w:jc w:val="both"/>
        <w:rPr>
          <w:rFonts w:cstheme="minorHAnsi"/>
          <w:b/>
          <w:i/>
          <w:color w:val="365F91" w:themeColor="accent1" w:themeShade="BF"/>
          <w:sz w:val="28"/>
          <w:szCs w:val="28"/>
        </w:rPr>
      </w:pPr>
      <w:r w:rsidRPr="000907C7">
        <w:rPr>
          <w:rFonts w:cstheme="minorHAnsi"/>
          <w:b/>
          <w:i/>
          <w:color w:val="365F91" w:themeColor="accent1" w:themeShade="BF"/>
          <w:sz w:val="28"/>
          <w:szCs w:val="28"/>
        </w:rPr>
        <w:t>(iii) D</w:t>
      </w:r>
      <w:r w:rsidR="0044602C" w:rsidRPr="000907C7">
        <w:rPr>
          <w:rFonts w:cstheme="minorHAnsi"/>
          <w:b/>
          <w:i/>
          <w:color w:val="365F91" w:themeColor="accent1" w:themeShade="BF"/>
          <w:sz w:val="28"/>
          <w:szCs w:val="28"/>
        </w:rPr>
        <w:t>emystify wherever possible.</w:t>
      </w:r>
    </w:p>
    <w:p w14:paraId="64F3C0DE" w14:textId="77777777" w:rsidR="00236D4A" w:rsidRDefault="0044602C" w:rsidP="00505BE0">
      <w:pPr>
        <w:pStyle w:val="ListParagraph"/>
        <w:numPr>
          <w:ilvl w:val="0"/>
          <w:numId w:val="6"/>
        </w:numPr>
        <w:jc w:val="both"/>
        <w:rPr>
          <w:rFonts w:asciiTheme="minorHAnsi" w:hAnsiTheme="minorHAnsi" w:cstheme="minorHAnsi"/>
          <w:szCs w:val="24"/>
        </w:rPr>
      </w:pPr>
      <w:r w:rsidRPr="00906F18">
        <w:rPr>
          <w:rFonts w:asciiTheme="minorHAnsi" w:hAnsiTheme="minorHAnsi" w:cstheme="minorHAnsi"/>
          <w:szCs w:val="24"/>
        </w:rPr>
        <w:t>Time and again, remarkably modest and easy to use behavioural change interventions can deliver</w:t>
      </w:r>
      <w:r w:rsidRPr="00236D4A">
        <w:rPr>
          <w:rFonts w:asciiTheme="minorHAnsi" w:hAnsiTheme="minorHAnsi" w:cstheme="minorHAnsi"/>
          <w:szCs w:val="24"/>
        </w:rPr>
        <w:t xml:space="preserve"> unexpected results. The value of these small tweaks or adjustments is twofold: first, they highlight that change can be self-generated and does not </w:t>
      </w:r>
      <w:r w:rsidR="006A1E2C" w:rsidRPr="00236D4A">
        <w:rPr>
          <w:rFonts w:asciiTheme="minorHAnsi" w:hAnsiTheme="minorHAnsi" w:cstheme="minorHAnsi"/>
          <w:szCs w:val="24"/>
        </w:rPr>
        <w:t xml:space="preserve">necessarily </w:t>
      </w:r>
      <w:r w:rsidRPr="00236D4A">
        <w:rPr>
          <w:rFonts w:asciiTheme="minorHAnsi" w:hAnsiTheme="minorHAnsi" w:cstheme="minorHAnsi"/>
          <w:szCs w:val="24"/>
        </w:rPr>
        <w:t xml:space="preserve">require large-scale re-engineering; </w:t>
      </w:r>
      <w:r w:rsidR="006A1E2C" w:rsidRPr="00236D4A">
        <w:rPr>
          <w:rFonts w:asciiTheme="minorHAnsi" w:hAnsiTheme="minorHAnsi" w:cstheme="minorHAnsi"/>
          <w:szCs w:val="24"/>
        </w:rPr>
        <w:t xml:space="preserve">and </w:t>
      </w:r>
      <w:r w:rsidRPr="00236D4A">
        <w:rPr>
          <w:rFonts w:asciiTheme="minorHAnsi" w:hAnsiTheme="minorHAnsi" w:cstheme="minorHAnsi"/>
          <w:szCs w:val="24"/>
        </w:rPr>
        <w:t xml:space="preserve">second, they have value </w:t>
      </w:r>
      <w:r w:rsidR="00236D4A" w:rsidRPr="00236D4A">
        <w:rPr>
          <w:rFonts w:asciiTheme="minorHAnsi" w:hAnsiTheme="minorHAnsi" w:cstheme="minorHAnsi"/>
          <w:szCs w:val="24"/>
        </w:rPr>
        <w:t>in showing what is possible, thus stimulating greater creativity in policy design</w:t>
      </w:r>
      <w:r w:rsidRPr="00236D4A">
        <w:rPr>
          <w:rFonts w:asciiTheme="minorHAnsi" w:hAnsiTheme="minorHAnsi" w:cstheme="minorHAnsi"/>
          <w:szCs w:val="24"/>
        </w:rPr>
        <w:t>.</w:t>
      </w:r>
    </w:p>
    <w:p w14:paraId="4F9DC33B" w14:textId="77777777" w:rsidR="00236D4A" w:rsidRDefault="00236D4A" w:rsidP="00236D4A">
      <w:pPr>
        <w:pStyle w:val="ListParagraph"/>
        <w:jc w:val="both"/>
        <w:rPr>
          <w:rFonts w:asciiTheme="minorHAnsi" w:hAnsiTheme="minorHAnsi" w:cstheme="minorHAnsi"/>
          <w:szCs w:val="24"/>
        </w:rPr>
      </w:pPr>
    </w:p>
    <w:p w14:paraId="41225DE5" w14:textId="4811A20D" w:rsidR="002508BB" w:rsidRPr="002508BB" w:rsidRDefault="0044602C" w:rsidP="00505BE0">
      <w:pPr>
        <w:pStyle w:val="ListParagraph"/>
        <w:numPr>
          <w:ilvl w:val="0"/>
          <w:numId w:val="6"/>
        </w:numPr>
        <w:jc w:val="both"/>
        <w:rPr>
          <w:rFonts w:asciiTheme="minorHAnsi" w:hAnsiTheme="minorHAnsi" w:cstheme="minorHAnsi"/>
          <w:szCs w:val="24"/>
        </w:rPr>
      </w:pPr>
      <w:r w:rsidRPr="00236D4A">
        <w:rPr>
          <w:rFonts w:asciiTheme="minorHAnsi" w:hAnsiTheme="minorHAnsi" w:cstheme="minorHAnsi"/>
          <w:szCs w:val="24"/>
        </w:rPr>
        <w:t xml:space="preserve">A simple example is introducing small props to aid efficiency and focus: a single mobile phone stopwatch passed around a room normally ensures that 5 minute </w:t>
      </w:r>
      <w:r w:rsidR="00236D4A">
        <w:rPr>
          <w:rFonts w:asciiTheme="minorHAnsi" w:hAnsiTheme="minorHAnsi" w:cstheme="minorHAnsi"/>
          <w:szCs w:val="24"/>
        </w:rPr>
        <w:t xml:space="preserve">verbal </w:t>
      </w:r>
      <w:r w:rsidRPr="00236D4A">
        <w:rPr>
          <w:rFonts w:asciiTheme="minorHAnsi" w:hAnsiTheme="minorHAnsi" w:cstheme="minorHAnsi"/>
          <w:szCs w:val="24"/>
        </w:rPr>
        <w:t>summaries are honoured, as against a more familiar roundup format</w:t>
      </w:r>
      <w:r w:rsidR="00236D4A">
        <w:rPr>
          <w:rFonts w:asciiTheme="minorHAnsi" w:hAnsiTheme="minorHAnsi" w:cstheme="minorHAnsi"/>
          <w:szCs w:val="24"/>
        </w:rPr>
        <w:t xml:space="preserve"> without any props</w:t>
      </w:r>
      <w:r w:rsidRPr="00236D4A">
        <w:rPr>
          <w:rFonts w:asciiTheme="minorHAnsi" w:hAnsiTheme="minorHAnsi" w:cstheme="minorHAnsi"/>
          <w:szCs w:val="24"/>
        </w:rPr>
        <w:t>. This banal example at least illustrates to sometimes</w:t>
      </w:r>
      <w:r w:rsidR="00236D4A">
        <w:rPr>
          <w:rFonts w:asciiTheme="minorHAnsi" w:hAnsiTheme="minorHAnsi" w:cstheme="minorHAnsi"/>
          <w:szCs w:val="24"/>
        </w:rPr>
        <w:t>-sceptical audiences those small interventions</w:t>
      </w:r>
      <w:r w:rsidRPr="00236D4A">
        <w:rPr>
          <w:rFonts w:asciiTheme="minorHAnsi" w:hAnsiTheme="minorHAnsi" w:cstheme="minorHAnsi"/>
          <w:szCs w:val="24"/>
        </w:rPr>
        <w:t xml:space="preserve"> of one kind or another are all around us. Audible pedestrian crossing signals</w:t>
      </w:r>
      <w:r w:rsidR="00236D4A">
        <w:rPr>
          <w:rFonts w:asciiTheme="minorHAnsi" w:hAnsiTheme="minorHAnsi" w:cstheme="minorHAnsi"/>
          <w:szCs w:val="24"/>
        </w:rPr>
        <w:t>, besides aiding the unsighted,</w:t>
      </w:r>
      <w:r w:rsidRPr="00236D4A">
        <w:rPr>
          <w:rFonts w:asciiTheme="minorHAnsi" w:hAnsiTheme="minorHAnsi" w:cstheme="minorHAnsi"/>
          <w:szCs w:val="24"/>
        </w:rPr>
        <w:t xml:space="preserve"> help us to focus on getting to the other kerb swiftly rather than leisurely; bright yellow lines painted onto tube platform edges sub-consciously help us to keep back; road humps near roundabouts on fast roads subtly alert us to move away from the accelerator pedal; and so on.</w:t>
      </w:r>
    </w:p>
    <w:p w14:paraId="3EFE6981" w14:textId="77777777" w:rsidR="002508BB" w:rsidRPr="002508BB" w:rsidRDefault="002508BB" w:rsidP="002508BB">
      <w:pPr>
        <w:pStyle w:val="ListParagraph"/>
        <w:jc w:val="both"/>
        <w:rPr>
          <w:rFonts w:asciiTheme="minorHAnsi" w:hAnsiTheme="minorHAnsi" w:cstheme="minorHAnsi"/>
          <w:szCs w:val="24"/>
        </w:rPr>
      </w:pPr>
    </w:p>
    <w:p w14:paraId="04990A4C" w14:textId="4E9F62D6" w:rsidR="0044602C" w:rsidRPr="00236D4A" w:rsidRDefault="0044602C" w:rsidP="00505BE0">
      <w:pPr>
        <w:pStyle w:val="ListParagraph"/>
        <w:numPr>
          <w:ilvl w:val="0"/>
          <w:numId w:val="6"/>
        </w:numPr>
        <w:jc w:val="both"/>
        <w:rPr>
          <w:rFonts w:asciiTheme="minorHAnsi" w:hAnsiTheme="minorHAnsi" w:cstheme="minorHAnsi"/>
          <w:szCs w:val="24"/>
        </w:rPr>
      </w:pPr>
      <w:r w:rsidRPr="00236D4A">
        <w:rPr>
          <w:rFonts w:asciiTheme="minorHAnsi" w:hAnsiTheme="minorHAnsi" w:cstheme="minorHAnsi"/>
          <w:szCs w:val="24"/>
        </w:rPr>
        <w:t>These are all sim</w:t>
      </w:r>
      <w:r w:rsidR="00236D4A">
        <w:rPr>
          <w:rFonts w:asciiTheme="minorHAnsi" w:hAnsiTheme="minorHAnsi" w:cstheme="minorHAnsi"/>
          <w:szCs w:val="24"/>
        </w:rPr>
        <w:t xml:space="preserve">ple, </w:t>
      </w:r>
      <w:r w:rsidRPr="00236D4A">
        <w:rPr>
          <w:rFonts w:asciiTheme="minorHAnsi" w:hAnsiTheme="minorHAnsi" w:cstheme="minorHAnsi"/>
          <w:szCs w:val="24"/>
        </w:rPr>
        <w:t>ubiquitous and effective. They can be supplemented with small, local innovations, and they demonstrate the importanc</w:t>
      </w:r>
      <w:r w:rsidR="00693C98">
        <w:rPr>
          <w:rFonts w:asciiTheme="minorHAnsi" w:hAnsiTheme="minorHAnsi" w:cstheme="minorHAnsi"/>
          <w:szCs w:val="24"/>
        </w:rPr>
        <w:t xml:space="preserve">e of demystifying the sometimes </w:t>
      </w:r>
      <w:r w:rsidRPr="00236D4A">
        <w:rPr>
          <w:rFonts w:asciiTheme="minorHAnsi" w:hAnsiTheme="minorHAnsi" w:cstheme="minorHAnsi"/>
          <w:szCs w:val="24"/>
        </w:rPr>
        <w:t xml:space="preserve">jargon driven field of behavioural change. </w:t>
      </w:r>
    </w:p>
    <w:p w14:paraId="7E2CB543" w14:textId="77777777" w:rsidR="0044602C" w:rsidRPr="0044602C" w:rsidRDefault="0044602C" w:rsidP="00B127A5">
      <w:pPr>
        <w:pStyle w:val="ListParagraph"/>
        <w:jc w:val="both"/>
        <w:rPr>
          <w:rFonts w:asciiTheme="minorHAnsi" w:hAnsiTheme="minorHAnsi" w:cstheme="minorHAnsi"/>
          <w:szCs w:val="24"/>
        </w:rPr>
      </w:pPr>
    </w:p>
    <w:p w14:paraId="71E61A4D" w14:textId="77777777" w:rsidR="00236D4A" w:rsidRDefault="0044602C" w:rsidP="0031103C">
      <w:pPr>
        <w:pStyle w:val="ListParagraph"/>
        <w:ind w:firstLine="720"/>
        <w:jc w:val="both"/>
        <w:rPr>
          <w:rFonts w:asciiTheme="minorHAnsi" w:hAnsiTheme="minorHAnsi" w:cstheme="minorHAnsi"/>
          <w:i/>
          <w:szCs w:val="24"/>
        </w:rPr>
      </w:pPr>
      <w:r w:rsidRPr="0044602C">
        <w:rPr>
          <w:rFonts w:asciiTheme="minorHAnsi" w:hAnsiTheme="minorHAnsi" w:cstheme="minorHAnsi"/>
          <w:i/>
          <w:szCs w:val="24"/>
          <w:u w:val="single"/>
        </w:rPr>
        <w:t>Example: The harmful effects of complexity can undermine organ donation</w:t>
      </w:r>
      <w:r w:rsidRPr="0044602C">
        <w:rPr>
          <w:rFonts w:asciiTheme="minorHAnsi" w:hAnsiTheme="minorHAnsi" w:cstheme="minorHAnsi"/>
          <w:i/>
          <w:szCs w:val="24"/>
        </w:rPr>
        <w:t xml:space="preserve">. </w:t>
      </w:r>
    </w:p>
    <w:p w14:paraId="4598CBA2" w14:textId="54D7D8A2" w:rsidR="000907C7" w:rsidRPr="00292D81" w:rsidRDefault="0044602C" w:rsidP="00292D81">
      <w:pPr>
        <w:pStyle w:val="ListParagraph"/>
        <w:ind w:left="1440"/>
        <w:jc w:val="both"/>
        <w:rPr>
          <w:rFonts w:asciiTheme="minorHAnsi" w:hAnsiTheme="minorHAnsi" w:cstheme="minorHAnsi"/>
          <w:i/>
          <w:szCs w:val="24"/>
        </w:rPr>
      </w:pPr>
      <w:r w:rsidRPr="0044602C">
        <w:rPr>
          <w:rFonts w:asciiTheme="minorHAnsi" w:hAnsiTheme="minorHAnsi" w:cstheme="minorHAnsi"/>
          <w:i/>
          <w:szCs w:val="24"/>
        </w:rPr>
        <w:t>DH has trialled interventions that are designed to get to the nub of why people might be more willing to register for organ donation. The simplest and most effective tools are those that a) crystallise the fact that a single registration “could save or transform up to 9 lives”, or</w:t>
      </w:r>
      <w:r w:rsidR="00292D81">
        <w:rPr>
          <w:rFonts w:asciiTheme="minorHAnsi" w:hAnsiTheme="minorHAnsi" w:cstheme="minorHAnsi"/>
          <w:i/>
          <w:szCs w:val="24"/>
        </w:rPr>
        <w:t xml:space="preserve"> alternatively,</w:t>
      </w:r>
      <w:r w:rsidRPr="0044602C">
        <w:rPr>
          <w:rFonts w:asciiTheme="minorHAnsi" w:hAnsiTheme="minorHAnsi" w:cstheme="minorHAnsi"/>
          <w:i/>
          <w:szCs w:val="24"/>
        </w:rPr>
        <w:t xml:space="preserve"> b) offer people a basic message of reciprocity.</w:t>
      </w:r>
      <w:r w:rsidRPr="0044602C">
        <w:rPr>
          <w:rStyle w:val="FootnoteReference"/>
          <w:rFonts w:asciiTheme="minorHAnsi" w:hAnsiTheme="minorHAnsi" w:cstheme="minorHAnsi"/>
          <w:i/>
          <w:szCs w:val="24"/>
        </w:rPr>
        <w:footnoteReference w:id="35"/>
      </w:r>
      <w:r w:rsidRPr="0044602C">
        <w:rPr>
          <w:rFonts w:asciiTheme="minorHAnsi" w:hAnsiTheme="minorHAnsi" w:cstheme="minorHAnsi"/>
          <w:i/>
          <w:szCs w:val="24"/>
        </w:rPr>
        <w:t xml:space="preserve">  Offering no stimulus to would-be registrants is much less effective but many other stimuli are not much more effective because they risk bringing too much complexity into the frame. People respond to simple nudges, especially when it is so easy to overload or </w:t>
      </w:r>
      <w:r w:rsidRPr="000907C7">
        <w:rPr>
          <w:rFonts w:asciiTheme="minorHAnsi" w:hAnsiTheme="minorHAnsi" w:cstheme="minorHAnsi"/>
          <w:i/>
          <w:szCs w:val="24"/>
        </w:rPr>
        <w:t>overwhelm them with over complex ones.</w:t>
      </w:r>
    </w:p>
    <w:p w14:paraId="16A6C7CE" w14:textId="77777777" w:rsidR="008C1B83" w:rsidRDefault="008C1B83" w:rsidP="00292D81">
      <w:pPr>
        <w:ind w:firstLine="360"/>
        <w:jc w:val="both"/>
        <w:rPr>
          <w:rFonts w:cstheme="minorHAnsi"/>
          <w:b/>
          <w:i/>
          <w:color w:val="365F91" w:themeColor="accent1" w:themeShade="BF"/>
          <w:sz w:val="28"/>
          <w:szCs w:val="28"/>
        </w:rPr>
      </w:pPr>
    </w:p>
    <w:p w14:paraId="27919399" w14:textId="174BF2BE" w:rsidR="0044602C" w:rsidRPr="00292D81" w:rsidRDefault="000907C7" w:rsidP="00292D81">
      <w:pPr>
        <w:ind w:firstLine="360"/>
        <w:jc w:val="both"/>
        <w:rPr>
          <w:rFonts w:cstheme="minorHAnsi"/>
          <w:b/>
          <w:i/>
          <w:color w:val="365F91" w:themeColor="accent1" w:themeShade="BF"/>
          <w:sz w:val="28"/>
          <w:szCs w:val="28"/>
        </w:rPr>
      </w:pPr>
      <w:proofErr w:type="gramStart"/>
      <w:r>
        <w:rPr>
          <w:rFonts w:cstheme="minorHAnsi"/>
          <w:b/>
          <w:i/>
          <w:color w:val="365F91" w:themeColor="accent1" w:themeShade="BF"/>
          <w:sz w:val="28"/>
          <w:szCs w:val="28"/>
        </w:rPr>
        <w:t>(iv) Gra</w:t>
      </w:r>
      <w:r w:rsidR="0044602C" w:rsidRPr="000907C7">
        <w:rPr>
          <w:rFonts w:cstheme="minorHAnsi"/>
          <w:b/>
          <w:i/>
          <w:color w:val="365F91" w:themeColor="accent1" w:themeShade="BF"/>
          <w:sz w:val="28"/>
          <w:szCs w:val="28"/>
        </w:rPr>
        <w:t>sp</w:t>
      </w:r>
      <w:proofErr w:type="gramEnd"/>
      <w:r w:rsidR="0044602C" w:rsidRPr="000907C7">
        <w:rPr>
          <w:rFonts w:cstheme="minorHAnsi"/>
          <w:b/>
          <w:i/>
          <w:color w:val="365F91" w:themeColor="accent1" w:themeShade="BF"/>
          <w:sz w:val="28"/>
          <w:szCs w:val="28"/>
        </w:rPr>
        <w:t xml:space="preserve"> </w:t>
      </w:r>
      <w:r w:rsidR="008C1B83">
        <w:rPr>
          <w:rFonts w:cstheme="minorHAnsi"/>
          <w:b/>
          <w:i/>
          <w:color w:val="365F91" w:themeColor="accent1" w:themeShade="BF"/>
          <w:sz w:val="28"/>
          <w:szCs w:val="28"/>
        </w:rPr>
        <w:t xml:space="preserve">precisely </w:t>
      </w:r>
      <w:r w:rsidR="0044602C" w:rsidRPr="000907C7">
        <w:rPr>
          <w:rFonts w:cstheme="minorHAnsi"/>
          <w:b/>
          <w:i/>
          <w:color w:val="365F91" w:themeColor="accent1" w:themeShade="BF"/>
          <w:sz w:val="28"/>
          <w:szCs w:val="28"/>
        </w:rPr>
        <w:t>what needs fix</w:t>
      </w:r>
      <w:r w:rsidR="00292D81">
        <w:rPr>
          <w:rFonts w:cstheme="minorHAnsi"/>
          <w:b/>
          <w:i/>
          <w:color w:val="365F91" w:themeColor="accent1" w:themeShade="BF"/>
          <w:sz w:val="28"/>
          <w:szCs w:val="28"/>
        </w:rPr>
        <w:t>ing, starting with the biggest.</w:t>
      </w:r>
    </w:p>
    <w:p w14:paraId="3F7D9BD5" w14:textId="77777777" w:rsidR="0031103C" w:rsidRDefault="0044602C" w:rsidP="00505BE0">
      <w:pPr>
        <w:pStyle w:val="ListParagraph"/>
        <w:numPr>
          <w:ilvl w:val="0"/>
          <w:numId w:val="6"/>
        </w:numPr>
        <w:jc w:val="both"/>
        <w:rPr>
          <w:rFonts w:asciiTheme="minorHAnsi" w:hAnsiTheme="minorHAnsi" w:cstheme="minorHAnsi"/>
          <w:szCs w:val="24"/>
        </w:rPr>
      </w:pPr>
      <w:r w:rsidRPr="000907C7">
        <w:rPr>
          <w:rFonts w:asciiTheme="minorHAnsi" w:hAnsiTheme="minorHAnsi" w:cstheme="minorHAnsi"/>
          <w:szCs w:val="24"/>
        </w:rPr>
        <w:t>Behavioural change insights and opportunities are maximised when policy formulation starts</w:t>
      </w:r>
      <w:r w:rsidRPr="00906F18">
        <w:rPr>
          <w:rFonts w:asciiTheme="minorHAnsi" w:hAnsiTheme="minorHAnsi" w:cstheme="minorHAnsi"/>
          <w:szCs w:val="24"/>
        </w:rPr>
        <w:t xml:space="preserve"> with considering what needs to be fixed. There are two main elements to this. T</w:t>
      </w:r>
      <w:r w:rsidR="00363152" w:rsidRPr="00906F18">
        <w:rPr>
          <w:rFonts w:asciiTheme="minorHAnsi" w:hAnsiTheme="minorHAnsi" w:cstheme="minorHAnsi"/>
          <w:szCs w:val="24"/>
        </w:rPr>
        <w:t xml:space="preserve">he first is to carry out a root </w:t>
      </w:r>
      <w:proofErr w:type="gramStart"/>
      <w:r w:rsidRPr="00906F18">
        <w:rPr>
          <w:rFonts w:asciiTheme="minorHAnsi" w:hAnsiTheme="minorHAnsi" w:cstheme="minorHAnsi"/>
          <w:szCs w:val="24"/>
        </w:rPr>
        <w:t>cause</w:t>
      </w:r>
      <w:proofErr w:type="gramEnd"/>
      <w:r w:rsidRPr="00906F18">
        <w:rPr>
          <w:rFonts w:asciiTheme="minorHAnsi" w:hAnsiTheme="minorHAnsi" w:cstheme="minorHAnsi"/>
          <w:szCs w:val="24"/>
        </w:rPr>
        <w:t xml:space="preserve"> analysis, however truncated, so that it is clear what has gone</w:t>
      </w:r>
      <w:r w:rsidRPr="0031103C">
        <w:rPr>
          <w:rFonts w:asciiTheme="minorHAnsi" w:hAnsiTheme="minorHAnsi" w:cstheme="minorHAnsi"/>
          <w:szCs w:val="24"/>
        </w:rPr>
        <w:t xml:space="preserve"> wrong, for whom, and whether it can be expected to self-correct. The second element</w:t>
      </w:r>
      <w:r w:rsidR="0031103C">
        <w:rPr>
          <w:rFonts w:asciiTheme="minorHAnsi" w:hAnsiTheme="minorHAnsi" w:cstheme="minorHAnsi"/>
          <w:szCs w:val="24"/>
        </w:rPr>
        <w:t xml:space="preserve"> is to describe exactly </w:t>
      </w:r>
      <w:r w:rsidRPr="0031103C">
        <w:rPr>
          <w:rFonts w:asciiTheme="minorHAnsi" w:hAnsiTheme="minorHAnsi" w:cstheme="minorHAnsi"/>
          <w:szCs w:val="24"/>
        </w:rPr>
        <w:t>the detriment or harm: how much harm is being created, to whom and by what causes? This discipline is essential in terms of setting priorities for interventions.</w:t>
      </w:r>
    </w:p>
    <w:p w14:paraId="5914C07B" w14:textId="77777777" w:rsidR="0031103C" w:rsidRDefault="0031103C" w:rsidP="0031103C">
      <w:pPr>
        <w:pStyle w:val="ListParagraph"/>
        <w:jc w:val="both"/>
        <w:rPr>
          <w:rFonts w:asciiTheme="minorHAnsi" w:hAnsiTheme="minorHAnsi" w:cstheme="minorHAnsi"/>
          <w:szCs w:val="24"/>
        </w:rPr>
      </w:pPr>
    </w:p>
    <w:p w14:paraId="5C6F83B8" w14:textId="40CD6857" w:rsidR="0031103C" w:rsidRPr="00693C98" w:rsidRDefault="0044602C" w:rsidP="00505BE0">
      <w:pPr>
        <w:pStyle w:val="ListParagraph"/>
        <w:numPr>
          <w:ilvl w:val="0"/>
          <w:numId w:val="6"/>
        </w:numPr>
        <w:jc w:val="both"/>
        <w:rPr>
          <w:rFonts w:asciiTheme="minorHAnsi" w:hAnsiTheme="minorHAnsi" w:cstheme="minorHAnsi"/>
          <w:szCs w:val="24"/>
        </w:rPr>
      </w:pPr>
      <w:r w:rsidRPr="0031103C">
        <w:rPr>
          <w:rFonts w:asciiTheme="minorHAnsi" w:hAnsiTheme="minorHAnsi" w:cstheme="minorHAnsi"/>
          <w:szCs w:val="24"/>
        </w:rPr>
        <w:t xml:space="preserve">Grasping problems as market failures or as asymmetries between parties or as un/under-evidenced detriments is helpful in identifying potential easy-wins and areas for longer term reform. This starting point also assists in pinpointing the proximity and effectiveness of existing policy levers, as well as the suitability of behavioural change interventions. For instance, there is a choice between investing in hospital appointment reminder </w:t>
      </w:r>
      <w:r w:rsidR="0031103C">
        <w:rPr>
          <w:rFonts w:asciiTheme="minorHAnsi" w:hAnsiTheme="minorHAnsi" w:cstheme="minorHAnsi"/>
          <w:szCs w:val="24"/>
        </w:rPr>
        <w:t xml:space="preserve">printed </w:t>
      </w:r>
      <w:r w:rsidRPr="0031103C">
        <w:rPr>
          <w:rFonts w:asciiTheme="minorHAnsi" w:hAnsiTheme="minorHAnsi" w:cstheme="minorHAnsi"/>
          <w:szCs w:val="24"/>
        </w:rPr>
        <w:t>letters as against electronic reminders; and there is a choice in reminding people in ways that</w:t>
      </w:r>
      <w:r w:rsidR="0031103C">
        <w:rPr>
          <w:rFonts w:asciiTheme="minorHAnsi" w:hAnsiTheme="minorHAnsi" w:cstheme="minorHAnsi"/>
          <w:szCs w:val="24"/>
        </w:rPr>
        <w:t xml:space="preserve"> specify wasted NHS resources ( e.g. </w:t>
      </w:r>
      <w:r w:rsidRPr="0031103C">
        <w:rPr>
          <w:rFonts w:asciiTheme="minorHAnsi" w:hAnsiTheme="minorHAnsi" w:cstheme="minorHAnsi"/>
          <w:szCs w:val="24"/>
        </w:rPr>
        <w:t>not</w:t>
      </w:r>
      <w:r w:rsidR="0031103C">
        <w:rPr>
          <w:rFonts w:asciiTheme="minorHAnsi" w:hAnsiTheme="minorHAnsi" w:cstheme="minorHAnsi"/>
          <w:szCs w:val="24"/>
        </w:rPr>
        <w:t xml:space="preserve"> attending costs taxpayers £160</w:t>
      </w:r>
      <w:r w:rsidRPr="0031103C">
        <w:rPr>
          <w:rFonts w:asciiTheme="minorHAnsi" w:hAnsiTheme="minorHAnsi" w:cstheme="minorHAnsi"/>
          <w:szCs w:val="24"/>
        </w:rPr>
        <w:t>) v</w:t>
      </w:r>
      <w:r w:rsidR="0031103C">
        <w:rPr>
          <w:rFonts w:asciiTheme="minorHAnsi" w:hAnsiTheme="minorHAnsi" w:cstheme="minorHAnsi"/>
          <w:szCs w:val="24"/>
        </w:rPr>
        <w:t>ersus amplifying social norms (e.g. 9 out of 10 people attend</w:t>
      </w:r>
      <w:r w:rsidR="00693C98">
        <w:rPr>
          <w:rFonts w:asciiTheme="minorHAnsi" w:hAnsiTheme="minorHAnsi" w:cstheme="minorHAnsi"/>
          <w:szCs w:val="24"/>
        </w:rPr>
        <w:t>ed</w:t>
      </w:r>
      <w:r w:rsidR="0031103C">
        <w:rPr>
          <w:rFonts w:asciiTheme="minorHAnsi" w:hAnsiTheme="minorHAnsi" w:cstheme="minorHAnsi"/>
          <w:szCs w:val="24"/>
        </w:rPr>
        <w:t xml:space="preserve"> appointments last week</w:t>
      </w:r>
      <w:r w:rsidRPr="0031103C">
        <w:rPr>
          <w:rFonts w:asciiTheme="minorHAnsi" w:hAnsiTheme="minorHAnsi" w:cstheme="minorHAnsi"/>
          <w:szCs w:val="24"/>
        </w:rPr>
        <w:t xml:space="preserve">).  </w:t>
      </w:r>
    </w:p>
    <w:p w14:paraId="61C18631" w14:textId="45FF6B5F" w:rsidR="0044602C" w:rsidRPr="0031103C" w:rsidRDefault="0044602C" w:rsidP="00505BE0">
      <w:pPr>
        <w:pStyle w:val="ListParagraph"/>
        <w:numPr>
          <w:ilvl w:val="0"/>
          <w:numId w:val="6"/>
        </w:numPr>
        <w:jc w:val="both"/>
        <w:rPr>
          <w:rFonts w:asciiTheme="minorHAnsi" w:hAnsiTheme="minorHAnsi" w:cstheme="minorHAnsi"/>
          <w:szCs w:val="24"/>
        </w:rPr>
      </w:pPr>
      <w:r w:rsidRPr="0031103C">
        <w:rPr>
          <w:rFonts w:asciiTheme="minorHAnsi" w:hAnsiTheme="minorHAnsi" w:cstheme="minorHAnsi"/>
          <w:szCs w:val="24"/>
        </w:rPr>
        <w:t>There are</w:t>
      </w:r>
      <w:r w:rsidR="0031103C">
        <w:rPr>
          <w:rFonts w:asciiTheme="minorHAnsi" w:hAnsiTheme="minorHAnsi" w:cstheme="minorHAnsi"/>
          <w:szCs w:val="24"/>
        </w:rPr>
        <w:t xml:space="preserve"> also</w:t>
      </w:r>
      <w:r w:rsidRPr="0031103C">
        <w:rPr>
          <w:rFonts w:asciiTheme="minorHAnsi" w:hAnsiTheme="minorHAnsi" w:cstheme="minorHAnsi"/>
          <w:szCs w:val="24"/>
        </w:rPr>
        <w:t xml:space="preserve"> choices regarding what needs fixing: the efficacy of the original appointment booking/allocation system; the optimal mode and phrasing of appointment reminders; the role and importance g</w:t>
      </w:r>
      <w:r w:rsidR="0031103C">
        <w:rPr>
          <w:rFonts w:asciiTheme="minorHAnsi" w:hAnsiTheme="minorHAnsi" w:cstheme="minorHAnsi"/>
          <w:szCs w:val="24"/>
        </w:rPr>
        <w:t>iven by medical practitioners to</w:t>
      </w:r>
      <w:r w:rsidRPr="0031103C">
        <w:rPr>
          <w:rFonts w:asciiTheme="minorHAnsi" w:hAnsiTheme="minorHAnsi" w:cstheme="minorHAnsi"/>
          <w:szCs w:val="24"/>
        </w:rPr>
        <w:t xml:space="preserve"> such outpatient appointments; the availability of outpatient appointments that are convenient for users; and so on.</w:t>
      </w:r>
      <w:r w:rsidR="0031103C">
        <w:rPr>
          <w:rFonts w:asciiTheme="minorHAnsi" w:hAnsiTheme="minorHAnsi" w:cstheme="minorHAnsi"/>
          <w:szCs w:val="24"/>
        </w:rPr>
        <w:t xml:space="preserve"> Each can be altered, eroded or dropped, and in any combination.</w:t>
      </w:r>
    </w:p>
    <w:p w14:paraId="5845FA03" w14:textId="77777777" w:rsidR="0044602C" w:rsidRPr="0044602C" w:rsidRDefault="0044602C" w:rsidP="00B127A5">
      <w:pPr>
        <w:pStyle w:val="ListParagraph"/>
        <w:jc w:val="both"/>
        <w:rPr>
          <w:rFonts w:asciiTheme="minorHAnsi" w:hAnsiTheme="minorHAnsi" w:cstheme="minorHAnsi"/>
          <w:szCs w:val="24"/>
        </w:rPr>
      </w:pPr>
    </w:p>
    <w:p w14:paraId="6B26888D" w14:textId="11518086" w:rsidR="008A695D" w:rsidRDefault="0044602C" w:rsidP="008A695D">
      <w:pPr>
        <w:pStyle w:val="ListParagraph"/>
        <w:ind w:left="1440"/>
        <w:jc w:val="both"/>
        <w:rPr>
          <w:rFonts w:asciiTheme="minorHAnsi" w:hAnsiTheme="minorHAnsi" w:cstheme="minorHAnsi"/>
          <w:szCs w:val="24"/>
        </w:rPr>
      </w:pPr>
      <w:r w:rsidRPr="0044602C">
        <w:rPr>
          <w:rFonts w:asciiTheme="minorHAnsi" w:hAnsiTheme="minorHAnsi" w:cstheme="minorHAnsi"/>
          <w:i/>
          <w:szCs w:val="24"/>
          <w:u w:val="single"/>
        </w:rPr>
        <w:t>Example: FCA have selected carefully where and when to intervene</w:t>
      </w:r>
      <w:r w:rsidR="008A695D">
        <w:rPr>
          <w:rFonts w:asciiTheme="minorHAnsi" w:hAnsiTheme="minorHAnsi" w:cstheme="minorHAnsi"/>
          <w:i/>
          <w:szCs w:val="24"/>
          <w:u w:val="single"/>
        </w:rPr>
        <w:t>, and not intervene,</w:t>
      </w:r>
      <w:r w:rsidRPr="0044602C">
        <w:rPr>
          <w:rFonts w:asciiTheme="minorHAnsi" w:hAnsiTheme="minorHAnsi" w:cstheme="minorHAnsi"/>
          <w:i/>
          <w:szCs w:val="24"/>
          <w:u w:val="single"/>
        </w:rPr>
        <w:t xml:space="preserve"> on pay-day loans</w:t>
      </w:r>
      <w:r w:rsidR="0031103C">
        <w:rPr>
          <w:rFonts w:asciiTheme="minorHAnsi" w:hAnsiTheme="minorHAnsi" w:cstheme="minorHAnsi"/>
          <w:szCs w:val="24"/>
        </w:rPr>
        <w:t>.</w:t>
      </w:r>
    </w:p>
    <w:p w14:paraId="0F953ABB" w14:textId="20E5BB85" w:rsidR="0044602C" w:rsidRPr="00D42E14" w:rsidRDefault="0031103C" w:rsidP="008A695D">
      <w:pPr>
        <w:pStyle w:val="ListParagraph"/>
        <w:ind w:left="1440"/>
        <w:jc w:val="both"/>
        <w:rPr>
          <w:rFonts w:asciiTheme="minorHAnsi" w:hAnsiTheme="minorHAnsi" w:cstheme="minorHAnsi"/>
          <w:i/>
          <w:szCs w:val="24"/>
        </w:rPr>
      </w:pPr>
      <w:r w:rsidRPr="00D42E14">
        <w:rPr>
          <w:rFonts w:asciiTheme="minorHAnsi" w:hAnsiTheme="minorHAnsi" w:cstheme="minorHAnsi"/>
          <w:i/>
          <w:szCs w:val="24"/>
        </w:rPr>
        <w:t xml:space="preserve">Following mounting public and political pressure, the financial services regulator has resolved to pursue a twin-track strategy. In response to putatively high interest rates charged by some lenders, the FCA has established that </w:t>
      </w:r>
      <w:r w:rsidR="00292D81">
        <w:rPr>
          <w:rFonts w:asciiTheme="minorHAnsi" w:hAnsiTheme="minorHAnsi" w:cstheme="minorHAnsi"/>
          <w:i/>
          <w:szCs w:val="24"/>
        </w:rPr>
        <w:t xml:space="preserve">capping interest rates will prevent </w:t>
      </w:r>
      <w:r w:rsidRPr="00D42E14">
        <w:rPr>
          <w:rFonts w:asciiTheme="minorHAnsi" w:hAnsiTheme="minorHAnsi" w:cstheme="minorHAnsi"/>
          <w:i/>
          <w:szCs w:val="24"/>
        </w:rPr>
        <w:t>vulnerable borrowers</w:t>
      </w:r>
      <w:r w:rsidR="00292D81">
        <w:rPr>
          <w:rFonts w:asciiTheme="minorHAnsi" w:hAnsiTheme="minorHAnsi" w:cstheme="minorHAnsi"/>
          <w:i/>
          <w:szCs w:val="24"/>
        </w:rPr>
        <w:t xml:space="preserve"> becoming further indebted</w:t>
      </w:r>
      <w:r w:rsidRPr="00D42E14">
        <w:rPr>
          <w:rFonts w:asciiTheme="minorHAnsi" w:hAnsiTheme="minorHAnsi" w:cstheme="minorHAnsi"/>
          <w:i/>
          <w:szCs w:val="24"/>
        </w:rPr>
        <w:t xml:space="preserve">. But the FCA has </w:t>
      </w:r>
      <w:r w:rsidR="0022344A">
        <w:rPr>
          <w:rFonts w:asciiTheme="minorHAnsi" w:hAnsiTheme="minorHAnsi" w:cstheme="minorHAnsi"/>
          <w:i/>
          <w:szCs w:val="24"/>
        </w:rPr>
        <w:t xml:space="preserve">also </w:t>
      </w:r>
      <w:r w:rsidRPr="00D42E14">
        <w:rPr>
          <w:rFonts w:asciiTheme="minorHAnsi" w:hAnsiTheme="minorHAnsi" w:cstheme="minorHAnsi"/>
          <w:i/>
          <w:szCs w:val="24"/>
        </w:rPr>
        <w:t xml:space="preserve">chosen to focus on the problem of eligibility and affordability, intervening to strength mandatory </w:t>
      </w:r>
      <w:r w:rsidR="00292D81">
        <w:rPr>
          <w:rFonts w:asciiTheme="minorHAnsi" w:hAnsiTheme="minorHAnsi" w:cstheme="minorHAnsi"/>
          <w:i/>
          <w:szCs w:val="24"/>
        </w:rPr>
        <w:t xml:space="preserve">affordability checks </w:t>
      </w:r>
      <w:r w:rsidR="008A695D" w:rsidRPr="00D42E14">
        <w:rPr>
          <w:rFonts w:asciiTheme="minorHAnsi" w:hAnsiTheme="minorHAnsi" w:cstheme="minorHAnsi"/>
          <w:i/>
          <w:szCs w:val="24"/>
        </w:rPr>
        <w:t xml:space="preserve">of would-be borrowers </w:t>
      </w:r>
      <w:r w:rsidRPr="00D42E14">
        <w:rPr>
          <w:rFonts w:asciiTheme="minorHAnsi" w:hAnsiTheme="minorHAnsi" w:cstheme="minorHAnsi"/>
          <w:i/>
          <w:szCs w:val="24"/>
        </w:rPr>
        <w:t>by lender</w:t>
      </w:r>
      <w:r w:rsidR="00292D81">
        <w:rPr>
          <w:rFonts w:asciiTheme="minorHAnsi" w:hAnsiTheme="minorHAnsi" w:cstheme="minorHAnsi"/>
          <w:i/>
          <w:szCs w:val="24"/>
        </w:rPr>
        <w:t xml:space="preserve">s. In doing so, the regulator’s assessment is that </w:t>
      </w:r>
      <w:r w:rsidR="0022344A">
        <w:rPr>
          <w:rFonts w:asciiTheme="minorHAnsi" w:hAnsiTheme="minorHAnsi" w:cstheme="minorHAnsi"/>
          <w:i/>
          <w:szCs w:val="24"/>
        </w:rPr>
        <w:t>the remedy</w:t>
      </w:r>
      <w:r w:rsidR="008A695D" w:rsidRPr="00D42E14">
        <w:rPr>
          <w:rFonts w:asciiTheme="minorHAnsi" w:hAnsiTheme="minorHAnsi" w:cstheme="minorHAnsi"/>
          <w:i/>
          <w:szCs w:val="24"/>
        </w:rPr>
        <w:t xml:space="preserve"> lies in p</w:t>
      </w:r>
      <w:r w:rsidR="00292D81">
        <w:rPr>
          <w:rFonts w:asciiTheme="minorHAnsi" w:hAnsiTheme="minorHAnsi" w:cstheme="minorHAnsi"/>
          <w:i/>
          <w:szCs w:val="24"/>
        </w:rPr>
        <w:t>rice controls as much as</w:t>
      </w:r>
      <w:r w:rsidR="008A695D" w:rsidRPr="00D42E14">
        <w:rPr>
          <w:rFonts w:asciiTheme="minorHAnsi" w:hAnsiTheme="minorHAnsi" w:cstheme="minorHAnsi"/>
          <w:i/>
          <w:szCs w:val="24"/>
        </w:rPr>
        <w:t xml:space="preserve"> in </w:t>
      </w:r>
      <w:r w:rsidR="0022344A">
        <w:rPr>
          <w:rFonts w:asciiTheme="minorHAnsi" w:hAnsiTheme="minorHAnsi" w:cstheme="minorHAnsi"/>
          <w:i/>
          <w:szCs w:val="24"/>
        </w:rPr>
        <w:t xml:space="preserve">avoiding </w:t>
      </w:r>
      <w:r w:rsidR="008A695D" w:rsidRPr="00D42E14">
        <w:rPr>
          <w:rFonts w:asciiTheme="minorHAnsi" w:hAnsiTheme="minorHAnsi" w:cstheme="minorHAnsi"/>
          <w:i/>
          <w:szCs w:val="24"/>
        </w:rPr>
        <w:t>such loans being made to inappropriate clients.</w:t>
      </w:r>
    </w:p>
    <w:p w14:paraId="6AFAD227" w14:textId="77777777" w:rsidR="0044602C" w:rsidRPr="0044602C" w:rsidRDefault="0044602C" w:rsidP="00B127A5">
      <w:pPr>
        <w:pStyle w:val="ListParagraph"/>
        <w:tabs>
          <w:tab w:val="left" w:pos="5339"/>
        </w:tabs>
        <w:jc w:val="both"/>
        <w:rPr>
          <w:rFonts w:asciiTheme="minorHAnsi" w:hAnsiTheme="minorHAnsi" w:cstheme="minorHAnsi"/>
          <w:szCs w:val="24"/>
        </w:rPr>
      </w:pPr>
      <w:r w:rsidRPr="0044602C">
        <w:rPr>
          <w:rFonts w:asciiTheme="minorHAnsi" w:hAnsiTheme="minorHAnsi" w:cstheme="minorHAnsi"/>
          <w:szCs w:val="24"/>
        </w:rPr>
        <w:tab/>
      </w:r>
    </w:p>
    <w:p w14:paraId="41928729" w14:textId="2668D83D" w:rsidR="0093073D" w:rsidRDefault="0044602C" w:rsidP="008A695D">
      <w:pPr>
        <w:pStyle w:val="ListParagraph"/>
        <w:ind w:left="1440"/>
        <w:jc w:val="both"/>
        <w:rPr>
          <w:rFonts w:asciiTheme="minorHAnsi" w:hAnsiTheme="minorHAnsi" w:cstheme="minorHAnsi"/>
          <w:i/>
          <w:szCs w:val="24"/>
        </w:rPr>
      </w:pPr>
      <w:r w:rsidRPr="0044602C">
        <w:rPr>
          <w:rFonts w:asciiTheme="minorHAnsi" w:hAnsiTheme="minorHAnsi" w:cstheme="minorHAnsi"/>
          <w:i/>
          <w:szCs w:val="24"/>
          <w:u w:val="single"/>
        </w:rPr>
        <w:t xml:space="preserve">Equalities example: The Body Confidence initiative spans a number of </w:t>
      </w:r>
      <w:r w:rsidR="0093073D">
        <w:rPr>
          <w:rFonts w:asciiTheme="minorHAnsi" w:hAnsiTheme="minorHAnsi" w:cstheme="minorHAnsi"/>
          <w:i/>
          <w:szCs w:val="24"/>
          <w:u w:val="single"/>
        </w:rPr>
        <w:t xml:space="preserve">underlying </w:t>
      </w:r>
      <w:r w:rsidRPr="0044602C">
        <w:rPr>
          <w:rFonts w:asciiTheme="minorHAnsi" w:hAnsiTheme="minorHAnsi" w:cstheme="minorHAnsi"/>
          <w:i/>
          <w:szCs w:val="24"/>
          <w:u w:val="single"/>
        </w:rPr>
        <w:t>problems</w:t>
      </w:r>
      <w:r w:rsidRPr="0044602C">
        <w:rPr>
          <w:rFonts w:asciiTheme="minorHAnsi" w:hAnsiTheme="minorHAnsi" w:cstheme="minorHAnsi"/>
          <w:i/>
          <w:szCs w:val="24"/>
        </w:rPr>
        <w:t xml:space="preserve">. </w:t>
      </w:r>
    </w:p>
    <w:p w14:paraId="3D6FF9D7" w14:textId="050B002C" w:rsidR="00C649C5" w:rsidRPr="00292D81" w:rsidRDefault="0044602C" w:rsidP="00292D81">
      <w:pPr>
        <w:pStyle w:val="ListParagraph"/>
        <w:ind w:left="1440"/>
        <w:jc w:val="both"/>
        <w:rPr>
          <w:rFonts w:asciiTheme="minorHAnsi" w:hAnsiTheme="minorHAnsi" w:cstheme="minorHAnsi"/>
          <w:i/>
          <w:szCs w:val="24"/>
        </w:rPr>
      </w:pPr>
      <w:r w:rsidRPr="0044602C">
        <w:rPr>
          <w:rFonts w:asciiTheme="minorHAnsi" w:hAnsiTheme="minorHAnsi" w:cstheme="minorHAnsi"/>
          <w:i/>
          <w:szCs w:val="24"/>
        </w:rPr>
        <w:t xml:space="preserve">There are numerous symptoms of problems that need to be fixed and potentially even more </w:t>
      </w:r>
      <w:r w:rsidR="00292D81">
        <w:rPr>
          <w:rFonts w:asciiTheme="minorHAnsi" w:hAnsiTheme="minorHAnsi" w:cstheme="minorHAnsi"/>
          <w:i/>
          <w:szCs w:val="24"/>
        </w:rPr>
        <w:t>causal drivers.</w:t>
      </w:r>
      <w:r w:rsidRPr="0044602C">
        <w:rPr>
          <w:rFonts w:asciiTheme="minorHAnsi" w:hAnsiTheme="minorHAnsi" w:cstheme="minorHAnsi"/>
          <w:i/>
          <w:szCs w:val="24"/>
        </w:rPr>
        <w:t xml:space="preserve"> Various socio-cultural causes underpin the body images prized by younger, impressionable minds; some of these can be amenable to interventions aimed at media and social media messages. But is not clear if the priority should be supporting better media environments (</w:t>
      </w:r>
      <w:r w:rsidR="008A695D">
        <w:rPr>
          <w:rFonts w:asciiTheme="minorHAnsi" w:hAnsiTheme="minorHAnsi" w:cstheme="minorHAnsi"/>
          <w:i/>
          <w:szCs w:val="24"/>
        </w:rPr>
        <w:t xml:space="preserve">for instance, </w:t>
      </w:r>
      <w:r w:rsidRPr="0044602C">
        <w:rPr>
          <w:rFonts w:asciiTheme="minorHAnsi" w:hAnsiTheme="minorHAnsi" w:cstheme="minorHAnsi"/>
          <w:i/>
          <w:szCs w:val="24"/>
        </w:rPr>
        <w:t>through changes in advertising practices) as against providing vulnerable individuals with better skills to cope with the existing environment (say, through school-based prevention programmes). Further, the potential intervention points are unclear: universal versus selective, earlier or later, concentra</w:t>
      </w:r>
      <w:r w:rsidR="007374F6">
        <w:rPr>
          <w:rFonts w:asciiTheme="minorHAnsi" w:hAnsiTheme="minorHAnsi" w:cstheme="minorHAnsi"/>
          <w:i/>
          <w:szCs w:val="24"/>
        </w:rPr>
        <w:t>ting on at-risk sub-groups only</w:t>
      </w:r>
      <w:r w:rsidRPr="0044602C">
        <w:rPr>
          <w:rFonts w:asciiTheme="minorHAnsi" w:hAnsiTheme="minorHAnsi" w:cstheme="minorHAnsi"/>
          <w:i/>
          <w:szCs w:val="24"/>
        </w:rPr>
        <w:t>, etc</w:t>
      </w:r>
      <w:r w:rsidR="008A695D">
        <w:rPr>
          <w:rFonts w:asciiTheme="minorHAnsi" w:hAnsiTheme="minorHAnsi" w:cstheme="minorHAnsi"/>
          <w:i/>
          <w:szCs w:val="24"/>
        </w:rPr>
        <w:t>.</w:t>
      </w:r>
      <w:r w:rsidRPr="0044602C">
        <w:rPr>
          <w:rFonts w:asciiTheme="minorHAnsi" w:hAnsiTheme="minorHAnsi" w:cstheme="minorHAnsi"/>
          <w:i/>
          <w:szCs w:val="24"/>
        </w:rPr>
        <w:t>).</w:t>
      </w:r>
      <w:r w:rsidR="00EC5C31">
        <w:rPr>
          <w:rFonts w:asciiTheme="minorHAnsi" w:hAnsiTheme="minorHAnsi" w:cstheme="minorHAnsi"/>
          <w:i/>
          <w:szCs w:val="24"/>
        </w:rPr>
        <w:t xml:space="preserve"> I</w:t>
      </w:r>
      <w:r w:rsidR="008A695D">
        <w:rPr>
          <w:rFonts w:asciiTheme="minorHAnsi" w:hAnsiTheme="minorHAnsi" w:cstheme="minorHAnsi"/>
          <w:i/>
          <w:szCs w:val="24"/>
        </w:rPr>
        <w:t>nvesting in further information and awareness</w:t>
      </w:r>
      <w:r w:rsidR="00EC5C31">
        <w:rPr>
          <w:rFonts w:asciiTheme="minorHAnsi" w:hAnsiTheme="minorHAnsi" w:cstheme="minorHAnsi"/>
          <w:i/>
          <w:szCs w:val="24"/>
        </w:rPr>
        <w:t xml:space="preserve"> drives </w:t>
      </w:r>
      <w:r w:rsidR="00292D81">
        <w:rPr>
          <w:rFonts w:asciiTheme="minorHAnsi" w:hAnsiTheme="minorHAnsi" w:cstheme="minorHAnsi"/>
          <w:i/>
          <w:szCs w:val="24"/>
        </w:rPr>
        <w:t>seems unconvincing.</w:t>
      </w:r>
    </w:p>
    <w:p w14:paraId="75019AB9" w14:textId="77777777" w:rsidR="00CF09ED" w:rsidRDefault="00CF09ED" w:rsidP="00CF09ED">
      <w:pPr>
        <w:jc w:val="both"/>
        <w:rPr>
          <w:rFonts w:cstheme="minorHAnsi"/>
          <w:b/>
          <w:i/>
          <w:color w:val="365F91" w:themeColor="accent1" w:themeShade="BF"/>
          <w:sz w:val="28"/>
          <w:szCs w:val="28"/>
          <w:u w:val="single"/>
        </w:rPr>
      </w:pPr>
    </w:p>
    <w:p w14:paraId="38C63EEC" w14:textId="3FDF9926" w:rsidR="008A695D" w:rsidRPr="007374F6" w:rsidRDefault="000907C7" w:rsidP="007374F6">
      <w:pPr>
        <w:ind w:firstLine="360"/>
        <w:jc w:val="both"/>
        <w:rPr>
          <w:rFonts w:cstheme="minorHAnsi"/>
          <w:b/>
          <w:i/>
          <w:color w:val="365F91" w:themeColor="accent1" w:themeShade="BF"/>
          <w:sz w:val="28"/>
          <w:szCs w:val="28"/>
          <w:u w:val="single"/>
        </w:rPr>
      </w:pPr>
      <w:r>
        <w:rPr>
          <w:rFonts w:cstheme="minorHAnsi"/>
          <w:b/>
          <w:i/>
          <w:color w:val="365F91" w:themeColor="accent1" w:themeShade="BF"/>
          <w:sz w:val="28"/>
          <w:szCs w:val="28"/>
          <w:u w:val="single"/>
        </w:rPr>
        <w:t>(v) B</w:t>
      </w:r>
      <w:r w:rsidR="0044602C" w:rsidRPr="000907C7">
        <w:rPr>
          <w:rFonts w:cstheme="minorHAnsi"/>
          <w:b/>
          <w:i/>
          <w:color w:val="365F91" w:themeColor="accent1" w:themeShade="BF"/>
          <w:sz w:val="28"/>
          <w:szCs w:val="28"/>
          <w:u w:val="single"/>
        </w:rPr>
        <w:t>orrow from m</w:t>
      </w:r>
      <w:r w:rsidR="007374F6">
        <w:rPr>
          <w:rFonts w:cstheme="minorHAnsi"/>
          <w:b/>
          <w:i/>
          <w:color w:val="365F91" w:themeColor="accent1" w:themeShade="BF"/>
          <w:sz w:val="28"/>
          <w:szCs w:val="28"/>
          <w:u w:val="single"/>
        </w:rPr>
        <w:t>odern consumer-centric culture.</w:t>
      </w:r>
    </w:p>
    <w:p w14:paraId="4C661F17" w14:textId="14D64DE0" w:rsidR="00F47EDC" w:rsidRDefault="0044602C" w:rsidP="00505BE0">
      <w:pPr>
        <w:pStyle w:val="ListParagraph"/>
        <w:numPr>
          <w:ilvl w:val="0"/>
          <w:numId w:val="6"/>
        </w:numPr>
        <w:jc w:val="both"/>
        <w:rPr>
          <w:rFonts w:asciiTheme="minorHAnsi" w:hAnsiTheme="minorHAnsi" w:cstheme="minorHAnsi"/>
          <w:szCs w:val="24"/>
        </w:rPr>
      </w:pPr>
      <w:r w:rsidRPr="008A695D">
        <w:rPr>
          <w:rFonts w:asciiTheme="minorHAnsi" w:hAnsiTheme="minorHAnsi" w:cstheme="minorHAnsi"/>
          <w:szCs w:val="24"/>
        </w:rPr>
        <w:t>There is a significant body of practical knowledge held by modern regulatory agencies that captures the habits of people and how best to influence their behaviour. Some of this shows the strong consumerist instincts that underpin people’s outlo</w:t>
      </w:r>
      <w:r w:rsidR="008A695D">
        <w:rPr>
          <w:rFonts w:asciiTheme="minorHAnsi" w:hAnsiTheme="minorHAnsi" w:cstheme="minorHAnsi"/>
          <w:szCs w:val="24"/>
        </w:rPr>
        <w:t xml:space="preserve">oks and self-image that </w:t>
      </w:r>
      <w:r w:rsidRPr="008A695D">
        <w:rPr>
          <w:rFonts w:asciiTheme="minorHAnsi" w:hAnsiTheme="minorHAnsi" w:cstheme="minorHAnsi"/>
          <w:szCs w:val="24"/>
        </w:rPr>
        <w:t>poor</w:t>
      </w:r>
      <w:r w:rsidR="008A695D">
        <w:rPr>
          <w:rFonts w:asciiTheme="minorHAnsi" w:hAnsiTheme="minorHAnsi" w:cstheme="minorHAnsi"/>
          <w:szCs w:val="24"/>
        </w:rPr>
        <w:t>ly aligns</w:t>
      </w:r>
      <w:r w:rsidRPr="008A695D">
        <w:rPr>
          <w:rFonts w:asciiTheme="minorHAnsi" w:hAnsiTheme="minorHAnsi" w:cstheme="minorHAnsi"/>
          <w:szCs w:val="24"/>
        </w:rPr>
        <w:t xml:space="preserve"> with their behaviour. A key insight, therefore, is th</w:t>
      </w:r>
      <w:r w:rsidR="00656208">
        <w:rPr>
          <w:rFonts w:asciiTheme="minorHAnsi" w:hAnsiTheme="minorHAnsi" w:cstheme="minorHAnsi"/>
          <w:szCs w:val="24"/>
        </w:rPr>
        <w:t>at</w:t>
      </w:r>
      <w:r w:rsidRPr="008A695D">
        <w:rPr>
          <w:rFonts w:asciiTheme="minorHAnsi" w:hAnsiTheme="minorHAnsi" w:cstheme="minorHAnsi"/>
          <w:szCs w:val="24"/>
        </w:rPr>
        <w:t xml:space="preserve"> rational, utility-maximising behaviour is often bounded in practice. People simply settle for less, are happy to make short cuts whilst believing that they are not</w:t>
      </w:r>
      <w:r w:rsidR="00F47EDC">
        <w:rPr>
          <w:rFonts w:asciiTheme="minorHAnsi" w:hAnsiTheme="minorHAnsi" w:cstheme="minorHAnsi"/>
          <w:szCs w:val="24"/>
        </w:rPr>
        <w:t>, or simply don’t want to think of themselves as naïve and unwise in their choices</w:t>
      </w:r>
      <w:r w:rsidRPr="008A695D">
        <w:rPr>
          <w:rFonts w:asciiTheme="minorHAnsi" w:hAnsiTheme="minorHAnsi" w:cstheme="minorHAnsi"/>
          <w:szCs w:val="24"/>
        </w:rPr>
        <w:t>.</w:t>
      </w:r>
    </w:p>
    <w:p w14:paraId="5E78B5E7" w14:textId="77777777" w:rsidR="00F47EDC" w:rsidRDefault="00F47EDC" w:rsidP="00F47EDC">
      <w:pPr>
        <w:pStyle w:val="ListParagraph"/>
        <w:jc w:val="both"/>
        <w:rPr>
          <w:rFonts w:asciiTheme="minorHAnsi" w:hAnsiTheme="minorHAnsi" w:cstheme="minorHAnsi"/>
          <w:szCs w:val="24"/>
        </w:rPr>
      </w:pPr>
    </w:p>
    <w:p w14:paraId="45C41542" w14:textId="38E3F950" w:rsidR="00F47EDC" w:rsidRDefault="0044602C" w:rsidP="00505BE0">
      <w:pPr>
        <w:pStyle w:val="ListParagraph"/>
        <w:numPr>
          <w:ilvl w:val="0"/>
          <w:numId w:val="6"/>
        </w:numPr>
        <w:jc w:val="both"/>
        <w:rPr>
          <w:rFonts w:asciiTheme="minorHAnsi" w:hAnsiTheme="minorHAnsi" w:cstheme="minorHAnsi"/>
          <w:szCs w:val="24"/>
        </w:rPr>
      </w:pPr>
      <w:r w:rsidRPr="00F47EDC">
        <w:rPr>
          <w:rFonts w:asciiTheme="minorHAnsi" w:hAnsiTheme="minorHAnsi" w:cstheme="minorHAnsi"/>
          <w:szCs w:val="24"/>
        </w:rPr>
        <w:t>The significance of this insight is that policy interventions can be more effective by reducing the burden on individuals to gather and digest all the options before them. For instance, Ofsted recognised a generation ago that few parents would be capable of assembling comparative school attainment information but</w:t>
      </w:r>
      <w:r w:rsidR="00F47EDC">
        <w:rPr>
          <w:rFonts w:asciiTheme="minorHAnsi" w:hAnsiTheme="minorHAnsi" w:cstheme="minorHAnsi"/>
          <w:szCs w:val="24"/>
        </w:rPr>
        <w:t>, crucially,</w:t>
      </w:r>
      <w:r w:rsidRPr="00F47EDC">
        <w:rPr>
          <w:rFonts w:asciiTheme="minorHAnsi" w:hAnsiTheme="minorHAnsi" w:cstheme="minorHAnsi"/>
          <w:szCs w:val="24"/>
        </w:rPr>
        <w:t xml:space="preserve"> many would make use of standardised information if easily available.</w:t>
      </w:r>
      <w:r w:rsidR="00F47EDC">
        <w:rPr>
          <w:rFonts w:asciiTheme="minorHAnsi" w:hAnsiTheme="minorHAnsi" w:cstheme="minorHAnsi"/>
          <w:szCs w:val="24"/>
        </w:rPr>
        <w:t xml:space="preserve"> This created a powerful rationale for collecting </w:t>
      </w:r>
      <w:r w:rsidR="005F06EA">
        <w:rPr>
          <w:rFonts w:asciiTheme="minorHAnsi" w:hAnsiTheme="minorHAnsi" w:cstheme="minorHAnsi"/>
          <w:szCs w:val="24"/>
        </w:rPr>
        <w:t>relevant</w:t>
      </w:r>
      <w:r w:rsidR="00F47EDC">
        <w:rPr>
          <w:rFonts w:asciiTheme="minorHAnsi" w:hAnsiTheme="minorHAnsi" w:cstheme="minorHAnsi"/>
          <w:szCs w:val="24"/>
        </w:rPr>
        <w:t xml:space="preserve"> attainment data that could then be suitably standardised. The supply of this information to parents now means that it is </w:t>
      </w:r>
      <w:r w:rsidR="005F06EA">
        <w:rPr>
          <w:rFonts w:asciiTheme="minorHAnsi" w:hAnsiTheme="minorHAnsi" w:cstheme="minorHAnsi"/>
          <w:szCs w:val="24"/>
        </w:rPr>
        <w:t xml:space="preserve">firmly </w:t>
      </w:r>
      <w:r w:rsidR="00F47EDC">
        <w:rPr>
          <w:rFonts w:asciiTheme="minorHAnsi" w:hAnsiTheme="minorHAnsi" w:cstheme="minorHAnsi"/>
          <w:szCs w:val="24"/>
        </w:rPr>
        <w:t>embedded in modern consumer culture.</w:t>
      </w:r>
    </w:p>
    <w:p w14:paraId="07CFCB27" w14:textId="77777777" w:rsidR="00F47EDC" w:rsidRPr="00F47EDC" w:rsidRDefault="00F47EDC" w:rsidP="00F47EDC">
      <w:pPr>
        <w:pStyle w:val="ListParagraph"/>
        <w:rPr>
          <w:rFonts w:asciiTheme="minorHAnsi" w:hAnsiTheme="minorHAnsi" w:cstheme="minorHAnsi"/>
          <w:szCs w:val="24"/>
        </w:rPr>
      </w:pPr>
    </w:p>
    <w:p w14:paraId="27CEF4FF" w14:textId="63B01BD2" w:rsidR="0044602C" w:rsidRPr="00F47EDC" w:rsidRDefault="0044602C" w:rsidP="00505BE0">
      <w:pPr>
        <w:pStyle w:val="ListParagraph"/>
        <w:numPr>
          <w:ilvl w:val="0"/>
          <w:numId w:val="6"/>
        </w:numPr>
        <w:jc w:val="both"/>
        <w:rPr>
          <w:rFonts w:asciiTheme="minorHAnsi" w:hAnsiTheme="minorHAnsi" w:cstheme="minorHAnsi"/>
          <w:szCs w:val="24"/>
        </w:rPr>
      </w:pPr>
      <w:r w:rsidRPr="00F47EDC">
        <w:rPr>
          <w:rFonts w:asciiTheme="minorHAnsi" w:hAnsiTheme="minorHAnsi" w:cstheme="minorHAnsi"/>
          <w:szCs w:val="24"/>
        </w:rPr>
        <w:t xml:space="preserve">A bigger takeaway point is that it can be beneficial to </w:t>
      </w:r>
      <w:r w:rsidR="0023697E">
        <w:rPr>
          <w:rFonts w:asciiTheme="minorHAnsi" w:hAnsiTheme="minorHAnsi" w:cstheme="minorHAnsi"/>
          <w:szCs w:val="24"/>
        </w:rPr>
        <w:t>provide people with a different</w:t>
      </w:r>
      <w:r w:rsidRPr="00F47EDC">
        <w:rPr>
          <w:rFonts w:asciiTheme="minorHAnsi" w:hAnsiTheme="minorHAnsi" w:cstheme="minorHAnsi"/>
          <w:szCs w:val="24"/>
        </w:rPr>
        <w:t xml:space="preserve"> default if they do nothing at all. For instance, </w:t>
      </w:r>
      <w:r w:rsidR="00F47EDC">
        <w:rPr>
          <w:rFonts w:asciiTheme="minorHAnsi" w:hAnsiTheme="minorHAnsi" w:cstheme="minorHAnsi"/>
          <w:szCs w:val="24"/>
        </w:rPr>
        <w:t xml:space="preserve">workplace </w:t>
      </w:r>
      <w:proofErr w:type="gramStart"/>
      <w:r w:rsidRPr="00F47EDC">
        <w:rPr>
          <w:rFonts w:asciiTheme="minorHAnsi" w:hAnsiTheme="minorHAnsi" w:cstheme="minorHAnsi"/>
          <w:szCs w:val="24"/>
        </w:rPr>
        <w:t>pensions</w:t>
      </w:r>
      <w:proofErr w:type="gramEnd"/>
      <w:r w:rsidRPr="00F47EDC">
        <w:rPr>
          <w:rFonts w:asciiTheme="minorHAnsi" w:hAnsiTheme="minorHAnsi" w:cstheme="minorHAnsi"/>
          <w:szCs w:val="24"/>
        </w:rPr>
        <w:t xml:space="preserve"> auto-enrolment in the UK was launched in 2012 in order to overcome the considerable reluctance of employees to become pro-actively involved in workplace retirement arrangements of any kind.</w:t>
      </w:r>
    </w:p>
    <w:p w14:paraId="669A919D" w14:textId="77777777" w:rsidR="0044602C" w:rsidRPr="00F47EDC" w:rsidRDefault="0044602C" w:rsidP="00B127A5">
      <w:pPr>
        <w:pStyle w:val="ListParagraph"/>
        <w:jc w:val="both"/>
        <w:rPr>
          <w:rFonts w:asciiTheme="minorHAnsi" w:hAnsiTheme="minorHAnsi" w:cstheme="minorHAnsi"/>
          <w:szCs w:val="24"/>
        </w:rPr>
      </w:pPr>
    </w:p>
    <w:p w14:paraId="1F3C5269" w14:textId="77777777" w:rsidR="0093073D" w:rsidRDefault="0044602C" w:rsidP="00D00293">
      <w:pPr>
        <w:pStyle w:val="ListParagraph"/>
        <w:ind w:left="1440"/>
        <w:jc w:val="both"/>
        <w:rPr>
          <w:rFonts w:asciiTheme="minorHAnsi" w:hAnsiTheme="minorHAnsi" w:cstheme="minorHAnsi"/>
          <w:i/>
          <w:szCs w:val="24"/>
        </w:rPr>
      </w:pPr>
      <w:r w:rsidRPr="00F47EDC">
        <w:rPr>
          <w:rFonts w:asciiTheme="minorHAnsi" w:hAnsiTheme="minorHAnsi" w:cstheme="minorHAnsi"/>
          <w:i/>
          <w:szCs w:val="24"/>
          <w:u w:val="single"/>
        </w:rPr>
        <w:t>Equalities example:</w:t>
      </w:r>
      <w:r w:rsidR="00F47EDC" w:rsidRPr="00F47EDC">
        <w:rPr>
          <w:rFonts w:asciiTheme="minorHAnsi" w:hAnsiTheme="minorHAnsi" w:cstheme="minorHAnsi"/>
          <w:i/>
          <w:szCs w:val="24"/>
          <w:u w:val="single"/>
        </w:rPr>
        <w:t xml:space="preserve"> women’s participation in STEM disciplines and career choices.</w:t>
      </w:r>
      <w:r w:rsidR="00D00293" w:rsidRPr="00D00293">
        <w:rPr>
          <w:rFonts w:asciiTheme="minorHAnsi" w:hAnsiTheme="minorHAnsi" w:cstheme="minorHAnsi"/>
          <w:i/>
          <w:szCs w:val="24"/>
        </w:rPr>
        <w:t xml:space="preserve"> </w:t>
      </w:r>
    </w:p>
    <w:p w14:paraId="3BF7D78D" w14:textId="6574649C" w:rsidR="0044602C" w:rsidRPr="005F06EA" w:rsidRDefault="00F47EDC" w:rsidP="005F06EA">
      <w:pPr>
        <w:pStyle w:val="ListParagraph"/>
        <w:ind w:left="1440"/>
        <w:contextualSpacing w:val="0"/>
        <w:jc w:val="both"/>
        <w:rPr>
          <w:rFonts w:asciiTheme="minorHAnsi" w:hAnsiTheme="minorHAnsi" w:cstheme="minorHAnsi"/>
          <w:i/>
          <w:szCs w:val="24"/>
          <w:u w:val="single"/>
        </w:rPr>
      </w:pPr>
      <w:r w:rsidRPr="00D00293">
        <w:rPr>
          <w:rFonts w:asciiTheme="minorHAnsi" w:hAnsiTheme="minorHAnsi" w:cstheme="minorHAnsi"/>
          <w:i/>
          <w:szCs w:val="24"/>
        </w:rPr>
        <w:t xml:space="preserve">One of the biggest hurdles to overcome here has been to create new norms and expectations, and in particular the attitude that “of course women can do it, but it’s not for me”. This tension means that while fresh opportunities are </w:t>
      </w:r>
      <w:r w:rsidR="005F06EA">
        <w:rPr>
          <w:rFonts w:asciiTheme="minorHAnsi" w:hAnsiTheme="minorHAnsi" w:cstheme="minorHAnsi"/>
          <w:i/>
          <w:szCs w:val="24"/>
        </w:rPr>
        <w:t>available</w:t>
      </w:r>
      <w:r w:rsidR="00656208">
        <w:rPr>
          <w:rFonts w:asciiTheme="minorHAnsi" w:hAnsiTheme="minorHAnsi" w:cstheme="minorHAnsi"/>
          <w:i/>
          <w:szCs w:val="24"/>
        </w:rPr>
        <w:t xml:space="preserve"> it is all too often more convenient </w:t>
      </w:r>
      <w:r w:rsidRPr="00D00293">
        <w:rPr>
          <w:rFonts w:asciiTheme="minorHAnsi" w:hAnsiTheme="minorHAnsi" w:cstheme="minorHAnsi"/>
          <w:i/>
          <w:szCs w:val="24"/>
        </w:rPr>
        <w:t xml:space="preserve">to fall back on a default that is familiar and socially commonplace. </w:t>
      </w:r>
      <w:r w:rsidR="00B7624A" w:rsidRPr="00D00293">
        <w:rPr>
          <w:rFonts w:asciiTheme="minorHAnsi" w:hAnsiTheme="minorHAnsi" w:cstheme="minorHAnsi"/>
          <w:i/>
          <w:szCs w:val="24"/>
        </w:rPr>
        <w:t>One way to tackle this is to establish a new default and to take this out of the hands of individual women and girls, albeit this intervention would be perceived as heavy handed. Some single-sex girls</w:t>
      </w:r>
      <w:r w:rsidR="00774514" w:rsidRPr="00D00293">
        <w:rPr>
          <w:rFonts w:asciiTheme="minorHAnsi" w:hAnsiTheme="minorHAnsi" w:cstheme="minorHAnsi"/>
          <w:i/>
          <w:szCs w:val="24"/>
        </w:rPr>
        <w:t>’</w:t>
      </w:r>
      <w:r w:rsidR="00B7624A" w:rsidRPr="00D00293">
        <w:rPr>
          <w:rFonts w:asciiTheme="minorHAnsi" w:hAnsiTheme="minorHAnsi" w:cstheme="minorHAnsi"/>
          <w:i/>
          <w:szCs w:val="24"/>
        </w:rPr>
        <w:t xml:space="preserve"> schools have partly done so nonetheless by requiring all six form students to </w:t>
      </w:r>
      <w:r w:rsidR="00774514" w:rsidRPr="00D00293">
        <w:rPr>
          <w:rFonts w:asciiTheme="minorHAnsi" w:hAnsiTheme="minorHAnsi" w:cstheme="minorHAnsi"/>
          <w:i/>
          <w:szCs w:val="24"/>
        </w:rPr>
        <w:t xml:space="preserve">undertake an A-level in mathematics. Thus a </w:t>
      </w:r>
      <w:r w:rsidR="000907C7" w:rsidRPr="00D00293">
        <w:rPr>
          <w:rFonts w:asciiTheme="minorHAnsi" w:hAnsiTheme="minorHAnsi" w:cstheme="minorHAnsi"/>
          <w:i/>
          <w:szCs w:val="24"/>
        </w:rPr>
        <w:t>new default has been imposed and</w:t>
      </w:r>
      <w:r w:rsidR="00774514" w:rsidRPr="00D00293">
        <w:rPr>
          <w:rFonts w:asciiTheme="minorHAnsi" w:hAnsiTheme="minorHAnsi" w:cstheme="minorHAnsi"/>
          <w:i/>
          <w:szCs w:val="24"/>
        </w:rPr>
        <w:t xml:space="preserve"> a ne</w:t>
      </w:r>
      <w:r w:rsidR="0093073D">
        <w:rPr>
          <w:rFonts w:asciiTheme="minorHAnsi" w:hAnsiTheme="minorHAnsi" w:cstheme="minorHAnsi"/>
          <w:i/>
          <w:szCs w:val="24"/>
        </w:rPr>
        <w:t xml:space="preserve">w norm </w:t>
      </w:r>
      <w:r w:rsidR="0039225E" w:rsidRPr="00D00293">
        <w:rPr>
          <w:rFonts w:asciiTheme="minorHAnsi" w:hAnsiTheme="minorHAnsi" w:cstheme="minorHAnsi"/>
          <w:i/>
          <w:szCs w:val="24"/>
        </w:rPr>
        <w:t>is expected to be embedded</w:t>
      </w:r>
      <w:r w:rsidR="00774514" w:rsidRPr="00D00293">
        <w:rPr>
          <w:rFonts w:asciiTheme="minorHAnsi" w:hAnsiTheme="minorHAnsi" w:cstheme="minorHAnsi"/>
          <w:i/>
          <w:szCs w:val="24"/>
        </w:rPr>
        <w:t>.</w:t>
      </w:r>
      <w:r w:rsidRPr="00D00293">
        <w:rPr>
          <w:rFonts w:asciiTheme="minorHAnsi" w:hAnsiTheme="minorHAnsi" w:cstheme="minorHAnsi"/>
          <w:szCs w:val="24"/>
        </w:rPr>
        <w:t xml:space="preserve"> </w:t>
      </w:r>
    </w:p>
    <w:p w14:paraId="0423AD6C" w14:textId="4E90AFF2" w:rsidR="008C1B83" w:rsidRPr="00CF09ED" w:rsidRDefault="005F06EA" w:rsidP="00CF09ED">
      <w:pPr>
        <w:tabs>
          <w:tab w:val="left" w:pos="4363"/>
        </w:tabs>
        <w:jc w:val="both"/>
        <w:rPr>
          <w:rFonts w:cstheme="minorHAnsi"/>
          <w:szCs w:val="24"/>
        </w:rPr>
      </w:pPr>
      <w:r w:rsidRPr="00CF09ED">
        <w:rPr>
          <w:rFonts w:cstheme="minorHAnsi"/>
          <w:szCs w:val="24"/>
        </w:rPr>
        <w:tab/>
      </w:r>
    </w:p>
    <w:p w14:paraId="0FF9E169" w14:textId="02D4BA46" w:rsidR="00774514" w:rsidRPr="007374F6" w:rsidRDefault="00D419DD" w:rsidP="007374F6">
      <w:pPr>
        <w:ind w:firstLine="360"/>
        <w:jc w:val="both"/>
        <w:rPr>
          <w:rFonts w:cstheme="minorHAnsi"/>
          <w:b/>
          <w:i/>
          <w:color w:val="365F91" w:themeColor="accent1" w:themeShade="BF"/>
          <w:sz w:val="28"/>
          <w:szCs w:val="28"/>
        </w:rPr>
      </w:pPr>
      <w:r>
        <w:rPr>
          <w:rFonts w:cstheme="minorHAnsi"/>
          <w:b/>
          <w:i/>
          <w:color w:val="365F91" w:themeColor="accent1" w:themeShade="BF"/>
          <w:sz w:val="28"/>
          <w:szCs w:val="28"/>
        </w:rPr>
        <w:t>(vi) “HPLL</w:t>
      </w:r>
      <w:r w:rsidR="0044602C" w:rsidRPr="000907C7">
        <w:rPr>
          <w:rFonts w:cstheme="minorHAnsi"/>
          <w:b/>
          <w:i/>
          <w:color w:val="365F91" w:themeColor="accent1" w:themeShade="BF"/>
          <w:sz w:val="28"/>
          <w:szCs w:val="28"/>
        </w:rPr>
        <w:t>” stands for “Ho</w:t>
      </w:r>
      <w:r w:rsidR="007374F6">
        <w:rPr>
          <w:rFonts w:cstheme="minorHAnsi"/>
          <w:b/>
          <w:i/>
          <w:color w:val="365F91" w:themeColor="accent1" w:themeShade="BF"/>
          <w:sz w:val="28"/>
          <w:szCs w:val="28"/>
        </w:rPr>
        <w:t>w People Live their Lives”.</w:t>
      </w:r>
    </w:p>
    <w:p w14:paraId="69DFBA25" w14:textId="08BB085B" w:rsidR="00774514" w:rsidRDefault="0044602C" w:rsidP="00505BE0">
      <w:pPr>
        <w:pStyle w:val="ListParagraph"/>
        <w:numPr>
          <w:ilvl w:val="0"/>
          <w:numId w:val="6"/>
        </w:numPr>
        <w:jc w:val="both"/>
        <w:rPr>
          <w:rFonts w:asciiTheme="minorHAnsi" w:hAnsiTheme="minorHAnsi" w:cstheme="minorHAnsi"/>
          <w:szCs w:val="24"/>
        </w:rPr>
      </w:pPr>
      <w:r w:rsidRPr="00774514">
        <w:rPr>
          <w:rFonts w:asciiTheme="minorHAnsi" w:hAnsiTheme="minorHAnsi" w:cstheme="minorHAnsi"/>
          <w:szCs w:val="24"/>
        </w:rPr>
        <w:t xml:space="preserve">Behavioural researchers have uncovered compelling evidence that people lead lives that are highly shaped by intuitive, effortless and automatic ways of thinking. This is known as System 1 </w:t>
      </w:r>
      <w:r w:rsidR="00774514">
        <w:rPr>
          <w:rFonts w:asciiTheme="minorHAnsi" w:hAnsiTheme="minorHAnsi" w:cstheme="minorHAnsi"/>
          <w:szCs w:val="24"/>
        </w:rPr>
        <w:t>thinking in the jargon, and</w:t>
      </w:r>
      <w:r w:rsidRPr="00774514">
        <w:rPr>
          <w:rFonts w:asciiTheme="minorHAnsi" w:hAnsiTheme="minorHAnsi" w:cstheme="minorHAnsi"/>
          <w:szCs w:val="24"/>
        </w:rPr>
        <w:t xml:space="preserve"> often eclipses more deliberative, considered forms of th</w:t>
      </w:r>
      <w:r w:rsidR="00774514">
        <w:rPr>
          <w:rFonts w:asciiTheme="minorHAnsi" w:hAnsiTheme="minorHAnsi" w:cstheme="minorHAnsi"/>
          <w:szCs w:val="24"/>
        </w:rPr>
        <w:t>inking (known as System 2). Thus people</w:t>
      </w:r>
      <w:r w:rsidRPr="00774514">
        <w:rPr>
          <w:rFonts w:asciiTheme="minorHAnsi" w:hAnsiTheme="minorHAnsi" w:cstheme="minorHAnsi"/>
          <w:szCs w:val="24"/>
        </w:rPr>
        <w:t xml:space="preserve"> means that they rely heavily on</w:t>
      </w:r>
      <w:r w:rsidR="00774514">
        <w:rPr>
          <w:rFonts w:asciiTheme="minorHAnsi" w:hAnsiTheme="minorHAnsi" w:cstheme="minorHAnsi"/>
          <w:szCs w:val="24"/>
        </w:rPr>
        <w:t xml:space="preserve"> their</w:t>
      </w:r>
      <w:r w:rsidRPr="00774514">
        <w:rPr>
          <w:rFonts w:asciiTheme="minorHAnsi" w:hAnsiTheme="minorHAnsi" w:cstheme="minorHAnsi"/>
          <w:szCs w:val="24"/>
        </w:rPr>
        <w:t xml:space="preserve"> </w:t>
      </w:r>
      <w:r w:rsidR="00774514">
        <w:rPr>
          <w:rFonts w:asciiTheme="minorHAnsi" w:hAnsiTheme="minorHAnsi" w:cstheme="minorHAnsi"/>
          <w:szCs w:val="24"/>
        </w:rPr>
        <w:t xml:space="preserve">inner </w:t>
      </w:r>
      <w:r w:rsidRPr="00774514">
        <w:rPr>
          <w:rFonts w:asciiTheme="minorHAnsi" w:hAnsiTheme="minorHAnsi" w:cstheme="minorHAnsi"/>
          <w:szCs w:val="24"/>
        </w:rPr>
        <w:t>instinct, are distracted all too easily, wrongly calculate likelihoods and risks, and pay a lot of attention to the behaviour of other people who they identify with. This admittedly can be a recipe for a tangled, even chaotic set of influenc</w:t>
      </w:r>
      <w:r w:rsidR="002B267E">
        <w:rPr>
          <w:rFonts w:asciiTheme="minorHAnsi" w:hAnsiTheme="minorHAnsi" w:cstheme="minorHAnsi"/>
          <w:szCs w:val="24"/>
        </w:rPr>
        <w:t>es in behaviour – but it is how people live their lives</w:t>
      </w:r>
      <w:r w:rsidRPr="00774514">
        <w:rPr>
          <w:rFonts w:asciiTheme="minorHAnsi" w:hAnsiTheme="minorHAnsi" w:cstheme="minorHAnsi"/>
          <w:szCs w:val="24"/>
        </w:rPr>
        <w:t>!</w:t>
      </w:r>
    </w:p>
    <w:p w14:paraId="42F82634" w14:textId="77777777" w:rsidR="00774514" w:rsidRDefault="00774514" w:rsidP="00774514">
      <w:pPr>
        <w:pStyle w:val="ListParagraph"/>
        <w:jc w:val="both"/>
        <w:rPr>
          <w:rFonts w:asciiTheme="minorHAnsi" w:hAnsiTheme="minorHAnsi" w:cstheme="minorHAnsi"/>
          <w:szCs w:val="24"/>
        </w:rPr>
      </w:pPr>
    </w:p>
    <w:p w14:paraId="75F8F9E2" w14:textId="02AC5433" w:rsidR="0044602C" w:rsidRPr="00774514" w:rsidRDefault="0044602C" w:rsidP="00505BE0">
      <w:pPr>
        <w:pStyle w:val="ListParagraph"/>
        <w:numPr>
          <w:ilvl w:val="0"/>
          <w:numId w:val="6"/>
        </w:numPr>
        <w:jc w:val="both"/>
        <w:rPr>
          <w:rFonts w:asciiTheme="minorHAnsi" w:hAnsiTheme="minorHAnsi" w:cstheme="minorHAnsi"/>
          <w:szCs w:val="24"/>
        </w:rPr>
      </w:pPr>
      <w:r w:rsidRPr="00774514">
        <w:rPr>
          <w:rFonts w:asciiTheme="minorHAnsi" w:hAnsiTheme="minorHAnsi" w:cstheme="minorHAnsi"/>
          <w:szCs w:val="24"/>
        </w:rPr>
        <w:t>By using this important insight, it is possible to avoid getting carried away with interventions that, however well meaning, just end up loading too much on individuals. A powerful illustration of this is the heavy investment made by financial watchdogs in improving the amount and availability of financial education; evaluations suggest that much</w:t>
      </w:r>
      <w:r w:rsidR="007B2F27">
        <w:rPr>
          <w:rFonts w:asciiTheme="minorHAnsi" w:hAnsiTheme="minorHAnsi" w:cstheme="minorHAnsi"/>
          <w:szCs w:val="24"/>
        </w:rPr>
        <w:t xml:space="preserve"> of this has been wasted – i.e.</w:t>
      </w:r>
      <w:r w:rsidRPr="00774514">
        <w:rPr>
          <w:rFonts w:asciiTheme="minorHAnsi" w:hAnsiTheme="minorHAnsi" w:cstheme="minorHAnsi"/>
          <w:szCs w:val="24"/>
        </w:rPr>
        <w:t xml:space="preserve"> people are aware of better education and information for others but are reluctant to use it for themselves.</w:t>
      </w:r>
      <w:r w:rsidRPr="0044602C">
        <w:rPr>
          <w:rStyle w:val="FootnoteReference"/>
          <w:rFonts w:asciiTheme="minorHAnsi" w:hAnsiTheme="minorHAnsi" w:cstheme="minorHAnsi"/>
          <w:szCs w:val="24"/>
        </w:rPr>
        <w:footnoteReference w:id="36"/>
      </w:r>
    </w:p>
    <w:p w14:paraId="6B973B06" w14:textId="77777777" w:rsidR="0044602C" w:rsidRPr="00774514" w:rsidRDefault="0044602C" w:rsidP="00B127A5">
      <w:pPr>
        <w:pStyle w:val="ListParagraph"/>
        <w:jc w:val="both"/>
        <w:rPr>
          <w:rFonts w:asciiTheme="minorHAnsi" w:hAnsiTheme="minorHAnsi" w:cstheme="minorHAnsi"/>
          <w:i/>
          <w:szCs w:val="24"/>
        </w:rPr>
      </w:pPr>
    </w:p>
    <w:p w14:paraId="6CBF1698" w14:textId="77777777" w:rsidR="0093073D" w:rsidRDefault="0044602C" w:rsidP="00D00293">
      <w:pPr>
        <w:pStyle w:val="ListParagraph"/>
        <w:ind w:left="1440"/>
        <w:jc w:val="both"/>
        <w:rPr>
          <w:rFonts w:asciiTheme="minorHAnsi" w:hAnsiTheme="minorHAnsi" w:cstheme="minorHAnsi"/>
          <w:i/>
          <w:szCs w:val="24"/>
        </w:rPr>
      </w:pPr>
      <w:r w:rsidRPr="00774514">
        <w:rPr>
          <w:rFonts w:asciiTheme="minorHAnsi" w:hAnsiTheme="minorHAnsi" w:cstheme="minorHAnsi"/>
          <w:i/>
          <w:szCs w:val="24"/>
          <w:u w:val="single"/>
        </w:rPr>
        <w:t>Example:</w:t>
      </w:r>
      <w:r w:rsidR="00774514" w:rsidRPr="00774514">
        <w:rPr>
          <w:rFonts w:asciiTheme="minorHAnsi" w:hAnsiTheme="minorHAnsi" w:cstheme="minorHAnsi"/>
          <w:i/>
          <w:szCs w:val="24"/>
          <w:u w:val="single"/>
        </w:rPr>
        <w:t xml:space="preserve"> competition in retail banking is fairly minimal, partly because of consumer inertia and partly because of resigned cynicism</w:t>
      </w:r>
      <w:r w:rsidR="00D00293">
        <w:rPr>
          <w:rFonts w:asciiTheme="minorHAnsi" w:hAnsiTheme="minorHAnsi" w:cstheme="minorHAnsi"/>
          <w:i/>
          <w:szCs w:val="24"/>
          <w:u w:val="single"/>
        </w:rPr>
        <w:t>.</w:t>
      </w:r>
      <w:r w:rsidR="00D00293" w:rsidRPr="00D00293">
        <w:rPr>
          <w:rFonts w:asciiTheme="minorHAnsi" w:hAnsiTheme="minorHAnsi" w:cstheme="minorHAnsi"/>
          <w:i/>
          <w:szCs w:val="24"/>
        </w:rPr>
        <w:t xml:space="preserve"> </w:t>
      </w:r>
    </w:p>
    <w:p w14:paraId="2AA70F10" w14:textId="0B881BE8" w:rsidR="00D42E14" w:rsidRPr="007374F6" w:rsidRDefault="00774514" w:rsidP="007374F6">
      <w:pPr>
        <w:pStyle w:val="ListParagraph"/>
        <w:ind w:left="1440"/>
        <w:jc w:val="both"/>
        <w:rPr>
          <w:rFonts w:asciiTheme="minorHAnsi" w:hAnsiTheme="minorHAnsi" w:cstheme="minorHAnsi"/>
          <w:i/>
          <w:szCs w:val="24"/>
          <w:u w:val="single"/>
        </w:rPr>
      </w:pPr>
      <w:r w:rsidRPr="00D00293">
        <w:rPr>
          <w:rFonts w:asciiTheme="minorHAnsi" w:hAnsiTheme="minorHAnsi" w:cstheme="minorHAnsi"/>
          <w:i/>
          <w:szCs w:val="24"/>
        </w:rPr>
        <w:t>The financial regulator</w:t>
      </w:r>
      <w:r w:rsidR="00EC378C" w:rsidRPr="00D00293">
        <w:rPr>
          <w:rFonts w:asciiTheme="minorHAnsi" w:hAnsiTheme="minorHAnsi" w:cstheme="minorHAnsi"/>
          <w:i/>
          <w:szCs w:val="24"/>
        </w:rPr>
        <w:t xml:space="preserve"> (FCA) has commissioned research that shows that consumers both do not expect the financial firms they deal with to be straight forward (cynicism) and yet also are lured by attractive yet misleading promises made by such firms (optimism). </w:t>
      </w:r>
      <w:r w:rsidR="007374F6">
        <w:rPr>
          <w:rFonts w:asciiTheme="minorHAnsi" w:hAnsiTheme="minorHAnsi" w:cstheme="minorHAnsi"/>
          <w:i/>
          <w:szCs w:val="24"/>
        </w:rPr>
        <w:t>P</w:t>
      </w:r>
      <w:r w:rsidR="00EC378C" w:rsidRPr="00D00293">
        <w:rPr>
          <w:rFonts w:asciiTheme="minorHAnsi" w:hAnsiTheme="minorHAnsi" w:cstheme="minorHAnsi"/>
          <w:i/>
          <w:szCs w:val="24"/>
        </w:rPr>
        <w:t>eople who are unwilling to address financial planning decisions are nevertheless very willing to delegate these decisions to provider firms and are easily influenced by the behaviour of others they observe. Herding and stampeding behaviour can result</w:t>
      </w:r>
      <w:r w:rsidR="007B2F27" w:rsidRPr="00D00293">
        <w:rPr>
          <w:rFonts w:asciiTheme="minorHAnsi" w:hAnsiTheme="minorHAnsi" w:cstheme="minorHAnsi"/>
          <w:i/>
          <w:szCs w:val="24"/>
        </w:rPr>
        <w:t xml:space="preserve"> in both retail and wholesale markets</w:t>
      </w:r>
      <w:r w:rsidR="00EC378C" w:rsidRPr="00D00293">
        <w:rPr>
          <w:rFonts w:asciiTheme="minorHAnsi" w:hAnsiTheme="minorHAnsi" w:cstheme="minorHAnsi"/>
          <w:i/>
          <w:szCs w:val="24"/>
        </w:rPr>
        <w:t xml:space="preserve"> that overwhelm any prospects of rational, self-</w:t>
      </w:r>
      <w:r w:rsidR="007B2F27" w:rsidRPr="00D00293">
        <w:rPr>
          <w:rFonts w:asciiTheme="minorHAnsi" w:hAnsiTheme="minorHAnsi" w:cstheme="minorHAnsi"/>
          <w:i/>
          <w:szCs w:val="24"/>
        </w:rPr>
        <w:t>correcting mechanisms</w:t>
      </w:r>
      <w:r w:rsidR="00EC378C" w:rsidRPr="00D00293">
        <w:rPr>
          <w:rFonts w:asciiTheme="minorHAnsi" w:hAnsiTheme="minorHAnsi" w:cstheme="minorHAnsi"/>
          <w:i/>
          <w:szCs w:val="24"/>
        </w:rPr>
        <w:t>.</w:t>
      </w:r>
      <w:r w:rsidR="007B2F27">
        <w:rPr>
          <w:rStyle w:val="FootnoteReference"/>
          <w:rFonts w:asciiTheme="minorHAnsi" w:hAnsiTheme="minorHAnsi" w:cstheme="minorHAnsi"/>
          <w:i/>
          <w:szCs w:val="24"/>
        </w:rPr>
        <w:footnoteReference w:id="37"/>
      </w:r>
      <w:r w:rsidR="007B2F27" w:rsidRPr="00D00293">
        <w:rPr>
          <w:rFonts w:asciiTheme="minorHAnsi" w:hAnsiTheme="minorHAnsi" w:cstheme="minorHAnsi"/>
          <w:i/>
          <w:szCs w:val="24"/>
        </w:rPr>
        <w:t xml:space="preserve"> Furthermore, consumers appear reluctant to trust financial </w:t>
      </w:r>
      <w:r w:rsidR="00656208">
        <w:rPr>
          <w:rFonts w:asciiTheme="minorHAnsi" w:hAnsiTheme="minorHAnsi" w:cstheme="minorHAnsi"/>
          <w:i/>
          <w:szCs w:val="24"/>
        </w:rPr>
        <w:t xml:space="preserve">service </w:t>
      </w:r>
      <w:r w:rsidR="007B2F27" w:rsidRPr="00D00293">
        <w:rPr>
          <w:rFonts w:asciiTheme="minorHAnsi" w:hAnsiTheme="minorHAnsi" w:cstheme="minorHAnsi"/>
          <w:i/>
          <w:szCs w:val="24"/>
        </w:rPr>
        <w:t>providers, are held back by over</w:t>
      </w:r>
      <w:r w:rsidR="0015148A">
        <w:rPr>
          <w:rFonts w:asciiTheme="minorHAnsi" w:hAnsiTheme="minorHAnsi" w:cstheme="minorHAnsi"/>
          <w:i/>
          <w:szCs w:val="24"/>
        </w:rPr>
        <w:t>ly</w:t>
      </w:r>
      <w:r w:rsidR="007B2F27" w:rsidRPr="00D00293">
        <w:rPr>
          <w:rFonts w:asciiTheme="minorHAnsi" w:hAnsiTheme="minorHAnsi" w:cstheme="minorHAnsi"/>
          <w:i/>
          <w:szCs w:val="24"/>
        </w:rPr>
        <w:t xml:space="preserve"> complex product designs, and</w:t>
      </w:r>
      <w:r w:rsidR="0015148A">
        <w:rPr>
          <w:rFonts w:asciiTheme="minorHAnsi" w:hAnsiTheme="minorHAnsi" w:cstheme="minorHAnsi"/>
          <w:i/>
          <w:szCs w:val="24"/>
        </w:rPr>
        <w:t xml:space="preserve"> are</w:t>
      </w:r>
      <w:r w:rsidR="007B2F27" w:rsidRPr="00D00293">
        <w:rPr>
          <w:rFonts w:asciiTheme="minorHAnsi" w:hAnsiTheme="minorHAnsi" w:cstheme="minorHAnsi"/>
          <w:i/>
          <w:szCs w:val="24"/>
        </w:rPr>
        <w:t xml:space="preserve"> unable to navigate choice effectively. And, most worryingly, many consumers shun the very tools (comparative information, financial education) that were designed to assis</w:t>
      </w:r>
      <w:r w:rsidR="0022344A">
        <w:rPr>
          <w:rFonts w:asciiTheme="minorHAnsi" w:hAnsiTheme="minorHAnsi" w:cstheme="minorHAnsi"/>
          <w:i/>
          <w:szCs w:val="24"/>
        </w:rPr>
        <w:t>t them as S2-</w:t>
      </w:r>
      <w:r w:rsidR="007B2F27" w:rsidRPr="00D00293">
        <w:rPr>
          <w:rFonts w:asciiTheme="minorHAnsi" w:hAnsiTheme="minorHAnsi" w:cstheme="minorHAnsi"/>
          <w:i/>
          <w:szCs w:val="24"/>
        </w:rPr>
        <w:t>type decision-makers. People may not only need more help than they admit to, they may also need liberal paternalist interventions to prevent them making very poor, long-term decisions.</w:t>
      </w:r>
    </w:p>
    <w:p w14:paraId="0A3C4236" w14:textId="77777777" w:rsidR="002B267E" w:rsidRDefault="002B267E" w:rsidP="000B034F">
      <w:pPr>
        <w:ind w:firstLine="720"/>
        <w:jc w:val="both"/>
        <w:rPr>
          <w:rFonts w:cstheme="minorHAnsi"/>
          <w:b/>
          <w:i/>
          <w:color w:val="365F91" w:themeColor="accent1" w:themeShade="BF"/>
          <w:sz w:val="28"/>
          <w:szCs w:val="28"/>
        </w:rPr>
      </w:pPr>
    </w:p>
    <w:p w14:paraId="4825D9EB" w14:textId="07A37091" w:rsidR="0044602C" w:rsidRPr="00610818" w:rsidRDefault="00D42E14" w:rsidP="0022344A">
      <w:pPr>
        <w:ind w:left="426"/>
        <w:jc w:val="both"/>
        <w:rPr>
          <w:rFonts w:cstheme="minorHAnsi"/>
          <w:b/>
          <w:i/>
          <w:color w:val="365F91" w:themeColor="accent1" w:themeShade="BF"/>
          <w:sz w:val="28"/>
          <w:szCs w:val="28"/>
        </w:rPr>
      </w:pPr>
      <w:r w:rsidRPr="00610818">
        <w:rPr>
          <w:rFonts w:cstheme="minorHAnsi"/>
          <w:b/>
          <w:i/>
          <w:color w:val="365F91" w:themeColor="accent1" w:themeShade="BF"/>
          <w:sz w:val="28"/>
          <w:szCs w:val="28"/>
        </w:rPr>
        <w:t xml:space="preserve">(vii) Proportionality and sustainability are the biggest </w:t>
      </w:r>
      <w:r w:rsidR="0022344A">
        <w:rPr>
          <w:rFonts w:cstheme="minorHAnsi"/>
          <w:b/>
          <w:i/>
          <w:color w:val="365F91" w:themeColor="accent1" w:themeShade="BF"/>
          <w:sz w:val="28"/>
          <w:szCs w:val="28"/>
        </w:rPr>
        <w:t>design challenges</w:t>
      </w:r>
    </w:p>
    <w:p w14:paraId="66A9CA27" w14:textId="1F06A8F4" w:rsidR="00D00293" w:rsidRPr="00610818" w:rsidRDefault="000B034F" w:rsidP="00505BE0">
      <w:pPr>
        <w:pStyle w:val="ListParagraph"/>
        <w:numPr>
          <w:ilvl w:val="0"/>
          <w:numId w:val="6"/>
        </w:numPr>
        <w:jc w:val="both"/>
        <w:rPr>
          <w:rFonts w:asciiTheme="minorHAnsi" w:hAnsiTheme="minorHAnsi" w:cstheme="minorHAnsi"/>
          <w:szCs w:val="24"/>
        </w:rPr>
      </w:pPr>
      <w:r w:rsidRPr="00610818">
        <w:rPr>
          <w:rFonts w:asciiTheme="minorHAnsi" w:hAnsiTheme="minorHAnsi" w:cstheme="minorHAnsi"/>
          <w:szCs w:val="24"/>
        </w:rPr>
        <w:t>At the heart of identifying productive interventions is the requirement to introduce proportionately small interventions that deliver large positive outcomes. So, for instance, relatively small reordering of the style and content of communications can lead to significant benefits in improved organ donor registration, kept hospital appointments and healthier eating.</w:t>
      </w:r>
    </w:p>
    <w:p w14:paraId="05F2D91E" w14:textId="77777777" w:rsidR="00F272AD" w:rsidRPr="00610818" w:rsidRDefault="00F272AD" w:rsidP="00F272AD">
      <w:pPr>
        <w:pStyle w:val="ListParagraph"/>
        <w:jc w:val="both"/>
        <w:rPr>
          <w:rFonts w:asciiTheme="minorHAnsi" w:hAnsiTheme="minorHAnsi" w:cstheme="minorHAnsi"/>
          <w:szCs w:val="24"/>
        </w:rPr>
      </w:pPr>
    </w:p>
    <w:p w14:paraId="507FF949" w14:textId="60F04BEB" w:rsidR="00F272AD" w:rsidRPr="00610818" w:rsidRDefault="000B034F" w:rsidP="00505BE0">
      <w:pPr>
        <w:pStyle w:val="ListParagraph"/>
        <w:numPr>
          <w:ilvl w:val="0"/>
          <w:numId w:val="6"/>
        </w:numPr>
        <w:jc w:val="both"/>
        <w:rPr>
          <w:rFonts w:asciiTheme="minorHAnsi" w:hAnsiTheme="minorHAnsi" w:cstheme="minorHAnsi"/>
          <w:szCs w:val="24"/>
        </w:rPr>
      </w:pPr>
      <w:r w:rsidRPr="00610818">
        <w:rPr>
          <w:rFonts w:asciiTheme="minorHAnsi" w:hAnsiTheme="minorHAnsi" w:cstheme="minorHAnsi"/>
          <w:szCs w:val="24"/>
        </w:rPr>
        <w:t>The significance of behaviour change insights is that there is a constant prem</w:t>
      </w:r>
      <w:r w:rsidR="00F272AD" w:rsidRPr="00610818">
        <w:rPr>
          <w:rFonts w:asciiTheme="minorHAnsi" w:hAnsiTheme="minorHAnsi" w:cstheme="minorHAnsi"/>
          <w:szCs w:val="24"/>
        </w:rPr>
        <w:t>ium of isolating such interventions based on better ways of implementing existing programmes. The insights effectively have the role of efficiency and effectiveness metrics. In the case of HMRC’s Behaviour Change Team, the goals are to support increased revenue, lower costs and also improve customer experiences.</w:t>
      </w:r>
    </w:p>
    <w:p w14:paraId="7D9D644A" w14:textId="77777777" w:rsidR="00F272AD" w:rsidRPr="00610818" w:rsidRDefault="00F272AD" w:rsidP="00F272AD">
      <w:pPr>
        <w:pStyle w:val="ListParagraph"/>
        <w:jc w:val="both"/>
        <w:rPr>
          <w:rFonts w:asciiTheme="minorHAnsi" w:hAnsiTheme="minorHAnsi" w:cstheme="minorHAnsi"/>
          <w:szCs w:val="24"/>
        </w:rPr>
      </w:pPr>
    </w:p>
    <w:p w14:paraId="287A24D0" w14:textId="76F71625" w:rsidR="00F272AD" w:rsidRPr="00610818" w:rsidRDefault="00F272AD" w:rsidP="00505BE0">
      <w:pPr>
        <w:pStyle w:val="ListParagraph"/>
        <w:numPr>
          <w:ilvl w:val="0"/>
          <w:numId w:val="6"/>
        </w:numPr>
        <w:jc w:val="both"/>
        <w:rPr>
          <w:rFonts w:asciiTheme="minorHAnsi" w:hAnsiTheme="minorHAnsi" w:cstheme="minorHAnsi"/>
          <w:szCs w:val="24"/>
        </w:rPr>
      </w:pPr>
      <w:r w:rsidRPr="00610818">
        <w:rPr>
          <w:rFonts w:asciiTheme="minorHAnsi" w:hAnsiTheme="minorHAnsi" w:cstheme="minorHAnsi"/>
          <w:szCs w:val="24"/>
        </w:rPr>
        <w:t>The challenge is to take a dispassionate look at existing measures and to ascertain the degree to which these may be driving unwelcome behaviours based on the understanding of what it is that influences people’s behaviour. By being dispassionate, it is possible to locate even the smallest aspects of existing measures that can be improved and/or corrected. HMRC’s work has suggested that the efficacy of fines can be if such fines are framed as retributive (i.e. they punish behaviour that violates a shared moral norm or code) and also done publicly (i.e. the approval of peers is jeopardise</w:t>
      </w:r>
      <w:r w:rsidR="00211FBA">
        <w:rPr>
          <w:rFonts w:asciiTheme="minorHAnsi" w:hAnsiTheme="minorHAnsi" w:cstheme="minorHAnsi"/>
          <w:szCs w:val="24"/>
        </w:rPr>
        <w:t>d</w:t>
      </w:r>
      <w:r w:rsidRPr="00610818">
        <w:rPr>
          <w:rFonts w:asciiTheme="minorHAnsi" w:hAnsiTheme="minorHAnsi" w:cstheme="minorHAnsi"/>
          <w:szCs w:val="24"/>
        </w:rPr>
        <w:t xml:space="preserve"> through public knowledge of non-compliance).</w:t>
      </w:r>
    </w:p>
    <w:p w14:paraId="72913FF8" w14:textId="77777777" w:rsidR="00F272AD" w:rsidRPr="00610818" w:rsidRDefault="00F272AD" w:rsidP="00F272AD">
      <w:pPr>
        <w:pStyle w:val="ListParagraph"/>
        <w:rPr>
          <w:rFonts w:asciiTheme="minorHAnsi" w:hAnsiTheme="minorHAnsi" w:cstheme="minorHAnsi"/>
          <w:szCs w:val="24"/>
        </w:rPr>
      </w:pPr>
    </w:p>
    <w:p w14:paraId="35B5EA22" w14:textId="77777777" w:rsidR="00610818" w:rsidRPr="00610818" w:rsidRDefault="00F272AD" w:rsidP="00505BE0">
      <w:pPr>
        <w:pStyle w:val="ListParagraph"/>
        <w:numPr>
          <w:ilvl w:val="0"/>
          <w:numId w:val="6"/>
        </w:numPr>
        <w:jc w:val="both"/>
        <w:rPr>
          <w:rFonts w:asciiTheme="minorHAnsi" w:hAnsiTheme="minorHAnsi" w:cstheme="minorHAnsi"/>
          <w:szCs w:val="24"/>
        </w:rPr>
      </w:pPr>
      <w:r w:rsidRPr="00610818">
        <w:rPr>
          <w:rFonts w:asciiTheme="minorHAnsi" w:hAnsiTheme="minorHAnsi" w:cstheme="minorHAnsi"/>
          <w:szCs w:val="24"/>
        </w:rPr>
        <w:t xml:space="preserve">The key insight is that the bigger levers for change are mostly anchored in existing norms. By affecting change in these norms, we can gain access to </w:t>
      </w:r>
      <w:r w:rsidR="00610818" w:rsidRPr="00610818">
        <w:rPr>
          <w:rFonts w:asciiTheme="minorHAnsi" w:hAnsiTheme="minorHAnsi" w:cstheme="minorHAnsi"/>
          <w:szCs w:val="24"/>
        </w:rPr>
        <w:t>greater self-compliance with desirable behaviours. This means examining imaginative ways to stimulate and embed new norms, especially in target population sub-groups. Lawyers, for instance, may be particularly sensitive to seeing themselves as non-compliers which is tantamount to being rule-breakers.</w:t>
      </w:r>
    </w:p>
    <w:p w14:paraId="2A2D0CB3" w14:textId="77777777" w:rsidR="00610818" w:rsidRPr="00610818" w:rsidRDefault="00610818" w:rsidP="00610818">
      <w:pPr>
        <w:pStyle w:val="ListParagraph"/>
        <w:rPr>
          <w:rFonts w:asciiTheme="minorHAnsi" w:hAnsiTheme="minorHAnsi" w:cstheme="minorHAnsi"/>
          <w:i/>
          <w:szCs w:val="24"/>
          <w:u w:val="single"/>
        </w:rPr>
      </w:pPr>
    </w:p>
    <w:p w14:paraId="6F25D619" w14:textId="031C6DEB" w:rsidR="0044602C" w:rsidRPr="00610818" w:rsidRDefault="00610818" w:rsidP="00505BE0">
      <w:pPr>
        <w:pStyle w:val="ListParagraph"/>
        <w:numPr>
          <w:ilvl w:val="0"/>
          <w:numId w:val="6"/>
        </w:numPr>
        <w:jc w:val="both"/>
        <w:rPr>
          <w:rFonts w:asciiTheme="minorHAnsi" w:hAnsiTheme="minorHAnsi" w:cstheme="minorHAnsi"/>
          <w:szCs w:val="24"/>
        </w:rPr>
      </w:pPr>
      <w:r>
        <w:rPr>
          <w:rFonts w:asciiTheme="minorHAnsi" w:hAnsiTheme="minorHAnsi" w:cstheme="minorHAnsi"/>
          <w:szCs w:val="24"/>
        </w:rPr>
        <w:t>Furthermore, resetting people’s d</w:t>
      </w:r>
      <w:r w:rsidR="0044602C" w:rsidRPr="00610818">
        <w:rPr>
          <w:rFonts w:asciiTheme="minorHAnsi" w:hAnsiTheme="minorHAnsi" w:cstheme="minorHAnsi"/>
          <w:szCs w:val="24"/>
        </w:rPr>
        <w:t>efaults can d</w:t>
      </w:r>
      <w:r>
        <w:rPr>
          <w:rFonts w:asciiTheme="minorHAnsi" w:hAnsiTheme="minorHAnsi" w:cstheme="minorHAnsi"/>
          <w:szCs w:val="24"/>
        </w:rPr>
        <w:t xml:space="preserve">eliver considerable step change, and </w:t>
      </w:r>
      <w:r w:rsidR="00211FBA">
        <w:rPr>
          <w:rFonts w:asciiTheme="minorHAnsi" w:hAnsiTheme="minorHAnsi" w:cstheme="minorHAnsi"/>
          <w:szCs w:val="24"/>
        </w:rPr>
        <w:t>is a</w:t>
      </w:r>
      <w:r>
        <w:rPr>
          <w:rFonts w:asciiTheme="minorHAnsi" w:hAnsiTheme="minorHAnsi" w:cstheme="minorHAnsi"/>
          <w:szCs w:val="24"/>
        </w:rPr>
        <w:t xml:space="preserve"> valuable way of obtaining significant behaviour change. To do so may require taking a decision away from pe</w:t>
      </w:r>
      <w:r w:rsidR="002B267E">
        <w:rPr>
          <w:rFonts w:asciiTheme="minorHAnsi" w:hAnsiTheme="minorHAnsi" w:cstheme="minorHAnsi"/>
          <w:szCs w:val="24"/>
        </w:rPr>
        <w:t>ople, indirectly eroding</w:t>
      </w:r>
      <w:r>
        <w:rPr>
          <w:rFonts w:asciiTheme="minorHAnsi" w:hAnsiTheme="minorHAnsi" w:cstheme="minorHAnsi"/>
          <w:szCs w:val="24"/>
        </w:rPr>
        <w:t xml:space="preserve"> their sense of responsibility.</w:t>
      </w:r>
    </w:p>
    <w:p w14:paraId="19937319" w14:textId="77777777" w:rsidR="0044602C" w:rsidRPr="0044602C" w:rsidRDefault="0044602C" w:rsidP="00B127A5">
      <w:pPr>
        <w:pStyle w:val="ListParagraph"/>
        <w:jc w:val="both"/>
        <w:rPr>
          <w:rFonts w:asciiTheme="minorHAnsi" w:hAnsiTheme="minorHAnsi" w:cstheme="minorHAnsi"/>
          <w:b/>
          <w:szCs w:val="24"/>
        </w:rPr>
      </w:pPr>
    </w:p>
    <w:p w14:paraId="2772C265" w14:textId="77777777" w:rsidR="0093073D" w:rsidRPr="002B267E" w:rsidRDefault="00D42E14" w:rsidP="00610818">
      <w:pPr>
        <w:pStyle w:val="ListParagraph"/>
        <w:ind w:left="1440"/>
        <w:jc w:val="both"/>
        <w:rPr>
          <w:rFonts w:asciiTheme="minorHAnsi" w:hAnsiTheme="minorHAnsi" w:cstheme="minorHAnsi"/>
          <w:i/>
          <w:szCs w:val="24"/>
        </w:rPr>
      </w:pPr>
      <w:r w:rsidRPr="002B267E">
        <w:rPr>
          <w:rFonts w:asciiTheme="minorHAnsi" w:hAnsiTheme="minorHAnsi" w:cstheme="minorHAnsi"/>
          <w:i/>
          <w:szCs w:val="24"/>
          <w:u w:val="single"/>
        </w:rPr>
        <w:t xml:space="preserve">Example: </w:t>
      </w:r>
      <w:r w:rsidR="008D28F7" w:rsidRPr="002B267E">
        <w:rPr>
          <w:rFonts w:asciiTheme="minorHAnsi" w:hAnsiTheme="minorHAnsi" w:cstheme="minorHAnsi"/>
          <w:i/>
          <w:szCs w:val="24"/>
          <w:u w:val="single"/>
        </w:rPr>
        <w:t>HMRC not treating self-employed</w:t>
      </w:r>
      <w:r w:rsidR="0044602C" w:rsidRPr="002B267E">
        <w:rPr>
          <w:rFonts w:asciiTheme="minorHAnsi" w:hAnsiTheme="minorHAnsi" w:cstheme="minorHAnsi"/>
          <w:i/>
          <w:szCs w:val="24"/>
          <w:u w:val="single"/>
        </w:rPr>
        <w:t xml:space="preserve"> workers as if they are </w:t>
      </w:r>
      <w:r w:rsidR="00610818" w:rsidRPr="002B267E">
        <w:rPr>
          <w:rFonts w:asciiTheme="minorHAnsi" w:hAnsiTheme="minorHAnsi" w:cstheme="minorHAnsi"/>
          <w:i/>
          <w:szCs w:val="24"/>
          <w:u w:val="single"/>
        </w:rPr>
        <w:t>employed</w:t>
      </w:r>
      <w:r w:rsidR="0093073D" w:rsidRPr="002B267E">
        <w:rPr>
          <w:rFonts w:asciiTheme="minorHAnsi" w:hAnsiTheme="minorHAnsi" w:cstheme="minorHAnsi"/>
          <w:i/>
          <w:szCs w:val="24"/>
        </w:rPr>
        <w:t>.</w:t>
      </w:r>
    </w:p>
    <w:p w14:paraId="0DD84B9E" w14:textId="2963214E" w:rsidR="00656208" w:rsidRDefault="00610818" w:rsidP="008479A1">
      <w:pPr>
        <w:pStyle w:val="ListParagraph"/>
        <w:ind w:left="1440"/>
        <w:jc w:val="both"/>
        <w:rPr>
          <w:rFonts w:asciiTheme="minorHAnsi" w:hAnsiTheme="minorHAnsi" w:cstheme="minorHAnsi"/>
          <w:i/>
          <w:szCs w:val="24"/>
        </w:rPr>
      </w:pPr>
      <w:r w:rsidRPr="002B267E">
        <w:rPr>
          <w:rFonts w:asciiTheme="minorHAnsi" w:hAnsiTheme="minorHAnsi" w:cstheme="minorHAnsi"/>
          <w:i/>
          <w:szCs w:val="24"/>
        </w:rPr>
        <w:t xml:space="preserve">The problem lies in an unrealistic expectation that self-employed workers will regularly put aside enough of their earnings to meet end of tax year demands. This is a long-standing expectation and norm and carries </w:t>
      </w:r>
      <w:r w:rsidR="00211FBA">
        <w:rPr>
          <w:rFonts w:asciiTheme="minorHAnsi" w:hAnsiTheme="minorHAnsi" w:cstheme="minorHAnsi"/>
          <w:i/>
          <w:szCs w:val="24"/>
        </w:rPr>
        <w:t>the risk</w:t>
      </w:r>
      <w:r w:rsidRPr="002B267E">
        <w:rPr>
          <w:rFonts w:asciiTheme="minorHAnsi" w:hAnsiTheme="minorHAnsi" w:cstheme="minorHAnsi"/>
          <w:i/>
          <w:szCs w:val="24"/>
        </w:rPr>
        <w:t xml:space="preserve"> that individuals will be unable, perhaps unwilling, to do so. A new default would </w:t>
      </w:r>
      <w:r w:rsidR="00211FBA">
        <w:rPr>
          <w:rFonts w:asciiTheme="minorHAnsi" w:hAnsiTheme="minorHAnsi" w:cstheme="minorHAnsi"/>
          <w:i/>
          <w:szCs w:val="24"/>
        </w:rPr>
        <w:t xml:space="preserve">be </w:t>
      </w:r>
      <w:r w:rsidRPr="002B267E">
        <w:rPr>
          <w:rFonts w:asciiTheme="minorHAnsi" w:hAnsiTheme="minorHAnsi" w:cstheme="minorHAnsi"/>
          <w:i/>
          <w:szCs w:val="24"/>
        </w:rPr>
        <w:t>to treat them as regularly paying taxpayers, placing a more realistic expectation on their cash planning, and thereby encourag</w:t>
      </w:r>
      <w:r w:rsidR="00211FBA">
        <w:rPr>
          <w:rFonts w:asciiTheme="minorHAnsi" w:hAnsiTheme="minorHAnsi" w:cstheme="minorHAnsi"/>
          <w:i/>
          <w:szCs w:val="24"/>
        </w:rPr>
        <w:t>ing</w:t>
      </w:r>
      <w:r w:rsidRPr="002B267E">
        <w:rPr>
          <w:rFonts w:asciiTheme="minorHAnsi" w:hAnsiTheme="minorHAnsi" w:cstheme="minorHAnsi"/>
          <w:i/>
          <w:szCs w:val="24"/>
        </w:rPr>
        <w:t xml:space="preserve"> a new norm around tax deductions being viewed as less salient than take-home pay.</w:t>
      </w:r>
    </w:p>
    <w:p w14:paraId="5B017291" w14:textId="77777777" w:rsidR="008479A1" w:rsidRPr="008479A1" w:rsidRDefault="008479A1" w:rsidP="008479A1">
      <w:pPr>
        <w:pStyle w:val="ListParagraph"/>
        <w:ind w:left="1440"/>
        <w:jc w:val="both"/>
        <w:rPr>
          <w:rFonts w:asciiTheme="minorHAnsi" w:hAnsiTheme="minorHAnsi" w:cstheme="minorHAnsi"/>
          <w:i/>
          <w:szCs w:val="24"/>
        </w:rPr>
      </w:pPr>
    </w:p>
    <w:p w14:paraId="2D5DD17B" w14:textId="77777777" w:rsidR="0093073D" w:rsidRDefault="0060321D" w:rsidP="0060321D">
      <w:pPr>
        <w:pStyle w:val="ListParagraph"/>
        <w:ind w:left="1440"/>
        <w:jc w:val="both"/>
        <w:rPr>
          <w:rFonts w:asciiTheme="minorHAnsi" w:hAnsiTheme="minorHAnsi" w:cstheme="minorHAnsi"/>
          <w:i/>
          <w:szCs w:val="24"/>
        </w:rPr>
      </w:pPr>
      <w:r w:rsidRPr="008D28F7">
        <w:rPr>
          <w:rFonts w:asciiTheme="minorHAnsi" w:hAnsiTheme="minorHAnsi" w:cstheme="minorHAnsi"/>
          <w:i/>
          <w:szCs w:val="24"/>
          <w:u w:val="single"/>
        </w:rPr>
        <w:t>Example: P</w:t>
      </w:r>
      <w:r w:rsidR="0044602C" w:rsidRPr="008D28F7">
        <w:rPr>
          <w:rFonts w:asciiTheme="minorHAnsi" w:hAnsiTheme="minorHAnsi" w:cstheme="minorHAnsi"/>
          <w:i/>
          <w:szCs w:val="24"/>
          <w:u w:val="single"/>
        </w:rPr>
        <w:t>en</w:t>
      </w:r>
      <w:r w:rsidR="008D28F7">
        <w:rPr>
          <w:rFonts w:asciiTheme="minorHAnsi" w:hAnsiTheme="minorHAnsi" w:cstheme="minorHAnsi"/>
          <w:i/>
          <w:szCs w:val="24"/>
          <w:u w:val="single"/>
        </w:rPr>
        <w:t>sions auto-</w:t>
      </w:r>
      <w:r w:rsidRPr="008D28F7">
        <w:rPr>
          <w:rFonts w:asciiTheme="minorHAnsi" w:hAnsiTheme="minorHAnsi" w:cstheme="minorHAnsi"/>
          <w:i/>
          <w:szCs w:val="24"/>
          <w:u w:val="single"/>
        </w:rPr>
        <w:t>enrolment</w:t>
      </w:r>
      <w:r w:rsidRPr="0060321D">
        <w:rPr>
          <w:rFonts w:asciiTheme="minorHAnsi" w:hAnsiTheme="minorHAnsi" w:cstheme="minorHAnsi"/>
          <w:i/>
          <w:szCs w:val="24"/>
        </w:rPr>
        <w:t xml:space="preserve">. </w:t>
      </w:r>
    </w:p>
    <w:p w14:paraId="7C9FDC50" w14:textId="3B34B224" w:rsidR="0044602C" w:rsidRDefault="0060321D" w:rsidP="007374F6">
      <w:pPr>
        <w:pStyle w:val="ListParagraph"/>
        <w:ind w:left="1440"/>
        <w:jc w:val="both"/>
        <w:rPr>
          <w:rFonts w:asciiTheme="minorHAnsi" w:hAnsiTheme="minorHAnsi" w:cstheme="minorHAnsi"/>
          <w:i/>
          <w:szCs w:val="24"/>
        </w:rPr>
      </w:pPr>
      <w:r w:rsidRPr="0060321D">
        <w:rPr>
          <w:rFonts w:asciiTheme="minorHAnsi" w:hAnsiTheme="minorHAnsi" w:cstheme="minorHAnsi"/>
          <w:i/>
          <w:szCs w:val="24"/>
        </w:rPr>
        <w:t xml:space="preserve">This biggest, single resetting of a default has been in the recent switch to auto-enrolment, building on experience in Australia and elsewhere. This new default overrides the real possibility that workers fail to engage with their workplace pension arrangements and for behavioural reasons delink themselves from their personal very long term financial horizon. </w:t>
      </w:r>
    </w:p>
    <w:p w14:paraId="6FA2D702" w14:textId="77777777" w:rsidR="007374F6" w:rsidRPr="007374F6" w:rsidRDefault="007374F6" w:rsidP="007374F6">
      <w:pPr>
        <w:pStyle w:val="ListParagraph"/>
        <w:ind w:left="1440"/>
        <w:jc w:val="both"/>
        <w:rPr>
          <w:rFonts w:asciiTheme="minorHAnsi" w:hAnsiTheme="minorHAnsi" w:cstheme="minorHAnsi"/>
          <w:i/>
          <w:szCs w:val="24"/>
        </w:rPr>
      </w:pPr>
    </w:p>
    <w:p w14:paraId="28CAEF5A" w14:textId="13CA14FF" w:rsidR="0060321D" w:rsidRDefault="0060321D" w:rsidP="00505BE0">
      <w:pPr>
        <w:pStyle w:val="ListParagraph"/>
        <w:numPr>
          <w:ilvl w:val="0"/>
          <w:numId w:val="6"/>
        </w:numPr>
        <w:jc w:val="both"/>
        <w:rPr>
          <w:rFonts w:asciiTheme="minorHAnsi" w:hAnsiTheme="minorHAnsi" w:cstheme="minorHAnsi"/>
          <w:szCs w:val="24"/>
        </w:rPr>
      </w:pPr>
      <w:r>
        <w:rPr>
          <w:rFonts w:asciiTheme="minorHAnsi" w:hAnsiTheme="minorHAnsi" w:cstheme="minorHAnsi"/>
          <w:szCs w:val="24"/>
        </w:rPr>
        <w:t xml:space="preserve">Finally, introducing shrewd behavioural interventions can be undermined unless sufficient attention is paid to ensuring that actual behaviour change </w:t>
      </w:r>
      <w:r w:rsidR="0022344A">
        <w:rPr>
          <w:rFonts w:asciiTheme="minorHAnsi" w:hAnsiTheme="minorHAnsi" w:cstheme="minorHAnsi"/>
          <w:szCs w:val="24"/>
        </w:rPr>
        <w:t xml:space="preserve">then </w:t>
      </w:r>
      <w:r>
        <w:rPr>
          <w:rFonts w:asciiTheme="minorHAnsi" w:hAnsiTheme="minorHAnsi" w:cstheme="minorHAnsi"/>
          <w:szCs w:val="24"/>
        </w:rPr>
        <w:t>last</w:t>
      </w:r>
      <w:r w:rsidR="0022344A">
        <w:rPr>
          <w:rFonts w:asciiTheme="minorHAnsi" w:hAnsiTheme="minorHAnsi" w:cstheme="minorHAnsi"/>
          <w:szCs w:val="24"/>
        </w:rPr>
        <w:t>s</w:t>
      </w:r>
      <w:r>
        <w:rPr>
          <w:rFonts w:asciiTheme="minorHAnsi" w:hAnsiTheme="minorHAnsi" w:cstheme="minorHAnsi"/>
          <w:szCs w:val="24"/>
        </w:rPr>
        <w:t xml:space="preserve">. It can be all too easy to change behaviour by adopting a new diet in each </w:t>
      </w:r>
      <w:r w:rsidR="00277439">
        <w:rPr>
          <w:rFonts w:asciiTheme="minorHAnsi" w:hAnsiTheme="minorHAnsi" w:cstheme="minorHAnsi"/>
          <w:szCs w:val="24"/>
        </w:rPr>
        <w:t>New Year’s</w:t>
      </w:r>
      <w:r>
        <w:rPr>
          <w:rFonts w:asciiTheme="minorHAnsi" w:hAnsiTheme="minorHAnsi" w:cstheme="minorHAnsi"/>
          <w:szCs w:val="24"/>
        </w:rPr>
        <w:t xml:space="preserve"> resolution, only to find that old habits reappear by the spring</w:t>
      </w:r>
      <w:r w:rsidR="00A92558">
        <w:rPr>
          <w:rFonts w:asciiTheme="minorHAnsi" w:hAnsiTheme="minorHAnsi" w:cstheme="minorHAnsi"/>
          <w:szCs w:val="24"/>
        </w:rPr>
        <w:t>, if not sooner</w:t>
      </w:r>
      <w:r>
        <w:rPr>
          <w:rFonts w:asciiTheme="minorHAnsi" w:hAnsiTheme="minorHAnsi" w:cstheme="minorHAnsi"/>
          <w:szCs w:val="24"/>
        </w:rPr>
        <w:t>.</w:t>
      </w:r>
    </w:p>
    <w:p w14:paraId="2E371C6C" w14:textId="77777777" w:rsidR="0060321D" w:rsidRDefault="0060321D" w:rsidP="0060321D">
      <w:pPr>
        <w:pStyle w:val="ListParagraph"/>
        <w:jc w:val="both"/>
        <w:rPr>
          <w:rFonts w:asciiTheme="minorHAnsi" w:hAnsiTheme="minorHAnsi" w:cstheme="minorHAnsi"/>
          <w:szCs w:val="24"/>
        </w:rPr>
      </w:pPr>
    </w:p>
    <w:p w14:paraId="1BD3D9AF" w14:textId="7E8E16E0" w:rsidR="0044602C" w:rsidRPr="0060321D" w:rsidRDefault="0060321D" w:rsidP="00505BE0">
      <w:pPr>
        <w:pStyle w:val="ListParagraph"/>
        <w:numPr>
          <w:ilvl w:val="0"/>
          <w:numId w:val="6"/>
        </w:numPr>
        <w:jc w:val="both"/>
        <w:rPr>
          <w:rFonts w:asciiTheme="minorHAnsi" w:hAnsiTheme="minorHAnsi" w:cstheme="minorHAnsi"/>
          <w:szCs w:val="24"/>
        </w:rPr>
      </w:pPr>
      <w:r>
        <w:rPr>
          <w:rFonts w:asciiTheme="minorHAnsi" w:hAnsiTheme="minorHAnsi" w:cstheme="minorHAnsi"/>
          <w:szCs w:val="24"/>
        </w:rPr>
        <w:t>In other words, the most successful behaviour change last</w:t>
      </w:r>
      <w:r w:rsidR="00A92558">
        <w:rPr>
          <w:rFonts w:asciiTheme="minorHAnsi" w:hAnsiTheme="minorHAnsi" w:cstheme="minorHAnsi"/>
          <w:szCs w:val="24"/>
        </w:rPr>
        <w:t>s</w:t>
      </w:r>
      <w:r>
        <w:rPr>
          <w:rFonts w:asciiTheme="minorHAnsi" w:hAnsiTheme="minorHAnsi" w:cstheme="minorHAnsi"/>
          <w:szCs w:val="24"/>
        </w:rPr>
        <w:t xml:space="preserve"> becaus</w:t>
      </w:r>
      <w:r w:rsidR="00A92558">
        <w:rPr>
          <w:rFonts w:asciiTheme="minorHAnsi" w:hAnsiTheme="minorHAnsi" w:cstheme="minorHAnsi"/>
          <w:szCs w:val="24"/>
        </w:rPr>
        <w:t xml:space="preserve">e it initially drives important </w:t>
      </w:r>
      <w:r>
        <w:rPr>
          <w:rFonts w:asciiTheme="minorHAnsi" w:hAnsiTheme="minorHAnsi" w:cstheme="minorHAnsi"/>
          <w:szCs w:val="24"/>
        </w:rPr>
        <w:t>change and then swiftly begins nourishing new and better habits. The result can be a virtuous circle, underpinned by a widely and deeply held belief that change has come from within and has not been imposed from outside. Organic, habitual behaviour change can then also drive improvements in several unrelated areas</w:t>
      </w:r>
      <w:r w:rsidR="0052438B">
        <w:rPr>
          <w:rFonts w:asciiTheme="minorHAnsi" w:hAnsiTheme="minorHAnsi" w:cstheme="minorHAnsi"/>
          <w:szCs w:val="24"/>
        </w:rPr>
        <w:t xml:space="preserve">: those who manage to build better eating habits are also likely to want to adopt other lifestyle changes such as taking more exercise. </w:t>
      </w:r>
      <w:r w:rsidR="00C37AF3">
        <w:rPr>
          <w:rFonts w:asciiTheme="minorHAnsi" w:hAnsiTheme="minorHAnsi" w:cstheme="minorHAnsi"/>
          <w:szCs w:val="24"/>
        </w:rPr>
        <w:t>T</w:t>
      </w:r>
      <w:r w:rsidR="0052438B">
        <w:rPr>
          <w:rFonts w:asciiTheme="minorHAnsi" w:hAnsiTheme="minorHAnsi" w:cstheme="minorHAnsi"/>
          <w:szCs w:val="24"/>
        </w:rPr>
        <w:t xml:space="preserve">his </w:t>
      </w:r>
      <w:r w:rsidR="00C37AF3">
        <w:rPr>
          <w:rFonts w:asciiTheme="minorHAnsi" w:hAnsiTheme="minorHAnsi" w:cstheme="minorHAnsi"/>
          <w:szCs w:val="24"/>
        </w:rPr>
        <w:t>can be described</w:t>
      </w:r>
      <w:r w:rsidR="0052438B">
        <w:rPr>
          <w:rFonts w:asciiTheme="minorHAnsi" w:hAnsiTheme="minorHAnsi" w:cstheme="minorHAnsi"/>
          <w:szCs w:val="24"/>
        </w:rPr>
        <w:t xml:space="preserve"> as</w:t>
      </w:r>
      <w:r>
        <w:rPr>
          <w:rFonts w:asciiTheme="minorHAnsi" w:hAnsiTheme="minorHAnsi" w:cstheme="minorHAnsi"/>
          <w:szCs w:val="24"/>
        </w:rPr>
        <w:t xml:space="preserve"> </w:t>
      </w:r>
      <w:r w:rsidR="0052438B">
        <w:rPr>
          <w:rFonts w:asciiTheme="minorHAnsi" w:hAnsiTheme="minorHAnsi" w:cstheme="minorHAnsi"/>
          <w:szCs w:val="24"/>
        </w:rPr>
        <w:t>“hitting the sweet spot”: one small or modest intervention is able to trigger big changes in behaviour that then cascade and multiply.</w:t>
      </w:r>
    </w:p>
    <w:p w14:paraId="2952C25A" w14:textId="77777777" w:rsidR="0044602C" w:rsidRPr="0044602C" w:rsidRDefault="0044602C" w:rsidP="00B127A5">
      <w:pPr>
        <w:pStyle w:val="ListParagraph"/>
        <w:jc w:val="both"/>
        <w:rPr>
          <w:rFonts w:asciiTheme="minorHAnsi" w:hAnsiTheme="minorHAnsi" w:cstheme="minorHAnsi"/>
          <w:b/>
          <w:szCs w:val="24"/>
        </w:rPr>
      </w:pPr>
    </w:p>
    <w:p w14:paraId="66F6BDE0" w14:textId="0885BE40" w:rsidR="0044602C" w:rsidRPr="008D28F7" w:rsidRDefault="00D42E14" w:rsidP="0093073D">
      <w:pPr>
        <w:ind w:left="1440"/>
        <w:jc w:val="both"/>
        <w:rPr>
          <w:rFonts w:cstheme="minorHAnsi"/>
          <w:i/>
          <w:sz w:val="24"/>
          <w:szCs w:val="24"/>
        </w:rPr>
      </w:pPr>
      <w:r w:rsidRPr="002B267E">
        <w:rPr>
          <w:rFonts w:cstheme="minorHAnsi"/>
          <w:i/>
          <w:sz w:val="24"/>
          <w:szCs w:val="24"/>
          <w:u w:val="single"/>
        </w:rPr>
        <w:t xml:space="preserve">Example: </w:t>
      </w:r>
      <w:r w:rsidR="0052438B" w:rsidRPr="002B267E">
        <w:rPr>
          <w:rFonts w:cstheme="minorHAnsi"/>
          <w:i/>
          <w:sz w:val="24"/>
          <w:szCs w:val="24"/>
          <w:u w:val="single"/>
        </w:rPr>
        <w:t xml:space="preserve">The </w:t>
      </w:r>
      <w:r w:rsidR="0044602C" w:rsidRPr="002B267E">
        <w:rPr>
          <w:rFonts w:cstheme="minorHAnsi"/>
          <w:i/>
          <w:sz w:val="24"/>
          <w:szCs w:val="24"/>
          <w:u w:val="single"/>
        </w:rPr>
        <w:t>“</w:t>
      </w:r>
      <w:proofErr w:type="spellStart"/>
      <w:r w:rsidR="0044602C" w:rsidRPr="002B267E">
        <w:rPr>
          <w:rFonts w:cstheme="minorHAnsi"/>
          <w:i/>
          <w:sz w:val="24"/>
          <w:szCs w:val="24"/>
          <w:u w:val="single"/>
        </w:rPr>
        <w:t>Stoptober</w:t>
      </w:r>
      <w:proofErr w:type="spellEnd"/>
      <w:r w:rsidR="0044602C" w:rsidRPr="002B267E">
        <w:rPr>
          <w:rFonts w:cstheme="minorHAnsi"/>
          <w:i/>
          <w:sz w:val="24"/>
          <w:szCs w:val="24"/>
          <w:u w:val="single"/>
        </w:rPr>
        <w:t>”</w:t>
      </w:r>
      <w:r w:rsidR="0052438B" w:rsidRPr="002B267E">
        <w:rPr>
          <w:rFonts w:cstheme="minorHAnsi"/>
          <w:i/>
          <w:sz w:val="24"/>
          <w:szCs w:val="24"/>
          <w:u w:val="single"/>
        </w:rPr>
        <w:t xml:space="preserve"> anti-smoking campaign</w:t>
      </w:r>
      <w:r w:rsidR="0052438B" w:rsidRPr="002B267E">
        <w:rPr>
          <w:rFonts w:cstheme="minorHAnsi"/>
          <w:i/>
          <w:sz w:val="24"/>
          <w:szCs w:val="24"/>
        </w:rPr>
        <w:t xml:space="preserve">. </w:t>
      </w:r>
      <w:r w:rsidR="0093073D" w:rsidRPr="002B267E">
        <w:rPr>
          <w:rFonts w:cstheme="minorHAnsi"/>
          <w:i/>
          <w:sz w:val="24"/>
          <w:szCs w:val="24"/>
        </w:rPr>
        <w:tab/>
      </w:r>
      <w:r w:rsidR="0093073D" w:rsidRPr="002B267E">
        <w:rPr>
          <w:rFonts w:cstheme="minorHAnsi"/>
          <w:i/>
          <w:sz w:val="24"/>
          <w:szCs w:val="24"/>
        </w:rPr>
        <w:tab/>
      </w:r>
      <w:r w:rsidR="0093073D" w:rsidRPr="002B267E">
        <w:rPr>
          <w:rFonts w:cstheme="minorHAnsi"/>
          <w:i/>
          <w:sz w:val="24"/>
          <w:szCs w:val="24"/>
        </w:rPr>
        <w:tab/>
      </w:r>
      <w:r w:rsidR="0093073D" w:rsidRPr="002B267E">
        <w:rPr>
          <w:rFonts w:cstheme="minorHAnsi"/>
          <w:i/>
          <w:sz w:val="24"/>
          <w:szCs w:val="24"/>
        </w:rPr>
        <w:tab/>
        <w:t xml:space="preserve"> </w:t>
      </w:r>
      <w:r w:rsidR="0052438B" w:rsidRPr="002B267E">
        <w:rPr>
          <w:rFonts w:cstheme="minorHAnsi"/>
          <w:i/>
          <w:sz w:val="24"/>
          <w:szCs w:val="24"/>
        </w:rPr>
        <w:t xml:space="preserve">The main insights that enabled this successful programme have been twofold. First, participants are lured by a stop smoking campaign that is far removed from the traditional timetable of </w:t>
      </w:r>
      <w:r w:rsidR="00277439" w:rsidRPr="002B267E">
        <w:rPr>
          <w:rFonts w:cstheme="minorHAnsi"/>
          <w:i/>
          <w:sz w:val="24"/>
          <w:szCs w:val="24"/>
        </w:rPr>
        <w:t>New Year</w:t>
      </w:r>
      <w:r w:rsidR="0052438B" w:rsidRPr="002B267E">
        <w:rPr>
          <w:rFonts w:cstheme="minorHAnsi"/>
          <w:i/>
          <w:sz w:val="24"/>
          <w:szCs w:val="24"/>
        </w:rPr>
        <w:t xml:space="preserve"> resolutions to quit. Second, participants are attracted by innovative ways of breaking down what is seen as a big challenge into a series of small chunks that are worthwhile goals and milestones. By achieving some behaviour change, recruits are better placed to reach for and attain the next peak.</w:t>
      </w:r>
      <w:r w:rsidR="0044602C" w:rsidRPr="002B267E">
        <w:rPr>
          <w:rStyle w:val="FootnoteReference"/>
          <w:rFonts w:cstheme="minorHAnsi"/>
          <w:i/>
          <w:sz w:val="24"/>
          <w:szCs w:val="24"/>
        </w:rPr>
        <w:footnoteReference w:id="38"/>
      </w:r>
    </w:p>
    <w:p w14:paraId="4E8065C4" w14:textId="77777777" w:rsidR="0093073D" w:rsidRDefault="00D42E14" w:rsidP="0052438B">
      <w:pPr>
        <w:pStyle w:val="ListParagraph"/>
        <w:ind w:left="1440"/>
        <w:jc w:val="both"/>
        <w:rPr>
          <w:rFonts w:asciiTheme="minorHAnsi" w:hAnsiTheme="minorHAnsi" w:cstheme="minorHAnsi"/>
          <w:i/>
          <w:szCs w:val="24"/>
        </w:rPr>
      </w:pPr>
      <w:r w:rsidRPr="008D28F7">
        <w:rPr>
          <w:rFonts w:asciiTheme="minorHAnsi" w:hAnsiTheme="minorHAnsi" w:cstheme="minorHAnsi"/>
          <w:i/>
          <w:szCs w:val="24"/>
          <w:u w:val="single"/>
        </w:rPr>
        <w:t xml:space="preserve">Example: </w:t>
      </w:r>
      <w:r w:rsidR="0044602C" w:rsidRPr="008D28F7">
        <w:rPr>
          <w:rFonts w:asciiTheme="minorHAnsi" w:hAnsiTheme="minorHAnsi" w:cstheme="minorHAnsi"/>
          <w:i/>
          <w:szCs w:val="24"/>
          <w:u w:val="single"/>
        </w:rPr>
        <w:t>Hitching change on things and events that are convenient</w:t>
      </w:r>
      <w:r w:rsidR="008D28F7">
        <w:rPr>
          <w:rFonts w:asciiTheme="minorHAnsi" w:hAnsiTheme="minorHAnsi" w:cstheme="minorHAnsi"/>
          <w:i/>
          <w:szCs w:val="24"/>
          <w:u w:val="single"/>
        </w:rPr>
        <w:t>, timely and salient</w:t>
      </w:r>
      <w:r w:rsidR="008D28F7">
        <w:rPr>
          <w:rFonts w:asciiTheme="minorHAnsi" w:hAnsiTheme="minorHAnsi" w:cstheme="minorHAnsi"/>
          <w:i/>
          <w:szCs w:val="24"/>
        </w:rPr>
        <w:t xml:space="preserve">. </w:t>
      </w:r>
    </w:p>
    <w:p w14:paraId="4504CBAC" w14:textId="61951E95" w:rsidR="002B267E" w:rsidRPr="008479A1" w:rsidRDefault="008D28F7" w:rsidP="008479A1">
      <w:pPr>
        <w:pStyle w:val="ListParagraph"/>
        <w:ind w:left="1440"/>
        <w:jc w:val="both"/>
        <w:rPr>
          <w:rFonts w:asciiTheme="minorHAnsi" w:hAnsiTheme="minorHAnsi" w:cstheme="minorHAnsi"/>
          <w:i/>
          <w:szCs w:val="24"/>
        </w:rPr>
      </w:pPr>
      <w:r>
        <w:rPr>
          <w:rFonts w:asciiTheme="minorHAnsi" w:hAnsiTheme="minorHAnsi" w:cstheme="minorHAnsi"/>
          <w:i/>
          <w:szCs w:val="24"/>
        </w:rPr>
        <w:t>One simple insight</w:t>
      </w:r>
      <w:r w:rsidR="0052438B" w:rsidRPr="008D28F7">
        <w:rPr>
          <w:rFonts w:asciiTheme="minorHAnsi" w:hAnsiTheme="minorHAnsi" w:cstheme="minorHAnsi"/>
          <w:i/>
          <w:szCs w:val="24"/>
        </w:rPr>
        <w:t xml:space="preserve"> is to build on what already exists. It can be very hard to gain access to non-English speaking women who stand to benefit from English language classes. However, the likelihood of doing so is greatly improved by positioning such services via local GP surgeries, </w:t>
      </w:r>
      <w:r w:rsidR="0044602C" w:rsidRPr="008D28F7">
        <w:rPr>
          <w:rFonts w:asciiTheme="minorHAnsi" w:hAnsiTheme="minorHAnsi" w:cstheme="minorHAnsi"/>
          <w:i/>
          <w:szCs w:val="24"/>
        </w:rPr>
        <w:t>health clinic</w:t>
      </w:r>
      <w:r w:rsidR="0052438B" w:rsidRPr="008D28F7">
        <w:rPr>
          <w:rFonts w:asciiTheme="minorHAnsi" w:hAnsiTheme="minorHAnsi" w:cstheme="minorHAnsi"/>
          <w:i/>
          <w:szCs w:val="24"/>
        </w:rPr>
        <w:t>s</w:t>
      </w:r>
      <w:r w:rsidR="0044602C" w:rsidRPr="008D28F7">
        <w:rPr>
          <w:rFonts w:asciiTheme="minorHAnsi" w:hAnsiTheme="minorHAnsi" w:cstheme="minorHAnsi"/>
          <w:i/>
          <w:szCs w:val="24"/>
        </w:rPr>
        <w:t xml:space="preserve"> or </w:t>
      </w:r>
      <w:r w:rsidR="0052438B" w:rsidRPr="008D28F7">
        <w:rPr>
          <w:rFonts w:asciiTheme="minorHAnsi" w:hAnsiTheme="minorHAnsi" w:cstheme="minorHAnsi"/>
          <w:i/>
          <w:szCs w:val="24"/>
        </w:rPr>
        <w:t>even via schools where</w:t>
      </w:r>
      <w:r w:rsidRPr="008D28F7">
        <w:rPr>
          <w:rFonts w:asciiTheme="minorHAnsi" w:hAnsiTheme="minorHAnsi" w:cstheme="minorHAnsi"/>
          <w:i/>
          <w:szCs w:val="24"/>
        </w:rPr>
        <w:t xml:space="preserve"> and when target women may be dropping and collecting their children. In addition, such services can be made more attractive if they are linked to parents’ ability to gain feedback on their children’s academic progress.</w:t>
      </w:r>
    </w:p>
    <w:p w14:paraId="6352DE4B" w14:textId="784079BE" w:rsidR="0044602C" w:rsidRPr="00D42E14" w:rsidRDefault="00D42E14" w:rsidP="00D42E14">
      <w:pPr>
        <w:ind w:left="720"/>
        <w:jc w:val="both"/>
        <w:rPr>
          <w:rFonts w:cstheme="minorHAnsi"/>
          <w:b/>
          <w:i/>
          <w:color w:val="365F91" w:themeColor="accent1" w:themeShade="BF"/>
          <w:sz w:val="28"/>
          <w:szCs w:val="28"/>
        </w:rPr>
      </w:pPr>
      <w:r w:rsidRPr="00D42E14">
        <w:rPr>
          <w:rFonts w:cstheme="minorHAnsi"/>
          <w:b/>
          <w:i/>
          <w:color w:val="365F91" w:themeColor="accent1" w:themeShade="BF"/>
          <w:sz w:val="28"/>
          <w:szCs w:val="28"/>
        </w:rPr>
        <w:t xml:space="preserve">(viii) </w:t>
      </w:r>
      <w:r w:rsidR="002B267E">
        <w:rPr>
          <w:rFonts w:cstheme="minorHAnsi"/>
          <w:b/>
          <w:i/>
          <w:color w:val="365F91" w:themeColor="accent1" w:themeShade="BF"/>
          <w:sz w:val="28"/>
          <w:szCs w:val="28"/>
        </w:rPr>
        <w:t xml:space="preserve">Use the behaviour change </w:t>
      </w:r>
      <w:r w:rsidR="0044602C" w:rsidRPr="00D42E14">
        <w:rPr>
          <w:rFonts w:cstheme="minorHAnsi"/>
          <w:b/>
          <w:i/>
          <w:color w:val="365F91" w:themeColor="accent1" w:themeShade="BF"/>
          <w:sz w:val="28"/>
          <w:szCs w:val="28"/>
        </w:rPr>
        <w:t>intervention expediently to m</w:t>
      </w:r>
      <w:r w:rsidRPr="00D42E14">
        <w:rPr>
          <w:rFonts w:cstheme="minorHAnsi"/>
          <w:b/>
          <w:i/>
          <w:color w:val="365F91" w:themeColor="accent1" w:themeShade="BF"/>
          <w:sz w:val="28"/>
          <w:szCs w:val="28"/>
        </w:rPr>
        <w:t>ake a p</w:t>
      </w:r>
      <w:r w:rsidR="007374F6">
        <w:rPr>
          <w:rFonts w:cstheme="minorHAnsi"/>
          <w:b/>
          <w:i/>
          <w:color w:val="365F91" w:themeColor="accent1" w:themeShade="BF"/>
          <w:sz w:val="28"/>
          <w:szCs w:val="28"/>
        </w:rPr>
        <w:t>oint, i.e. to re-engineer larger</w:t>
      </w:r>
      <w:r w:rsidRPr="00D42E14">
        <w:rPr>
          <w:rFonts w:cstheme="minorHAnsi"/>
          <w:b/>
          <w:i/>
          <w:color w:val="365F91" w:themeColor="accent1" w:themeShade="BF"/>
          <w:sz w:val="28"/>
          <w:szCs w:val="28"/>
        </w:rPr>
        <w:t xml:space="preserve"> </w:t>
      </w:r>
      <w:r w:rsidR="0044602C" w:rsidRPr="00D42E14">
        <w:rPr>
          <w:rFonts w:cstheme="minorHAnsi"/>
          <w:b/>
          <w:i/>
          <w:color w:val="365F91" w:themeColor="accent1" w:themeShade="BF"/>
          <w:sz w:val="28"/>
          <w:szCs w:val="28"/>
        </w:rPr>
        <w:t>system</w:t>
      </w:r>
      <w:r w:rsidR="008C44C7" w:rsidRPr="00D42E14">
        <w:rPr>
          <w:rFonts w:cstheme="minorHAnsi"/>
          <w:b/>
          <w:i/>
          <w:color w:val="365F91" w:themeColor="accent1" w:themeShade="BF"/>
          <w:sz w:val="28"/>
          <w:szCs w:val="28"/>
        </w:rPr>
        <w:t xml:space="preserve"> change</w:t>
      </w:r>
      <w:r w:rsidR="0044602C" w:rsidRPr="00D42E14">
        <w:rPr>
          <w:rFonts w:cstheme="minorHAnsi"/>
          <w:b/>
          <w:i/>
          <w:color w:val="365F91" w:themeColor="accent1" w:themeShade="BF"/>
          <w:sz w:val="28"/>
          <w:szCs w:val="28"/>
        </w:rPr>
        <w:t>.</w:t>
      </w:r>
    </w:p>
    <w:p w14:paraId="62C84F23" w14:textId="7B90E2FB" w:rsidR="00033C26" w:rsidRDefault="0044602C" w:rsidP="00505BE0">
      <w:pPr>
        <w:pStyle w:val="ListParagraph"/>
        <w:numPr>
          <w:ilvl w:val="0"/>
          <w:numId w:val="6"/>
        </w:numPr>
        <w:jc w:val="both"/>
        <w:rPr>
          <w:rFonts w:asciiTheme="minorHAnsi" w:hAnsiTheme="minorHAnsi" w:cstheme="minorHAnsi"/>
          <w:szCs w:val="24"/>
        </w:rPr>
      </w:pPr>
      <w:r w:rsidRPr="00033C26">
        <w:rPr>
          <w:rFonts w:asciiTheme="minorHAnsi" w:hAnsiTheme="minorHAnsi" w:cstheme="minorHAnsi"/>
          <w:szCs w:val="24"/>
        </w:rPr>
        <w:t xml:space="preserve">Put simply, if surprisingly small and intuitive adjustments to existing policy can deliver significant benefits, it begs the question how many more potential gains </w:t>
      </w:r>
      <w:r w:rsidR="00C37AF3">
        <w:rPr>
          <w:rFonts w:asciiTheme="minorHAnsi" w:hAnsiTheme="minorHAnsi" w:cstheme="minorHAnsi"/>
          <w:szCs w:val="24"/>
        </w:rPr>
        <w:t>there are</w:t>
      </w:r>
      <w:r w:rsidRPr="00033C26">
        <w:rPr>
          <w:rFonts w:asciiTheme="minorHAnsi" w:hAnsiTheme="minorHAnsi" w:cstheme="minorHAnsi"/>
          <w:szCs w:val="24"/>
        </w:rPr>
        <w:t xml:space="preserve">? In the case of redesigning the personal self-assessment tax return, the positive impacts are clearly attractive. However, other aspects of the self-assessment interaction between individuals and bureaucracies deserve closer scrutiny to help nudge improved behaviours. </w:t>
      </w:r>
    </w:p>
    <w:p w14:paraId="044DC7B5" w14:textId="77777777" w:rsidR="00033C26" w:rsidRDefault="00033C26" w:rsidP="00033C26">
      <w:pPr>
        <w:pStyle w:val="ListParagraph"/>
        <w:jc w:val="both"/>
        <w:rPr>
          <w:rFonts w:asciiTheme="minorHAnsi" w:hAnsiTheme="minorHAnsi" w:cstheme="minorHAnsi"/>
          <w:szCs w:val="24"/>
        </w:rPr>
      </w:pPr>
    </w:p>
    <w:p w14:paraId="5732CCFC" w14:textId="3990D525" w:rsidR="0044602C" w:rsidRPr="00033C26" w:rsidRDefault="0044602C" w:rsidP="00505BE0">
      <w:pPr>
        <w:pStyle w:val="ListParagraph"/>
        <w:numPr>
          <w:ilvl w:val="0"/>
          <w:numId w:val="6"/>
        </w:numPr>
        <w:jc w:val="both"/>
        <w:rPr>
          <w:rFonts w:asciiTheme="minorHAnsi" w:hAnsiTheme="minorHAnsi" w:cstheme="minorHAnsi"/>
          <w:szCs w:val="24"/>
        </w:rPr>
      </w:pPr>
      <w:r w:rsidRPr="00033C26">
        <w:rPr>
          <w:rFonts w:asciiTheme="minorHAnsi" w:hAnsiTheme="minorHAnsi" w:cstheme="minorHAnsi"/>
          <w:szCs w:val="24"/>
        </w:rPr>
        <w:t>The bigger prize can be in testing whether or how far the interaction itself is driving unattractive behaviour. If it is, the better intervention may be to redesign the whole system or process. The LCS example described previously captured the point that almost all written redress procedures were doomed to failure since many of the targeted individuals were functionally illiterate. So offering a verbal, in-person alternative was timely and shrewd. But it makes the case for a new telephone-based redress service that replaces the older correspondence-based service.</w:t>
      </w:r>
    </w:p>
    <w:p w14:paraId="52EEBC62" w14:textId="2C108743" w:rsidR="0044602C" w:rsidRPr="00B8414C" w:rsidRDefault="0044602C" w:rsidP="007518E4">
      <w:pPr>
        <w:ind w:left="1440"/>
        <w:jc w:val="both"/>
        <w:rPr>
          <w:rFonts w:cstheme="minorHAnsi"/>
          <w:i/>
          <w:sz w:val="24"/>
          <w:szCs w:val="24"/>
        </w:rPr>
      </w:pPr>
      <w:r w:rsidRPr="00033C26">
        <w:rPr>
          <w:rFonts w:cstheme="minorHAnsi"/>
          <w:i/>
          <w:sz w:val="24"/>
          <w:szCs w:val="24"/>
          <w:u w:val="single"/>
        </w:rPr>
        <w:t>Example:</w:t>
      </w:r>
      <w:r w:rsidR="00832BD4" w:rsidRPr="00033C26">
        <w:rPr>
          <w:rFonts w:cstheme="minorHAnsi"/>
          <w:i/>
          <w:sz w:val="24"/>
          <w:szCs w:val="24"/>
          <w:u w:val="single"/>
        </w:rPr>
        <w:t xml:space="preserve"> Sending Christmas card</w:t>
      </w:r>
      <w:r w:rsidR="00C37AF3">
        <w:rPr>
          <w:rFonts w:cstheme="minorHAnsi"/>
          <w:i/>
          <w:sz w:val="24"/>
          <w:szCs w:val="24"/>
          <w:u w:val="single"/>
        </w:rPr>
        <w:t>s</w:t>
      </w:r>
      <w:r w:rsidR="00832BD4" w:rsidRPr="00033C26">
        <w:rPr>
          <w:rFonts w:cstheme="minorHAnsi"/>
          <w:i/>
          <w:sz w:val="24"/>
          <w:szCs w:val="24"/>
          <w:u w:val="single"/>
        </w:rPr>
        <w:t xml:space="preserve"> to suspected gang members</w:t>
      </w:r>
      <w:r w:rsidR="00832BD4" w:rsidRPr="00033C26">
        <w:rPr>
          <w:rFonts w:cstheme="minorHAnsi"/>
          <w:i/>
          <w:sz w:val="24"/>
          <w:szCs w:val="24"/>
        </w:rPr>
        <w:t xml:space="preserve">. </w:t>
      </w:r>
      <w:r w:rsidR="007518E4">
        <w:rPr>
          <w:rFonts w:cstheme="minorHAnsi"/>
          <w:i/>
          <w:sz w:val="24"/>
          <w:szCs w:val="24"/>
        </w:rPr>
        <w:tab/>
      </w:r>
      <w:r w:rsidR="007518E4">
        <w:rPr>
          <w:rFonts w:cstheme="minorHAnsi"/>
          <w:i/>
          <w:sz w:val="24"/>
          <w:szCs w:val="24"/>
        </w:rPr>
        <w:tab/>
        <w:t xml:space="preserve"> </w:t>
      </w:r>
      <w:r w:rsidR="00832BD4" w:rsidRPr="00033C26">
        <w:rPr>
          <w:rFonts w:cstheme="minorHAnsi"/>
          <w:i/>
          <w:sz w:val="24"/>
          <w:szCs w:val="24"/>
        </w:rPr>
        <w:t xml:space="preserve">The Metropolitan Police Service </w:t>
      </w:r>
      <w:r w:rsidR="00B8414C" w:rsidRPr="00033C26">
        <w:rPr>
          <w:rFonts w:cstheme="minorHAnsi"/>
          <w:i/>
          <w:sz w:val="24"/>
          <w:szCs w:val="24"/>
        </w:rPr>
        <w:t>at B</w:t>
      </w:r>
      <w:r w:rsidR="00832BD4" w:rsidRPr="00033C26">
        <w:rPr>
          <w:rFonts w:cstheme="minorHAnsi"/>
          <w:i/>
          <w:sz w:val="24"/>
          <w:szCs w:val="24"/>
        </w:rPr>
        <w:t>orough level tactically sent suspected gang members Christmas card</w:t>
      </w:r>
      <w:r w:rsidR="007374F6">
        <w:rPr>
          <w:rFonts w:cstheme="minorHAnsi"/>
          <w:i/>
          <w:sz w:val="24"/>
          <w:szCs w:val="24"/>
        </w:rPr>
        <w:t>s targeting those thought to</w:t>
      </w:r>
      <w:r w:rsidR="00832BD4" w:rsidRPr="00033C26">
        <w:rPr>
          <w:rFonts w:cstheme="minorHAnsi"/>
          <w:i/>
          <w:sz w:val="24"/>
          <w:szCs w:val="24"/>
        </w:rPr>
        <w:t xml:space="preserve"> be involved in gang-related activity. This followed</w:t>
      </w:r>
      <w:r w:rsidR="007374F6">
        <w:rPr>
          <w:rFonts w:cstheme="minorHAnsi"/>
          <w:i/>
          <w:sz w:val="24"/>
          <w:szCs w:val="24"/>
        </w:rPr>
        <w:t xml:space="preserve"> a similar intervention towards</w:t>
      </w:r>
      <w:r w:rsidR="00832BD4" w:rsidRPr="00033C26">
        <w:rPr>
          <w:rFonts w:cstheme="minorHAnsi"/>
          <w:i/>
          <w:sz w:val="24"/>
          <w:szCs w:val="24"/>
        </w:rPr>
        <w:t xml:space="preserve"> suspects burglars timed to coincide with autumnal dark e</w:t>
      </w:r>
      <w:r w:rsidR="007374F6">
        <w:rPr>
          <w:rFonts w:cstheme="minorHAnsi"/>
          <w:i/>
          <w:sz w:val="24"/>
          <w:szCs w:val="24"/>
        </w:rPr>
        <w:t xml:space="preserve">venings. The cards’ message </w:t>
      </w:r>
      <w:r w:rsidR="00832BD4" w:rsidRPr="00033C26">
        <w:rPr>
          <w:rFonts w:cstheme="minorHAnsi"/>
          <w:i/>
          <w:sz w:val="24"/>
          <w:szCs w:val="24"/>
        </w:rPr>
        <w:t>balanced</w:t>
      </w:r>
      <w:r w:rsidR="007374F6">
        <w:rPr>
          <w:rFonts w:cstheme="minorHAnsi"/>
          <w:i/>
          <w:sz w:val="24"/>
          <w:szCs w:val="24"/>
        </w:rPr>
        <w:t xml:space="preserve"> </w:t>
      </w:r>
      <w:r w:rsidR="00832BD4" w:rsidRPr="00B8414C">
        <w:rPr>
          <w:rFonts w:cstheme="minorHAnsi"/>
          <w:i/>
          <w:sz w:val="24"/>
          <w:szCs w:val="24"/>
        </w:rPr>
        <w:t>acknowledgement that individuals may want to desist in gang activity and practical information on training, education and employment opportunities. The success of the cards was twofold: first, this small intervention focused the target group on heightened policing and detection to ac</w:t>
      </w:r>
      <w:r w:rsidR="007374F6">
        <w:rPr>
          <w:rFonts w:cstheme="minorHAnsi"/>
          <w:i/>
          <w:sz w:val="24"/>
          <w:szCs w:val="24"/>
        </w:rPr>
        <w:t>t as a dampening effect on gang activity</w:t>
      </w:r>
      <w:r w:rsidR="00832BD4" w:rsidRPr="00B8414C">
        <w:rPr>
          <w:rFonts w:cstheme="minorHAnsi"/>
          <w:i/>
          <w:sz w:val="24"/>
          <w:szCs w:val="24"/>
        </w:rPr>
        <w:t>; second, the intervention’s results led to renewed awareness of the need to tackle gang crime at the point of recruitment and socialisation</w:t>
      </w:r>
      <w:r w:rsidR="007374F6">
        <w:rPr>
          <w:rFonts w:cstheme="minorHAnsi"/>
          <w:i/>
          <w:sz w:val="24"/>
          <w:szCs w:val="24"/>
        </w:rPr>
        <w:t xml:space="preserve"> into gangs</w:t>
      </w:r>
      <w:r w:rsidR="00832BD4" w:rsidRPr="00B8414C">
        <w:rPr>
          <w:rFonts w:cstheme="minorHAnsi"/>
          <w:i/>
          <w:sz w:val="24"/>
          <w:szCs w:val="24"/>
        </w:rPr>
        <w:t xml:space="preserve">. The latter </w:t>
      </w:r>
      <w:r w:rsidR="007374F6">
        <w:rPr>
          <w:rFonts w:cstheme="minorHAnsi"/>
          <w:i/>
          <w:sz w:val="24"/>
          <w:szCs w:val="24"/>
        </w:rPr>
        <w:t xml:space="preserve">spurred </w:t>
      </w:r>
      <w:r w:rsidR="00832BD4" w:rsidRPr="00B8414C">
        <w:rPr>
          <w:rFonts w:cstheme="minorHAnsi"/>
          <w:i/>
          <w:sz w:val="24"/>
          <w:szCs w:val="24"/>
        </w:rPr>
        <w:t xml:space="preserve">the Borough Command Gangs Unit to develop </w:t>
      </w:r>
      <w:r w:rsidR="00B8414C" w:rsidRPr="00B8414C">
        <w:rPr>
          <w:rFonts w:cstheme="minorHAnsi"/>
          <w:i/>
          <w:sz w:val="24"/>
          <w:szCs w:val="24"/>
        </w:rPr>
        <w:t>be</w:t>
      </w:r>
      <w:r w:rsidR="007518E4">
        <w:rPr>
          <w:rFonts w:cstheme="minorHAnsi"/>
          <w:i/>
          <w:sz w:val="24"/>
          <w:szCs w:val="24"/>
        </w:rPr>
        <w:t xml:space="preserve">tter </w:t>
      </w:r>
      <w:r w:rsidR="00B8414C" w:rsidRPr="00B8414C">
        <w:rPr>
          <w:rFonts w:cstheme="minorHAnsi"/>
          <w:i/>
          <w:sz w:val="24"/>
          <w:szCs w:val="24"/>
        </w:rPr>
        <w:t>early prevention partnerships with the local authority.</w:t>
      </w:r>
    </w:p>
    <w:p w14:paraId="2BBDD777" w14:textId="77777777" w:rsidR="0044602C" w:rsidRPr="0044602C" w:rsidRDefault="0044602C" w:rsidP="00B127A5">
      <w:pPr>
        <w:ind w:left="720"/>
        <w:jc w:val="both"/>
        <w:rPr>
          <w:rFonts w:cstheme="minorHAnsi"/>
          <w:sz w:val="24"/>
          <w:szCs w:val="24"/>
        </w:rPr>
      </w:pPr>
    </w:p>
    <w:p w14:paraId="3368A285" w14:textId="77777777" w:rsidR="00EE0195" w:rsidRDefault="00EE0195" w:rsidP="00EE0195">
      <w:pPr>
        <w:jc w:val="both"/>
        <w:rPr>
          <w:rFonts w:cstheme="minorHAnsi"/>
          <w:i/>
          <w:sz w:val="24"/>
          <w:szCs w:val="24"/>
          <w:u w:val="single"/>
        </w:rPr>
      </w:pPr>
    </w:p>
    <w:p w14:paraId="502F8947" w14:textId="2389B970" w:rsidR="00EE0195" w:rsidRPr="00CF09ED" w:rsidRDefault="00033C26" w:rsidP="00CF09ED">
      <w:pPr>
        <w:pStyle w:val="Heading1"/>
      </w:pPr>
      <w:r>
        <w:br w:type="page"/>
      </w:r>
      <w:bookmarkStart w:id="15" w:name="_Toc378323559"/>
      <w:r w:rsidR="00EE0195">
        <w:t>Conclusions</w:t>
      </w:r>
      <w:bookmarkEnd w:id="15"/>
    </w:p>
    <w:p w14:paraId="5DCAA310" w14:textId="77777777" w:rsidR="00EE0195" w:rsidRPr="00033C26" w:rsidRDefault="00EE0195" w:rsidP="00EE0195">
      <w:pPr>
        <w:rPr>
          <w:rFonts w:cstheme="minorHAnsi"/>
        </w:rPr>
      </w:pPr>
    </w:p>
    <w:p w14:paraId="5DB23A81" w14:textId="636687D0" w:rsidR="00942B6E" w:rsidRPr="00122DF6" w:rsidRDefault="00EE0195" w:rsidP="00505BE0">
      <w:pPr>
        <w:pStyle w:val="ListParagraph"/>
        <w:numPr>
          <w:ilvl w:val="0"/>
          <w:numId w:val="6"/>
        </w:numPr>
        <w:jc w:val="both"/>
        <w:rPr>
          <w:rFonts w:asciiTheme="minorHAnsi" w:hAnsiTheme="minorHAnsi" w:cstheme="minorHAnsi"/>
          <w:szCs w:val="24"/>
        </w:rPr>
      </w:pPr>
      <w:r w:rsidRPr="00033C26">
        <w:rPr>
          <w:rFonts w:asciiTheme="minorHAnsi" w:hAnsiTheme="minorHAnsi" w:cstheme="minorHAnsi"/>
          <w:szCs w:val="24"/>
        </w:rPr>
        <w:t>This report aims to provide practitioners o</w:t>
      </w:r>
      <w:r w:rsidR="00033C26" w:rsidRPr="00033C26">
        <w:rPr>
          <w:rFonts w:asciiTheme="minorHAnsi" w:hAnsiTheme="minorHAnsi" w:cstheme="minorHAnsi"/>
          <w:szCs w:val="24"/>
        </w:rPr>
        <w:t>f equalities policy with an</w:t>
      </w:r>
      <w:r w:rsidR="0047787E" w:rsidRPr="00033C26">
        <w:rPr>
          <w:rFonts w:asciiTheme="minorHAnsi" w:hAnsiTheme="minorHAnsi" w:cstheme="minorHAnsi"/>
          <w:szCs w:val="24"/>
        </w:rPr>
        <w:t xml:space="preserve"> introduction</w:t>
      </w:r>
      <w:r w:rsidR="00033C26" w:rsidRPr="00033C26">
        <w:rPr>
          <w:rFonts w:asciiTheme="minorHAnsi" w:hAnsiTheme="minorHAnsi" w:cstheme="minorHAnsi"/>
          <w:szCs w:val="24"/>
        </w:rPr>
        <w:t xml:space="preserve"> to and overview of behavioural insight</w:t>
      </w:r>
      <w:r w:rsidR="008842FF">
        <w:rPr>
          <w:rFonts w:asciiTheme="minorHAnsi" w:hAnsiTheme="minorHAnsi" w:cstheme="minorHAnsi"/>
          <w:szCs w:val="24"/>
        </w:rPr>
        <w:t>s</w:t>
      </w:r>
      <w:r w:rsidR="00033C26" w:rsidRPr="00033C26">
        <w:rPr>
          <w:rFonts w:asciiTheme="minorHAnsi" w:hAnsiTheme="minorHAnsi" w:cstheme="minorHAnsi"/>
          <w:szCs w:val="24"/>
        </w:rPr>
        <w:t xml:space="preserve"> concepts,</w:t>
      </w:r>
      <w:r w:rsidR="0047787E" w:rsidRPr="00033C26">
        <w:rPr>
          <w:rFonts w:asciiTheme="minorHAnsi" w:hAnsiTheme="minorHAnsi" w:cstheme="minorHAnsi"/>
          <w:szCs w:val="24"/>
        </w:rPr>
        <w:t xml:space="preserve"> </w:t>
      </w:r>
      <w:r w:rsidR="00033C26" w:rsidRPr="00033C26">
        <w:rPr>
          <w:rFonts w:asciiTheme="minorHAnsi" w:hAnsiTheme="minorHAnsi" w:cstheme="minorHAnsi"/>
          <w:szCs w:val="24"/>
        </w:rPr>
        <w:t xml:space="preserve">principles and </w:t>
      </w:r>
      <w:r w:rsidR="0047787E" w:rsidRPr="00033C26">
        <w:rPr>
          <w:rFonts w:asciiTheme="minorHAnsi" w:hAnsiTheme="minorHAnsi" w:cstheme="minorHAnsi"/>
          <w:szCs w:val="24"/>
        </w:rPr>
        <w:t xml:space="preserve">techniques, and how they can be applied in the field of equalities policy. It is by no </w:t>
      </w:r>
      <w:r w:rsidR="0047787E" w:rsidRPr="00122DF6">
        <w:rPr>
          <w:rFonts w:asciiTheme="minorHAnsi" w:hAnsiTheme="minorHAnsi" w:cstheme="minorHAnsi"/>
          <w:szCs w:val="24"/>
        </w:rPr>
        <w:t xml:space="preserve">means exhaustive, but aims to provide a background on </w:t>
      </w:r>
      <w:r w:rsidR="00033C26" w:rsidRPr="00122DF6">
        <w:rPr>
          <w:rFonts w:asciiTheme="minorHAnsi" w:hAnsiTheme="minorHAnsi" w:cstheme="minorHAnsi"/>
          <w:szCs w:val="24"/>
        </w:rPr>
        <w:t>the theoretical foundations of behavioural change i</w:t>
      </w:r>
      <w:r w:rsidR="0047787E" w:rsidRPr="00122DF6">
        <w:rPr>
          <w:rFonts w:asciiTheme="minorHAnsi" w:hAnsiTheme="minorHAnsi" w:cstheme="minorHAnsi"/>
          <w:szCs w:val="24"/>
        </w:rPr>
        <w:t xml:space="preserve">nsights, along with advice and some examples on their practical application. </w:t>
      </w:r>
    </w:p>
    <w:p w14:paraId="2F325DCD" w14:textId="77777777" w:rsidR="007374F6" w:rsidRPr="00122DF6" w:rsidRDefault="007374F6" w:rsidP="007374F6">
      <w:pPr>
        <w:pStyle w:val="ListParagraph"/>
        <w:jc w:val="both"/>
        <w:rPr>
          <w:rFonts w:asciiTheme="minorHAnsi" w:hAnsiTheme="minorHAnsi" w:cstheme="minorHAnsi"/>
          <w:szCs w:val="24"/>
        </w:rPr>
      </w:pPr>
    </w:p>
    <w:p w14:paraId="203FD595" w14:textId="77777777" w:rsidR="00675F4F" w:rsidRDefault="00122DF6" w:rsidP="00505BE0">
      <w:pPr>
        <w:pStyle w:val="ListParagraph"/>
        <w:numPr>
          <w:ilvl w:val="0"/>
          <w:numId w:val="6"/>
        </w:numPr>
        <w:jc w:val="both"/>
        <w:rPr>
          <w:rFonts w:asciiTheme="minorHAnsi" w:hAnsiTheme="minorHAnsi" w:cstheme="minorHAnsi"/>
          <w:szCs w:val="24"/>
        </w:rPr>
      </w:pPr>
      <w:r w:rsidRPr="00122DF6">
        <w:rPr>
          <w:rFonts w:asciiTheme="minorHAnsi" w:hAnsiTheme="minorHAnsi" w:cstheme="minorHAnsi"/>
          <w:szCs w:val="24"/>
        </w:rPr>
        <w:t>The main conc</w:t>
      </w:r>
      <w:r w:rsidR="00675F4F">
        <w:rPr>
          <w:rFonts w:asciiTheme="minorHAnsi" w:hAnsiTheme="minorHAnsi" w:cstheme="minorHAnsi"/>
          <w:szCs w:val="24"/>
        </w:rPr>
        <w:t xml:space="preserve">lusions are threefold: </w:t>
      </w:r>
    </w:p>
    <w:p w14:paraId="0771F20B" w14:textId="77777777" w:rsidR="00675F4F" w:rsidRPr="00675F4F" w:rsidRDefault="00675F4F" w:rsidP="00675F4F">
      <w:pPr>
        <w:pStyle w:val="ListParagraph"/>
        <w:rPr>
          <w:rFonts w:asciiTheme="minorHAnsi" w:hAnsiTheme="minorHAnsi" w:cstheme="minorHAnsi"/>
          <w:szCs w:val="24"/>
        </w:rPr>
      </w:pPr>
    </w:p>
    <w:p w14:paraId="5EA4D144" w14:textId="77777777" w:rsidR="00675F4F" w:rsidRDefault="00122DF6" w:rsidP="00675F4F">
      <w:pPr>
        <w:pStyle w:val="ListParagraph"/>
        <w:numPr>
          <w:ilvl w:val="0"/>
          <w:numId w:val="21"/>
        </w:numPr>
        <w:jc w:val="both"/>
        <w:rPr>
          <w:rFonts w:asciiTheme="minorHAnsi" w:hAnsiTheme="minorHAnsi" w:cstheme="minorHAnsi"/>
          <w:szCs w:val="24"/>
        </w:rPr>
      </w:pPr>
      <w:r w:rsidRPr="00122DF6">
        <w:rPr>
          <w:rFonts w:asciiTheme="minorHAnsi" w:hAnsiTheme="minorHAnsi" w:cstheme="minorHAnsi"/>
          <w:szCs w:val="24"/>
        </w:rPr>
        <w:t>designing policies, processes, institutions and delivery around people’s behavioural quirks is a credible and ef</w:t>
      </w:r>
      <w:r w:rsidR="00675F4F">
        <w:rPr>
          <w:rFonts w:asciiTheme="minorHAnsi" w:hAnsiTheme="minorHAnsi" w:cstheme="minorHAnsi"/>
          <w:szCs w:val="24"/>
        </w:rPr>
        <w:t xml:space="preserve">fective way to proceed; </w:t>
      </w:r>
    </w:p>
    <w:p w14:paraId="68286204" w14:textId="7A95E0EE" w:rsidR="00675F4F" w:rsidRDefault="00122DF6" w:rsidP="00675F4F">
      <w:pPr>
        <w:pStyle w:val="ListParagraph"/>
        <w:numPr>
          <w:ilvl w:val="0"/>
          <w:numId w:val="21"/>
        </w:numPr>
        <w:jc w:val="both"/>
        <w:rPr>
          <w:rFonts w:asciiTheme="minorHAnsi" w:hAnsiTheme="minorHAnsi" w:cstheme="minorHAnsi"/>
          <w:szCs w:val="24"/>
        </w:rPr>
      </w:pPr>
      <w:r w:rsidRPr="00122DF6">
        <w:rPr>
          <w:rFonts w:asciiTheme="minorHAnsi" w:hAnsiTheme="minorHAnsi" w:cstheme="minorHAnsi"/>
          <w:szCs w:val="24"/>
        </w:rPr>
        <w:t>the application of these insights to the field of equalities is timely and rich w</w:t>
      </w:r>
      <w:r w:rsidR="00675F4F">
        <w:rPr>
          <w:rFonts w:asciiTheme="minorHAnsi" w:hAnsiTheme="minorHAnsi" w:cstheme="minorHAnsi"/>
          <w:szCs w:val="24"/>
        </w:rPr>
        <w:t>ith possibilities</w:t>
      </w:r>
      <w:r w:rsidR="00A92558">
        <w:rPr>
          <w:rFonts w:asciiTheme="minorHAnsi" w:hAnsiTheme="minorHAnsi" w:cstheme="minorHAnsi"/>
          <w:szCs w:val="24"/>
        </w:rPr>
        <w:t>, as well as some urgency</w:t>
      </w:r>
      <w:r w:rsidR="00675F4F">
        <w:rPr>
          <w:rFonts w:asciiTheme="minorHAnsi" w:hAnsiTheme="minorHAnsi" w:cstheme="minorHAnsi"/>
          <w:szCs w:val="24"/>
        </w:rPr>
        <w:t>; and</w:t>
      </w:r>
    </w:p>
    <w:p w14:paraId="35C0468D" w14:textId="704514DB" w:rsidR="00122DF6" w:rsidRDefault="00122DF6" w:rsidP="00675F4F">
      <w:pPr>
        <w:pStyle w:val="ListParagraph"/>
        <w:numPr>
          <w:ilvl w:val="0"/>
          <w:numId w:val="21"/>
        </w:numPr>
        <w:jc w:val="both"/>
        <w:rPr>
          <w:rFonts w:asciiTheme="minorHAnsi" w:hAnsiTheme="minorHAnsi" w:cstheme="minorHAnsi"/>
          <w:szCs w:val="24"/>
        </w:rPr>
      </w:pPr>
      <w:proofErr w:type="gramStart"/>
      <w:r w:rsidRPr="00122DF6">
        <w:rPr>
          <w:rFonts w:asciiTheme="minorHAnsi" w:hAnsiTheme="minorHAnsi" w:cstheme="minorHAnsi"/>
          <w:szCs w:val="24"/>
        </w:rPr>
        <w:t>the</w:t>
      </w:r>
      <w:proofErr w:type="gramEnd"/>
      <w:r w:rsidRPr="00122DF6">
        <w:rPr>
          <w:rFonts w:asciiTheme="minorHAnsi" w:hAnsiTheme="minorHAnsi" w:cstheme="minorHAnsi"/>
          <w:szCs w:val="24"/>
        </w:rPr>
        <w:t xml:space="preserve"> practical tools and pointers that are delivered are central to improving policy professional’s capabilities and civil service reform.</w:t>
      </w:r>
    </w:p>
    <w:p w14:paraId="1CE8B224" w14:textId="77777777" w:rsidR="00122DF6" w:rsidRPr="00122DF6" w:rsidRDefault="00122DF6" w:rsidP="00122DF6">
      <w:pPr>
        <w:pStyle w:val="ListParagraph"/>
        <w:rPr>
          <w:rFonts w:asciiTheme="minorHAnsi" w:hAnsiTheme="minorHAnsi" w:cstheme="minorHAnsi"/>
          <w:szCs w:val="24"/>
        </w:rPr>
      </w:pPr>
    </w:p>
    <w:p w14:paraId="48C7327D" w14:textId="77777777" w:rsidR="00122DF6" w:rsidRPr="00122DF6" w:rsidRDefault="00122DF6" w:rsidP="00122DF6">
      <w:pPr>
        <w:pStyle w:val="ListParagraph"/>
        <w:jc w:val="both"/>
        <w:rPr>
          <w:rFonts w:asciiTheme="minorHAnsi" w:hAnsiTheme="minorHAnsi" w:cstheme="minorHAnsi"/>
          <w:szCs w:val="24"/>
        </w:rPr>
      </w:pPr>
    </w:p>
    <w:p w14:paraId="31F1A637" w14:textId="6F7527DA" w:rsidR="00942B6E" w:rsidRPr="00122DF6" w:rsidRDefault="002B267E" w:rsidP="00505BE0">
      <w:pPr>
        <w:pStyle w:val="ListParagraph"/>
        <w:numPr>
          <w:ilvl w:val="0"/>
          <w:numId w:val="6"/>
        </w:numPr>
        <w:jc w:val="both"/>
        <w:rPr>
          <w:rFonts w:asciiTheme="minorHAnsi" w:hAnsiTheme="minorHAnsi" w:cstheme="minorHAnsi"/>
          <w:szCs w:val="24"/>
        </w:rPr>
      </w:pPr>
      <w:r>
        <w:rPr>
          <w:rFonts w:asciiTheme="minorHAnsi" w:hAnsiTheme="minorHAnsi" w:cstheme="minorHAnsi"/>
          <w:szCs w:val="24"/>
        </w:rPr>
        <w:t>The overarching insight provided by this report is that public policy design and delivery stand to gain a great deal from the accumulated evidence regarding how people mak</w:t>
      </w:r>
      <w:r w:rsidR="00656208">
        <w:rPr>
          <w:rFonts w:asciiTheme="minorHAnsi" w:hAnsiTheme="minorHAnsi" w:cstheme="minorHAnsi"/>
          <w:szCs w:val="24"/>
        </w:rPr>
        <w:t>e</w:t>
      </w:r>
      <w:r w:rsidR="00A92558">
        <w:rPr>
          <w:rFonts w:asciiTheme="minorHAnsi" w:hAnsiTheme="minorHAnsi" w:cstheme="minorHAnsi"/>
          <w:szCs w:val="24"/>
        </w:rPr>
        <w:t xml:space="preserve"> choices, however properly informed</w:t>
      </w:r>
      <w:r>
        <w:rPr>
          <w:rFonts w:asciiTheme="minorHAnsi" w:hAnsiTheme="minorHAnsi" w:cstheme="minorHAnsi"/>
          <w:szCs w:val="24"/>
        </w:rPr>
        <w:t xml:space="preserve"> or beneficial these are or are not. Carrying on assuming that people follow rationale incentives without deflection is an unrealistic</w:t>
      </w:r>
      <w:r w:rsidR="00A92558">
        <w:rPr>
          <w:rFonts w:asciiTheme="minorHAnsi" w:hAnsiTheme="minorHAnsi" w:cstheme="minorHAnsi"/>
          <w:szCs w:val="24"/>
        </w:rPr>
        <w:t xml:space="preserve"> and unwise</w:t>
      </w:r>
      <w:r>
        <w:rPr>
          <w:rFonts w:asciiTheme="minorHAnsi" w:hAnsiTheme="minorHAnsi" w:cstheme="minorHAnsi"/>
          <w:szCs w:val="24"/>
        </w:rPr>
        <w:t xml:space="preserve"> thing to do. Therefore, it makes sense to sensitise our policy design to take account of this knowledge.</w:t>
      </w:r>
    </w:p>
    <w:p w14:paraId="2CFA899E" w14:textId="77777777" w:rsidR="00942B6E" w:rsidRPr="00122DF6" w:rsidRDefault="00942B6E" w:rsidP="00942B6E">
      <w:pPr>
        <w:pStyle w:val="ListParagraph"/>
        <w:rPr>
          <w:rFonts w:asciiTheme="minorHAnsi" w:hAnsiTheme="minorHAnsi" w:cstheme="minorHAnsi"/>
          <w:szCs w:val="24"/>
        </w:rPr>
      </w:pPr>
    </w:p>
    <w:p w14:paraId="61D11409" w14:textId="1FB86DEF" w:rsidR="00942B6E" w:rsidRPr="00942B6E" w:rsidRDefault="002B267E" w:rsidP="00505BE0">
      <w:pPr>
        <w:pStyle w:val="ListParagraph"/>
        <w:numPr>
          <w:ilvl w:val="0"/>
          <w:numId w:val="6"/>
        </w:numPr>
        <w:jc w:val="both"/>
        <w:rPr>
          <w:rFonts w:asciiTheme="minorHAnsi" w:hAnsiTheme="minorHAnsi" w:cstheme="minorHAnsi"/>
          <w:szCs w:val="24"/>
        </w:rPr>
      </w:pPr>
      <w:r>
        <w:rPr>
          <w:rFonts w:asciiTheme="minorHAnsi" w:hAnsiTheme="minorHAnsi" w:cstheme="minorHAnsi"/>
          <w:szCs w:val="24"/>
        </w:rPr>
        <w:t xml:space="preserve">Finally, in pursuit of the above, it is also a shrewd moment to take advantage </w:t>
      </w:r>
      <w:r w:rsidR="00656208">
        <w:rPr>
          <w:rFonts w:asciiTheme="minorHAnsi" w:hAnsiTheme="minorHAnsi" w:cstheme="minorHAnsi"/>
          <w:szCs w:val="24"/>
        </w:rPr>
        <w:t>of</w:t>
      </w:r>
      <w:r>
        <w:rPr>
          <w:rFonts w:asciiTheme="minorHAnsi" w:hAnsiTheme="minorHAnsi" w:cstheme="minorHAnsi"/>
          <w:szCs w:val="24"/>
        </w:rPr>
        <w:t xml:space="preserve"> a more open stance i</w:t>
      </w:r>
      <w:r w:rsidR="00656208">
        <w:rPr>
          <w:rFonts w:asciiTheme="minorHAnsi" w:hAnsiTheme="minorHAnsi" w:cstheme="minorHAnsi"/>
          <w:szCs w:val="24"/>
        </w:rPr>
        <w:t>n</w:t>
      </w:r>
      <w:r>
        <w:rPr>
          <w:rFonts w:asciiTheme="minorHAnsi" w:hAnsiTheme="minorHAnsi" w:cstheme="minorHAnsi"/>
          <w:szCs w:val="24"/>
        </w:rPr>
        <w:t xml:space="preserve"> shaping policy priorities and implementation mechanisms. Private business, the voluntary sector, campaign organisations, professional recognition bodies, think tanks, foundations and regulatory agencies are all prime examples of partners for government in this regard. They provide important insights, expertise and proximity to problems and potential remedies, whilst also offering valuable assistance in understanding how </w:t>
      </w:r>
      <w:r w:rsidR="00A92558">
        <w:rPr>
          <w:rFonts w:asciiTheme="minorHAnsi" w:hAnsiTheme="minorHAnsi" w:cstheme="minorHAnsi"/>
          <w:szCs w:val="24"/>
        </w:rPr>
        <w:t xml:space="preserve">people navigate </w:t>
      </w:r>
      <w:r>
        <w:rPr>
          <w:rFonts w:asciiTheme="minorHAnsi" w:hAnsiTheme="minorHAnsi" w:cstheme="minorHAnsi"/>
          <w:szCs w:val="24"/>
        </w:rPr>
        <w:t xml:space="preserve">complex markets and public services </w:t>
      </w:r>
      <w:r w:rsidR="00A92558">
        <w:rPr>
          <w:rFonts w:asciiTheme="minorHAnsi" w:hAnsiTheme="minorHAnsi" w:cstheme="minorHAnsi"/>
          <w:szCs w:val="24"/>
        </w:rPr>
        <w:t>and the operation of institutions</w:t>
      </w:r>
      <w:r>
        <w:rPr>
          <w:rFonts w:asciiTheme="minorHAnsi" w:hAnsiTheme="minorHAnsi" w:cstheme="minorHAnsi"/>
          <w:szCs w:val="24"/>
        </w:rPr>
        <w:t xml:space="preserve"> </w:t>
      </w:r>
      <w:r w:rsidR="000E38C8">
        <w:rPr>
          <w:rFonts w:asciiTheme="minorHAnsi" w:hAnsiTheme="minorHAnsi" w:cstheme="minorHAnsi"/>
          <w:szCs w:val="24"/>
        </w:rPr>
        <w:t>on an every</w:t>
      </w:r>
      <w:r w:rsidR="00A92558">
        <w:rPr>
          <w:rFonts w:asciiTheme="minorHAnsi" w:hAnsiTheme="minorHAnsi" w:cstheme="minorHAnsi"/>
          <w:szCs w:val="24"/>
        </w:rPr>
        <w:t>day</w:t>
      </w:r>
      <w:r w:rsidR="000E38C8">
        <w:rPr>
          <w:rFonts w:asciiTheme="minorHAnsi" w:hAnsiTheme="minorHAnsi" w:cstheme="minorHAnsi"/>
          <w:szCs w:val="24"/>
        </w:rPr>
        <w:t xml:space="preserve"> basis. Open policy-making, therefore, is a naturally structural corollary to behaviour change on the agenda of modernising government and </w:t>
      </w:r>
      <w:r w:rsidR="00A92558">
        <w:rPr>
          <w:rFonts w:asciiTheme="minorHAnsi" w:hAnsiTheme="minorHAnsi" w:cstheme="minorHAnsi"/>
          <w:szCs w:val="24"/>
        </w:rPr>
        <w:t xml:space="preserve">driving </w:t>
      </w:r>
      <w:r w:rsidR="000E38C8">
        <w:rPr>
          <w:rFonts w:asciiTheme="minorHAnsi" w:hAnsiTheme="minorHAnsi" w:cstheme="minorHAnsi"/>
          <w:szCs w:val="24"/>
        </w:rPr>
        <w:t>effective public policy.</w:t>
      </w:r>
    </w:p>
    <w:p w14:paraId="4B634562" w14:textId="77777777" w:rsidR="00942B6E" w:rsidRDefault="00942B6E" w:rsidP="00942B6E">
      <w:pPr>
        <w:ind w:left="360"/>
        <w:jc w:val="both"/>
        <w:rPr>
          <w:rFonts w:cstheme="minorHAnsi"/>
          <w:szCs w:val="24"/>
        </w:rPr>
      </w:pPr>
    </w:p>
    <w:p w14:paraId="301E66E0" w14:textId="77777777" w:rsidR="00942B6E" w:rsidRPr="00942B6E" w:rsidRDefault="00942B6E" w:rsidP="00942B6E">
      <w:pPr>
        <w:ind w:left="360"/>
        <w:jc w:val="both"/>
        <w:rPr>
          <w:rFonts w:cstheme="minorHAnsi"/>
          <w:szCs w:val="24"/>
        </w:rPr>
      </w:pPr>
    </w:p>
    <w:p w14:paraId="7600192E" w14:textId="42F8ACB5" w:rsidR="0044602C" w:rsidRPr="0044602C" w:rsidRDefault="0044602C" w:rsidP="00B127A5">
      <w:pPr>
        <w:jc w:val="both"/>
        <w:rPr>
          <w:rFonts w:cstheme="minorHAnsi"/>
          <w:sz w:val="24"/>
          <w:szCs w:val="24"/>
        </w:rPr>
      </w:pPr>
    </w:p>
    <w:sectPr w:rsidR="0044602C" w:rsidRPr="0044602C" w:rsidSect="00237C1C">
      <w:footerReference w:type="default" r:id="rId13"/>
      <w:endnotePr>
        <w:numFmt w:val="decimal"/>
      </w:endnotePr>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7ECAF" w14:textId="77777777" w:rsidR="00F248A2" w:rsidRDefault="00F248A2" w:rsidP="00634EB8">
      <w:pPr>
        <w:spacing w:after="0" w:line="240" w:lineRule="auto"/>
      </w:pPr>
      <w:r>
        <w:separator/>
      </w:r>
    </w:p>
  </w:endnote>
  <w:endnote w:type="continuationSeparator" w:id="0">
    <w:p w14:paraId="3D558F12" w14:textId="77777777" w:rsidR="00F248A2" w:rsidRDefault="00F248A2" w:rsidP="00634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ITC Symbol Std Book">
    <w:altName w:val="ITC Symbol Std Book"/>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24545"/>
      <w:docPartObj>
        <w:docPartGallery w:val="Page Numbers (Bottom of Page)"/>
        <w:docPartUnique/>
      </w:docPartObj>
    </w:sdtPr>
    <w:sdtEndPr>
      <w:rPr>
        <w:noProof/>
      </w:rPr>
    </w:sdtEndPr>
    <w:sdtContent>
      <w:p w14:paraId="6B5BAFDF" w14:textId="6931AAAD" w:rsidR="00A065B9" w:rsidRDefault="00A065B9">
        <w:pPr>
          <w:pStyle w:val="Footer"/>
          <w:jc w:val="center"/>
        </w:pPr>
        <w:r>
          <w:fldChar w:fldCharType="begin"/>
        </w:r>
        <w:r>
          <w:instrText xml:space="preserve"> PAGE   \* MERGEFORMAT </w:instrText>
        </w:r>
        <w:r>
          <w:fldChar w:fldCharType="separate"/>
        </w:r>
        <w:r w:rsidR="0023204E">
          <w:rPr>
            <w:noProof/>
          </w:rPr>
          <w:t>28</w:t>
        </w:r>
        <w:r>
          <w:rPr>
            <w:noProof/>
          </w:rPr>
          <w:fldChar w:fldCharType="end"/>
        </w:r>
      </w:p>
    </w:sdtContent>
  </w:sdt>
  <w:p w14:paraId="73A2A908" w14:textId="77777777" w:rsidR="00A065B9" w:rsidRDefault="00A06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0C6E6" w14:textId="77777777" w:rsidR="00F248A2" w:rsidRDefault="00F248A2" w:rsidP="00634EB8">
      <w:pPr>
        <w:spacing w:after="0" w:line="240" w:lineRule="auto"/>
      </w:pPr>
      <w:r>
        <w:separator/>
      </w:r>
    </w:p>
  </w:footnote>
  <w:footnote w:type="continuationSeparator" w:id="0">
    <w:p w14:paraId="619F0E41" w14:textId="77777777" w:rsidR="00F248A2" w:rsidRDefault="00F248A2" w:rsidP="00634EB8">
      <w:pPr>
        <w:spacing w:after="0" w:line="240" w:lineRule="auto"/>
      </w:pPr>
      <w:r>
        <w:continuationSeparator/>
      </w:r>
    </w:p>
  </w:footnote>
  <w:footnote w:id="1">
    <w:p w14:paraId="18B797B2" w14:textId="3C9A9B6C" w:rsidR="00A065B9" w:rsidRPr="00F079C3" w:rsidRDefault="00A065B9">
      <w:pPr>
        <w:pStyle w:val="FootnoteText"/>
        <w:rPr>
          <w:rFonts w:asciiTheme="minorHAnsi" w:hAnsiTheme="minorHAnsi" w:cstheme="minorHAnsi"/>
          <w:lang w:val="en-US"/>
        </w:rPr>
      </w:pPr>
      <w:r w:rsidRPr="00F079C3">
        <w:rPr>
          <w:rStyle w:val="FootnoteReference"/>
          <w:rFonts w:asciiTheme="minorHAnsi" w:hAnsiTheme="minorHAnsi" w:cstheme="minorHAnsi"/>
        </w:rPr>
        <w:footnoteRef/>
      </w:r>
      <w:r w:rsidRPr="00F079C3">
        <w:rPr>
          <w:rFonts w:asciiTheme="minorHAnsi" w:hAnsiTheme="minorHAnsi" w:cstheme="minorHAnsi"/>
        </w:rPr>
        <w:t xml:space="preserve"> The ESRC </w:t>
      </w:r>
      <w:r w:rsidRPr="00F079C3">
        <w:rPr>
          <w:rFonts w:asciiTheme="minorHAnsi" w:hAnsiTheme="minorHAnsi" w:cstheme="minorHAnsi"/>
          <w:lang w:val="en-US"/>
        </w:rPr>
        <w:t xml:space="preserve">Knowledge Exchange Opportunities Scheme – see </w:t>
      </w:r>
      <w:hyperlink r:id="rId1" w:history="1">
        <w:r w:rsidRPr="00F079C3">
          <w:rPr>
            <w:rStyle w:val="Hyperlink"/>
            <w:rFonts w:asciiTheme="minorHAnsi" w:hAnsiTheme="minorHAnsi" w:cstheme="minorHAnsi"/>
            <w:lang w:val="en-US"/>
          </w:rPr>
          <w:t>http://www.esrc.ac.uk/collaboration/knowledge-exchange/opportunities/index.aspx</w:t>
        </w:r>
      </w:hyperlink>
      <w:r w:rsidRPr="00F079C3">
        <w:rPr>
          <w:rFonts w:asciiTheme="minorHAnsi" w:hAnsiTheme="minorHAnsi" w:cstheme="minorHAnsi"/>
          <w:lang w:val="en-US"/>
        </w:rPr>
        <w:t xml:space="preserve">. This will be superseded by the Impacts Acceleration Accounts scheme from March 2014 – see </w:t>
      </w:r>
      <w:hyperlink r:id="rId2" w:history="1">
        <w:r w:rsidRPr="00F079C3">
          <w:rPr>
            <w:rStyle w:val="Hyperlink"/>
            <w:rFonts w:asciiTheme="minorHAnsi" w:hAnsiTheme="minorHAnsi" w:cstheme="minorHAnsi"/>
            <w:lang w:val="en-US"/>
          </w:rPr>
          <w:t>http://www.esrc.ac.uk/collaboration/knowledge-exchange/opportunities/ImpactAccelerationAccounts.aspx</w:t>
        </w:r>
      </w:hyperlink>
      <w:r w:rsidRPr="00F079C3">
        <w:rPr>
          <w:rFonts w:asciiTheme="minorHAnsi" w:hAnsiTheme="minorHAnsi" w:cstheme="minorHAnsi"/>
          <w:lang w:val="en-US"/>
        </w:rPr>
        <w:t xml:space="preserve">. </w:t>
      </w:r>
    </w:p>
  </w:footnote>
  <w:footnote w:id="2">
    <w:p w14:paraId="0FC3B8E5" w14:textId="011BD3E9" w:rsidR="00A065B9" w:rsidRPr="00F079C3" w:rsidRDefault="00A065B9" w:rsidP="007E747B">
      <w:pPr>
        <w:pStyle w:val="FootnoteText"/>
        <w:rPr>
          <w:rFonts w:asciiTheme="minorHAnsi" w:hAnsiTheme="minorHAnsi" w:cstheme="minorHAnsi"/>
        </w:rPr>
      </w:pPr>
      <w:r w:rsidRPr="00F079C3">
        <w:rPr>
          <w:rStyle w:val="FootnoteReference"/>
          <w:rFonts w:asciiTheme="minorHAnsi" w:hAnsiTheme="minorHAnsi" w:cstheme="minorHAnsi"/>
        </w:rPr>
        <w:footnoteRef/>
      </w:r>
      <w:r w:rsidRPr="00F079C3">
        <w:rPr>
          <w:rFonts w:asciiTheme="minorHAnsi" w:hAnsiTheme="minorHAnsi" w:cstheme="minorHAnsi"/>
        </w:rPr>
        <w:t xml:space="preserve"> For example, Cross-Government Behaviour Change Network meeting with Richard </w:t>
      </w:r>
      <w:proofErr w:type="spellStart"/>
      <w:r w:rsidRPr="00F079C3">
        <w:rPr>
          <w:rFonts w:asciiTheme="minorHAnsi" w:hAnsiTheme="minorHAnsi" w:cstheme="minorHAnsi"/>
        </w:rPr>
        <w:t>Thaler</w:t>
      </w:r>
      <w:proofErr w:type="spellEnd"/>
      <w:r w:rsidRPr="00F079C3">
        <w:rPr>
          <w:rFonts w:asciiTheme="minorHAnsi" w:hAnsiTheme="minorHAnsi" w:cstheme="minorHAnsi"/>
        </w:rPr>
        <w:t xml:space="preserve">, </w:t>
      </w:r>
      <w:r>
        <w:rPr>
          <w:rFonts w:asciiTheme="minorHAnsi" w:hAnsiTheme="minorHAnsi" w:cstheme="minorHAnsi"/>
        </w:rPr>
        <w:t xml:space="preserve">No.10, </w:t>
      </w:r>
      <w:r w:rsidRPr="00F079C3">
        <w:rPr>
          <w:rFonts w:asciiTheme="minorHAnsi" w:hAnsiTheme="minorHAnsi" w:cstheme="minorHAnsi"/>
        </w:rPr>
        <w:t>26 September 2013.</w:t>
      </w:r>
    </w:p>
  </w:footnote>
  <w:footnote w:id="3">
    <w:p w14:paraId="18AA61D7" w14:textId="6AD0EE4F" w:rsidR="00A065B9" w:rsidRDefault="00A065B9">
      <w:pPr>
        <w:pStyle w:val="FootnoteText"/>
      </w:pPr>
      <w:r w:rsidRPr="00F079C3">
        <w:rPr>
          <w:rStyle w:val="FootnoteReference"/>
          <w:rFonts w:asciiTheme="minorHAnsi" w:hAnsiTheme="minorHAnsi" w:cstheme="minorHAnsi"/>
        </w:rPr>
        <w:footnoteRef/>
      </w:r>
      <w:r w:rsidRPr="00F079C3">
        <w:rPr>
          <w:rFonts w:asciiTheme="minorHAnsi" w:hAnsiTheme="minorHAnsi" w:cstheme="minorHAnsi"/>
        </w:rPr>
        <w:t xml:space="preserve"> </w:t>
      </w:r>
      <w:proofErr w:type="gramStart"/>
      <w:r w:rsidRPr="00F079C3">
        <w:rPr>
          <w:rFonts w:asciiTheme="minorHAnsi" w:hAnsiTheme="minorHAnsi" w:cstheme="minorHAnsi"/>
        </w:rPr>
        <w:t xml:space="preserve">For example, Women on Boards (BIS); </w:t>
      </w:r>
      <w:r>
        <w:rPr>
          <w:rFonts w:asciiTheme="minorHAnsi" w:hAnsiTheme="minorHAnsi" w:cstheme="minorHAnsi"/>
        </w:rPr>
        <w:t>the Public Sector Equality Duty (</w:t>
      </w:r>
      <w:r w:rsidRPr="00F079C3">
        <w:rPr>
          <w:rFonts w:asciiTheme="minorHAnsi" w:hAnsiTheme="minorHAnsi" w:cstheme="minorHAnsi"/>
        </w:rPr>
        <w:t>PSED</w:t>
      </w:r>
      <w:r>
        <w:rPr>
          <w:rFonts w:asciiTheme="minorHAnsi" w:hAnsiTheme="minorHAnsi" w:cstheme="minorHAnsi"/>
        </w:rPr>
        <w:t>) review</w:t>
      </w:r>
      <w:r w:rsidRPr="00F079C3">
        <w:rPr>
          <w:rFonts w:asciiTheme="minorHAnsi" w:hAnsiTheme="minorHAnsi" w:cstheme="minorHAnsi"/>
        </w:rPr>
        <w:t xml:space="preserve"> (GEO); Body Confidence (GEO).</w:t>
      </w:r>
      <w:proofErr w:type="gramEnd"/>
    </w:p>
  </w:footnote>
  <w:footnote w:id="4">
    <w:p w14:paraId="47B3EB07" w14:textId="47687FB0" w:rsidR="00A065B9" w:rsidRPr="008E2DC9" w:rsidRDefault="00A065B9" w:rsidP="008E2DC9">
      <w:pPr>
        <w:pStyle w:val="NormalWeb"/>
        <w:rPr>
          <w:rFonts w:asciiTheme="minorHAnsi" w:hAnsiTheme="minorHAnsi" w:cstheme="minorHAnsi"/>
          <w:bCs/>
          <w:color w:val="000080"/>
          <w:sz w:val="20"/>
          <w:szCs w:val="20"/>
        </w:rPr>
      </w:pPr>
      <w:r w:rsidRPr="008E2DC9">
        <w:rPr>
          <w:rStyle w:val="FootnoteReference"/>
          <w:rFonts w:asciiTheme="minorHAnsi" w:hAnsiTheme="minorHAnsi" w:cstheme="minorHAnsi"/>
          <w:sz w:val="20"/>
          <w:szCs w:val="20"/>
        </w:rPr>
        <w:footnoteRef/>
      </w:r>
      <w:r w:rsidRPr="008E2DC9">
        <w:rPr>
          <w:rFonts w:asciiTheme="minorHAnsi" w:hAnsiTheme="minorHAnsi" w:cstheme="minorHAnsi"/>
          <w:sz w:val="20"/>
          <w:szCs w:val="20"/>
        </w:rPr>
        <w:t xml:space="preserve"> </w:t>
      </w:r>
      <w:r>
        <w:rPr>
          <w:rFonts w:asciiTheme="minorHAnsi" w:hAnsiTheme="minorHAnsi" w:cstheme="minorHAnsi"/>
          <w:sz w:val="20"/>
          <w:szCs w:val="20"/>
        </w:rPr>
        <w:t>For example: DWP (</w:t>
      </w:r>
      <w:r w:rsidRPr="008E2DC9">
        <w:rPr>
          <w:rFonts w:asciiTheme="minorHAnsi" w:hAnsiTheme="minorHAnsi" w:cstheme="minorHAnsi"/>
          <w:sz w:val="20"/>
          <w:szCs w:val="20"/>
        </w:rPr>
        <w:t>Strategy Team, Ageing Society and State Pe</w:t>
      </w:r>
      <w:r>
        <w:rPr>
          <w:rFonts w:asciiTheme="minorHAnsi" w:hAnsiTheme="minorHAnsi" w:cstheme="minorHAnsi"/>
          <w:sz w:val="20"/>
          <w:szCs w:val="20"/>
        </w:rPr>
        <w:t>nsions); HMRC</w:t>
      </w:r>
      <w:r w:rsidRPr="008E2DC9">
        <w:rPr>
          <w:rFonts w:asciiTheme="minorHAnsi" w:hAnsiTheme="minorHAnsi" w:cstheme="minorHAnsi"/>
          <w:sz w:val="20"/>
          <w:szCs w:val="20"/>
        </w:rPr>
        <w:t xml:space="preserve"> (</w:t>
      </w:r>
      <w:r w:rsidRPr="008E2DC9">
        <w:rPr>
          <w:rFonts w:asciiTheme="minorHAnsi" w:hAnsiTheme="minorHAnsi" w:cstheme="minorHAnsi"/>
          <w:bCs/>
          <w:sz w:val="20"/>
          <w:szCs w:val="20"/>
        </w:rPr>
        <w:t>Behaviour Change Team, Central Customer and Strategy Team)</w:t>
      </w:r>
      <w:r>
        <w:rPr>
          <w:rFonts w:asciiTheme="minorHAnsi" w:hAnsiTheme="minorHAnsi" w:cstheme="minorHAnsi"/>
          <w:bCs/>
          <w:sz w:val="20"/>
          <w:szCs w:val="20"/>
        </w:rPr>
        <w:t>.</w:t>
      </w:r>
    </w:p>
  </w:footnote>
  <w:footnote w:id="5">
    <w:p w14:paraId="2F31EF98" w14:textId="2AFA6743" w:rsidR="00A065B9" w:rsidRPr="00F079C3" w:rsidRDefault="00A065B9">
      <w:pPr>
        <w:pStyle w:val="FootnoteText"/>
        <w:rPr>
          <w:rFonts w:asciiTheme="minorHAnsi" w:hAnsiTheme="minorHAnsi" w:cstheme="minorHAnsi"/>
        </w:rPr>
      </w:pPr>
      <w:r w:rsidRPr="00F079C3">
        <w:rPr>
          <w:rStyle w:val="FootnoteReference"/>
          <w:rFonts w:asciiTheme="minorHAnsi" w:hAnsiTheme="minorHAnsi" w:cstheme="minorHAnsi"/>
        </w:rPr>
        <w:footnoteRef/>
      </w:r>
      <w:r w:rsidRPr="00F079C3">
        <w:rPr>
          <w:rFonts w:asciiTheme="minorHAnsi" w:hAnsiTheme="minorHAnsi" w:cstheme="minorHAnsi"/>
        </w:rPr>
        <w:t xml:space="preserve"> The Cross Government Behaviour Change Network Practitioner Conference, November 2013, showcased policy redesign and trial findings in relation to higher organ donation registration, increase</w:t>
      </w:r>
      <w:r>
        <w:rPr>
          <w:rFonts w:asciiTheme="minorHAnsi" w:hAnsiTheme="minorHAnsi" w:cstheme="minorHAnsi"/>
        </w:rPr>
        <w:t>d</w:t>
      </w:r>
      <w:r w:rsidRPr="00F079C3">
        <w:rPr>
          <w:rFonts w:asciiTheme="minorHAnsi" w:hAnsiTheme="minorHAnsi" w:cstheme="minorHAnsi"/>
        </w:rPr>
        <w:t xml:space="preserve"> job readiness for welfare recipients, reducing missed hospital appointments, increased fine collection by the courts, improved patient prescribed drug compliance, better food labelling, reduced teenage alcohol use.</w:t>
      </w:r>
    </w:p>
  </w:footnote>
  <w:footnote w:id="6">
    <w:p w14:paraId="02D389AF" w14:textId="03ED2ECD" w:rsidR="00A065B9" w:rsidRPr="006B33FE" w:rsidRDefault="00A065B9">
      <w:pPr>
        <w:pStyle w:val="FootnoteText"/>
        <w:rPr>
          <w:rFonts w:asciiTheme="minorHAnsi" w:hAnsiTheme="minorHAnsi" w:cstheme="minorHAnsi"/>
        </w:rPr>
      </w:pPr>
      <w:r w:rsidRPr="006B33FE">
        <w:rPr>
          <w:rStyle w:val="FootnoteReference"/>
          <w:rFonts w:asciiTheme="minorHAnsi" w:hAnsiTheme="minorHAnsi" w:cstheme="minorHAnsi"/>
        </w:rPr>
        <w:footnoteRef/>
      </w:r>
      <w:r w:rsidRPr="006B33FE">
        <w:rPr>
          <w:rFonts w:asciiTheme="minorHAnsi" w:hAnsiTheme="minorHAnsi" w:cstheme="minorHAnsi"/>
        </w:rPr>
        <w:t xml:space="preserve"> For example, with the Chief Economist’s Department, Financial Conduct Authority, and the Director of Risk, Solicitors Regulation Authority.</w:t>
      </w:r>
    </w:p>
  </w:footnote>
  <w:footnote w:id="7">
    <w:p w14:paraId="21B4E916" w14:textId="7B02B4DA" w:rsidR="00A065B9" w:rsidRPr="006B33FE" w:rsidRDefault="00A065B9">
      <w:pPr>
        <w:pStyle w:val="FootnoteText"/>
        <w:rPr>
          <w:rFonts w:asciiTheme="minorHAnsi" w:hAnsiTheme="minorHAnsi" w:cstheme="minorHAnsi"/>
        </w:rPr>
      </w:pPr>
      <w:r w:rsidRPr="006B33FE">
        <w:rPr>
          <w:rStyle w:val="FootnoteReference"/>
          <w:rFonts w:asciiTheme="minorHAnsi" w:hAnsiTheme="minorHAnsi" w:cstheme="minorHAnsi"/>
        </w:rPr>
        <w:footnoteRef/>
      </w:r>
      <w:r w:rsidRPr="006B33FE">
        <w:rPr>
          <w:rFonts w:asciiTheme="minorHAnsi" w:hAnsiTheme="minorHAnsi" w:cstheme="minorHAnsi"/>
        </w:rPr>
        <w:t xml:space="preserve"> </w:t>
      </w:r>
      <w:proofErr w:type="gramStart"/>
      <w:r>
        <w:rPr>
          <w:rFonts w:asciiTheme="minorHAnsi" w:hAnsiTheme="minorHAnsi" w:cstheme="minorHAnsi"/>
        </w:rPr>
        <w:t>Including, DH, DWP, HMRC, DEFRA and BIS</w:t>
      </w:r>
      <w:r w:rsidRPr="006B33FE">
        <w:rPr>
          <w:rFonts w:asciiTheme="minorHAnsi" w:hAnsiTheme="minorHAnsi" w:cstheme="minorHAnsi"/>
        </w:rPr>
        <w:t>.</w:t>
      </w:r>
      <w:proofErr w:type="gramEnd"/>
    </w:p>
  </w:footnote>
  <w:footnote w:id="8">
    <w:p w14:paraId="27191F1D" w14:textId="77777777" w:rsidR="00A065B9" w:rsidRPr="004D64C4" w:rsidRDefault="00A065B9" w:rsidP="00634EB8">
      <w:pPr>
        <w:pStyle w:val="FootnoteText"/>
        <w:rPr>
          <w:rFonts w:asciiTheme="minorHAnsi" w:hAnsiTheme="minorHAnsi" w:cstheme="minorHAnsi"/>
        </w:rPr>
      </w:pPr>
      <w:r w:rsidRPr="006B33FE">
        <w:rPr>
          <w:rStyle w:val="FootnoteReference"/>
          <w:rFonts w:asciiTheme="minorHAnsi" w:hAnsiTheme="minorHAnsi" w:cstheme="minorHAnsi"/>
        </w:rPr>
        <w:footnoteRef/>
      </w:r>
      <w:r w:rsidRPr="006B33FE">
        <w:rPr>
          <w:rFonts w:asciiTheme="minorHAnsi" w:hAnsiTheme="minorHAnsi" w:cstheme="minorHAnsi"/>
        </w:rPr>
        <w:t xml:space="preserve"> </w:t>
      </w:r>
      <w:proofErr w:type="gramStart"/>
      <w:r w:rsidRPr="006B33FE">
        <w:rPr>
          <w:rFonts w:asciiTheme="minorHAnsi" w:hAnsiTheme="minorHAnsi" w:cstheme="minorHAnsi"/>
        </w:rPr>
        <w:t>BIT (2011).</w:t>
      </w:r>
      <w:proofErr w:type="gramEnd"/>
      <w:r w:rsidRPr="006B33FE">
        <w:rPr>
          <w:rFonts w:asciiTheme="minorHAnsi" w:hAnsiTheme="minorHAnsi" w:cstheme="minorHAnsi"/>
        </w:rPr>
        <w:t xml:space="preserve"> </w:t>
      </w:r>
      <w:proofErr w:type="gramStart"/>
      <w:r w:rsidRPr="006B33FE">
        <w:rPr>
          <w:rFonts w:asciiTheme="minorHAnsi" w:hAnsiTheme="minorHAnsi" w:cstheme="minorHAnsi"/>
          <w:i/>
        </w:rPr>
        <w:t>Behaviour Change and Energy Use</w:t>
      </w:r>
      <w:r w:rsidRPr="004D64C4">
        <w:rPr>
          <w:rFonts w:asciiTheme="minorHAnsi" w:hAnsiTheme="minorHAnsi" w:cstheme="minorHAnsi"/>
          <w:i/>
        </w:rPr>
        <w:t>.</w:t>
      </w:r>
      <w:proofErr w:type="gramEnd"/>
      <w:r w:rsidRPr="004D64C4">
        <w:rPr>
          <w:rFonts w:asciiTheme="minorHAnsi" w:hAnsiTheme="minorHAnsi" w:cstheme="minorHAnsi"/>
          <w:i/>
        </w:rPr>
        <w:t xml:space="preserve"> </w:t>
      </w:r>
      <w:proofErr w:type="gramStart"/>
      <w:r w:rsidRPr="004D64C4">
        <w:rPr>
          <w:rFonts w:asciiTheme="minorHAnsi" w:hAnsiTheme="minorHAnsi" w:cstheme="minorHAnsi"/>
        </w:rPr>
        <w:t>Cabinet Office.</w:t>
      </w:r>
      <w:proofErr w:type="gramEnd"/>
    </w:p>
  </w:footnote>
  <w:footnote w:id="9">
    <w:p w14:paraId="53F623D2" w14:textId="01062AD0" w:rsidR="00A065B9" w:rsidRDefault="00A065B9">
      <w:pPr>
        <w:pStyle w:val="FootnoteText"/>
      </w:pPr>
      <w:r w:rsidRPr="004D64C4">
        <w:rPr>
          <w:rStyle w:val="FootnoteReference"/>
          <w:rFonts w:asciiTheme="minorHAnsi" w:hAnsiTheme="minorHAnsi" w:cstheme="minorHAnsi"/>
        </w:rPr>
        <w:footnoteRef/>
      </w:r>
      <w:r w:rsidRPr="004D64C4">
        <w:rPr>
          <w:rFonts w:asciiTheme="minorHAnsi" w:hAnsiTheme="minorHAnsi" w:cstheme="minorHAnsi"/>
        </w:rPr>
        <w:t xml:space="preserve"> </w:t>
      </w:r>
      <w:hyperlink r:id="rId3" w:history="1">
        <w:r w:rsidRPr="00F079C3">
          <w:rPr>
            <w:rStyle w:val="Hyperlink"/>
            <w:rFonts w:asciiTheme="minorHAnsi" w:hAnsiTheme="minorHAnsi" w:cstheme="minorHAnsi"/>
          </w:rPr>
          <w:t>http://www.fca.org.uk/your-fca/documents/occasional-papers/occasional-paper-1</w:t>
        </w:r>
      </w:hyperlink>
      <w:r>
        <w:t xml:space="preserve"> </w:t>
      </w:r>
    </w:p>
  </w:footnote>
  <w:footnote w:id="10">
    <w:p w14:paraId="27191F1E" w14:textId="7892D223" w:rsidR="00A065B9" w:rsidRPr="00852E3B" w:rsidRDefault="00A065B9">
      <w:pPr>
        <w:pStyle w:val="FootnoteText"/>
      </w:pPr>
      <w:r w:rsidRPr="00852E3B">
        <w:rPr>
          <w:rStyle w:val="FootnoteReference"/>
          <w:rFonts w:asciiTheme="minorHAnsi" w:hAnsiTheme="minorHAnsi" w:cstheme="minorHAnsi"/>
        </w:rPr>
        <w:footnoteRef/>
      </w:r>
      <w:r w:rsidRPr="00852E3B">
        <w:rPr>
          <w:rFonts w:asciiTheme="minorHAnsi" w:hAnsiTheme="minorHAnsi" w:cstheme="minorHAnsi"/>
        </w:rPr>
        <w:t xml:space="preserve"> </w:t>
      </w:r>
      <w:proofErr w:type="spellStart"/>
      <w:r w:rsidRPr="00852E3B">
        <w:rPr>
          <w:rFonts w:asciiTheme="minorHAnsi" w:hAnsiTheme="minorHAnsi" w:cstheme="minorHAnsi"/>
        </w:rPr>
        <w:t>Kahneman</w:t>
      </w:r>
      <w:proofErr w:type="spellEnd"/>
      <w:r w:rsidRPr="00852E3B">
        <w:rPr>
          <w:rFonts w:asciiTheme="minorHAnsi" w:hAnsiTheme="minorHAnsi" w:cstheme="minorHAnsi"/>
        </w:rPr>
        <w:t>, D. (2002</w:t>
      </w:r>
      <w:r w:rsidRPr="00852E3B">
        <w:rPr>
          <w:rFonts w:asciiTheme="minorHAnsi" w:hAnsiTheme="minorHAnsi" w:cstheme="minorHAnsi"/>
          <w:i/>
        </w:rPr>
        <w:t>). Maps of Bounded Rationality: Psychology for Behavioural Economics</w:t>
      </w:r>
      <w:r>
        <w:rPr>
          <w:rFonts w:asciiTheme="minorHAnsi" w:hAnsiTheme="minorHAnsi" w:cs="Times New Roman"/>
        </w:rPr>
        <w:t xml:space="preserve">. </w:t>
      </w:r>
      <w:proofErr w:type="gramStart"/>
      <w:r>
        <w:rPr>
          <w:rFonts w:asciiTheme="minorHAnsi" w:hAnsiTheme="minorHAnsi" w:cs="Times New Roman"/>
        </w:rPr>
        <w:t xml:space="preserve">The Nobel </w:t>
      </w:r>
      <w:r w:rsidRPr="00852E3B">
        <w:rPr>
          <w:rFonts w:asciiTheme="minorHAnsi" w:hAnsiTheme="minorHAnsi" w:cs="Times New Roman"/>
        </w:rPr>
        <w:t>Foundation.</w:t>
      </w:r>
      <w:proofErr w:type="gramEnd"/>
    </w:p>
  </w:footnote>
  <w:footnote w:id="11">
    <w:p w14:paraId="05A80EA3" w14:textId="467E712D" w:rsidR="00A065B9" w:rsidRPr="00F079C3" w:rsidRDefault="00A065B9">
      <w:pPr>
        <w:pStyle w:val="FootnoteText"/>
        <w:rPr>
          <w:rFonts w:asciiTheme="minorHAnsi" w:hAnsiTheme="minorHAnsi"/>
          <w:lang w:val="en-US"/>
        </w:rPr>
      </w:pPr>
      <w:r w:rsidRPr="00F079C3">
        <w:rPr>
          <w:rStyle w:val="FootnoteReference"/>
          <w:rFonts w:asciiTheme="minorHAnsi" w:hAnsiTheme="minorHAnsi"/>
        </w:rPr>
        <w:footnoteRef/>
      </w:r>
      <w:r w:rsidRPr="00F079C3">
        <w:rPr>
          <w:rFonts w:asciiTheme="minorHAnsi" w:hAnsiTheme="minorHAnsi"/>
        </w:rPr>
        <w:t xml:space="preserve"> </w:t>
      </w:r>
      <w:r w:rsidRPr="0040650A">
        <w:rPr>
          <w:rFonts w:asciiTheme="minorHAnsi" w:hAnsiTheme="minorHAnsi"/>
          <w:lang w:val="en-US"/>
        </w:rPr>
        <w:t xml:space="preserve">Simon, H. (1948). </w:t>
      </w:r>
      <w:r w:rsidRPr="0040650A">
        <w:rPr>
          <w:rFonts w:asciiTheme="minorHAnsi" w:hAnsiTheme="minorHAnsi"/>
          <w:i/>
          <w:lang w:val="en-US"/>
        </w:rPr>
        <w:t xml:space="preserve">Administrative </w:t>
      </w:r>
      <w:proofErr w:type="spellStart"/>
      <w:r w:rsidRPr="0040650A">
        <w:rPr>
          <w:rFonts w:asciiTheme="minorHAnsi" w:hAnsiTheme="minorHAnsi"/>
          <w:i/>
          <w:lang w:val="en-US"/>
        </w:rPr>
        <w:t>Behaviour</w:t>
      </w:r>
      <w:proofErr w:type="spellEnd"/>
      <w:r w:rsidRPr="0040650A">
        <w:rPr>
          <w:rFonts w:asciiTheme="minorHAnsi" w:hAnsiTheme="minorHAnsi"/>
          <w:i/>
          <w:lang w:val="en-US"/>
        </w:rPr>
        <w:t xml:space="preserve">: A Study of the Decision Making Processes in Administrative </w:t>
      </w:r>
      <w:proofErr w:type="spellStart"/>
      <w:r w:rsidRPr="0040650A">
        <w:rPr>
          <w:rFonts w:asciiTheme="minorHAnsi" w:hAnsiTheme="minorHAnsi"/>
          <w:i/>
          <w:lang w:val="en-US"/>
        </w:rPr>
        <w:t>Organisation</w:t>
      </w:r>
      <w:proofErr w:type="spellEnd"/>
      <w:r w:rsidRPr="0040650A">
        <w:rPr>
          <w:rFonts w:asciiTheme="minorHAnsi" w:hAnsiTheme="minorHAnsi"/>
          <w:lang w:val="en-US"/>
        </w:rPr>
        <w:t>. Macmillan.</w:t>
      </w:r>
    </w:p>
  </w:footnote>
  <w:footnote w:id="12">
    <w:p w14:paraId="362976FD" w14:textId="792D4A23" w:rsidR="00A065B9" w:rsidRPr="00852E3B" w:rsidRDefault="00A065B9" w:rsidP="00852E3B">
      <w:pPr>
        <w:spacing w:after="0" w:line="288" w:lineRule="atLeast"/>
        <w:rPr>
          <w:rFonts w:eastAsia="Times New Roman" w:cstheme="minorHAnsi"/>
          <w:sz w:val="20"/>
          <w:szCs w:val="20"/>
          <w:lang w:val="en" w:eastAsia="en-GB"/>
        </w:rPr>
      </w:pPr>
      <w:r w:rsidRPr="00F079C3">
        <w:rPr>
          <w:rStyle w:val="FootnoteReference"/>
          <w:rFonts w:cstheme="minorHAnsi"/>
          <w:sz w:val="20"/>
          <w:szCs w:val="20"/>
        </w:rPr>
        <w:footnoteRef/>
      </w:r>
      <w:r w:rsidRPr="00F079C3">
        <w:rPr>
          <w:rFonts w:cstheme="minorHAnsi"/>
          <w:sz w:val="20"/>
          <w:szCs w:val="20"/>
        </w:rPr>
        <w:t xml:space="preserve"> </w:t>
      </w:r>
      <w:proofErr w:type="gramStart"/>
      <w:r w:rsidRPr="00F079C3">
        <w:rPr>
          <w:rFonts w:cstheme="minorHAnsi"/>
          <w:sz w:val="20"/>
          <w:szCs w:val="20"/>
        </w:rPr>
        <w:t>Saggar, S. (2013</w:t>
      </w:r>
      <w:r w:rsidRPr="00F079C3">
        <w:rPr>
          <w:rFonts w:cstheme="minorHAnsi"/>
          <w:i/>
          <w:sz w:val="20"/>
          <w:szCs w:val="20"/>
        </w:rPr>
        <w:t>).</w:t>
      </w:r>
      <w:proofErr w:type="gramEnd"/>
      <w:r w:rsidRPr="00F079C3">
        <w:rPr>
          <w:rFonts w:cstheme="minorHAnsi"/>
          <w:i/>
          <w:sz w:val="20"/>
          <w:szCs w:val="20"/>
        </w:rPr>
        <w:t xml:space="preserve"> Regulation and Fairness: An emerging opportunity</w:t>
      </w:r>
      <w:r w:rsidRPr="00F079C3">
        <w:rPr>
          <w:rFonts w:cstheme="minorHAnsi"/>
          <w:sz w:val="20"/>
          <w:szCs w:val="20"/>
        </w:rPr>
        <w:t xml:space="preserve">. </w:t>
      </w:r>
      <w:proofErr w:type="gramStart"/>
      <w:r w:rsidRPr="00F079C3">
        <w:rPr>
          <w:rFonts w:cstheme="minorHAnsi"/>
          <w:sz w:val="20"/>
          <w:szCs w:val="20"/>
        </w:rPr>
        <w:t>Policy Network.</w:t>
      </w:r>
      <w:proofErr w:type="gramEnd"/>
      <w:r>
        <w:rPr>
          <w:rFonts w:cstheme="minorHAnsi"/>
          <w:sz w:val="20"/>
          <w:szCs w:val="20"/>
        </w:rPr>
        <w:t xml:space="preserve"> See:</w:t>
      </w:r>
      <w:r w:rsidRPr="00F079C3">
        <w:rPr>
          <w:rFonts w:cstheme="minorHAnsi"/>
          <w:sz w:val="20"/>
          <w:szCs w:val="20"/>
        </w:rPr>
        <w:t xml:space="preserve"> </w:t>
      </w:r>
      <w:hyperlink r:id="rId4" w:history="1">
        <w:r w:rsidRPr="00F079C3">
          <w:rPr>
            <w:rStyle w:val="Hyperlink"/>
            <w:rFonts w:eastAsia="Times New Roman" w:cstheme="minorHAnsi"/>
            <w:sz w:val="20"/>
            <w:szCs w:val="20"/>
            <w:lang w:val="en" w:eastAsia="en-GB"/>
          </w:rPr>
          <w:t>www.policy-</w:t>
        </w:r>
        <w:r w:rsidRPr="00F079C3">
          <w:rPr>
            <w:rStyle w:val="Hyperlink"/>
            <w:rFonts w:eastAsia="Times New Roman" w:cstheme="minorHAnsi"/>
            <w:bCs/>
            <w:sz w:val="20"/>
            <w:szCs w:val="20"/>
            <w:lang w:val="en" w:eastAsia="en-GB"/>
          </w:rPr>
          <w:t>network</w:t>
        </w:r>
        <w:r w:rsidRPr="00F079C3">
          <w:rPr>
            <w:rStyle w:val="Hyperlink"/>
            <w:rFonts w:eastAsia="Times New Roman" w:cstheme="minorHAnsi"/>
            <w:sz w:val="20"/>
            <w:szCs w:val="20"/>
            <w:lang w:val="en" w:eastAsia="en-GB"/>
          </w:rPr>
          <w:t>.net/publications_download.aspx?ID=8186</w:t>
        </w:r>
      </w:hyperlink>
      <w:r>
        <w:rPr>
          <w:rFonts w:eastAsia="Times New Roman" w:cstheme="minorHAnsi"/>
          <w:sz w:val="20"/>
          <w:szCs w:val="20"/>
          <w:lang w:val="en" w:eastAsia="en-GB"/>
        </w:rPr>
        <w:t xml:space="preserve">  </w:t>
      </w:r>
    </w:p>
  </w:footnote>
  <w:footnote w:id="13">
    <w:p w14:paraId="25A8616E" w14:textId="5A5078AD" w:rsidR="00A065B9" w:rsidRPr="000A16EC" w:rsidRDefault="00A065B9" w:rsidP="00E85492">
      <w:pPr>
        <w:pStyle w:val="FootnoteText"/>
        <w:rPr>
          <w:rFonts w:asciiTheme="minorHAnsi" w:hAnsiTheme="minorHAnsi"/>
        </w:rPr>
      </w:pPr>
      <w:r w:rsidRPr="000A16EC">
        <w:rPr>
          <w:rStyle w:val="FootnoteReference"/>
          <w:rFonts w:asciiTheme="minorHAnsi" w:hAnsiTheme="minorHAnsi"/>
        </w:rPr>
        <w:footnoteRef/>
      </w:r>
      <w:r w:rsidRPr="000A16EC">
        <w:rPr>
          <w:rFonts w:asciiTheme="minorHAnsi" w:hAnsiTheme="minorHAnsi"/>
        </w:rPr>
        <w:t xml:space="preserve"> Dolan </w:t>
      </w:r>
      <w:proofErr w:type="gramStart"/>
      <w:r w:rsidRPr="00852E3B">
        <w:rPr>
          <w:rFonts w:asciiTheme="minorHAnsi" w:hAnsiTheme="minorHAnsi"/>
          <w:i/>
        </w:rPr>
        <w:t>et</w:t>
      </w:r>
      <w:proofErr w:type="gramEnd"/>
      <w:r>
        <w:rPr>
          <w:rFonts w:asciiTheme="minorHAnsi" w:hAnsiTheme="minorHAnsi"/>
          <w:i/>
        </w:rPr>
        <w:t>.</w:t>
      </w:r>
      <w:r w:rsidRPr="00852E3B">
        <w:rPr>
          <w:rFonts w:asciiTheme="minorHAnsi" w:hAnsiTheme="minorHAnsi"/>
          <w:i/>
        </w:rPr>
        <w:t xml:space="preserve"> al</w:t>
      </w:r>
      <w:proofErr w:type="gramStart"/>
      <w:r>
        <w:rPr>
          <w:rFonts w:asciiTheme="minorHAnsi" w:hAnsiTheme="minorHAnsi"/>
        </w:rPr>
        <w:t>.</w:t>
      </w:r>
      <w:r w:rsidRPr="000A16EC">
        <w:rPr>
          <w:rFonts w:asciiTheme="minorHAnsi" w:hAnsiTheme="minorHAnsi"/>
        </w:rPr>
        <w:t>(</w:t>
      </w:r>
      <w:proofErr w:type="gramEnd"/>
      <w:r w:rsidRPr="000A16EC">
        <w:rPr>
          <w:rFonts w:asciiTheme="minorHAnsi" w:hAnsiTheme="minorHAnsi"/>
        </w:rPr>
        <w:t xml:space="preserve">2010). </w:t>
      </w:r>
      <w:proofErr w:type="gramStart"/>
      <w:r w:rsidRPr="000A16EC">
        <w:rPr>
          <w:rFonts w:asciiTheme="minorHAnsi" w:hAnsiTheme="minorHAnsi"/>
          <w:i/>
        </w:rPr>
        <w:t>MINDSPACE.</w:t>
      </w:r>
      <w:proofErr w:type="gramEnd"/>
      <w:r w:rsidRPr="000A16EC">
        <w:rPr>
          <w:rFonts w:asciiTheme="minorHAnsi" w:hAnsiTheme="minorHAnsi"/>
          <w:i/>
        </w:rPr>
        <w:t xml:space="preserve"> </w:t>
      </w:r>
      <w:proofErr w:type="gramStart"/>
      <w:r w:rsidRPr="000A16EC">
        <w:rPr>
          <w:rFonts w:asciiTheme="minorHAnsi" w:hAnsiTheme="minorHAnsi"/>
          <w:i/>
        </w:rPr>
        <w:t>Influencing behaviour through public policy.</w:t>
      </w:r>
      <w:proofErr w:type="gramEnd"/>
      <w:r w:rsidRPr="000A16EC">
        <w:rPr>
          <w:rFonts w:asciiTheme="minorHAnsi" w:hAnsiTheme="minorHAnsi"/>
          <w:i/>
        </w:rPr>
        <w:t xml:space="preserve"> </w:t>
      </w:r>
      <w:proofErr w:type="gramStart"/>
      <w:r w:rsidRPr="000A16EC">
        <w:rPr>
          <w:rFonts w:asciiTheme="minorHAnsi" w:hAnsiTheme="minorHAnsi"/>
        </w:rPr>
        <w:t>Cabinet Office.</w:t>
      </w:r>
      <w:proofErr w:type="gramEnd"/>
    </w:p>
  </w:footnote>
  <w:footnote w:id="14">
    <w:p w14:paraId="5F930E10" w14:textId="77777777" w:rsidR="00A065B9" w:rsidRPr="00852E3B" w:rsidRDefault="00A065B9" w:rsidP="00B70296">
      <w:pPr>
        <w:pStyle w:val="FootnoteText"/>
        <w:rPr>
          <w:rFonts w:asciiTheme="minorHAnsi" w:hAnsiTheme="minorHAnsi"/>
        </w:rPr>
      </w:pPr>
      <w:r w:rsidRPr="00903221">
        <w:rPr>
          <w:rStyle w:val="FootnoteReference"/>
          <w:rFonts w:asciiTheme="minorHAnsi" w:hAnsiTheme="minorHAnsi"/>
        </w:rPr>
        <w:footnoteRef/>
      </w:r>
      <w:r w:rsidRPr="00903221">
        <w:rPr>
          <w:rFonts w:asciiTheme="minorHAnsi" w:hAnsiTheme="minorHAnsi"/>
        </w:rPr>
        <w:t xml:space="preserve"> </w:t>
      </w:r>
      <w:proofErr w:type="spellStart"/>
      <w:proofErr w:type="gramStart"/>
      <w:r w:rsidRPr="00903221">
        <w:rPr>
          <w:rFonts w:asciiTheme="minorHAnsi" w:hAnsiTheme="minorHAnsi"/>
        </w:rPr>
        <w:t>Dawney</w:t>
      </w:r>
      <w:proofErr w:type="spellEnd"/>
      <w:r w:rsidRPr="00903221">
        <w:rPr>
          <w:rFonts w:asciiTheme="minorHAnsi" w:hAnsiTheme="minorHAnsi"/>
        </w:rPr>
        <w:t xml:space="preserve">, E. &amp; Shah, H. </w:t>
      </w:r>
      <w:r>
        <w:rPr>
          <w:rFonts w:asciiTheme="minorHAnsi" w:hAnsiTheme="minorHAnsi"/>
        </w:rPr>
        <w:t>(2005).</w:t>
      </w:r>
      <w:proofErr w:type="gramEnd"/>
      <w:r>
        <w:rPr>
          <w:rFonts w:asciiTheme="minorHAnsi" w:hAnsiTheme="minorHAnsi"/>
        </w:rPr>
        <w:t xml:space="preserve"> </w:t>
      </w:r>
      <w:r w:rsidRPr="00852E3B">
        <w:rPr>
          <w:rFonts w:asciiTheme="minorHAnsi" w:hAnsiTheme="minorHAnsi"/>
          <w:i/>
        </w:rPr>
        <w:t>Behavioural Economics: Seven principles for policy-makers</w:t>
      </w:r>
      <w:r w:rsidRPr="00903221">
        <w:rPr>
          <w:rFonts w:asciiTheme="minorHAnsi" w:hAnsiTheme="minorHAnsi"/>
        </w:rPr>
        <w:t xml:space="preserve">. </w:t>
      </w:r>
      <w:proofErr w:type="gramStart"/>
      <w:r w:rsidRPr="00852E3B">
        <w:rPr>
          <w:rFonts w:asciiTheme="minorHAnsi" w:hAnsiTheme="minorHAnsi"/>
        </w:rPr>
        <w:t>New Economics Foundation.</w:t>
      </w:r>
      <w:proofErr w:type="gramEnd"/>
      <w:r w:rsidRPr="00852E3B">
        <w:rPr>
          <w:rFonts w:asciiTheme="minorHAnsi" w:hAnsiTheme="minorHAnsi"/>
        </w:rPr>
        <w:t xml:space="preserve"> </w:t>
      </w:r>
    </w:p>
  </w:footnote>
  <w:footnote w:id="15">
    <w:p w14:paraId="686EA517" w14:textId="204CB45B" w:rsidR="00A065B9" w:rsidRDefault="00A065B9" w:rsidP="00FE130B">
      <w:pPr>
        <w:pStyle w:val="FootnoteText"/>
      </w:pPr>
      <w:r>
        <w:rPr>
          <w:rStyle w:val="FootnoteReference"/>
        </w:rPr>
        <w:footnoteRef/>
      </w:r>
      <w:r>
        <w:t xml:space="preserve"> </w:t>
      </w:r>
      <w:proofErr w:type="spellStart"/>
      <w:proofErr w:type="gramStart"/>
      <w:r>
        <w:rPr>
          <w:rFonts w:asciiTheme="minorHAnsi" w:hAnsiTheme="minorHAnsi"/>
        </w:rPr>
        <w:t>Dawney</w:t>
      </w:r>
      <w:proofErr w:type="spellEnd"/>
      <w:r>
        <w:rPr>
          <w:rFonts w:asciiTheme="minorHAnsi" w:hAnsiTheme="minorHAnsi"/>
        </w:rPr>
        <w:t>,</w:t>
      </w:r>
      <w:proofErr w:type="gramEnd"/>
      <w:r>
        <w:rPr>
          <w:rFonts w:asciiTheme="minorHAnsi" w:hAnsiTheme="minorHAnsi"/>
        </w:rPr>
        <w:t xml:space="preserve"> &amp; Shah.</w:t>
      </w:r>
      <w:r w:rsidRPr="00903221">
        <w:rPr>
          <w:rFonts w:asciiTheme="minorHAnsi" w:hAnsiTheme="minorHAnsi"/>
        </w:rPr>
        <w:t xml:space="preserve"> </w:t>
      </w:r>
      <w:r>
        <w:rPr>
          <w:rFonts w:asciiTheme="minorHAnsi" w:hAnsiTheme="minorHAnsi"/>
        </w:rPr>
        <w:t xml:space="preserve">(2005). </w:t>
      </w:r>
      <w:r>
        <w:rPr>
          <w:rFonts w:asciiTheme="minorHAnsi" w:hAnsiTheme="minorHAnsi"/>
          <w:i/>
        </w:rPr>
        <w:t>Behavioural Economics</w:t>
      </w:r>
      <w:r w:rsidRPr="00852E3B">
        <w:rPr>
          <w:rFonts w:asciiTheme="minorHAnsi" w:hAnsiTheme="minorHAnsi"/>
          <w:i/>
        </w:rPr>
        <w:t>: Seven principles for policy-makers</w:t>
      </w:r>
      <w:r w:rsidRPr="00903221">
        <w:rPr>
          <w:rFonts w:asciiTheme="minorHAnsi" w:hAnsiTheme="minorHAnsi"/>
        </w:rPr>
        <w:t xml:space="preserve">. </w:t>
      </w:r>
      <w:proofErr w:type="gramStart"/>
      <w:r w:rsidRPr="00852E3B">
        <w:rPr>
          <w:rFonts w:asciiTheme="minorHAnsi" w:hAnsiTheme="minorHAnsi"/>
        </w:rPr>
        <w:t>New Economics Foundation.</w:t>
      </w:r>
      <w:proofErr w:type="gramEnd"/>
    </w:p>
  </w:footnote>
  <w:footnote w:id="16">
    <w:p w14:paraId="40B5EAFF" w14:textId="5F179389" w:rsidR="00A065B9" w:rsidRPr="00942B6E" w:rsidRDefault="00A065B9">
      <w:pPr>
        <w:pStyle w:val="FootnoteText"/>
        <w:rPr>
          <w:rFonts w:asciiTheme="minorHAnsi" w:hAnsiTheme="minorHAnsi" w:cstheme="minorHAnsi"/>
        </w:rPr>
      </w:pPr>
      <w:r w:rsidRPr="00942B6E">
        <w:rPr>
          <w:rStyle w:val="FootnoteReference"/>
          <w:rFonts w:asciiTheme="minorHAnsi" w:hAnsiTheme="minorHAnsi" w:cstheme="minorHAnsi"/>
        </w:rPr>
        <w:footnoteRef/>
      </w:r>
      <w:r w:rsidRPr="00942B6E">
        <w:rPr>
          <w:rFonts w:asciiTheme="minorHAnsi" w:hAnsiTheme="minorHAnsi" w:cstheme="minorHAnsi"/>
        </w:rPr>
        <w:t xml:space="preserve"> </w:t>
      </w:r>
      <w:proofErr w:type="gramStart"/>
      <w:r w:rsidRPr="00942B6E">
        <w:rPr>
          <w:rFonts w:asciiTheme="minorHAnsi" w:hAnsiTheme="minorHAnsi" w:cstheme="minorHAnsi"/>
        </w:rPr>
        <w:t>On-going trials and emerging findings - Cross Government Behaviour Change Network Practitioners Conference, November 2013.</w:t>
      </w:r>
      <w:proofErr w:type="gramEnd"/>
    </w:p>
  </w:footnote>
  <w:footnote w:id="17">
    <w:p w14:paraId="52ED25EC" w14:textId="62EACB8F" w:rsidR="00A065B9" w:rsidRPr="00942B6E" w:rsidRDefault="00A065B9">
      <w:pPr>
        <w:pStyle w:val="FootnoteText"/>
        <w:rPr>
          <w:rFonts w:asciiTheme="minorHAnsi" w:hAnsiTheme="minorHAnsi" w:cstheme="minorHAnsi"/>
        </w:rPr>
      </w:pPr>
      <w:r w:rsidRPr="00942B6E">
        <w:rPr>
          <w:rStyle w:val="FootnoteReference"/>
          <w:rFonts w:asciiTheme="minorHAnsi" w:hAnsiTheme="minorHAnsi" w:cstheme="minorHAnsi"/>
        </w:rPr>
        <w:footnoteRef/>
      </w:r>
      <w:r w:rsidRPr="00942B6E">
        <w:rPr>
          <w:rFonts w:asciiTheme="minorHAnsi" w:hAnsiTheme="minorHAnsi" w:cstheme="minorHAnsi"/>
        </w:rPr>
        <w:t xml:space="preserve"> </w:t>
      </w:r>
      <w:proofErr w:type="gramStart"/>
      <w:r w:rsidRPr="00942B6E">
        <w:rPr>
          <w:rFonts w:asciiTheme="minorHAnsi" w:hAnsiTheme="minorHAnsi" w:cstheme="minorHAnsi"/>
        </w:rPr>
        <w:t>On-going trials and emerging findings - Cross Government Behaviour Change Network Practitioners Conference, November 2013.</w:t>
      </w:r>
      <w:proofErr w:type="gramEnd"/>
    </w:p>
  </w:footnote>
  <w:footnote w:id="18">
    <w:p w14:paraId="7DC100C7" w14:textId="64901074" w:rsidR="00A065B9" w:rsidRDefault="00A065B9">
      <w:pPr>
        <w:pStyle w:val="FootnoteText"/>
      </w:pPr>
      <w:r w:rsidRPr="00942B6E">
        <w:rPr>
          <w:rStyle w:val="FootnoteReference"/>
          <w:rFonts w:asciiTheme="minorHAnsi" w:hAnsiTheme="minorHAnsi" w:cstheme="minorHAnsi"/>
        </w:rPr>
        <w:footnoteRef/>
      </w:r>
      <w:r w:rsidRPr="00942B6E">
        <w:rPr>
          <w:rFonts w:asciiTheme="minorHAnsi" w:hAnsiTheme="minorHAnsi" w:cstheme="minorHAnsi"/>
        </w:rPr>
        <w:t xml:space="preserve"> </w:t>
      </w:r>
      <w:proofErr w:type="gramStart"/>
      <w:r w:rsidRPr="00942B6E">
        <w:rPr>
          <w:rFonts w:asciiTheme="minorHAnsi" w:hAnsiTheme="minorHAnsi" w:cstheme="minorHAnsi"/>
        </w:rPr>
        <w:t>On-going trials and emerging findings - Cross Government Behaviour Change Network Practitioners Conference, November 2013.</w:t>
      </w:r>
      <w:proofErr w:type="gramEnd"/>
    </w:p>
  </w:footnote>
  <w:footnote w:id="19">
    <w:p w14:paraId="46D18C08" w14:textId="77777777" w:rsidR="00A065B9" w:rsidRPr="00125F59" w:rsidRDefault="00A065B9" w:rsidP="00802F37">
      <w:pPr>
        <w:pStyle w:val="FootnoteText"/>
        <w:rPr>
          <w:rFonts w:asciiTheme="minorHAnsi" w:hAnsiTheme="minorHAnsi" w:cstheme="minorHAnsi"/>
        </w:rPr>
      </w:pPr>
      <w:r w:rsidRPr="00125F59">
        <w:rPr>
          <w:rStyle w:val="FootnoteReference"/>
          <w:rFonts w:asciiTheme="minorHAnsi" w:hAnsiTheme="minorHAnsi" w:cstheme="minorHAnsi"/>
        </w:rPr>
        <w:footnoteRef/>
      </w:r>
      <w:r w:rsidRPr="00125F59">
        <w:rPr>
          <w:rFonts w:asciiTheme="minorHAnsi" w:hAnsiTheme="minorHAnsi" w:cstheme="minorHAnsi"/>
        </w:rPr>
        <w:t xml:space="preserve"> </w:t>
      </w:r>
      <w:proofErr w:type="gramStart"/>
      <w:r w:rsidRPr="00125F59">
        <w:rPr>
          <w:rFonts w:asciiTheme="minorHAnsi" w:hAnsiTheme="minorHAnsi" w:cstheme="minorHAnsi"/>
        </w:rPr>
        <w:t>FSA (2008).</w:t>
      </w:r>
      <w:proofErr w:type="gramEnd"/>
      <w:r w:rsidRPr="00125F59">
        <w:rPr>
          <w:rFonts w:asciiTheme="minorHAnsi" w:hAnsiTheme="minorHAnsi" w:cstheme="minorHAnsi"/>
        </w:rPr>
        <w:t xml:space="preserve"> </w:t>
      </w:r>
      <w:r w:rsidRPr="00125F59">
        <w:rPr>
          <w:rFonts w:asciiTheme="minorHAnsi" w:hAnsiTheme="minorHAnsi" w:cstheme="minorHAnsi"/>
          <w:i/>
        </w:rPr>
        <w:t>Financial Capability: A Behavioural Economics Perspective.</w:t>
      </w:r>
    </w:p>
  </w:footnote>
  <w:footnote w:id="20">
    <w:p w14:paraId="0DEF4C0A" w14:textId="77777777" w:rsidR="00A065B9" w:rsidRPr="00F079C3" w:rsidRDefault="00A065B9" w:rsidP="005B5355">
      <w:pPr>
        <w:pStyle w:val="FootnoteText"/>
        <w:rPr>
          <w:rFonts w:asciiTheme="minorHAnsi" w:hAnsiTheme="minorHAnsi" w:cstheme="minorHAnsi"/>
        </w:rPr>
      </w:pPr>
      <w:r w:rsidRPr="00F079C3">
        <w:rPr>
          <w:rStyle w:val="FootnoteReference"/>
          <w:rFonts w:asciiTheme="minorHAnsi" w:hAnsiTheme="minorHAnsi" w:cstheme="minorHAnsi"/>
        </w:rPr>
        <w:footnoteRef/>
      </w:r>
      <w:r w:rsidRPr="00F079C3">
        <w:rPr>
          <w:rFonts w:asciiTheme="minorHAnsi" w:hAnsiTheme="minorHAnsi" w:cstheme="minorHAnsi"/>
        </w:rPr>
        <w:t xml:space="preserve"> </w:t>
      </w:r>
      <w:proofErr w:type="gramStart"/>
      <w:r w:rsidRPr="00F079C3">
        <w:rPr>
          <w:rFonts w:asciiTheme="minorHAnsi" w:hAnsiTheme="minorHAnsi" w:cstheme="minorHAnsi"/>
        </w:rPr>
        <w:t>Wheatley, M. (2013).</w:t>
      </w:r>
      <w:proofErr w:type="gramEnd"/>
      <w:r w:rsidRPr="00F079C3">
        <w:rPr>
          <w:rFonts w:asciiTheme="minorHAnsi" w:hAnsiTheme="minorHAnsi" w:cstheme="minorHAnsi"/>
        </w:rPr>
        <w:t xml:space="preserve"> </w:t>
      </w:r>
      <w:proofErr w:type="gramStart"/>
      <w:r w:rsidRPr="00F079C3">
        <w:rPr>
          <w:rFonts w:asciiTheme="minorHAnsi" w:hAnsiTheme="minorHAnsi" w:cstheme="minorHAnsi"/>
          <w:i/>
        </w:rPr>
        <w:t>Building on Experience.</w:t>
      </w:r>
      <w:proofErr w:type="gramEnd"/>
      <w:r w:rsidRPr="00F079C3">
        <w:rPr>
          <w:rFonts w:asciiTheme="minorHAnsi" w:hAnsiTheme="minorHAnsi" w:cstheme="minorHAnsi"/>
          <w:i/>
        </w:rPr>
        <w:t xml:space="preserve"> </w:t>
      </w:r>
      <w:hyperlink r:id="rId5" w:history="1">
        <w:r w:rsidRPr="00F079C3">
          <w:rPr>
            <w:rStyle w:val="Hyperlink"/>
            <w:rFonts w:asciiTheme="minorHAnsi" w:hAnsiTheme="minorHAnsi" w:cstheme="minorHAnsi"/>
          </w:rPr>
          <w:t>http://www.fca.org.uk/news/speeches/building-on-experience</w:t>
        </w:r>
      </w:hyperlink>
      <w:r w:rsidRPr="00F079C3">
        <w:rPr>
          <w:rFonts w:asciiTheme="minorHAnsi" w:hAnsiTheme="minorHAnsi" w:cstheme="minorHAnsi"/>
          <w:i/>
        </w:rPr>
        <w:t xml:space="preserve"> </w:t>
      </w:r>
    </w:p>
  </w:footnote>
  <w:footnote w:id="21">
    <w:p w14:paraId="12264041" w14:textId="3517872E" w:rsidR="00A065B9" w:rsidRPr="00F079C3" w:rsidRDefault="00A065B9" w:rsidP="005B5355">
      <w:pPr>
        <w:shd w:val="clear" w:color="auto" w:fill="FFFFFF"/>
        <w:spacing w:after="0" w:line="240" w:lineRule="auto"/>
        <w:outlineLvl w:val="1"/>
        <w:rPr>
          <w:rFonts w:eastAsia="Times New Roman" w:cstheme="minorHAnsi"/>
          <w:bCs/>
          <w:color w:val="0996A0"/>
          <w:kern w:val="36"/>
          <w:sz w:val="20"/>
          <w:szCs w:val="20"/>
          <w:lang w:val="en" w:eastAsia="en-GB"/>
        </w:rPr>
      </w:pPr>
      <w:r w:rsidRPr="00F079C3">
        <w:rPr>
          <w:rStyle w:val="FootnoteReference"/>
          <w:rFonts w:cstheme="minorHAnsi"/>
          <w:sz w:val="20"/>
          <w:szCs w:val="20"/>
        </w:rPr>
        <w:footnoteRef/>
      </w:r>
      <w:r w:rsidRPr="00F079C3">
        <w:rPr>
          <w:rFonts w:cstheme="minorHAnsi"/>
          <w:sz w:val="20"/>
          <w:szCs w:val="20"/>
        </w:rPr>
        <w:t xml:space="preserve"> </w:t>
      </w:r>
      <w:proofErr w:type="gramStart"/>
      <w:r w:rsidRPr="00F079C3">
        <w:rPr>
          <w:rFonts w:eastAsia="Times New Roman" w:cstheme="minorHAnsi"/>
          <w:bCs/>
          <w:kern w:val="36"/>
          <w:sz w:val="20"/>
          <w:szCs w:val="20"/>
          <w:lang w:val="en" w:eastAsia="en-GB"/>
        </w:rPr>
        <w:t xml:space="preserve">Otto </w:t>
      </w:r>
      <w:proofErr w:type="spellStart"/>
      <w:r w:rsidRPr="00F079C3">
        <w:rPr>
          <w:rFonts w:eastAsia="Times New Roman" w:cstheme="minorHAnsi"/>
          <w:bCs/>
          <w:kern w:val="36"/>
          <w:sz w:val="20"/>
          <w:szCs w:val="20"/>
          <w:lang w:val="en" w:eastAsia="en-GB"/>
        </w:rPr>
        <w:t>Thoresen</w:t>
      </w:r>
      <w:proofErr w:type="spellEnd"/>
      <w:r w:rsidRPr="00F079C3">
        <w:rPr>
          <w:rFonts w:eastAsia="Times New Roman" w:cstheme="minorHAnsi"/>
          <w:bCs/>
          <w:kern w:val="36"/>
          <w:sz w:val="20"/>
          <w:szCs w:val="20"/>
          <w:lang w:val="en" w:eastAsia="en-GB"/>
        </w:rPr>
        <w:t xml:space="preserve"> speech at NEST Annual Forum - 24 June 2013.</w:t>
      </w:r>
      <w:proofErr w:type="gramEnd"/>
      <w:r w:rsidRPr="00F079C3">
        <w:rPr>
          <w:rFonts w:eastAsia="Times New Roman" w:cstheme="minorHAnsi"/>
          <w:bCs/>
          <w:kern w:val="36"/>
          <w:sz w:val="20"/>
          <w:szCs w:val="20"/>
          <w:lang w:val="en" w:eastAsia="en-GB"/>
        </w:rPr>
        <w:t xml:space="preserve"> </w:t>
      </w:r>
      <w:hyperlink r:id="rId6" w:history="1">
        <w:r w:rsidRPr="00F079C3">
          <w:rPr>
            <w:rStyle w:val="Hyperlink"/>
            <w:rFonts w:eastAsia="Times New Roman" w:cstheme="minorHAnsi"/>
            <w:bCs/>
            <w:kern w:val="36"/>
            <w:sz w:val="20"/>
            <w:szCs w:val="20"/>
            <w:lang w:val="en" w:eastAsia="en-GB"/>
          </w:rPr>
          <w:t>https://www.abi.org.uk/News/Speeches/2013/06/Otto-Thoresen-speech-at-NEST-Annual-Forum-2013</w:t>
        </w:r>
      </w:hyperlink>
      <w:r w:rsidRPr="00F079C3">
        <w:rPr>
          <w:rFonts w:eastAsia="Times New Roman" w:cstheme="minorHAnsi"/>
          <w:bCs/>
          <w:kern w:val="36"/>
          <w:sz w:val="20"/>
          <w:szCs w:val="20"/>
          <w:lang w:val="en" w:eastAsia="en-GB"/>
        </w:rPr>
        <w:t xml:space="preserve"> </w:t>
      </w:r>
    </w:p>
  </w:footnote>
  <w:footnote w:id="22">
    <w:p w14:paraId="607BAEFD" w14:textId="14D2ABFD" w:rsidR="00A065B9" w:rsidRPr="00F079C3" w:rsidRDefault="00A065B9" w:rsidP="005B5355">
      <w:pPr>
        <w:pStyle w:val="FootnoteText"/>
        <w:rPr>
          <w:rFonts w:asciiTheme="minorHAnsi" w:hAnsiTheme="minorHAnsi" w:cstheme="minorHAnsi"/>
        </w:rPr>
      </w:pPr>
      <w:r w:rsidRPr="00F079C3">
        <w:rPr>
          <w:rStyle w:val="FootnoteReference"/>
          <w:rFonts w:asciiTheme="minorHAnsi" w:hAnsiTheme="minorHAnsi" w:cstheme="minorHAnsi"/>
        </w:rPr>
        <w:footnoteRef/>
      </w:r>
      <w:r w:rsidRPr="00F079C3">
        <w:rPr>
          <w:rFonts w:asciiTheme="minorHAnsi" w:hAnsiTheme="minorHAnsi" w:cstheme="minorHAnsi"/>
        </w:rPr>
        <w:t xml:space="preserve"> </w:t>
      </w:r>
      <w:hyperlink r:id="rId7" w:history="1">
        <w:r w:rsidRPr="00F079C3">
          <w:rPr>
            <w:rStyle w:val="Hyperlink"/>
            <w:rFonts w:asciiTheme="minorHAnsi" w:hAnsiTheme="minorHAnsi" w:cstheme="minorHAnsi"/>
          </w:rPr>
          <w:t>http://www.fca.org.uk/your-fca/documents/occasional-papers/occasional-paper-1</w:t>
        </w:r>
      </w:hyperlink>
      <w:r w:rsidRPr="00F079C3">
        <w:rPr>
          <w:rFonts w:asciiTheme="minorHAnsi" w:hAnsiTheme="minorHAnsi" w:cstheme="minorHAnsi"/>
        </w:rPr>
        <w:t xml:space="preserve"> </w:t>
      </w:r>
    </w:p>
  </w:footnote>
  <w:footnote w:id="23">
    <w:p w14:paraId="52DF40E6" w14:textId="43359C56" w:rsidR="00A065B9" w:rsidRPr="00A329CE" w:rsidRDefault="00A065B9">
      <w:pPr>
        <w:pStyle w:val="FootnoteText"/>
      </w:pPr>
      <w:r>
        <w:rPr>
          <w:rStyle w:val="FootnoteReference"/>
        </w:rPr>
        <w:footnoteRef/>
      </w:r>
      <w:r>
        <w:t xml:space="preserve"> </w:t>
      </w:r>
      <w:proofErr w:type="gramStart"/>
      <w:r w:rsidRPr="00A329CE">
        <w:rPr>
          <w:rFonts w:asciiTheme="minorHAnsi" w:hAnsiTheme="minorHAnsi" w:cstheme="minorHAnsi"/>
        </w:rPr>
        <w:t>Behavioural Insights Team (2010).</w:t>
      </w:r>
      <w:proofErr w:type="gramEnd"/>
      <w:r w:rsidRPr="00A329CE">
        <w:rPr>
          <w:rFonts w:asciiTheme="minorHAnsi" w:hAnsiTheme="minorHAnsi" w:cstheme="minorHAnsi"/>
        </w:rPr>
        <w:t xml:space="preserve"> </w:t>
      </w:r>
      <w:proofErr w:type="gramStart"/>
      <w:r w:rsidRPr="00A329CE">
        <w:rPr>
          <w:rFonts w:asciiTheme="minorHAnsi" w:hAnsiTheme="minorHAnsi" w:cstheme="minorHAnsi"/>
          <w:i/>
        </w:rPr>
        <w:t>Applying Behavioural Insights to Health.</w:t>
      </w:r>
      <w:proofErr w:type="gramEnd"/>
      <w:r w:rsidRPr="00A329CE">
        <w:rPr>
          <w:rFonts w:asciiTheme="minorHAnsi" w:hAnsiTheme="minorHAnsi" w:cstheme="minorHAnsi"/>
          <w:i/>
        </w:rPr>
        <w:t xml:space="preserve"> </w:t>
      </w:r>
      <w:hyperlink r:id="rId8" w:history="1">
        <w:r w:rsidRPr="00A329CE">
          <w:rPr>
            <w:rStyle w:val="Hyperlink"/>
            <w:rFonts w:asciiTheme="minorHAnsi" w:hAnsiTheme="minorHAnsi" w:cstheme="minorHAnsi"/>
            <w:i/>
          </w:rPr>
          <w:t>https://www.gov.uk/government/publications/applying-behavioural-insight-to-health-behavioural-insights-team-paper</w:t>
        </w:r>
      </w:hyperlink>
      <w:r>
        <w:rPr>
          <w:i/>
        </w:rPr>
        <w:t xml:space="preserve"> </w:t>
      </w:r>
    </w:p>
  </w:footnote>
  <w:footnote w:id="24">
    <w:p w14:paraId="6DAB3EDA" w14:textId="17C60000" w:rsidR="00A065B9" w:rsidRPr="00942B6E" w:rsidRDefault="00A065B9" w:rsidP="00942B6E">
      <w:pPr>
        <w:rPr>
          <w:rFonts w:eastAsia="Times New Roman" w:cstheme="minorHAnsi"/>
          <w:sz w:val="20"/>
          <w:szCs w:val="20"/>
          <w:lang w:val="en" w:eastAsia="en-GB"/>
        </w:rPr>
      </w:pPr>
      <w:r w:rsidRPr="00942B6E">
        <w:rPr>
          <w:rStyle w:val="FootnoteReference"/>
          <w:rFonts w:cstheme="minorHAnsi"/>
          <w:sz w:val="20"/>
          <w:szCs w:val="20"/>
        </w:rPr>
        <w:footnoteRef/>
      </w:r>
      <w:r w:rsidRPr="00942B6E">
        <w:rPr>
          <w:rFonts w:cstheme="minorHAnsi"/>
          <w:sz w:val="20"/>
          <w:szCs w:val="20"/>
        </w:rPr>
        <w:t xml:space="preserve"> </w:t>
      </w:r>
      <w:proofErr w:type="gramStart"/>
      <w:r w:rsidRPr="00942B6E">
        <w:rPr>
          <w:rFonts w:eastAsia="Times New Roman" w:cstheme="minorHAnsi"/>
          <w:sz w:val="20"/>
          <w:szCs w:val="20"/>
          <w:lang w:val="en" w:eastAsia="en-GB"/>
        </w:rPr>
        <w:t>Gonzalez, R.; Seifert, C.; Yoon, C. (2010).</w:t>
      </w:r>
      <w:proofErr w:type="gramEnd"/>
      <w:r w:rsidRPr="00942B6E">
        <w:rPr>
          <w:rFonts w:eastAsia="Times New Roman" w:cstheme="minorHAnsi"/>
          <w:sz w:val="20"/>
          <w:szCs w:val="20"/>
          <w:lang w:val="en" w:eastAsia="en-GB"/>
        </w:rPr>
        <w:t xml:space="preserve"> </w:t>
      </w:r>
      <w:proofErr w:type="gramStart"/>
      <w:r w:rsidRPr="00942B6E">
        <w:rPr>
          <w:rFonts w:eastAsia="Times New Roman" w:cstheme="minorHAnsi"/>
          <w:sz w:val="20"/>
          <w:szCs w:val="20"/>
          <w:lang w:val="en" w:eastAsia="en-GB"/>
        </w:rPr>
        <w:t>‘The social psychology of seatbelt use’.</w:t>
      </w:r>
      <w:proofErr w:type="gramEnd"/>
      <w:r w:rsidRPr="00942B6E">
        <w:rPr>
          <w:rFonts w:cstheme="minorHAnsi"/>
          <w:sz w:val="20"/>
          <w:szCs w:val="20"/>
        </w:rPr>
        <w:t xml:space="preserve"> </w:t>
      </w:r>
      <w:proofErr w:type="gramStart"/>
      <w:r w:rsidRPr="00942B6E">
        <w:rPr>
          <w:rFonts w:cstheme="minorHAnsi"/>
          <w:sz w:val="20"/>
          <w:szCs w:val="20"/>
        </w:rPr>
        <w:t>The University of Michigan Transportation Research Institute</w:t>
      </w:r>
      <w:r>
        <w:rPr>
          <w:rFonts w:cstheme="minorHAnsi"/>
          <w:sz w:val="20"/>
          <w:szCs w:val="20"/>
        </w:rPr>
        <w:t>.</w:t>
      </w:r>
      <w:proofErr w:type="gramEnd"/>
    </w:p>
    <w:p w14:paraId="1921EFF1" w14:textId="6AF2C5F8" w:rsidR="00A065B9" w:rsidRPr="00F079C3" w:rsidRDefault="00A065B9">
      <w:pPr>
        <w:pStyle w:val="FootnoteText"/>
        <w:rPr>
          <w:rFonts w:asciiTheme="minorHAnsi" w:hAnsiTheme="minorHAnsi" w:cstheme="minorHAnsi"/>
        </w:rPr>
      </w:pPr>
    </w:p>
  </w:footnote>
  <w:footnote w:id="25">
    <w:p w14:paraId="524F57E9" w14:textId="20FDADB6" w:rsidR="00A065B9" w:rsidRPr="00F079C3" w:rsidRDefault="00A065B9">
      <w:pPr>
        <w:pStyle w:val="FootnoteText"/>
        <w:rPr>
          <w:rFonts w:asciiTheme="minorHAnsi" w:hAnsiTheme="minorHAnsi" w:cstheme="minorHAnsi"/>
          <w:lang w:val="en-US"/>
        </w:rPr>
      </w:pPr>
      <w:r w:rsidRPr="00F079C3">
        <w:rPr>
          <w:rStyle w:val="FootnoteReference"/>
          <w:rFonts w:asciiTheme="minorHAnsi" w:hAnsiTheme="minorHAnsi" w:cstheme="minorHAnsi"/>
        </w:rPr>
        <w:footnoteRef/>
      </w:r>
      <w:r w:rsidRPr="00F079C3">
        <w:rPr>
          <w:rFonts w:asciiTheme="minorHAnsi" w:hAnsiTheme="minorHAnsi" w:cstheme="minorHAnsi"/>
        </w:rPr>
        <w:t xml:space="preserve"> </w:t>
      </w:r>
      <w:r w:rsidRPr="00F079C3">
        <w:rPr>
          <w:rFonts w:asciiTheme="minorHAnsi" w:hAnsiTheme="minorHAnsi" w:cstheme="minorHAnsi"/>
          <w:szCs w:val="24"/>
        </w:rPr>
        <w:t>Dan Berry (DH), April 2013.</w:t>
      </w:r>
    </w:p>
  </w:footnote>
  <w:footnote w:id="26">
    <w:p w14:paraId="31DD3DB0" w14:textId="77777777" w:rsidR="00A065B9" w:rsidRPr="00F079C3" w:rsidRDefault="00A065B9" w:rsidP="007A4264">
      <w:pPr>
        <w:pStyle w:val="FootnoteText"/>
        <w:rPr>
          <w:rFonts w:asciiTheme="minorHAnsi" w:hAnsiTheme="minorHAnsi" w:cstheme="minorHAnsi"/>
        </w:rPr>
      </w:pPr>
      <w:r w:rsidRPr="00F079C3">
        <w:rPr>
          <w:rStyle w:val="FootnoteReference"/>
          <w:rFonts w:asciiTheme="minorHAnsi" w:hAnsiTheme="minorHAnsi" w:cstheme="minorHAnsi"/>
        </w:rPr>
        <w:footnoteRef/>
      </w:r>
      <w:r w:rsidRPr="00F079C3">
        <w:rPr>
          <w:rFonts w:asciiTheme="minorHAnsi" w:hAnsiTheme="minorHAnsi" w:cstheme="minorHAnsi"/>
        </w:rPr>
        <w:t xml:space="preserve"> BIS (2012). </w:t>
      </w:r>
      <w:r w:rsidRPr="00F079C3">
        <w:rPr>
          <w:rFonts w:asciiTheme="minorHAnsi" w:hAnsiTheme="minorHAnsi" w:cstheme="minorHAnsi"/>
          <w:i/>
        </w:rPr>
        <w:t xml:space="preserve">Business Population Estimates for the UK and Regions 2012. </w:t>
      </w:r>
      <w:hyperlink r:id="rId9" w:history="1">
        <w:r w:rsidRPr="00F079C3">
          <w:rPr>
            <w:rStyle w:val="Hyperlink"/>
            <w:rFonts w:asciiTheme="minorHAnsi" w:hAnsiTheme="minorHAnsi" w:cstheme="minorHAnsi"/>
          </w:rPr>
          <w:t>https://www.gov.uk/government/publications/bis-business-population-estimates</w:t>
        </w:r>
      </w:hyperlink>
      <w:r w:rsidRPr="00F079C3">
        <w:rPr>
          <w:rFonts w:asciiTheme="minorHAnsi" w:hAnsiTheme="minorHAnsi" w:cstheme="minorHAnsi"/>
        </w:rPr>
        <w:t xml:space="preserve"> </w:t>
      </w:r>
    </w:p>
  </w:footnote>
  <w:footnote w:id="27">
    <w:p w14:paraId="0CD2823E" w14:textId="2D3F77A4" w:rsidR="00A065B9" w:rsidRPr="00B55849" w:rsidRDefault="00A065B9" w:rsidP="00B55849">
      <w:pPr>
        <w:autoSpaceDE w:val="0"/>
        <w:autoSpaceDN w:val="0"/>
        <w:adjustRightInd w:val="0"/>
        <w:spacing w:after="0" w:line="240" w:lineRule="auto"/>
        <w:rPr>
          <w:rFonts w:cstheme="minorHAnsi"/>
          <w:sz w:val="20"/>
          <w:szCs w:val="20"/>
        </w:rPr>
      </w:pPr>
      <w:r w:rsidRPr="00813CA6">
        <w:rPr>
          <w:rStyle w:val="FootnoteReference"/>
          <w:rFonts w:cstheme="minorHAnsi"/>
          <w:sz w:val="20"/>
          <w:szCs w:val="20"/>
        </w:rPr>
        <w:footnoteRef/>
      </w:r>
      <w:r w:rsidRPr="00813CA6">
        <w:rPr>
          <w:rFonts w:cstheme="minorHAnsi"/>
          <w:sz w:val="20"/>
          <w:szCs w:val="20"/>
        </w:rPr>
        <w:t xml:space="preserve"> Wilson, F. </w:t>
      </w:r>
      <w:proofErr w:type="gramStart"/>
      <w:r w:rsidRPr="00F079C3">
        <w:rPr>
          <w:rFonts w:cstheme="minorHAnsi"/>
          <w:i/>
          <w:sz w:val="20"/>
          <w:szCs w:val="20"/>
        </w:rPr>
        <w:t>et</w:t>
      </w:r>
      <w:proofErr w:type="gramEnd"/>
      <w:r w:rsidRPr="00F079C3">
        <w:rPr>
          <w:rFonts w:cstheme="minorHAnsi"/>
          <w:i/>
          <w:sz w:val="20"/>
          <w:szCs w:val="20"/>
        </w:rPr>
        <w:t xml:space="preserve">. </w:t>
      </w:r>
      <w:proofErr w:type="gramStart"/>
      <w:r w:rsidRPr="00F079C3">
        <w:rPr>
          <w:rFonts w:cstheme="minorHAnsi"/>
          <w:i/>
          <w:sz w:val="20"/>
          <w:szCs w:val="20"/>
        </w:rPr>
        <w:t>al.</w:t>
      </w:r>
      <w:r w:rsidRPr="00813CA6">
        <w:rPr>
          <w:rFonts w:cstheme="minorHAnsi"/>
          <w:sz w:val="20"/>
          <w:szCs w:val="20"/>
        </w:rPr>
        <w:t xml:space="preserve"> (2007).</w:t>
      </w:r>
      <w:proofErr w:type="gramEnd"/>
      <w:r w:rsidRPr="00813CA6">
        <w:rPr>
          <w:rFonts w:cstheme="minorHAnsi"/>
          <w:sz w:val="20"/>
          <w:szCs w:val="20"/>
        </w:rPr>
        <w:t xml:space="preserve"> ‘Ban</w:t>
      </w:r>
      <w:r>
        <w:rPr>
          <w:rFonts w:cstheme="minorHAnsi"/>
          <w:sz w:val="20"/>
          <w:szCs w:val="20"/>
        </w:rPr>
        <w:t xml:space="preserve">k Loan Officers’ Perceptions of </w:t>
      </w:r>
      <w:r w:rsidRPr="00813CA6">
        <w:rPr>
          <w:rFonts w:cstheme="minorHAnsi"/>
          <w:sz w:val="20"/>
          <w:szCs w:val="20"/>
        </w:rPr>
        <w:t xml:space="preserve">Business Owners: The Role of Gender’. </w:t>
      </w:r>
      <w:r w:rsidRPr="00813CA6">
        <w:rPr>
          <w:rFonts w:cstheme="minorHAnsi"/>
          <w:i/>
          <w:sz w:val="20"/>
          <w:szCs w:val="20"/>
        </w:rPr>
        <w:t>British Journal of Management</w:t>
      </w:r>
      <w:r>
        <w:rPr>
          <w:rFonts w:cstheme="minorHAnsi"/>
          <w:sz w:val="20"/>
          <w:szCs w:val="20"/>
        </w:rPr>
        <w:t>, 18: 154–171.</w:t>
      </w:r>
    </w:p>
  </w:footnote>
  <w:footnote w:id="28">
    <w:p w14:paraId="4187CB99" w14:textId="726ECA98" w:rsidR="00A065B9" w:rsidRPr="0093073D" w:rsidRDefault="00A065B9" w:rsidP="0044602C">
      <w:pPr>
        <w:pStyle w:val="FootnoteText"/>
        <w:rPr>
          <w:rFonts w:asciiTheme="minorHAnsi" w:hAnsiTheme="minorHAnsi" w:cstheme="minorHAnsi"/>
        </w:rPr>
      </w:pPr>
      <w:r w:rsidRPr="0093073D">
        <w:rPr>
          <w:rStyle w:val="FootnoteReference"/>
          <w:rFonts w:asciiTheme="minorHAnsi" w:hAnsiTheme="minorHAnsi" w:cstheme="minorHAnsi"/>
        </w:rPr>
        <w:footnoteRef/>
      </w:r>
      <w:r w:rsidRPr="0093073D">
        <w:rPr>
          <w:rFonts w:asciiTheme="minorHAnsi" w:hAnsiTheme="minorHAnsi" w:cstheme="minorHAnsi"/>
        </w:rPr>
        <w:t xml:space="preserve"> </w:t>
      </w:r>
      <w:proofErr w:type="spellStart"/>
      <w:r>
        <w:rPr>
          <w:rFonts w:asciiTheme="minorHAnsi" w:hAnsiTheme="minorHAnsi" w:cstheme="minorHAnsi"/>
          <w:lang w:val="en"/>
        </w:rPr>
        <w:t>Adger</w:t>
      </w:r>
      <w:proofErr w:type="spellEnd"/>
      <w:r>
        <w:rPr>
          <w:rFonts w:asciiTheme="minorHAnsi" w:hAnsiTheme="minorHAnsi" w:cstheme="minorHAnsi"/>
          <w:lang w:val="en"/>
        </w:rPr>
        <w:t xml:space="preserve">, N. </w:t>
      </w:r>
      <w:proofErr w:type="gramStart"/>
      <w:r w:rsidRPr="002E081E">
        <w:rPr>
          <w:rFonts w:asciiTheme="minorHAnsi" w:hAnsiTheme="minorHAnsi" w:cstheme="minorHAnsi"/>
          <w:i/>
          <w:lang w:val="en"/>
        </w:rPr>
        <w:t>et</w:t>
      </w:r>
      <w:proofErr w:type="gramEnd"/>
      <w:r w:rsidRPr="002E081E">
        <w:rPr>
          <w:rFonts w:asciiTheme="minorHAnsi" w:hAnsiTheme="minorHAnsi" w:cstheme="minorHAnsi"/>
          <w:i/>
          <w:lang w:val="en"/>
        </w:rPr>
        <w:t xml:space="preserve">. </w:t>
      </w:r>
      <w:proofErr w:type="gramStart"/>
      <w:r w:rsidRPr="002E081E">
        <w:rPr>
          <w:rFonts w:asciiTheme="minorHAnsi" w:hAnsiTheme="minorHAnsi" w:cstheme="minorHAnsi"/>
          <w:i/>
          <w:lang w:val="en"/>
        </w:rPr>
        <w:t>al.</w:t>
      </w:r>
      <w:r w:rsidRPr="0093073D">
        <w:rPr>
          <w:rFonts w:asciiTheme="minorHAnsi" w:hAnsiTheme="minorHAnsi" w:cstheme="minorHAnsi"/>
          <w:lang w:val="en"/>
        </w:rPr>
        <w:t xml:space="preserve"> (2013).</w:t>
      </w:r>
      <w:proofErr w:type="gramEnd"/>
      <w:r w:rsidRPr="0093073D">
        <w:rPr>
          <w:rFonts w:asciiTheme="minorHAnsi" w:hAnsiTheme="minorHAnsi" w:cstheme="minorHAnsi"/>
          <w:lang w:val="en"/>
        </w:rPr>
        <w:t xml:space="preserve"> ‘Changing social contracts in climate change adaptation’. </w:t>
      </w:r>
      <w:r w:rsidRPr="0093073D">
        <w:rPr>
          <w:rFonts w:asciiTheme="minorHAnsi" w:hAnsiTheme="minorHAnsi" w:cstheme="minorHAnsi"/>
          <w:i/>
          <w:iCs/>
          <w:lang w:val="en"/>
        </w:rPr>
        <w:t>Nature Climate Change</w:t>
      </w:r>
      <w:r w:rsidRPr="0093073D">
        <w:rPr>
          <w:rFonts w:asciiTheme="minorHAnsi" w:hAnsiTheme="minorHAnsi" w:cstheme="minorHAnsi"/>
          <w:lang w:val="en"/>
        </w:rPr>
        <w:t> 3: 330-333</w:t>
      </w:r>
    </w:p>
  </w:footnote>
  <w:footnote w:id="29">
    <w:p w14:paraId="119A9509" w14:textId="6F5EDE2C" w:rsidR="00A065B9" w:rsidRPr="0093073D" w:rsidRDefault="00A065B9" w:rsidP="0044602C">
      <w:pPr>
        <w:pStyle w:val="FootnoteText"/>
        <w:rPr>
          <w:rFonts w:asciiTheme="minorHAnsi" w:hAnsiTheme="minorHAnsi" w:cstheme="minorHAnsi"/>
          <w:highlight w:val="yellow"/>
        </w:rPr>
      </w:pPr>
      <w:r w:rsidRPr="0093073D">
        <w:rPr>
          <w:rStyle w:val="FootnoteReference"/>
          <w:rFonts w:asciiTheme="minorHAnsi" w:hAnsiTheme="minorHAnsi" w:cstheme="minorHAnsi"/>
        </w:rPr>
        <w:footnoteRef/>
      </w:r>
      <w:r w:rsidRPr="0093073D">
        <w:rPr>
          <w:rFonts w:asciiTheme="minorHAnsi" w:hAnsiTheme="minorHAnsi" w:cstheme="minorHAnsi"/>
        </w:rPr>
        <w:t xml:space="preserve"> </w:t>
      </w:r>
      <w:proofErr w:type="spellStart"/>
      <w:r>
        <w:rPr>
          <w:rFonts w:asciiTheme="minorHAnsi" w:hAnsiTheme="minorHAnsi" w:cstheme="minorHAnsi"/>
        </w:rPr>
        <w:t>Bohnet</w:t>
      </w:r>
      <w:proofErr w:type="spellEnd"/>
      <w:r>
        <w:rPr>
          <w:rFonts w:asciiTheme="minorHAnsi" w:hAnsiTheme="minorHAnsi" w:cstheme="minorHAnsi"/>
        </w:rPr>
        <w:t>, I</w:t>
      </w:r>
      <w:r w:rsidRPr="00C35C44">
        <w:rPr>
          <w:rFonts w:asciiTheme="minorHAnsi" w:hAnsiTheme="minorHAnsi" w:cstheme="minorHAnsi"/>
          <w:i/>
        </w:rPr>
        <w:t xml:space="preserve">. </w:t>
      </w:r>
      <w:proofErr w:type="gramStart"/>
      <w:r w:rsidRPr="00C35C44">
        <w:rPr>
          <w:rFonts w:asciiTheme="minorHAnsi" w:hAnsiTheme="minorHAnsi" w:cstheme="minorHAnsi"/>
          <w:i/>
        </w:rPr>
        <w:t>et</w:t>
      </w:r>
      <w:proofErr w:type="gramEnd"/>
      <w:r w:rsidRPr="00C35C44">
        <w:rPr>
          <w:rFonts w:asciiTheme="minorHAnsi" w:hAnsiTheme="minorHAnsi" w:cstheme="minorHAnsi"/>
          <w:i/>
        </w:rPr>
        <w:t xml:space="preserve">. </w:t>
      </w:r>
      <w:proofErr w:type="gramStart"/>
      <w:r w:rsidRPr="00C35C44">
        <w:rPr>
          <w:rFonts w:asciiTheme="minorHAnsi" w:hAnsiTheme="minorHAnsi" w:cstheme="minorHAnsi"/>
          <w:i/>
        </w:rPr>
        <w:t>al.</w:t>
      </w:r>
      <w:r w:rsidRPr="0093073D">
        <w:rPr>
          <w:rFonts w:asciiTheme="minorHAnsi" w:hAnsiTheme="minorHAnsi" w:cstheme="minorHAnsi"/>
        </w:rPr>
        <w:t xml:space="preserve"> (2012).</w:t>
      </w:r>
      <w:proofErr w:type="gramEnd"/>
      <w:r w:rsidRPr="0093073D">
        <w:rPr>
          <w:rFonts w:asciiTheme="minorHAnsi" w:hAnsiTheme="minorHAnsi" w:cstheme="minorHAnsi"/>
        </w:rPr>
        <w:t xml:space="preserve"> ‘When Performance Trumps Gender Bias: Joint Versus Separate Evaluation’.</w:t>
      </w:r>
      <w:r>
        <w:rPr>
          <w:rFonts w:asciiTheme="minorHAnsi" w:hAnsiTheme="minorHAnsi" w:cstheme="minorHAnsi"/>
        </w:rPr>
        <w:t xml:space="preserve"> Harvard Kennedy School</w:t>
      </w:r>
      <w:r w:rsidRPr="0093073D">
        <w:rPr>
          <w:rFonts w:asciiTheme="minorHAnsi" w:hAnsiTheme="minorHAnsi" w:cstheme="minorHAnsi"/>
        </w:rPr>
        <w:t xml:space="preserve"> Faculty Research Working Paper Series RWP12-009, 2012</w:t>
      </w:r>
    </w:p>
  </w:footnote>
  <w:footnote w:id="30">
    <w:p w14:paraId="725435AF" w14:textId="412553AA" w:rsidR="00A065B9" w:rsidRPr="00291E41" w:rsidRDefault="00A065B9" w:rsidP="0044602C">
      <w:pPr>
        <w:pStyle w:val="FootnoteText"/>
        <w:rPr>
          <w:rFonts w:asciiTheme="minorHAnsi" w:hAnsiTheme="minorHAnsi" w:cstheme="minorHAnsi"/>
        </w:rPr>
      </w:pPr>
      <w:r w:rsidRPr="00291E41">
        <w:rPr>
          <w:rStyle w:val="FootnoteReference"/>
          <w:rFonts w:asciiTheme="minorHAnsi" w:hAnsiTheme="minorHAnsi" w:cstheme="minorHAnsi"/>
        </w:rPr>
        <w:footnoteRef/>
      </w:r>
      <w:r w:rsidRPr="00291E41">
        <w:rPr>
          <w:rFonts w:asciiTheme="minorHAnsi" w:hAnsiTheme="minorHAnsi" w:cstheme="minorHAnsi"/>
        </w:rPr>
        <w:t xml:space="preserve"> </w:t>
      </w:r>
      <w:proofErr w:type="gramStart"/>
      <w:r w:rsidRPr="00291E41">
        <w:rPr>
          <w:rFonts w:asciiTheme="minorHAnsi" w:hAnsiTheme="minorHAnsi" w:cstheme="minorHAnsi"/>
        </w:rPr>
        <w:t>Fons</w:t>
      </w:r>
      <w:r>
        <w:rPr>
          <w:rFonts w:asciiTheme="minorHAnsi" w:hAnsiTheme="minorHAnsi" w:cstheme="minorHAnsi"/>
        </w:rPr>
        <w:t>eca, M. and Myles, G. (2013).</w:t>
      </w:r>
      <w:proofErr w:type="gramEnd"/>
      <w:r>
        <w:rPr>
          <w:rFonts w:asciiTheme="minorHAnsi" w:hAnsiTheme="minorHAnsi" w:cstheme="minorHAnsi"/>
        </w:rPr>
        <w:t xml:space="preserve"> ‘</w:t>
      </w:r>
      <w:r w:rsidRPr="00291E41">
        <w:rPr>
          <w:rFonts w:asciiTheme="minorHAnsi" w:hAnsiTheme="minorHAnsi" w:cstheme="minorHAnsi"/>
        </w:rPr>
        <w:t>The Role of Communication on Tax Compliance: Experimental Evide</w:t>
      </w:r>
      <w:r>
        <w:rPr>
          <w:rFonts w:asciiTheme="minorHAnsi" w:hAnsiTheme="minorHAnsi" w:cstheme="minorHAnsi"/>
        </w:rPr>
        <w:t>nce from the Lab and the Field.’</w:t>
      </w:r>
      <w:r w:rsidRPr="00291E41">
        <w:rPr>
          <w:rFonts w:asciiTheme="minorHAnsi" w:hAnsiTheme="minorHAnsi" w:cstheme="minorHAnsi"/>
          <w:color w:val="000000"/>
          <w:lang w:val="en"/>
        </w:rPr>
        <w:t xml:space="preserve"> </w:t>
      </w:r>
      <w:proofErr w:type="gramStart"/>
      <w:r w:rsidRPr="00291E41">
        <w:rPr>
          <w:rFonts w:asciiTheme="minorHAnsi" w:hAnsiTheme="minorHAnsi" w:cstheme="minorHAnsi"/>
          <w:color w:val="000000"/>
          <w:lang w:val="en"/>
        </w:rPr>
        <w:t>ESRC/HMRC Tax Administration Research Centre.</w:t>
      </w:r>
      <w:proofErr w:type="gramEnd"/>
      <w:r>
        <w:rPr>
          <w:rFonts w:asciiTheme="minorHAnsi" w:hAnsiTheme="minorHAnsi" w:cstheme="minorHAnsi"/>
          <w:color w:val="000000"/>
          <w:lang w:val="en"/>
        </w:rPr>
        <w:t xml:space="preserve"> See: </w:t>
      </w:r>
      <w:hyperlink r:id="rId10" w:history="1">
        <w:r w:rsidRPr="003409F2">
          <w:rPr>
            <w:rStyle w:val="Hyperlink"/>
            <w:rFonts w:asciiTheme="minorHAnsi" w:hAnsiTheme="minorHAnsi" w:cstheme="minorHAnsi"/>
            <w:lang w:val="en"/>
          </w:rPr>
          <w:t>http://tarc.exeter.ac.uk/research/economicandsocial/</w:t>
        </w:r>
      </w:hyperlink>
      <w:r>
        <w:rPr>
          <w:rFonts w:asciiTheme="minorHAnsi" w:hAnsiTheme="minorHAnsi" w:cstheme="minorHAnsi"/>
          <w:color w:val="000000"/>
          <w:lang w:val="en"/>
        </w:rPr>
        <w:t xml:space="preserve"> </w:t>
      </w:r>
    </w:p>
  </w:footnote>
  <w:footnote w:id="31">
    <w:p w14:paraId="5D47D8F3" w14:textId="00513180" w:rsidR="00A065B9" w:rsidRPr="002E081E" w:rsidRDefault="00A065B9" w:rsidP="002E081E">
      <w:pPr>
        <w:pStyle w:val="Default"/>
        <w:rPr>
          <w:rFonts w:asciiTheme="minorHAnsi" w:hAnsiTheme="minorHAnsi" w:cstheme="minorHAnsi"/>
          <w:sz w:val="20"/>
          <w:szCs w:val="20"/>
        </w:rPr>
      </w:pPr>
      <w:r w:rsidRPr="002E081E">
        <w:rPr>
          <w:rStyle w:val="FootnoteReference"/>
          <w:rFonts w:asciiTheme="minorHAnsi" w:hAnsiTheme="minorHAnsi" w:cstheme="minorHAnsi"/>
          <w:sz w:val="20"/>
          <w:szCs w:val="20"/>
        </w:rPr>
        <w:footnoteRef/>
      </w:r>
      <w:r w:rsidRPr="002E081E">
        <w:rPr>
          <w:rFonts w:asciiTheme="minorHAnsi" w:hAnsiTheme="minorHAnsi" w:cstheme="minorHAnsi"/>
          <w:sz w:val="20"/>
          <w:szCs w:val="20"/>
        </w:rPr>
        <w:t xml:space="preserve"> FCA, </w:t>
      </w:r>
      <w:r>
        <w:rPr>
          <w:rFonts w:asciiTheme="minorHAnsi" w:hAnsiTheme="minorHAnsi" w:cstheme="minorHAnsi"/>
          <w:sz w:val="20"/>
          <w:szCs w:val="20"/>
        </w:rPr>
        <w:t>‘</w:t>
      </w:r>
      <w:r w:rsidRPr="002E081E">
        <w:rPr>
          <w:rFonts w:asciiTheme="minorHAnsi" w:hAnsiTheme="minorHAnsi" w:cstheme="minorHAnsi"/>
          <w:bCs/>
          <w:sz w:val="20"/>
          <w:szCs w:val="20"/>
        </w:rPr>
        <w:t>Encouraging consumers to claim redre</w:t>
      </w:r>
      <w:r>
        <w:rPr>
          <w:rFonts w:asciiTheme="minorHAnsi" w:hAnsiTheme="minorHAnsi" w:cstheme="minorHAnsi"/>
          <w:bCs/>
          <w:sz w:val="20"/>
          <w:szCs w:val="20"/>
        </w:rPr>
        <w:t xml:space="preserve">ss: evidence from a field trial’. </w:t>
      </w:r>
      <w:r w:rsidRPr="002E081E">
        <w:rPr>
          <w:rFonts w:asciiTheme="minorHAnsi" w:hAnsiTheme="minorHAnsi" w:cstheme="minorHAnsi"/>
          <w:sz w:val="20"/>
          <w:szCs w:val="20"/>
        </w:rPr>
        <w:t>April 2013</w:t>
      </w:r>
      <w:r>
        <w:rPr>
          <w:rFonts w:asciiTheme="minorHAnsi" w:hAnsiTheme="minorHAnsi" w:cstheme="minorHAnsi"/>
          <w:sz w:val="20"/>
          <w:szCs w:val="20"/>
        </w:rPr>
        <w:t xml:space="preserve">. See: </w:t>
      </w:r>
      <w:hyperlink r:id="rId11" w:history="1">
        <w:r w:rsidRPr="005A3FD8">
          <w:rPr>
            <w:rStyle w:val="Hyperlink"/>
            <w:rFonts w:asciiTheme="minorHAnsi" w:hAnsiTheme="minorHAnsi" w:cstheme="minorHAnsi"/>
            <w:sz w:val="20"/>
            <w:szCs w:val="20"/>
          </w:rPr>
          <w:t>http://www.fca.org.uk/your-fca/documents/occasional-papers/occasional-paper-2</w:t>
        </w:r>
      </w:hyperlink>
      <w:r>
        <w:rPr>
          <w:rFonts w:asciiTheme="minorHAnsi" w:hAnsiTheme="minorHAnsi" w:cstheme="minorHAnsi"/>
          <w:sz w:val="20"/>
          <w:szCs w:val="20"/>
        </w:rPr>
        <w:t xml:space="preserve"> </w:t>
      </w:r>
    </w:p>
  </w:footnote>
  <w:footnote w:id="32">
    <w:p w14:paraId="239C7C5A" w14:textId="77777777" w:rsidR="00A065B9" w:rsidRPr="00292D81" w:rsidRDefault="00A065B9" w:rsidP="0044602C">
      <w:pPr>
        <w:pStyle w:val="FootnoteText"/>
        <w:rPr>
          <w:rFonts w:asciiTheme="minorHAnsi" w:hAnsiTheme="minorHAnsi" w:cstheme="minorHAnsi"/>
        </w:rPr>
      </w:pPr>
      <w:r w:rsidRPr="00292D81">
        <w:rPr>
          <w:rStyle w:val="FootnoteReference"/>
          <w:rFonts w:asciiTheme="minorHAnsi" w:hAnsiTheme="minorHAnsi" w:cstheme="minorHAnsi"/>
        </w:rPr>
        <w:footnoteRef/>
      </w:r>
      <w:r w:rsidRPr="00292D81">
        <w:rPr>
          <w:rFonts w:asciiTheme="minorHAnsi" w:hAnsiTheme="minorHAnsi" w:cstheme="minorHAnsi"/>
        </w:rPr>
        <w:t xml:space="preserve"> </w:t>
      </w:r>
      <w:proofErr w:type="gramStart"/>
      <w:r w:rsidRPr="00292D81">
        <w:rPr>
          <w:rFonts w:asciiTheme="minorHAnsi" w:hAnsiTheme="minorHAnsi" w:cstheme="minorHAnsi"/>
        </w:rPr>
        <w:t xml:space="preserve">‘Behavioural Insights for Public Health’, Public Health England (Dr Tim </w:t>
      </w:r>
      <w:proofErr w:type="spellStart"/>
      <w:r w:rsidRPr="00292D81">
        <w:rPr>
          <w:rFonts w:asciiTheme="minorHAnsi" w:hAnsiTheme="minorHAnsi" w:cstheme="minorHAnsi"/>
        </w:rPr>
        <w:t>Chadborn</w:t>
      </w:r>
      <w:proofErr w:type="spellEnd"/>
      <w:r w:rsidRPr="00292D81">
        <w:rPr>
          <w:rFonts w:asciiTheme="minorHAnsi" w:hAnsiTheme="minorHAnsi" w:cstheme="minorHAnsi"/>
        </w:rPr>
        <w:t>, lead), October 2013.</w:t>
      </w:r>
      <w:proofErr w:type="gramEnd"/>
    </w:p>
  </w:footnote>
  <w:footnote w:id="33">
    <w:p w14:paraId="0B96F193" w14:textId="5756CF1B" w:rsidR="00A065B9" w:rsidRPr="008C1B83" w:rsidRDefault="00A065B9" w:rsidP="008C1B83">
      <w:pPr>
        <w:spacing w:after="0"/>
        <w:rPr>
          <w:rFonts w:cstheme="minorHAnsi"/>
          <w:b/>
          <w:bCs/>
          <w:sz w:val="24"/>
          <w:szCs w:val="24"/>
        </w:rPr>
      </w:pPr>
      <w:r w:rsidRPr="008C1B83">
        <w:rPr>
          <w:rStyle w:val="FootnoteReference"/>
          <w:rFonts w:cstheme="minorHAnsi"/>
          <w:b/>
          <w:sz w:val="20"/>
          <w:szCs w:val="20"/>
        </w:rPr>
        <w:footnoteRef/>
      </w:r>
      <w:r w:rsidRPr="008C1B83">
        <w:rPr>
          <w:rFonts w:cstheme="minorHAnsi"/>
          <w:b/>
          <w:sz w:val="20"/>
          <w:szCs w:val="20"/>
        </w:rPr>
        <w:t xml:space="preserve"> </w:t>
      </w:r>
      <w:r w:rsidRPr="008C1B83">
        <w:rPr>
          <w:rStyle w:val="articletitle1"/>
          <w:rFonts w:asciiTheme="minorHAnsi" w:hAnsiTheme="minorHAnsi" w:cstheme="minorHAnsi"/>
          <w:b w:val="0"/>
          <w:color w:val="auto"/>
          <w:sz w:val="20"/>
          <w:szCs w:val="20"/>
        </w:rPr>
        <w:t xml:space="preserve">‘More complaints will be sign of success, says LCS’. </w:t>
      </w:r>
      <w:proofErr w:type="gramStart"/>
      <w:r w:rsidRPr="008C1B83">
        <w:rPr>
          <w:rStyle w:val="articletitle1"/>
          <w:rFonts w:asciiTheme="minorHAnsi" w:hAnsiTheme="minorHAnsi" w:cstheme="minorHAnsi"/>
          <w:b w:val="0"/>
          <w:i/>
          <w:color w:val="auto"/>
          <w:sz w:val="20"/>
          <w:szCs w:val="20"/>
        </w:rPr>
        <w:t>The Law Society Gazette</w:t>
      </w:r>
      <w:r w:rsidRPr="008C1B83">
        <w:rPr>
          <w:rFonts w:cstheme="minorHAnsi"/>
          <w:sz w:val="20"/>
          <w:szCs w:val="20"/>
        </w:rPr>
        <w:t>.</w:t>
      </w:r>
      <w:proofErr w:type="gramEnd"/>
      <w:r w:rsidRPr="008C1B83">
        <w:rPr>
          <w:rFonts w:cstheme="minorHAnsi"/>
          <w:sz w:val="20"/>
          <w:szCs w:val="20"/>
        </w:rPr>
        <w:t xml:space="preserve"> </w:t>
      </w:r>
      <w:r w:rsidRPr="008C1B83">
        <w:rPr>
          <w:rStyle w:val="text1"/>
          <w:rFonts w:asciiTheme="minorHAnsi" w:hAnsiTheme="minorHAnsi" w:cstheme="minorHAnsi"/>
          <w:color w:val="auto"/>
          <w:sz w:val="20"/>
          <w:szCs w:val="20"/>
        </w:rPr>
        <w:t>18 January 2007.</w:t>
      </w:r>
    </w:p>
  </w:footnote>
  <w:footnote w:id="34">
    <w:p w14:paraId="2DBFC1D7" w14:textId="6FD226B4" w:rsidR="00A065B9" w:rsidRDefault="00A065B9" w:rsidP="008C1B83">
      <w:pPr>
        <w:pStyle w:val="FootnoteText"/>
      </w:pPr>
      <w:r w:rsidRPr="008C1B83">
        <w:rPr>
          <w:rStyle w:val="FootnoteReference"/>
          <w:rFonts w:asciiTheme="minorHAnsi" w:hAnsiTheme="minorHAnsi" w:cstheme="minorHAnsi"/>
        </w:rPr>
        <w:footnoteRef/>
      </w:r>
      <w:r w:rsidRPr="008C1B83">
        <w:rPr>
          <w:rFonts w:asciiTheme="minorHAnsi" w:hAnsiTheme="minorHAnsi" w:cstheme="minorHAnsi"/>
        </w:rPr>
        <w:t xml:space="preserve"> Declaration:</w:t>
      </w:r>
      <w:r>
        <w:rPr>
          <w:rFonts w:asciiTheme="minorHAnsi" w:hAnsiTheme="minorHAnsi" w:cstheme="minorHAnsi"/>
        </w:rPr>
        <w:t xml:space="preserve"> the leader author of this report</w:t>
      </w:r>
      <w:r w:rsidRPr="008C1B83">
        <w:rPr>
          <w:rFonts w:asciiTheme="minorHAnsi" w:hAnsiTheme="minorHAnsi" w:cstheme="minorHAnsi"/>
        </w:rPr>
        <w:t xml:space="preserve"> was the Chairman of LCS </w:t>
      </w:r>
      <w:proofErr w:type="gramStart"/>
      <w:r w:rsidRPr="008C1B83">
        <w:rPr>
          <w:rFonts w:asciiTheme="minorHAnsi" w:hAnsiTheme="minorHAnsi" w:cstheme="minorHAnsi"/>
        </w:rPr>
        <w:t>between 2006-11</w:t>
      </w:r>
      <w:proofErr w:type="gramEnd"/>
      <w:r w:rsidRPr="008C1B83">
        <w:rPr>
          <w:rFonts w:asciiTheme="minorHAnsi" w:hAnsiTheme="minorHAnsi" w:cstheme="minorHAnsi"/>
        </w:rPr>
        <w:t>.</w:t>
      </w:r>
    </w:p>
  </w:footnote>
  <w:footnote w:id="35">
    <w:p w14:paraId="5B958DD3" w14:textId="411A8BA8" w:rsidR="00A065B9" w:rsidRPr="00F079C3" w:rsidRDefault="00A065B9" w:rsidP="0044602C">
      <w:pPr>
        <w:pStyle w:val="FootnoteText"/>
        <w:rPr>
          <w:rFonts w:asciiTheme="minorHAnsi" w:hAnsiTheme="minorHAnsi" w:cstheme="minorHAnsi"/>
        </w:rPr>
      </w:pPr>
      <w:r w:rsidRPr="00F079C3">
        <w:rPr>
          <w:rStyle w:val="FootnoteReference"/>
          <w:rFonts w:asciiTheme="minorHAnsi" w:hAnsiTheme="minorHAnsi" w:cstheme="minorHAnsi"/>
        </w:rPr>
        <w:footnoteRef/>
      </w:r>
      <w:r w:rsidRPr="00F079C3">
        <w:rPr>
          <w:rFonts w:asciiTheme="minorHAnsi" w:hAnsiTheme="minorHAnsi" w:cstheme="minorHAnsi"/>
        </w:rPr>
        <w:t xml:space="preserve"> </w:t>
      </w:r>
      <w:proofErr w:type="gramStart"/>
      <w:r w:rsidRPr="00F079C3">
        <w:rPr>
          <w:rFonts w:asciiTheme="minorHAnsi" w:hAnsiTheme="minorHAnsi" w:cstheme="minorHAnsi"/>
        </w:rPr>
        <w:t>DH/BIT, ‘Driving u</w:t>
      </w:r>
      <w:r>
        <w:rPr>
          <w:rFonts w:asciiTheme="minorHAnsi" w:hAnsiTheme="minorHAnsi" w:cstheme="minorHAnsi"/>
        </w:rPr>
        <w:t>p Organ Donation Registrations’ (</w:t>
      </w:r>
      <w:r w:rsidRPr="00F079C3">
        <w:rPr>
          <w:rFonts w:asciiTheme="minorHAnsi" w:hAnsiTheme="minorHAnsi" w:cstheme="minorHAnsi"/>
        </w:rPr>
        <w:t>October 2013</w:t>
      </w:r>
      <w:r>
        <w:rPr>
          <w:rFonts w:asciiTheme="minorHAnsi" w:hAnsiTheme="minorHAnsi" w:cstheme="minorHAnsi"/>
        </w:rPr>
        <w:t>)</w:t>
      </w:r>
      <w:r w:rsidRPr="00F079C3">
        <w:rPr>
          <w:rFonts w:asciiTheme="minorHAnsi" w:hAnsiTheme="minorHAnsi" w:cstheme="minorHAnsi"/>
        </w:rPr>
        <w:t>.</w:t>
      </w:r>
      <w:proofErr w:type="gramEnd"/>
      <w:r w:rsidRPr="00F079C3">
        <w:rPr>
          <w:rFonts w:asciiTheme="minorHAnsi" w:hAnsiTheme="minorHAnsi" w:cstheme="minorHAnsi"/>
        </w:rPr>
        <w:t xml:space="preserve"> In RCTs each of these delivered </w:t>
      </w:r>
      <w:r>
        <w:rPr>
          <w:rFonts w:asciiTheme="minorHAnsi" w:hAnsiTheme="minorHAnsi" w:cstheme="minorHAnsi"/>
        </w:rPr>
        <w:t xml:space="preserve">between </w:t>
      </w:r>
      <w:r w:rsidRPr="00F079C3">
        <w:rPr>
          <w:rFonts w:asciiTheme="minorHAnsi" w:hAnsiTheme="minorHAnsi" w:cstheme="minorHAnsi"/>
        </w:rPr>
        <w:t xml:space="preserve">a 3.1 and 3.2 per cent </w:t>
      </w:r>
      <w:r>
        <w:rPr>
          <w:rFonts w:asciiTheme="minorHAnsi" w:hAnsiTheme="minorHAnsi" w:cstheme="minorHAnsi"/>
        </w:rPr>
        <w:t xml:space="preserve">net </w:t>
      </w:r>
      <w:r w:rsidRPr="00F079C3">
        <w:rPr>
          <w:rFonts w:asciiTheme="minorHAnsi" w:hAnsiTheme="minorHAnsi" w:cstheme="minorHAnsi"/>
        </w:rPr>
        <w:t>uplift in registrations in comparison with the control group.</w:t>
      </w:r>
    </w:p>
  </w:footnote>
  <w:footnote w:id="36">
    <w:p w14:paraId="136EADBF" w14:textId="70636E4D" w:rsidR="00A065B9" w:rsidRPr="007374F6" w:rsidRDefault="00A065B9" w:rsidP="007374F6">
      <w:pPr>
        <w:pStyle w:val="Heading1"/>
        <w:spacing w:before="0"/>
        <w:rPr>
          <w:rFonts w:asciiTheme="minorHAnsi" w:eastAsia="Times New Roman" w:hAnsiTheme="minorHAnsi" w:cstheme="minorHAnsi"/>
          <w:b w:val="0"/>
          <w:bCs w:val="0"/>
          <w:color w:val="333333"/>
          <w:kern w:val="36"/>
          <w:sz w:val="20"/>
          <w:szCs w:val="20"/>
          <w:lang w:val="en" w:eastAsia="en-GB"/>
        </w:rPr>
      </w:pPr>
      <w:r w:rsidRPr="007374F6">
        <w:rPr>
          <w:rStyle w:val="FootnoteReference"/>
          <w:rFonts w:asciiTheme="minorHAnsi" w:hAnsiTheme="minorHAnsi" w:cstheme="minorHAnsi"/>
          <w:b w:val="0"/>
          <w:sz w:val="20"/>
          <w:szCs w:val="20"/>
        </w:rPr>
        <w:footnoteRef/>
      </w:r>
      <w:r w:rsidRPr="007374F6">
        <w:rPr>
          <w:rFonts w:asciiTheme="minorHAnsi" w:hAnsiTheme="minorHAnsi" w:cstheme="minorHAnsi"/>
          <w:b w:val="0"/>
          <w:sz w:val="20"/>
          <w:szCs w:val="20"/>
        </w:rPr>
        <w:t xml:space="preserve"> </w:t>
      </w:r>
      <w:proofErr w:type="gramStart"/>
      <w:r w:rsidRPr="007374F6">
        <w:rPr>
          <w:rFonts w:asciiTheme="minorHAnsi" w:hAnsiTheme="minorHAnsi" w:cstheme="minorHAnsi"/>
          <w:b w:val="0"/>
          <w:color w:val="auto"/>
          <w:sz w:val="20"/>
          <w:szCs w:val="20"/>
        </w:rPr>
        <w:t>Wheatley, M. (2013).</w:t>
      </w:r>
      <w:proofErr w:type="gramEnd"/>
      <w:r w:rsidRPr="007374F6">
        <w:rPr>
          <w:rFonts w:asciiTheme="minorHAnsi" w:hAnsiTheme="minorHAnsi" w:cstheme="minorHAnsi"/>
          <w:b w:val="0"/>
          <w:color w:val="auto"/>
          <w:sz w:val="20"/>
          <w:szCs w:val="20"/>
        </w:rPr>
        <w:t xml:space="preserve"> </w:t>
      </w:r>
      <w:proofErr w:type="gramStart"/>
      <w:r w:rsidRPr="007374F6">
        <w:rPr>
          <w:rFonts w:asciiTheme="minorHAnsi" w:hAnsiTheme="minorHAnsi" w:cstheme="minorHAnsi"/>
          <w:b w:val="0"/>
          <w:color w:val="auto"/>
          <w:sz w:val="20"/>
          <w:szCs w:val="20"/>
        </w:rPr>
        <w:t xml:space="preserve">‘The </w:t>
      </w:r>
      <w:r w:rsidRPr="007374F6">
        <w:rPr>
          <w:rFonts w:asciiTheme="minorHAnsi" w:eastAsia="Times New Roman" w:hAnsiTheme="minorHAnsi" w:cstheme="minorHAnsi"/>
          <w:b w:val="0"/>
          <w:bCs w:val="0"/>
          <w:color w:val="auto"/>
          <w:kern w:val="36"/>
          <w:sz w:val="20"/>
          <w:szCs w:val="20"/>
          <w:lang w:val="en" w:eastAsia="en-GB"/>
        </w:rPr>
        <w:t>human face of regulation’.</w:t>
      </w:r>
      <w:proofErr w:type="gramEnd"/>
      <w:r w:rsidRPr="007374F6">
        <w:rPr>
          <w:rFonts w:asciiTheme="minorHAnsi" w:eastAsia="Times New Roman" w:hAnsiTheme="minorHAnsi" w:cstheme="minorHAnsi"/>
          <w:b w:val="0"/>
          <w:bCs w:val="0"/>
          <w:color w:val="auto"/>
          <w:kern w:val="36"/>
          <w:sz w:val="20"/>
          <w:szCs w:val="20"/>
          <w:lang w:val="en" w:eastAsia="en-GB"/>
        </w:rPr>
        <w:t xml:space="preserve"> </w:t>
      </w:r>
      <w:proofErr w:type="gramStart"/>
      <w:r w:rsidRPr="007374F6">
        <w:rPr>
          <w:rFonts w:asciiTheme="minorHAnsi" w:eastAsia="Times New Roman" w:hAnsiTheme="minorHAnsi" w:cstheme="minorHAnsi"/>
          <w:b w:val="0"/>
          <w:bCs w:val="0"/>
          <w:color w:val="auto"/>
          <w:kern w:val="36"/>
          <w:sz w:val="20"/>
          <w:szCs w:val="20"/>
          <w:lang w:val="en" w:eastAsia="en-GB"/>
        </w:rPr>
        <w:t>Speech.</w:t>
      </w:r>
      <w:proofErr w:type="gramEnd"/>
      <w:r w:rsidRPr="007374F6">
        <w:rPr>
          <w:rFonts w:asciiTheme="minorHAnsi" w:eastAsia="Times New Roman" w:hAnsiTheme="minorHAnsi" w:cstheme="minorHAnsi"/>
          <w:b w:val="0"/>
          <w:bCs w:val="0"/>
          <w:color w:val="auto"/>
          <w:kern w:val="36"/>
          <w:sz w:val="20"/>
          <w:szCs w:val="20"/>
          <w:lang w:val="en" w:eastAsia="en-GB"/>
        </w:rPr>
        <w:t xml:space="preserve"> 10 April. See: </w:t>
      </w:r>
      <w:hyperlink r:id="rId12" w:history="1">
        <w:r w:rsidRPr="007374F6">
          <w:rPr>
            <w:rStyle w:val="Hyperlink"/>
            <w:rFonts w:asciiTheme="minorHAnsi" w:eastAsia="Times New Roman" w:hAnsiTheme="minorHAnsi" w:cstheme="minorHAnsi"/>
            <w:b w:val="0"/>
            <w:bCs w:val="0"/>
            <w:kern w:val="36"/>
            <w:sz w:val="20"/>
            <w:szCs w:val="20"/>
            <w:lang w:val="en" w:eastAsia="en-GB"/>
          </w:rPr>
          <w:t>http://www.fca.org.uk/news/speeches/human-face-of-regulation</w:t>
        </w:r>
      </w:hyperlink>
      <w:r w:rsidRPr="007374F6">
        <w:rPr>
          <w:rFonts w:asciiTheme="minorHAnsi" w:eastAsia="Times New Roman" w:hAnsiTheme="minorHAnsi" w:cstheme="minorHAnsi"/>
          <w:b w:val="0"/>
          <w:bCs w:val="0"/>
          <w:color w:val="333333"/>
          <w:kern w:val="36"/>
          <w:sz w:val="20"/>
          <w:szCs w:val="20"/>
          <w:lang w:val="en" w:eastAsia="en-GB"/>
        </w:rPr>
        <w:t xml:space="preserve"> </w:t>
      </w:r>
    </w:p>
  </w:footnote>
  <w:footnote w:id="37">
    <w:p w14:paraId="583E2355" w14:textId="260F106E" w:rsidR="00A065B9" w:rsidRPr="007374F6" w:rsidRDefault="00A065B9" w:rsidP="007374F6">
      <w:pPr>
        <w:pStyle w:val="booktitle"/>
        <w:spacing w:before="0" w:beforeAutospacing="0" w:after="0" w:afterAutospacing="0"/>
        <w:rPr>
          <w:rFonts w:asciiTheme="minorHAnsi" w:hAnsiTheme="minorHAnsi" w:cstheme="minorHAnsi"/>
          <w:sz w:val="20"/>
          <w:szCs w:val="20"/>
        </w:rPr>
      </w:pPr>
      <w:r w:rsidRPr="007374F6">
        <w:rPr>
          <w:rStyle w:val="FootnoteReference"/>
          <w:rFonts w:asciiTheme="minorHAnsi" w:hAnsiTheme="minorHAnsi" w:cstheme="minorHAnsi"/>
          <w:sz w:val="20"/>
          <w:szCs w:val="20"/>
        </w:rPr>
        <w:footnoteRef/>
      </w:r>
      <w:r w:rsidRPr="007374F6">
        <w:rPr>
          <w:rFonts w:asciiTheme="minorHAnsi" w:hAnsiTheme="minorHAnsi" w:cstheme="minorHAnsi"/>
          <w:sz w:val="20"/>
          <w:szCs w:val="20"/>
        </w:rPr>
        <w:t xml:space="preserve"> Greenspan, A. (2013). </w:t>
      </w:r>
      <w:r w:rsidRPr="007374F6">
        <w:rPr>
          <w:rFonts w:asciiTheme="minorHAnsi" w:hAnsiTheme="minorHAnsi" w:cstheme="minorHAnsi"/>
          <w:i/>
          <w:sz w:val="20"/>
          <w:szCs w:val="20"/>
        </w:rPr>
        <w:t>The Map and the Territory: Risk, Human Nature, and the Future of Forecasting</w:t>
      </w:r>
      <w:r w:rsidRPr="007374F6">
        <w:rPr>
          <w:rFonts w:asciiTheme="minorHAnsi" w:hAnsiTheme="minorHAnsi" w:cstheme="minorHAnsi"/>
          <w:sz w:val="20"/>
          <w:szCs w:val="20"/>
        </w:rPr>
        <w:t xml:space="preserve">. </w:t>
      </w:r>
      <w:proofErr w:type="spellStart"/>
      <w:r w:rsidRPr="007374F6">
        <w:rPr>
          <w:rFonts w:asciiTheme="minorHAnsi" w:hAnsiTheme="minorHAnsi" w:cstheme="minorHAnsi"/>
          <w:sz w:val="20"/>
          <w:szCs w:val="20"/>
        </w:rPr>
        <w:t>Harmondsworth</w:t>
      </w:r>
      <w:proofErr w:type="spellEnd"/>
      <w:r w:rsidRPr="007374F6">
        <w:rPr>
          <w:rFonts w:asciiTheme="minorHAnsi" w:hAnsiTheme="minorHAnsi" w:cstheme="minorHAnsi"/>
          <w:sz w:val="20"/>
          <w:szCs w:val="20"/>
        </w:rPr>
        <w:t>: Penguin Books.</w:t>
      </w:r>
    </w:p>
    <w:p w14:paraId="630A1227" w14:textId="5B8C3B53" w:rsidR="00A065B9" w:rsidRDefault="00A065B9">
      <w:pPr>
        <w:pStyle w:val="FootnoteText"/>
      </w:pPr>
    </w:p>
  </w:footnote>
  <w:footnote w:id="38">
    <w:p w14:paraId="180C46EA" w14:textId="77777777" w:rsidR="00A065B9" w:rsidRPr="00496416" w:rsidRDefault="00A065B9" w:rsidP="0044602C">
      <w:pPr>
        <w:pStyle w:val="FootnoteText"/>
        <w:rPr>
          <w:rFonts w:asciiTheme="minorHAnsi" w:hAnsiTheme="minorHAnsi" w:cstheme="minorHAnsi"/>
        </w:rPr>
      </w:pPr>
      <w:r w:rsidRPr="00496416">
        <w:rPr>
          <w:rStyle w:val="FootnoteReference"/>
          <w:rFonts w:asciiTheme="minorHAnsi" w:hAnsiTheme="minorHAnsi" w:cstheme="minorHAnsi"/>
        </w:rPr>
        <w:footnoteRef/>
      </w:r>
      <w:r w:rsidRPr="00496416">
        <w:rPr>
          <w:rFonts w:asciiTheme="minorHAnsi" w:hAnsiTheme="minorHAnsi" w:cstheme="minorHAnsi"/>
        </w:rPr>
        <w:t xml:space="preserve"> ‘Behavioural Insights for Public Health’, Public Health England (Dr Tim </w:t>
      </w:r>
      <w:proofErr w:type="spellStart"/>
      <w:r w:rsidRPr="00496416">
        <w:rPr>
          <w:rFonts w:asciiTheme="minorHAnsi" w:hAnsiTheme="minorHAnsi" w:cstheme="minorHAnsi"/>
        </w:rPr>
        <w:t>Chadborn</w:t>
      </w:r>
      <w:proofErr w:type="spellEnd"/>
      <w:r w:rsidRPr="00496416">
        <w:rPr>
          <w:rFonts w:asciiTheme="minorHAnsi" w:hAnsiTheme="minorHAnsi" w:cstheme="minorHAnsi"/>
        </w:rPr>
        <w:t>, lead), October 2013</w:t>
      </w:r>
    </w:p>
    <w:p w14:paraId="2A094046" w14:textId="7CEB6169" w:rsidR="00A065B9" w:rsidRDefault="00A065B9" w:rsidP="00033C26">
      <w:pPr>
        <w:pStyle w:val="FootnoteText"/>
        <w:tabs>
          <w:tab w:val="left" w:pos="5396"/>
        </w:tabs>
      </w:pP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973"/>
    <w:multiLevelType w:val="hybridMultilevel"/>
    <w:tmpl w:val="F9F02EEA"/>
    <w:lvl w:ilvl="0" w:tplc="1980B4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6231D1A"/>
    <w:multiLevelType w:val="hybridMultilevel"/>
    <w:tmpl w:val="A402808C"/>
    <w:lvl w:ilvl="0" w:tplc="09881A0C">
      <w:start w:val="4"/>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07393ACD"/>
    <w:multiLevelType w:val="hybridMultilevel"/>
    <w:tmpl w:val="6EE23806"/>
    <w:lvl w:ilvl="0" w:tplc="8924B8E2">
      <w:start w:val="1"/>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E2A0503"/>
    <w:multiLevelType w:val="hybridMultilevel"/>
    <w:tmpl w:val="CA72095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602DD3"/>
    <w:multiLevelType w:val="hybridMultilevel"/>
    <w:tmpl w:val="91B0B9FC"/>
    <w:lvl w:ilvl="0" w:tplc="280A788A">
      <w:start w:val="1"/>
      <w:numFmt w:val="lowerRoman"/>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14EE2153"/>
    <w:multiLevelType w:val="hybridMultilevel"/>
    <w:tmpl w:val="0A8C0A68"/>
    <w:lvl w:ilvl="0" w:tplc="99DE56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550135"/>
    <w:multiLevelType w:val="hybridMultilevel"/>
    <w:tmpl w:val="207C7544"/>
    <w:lvl w:ilvl="0" w:tplc="C65C2D60">
      <w:start w:val="1"/>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BB05434"/>
    <w:multiLevelType w:val="hybridMultilevel"/>
    <w:tmpl w:val="1156801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DB26CDB"/>
    <w:multiLevelType w:val="hybridMultilevel"/>
    <w:tmpl w:val="9C40DFB6"/>
    <w:lvl w:ilvl="0" w:tplc="713228F4">
      <w:start w:val="4"/>
      <w:numFmt w:val="lowerRoman"/>
      <w:lvlText w:val="(%1)"/>
      <w:lvlJc w:val="left"/>
      <w:pPr>
        <w:ind w:left="1080" w:hanging="720"/>
      </w:pPr>
      <w:rPr>
        <w:rFonts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23492A"/>
    <w:multiLevelType w:val="hybridMultilevel"/>
    <w:tmpl w:val="4BD21BE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71B3C2F"/>
    <w:multiLevelType w:val="hybridMultilevel"/>
    <w:tmpl w:val="8BD01004"/>
    <w:lvl w:ilvl="0" w:tplc="3C38AC32">
      <w:start w:val="1"/>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8D800DB"/>
    <w:multiLevelType w:val="hybridMultilevel"/>
    <w:tmpl w:val="0898F3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E743215"/>
    <w:multiLevelType w:val="hybridMultilevel"/>
    <w:tmpl w:val="34E0E2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46F308DC"/>
    <w:multiLevelType w:val="hybridMultilevel"/>
    <w:tmpl w:val="920C452C"/>
    <w:lvl w:ilvl="0" w:tplc="F58CAD48">
      <w:start w:val="4"/>
      <w:numFmt w:val="decimal"/>
      <w:lvlText w:val="%1."/>
      <w:lvlJc w:val="left"/>
      <w:pPr>
        <w:ind w:left="720" w:hanging="360"/>
      </w:pPr>
      <w:rPr>
        <w:rFonts w:ascii="Arial" w:hAnsi="Arial" w:cs="Arial" w:hint="default"/>
        <w:i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DE3CEF"/>
    <w:multiLevelType w:val="multilevel"/>
    <w:tmpl w:val="C554AFF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A085296"/>
    <w:multiLevelType w:val="hybridMultilevel"/>
    <w:tmpl w:val="D9288CCA"/>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4BAE0E98"/>
    <w:multiLevelType w:val="hybridMultilevel"/>
    <w:tmpl w:val="47760634"/>
    <w:lvl w:ilvl="0" w:tplc="375AE3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49B17EE"/>
    <w:multiLevelType w:val="hybridMultilevel"/>
    <w:tmpl w:val="8AD6A5F8"/>
    <w:lvl w:ilvl="0" w:tplc="7B8C2A70">
      <w:start w:val="3"/>
      <w:numFmt w:val="bullet"/>
      <w:lvlText w:val=""/>
      <w:lvlJc w:val="left"/>
      <w:pPr>
        <w:ind w:left="1080" w:hanging="360"/>
      </w:pPr>
      <w:rPr>
        <w:rFonts w:ascii="Wingdings" w:eastAsiaTheme="minorHAnsi" w:hAnsi="Wingdings" w:cstheme="minorHAns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76170ED"/>
    <w:multiLevelType w:val="hybridMultilevel"/>
    <w:tmpl w:val="2D9C494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96F2FB1"/>
    <w:multiLevelType w:val="hybridMultilevel"/>
    <w:tmpl w:val="A6BE666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E3C7CA1"/>
    <w:multiLevelType w:val="multilevel"/>
    <w:tmpl w:val="DBD07A58"/>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7BF69BC"/>
    <w:multiLevelType w:val="hybridMultilevel"/>
    <w:tmpl w:val="4E2A2764"/>
    <w:lvl w:ilvl="0" w:tplc="280A788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AC14D46"/>
    <w:multiLevelType w:val="hybridMultilevel"/>
    <w:tmpl w:val="86342312"/>
    <w:lvl w:ilvl="0" w:tplc="B4BE91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41801A9"/>
    <w:multiLevelType w:val="hybridMultilevel"/>
    <w:tmpl w:val="DA26989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8CC0158"/>
    <w:multiLevelType w:val="hybridMultilevel"/>
    <w:tmpl w:val="857A0D7A"/>
    <w:lvl w:ilvl="0" w:tplc="1958A71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C481A2A"/>
    <w:multiLevelType w:val="hybridMultilevel"/>
    <w:tmpl w:val="EA463C2E"/>
    <w:lvl w:ilvl="0" w:tplc="0409001B">
      <w:start w:val="1"/>
      <w:numFmt w:val="lowerRoman"/>
      <w:lvlText w:val="%1."/>
      <w:lvlJc w:val="right"/>
      <w:pPr>
        <w:ind w:left="1499" w:hanging="360"/>
      </w:p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num w:numId="1">
    <w:abstractNumId w:val="14"/>
  </w:num>
  <w:num w:numId="2">
    <w:abstractNumId w:val="2"/>
  </w:num>
  <w:num w:numId="3">
    <w:abstractNumId w:val="10"/>
  </w:num>
  <w:num w:numId="4">
    <w:abstractNumId w:val="6"/>
  </w:num>
  <w:num w:numId="5">
    <w:abstractNumId w:val="13"/>
  </w:num>
  <w:num w:numId="6">
    <w:abstractNumId w:val="24"/>
  </w:num>
  <w:num w:numId="7">
    <w:abstractNumId w:val="16"/>
  </w:num>
  <w:num w:numId="8">
    <w:abstractNumId w:val="0"/>
  </w:num>
  <w:num w:numId="9">
    <w:abstractNumId w:val="15"/>
  </w:num>
  <w:num w:numId="10">
    <w:abstractNumId w:val="3"/>
  </w:num>
  <w:num w:numId="11">
    <w:abstractNumId w:val="25"/>
  </w:num>
  <w:num w:numId="12">
    <w:abstractNumId w:val="19"/>
  </w:num>
  <w:num w:numId="13">
    <w:abstractNumId w:val="7"/>
  </w:num>
  <w:num w:numId="14">
    <w:abstractNumId w:val="23"/>
  </w:num>
  <w:num w:numId="15">
    <w:abstractNumId w:val="18"/>
  </w:num>
  <w:num w:numId="16">
    <w:abstractNumId w:val="17"/>
  </w:num>
  <w:num w:numId="17">
    <w:abstractNumId w:val="20"/>
  </w:num>
  <w:num w:numId="18">
    <w:abstractNumId w:val="11"/>
  </w:num>
  <w:num w:numId="19">
    <w:abstractNumId w:val="9"/>
  </w:num>
  <w:num w:numId="20">
    <w:abstractNumId w:val="21"/>
  </w:num>
  <w:num w:numId="21">
    <w:abstractNumId w:val="12"/>
  </w:num>
  <w:num w:numId="22">
    <w:abstractNumId w:val="4"/>
  </w:num>
  <w:num w:numId="23">
    <w:abstractNumId w:val="22"/>
  </w:num>
  <w:num w:numId="24">
    <w:abstractNumId w:val="1"/>
  </w:num>
  <w:num w:numId="25">
    <w:abstractNumId w:val="8"/>
  </w:num>
  <w:num w:numId="26">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105"/>
    <w:rsid w:val="00002CCB"/>
    <w:rsid w:val="00003509"/>
    <w:rsid w:val="00003B2B"/>
    <w:rsid w:val="000042F3"/>
    <w:rsid w:val="000044DF"/>
    <w:rsid w:val="00006E19"/>
    <w:rsid w:val="000100A0"/>
    <w:rsid w:val="0001010E"/>
    <w:rsid w:val="00013538"/>
    <w:rsid w:val="00024B28"/>
    <w:rsid w:val="000311FE"/>
    <w:rsid w:val="00033C26"/>
    <w:rsid w:val="00046DB8"/>
    <w:rsid w:val="0005651E"/>
    <w:rsid w:val="000610D3"/>
    <w:rsid w:val="000631EA"/>
    <w:rsid w:val="00065DF0"/>
    <w:rsid w:val="00077B11"/>
    <w:rsid w:val="000828A8"/>
    <w:rsid w:val="00082E8C"/>
    <w:rsid w:val="00086C7F"/>
    <w:rsid w:val="000907C7"/>
    <w:rsid w:val="00092BD3"/>
    <w:rsid w:val="00093D2F"/>
    <w:rsid w:val="000969AB"/>
    <w:rsid w:val="000A3022"/>
    <w:rsid w:val="000A3E31"/>
    <w:rsid w:val="000A7977"/>
    <w:rsid w:val="000B034F"/>
    <w:rsid w:val="000B086A"/>
    <w:rsid w:val="000B0C97"/>
    <w:rsid w:val="000B3B1F"/>
    <w:rsid w:val="000C77CE"/>
    <w:rsid w:val="000D028A"/>
    <w:rsid w:val="000E1A8D"/>
    <w:rsid w:val="000E38C8"/>
    <w:rsid w:val="000E678F"/>
    <w:rsid w:val="000F371B"/>
    <w:rsid w:val="00105AE3"/>
    <w:rsid w:val="00113BCE"/>
    <w:rsid w:val="00120097"/>
    <w:rsid w:val="00122DF6"/>
    <w:rsid w:val="00125F59"/>
    <w:rsid w:val="00146930"/>
    <w:rsid w:val="00150D18"/>
    <w:rsid w:val="00150FD1"/>
    <w:rsid w:val="0015148A"/>
    <w:rsid w:val="0015157F"/>
    <w:rsid w:val="001524AD"/>
    <w:rsid w:val="001536EA"/>
    <w:rsid w:val="001603DB"/>
    <w:rsid w:val="00161C05"/>
    <w:rsid w:val="0017474E"/>
    <w:rsid w:val="00185E45"/>
    <w:rsid w:val="00186311"/>
    <w:rsid w:val="001869F0"/>
    <w:rsid w:val="00193A36"/>
    <w:rsid w:val="001979B9"/>
    <w:rsid w:val="001B2FB5"/>
    <w:rsid w:val="001B508F"/>
    <w:rsid w:val="001B5820"/>
    <w:rsid w:val="001C2C43"/>
    <w:rsid w:val="001C5E6F"/>
    <w:rsid w:val="001D2EF8"/>
    <w:rsid w:val="001E3AEC"/>
    <w:rsid w:val="001F0803"/>
    <w:rsid w:val="001F1549"/>
    <w:rsid w:val="001F3980"/>
    <w:rsid w:val="001F668E"/>
    <w:rsid w:val="00200384"/>
    <w:rsid w:val="0020638E"/>
    <w:rsid w:val="00211527"/>
    <w:rsid w:val="00211FBA"/>
    <w:rsid w:val="00216368"/>
    <w:rsid w:val="00217B2C"/>
    <w:rsid w:val="0022344A"/>
    <w:rsid w:val="00224F7F"/>
    <w:rsid w:val="002260CC"/>
    <w:rsid w:val="0023171C"/>
    <w:rsid w:val="0023204E"/>
    <w:rsid w:val="0023697E"/>
    <w:rsid w:val="00236D4A"/>
    <w:rsid w:val="0023737D"/>
    <w:rsid w:val="00237C1C"/>
    <w:rsid w:val="00242B16"/>
    <w:rsid w:val="0024581A"/>
    <w:rsid w:val="00246CC4"/>
    <w:rsid w:val="00247225"/>
    <w:rsid w:val="002473A1"/>
    <w:rsid w:val="002508BB"/>
    <w:rsid w:val="00250CC3"/>
    <w:rsid w:val="002538DD"/>
    <w:rsid w:val="00254C69"/>
    <w:rsid w:val="00256D82"/>
    <w:rsid w:val="00261ECB"/>
    <w:rsid w:val="00265BE6"/>
    <w:rsid w:val="00265C80"/>
    <w:rsid w:val="00267ECE"/>
    <w:rsid w:val="002706D9"/>
    <w:rsid w:val="00277439"/>
    <w:rsid w:val="002774A9"/>
    <w:rsid w:val="00284D79"/>
    <w:rsid w:val="00284F3F"/>
    <w:rsid w:val="0028692B"/>
    <w:rsid w:val="002870DD"/>
    <w:rsid w:val="00290E6B"/>
    <w:rsid w:val="00291E41"/>
    <w:rsid w:val="002922FC"/>
    <w:rsid w:val="00292D81"/>
    <w:rsid w:val="0029361A"/>
    <w:rsid w:val="00294088"/>
    <w:rsid w:val="00294231"/>
    <w:rsid w:val="0029463F"/>
    <w:rsid w:val="002979D1"/>
    <w:rsid w:val="002B267E"/>
    <w:rsid w:val="002B2E6A"/>
    <w:rsid w:val="002B30D0"/>
    <w:rsid w:val="002C3B0F"/>
    <w:rsid w:val="002D77FC"/>
    <w:rsid w:val="002E081E"/>
    <w:rsid w:val="002E2DE5"/>
    <w:rsid w:val="002F361B"/>
    <w:rsid w:val="002F3A78"/>
    <w:rsid w:val="002F436B"/>
    <w:rsid w:val="00301458"/>
    <w:rsid w:val="00302723"/>
    <w:rsid w:val="0031072F"/>
    <w:rsid w:val="00310BF8"/>
    <w:rsid w:val="0031103C"/>
    <w:rsid w:val="00313A50"/>
    <w:rsid w:val="00320A82"/>
    <w:rsid w:val="00323512"/>
    <w:rsid w:val="003255BC"/>
    <w:rsid w:val="00346F32"/>
    <w:rsid w:val="0034788C"/>
    <w:rsid w:val="003559C3"/>
    <w:rsid w:val="00363152"/>
    <w:rsid w:val="00364651"/>
    <w:rsid w:val="0036639C"/>
    <w:rsid w:val="003707E4"/>
    <w:rsid w:val="00374818"/>
    <w:rsid w:val="003768BA"/>
    <w:rsid w:val="003768EA"/>
    <w:rsid w:val="003771A4"/>
    <w:rsid w:val="0038338F"/>
    <w:rsid w:val="00383D82"/>
    <w:rsid w:val="0039225E"/>
    <w:rsid w:val="00392B6C"/>
    <w:rsid w:val="003941E1"/>
    <w:rsid w:val="00397DB0"/>
    <w:rsid w:val="003B0882"/>
    <w:rsid w:val="003B6E0C"/>
    <w:rsid w:val="003C3ECD"/>
    <w:rsid w:val="003D1611"/>
    <w:rsid w:val="003D3AA3"/>
    <w:rsid w:val="003E076F"/>
    <w:rsid w:val="003E4BA8"/>
    <w:rsid w:val="003E7DF1"/>
    <w:rsid w:val="003F2B8B"/>
    <w:rsid w:val="003F6D74"/>
    <w:rsid w:val="00403EFC"/>
    <w:rsid w:val="00404067"/>
    <w:rsid w:val="00404F97"/>
    <w:rsid w:val="0040650A"/>
    <w:rsid w:val="00411661"/>
    <w:rsid w:val="00413601"/>
    <w:rsid w:val="00420540"/>
    <w:rsid w:val="00420CE4"/>
    <w:rsid w:val="00422CCB"/>
    <w:rsid w:val="00424452"/>
    <w:rsid w:val="00425984"/>
    <w:rsid w:val="00425EEA"/>
    <w:rsid w:val="00431223"/>
    <w:rsid w:val="0043415D"/>
    <w:rsid w:val="00437A1A"/>
    <w:rsid w:val="00437D34"/>
    <w:rsid w:val="00440091"/>
    <w:rsid w:val="00441536"/>
    <w:rsid w:val="00441738"/>
    <w:rsid w:val="004441AC"/>
    <w:rsid w:val="004441DB"/>
    <w:rsid w:val="004454B1"/>
    <w:rsid w:val="0044602C"/>
    <w:rsid w:val="00447EB0"/>
    <w:rsid w:val="00457F30"/>
    <w:rsid w:val="00460D75"/>
    <w:rsid w:val="00463010"/>
    <w:rsid w:val="00463AD1"/>
    <w:rsid w:val="0046432F"/>
    <w:rsid w:val="0047787E"/>
    <w:rsid w:val="00480C07"/>
    <w:rsid w:val="00481C61"/>
    <w:rsid w:val="0048308C"/>
    <w:rsid w:val="00496416"/>
    <w:rsid w:val="004B5AC1"/>
    <w:rsid w:val="004D55F1"/>
    <w:rsid w:val="004D64C4"/>
    <w:rsid w:val="004D69A7"/>
    <w:rsid w:val="004D72F2"/>
    <w:rsid w:val="004E24AD"/>
    <w:rsid w:val="004F0ABA"/>
    <w:rsid w:val="004F5EF4"/>
    <w:rsid w:val="004F6B54"/>
    <w:rsid w:val="00500D97"/>
    <w:rsid w:val="00505BE0"/>
    <w:rsid w:val="0051077A"/>
    <w:rsid w:val="0052108D"/>
    <w:rsid w:val="00522E06"/>
    <w:rsid w:val="0052438B"/>
    <w:rsid w:val="00524ADF"/>
    <w:rsid w:val="005319A0"/>
    <w:rsid w:val="005354A5"/>
    <w:rsid w:val="0054118C"/>
    <w:rsid w:val="00542586"/>
    <w:rsid w:val="00545610"/>
    <w:rsid w:val="00546CAD"/>
    <w:rsid w:val="0055778A"/>
    <w:rsid w:val="00560533"/>
    <w:rsid w:val="00560BC6"/>
    <w:rsid w:val="00572745"/>
    <w:rsid w:val="00573F9F"/>
    <w:rsid w:val="00596AEC"/>
    <w:rsid w:val="005A094F"/>
    <w:rsid w:val="005A0FFA"/>
    <w:rsid w:val="005A7CBC"/>
    <w:rsid w:val="005B5355"/>
    <w:rsid w:val="005C450C"/>
    <w:rsid w:val="005D285A"/>
    <w:rsid w:val="005D430F"/>
    <w:rsid w:val="005D6373"/>
    <w:rsid w:val="005E57F0"/>
    <w:rsid w:val="005F06EA"/>
    <w:rsid w:val="005F3C9B"/>
    <w:rsid w:val="0060321D"/>
    <w:rsid w:val="0060722F"/>
    <w:rsid w:val="00610818"/>
    <w:rsid w:val="006108CE"/>
    <w:rsid w:val="00611E32"/>
    <w:rsid w:val="00616902"/>
    <w:rsid w:val="00626D94"/>
    <w:rsid w:val="006314E3"/>
    <w:rsid w:val="0063180B"/>
    <w:rsid w:val="00634EB8"/>
    <w:rsid w:val="00650605"/>
    <w:rsid w:val="0065281F"/>
    <w:rsid w:val="00652FDB"/>
    <w:rsid w:val="00656208"/>
    <w:rsid w:val="00675F4F"/>
    <w:rsid w:val="006832FA"/>
    <w:rsid w:val="00683E75"/>
    <w:rsid w:val="00687875"/>
    <w:rsid w:val="00693C98"/>
    <w:rsid w:val="00696105"/>
    <w:rsid w:val="006A12D3"/>
    <w:rsid w:val="006A1D5E"/>
    <w:rsid w:val="006A1E2C"/>
    <w:rsid w:val="006B33FE"/>
    <w:rsid w:val="006B4E2E"/>
    <w:rsid w:val="006C2A99"/>
    <w:rsid w:val="006C3977"/>
    <w:rsid w:val="006C75CC"/>
    <w:rsid w:val="006D7BB4"/>
    <w:rsid w:val="006E2385"/>
    <w:rsid w:val="006F3356"/>
    <w:rsid w:val="006F4CBA"/>
    <w:rsid w:val="006F684F"/>
    <w:rsid w:val="007127E2"/>
    <w:rsid w:val="00713FD0"/>
    <w:rsid w:val="00726ADD"/>
    <w:rsid w:val="007374F6"/>
    <w:rsid w:val="007466D8"/>
    <w:rsid w:val="007518E4"/>
    <w:rsid w:val="00752AFB"/>
    <w:rsid w:val="00753BB8"/>
    <w:rsid w:val="00761C7A"/>
    <w:rsid w:val="00764226"/>
    <w:rsid w:val="007678CE"/>
    <w:rsid w:val="00770AC2"/>
    <w:rsid w:val="00774514"/>
    <w:rsid w:val="00775667"/>
    <w:rsid w:val="00777D7C"/>
    <w:rsid w:val="00781400"/>
    <w:rsid w:val="007A4264"/>
    <w:rsid w:val="007B0198"/>
    <w:rsid w:val="007B2F27"/>
    <w:rsid w:val="007B4EF4"/>
    <w:rsid w:val="007C2B3E"/>
    <w:rsid w:val="007E066A"/>
    <w:rsid w:val="007E2A28"/>
    <w:rsid w:val="007E3A55"/>
    <w:rsid w:val="007E747B"/>
    <w:rsid w:val="007F1124"/>
    <w:rsid w:val="007F3831"/>
    <w:rsid w:val="00800E84"/>
    <w:rsid w:val="00802F37"/>
    <w:rsid w:val="008070F9"/>
    <w:rsid w:val="00807E62"/>
    <w:rsid w:val="00813CA6"/>
    <w:rsid w:val="00813F59"/>
    <w:rsid w:val="008203D5"/>
    <w:rsid w:val="00822C47"/>
    <w:rsid w:val="00825644"/>
    <w:rsid w:val="00831ACB"/>
    <w:rsid w:val="00832BD4"/>
    <w:rsid w:val="00834744"/>
    <w:rsid w:val="008362B1"/>
    <w:rsid w:val="008415A7"/>
    <w:rsid w:val="0084191B"/>
    <w:rsid w:val="00846EBB"/>
    <w:rsid w:val="008479A1"/>
    <w:rsid w:val="008479E9"/>
    <w:rsid w:val="0085140A"/>
    <w:rsid w:val="00852633"/>
    <w:rsid w:val="00852E3B"/>
    <w:rsid w:val="00857221"/>
    <w:rsid w:val="008576D3"/>
    <w:rsid w:val="00862FEF"/>
    <w:rsid w:val="0086395E"/>
    <w:rsid w:val="00865735"/>
    <w:rsid w:val="00866B33"/>
    <w:rsid w:val="008702ED"/>
    <w:rsid w:val="00876BA5"/>
    <w:rsid w:val="008821F8"/>
    <w:rsid w:val="008842FF"/>
    <w:rsid w:val="00885EDB"/>
    <w:rsid w:val="008A695D"/>
    <w:rsid w:val="008B64E0"/>
    <w:rsid w:val="008C1B83"/>
    <w:rsid w:val="008C44C7"/>
    <w:rsid w:val="008C4DAB"/>
    <w:rsid w:val="008D28F7"/>
    <w:rsid w:val="008D2A8D"/>
    <w:rsid w:val="008E1B5E"/>
    <w:rsid w:val="008E2DC9"/>
    <w:rsid w:val="008F14DA"/>
    <w:rsid w:val="008F15EA"/>
    <w:rsid w:val="008F437F"/>
    <w:rsid w:val="008F4775"/>
    <w:rsid w:val="0090577D"/>
    <w:rsid w:val="00906C58"/>
    <w:rsid w:val="00906F18"/>
    <w:rsid w:val="00910AF1"/>
    <w:rsid w:val="00916500"/>
    <w:rsid w:val="00925867"/>
    <w:rsid w:val="0093073D"/>
    <w:rsid w:val="0093286B"/>
    <w:rsid w:val="009357E6"/>
    <w:rsid w:val="009415BE"/>
    <w:rsid w:val="00941B37"/>
    <w:rsid w:val="00942B6E"/>
    <w:rsid w:val="00946E7A"/>
    <w:rsid w:val="0095501D"/>
    <w:rsid w:val="00955CDF"/>
    <w:rsid w:val="00963744"/>
    <w:rsid w:val="0096448B"/>
    <w:rsid w:val="00966503"/>
    <w:rsid w:val="00967811"/>
    <w:rsid w:val="00980260"/>
    <w:rsid w:val="009817D1"/>
    <w:rsid w:val="00984BB9"/>
    <w:rsid w:val="009920C6"/>
    <w:rsid w:val="00993067"/>
    <w:rsid w:val="009A147B"/>
    <w:rsid w:val="009A237E"/>
    <w:rsid w:val="009A7C03"/>
    <w:rsid w:val="009B3759"/>
    <w:rsid w:val="009B3865"/>
    <w:rsid w:val="009B7619"/>
    <w:rsid w:val="009C177C"/>
    <w:rsid w:val="009C37A8"/>
    <w:rsid w:val="009C726A"/>
    <w:rsid w:val="009D424E"/>
    <w:rsid w:val="009D5083"/>
    <w:rsid w:val="009E525D"/>
    <w:rsid w:val="009E605D"/>
    <w:rsid w:val="009E62A6"/>
    <w:rsid w:val="009E729A"/>
    <w:rsid w:val="009E7669"/>
    <w:rsid w:val="009F3B61"/>
    <w:rsid w:val="009F7340"/>
    <w:rsid w:val="00A01018"/>
    <w:rsid w:val="00A03C40"/>
    <w:rsid w:val="00A065B9"/>
    <w:rsid w:val="00A1793A"/>
    <w:rsid w:val="00A329CE"/>
    <w:rsid w:val="00A379AA"/>
    <w:rsid w:val="00A400B6"/>
    <w:rsid w:val="00A40C13"/>
    <w:rsid w:val="00A4304C"/>
    <w:rsid w:val="00A433D9"/>
    <w:rsid w:val="00A43E40"/>
    <w:rsid w:val="00A51058"/>
    <w:rsid w:val="00A5218F"/>
    <w:rsid w:val="00A5625A"/>
    <w:rsid w:val="00A6450F"/>
    <w:rsid w:val="00A67DBB"/>
    <w:rsid w:val="00A72487"/>
    <w:rsid w:val="00A842BF"/>
    <w:rsid w:val="00A92558"/>
    <w:rsid w:val="00A9482B"/>
    <w:rsid w:val="00AA7F24"/>
    <w:rsid w:val="00AB558E"/>
    <w:rsid w:val="00AB5FD6"/>
    <w:rsid w:val="00AB6FFF"/>
    <w:rsid w:val="00AC475A"/>
    <w:rsid w:val="00AC7CEA"/>
    <w:rsid w:val="00AD09A8"/>
    <w:rsid w:val="00AD2C8F"/>
    <w:rsid w:val="00AF3B9F"/>
    <w:rsid w:val="00AF4697"/>
    <w:rsid w:val="00AF70FF"/>
    <w:rsid w:val="00AF769D"/>
    <w:rsid w:val="00B013F7"/>
    <w:rsid w:val="00B03A51"/>
    <w:rsid w:val="00B127A5"/>
    <w:rsid w:val="00B143DC"/>
    <w:rsid w:val="00B15286"/>
    <w:rsid w:val="00B21B17"/>
    <w:rsid w:val="00B26116"/>
    <w:rsid w:val="00B370B1"/>
    <w:rsid w:val="00B52451"/>
    <w:rsid w:val="00B55849"/>
    <w:rsid w:val="00B66A08"/>
    <w:rsid w:val="00B70296"/>
    <w:rsid w:val="00B7624A"/>
    <w:rsid w:val="00B80E9D"/>
    <w:rsid w:val="00B81B93"/>
    <w:rsid w:val="00B8414C"/>
    <w:rsid w:val="00B933E6"/>
    <w:rsid w:val="00B960D0"/>
    <w:rsid w:val="00BA0933"/>
    <w:rsid w:val="00BA2588"/>
    <w:rsid w:val="00BA55BB"/>
    <w:rsid w:val="00BA62BE"/>
    <w:rsid w:val="00BB2300"/>
    <w:rsid w:val="00BB7758"/>
    <w:rsid w:val="00BC4482"/>
    <w:rsid w:val="00BC7D83"/>
    <w:rsid w:val="00BD004E"/>
    <w:rsid w:val="00BE161F"/>
    <w:rsid w:val="00BE2E47"/>
    <w:rsid w:val="00BE388A"/>
    <w:rsid w:val="00BE3BDD"/>
    <w:rsid w:val="00BE64EA"/>
    <w:rsid w:val="00BE6947"/>
    <w:rsid w:val="00BF484D"/>
    <w:rsid w:val="00BF799E"/>
    <w:rsid w:val="00C008E8"/>
    <w:rsid w:val="00C15420"/>
    <w:rsid w:val="00C25DD8"/>
    <w:rsid w:val="00C3020D"/>
    <w:rsid w:val="00C34560"/>
    <w:rsid w:val="00C34B58"/>
    <w:rsid w:val="00C35C44"/>
    <w:rsid w:val="00C36343"/>
    <w:rsid w:val="00C37AF3"/>
    <w:rsid w:val="00C403B8"/>
    <w:rsid w:val="00C40A14"/>
    <w:rsid w:val="00C45B49"/>
    <w:rsid w:val="00C467AA"/>
    <w:rsid w:val="00C5149B"/>
    <w:rsid w:val="00C56C35"/>
    <w:rsid w:val="00C62CE6"/>
    <w:rsid w:val="00C649C5"/>
    <w:rsid w:val="00C75234"/>
    <w:rsid w:val="00C75D0E"/>
    <w:rsid w:val="00C83CCA"/>
    <w:rsid w:val="00C86B51"/>
    <w:rsid w:val="00C86C71"/>
    <w:rsid w:val="00C92A63"/>
    <w:rsid w:val="00CA4E67"/>
    <w:rsid w:val="00CB39F7"/>
    <w:rsid w:val="00CC6CD4"/>
    <w:rsid w:val="00CE1CAD"/>
    <w:rsid w:val="00CF0956"/>
    <w:rsid w:val="00CF09ED"/>
    <w:rsid w:val="00D00293"/>
    <w:rsid w:val="00D07F92"/>
    <w:rsid w:val="00D11BE8"/>
    <w:rsid w:val="00D11F78"/>
    <w:rsid w:val="00D16A7E"/>
    <w:rsid w:val="00D25620"/>
    <w:rsid w:val="00D2629F"/>
    <w:rsid w:val="00D34238"/>
    <w:rsid w:val="00D35AF9"/>
    <w:rsid w:val="00D40884"/>
    <w:rsid w:val="00D419DD"/>
    <w:rsid w:val="00D42476"/>
    <w:rsid w:val="00D42E14"/>
    <w:rsid w:val="00D45701"/>
    <w:rsid w:val="00D461E7"/>
    <w:rsid w:val="00D46FCA"/>
    <w:rsid w:val="00D5236F"/>
    <w:rsid w:val="00D541F4"/>
    <w:rsid w:val="00D55724"/>
    <w:rsid w:val="00D562C4"/>
    <w:rsid w:val="00D64DD3"/>
    <w:rsid w:val="00D65098"/>
    <w:rsid w:val="00D6783A"/>
    <w:rsid w:val="00D8243B"/>
    <w:rsid w:val="00D85350"/>
    <w:rsid w:val="00D91759"/>
    <w:rsid w:val="00D93E72"/>
    <w:rsid w:val="00DA4C25"/>
    <w:rsid w:val="00DB753B"/>
    <w:rsid w:val="00DC0C0B"/>
    <w:rsid w:val="00DC16B4"/>
    <w:rsid w:val="00DC73AA"/>
    <w:rsid w:val="00DF398B"/>
    <w:rsid w:val="00DF7956"/>
    <w:rsid w:val="00E03F21"/>
    <w:rsid w:val="00E17373"/>
    <w:rsid w:val="00E174B5"/>
    <w:rsid w:val="00E1775B"/>
    <w:rsid w:val="00E27D29"/>
    <w:rsid w:val="00E57FE5"/>
    <w:rsid w:val="00E60E84"/>
    <w:rsid w:val="00E636D4"/>
    <w:rsid w:val="00E644D0"/>
    <w:rsid w:val="00E65D00"/>
    <w:rsid w:val="00E65EAB"/>
    <w:rsid w:val="00E74097"/>
    <w:rsid w:val="00E76B86"/>
    <w:rsid w:val="00E772B7"/>
    <w:rsid w:val="00E8022E"/>
    <w:rsid w:val="00E85492"/>
    <w:rsid w:val="00E92F07"/>
    <w:rsid w:val="00E94FEC"/>
    <w:rsid w:val="00EA2A73"/>
    <w:rsid w:val="00EA42F1"/>
    <w:rsid w:val="00EA7286"/>
    <w:rsid w:val="00EC3300"/>
    <w:rsid w:val="00EC378C"/>
    <w:rsid w:val="00EC5C06"/>
    <w:rsid w:val="00EC5C31"/>
    <w:rsid w:val="00EE0195"/>
    <w:rsid w:val="00EE2A16"/>
    <w:rsid w:val="00EE5551"/>
    <w:rsid w:val="00EE693B"/>
    <w:rsid w:val="00EF5C35"/>
    <w:rsid w:val="00EF7191"/>
    <w:rsid w:val="00F079C3"/>
    <w:rsid w:val="00F15814"/>
    <w:rsid w:val="00F159FD"/>
    <w:rsid w:val="00F20BBD"/>
    <w:rsid w:val="00F237CA"/>
    <w:rsid w:val="00F248A2"/>
    <w:rsid w:val="00F272AD"/>
    <w:rsid w:val="00F30AC7"/>
    <w:rsid w:val="00F47EDC"/>
    <w:rsid w:val="00F50D73"/>
    <w:rsid w:val="00F51987"/>
    <w:rsid w:val="00F72628"/>
    <w:rsid w:val="00F74247"/>
    <w:rsid w:val="00F83FE2"/>
    <w:rsid w:val="00F9054D"/>
    <w:rsid w:val="00FA0B57"/>
    <w:rsid w:val="00FA2AE8"/>
    <w:rsid w:val="00FA49D6"/>
    <w:rsid w:val="00FA6280"/>
    <w:rsid w:val="00FA62A9"/>
    <w:rsid w:val="00FB04F1"/>
    <w:rsid w:val="00FC18E3"/>
    <w:rsid w:val="00FC4DC9"/>
    <w:rsid w:val="00FD1DA7"/>
    <w:rsid w:val="00FD48C7"/>
    <w:rsid w:val="00FD72CE"/>
    <w:rsid w:val="00FE024C"/>
    <w:rsid w:val="00FE13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9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744"/>
  </w:style>
  <w:style w:type="paragraph" w:styleId="Heading1">
    <w:name w:val="heading 1"/>
    <w:basedOn w:val="Normal"/>
    <w:next w:val="Normal"/>
    <w:link w:val="Heading1Char"/>
    <w:uiPriority w:val="9"/>
    <w:qFormat/>
    <w:rsid w:val="006961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5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10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96105"/>
    <w:pPr>
      <w:outlineLvl w:val="9"/>
    </w:pPr>
    <w:rPr>
      <w:lang w:val="en-US" w:eastAsia="ja-JP"/>
    </w:rPr>
  </w:style>
  <w:style w:type="paragraph" w:styleId="BalloonText">
    <w:name w:val="Balloon Text"/>
    <w:basedOn w:val="Normal"/>
    <w:link w:val="BalloonTextChar"/>
    <w:uiPriority w:val="99"/>
    <w:semiHidden/>
    <w:unhideWhenUsed/>
    <w:rsid w:val="00696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105"/>
    <w:rPr>
      <w:rFonts w:ascii="Tahoma" w:hAnsi="Tahoma" w:cs="Tahoma"/>
      <w:sz w:val="16"/>
      <w:szCs w:val="16"/>
    </w:rPr>
  </w:style>
  <w:style w:type="paragraph" w:styleId="Title">
    <w:name w:val="Title"/>
    <w:basedOn w:val="Normal"/>
    <w:next w:val="Normal"/>
    <w:link w:val="TitleChar"/>
    <w:uiPriority w:val="10"/>
    <w:qFormat/>
    <w:rsid w:val="006961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6105"/>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634EB8"/>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rsid w:val="00634EB8"/>
    <w:rPr>
      <w:rFonts w:ascii="Arial" w:hAnsi="Arial" w:cs="Arial"/>
      <w:sz w:val="20"/>
      <w:szCs w:val="20"/>
    </w:rPr>
  </w:style>
  <w:style w:type="character" w:styleId="FootnoteReference">
    <w:name w:val="footnote reference"/>
    <w:basedOn w:val="DefaultParagraphFont"/>
    <w:uiPriority w:val="99"/>
    <w:unhideWhenUsed/>
    <w:rsid w:val="00634EB8"/>
    <w:rPr>
      <w:vertAlign w:val="superscript"/>
    </w:rPr>
  </w:style>
  <w:style w:type="paragraph" w:styleId="ListParagraph">
    <w:name w:val="List Paragraph"/>
    <w:basedOn w:val="Normal"/>
    <w:uiPriority w:val="34"/>
    <w:qFormat/>
    <w:rsid w:val="00634EB8"/>
    <w:pPr>
      <w:ind w:left="720"/>
      <w:contextualSpacing/>
    </w:pPr>
    <w:rPr>
      <w:rFonts w:ascii="Arial" w:hAnsi="Arial" w:cs="Arial"/>
      <w:sz w:val="24"/>
    </w:rPr>
  </w:style>
  <w:style w:type="paragraph" w:styleId="TOC1">
    <w:name w:val="toc 1"/>
    <w:basedOn w:val="Normal"/>
    <w:next w:val="Normal"/>
    <w:autoRedefine/>
    <w:uiPriority w:val="39"/>
    <w:unhideWhenUsed/>
    <w:rsid w:val="003F2B8B"/>
    <w:pPr>
      <w:spacing w:after="100"/>
    </w:pPr>
  </w:style>
  <w:style w:type="character" w:styleId="Hyperlink">
    <w:name w:val="Hyperlink"/>
    <w:basedOn w:val="DefaultParagraphFont"/>
    <w:uiPriority w:val="99"/>
    <w:unhideWhenUsed/>
    <w:rsid w:val="003F2B8B"/>
    <w:rPr>
      <w:color w:val="0000FF" w:themeColor="hyperlink"/>
      <w:u w:val="single"/>
    </w:rPr>
  </w:style>
  <w:style w:type="paragraph" w:styleId="NormalWeb">
    <w:name w:val="Normal (Web)"/>
    <w:basedOn w:val="Normal"/>
    <w:uiPriority w:val="99"/>
    <w:unhideWhenUsed/>
    <w:rsid w:val="00346F3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DA4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C25"/>
  </w:style>
  <w:style w:type="paragraph" w:styleId="Footer">
    <w:name w:val="footer"/>
    <w:basedOn w:val="Normal"/>
    <w:link w:val="FooterChar"/>
    <w:uiPriority w:val="99"/>
    <w:unhideWhenUsed/>
    <w:rsid w:val="00DA4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C25"/>
  </w:style>
  <w:style w:type="character" w:styleId="CommentReference">
    <w:name w:val="annotation reference"/>
    <w:basedOn w:val="DefaultParagraphFont"/>
    <w:uiPriority w:val="99"/>
    <w:semiHidden/>
    <w:unhideWhenUsed/>
    <w:rsid w:val="001E3AEC"/>
    <w:rPr>
      <w:sz w:val="18"/>
      <w:szCs w:val="18"/>
    </w:rPr>
  </w:style>
  <w:style w:type="paragraph" w:styleId="CommentText">
    <w:name w:val="annotation text"/>
    <w:basedOn w:val="Normal"/>
    <w:link w:val="CommentTextChar"/>
    <w:uiPriority w:val="99"/>
    <w:semiHidden/>
    <w:unhideWhenUsed/>
    <w:rsid w:val="001E3AEC"/>
    <w:pPr>
      <w:spacing w:line="240" w:lineRule="auto"/>
    </w:pPr>
    <w:rPr>
      <w:rFonts w:ascii="Arial" w:hAnsi="Arial" w:cs="Arial"/>
      <w:sz w:val="24"/>
      <w:szCs w:val="24"/>
    </w:rPr>
  </w:style>
  <w:style w:type="character" w:customStyle="1" w:styleId="CommentTextChar">
    <w:name w:val="Comment Text Char"/>
    <w:basedOn w:val="DefaultParagraphFont"/>
    <w:link w:val="CommentText"/>
    <w:uiPriority w:val="99"/>
    <w:semiHidden/>
    <w:rsid w:val="001E3AEC"/>
    <w:rPr>
      <w:rFonts w:ascii="Arial" w:hAnsi="Arial" w:cs="Arial"/>
      <w:sz w:val="24"/>
      <w:szCs w:val="24"/>
    </w:rPr>
  </w:style>
  <w:style w:type="paragraph" w:customStyle="1" w:styleId="Default">
    <w:name w:val="Default"/>
    <w:rsid w:val="00C45B49"/>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8415A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8415A7"/>
    <w:pPr>
      <w:spacing w:after="100"/>
      <w:ind w:left="220"/>
    </w:pPr>
  </w:style>
  <w:style w:type="paragraph" w:styleId="CommentSubject">
    <w:name w:val="annotation subject"/>
    <w:basedOn w:val="CommentText"/>
    <w:next w:val="CommentText"/>
    <w:link w:val="CommentSubjectChar"/>
    <w:uiPriority w:val="99"/>
    <w:semiHidden/>
    <w:unhideWhenUsed/>
    <w:rsid w:val="00077B11"/>
    <w:rPr>
      <w:rFonts w:ascii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077B11"/>
    <w:rPr>
      <w:rFonts w:ascii="Arial" w:hAnsi="Arial" w:cs="Arial"/>
      <w:b/>
      <w:bCs/>
      <w:sz w:val="20"/>
      <w:szCs w:val="20"/>
    </w:rPr>
  </w:style>
  <w:style w:type="paragraph" w:styleId="EndnoteText">
    <w:name w:val="endnote text"/>
    <w:basedOn w:val="Normal"/>
    <w:link w:val="EndnoteTextChar"/>
    <w:uiPriority w:val="99"/>
    <w:semiHidden/>
    <w:unhideWhenUsed/>
    <w:rsid w:val="00267E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7ECE"/>
    <w:rPr>
      <w:sz w:val="20"/>
      <w:szCs w:val="20"/>
    </w:rPr>
  </w:style>
  <w:style w:type="character" w:styleId="EndnoteReference">
    <w:name w:val="endnote reference"/>
    <w:basedOn w:val="DefaultParagraphFont"/>
    <w:uiPriority w:val="99"/>
    <w:semiHidden/>
    <w:unhideWhenUsed/>
    <w:rsid w:val="00267ECE"/>
    <w:rPr>
      <w:vertAlign w:val="superscript"/>
    </w:rPr>
  </w:style>
  <w:style w:type="character" w:styleId="Strong">
    <w:name w:val="Strong"/>
    <w:basedOn w:val="DefaultParagraphFont"/>
    <w:uiPriority w:val="22"/>
    <w:qFormat/>
    <w:rsid w:val="0017474E"/>
    <w:rPr>
      <w:b/>
      <w:bCs/>
    </w:rPr>
  </w:style>
  <w:style w:type="paragraph" w:styleId="BodyText">
    <w:name w:val="Body Text"/>
    <w:basedOn w:val="Normal"/>
    <w:link w:val="BodyTextChar"/>
    <w:rsid w:val="0038338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8338F"/>
    <w:rPr>
      <w:rFonts w:ascii="Times New Roman" w:eastAsia="Times New Roman" w:hAnsi="Times New Roman" w:cs="Times New Roman"/>
      <w:sz w:val="24"/>
      <w:szCs w:val="20"/>
    </w:rPr>
  </w:style>
  <w:style w:type="table" w:styleId="TableGrid">
    <w:name w:val="Table Grid"/>
    <w:basedOn w:val="TableNormal"/>
    <w:uiPriority w:val="59"/>
    <w:rsid w:val="00F23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6374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63744"/>
    <w:rPr>
      <w:rFonts w:eastAsiaTheme="minorEastAsia"/>
      <w:lang w:val="en-US" w:eastAsia="ja-JP"/>
    </w:rPr>
  </w:style>
  <w:style w:type="paragraph" w:customStyle="1" w:styleId="booktitle">
    <w:name w:val="booktitle"/>
    <w:basedOn w:val="Normal"/>
    <w:rsid w:val="007B2F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oksubtitle">
    <w:name w:val="booksubtitle"/>
    <w:basedOn w:val="Normal"/>
    <w:rsid w:val="007B2F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3073D"/>
    <w:rPr>
      <w:i/>
      <w:iCs/>
    </w:rPr>
  </w:style>
  <w:style w:type="paragraph" w:customStyle="1" w:styleId="Pa2">
    <w:name w:val="Pa2"/>
    <w:basedOn w:val="Default"/>
    <w:next w:val="Default"/>
    <w:uiPriority w:val="99"/>
    <w:rsid w:val="002E081E"/>
    <w:pPr>
      <w:spacing w:line="401" w:lineRule="atLeast"/>
    </w:pPr>
    <w:rPr>
      <w:rFonts w:ascii="ITC Symbol Std Book" w:hAnsi="ITC Symbol Std Book" w:cstheme="minorBidi"/>
      <w:color w:val="auto"/>
    </w:rPr>
  </w:style>
  <w:style w:type="character" w:customStyle="1" w:styleId="A2">
    <w:name w:val="A2"/>
    <w:uiPriority w:val="99"/>
    <w:rsid w:val="002E081E"/>
    <w:rPr>
      <w:rFonts w:cs="ITC Symbol Std Book"/>
      <w:b/>
      <w:bCs/>
      <w:color w:val="000000"/>
      <w:sz w:val="60"/>
      <w:szCs w:val="60"/>
    </w:rPr>
  </w:style>
  <w:style w:type="character" w:customStyle="1" w:styleId="articletitle1">
    <w:name w:val="articletitle1"/>
    <w:basedOn w:val="DefaultParagraphFont"/>
    <w:rsid w:val="00292D81"/>
    <w:rPr>
      <w:rFonts w:ascii="Arial" w:hAnsi="Arial" w:cs="Arial" w:hint="default"/>
      <w:b/>
      <w:bCs/>
      <w:color w:val="990033"/>
      <w:sz w:val="24"/>
      <w:szCs w:val="24"/>
    </w:rPr>
  </w:style>
  <w:style w:type="character" w:customStyle="1" w:styleId="text1">
    <w:name w:val="text1"/>
    <w:basedOn w:val="DefaultParagraphFont"/>
    <w:rsid w:val="00292D81"/>
    <w:rPr>
      <w:rFonts w:ascii="Arial" w:hAnsi="Arial" w:cs="Arial" w:hint="default"/>
      <w:strike w:val="0"/>
      <w:dstrike w:val="0"/>
      <w:color w:val="000000"/>
      <w:sz w:val="17"/>
      <w:szCs w:val="17"/>
      <w:u w:val="none"/>
      <w:effect w:val="none"/>
    </w:rPr>
  </w:style>
  <w:style w:type="paragraph" w:styleId="Revision">
    <w:name w:val="Revision"/>
    <w:hidden/>
    <w:uiPriority w:val="99"/>
    <w:semiHidden/>
    <w:rsid w:val="000100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744"/>
  </w:style>
  <w:style w:type="paragraph" w:styleId="Heading1">
    <w:name w:val="heading 1"/>
    <w:basedOn w:val="Normal"/>
    <w:next w:val="Normal"/>
    <w:link w:val="Heading1Char"/>
    <w:uiPriority w:val="9"/>
    <w:qFormat/>
    <w:rsid w:val="006961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5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10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96105"/>
    <w:pPr>
      <w:outlineLvl w:val="9"/>
    </w:pPr>
    <w:rPr>
      <w:lang w:val="en-US" w:eastAsia="ja-JP"/>
    </w:rPr>
  </w:style>
  <w:style w:type="paragraph" w:styleId="BalloonText">
    <w:name w:val="Balloon Text"/>
    <w:basedOn w:val="Normal"/>
    <w:link w:val="BalloonTextChar"/>
    <w:uiPriority w:val="99"/>
    <w:semiHidden/>
    <w:unhideWhenUsed/>
    <w:rsid w:val="00696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105"/>
    <w:rPr>
      <w:rFonts w:ascii="Tahoma" w:hAnsi="Tahoma" w:cs="Tahoma"/>
      <w:sz w:val="16"/>
      <w:szCs w:val="16"/>
    </w:rPr>
  </w:style>
  <w:style w:type="paragraph" w:styleId="Title">
    <w:name w:val="Title"/>
    <w:basedOn w:val="Normal"/>
    <w:next w:val="Normal"/>
    <w:link w:val="TitleChar"/>
    <w:uiPriority w:val="10"/>
    <w:qFormat/>
    <w:rsid w:val="006961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6105"/>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634EB8"/>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rsid w:val="00634EB8"/>
    <w:rPr>
      <w:rFonts w:ascii="Arial" w:hAnsi="Arial" w:cs="Arial"/>
      <w:sz w:val="20"/>
      <w:szCs w:val="20"/>
    </w:rPr>
  </w:style>
  <w:style w:type="character" w:styleId="FootnoteReference">
    <w:name w:val="footnote reference"/>
    <w:basedOn w:val="DefaultParagraphFont"/>
    <w:uiPriority w:val="99"/>
    <w:unhideWhenUsed/>
    <w:rsid w:val="00634EB8"/>
    <w:rPr>
      <w:vertAlign w:val="superscript"/>
    </w:rPr>
  </w:style>
  <w:style w:type="paragraph" w:styleId="ListParagraph">
    <w:name w:val="List Paragraph"/>
    <w:basedOn w:val="Normal"/>
    <w:uiPriority w:val="34"/>
    <w:qFormat/>
    <w:rsid w:val="00634EB8"/>
    <w:pPr>
      <w:ind w:left="720"/>
      <w:contextualSpacing/>
    </w:pPr>
    <w:rPr>
      <w:rFonts w:ascii="Arial" w:hAnsi="Arial" w:cs="Arial"/>
      <w:sz w:val="24"/>
    </w:rPr>
  </w:style>
  <w:style w:type="paragraph" w:styleId="TOC1">
    <w:name w:val="toc 1"/>
    <w:basedOn w:val="Normal"/>
    <w:next w:val="Normal"/>
    <w:autoRedefine/>
    <w:uiPriority w:val="39"/>
    <w:unhideWhenUsed/>
    <w:rsid w:val="003F2B8B"/>
    <w:pPr>
      <w:spacing w:after="100"/>
    </w:pPr>
  </w:style>
  <w:style w:type="character" w:styleId="Hyperlink">
    <w:name w:val="Hyperlink"/>
    <w:basedOn w:val="DefaultParagraphFont"/>
    <w:uiPriority w:val="99"/>
    <w:unhideWhenUsed/>
    <w:rsid w:val="003F2B8B"/>
    <w:rPr>
      <w:color w:val="0000FF" w:themeColor="hyperlink"/>
      <w:u w:val="single"/>
    </w:rPr>
  </w:style>
  <w:style w:type="paragraph" w:styleId="NormalWeb">
    <w:name w:val="Normal (Web)"/>
    <w:basedOn w:val="Normal"/>
    <w:uiPriority w:val="99"/>
    <w:unhideWhenUsed/>
    <w:rsid w:val="00346F3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DA4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C25"/>
  </w:style>
  <w:style w:type="paragraph" w:styleId="Footer">
    <w:name w:val="footer"/>
    <w:basedOn w:val="Normal"/>
    <w:link w:val="FooterChar"/>
    <w:uiPriority w:val="99"/>
    <w:unhideWhenUsed/>
    <w:rsid w:val="00DA4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C25"/>
  </w:style>
  <w:style w:type="character" w:styleId="CommentReference">
    <w:name w:val="annotation reference"/>
    <w:basedOn w:val="DefaultParagraphFont"/>
    <w:uiPriority w:val="99"/>
    <w:semiHidden/>
    <w:unhideWhenUsed/>
    <w:rsid w:val="001E3AEC"/>
    <w:rPr>
      <w:sz w:val="18"/>
      <w:szCs w:val="18"/>
    </w:rPr>
  </w:style>
  <w:style w:type="paragraph" w:styleId="CommentText">
    <w:name w:val="annotation text"/>
    <w:basedOn w:val="Normal"/>
    <w:link w:val="CommentTextChar"/>
    <w:uiPriority w:val="99"/>
    <w:semiHidden/>
    <w:unhideWhenUsed/>
    <w:rsid w:val="001E3AEC"/>
    <w:pPr>
      <w:spacing w:line="240" w:lineRule="auto"/>
    </w:pPr>
    <w:rPr>
      <w:rFonts w:ascii="Arial" w:hAnsi="Arial" w:cs="Arial"/>
      <w:sz w:val="24"/>
      <w:szCs w:val="24"/>
    </w:rPr>
  </w:style>
  <w:style w:type="character" w:customStyle="1" w:styleId="CommentTextChar">
    <w:name w:val="Comment Text Char"/>
    <w:basedOn w:val="DefaultParagraphFont"/>
    <w:link w:val="CommentText"/>
    <w:uiPriority w:val="99"/>
    <w:semiHidden/>
    <w:rsid w:val="001E3AEC"/>
    <w:rPr>
      <w:rFonts w:ascii="Arial" w:hAnsi="Arial" w:cs="Arial"/>
      <w:sz w:val="24"/>
      <w:szCs w:val="24"/>
    </w:rPr>
  </w:style>
  <w:style w:type="paragraph" w:customStyle="1" w:styleId="Default">
    <w:name w:val="Default"/>
    <w:rsid w:val="00C45B49"/>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8415A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8415A7"/>
    <w:pPr>
      <w:spacing w:after="100"/>
      <w:ind w:left="220"/>
    </w:pPr>
  </w:style>
  <w:style w:type="paragraph" w:styleId="CommentSubject">
    <w:name w:val="annotation subject"/>
    <w:basedOn w:val="CommentText"/>
    <w:next w:val="CommentText"/>
    <w:link w:val="CommentSubjectChar"/>
    <w:uiPriority w:val="99"/>
    <w:semiHidden/>
    <w:unhideWhenUsed/>
    <w:rsid w:val="00077B11"/>
    <w:rPr>
      <w:rFonts w:ascii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077B11"/>
    <w:rPr>
      <w:rFonts w:ascii="Arial" w:hAnsi="Arial" w:cs="Arial"/>
      <w:b/>
      <w:bCs/>
      <w:sz w:val="20"/>
      <w:szCs w:val="20"/>
    </w:rPr>
  </w:style>
  <w:style w:type="paragraph" w:styleId="EndnoteText">
    <w:name w:val="endnote text"/>
    <w:basedOn w:val="Normal"/>
    <w:link w:val="EndnoteTextChar"/>
    <w:uiPriority w:val="99"/>
    <w:semiHidden/>
    <w:unhideWhenUsed/>
    <w:rsid w:val="00267E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7ECE"/>
    <w:rPr>
      <w:sz w:val="20"/>
      <w:szCs w:val="20"/>
    </w:rPr>
  </w:style>
  <w:style w:type="character" w:styleId="EndnoteReference">
    <w:name w:val="endnote reference"/>
    <w:basedOn w:val="DefaultParagraphFont"/>
    <w:uiPriority w:val="99"/>
    <w:semiHidden/>
    <w:unhideWhenUsed/>
    <w:rsid w:val="00267ECE"/>
    <w:rPr>
      <w:vertAlign w:val="superscript"/>
    </w:rPr>
  </w:style>
  <w:style w:type="character" w:styleId="Strong">
    <w:name w:val="Strong"/>
    <w:basedOn w:val="DefaultParagraphFont"/>
    <w:uiPriority w:val="22"/>
    <w:qFormat/>
    <w:rsid w:val="0017474E"/>
    <w:rPr>
      <w:b/>
      <w:bCs/>
    </w:rPr>
  </w:style>
  <w:style w:type="paragraph" w:styleId="BodyText">
    <w:name w:val="Body Text"/>
    <w:basedOn w:val="Normal"/>
    <w:link w:val="BodyTextChar"/>
    <w:rsid w:val="0038338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8338F"/>
    <w:rPr>
      <w:rFonts w:ascii="Times New Roman" w:eastAsia="Times New Roman" w:hAnsi="Times New Roman" w:cs="Times New Roman"/>
      <w:sz w:val="24"/>
      <w:szCs w:val="20"/>
    </w:rPr>
  </w:style>
  <w:style w:type="table" w:styleId="TableGrid">
    <w:name w:val="Table Grid"/>
    <w:basedOn w:val="TableNormal"/>
    <w:uiPriority w:val="59"/>
    <w:rsid w:val="00F23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6374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63744"/>
    <w:rPr>
      <w:rFonts w:eastAsiaTheme="minorEastAsia"/>
      <w:lang w:val="en-US" w:eastAsia="ja-JP"/>
    </w:rPr>
  </w:style>
  <w:style w:type="paragraph" w:customStyle="1" w:styleId="booktitle">
    <w:name w:val="booktitle"/>
    <w:basedOn w:val="Normal"/>
    <w:rsid w:val="007B2F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oksubtitle">
    <w:name w:val="booksubtitle"/>
    <w:basedOn w:val="Normal"/>
    <w:rsid w:val="007B2F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3073D"/>
    <w:rPr>
      <w:i/>
      <w:iCs/>
    </w:rPr>
  </w:style>
  <w:style w:type="paragraph" w:customStyle="1" w:styleId="Pa2">
    <w:name w:val="Pa2"/>
    <w:basedOn w:val="Default"/>
    <w:next w:val="Default"/>
    <w:uiPriority w:val="99"/>
    <w:rsid w:val="002E081E"/>
    <w:pPr>
      <w:spacing w:line="401" w:lineRule="atLeast"/>
    </w:pPr>
    <w:rPr>
      <w:rFonts w:ascii="ITC Symbol Std Book" w:hAnsi="ITC Symbol Std Book" w:cstheme="minorBidi"/>
      <w:color w:val="auto"/>
    </w:rPr>
  </w:style>
  <w:style w:type="character" w:customStyle="1" w:styleId="A2">
    <w:name w:val="A2"/>
    <w:uiPriority w:val="99"/>
    <w:rsid w:val="002E081E"/>
    <w:rPr>
      <w:rFonts w:cs="ITC Symbol Std Book"/>
      <w:b/>
      <w:bCs/>
      <w:color w:val="000000"/>
      <w:sz w:val="60"/>
      <w:szCs w:val="60"/>
    </w:rPr>
  </w:style>
  <w:style w:type="character" w:customStyle="1" w:styleId="articletitle1">
    <w:name w:val="articletitle1"/>
    <w:basedOn w:val="DefaultParagraphFont"/>
    <w:rsid w:val="00292D81"/>
    <w:rPr>
      <w:rFonts w:ascii="Arial" w:hAnsi="Arial" w:cs="Arial" w:hint="default"/>
      <w:b/>
      <w:bCs/>
      <w:color w:val="990033"/>
      <w:sz w:val="24"/>
      <w:szCs w:val="24"/>
    </w:rPr>
  </w:style>
  <w:style w:type="character" w:customStyle="1" w:styleId="text1">
    <w:name w:val="text1"/>
    <w:basedOn w:val="DefaultParagraphFont"/>
    <w:rsid w:val="00292D81"/>
    <w:rPr>
      <w:rFonts w:ascii="Arial" w:hAnsi="Arial" w:cs="Arial" w:hint="default"/>
      <w:strike w:val="0"/>
      <w:dstrike w:val="0"/>
      <w:color w:val="000000"/>
      <w:sz w:val="17"/>
      <w:szCs w:val="17"/>
      <w:u w:val="none"/>
      <w:effect w:val="none"/>
    </w:rPr>
  </w:style>
  <w:style w:type="paragraph" w:styleId="Revision">
    <w:name w:val="Revision"/>
    <w:hidden/>
    <w:uiPriority w:val="99"/>
    <w:semiHidden/>
    <w:rsid w:val="000100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782">
      <w:bodyDiv w:val="1"/>
      <w:marLeft w:val="0"/>
      <w:marRight w:val="0"/>
      <w:marTop w:val="0"/>
      <w:marBottom w:val="0"/>
      <w:divBdr>
        <w:top w:val="none" w:sz="0" w:space="0" w:color="auto"/>
        <w:left w:val="none" w:sz="0" w:space="0" w:color="auto"/>
        <w:bottom w:val="none" w:sz="0" w:space="0" w:color="auto"/>
        <w:right w:val="none" w:sz="0" w:space="0" w:color="auto"/>
      </w:divBdr>
      <w:divsChild>
        <w:div w:id="1084061965">
          <w:marLeft w:val="0"/>
          <w:marRight w:val="0"/>
          <w:marTop w:val="0"/>
          <w:marBottom w:val="0"/>
          <w:divBdr>
            <w:top w:val="none" w:sz="0" w:space="0" w:color="auto"/>
            <w:left w:val="none" w:sz="0" w:space="0" w:color="auto"/>
            <w:bottom w:val="none" w:sz="0" w:space="0" w:color="auto"/>
            <w:right w:val="none" w:sz="0" w:space="0" w:color="auto"/>
          </w:divBdr>
          <w:divsChild>
            <w:div w:id="1329093326">
              <w:marLeft w:val="0"/>
              <w:marRight w:val="0"/>
              <w:marTop w:val="0"/>
              <w:marBottom w:val="0"/>
              <w:divBdr>
                <w:top w:val="none" w:sz="0" w:space="0" w:color="auto"/>
                <w:left w:val="none" w:sz="0" w:space="0" w:color="auto"/>
                <w:bottom w:val="none" w:sz="0" w:space="0" w:color="auto"/>
                <w:right w:val="none" w:sz="0" w:space="0" w:color="auto"/>
              </w:divBdr>
              <w:divsChild>
                <w:div w:id="1116602947">
                  <w:marLeft w:val="0"/>
                  <w:marRight w:val="0"/>
                  <w:marTop w:val="0"/>
                  <w:marBottom w:val="0"/>
                  <w:divBdr>
                    <w:top w:val="none" w:sz="0" w:space="0" w:color="auto"/>
                    <w:left w:val="none" w:sz="0" w:space="0" w:color="auto"/>
                    <w:bottom w:val="none" w:sz="0" w:space="0" w:color="auto"/>
                    <w:right w:val="none" w:sz="0" w:space="0" w:color="auto"/>
                  </w:divBdr>
                  <w:divsChild>
                    <w:div w:id="38433525">
                      <w:marLeft w:val="0"/>
                      <w:marRight w:val="0"/>
                      <w:marTop w:val="0"/>
                      <w:marBottom w:val="0"/>
                      <w:divBdr>
                        <w:top w:val="none" w:sz="0" w:space="0" w:color="auto"/>
                        <w:left w:val="none" w:sz="0" w:space="0" w:color="auto"/>
                        <w:bottom w:val="none" w:sz="0" w:space="0" w:color="auto"/>
                        <w:right w:val="none" w:sz="0" w:space="0" w:color="auto"/>
                      </w:divBdr>
                      <w:divsChild>
                        <w:div w:id="572198696">
                          <w:marLeft w:val="0"/>
                          <w:marRight w:val="0"/>
                          <w:marTop w:val="0"/>
                          <w:marBottom w:val="0"/>
                          <w:divBdr>
                            <w:top w:val="none" w:sz="0" w:space="0" w:color="auto"/>
                            <w:left w:val="none" w:sz="0" w:space="0" w:color="auto"/>
                            <w:bottom w:val="none" w:sz="0" w:space="0" w:color="auto"/>
                            <w:right w:val="none" w:sz="0" w:space="0" w:color="auto"/>
                          </w:divBdr>
                          <w:divsChild>
                            <w:div w:id="1722174360">
                              <w:marLeft w:val="0"/>
                              <w:marRight w:val="0"/>
                              <w:marTop w:val="0"/>
                              <w:marBottom w:val="0"/>
                              <w:divBdr>
                                <w:top w:val="none" w:sz="0" w:space="0" w:color="auto"/>
                                <w:left w:val="none" w:sz="0" w:space="0" w:color="auto"/>
                                <w:bottom w:val="none" w:sz="0" w:space="0" w:color="auto"/>
                                <w:right w:val="none" w:sz="0" w:space="0" w:color="auto"/>
                              </w:divBdr>
                              <w:divsChild>
                                <w:div w:id="1491677904">
                                  <w:marLeft w:val="0"/>
                                  <w:marRight w:val="0"/>
                                  <w:marTop w:val="0"/>
                                  <w:marBottom w:val="0"/>
                                  <w:divBdr>
                                    <w:top w:val="none" w:sz="0" w:space="0" w:color="auto"/>
                                    <w:left w:val="none" w:sz="0" w:space="0" w:color="auto"/>
                                    <w:bottom w:val="none" w:sz="0" w:space="0" w:color="auto"/>
                                    <w:right w:val="none" w:sz="0" w:space="0" w:color="auto"/>
                                  </w:divBdr>
                                  <w:divsChild>
                                    <w:div w:id="1872720831">
                                      <w:marLeft w:val="0"/>
                                      <w:marRight w:val="0"/>
                                      <w:marTop w:val="0"/>
                                      <w:marBottom w:val="0"/>
                                      <w:divBdr>
                                        <w:top w:val="none" w:sz="0" w:space="0" w:color="auto"/>
                                        <w:left w:val="none" w:sz="0" w:space="0" w:color="auto"/>
                                        <w:bottom w:val="none" w:sz="0" w:space="0" w:color="auto"/>
                                        <w:right w:val="none" w:sz="0" w:space="0" w:color="auto"/>
                                      </w:divBdr>
                                    </w:div>
                                    <w:div w:id="146677347">
                                      <w:marLeft w:val="0"/>
                                      <w:marRight w:val="0"/>
                                      <w:marTop w:val="0"/>
                                      <w:marBottom w:val="0"/>
                                      <w:divBdr>
                                        <w:top w:val="none" w:sz="0" w:space="0" w:color="auto"/>
                                        <w:left w:val="none" w:sz="0" w:space="0" w:color="auto"/>
                                        <w:bottom w:val="none" w:sz="0" w:space="0" w:color="auto"/>
                                        <w:right w:val="none" w:sz="0" w:space="0" w:color="auto"/>
                                      </w:divBdr>
                                      <w:divsChild>
                                        <w:div w:id="1754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13546">
      <w:bodyDiv w:val="1"/>
      <w:marLeft w:val="0"/>
      <w:marRight w:val="0"/>
      <w:marTop w:val="0"/>
      <w:marBottom w:val="0"/>
      <w:divBdr>
        <w:top w:val="none" w:sz="0" w:space="0" w:color="auto"/>
        <w:left w:val="none" w:sz="0" w:space="0" w:color="auto"/>
        <w:bottom w:val="none" w:sz="0" w:space="0" w:color="auto"/>
        <w:right w:val="none" w:sz="0" w:space="0" w:color="auto"/>
      </w:divBdr>
      <w:divsChild>
        <w:div w:id="731536447">
          <w:marLeft w:val="0"/>
          <w:marRight w:val="0"/>
          <w:marTop w:val="0"/>
          <w:marBottom w:val="0"/>
          <w:divBdr>
            <w:top w:val="none" w:sz="0" w:space="0" w:color="auto"/>
            <w:left w:val="none" w:sz="0" w:space="0" w:color="auto"/>
            <w:bottom w:val="none" w:sz="0" w:space="0" w:color="auto"/>
            <w:right w:val="none" w:sz="0" w:space="0" w:color="auto"/>
          </w:divBdr>
          <w:divsChild>
            <w:div w:id="1960260896">
              <w:marLeft w:val="0"/>
              <w:marRight w:val="0"/>
              <w:marTop w:val="0"/>
              <w:marBottom w:val="0"/>
              <w:divBdr>
                <w:top w:val="none" w:sz="0" w:space="0" w:color="auto"/>
                <w:left w:val="none" w:sz="0" w:space="0" w:color="auto"/>
                <w:bottom w:val="none" w:sz="0" w:space="0" w:color="auto"/>
                <w:right w:val="none" w:sz="0" w:space="0" w:color="auto"/>
              </w:divBdr>
              <w:divsChild>
                <w:div w:id="57942902">
                  <w:marLeft w:val="0"/>
                  <w:marRight w:val="0"/>
                  <w:marTop w:val="0"/>
                  <w:marBottom w:val="0"/>
                  <w:divBdr>
                    <w:top w:val="none" w:sz="0" w:space="0" w:color="auto"/>
                    <w:left w:val="none" w:sz="0" w:space="0" w:color="auto"/>
                    <w:bottom w:val="none" w:sz="0" w:space="0" w:color="auto"/>
                    <w:right w:val="none" w:sz="0" w:space="0" w:color="auto"/>
                  </w:divBdr>
                  <w:divsChild>
                    <w:div w:id="1862545328">
                      <w:marLeft w:val="0"/>
                      <w:marRight w:val="0"/>
                      <w:marTop w:val="0"/>
                      <w:marBottom w:val="0"/>
                      <w:divBdr>
                        <w:top w:val="none" w:sz="0" w:space="0" w:color="auto"/>
                        <w:left w:val="none" w:sz="0" w:space="0" w:color="auto"/>
                        <w:bottom w:val="none" w:sz="0" w:space="0" w:color="auto"/>
                        <w:right w:val="none" w:sz="0" w:space="0" w:color="auto"/>
                      </w:divBdr>
                      <w:divsChild>
                        <w:div w:id="1379940819">
                          <w:marLeft w:val="0"/>
                          <w:marRight w:val="0"/>
                          <w:marTop w:val="0"/>
                          <w:marBottom w:val="0"/>
                          <w:divBdr>
                            <w:top w:val="none" w:sz="0" w:space="0" w:color="auto"/>
                            <w:left w:val="none" w:sz="0" w:space="0" w:color="auto"/>
                            <w:bottom w:val="none" w:sz="0" w:space="0" w:color="auto"/>
                            <w:right w:val="none" w:sz="0" w:space="0" w:color="auto"/>
                          </w:divBdr>
                          <w:divsChild>
                            <w:div w:id="1078285236">
                              <w:marLeft w:val="-225"/>
                              <w:marRight w:val="0"/>
                              <w:marTop w:val="0"/>
                              <w:marBottom w:val="0"/>
                              <w:divBdr>
                                <w:top w:val="none" w:sz="0" w:space="0" w:color="auto"/>
                                <w:left w:val="none" w:sz="0" w:space="0" w:color="auto"/>
                                <w:bottom w:val="none" w:sz="0" w:space="0" w:color="auto"/>
                                <w:right w:val="none" w:sz="0" w:space="0" w:color="auto"/>
                              </w:divBdr>
                              <w:divsChild>
                                <w:div w:id="1659116024">
                                  <w:marLeft w:val="-225"/>
                                  <w:marRight w:val="0"/>
                                  <w:marTop w:val="0"/>
                                  <w:marBottom w:val="0"/>
                                  <w:divBdr>
                                    <w:top w:val="none" w:sz="0" w:space="0" w:color="auto"/>
                                    <w:left w:val="none" w:sz="0" w:space="0" w:color="auto"/>
                                    <w:bottom w:val="none" w:sz="0" w:space="0" w:color="auto"/>
                                    <w:right w:val="none" w:sz="0" w:space="0" w:color="auto"/>
                                  </w:divBdr>
                                  <w:divsChild>
                                    <w:div w:id="1640261078">
                                      <w:marLeft w:val="0"/>
                                      <w:marRight w:val="0"/>
                                      <w:marTop w:val="0"/>
                                      <w:marBottom w:val="0"/>
                                      <w:divBdr>
                                        <w:top w:val="none" w:sz="0" w:space="0" w:color="auto"/>
                                        <w:left w:val="none" w:sz="0" w:space="0" w:color="auto"/>
                                        <w:bottom w:val="none" w:sz="0" w:space="0" w:color="auto"/>
                                        <w:right w:val="none" w:sz="0" w:space="0" w:color="auto"/>
                                      </w:divBdr>
                                      <w:divsChild>
                                        <w:div w:id="571424538">
                                          <w:marLeft w:val="0"/>
                                          <w:marRight w:val="0"/>
                                          <w:marTop w:val="0"/>
                                          <w:marBottom w:val="0"/>
                                          <w:divBdr>
                                            <w:top w:val="none" w:sz="0" w:space="0" w:color="auto"/>
                                            <w:left w:val="none" w:sz="0" w:space="0" w:color="auto"/>
                                            <w:bottom w:val="none" w:sz="0" w:space="0" w:color="auto"/>
                                            <w:right w:val="none" w:sz="0" w:space="0" w:color="auto"/>
                                          </w:divBdr>
                                          <w:divsChild>
                                            <w:div w:id="1950811674">
                                              <w:marLeft w:val="0"/>
                                              <w:marRight w:val="0"/>
                                              <w:marTop w:val="0"/>
                                              <w:marBottom w:val="0"/>
                                              <w:divBdr>
                                                <w:top w:val="none" w:sz="0" w:space="0" w:color="auto"/>
                                                <w:left w:val="none" w:sz="0" w:space="0" w:color="auto"/>
                                                <w:bottom w:val="none" w:sz="0" w:space="0" w:color="auto"/>
                                                <w:right w:val="none" w:sz="0" w:space="0" w:color="auto"/>
                                              </w:divBdr>
                                              <w:divsChild>
                                                <w:div w:id="7872414">
                                                  <w:marLeft w:val="0"/>
                                                  <w:marRight w:val="0"/>
                                                  <w:marTop w:val="0"/>
                                                  <w:marBottom w:val="0"/>
                                                  <w:divBdr>
                                                    <w:top w:val="none" w:sz="0" w:space="0" w:color="auto"/>
                                                    <w:left w:val="none" w:sz="0" w:space="0" w:color="auto"/>
                                                    <w:bottom w:val="none" w:sz="0" w:space="0" w:color="auto"/>
                                                    <w:right w:val="none" w:sz="0" w:space="0" w:color="auto"/>
                                                  </w:divBdr>
                                                  <w:divsChild>
                                                    <w:div w:id="280308929">
                                                      <w:marLeft w:val="0"/>
                                                      <w:marRight w:val="0"/>
                                                      <w:marTop w:val="0"/>
                                                      <w:marBottom w:val="0"/>
                                                      <w:divBdr>
                                                        <w:top w:val="none" w:sz="0" w:space="0" w:color="auto"/>
                                                        <w:left w:val="none" w:sz="0" w:space="0" w:color="auto"/>
                                                        <w:bottom w:val="none" w:sz="0" w:space="0" w:color="auto"/>
                                                        <w:right w:val="none" w:sz="0" w:space="0" w:color="auto"/>
                                                      </w:divBdr>
                                                      <w:divsChild>
                                                        <w:div w:id="16059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4649493">
      <w:bodyDiv w:val="1"/>
      <w:marLeft w:val="0"/>
      <w:marRight w:val="0"/>
      <w:marTop w:val="0"/>
      <w:marBottom w:val="0"/>
      <w:divBdr>
        <w:top w:val="none" w:sz="0" w:space="0" w:color="auto"/>
        <w:left w:val="none" w:sz="0" w:space="0" w:color="auto"/>
        <w:bottom w:val="none" w:sz="0" w:space="0" w:color="auto"/>
        <w:right w:val="none" w:sz="0" w:space="0" w:color="auto"/>
      </w:divBdr>
    </w:div>
    <w:div w:id="852037832">
      <w:bodyDiv w:val="1"/>
      <w:marLeft w:val="0"/>
      <w:marRight w:val="0"/>
      <w:marTop w:val="0"/>
      <w:marBottom w:val="0"/>
      <w:divBdr>
        <w:top w:val="none" w:sz="0" w:space="0" w:color="auto"/>
        <w:left w:val="none" w:sz="0" w:space="0" w:color="auto"/>
        <w:bottom w:val="none" w:sz="0" w:space="0" w:color="auto"/>
        <w:right w:val="none" w:sz="0" w:space="0" w:color="auto"/>
      </w:divBdr>
      <w:divsChild>
        <w:div w:id="1941181346">
          <w:marLeft w:val="0"/>
          <w:marRight w:val="0"/>
          <w:marTop w:val="0"/>
          <w:marBottom w:val="0"/>
          <w:divBdr>
            <w:top w:val="none" w:sz="0" w:space="0" w:color="auto"/>
            <w:left w:val="none" w:sz="0" w:space="0" w:color="auto"/>
            <w:bottom w:val="none" w:sz="0" w:space="0" w:color="auto"/>
            <w:right w:val="none" w:sz="0" w:space="0" w:color="auto"/>
          </w:divBdr>
          <w:divsChild>
            <w:div w:id="1209028093">
              <w:marLeft w:val="0"/>
              <w:marRight w:val="0"/>
              <w:marTop w:val="0"/>
              <w:marBottom w:val="0"/>
              <w:divBdr>
                <w:top w:val="none" w:sz="0" w:space="0" w:color="auto"/>
                <w:left w:val="none" w:sz="0" w:space="0" w:color="auto"/>
                <w:bottom w:val="none" w:sz="0" w:space="0" w:color="auto"/>
                <w:right w:val="none" w:sz="0" w:space="0" w:color="auto"/>
              </w:divBdr>
              <w:divsChild>
                <w:div w:id="1189639872">
                  <w:marLeft w:val="0"/>
                  <w:marRight w:val="0"/>
                  <w:marTop w:val="0"/>
                  <w:marBottom w:val="0"/>
                  <w:divBdr>
                    <w:top w:val="none" w:sz="0" w:space="0" w:color="auto"/>
                    <w:left w:val="none" w:sz="0" w:space="0" w:color="auto"/>
                    <w:bottom w:val="none" w:sz="0" w:space="0" w:color="auto"/>
                    <w:right w:val="none" w:sz="0" w:space="0" w:color="auto"/>
                  </w:divBdr>
                  <w:divsChild>
                    <w:div w:id="1141341418">
                      <w:marLeft w:val="0"/>
                      <w:marRight w:val="0"/>
                      <w:marTop w:val="0"/>
                      <w:marBottom w:val="0"/>
                      <w:divBdr>
                        <w:top w:val="none" w:sz="0" w:space="0" w:color="auto"/>
                        <w:left w:val="none" w:sz="0" w:space="0" w:color="auto"/>
                        <w:bottom w:val="none" w:sz="0" w:space="0" w:color="auto"/>
                        <w:right w:val="none" w:sz="0" w:space="0" w:color="auto"/>
                      </w:divBdr>
                      <w:divsChild>
                        <w:div w:id="845635432">
                          <w:marLeft w:val="0"/>
                          <w:marRight w:val="0"/>
                          <w:marTop w:val="0"/>
                          <w:marBottom w:val="0"/>
                          <w:divBdr>
                            <w:top w:val="none" w:sz="0" w:space="0" w:color="auto"/>
                            <w:left w:val="none" w:sz="0" w:space="0" w:color="auto"/>
                            <w:bottom w:val="none" w:sz="0" w:space="0" w:color="auto"/>
                            <w:right w:val="none" w:sz="0" w:space="0" w:color="auto"/>
                          </w:divBdr>
                          <w:divsChild>
                            <w:div w:id="2091849918">
                              <w:marLeft w:val="-225"/>
                              <w:marRight w:val="0"/>
                              <w:marTop w:val="0"/>
                              <w:marBottom w:val="0"/>
                              <w:divBdr>
                                <w:top w:val="none" w:sz="0" w:space="0" w:color="auto"/>
                                <w:left w:val="none" w:sz="0" w:space="0" w:color="auto"/>
                                <w:bottom w:val="none" w:sz="0" w:space="0" w:color="auto"/>
                                <w:right w:val="none" w:sz="0" w:space="0" w:color="auto"/>
                              </w:divBdr>
                              <w:divsChild>
                                <w:div w:id="1400202771">
                                  <w:marLeft w:val="-225"/>
                                  <w:marRight w:val="0"/>
                                  <w:marTop w:val="0"/>
                                  <w:marBottom w:val="0"/>
                                  <w:divBdr>
                                    <w:top w:val="none" w:sz="0" w:space="0" w:color="auto"/>
                                    <w:left w:val="none" w:sz="0" w:space="0" w:color="auto"/>
                                    <w:bottom w:val="none" w:sz="0" w:space="0" w:color="auto"/>
                                    <w:right w:val="none" w:sz="0" w:space="0" w:color="auto"/>
                                  </w:divBdr>
                                  <w:divsChild>
                                    <w:div w:id="1088699812">
                                      <w:marLeft w:val="0"/>
                                      <w:marRight w:val="0"/>
                                      <w:marTop w:val="0"/>
                                      <w:marBottom w:val="0"/>
                                      <w:divBdr>
                                        <w:top w:val="none" w:sz="0" w:space="0" w:color="auto"/>
                                        <w:left w:val="none" w:sz="0" w:space="0" w:color="auto"/>
                                        <w:bottom w:val="none" w:sz="0" w:space="0" w:color="auto"/>
                                        <w:right w:val="none" w:sz="0" w:space="0" w:color="auto"/>
                                      </w:divBdr>
                                      <w:divsChild>
                                        <w:div w:id="311983875">
                                          <w:marLeft w:val="0"/>
                                          <w:marRight w:val="0"/>
                                          <w:marTop w:val="0"/>
                                          <w:marBottom w:val="0"/>
                                          <w:divBdr>
                                            <w:top w:val="none" w:sz="0" w:space="0" w:color="auto"/>
                                            <w:left w:val="none" w:sz="0" w:space="0" w:color="auto"/>
                                            <w:bottom w:val="none" w:sz="0" w:space="0" w:color="auto"/>
                                            <w:right w:val="none" w:sz="0" w:space="0" w:color="auto"/>
                                          </w:divBdr>
                                          <w:divsChild>
                                            <w:div w:id="305479011">
                                              <w:marLeft w:val="0"/>
                                              <w:marRight w:val="0"/>
                                              <w:marTop w:val="0"/>
                                              <w:marBottom w:val="0"/>
                                              <w:divBdr>
                                                <w:top w:val="none" w:sz="0" w:space="0" w:color="auto"/>
                                                <w:left w:val="none" w:sz="0" w:space="0" w:color="auto"/>
                                                <w:bottom w:val="none" w:sz="0" w:space="0" w:color="auto"/>
                                                <w:right w:val="none" w:sz="0" w:space="0" w:color="auto"/>
                                              </w:divBdr>
                                              <w:divsChild>
                                                <w:div w:id="406928512">
                                                  <w:marLeft w:val="0"/>
                                                  <w:marRight w:val="0"/>
                                                  <w:marTop w:val="0"/>
                                                  <w:marBottom w:val="0"/>
                                                  <w:divBdr>
                                                    <w:top w:val="none" w:sz="0" w:space="0" w:color="auto"/>
                                                    <w:left w:val="none" w:sz="0" w:space="0" w:color="auto"/>
                                                    <w:bottom w:val="none" w:sz="0" w:space="0" w:color="auto"/>
                                                    <w:right w:val="none" w:sz="0" w:space="0" w:color="auto"/>
                                                  </w:divBdr>
                                                  <w:divsChild>
                                                    <w:div w:id="1993947114">
                                                      <w:marLeft w:val="0"/>
                                                      <w:marRight w:val="0"/>
                                                      <w:marTop w:val="0"/>
                                                      <w:marBottom w:val="0"/>
                                                      <w:divBdr>
                                                        <w:top w:val="none" w:sz="0" w:space="0" w:color="auto"/>
                                                        <w:left w:val="none" w:sz="0" w:space="0" w:color="auto"/>
                                                        <w:bottom w:val="none" w:sz="0" w:space="0" w:color="auto"/>
                                                        <w:right w:val="none" w:sz="0" w:space="0" w:color="auto"/>
                                                      </w:divBdr>
                                                      <w:divsChild>
                                                        <w:div w:id="7118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7876492">
      <w:bodyDiv w:val="1"/>
      <w:marLeft w:val="0"/>
      <w:marRight w:val="0"/>
      <w:marTop w:val="0"/>
      <w:marBottom w:val="0"/>
      <w:divBdr>
        <w:top w:val="none" w:sz="0" w:space="0" w:color="auto"/>
        <w:left w:val="none" w:sz="0" w:space="0" w:color="auto"/>
        <w:bottom w:val="none" w:sz="0" w:space="0" w:color="auto"/>
        <w:right w:val="none" w:sz="0" w:space="0" w:color="auto"/>
      </w:divBdr>
    </w:div>
    <w:div w:id="1165973521">
      <w:bodyDiv w:val="1"/>
      <w:marLeft w:val="0"/>
      <w:marRight w:val="0"/>
      <w:marTop w:val="0"/>
      <w:marBottom w:val="0"/>
      <w:divBdr>
        <w:top w:val="none" w:sz="0" w:space="0" w:color="auto"/>
        <w:left w:val="none" w:sz="0" w:space="0" w:color="auto"/>
        <w:bottom w:val="none" w:sz="0" w:space="0" w:color="auto"/>
        <w:right w:val="none" w:sz="0" w:space="0" w:color="auto"/>
      </w:divBdr>
      <w:divsChild>
        <w:div w:id="61756742">
          <w:marLeft w:val="0"/>
          <w:marRight w:val="0"/>
          <w:marTop w:val="0"/>
          <w:marBottom w:val="0"/>
          <w:divBdr>
            <w:top w:val="none" w:sz="0" w:space="0" w:color="auto"/>
            <w:left w:val="none" w:sz="0" w:space="0" w:color="auto"/>
            <w:bottom w:val="none" w:sz="0" w:space="0" w:color="auto"/>
            <w:right w:val="none" w:sz="0" w:space="0" w:color="auto"/>
          </w:divBdr>
          <w:divsChild>
            <w:div w:id="86386384">
              <w:marLeft w:val="0"/>
              <w:marRight w:val="0"/>
              <w:marTop w:val="0"/>
              <w:marBottom w:val="0"/>
              <w:divBdr>
                <w:top w:val="none" w:sz="0" w:space="0" w:color="auto"/>
                <w:left w:val="none" w:sz="0" w:space="0" w:color="auto"/>
                <w:bottom w:val="none" w:sz="0" w:space="0" w:color="auto"/>
                <w:right w:val="none" w:sz="0" w:space="0" w:color="auto"/>
              </w:divBdr>
              <w:divsChild>
                <w:div w:id="476148804">
                  <w:marLeft w:val="0"/>
                  <w:marRight w:val="0"/>
                  <w:marTop w:val="0"/>
                  <w:marBottom w:val="0"/>
                  <w:divBdr>
                    <w:top w:val="none" w:sz="0" w:space="0" w:color="auto"/>
                    <w:left w:val="none" w:sz="0" w:space="0" w:color="auto"/>
                    <w:bottom w:val="none" w:sz="0" w:space="0" w:color="auto"/>
                    <w:right w:val="none" w:sz="0" w:space="0" w:color="auto"/>
                  </w:divBdr>
                  <w:divsChild>
                    <w:div w:id="1362390838">
                      <w:marLeft w:val="0"/>
                      <w:marRight w:val="0"/>
                      <w:marTop w:val="0"/>
                      <w:marBottom w:val="0"/>
                      <w:divBdr>
                        <w:top w:val="none" w:sz="0" w:space="0" w:color="auto"/>
                        <w:left w:val="none" w:sz="0" w:space="0" w:color="auto"/>
                        <w:bottom w:val="none" w:sz="0" w:space="0" w:color="auto"/>
                        <w:right w:val="none" w:sz="0" w:space="0" w:color="auto"/>
                      </w:divBdr>
                      <w:divsChild>
                        <w:div w:id="18739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478155">
      <w:bodyDiv w:val="1"/>
      <w:marLeft w:val="0"/>
      <w:marRight w:val="0"/>
      <w:marTop w:val="0"/>
      <w:marBottom w:val="0"/>
      <w:divBdr>
        <w:top w:val="none" w:sz="0" w:space="0" w:color="auto"/>
        <w:left w:val="none" w:sz="0" w:space="0" w:color="auto"/>
        <w:bottom w:val="none" w:sz="0" w:space="0" w:color="auto"/>
        <w:right w:val="none" w:sz="0" w:space="0" w:color="auto"/>
      </w:divBdr>
      <w:divsChild>
        <w:div w:id="1029721589">
          <w:marLeft w:val="0"/>
          <w:marRight w:val="0"/>
          <w:marTop w:val="0"/>
          <w:marBottom w:val="0"/>
          <w:divBdr>
            <w:top w:val="none" w:sz="0" w:space="0" w:color="auto"/>
            <w:left w:val="none" w:sz="0" w:space="0" w:color="auto"/>
            <w:bottom w:val="none" w:sz="0" w:space="0" w:color="auto"/>
            <w:right w:val="none" w:sz="0" w:space="0" w:color="auto"/>
          </w:divBdr>
          <w:divsChild>
            <w:div w:id="391150999">
              <w:marLeft w:val="0"/>
              <w:marRight w:val="0"/>
              <w:marTop w:val="0"/>
              <w:marBottom w:val="300"/>
              <w:divBdr>
                <w:top w:val="none" w:sz="0" w:space="0" w:color="auto"/>
                <w:left w:val="none" w:sz="0" w:space="0" w:color="auto"/>
                <w:bottom w:val="none" w:sz="0" w:space="0" w:color="auto"/>
                <w:right w:val="none" w:sz="0" w:space="0" w:color="auto"/>
              </w:divBdr>
              <w:divsChild>
                <w:div w:id="1149058700">
                  <w:marLeft w:val="-300"/>
                  <w:marRight w:val="0"/>
                  <w:marTop w:val="0"/>
                  <w:marBottom w:val="0"/>
                  <w:divBdr>
                    <w:top w:val="none" w:sz="0" w:space="0" w:color="auto"/>
                    <w:left w:val="none" w:sz="0" w:space="0" w:color="auto"/>
                    <w:bottom w:val="none" w:sz="0" w:space="0" w:color="auto"/>
                    <w:right w:val="none" w:sz="0" w:space="0" w:color="auto"/>
                  </w:divBdr>
                  <w:divsChild>
                    <w:div w:id="3630249">
                      <w:marLeft w:val="0"/>
                      <w:marRight w:val="0"/>
                      <w:marTop w:val="0"/>
                      <w:marBottom w:val="0"/>
                      <w:divBdr>
                        <w:top w:val="none" w:sz="0" w:space="0" w:color="auto"/>
                        <w:left w:val="none" w:sz="0" w:space="0" w:color="auto"/>
                        <w:bottom w:val="none" w:sz="0" w:space="0" w:color="auto"/>
                        <w:right w:val="none" w:sz="0" w:space="0" w:color="auto"/>
                      </w:divBdr>
                      <w:divsChild>
                        <w:div w:id="1901474262">
                          <w:marLeft w:val="0"/>
                          <w:marRight w:val="0"/>
                          <w:marTop w:val="0"/>
                          <w:marBottom w:val="0"/>
                          <w:divBdr>
                            <w:top w:val="none" w:sz="0" w:space="0" w:color="auto"/>
                            <w:left w:val="none" w:sz="0" w:space="0" w:color="auto"/>
                            <w:bottom w:val="none" w:sz="0" w:space="0" w:color="auto"/>
                            <w:right w:val="none" w:sz="0" w:space="0" w:color="auto"/>
                          </w:divBdr>
                          <w:divsChild>
                            <w:div w:id="1915894397">
                              <w:marLeft w:val="0"/>
                              <w:marRight w:val="0"/>
                              <w:marTop w:val="0"/>
                              <w:marBottom w:val="0"/>
                              <w:divBdr>
                                <w:top w:val="none" w:sz="0" w:space="0" w:color="auto"/>
                                <w:left w:val="none" w:sz="0" w:space="0" w:color="auto"/>
                                <w:bottom w:val="none" w:sz="0" w:space="0" w:color="auto"/>
                                <w:right w:val="none" w:sz="0" w:space="0" w:color="auto"/>
                              </w:divBdr>
                              <w:divsChild>
                                <w:div w:id="217401956">
                                  <w:marLeft w:val="-300"/>
                                  <w:marRight w:val="0"/>
                                  <w:marTop w:val="0"/>
                                  <w:marBottom w:val="0"/>
                                  <w:divBdr>
                                    <w:top w:val="none" w:sz="0" w:space="0" w:color="auto"/>
                                    <w:left w:val="none" w:sz="0" w:space="0" w:color="auto"/>
                                    <w:bottom w:val="none" w:sz="0" w:space="0" w:color="auto"/>
                                    <w:right w:val="none" w:sz="0" w:space="0" w:color="auto"/>
                                  </w:divBdr>
                                  <w:divsChild>
                                    <w:div w:id="17699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938533">
      <w:bodyDiv w:val="1"/>
      <w:marLeft w:val="0"/>
      <w:marRight w:val="0"/>
      <w:marTop w:val="0"/>
      <w:marBottom w:val="0"/>
      <w:divBdr>
        <w:top w:val="none" w:sz="0" w:space="0" w:color="auto"/>
        <w:left w:val="none" w:sz="0" w:space="0" w:color="auto"/>
        <w:bottom w:val="none" w:sz="0" w:space="0" w:color="auto"/>
        <w:right w:val="none" w:sz="0" w:space="0" w:color="auto"/>
      </w:divBdr>
      <w:divsChild>
        <w:div w:id="1668747051">
          <w:marLeft w:val="0"/>
          <w:marRight w:val="0"/>
          <w:marTop w:val="0"/>
          <w:marBottom w:val="0"/>
          <w:divBdr>
            <w:top w:val="none" w:sz="0" w:space="0" w:color="auto"/>
            <w:left w:val="none" w:sz="0" w:space="0" w:color="auto"/>
            <w:bottom w:val="none" w:sz="0" w:space="0" w:color="auto"/>
            <w:right w:val="none" w:sz="0" w:space="0" w:color="auto"/>
          </w:divBdr>
          <w:divsChild>
            <w:div w:id="2001419070">
              <w:marLeft w:val="0"/>
              <w:marRight w:val="0"/>
              <w:marTop w:val="0"/>
              <w:marBottom w:val="0"/>
              <w:divBdr>
                <w:top w:val="none" w:sz="0" w:space="0" w:color="auto"/>
                <w:left w:val="none" w:sz="0" w:space="0" w:color="auto"/>
                <w:bottom w:val="none" w:sz="0" w:space="0" w:color="auto"/>
                <w:right w:val="none" w:sz="0" w:space="0" w:color="auto"/>
              </w:divBdr>
              <w:divsChild>
                <w:div w:id="696858371">
                  <w:marLeft w:val="0"/>
                  <w:marRight w:val="0"/>
                  <w:marTop w:val="0"/>
                  <w:marBottom w:val="300"/>
                  <w:divBdr>
                    <w:top w:val="none" w:sz="0" w:space="0" w:color="auto"/>
                    <w:left w:val="none" w:sz="0" w:space="0" w:color="auto"/>
                    <w:bottom w:val="none" w:sz="0" w:space="0" w:color="auto"/>
                    <w:right w:val="none" w:sz="0" w:space="0" w:color="auto"/>
                  </w:divBdr>
                  <w:divsChild>
                    <w:div w:id="1661079527">
                      <w:marLeft w:val="0"/>
                      <w:marRight w:val="0"/>
                      <w:marTop w:val="0"/>
                      <w:marBottom w:val="0"/>
                      <w:divBdr>
                        <w:top w:val="none" w:sz="0" w:space="0" w:color="auto"/>
                        <w:left w:val="none" w:sz="0" w:space="0" w:color="auto"/>
                        <w:bottom w:val="none" w:sz="0" w:space="0" w:color="auto"/>
                        <w:right w:val="none" w:sz="0" w:space="0" w:color="auto"/>
                      </w:divBdr>
                      <w:divsChild>
                        <w:div w:id="16057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32267">
      <w:bodyDiv w:val="1"/>
      <w:marLeft w:val="0"/>
      <w:marRight w:val="0"/>
      <w:marTop w:val="0"/>
      <w:marBottom w:val="0"/>
      <w:divBdr>
        <w:top w:val="none" w:sz="0" w:space="0" w:color="auto"/>
        <w:left w:val="none" w:sz="0" w:space="0" w:color="auto"/>
        <w:bottom w:val="none" w:sz="0" w:space="0" w:color="auto"/>
        <w:right w:val="none" w:sz="0" w:space="0" w:color="auto"/>
      </w:divBdr>
      <w:divsChild>
        <w:div w:id="1407454125">
          <w:marLeft w:val="0"/>
          <w:marRight w:val="0"/>
          <w:marTop w:val="0"/>
          <w:marBottom w:val="0"/>
          <w:divBdr>
            <w:top w:val="none" w:sz="0" w:space="0" w:color="auto"/>
            <w:left w:val="none" w:sz="0" w:space="0" w:color="auto"/>
            <w:bottom w:val="none" w:sz="0" w:space="0" w:color="auto"/>
            <w:right w:val="none" w:sz="0" w:space="0" w:color="auto"/>
          </w:divBdr>
          <w:divsChild>
            <w:div w:id="1528594003">
              <w:marLeft w:val="0"/>
              <w:marRight w:val="0"/>
              <w:marTop w:val="0"/>
              <w:marBottom w:val="0"/>
              <w:divBdr>
                <w:top w:val="none" w:sz="0" w:space="0" w:color="auto"/>
                <w:left w:val="none" w:sz="0" w:space="0" w:color="auto"/>
                <w:bottom w:val="none" w:sz="0" w:space="0" w:color="auto"/>
                <w:right w:val="none" w:sz="0" w:space="0" w:color="auto"/>
              </w:divBdr>
              <w:divsChild>
                <w:div w:id="164514603">
                  <w:marLeft w:val="0"/>
                  <w:marRight w:val="0"/>
                  <w:marTop w:val="0"/>
                  <w:marBottom w:val="0"/>
                  <w:divBdr>
                    <w:top w:val="none" w:sz="0" w:space="0" w:color="auto"/>
                    <w:left w:val="none" w:sz="0" w:space="0" w:color="auto"/>
                    <w:bottom w:val="none" w:sz="0" w:space="0" w:color="auto"/>
                    <w:right w:val="none" w:sz="0" w:space="0" w:color="auto"/>
                  </w:divBdr>
                  <w:divsChild>
                    <w:div w:id="807478041">
                      <w:marLeft w:val="0"/>
                      <w:marRight w:val="0"/>
                      <w:marTop w:val="0"/>
                      <w:marBottom w:val="0"/>
                      <w:divBdr>
                        <w:top w:val="none" w:sz="0" w:space="0" w:color="auto"/>
                        <w:left w:val="none" w:sz="0" w:space="0" w:color="auto"/>
                        <w:bottom w:val="none" w:sz="0" w:space="0" w:color="auto"/>
                        <w:right w:val="none" w:sz="0" w:space="0" w:color="auto"/>
                      </w:divBdr>
                      <w:divsChild>
                        <w:div w:id="1702899476">
                          <w:marLeft w:val="0"/>
                          <w:marRight w:val="0"/>
                          <w:marTop w:val="0"/>
                          <w:marBottom w:val="0"/>
                          <w:divBdr>
                            <w:top w:val="none" w:sz="0" w:space="0" w:color="auto"/>
                            <w:left w:val="none" w:sz="0" w:space="0" w:color="auto"/>
                            <w:bottom w:val="none" w:sz="0" w:space="0" w:color="auto"/>
                            <w:right w:val="none" w:sz="0" w:space="0" w:color="auto"/>
                          </w:divBdr>
                          <w:divsChild>
                            <w:div w:id="2130313972">
                              <w:marLeft w:val="0"/>
                              <w:marRight w:val="0"/>
                              <w:marTop w:val="0"/>
                              <w:marBottom w:val="0"/>
                              <w:divBdr>
                                <w:top w:val="none" w:sz="0" w:space="0" w:color="auto"/>
                                <w:left w:val="none" w:sz="0" w:space="0" w:color="auto"/>
                                <w:bottom w:val="none" w:sz="0" w:space="0" w:color="auto"/>
                                <w:right w:val="none" w:sz="0" w:space="0" w:color="auto"/>
                              </w:divBdr>
                              <w:divsChild>
                                <w:div w:id="763261216">
                                  <w:marLeft w:val="0"/>
                                  <w:marRight w:val="0"/>
                                  <w:marTop w:val="0"/>
                                  <w:marBottom w:val="0"/>
                                  <w:divBdr>
                                    <w:top w:val="none" w:sz="0" w:space="0" w:color="auto"/>
                                    <w:left w:val="none" w:sz="0" w:space="0" w:color="auto"/>
                                    <w:bottom w:val="none" w:sz="0" w:space="0" w:color="auto"/>
                                    <w:right w:val="none" w:sz="0" w:space="0" w:color="auto"/>
                                  </w:divBdr>
                                  <w:divsChild>
                                    <w:div w:id="427046378">
                                      <w:marLeft w:val="0"/>
                                      <w:marRight w:val="0"/>
                                      <w:marTop w:val="0"/>
                                      <w:marBottom w:val="0"/>
                                      <w:divBdr>
                                        <w:top w:val="none" w:sz="0" w:space="0" w:color="auto"/>
                                        <w:left w:val="none" w:sz="0" w:space="0" w:color="auto"/>
                                        <w:bottom w:val="none" w:sz="0" w:space="0" w:color="auto"/>
                                        <w:right w:val="none" w:sz="0" w:space="0" w:color="auto"/>
                                      </w:divBdr>
                                    </w:div>
                                    <w:div w:id="12893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applying-behavioural-insight-to-health-behavioural-insights-team-paper" TargetMode="External"/><Relationship Id="rId3" Type="http://schemas.openxmlformats.org/officeDocument/2006/relationships/hyperlink" Target="http://www.fca.org.uk/your-fca/documents/occasional-papers/occasional-paper-1" TargetMode="External"/><Relationship Id="rId7" Type="http://schemas.openxmlformats.org/officeDocument/2006/relationships/hyperlink" Target="http://www.fca.org.uk/your-fca/documents/occasional-papers/occasional-paper-1" TargetMode="External"/><Relationship Id="rId12" Type="http://schemas.openxmlformats.org/officeDocument/2006/relationships/hyperlink" Target="http://www.fca.org.uk/news/speeches/human-face-of-regulation" TargetMode="External"/><Relationship Id="rId2" Type="http://schemas.openxmlformats.org/officeDocument/2006/relationships/hyperlink" Target="http://www.esrc.ac.uk/collaboration/knowledge-exchange/opportunities/ImpactAccelerationAccounts.aspx" TargetMode="External"/><Relationship Id="rId1" Type="http://schemas.openxmlformats.org/officeDocument/2006/relationships/hyperlink" Target="http://www.esrc.ac.uk/collaboration/knowledge-exchange/opportunities/index.aspx" TargetMode="External"/><Relationship Id="rId6" Type="http://schemas.openxmlformats.org/officeDocument/2006/relationships/hyperlink" Target="https://www.abi.org.uk/News/Speeches/2013/06/Otto-Thoresen-speech-at-NEST-Annual-Forum-2013" TargetMode="External"/><Relationship Id="rId11" Type="http://schemas.openxmlformats.org/officeDocument/2006/relationships/hyperlink" Target="http://www.fca.org.uk/your-fca/documents/occasional-papers/occasional-paper-2" TargetMode="External"/><Relationship Id="rId5" Type="http://schemas.openxmlformats.org/officeDocument/2006/relationships/hyperlink" Target="http://www.fca.org.uk/news/speeches/building-on-experience" TargetMode="External"/><Relationship Id="rId10" Type="http://schemas.openxmlformats.org/officeDocument/2006/relationships/hyperlink" Target="http://tarc.exeter.ac.uk/research/economicandsocial/" TargetMode="External"/><Relationship Id="rId4" Type="http://schemas.openxmlformats.org/officeDocument/2006/relationships/hyperlink" Target="http://www.policy-network.net/publications_download.aspx?ID=8186" TargetMode="External"/><Relationship Id="rId9" Type="http://schemas.openxmlformats.org/officeDocument/2006/relationships/hyperlink" Target="https://www.gov.uk/government/publications/bis-business-population-estim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2013-11-06T00:00:00</PublishDate>
  <Abstract> Note: This paper is for discussion purposes only.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F48D31-39E9-49D6-B5C5-4A49C3314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11946</Words>
  <Characters>68096</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EQUALITY 2.0 – COMPLEMENTARY AND ALTERNATIVE PATHS TO EQUALITY – FINAL REPORT</vt:lpstr>
    </vt:vector>
  </TitlesOfParts>
  <Company>DCMS</Company>
  <LinksUpToDate>false</LinksUpToDate>
  <CharactersWithSpaces>79883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2.0 – COMPLEMENTARY AND ALTERNATIVE PATHS TO EQUALITY – FINAL REPORT</dc:title>
  <dc:subject>The final report to GEO by an ESRC/GEO Knowledge Exchange Fellowship examining behaviour change insights to improve equalities policy outcomes</dc:subject>
  <dc:creator>Shamit Saggar &amp; Tilmann Eckhardt</dc:creator>
  <cp:lastModifiedBy>Morrisoe, Dylan</cp:lastModifiedBy>
  <cp:revision>2</cp:revision>
  <cp:lastPrinted>2014-02-26T16:26:00Z</cp:lastPrinted>
  <dcterms:created xsi:type="dcterms:W3CDTF">2014-02-27T10:59:00Z</dcterms:created>
  <dcterms:modified xsi:type="dcterms:W3CDTF">2014-02-27T10:59:00Z</dcterms:modified>
</cp:coreProperties>
</file>