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1" w:rsidRDefault="00D075D1"/>
    <w:p w:rsidR="004953F3" w:rsidRDefault="004953F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953F3" w:rsidTr="004953F3">
        <w:tc>
          <w:tcPr>
            <w:tcW w:w="2310" w:type="dxa"/>
          </w:tcPr>
          <w:p w:rsidR="004953F3" w:rsidRDefault="004953F3">
            <w:r>
              <w:t>Model Name</w:t>
            </w:r>
          </w:p>
        </w:tc>
        <w:tc>
          <w:tcPr>
            <w:tcW w:w="2310" w:type="dxa"/>
          </w:tcPr>
          <w:p w:rsidR="004953F3" w:rsidRDefault="004953F3">
            <w:r>
              <w:t>Purpose</w:t>
            </w:r>
          </w:p>
        </w:tc>
        <w:tc>
          <w:tcPr>
            <w:tcW w:w="2311" w:type="dxa"/>
          </w:tcPr>
          <w:p w:rsidR="004953F3" w:rsidRDefault="004953F3">
            <w:r>
              <w:t>Monetary Value</w:t>
            </w:r>
          </w:p>
        </w:tc>
        <w:tc>
          <w:tcPr>
            <w:tcW w:w="2311" w:type="dxa"/>
          </w:tcPr>
          <w:p w:rsidR="004953F3" w:rsidRDefault="004953F3" w:rsidP="004953F3">
            <w:r>
              <w:t>Frequency of Use</w:t>
            </w:r>
          </w:p>
        </w:tc>
      </w:tr>
      <w:tr w:rsidR="004953F3" w:rsidTr="004953F3">
        <w:tc>
          <w:tcPr>
            <w:tcW w:w="2310" w:type="dxa"/>
          </w:tcPr>
          <w:p w:rsidR="004953F3" w:rsidRDefault="004953F3">
            <w:r>
              <w:t>Lottery Income Projections Model.</w:t>
            </w:r>
          </w:p>
        </w:tc>
        <w:tc>
          <w:tcPr>
            <w:tcW w:w="2310" w:type="dxa"/>
          </w:tcPr>
          <w:p w:rsidR="004953F3" w:rsidRDefault="004953F3">
            <w:r>
              <w:t>Provide projections of NLDF income.</w:t>
            </w:r>
          </w:p>
        </w:tc>
        <w:tc>
          <w:tcPr>
            <w:tcW w:w="2311" w:type="dxa"/>
          </w:tcPr>
          <w:p w:rsidR="004953F3" w:rsidRDefault="004953F3" w:rsidP="004953F3">
            <w:r>
              <w:t>NLDF income currently £1.8 to £1.9 billion p.a.</w:t>
            </w:r>
          </w:p>
        </w:tc>
        <w:tc>
          <w:tcPr>
            <w:tcW w:w="2311" w:type="dxa"/>
          </w:tcPr>
          <w:p w:rsidR="004953F3" w:rsidRDefault="004953F3">
            <w:r>
              <w:t>Four time a year. More if used in policy simulation.</w:t>
            </w:r>
          </w:p>
        </w:tc>
      </w:tr>
      <w:tr w:rsidR="004953F3" w:rsidTr="004953F3">
        <w:tc>
          <w:tcPr>
            <w:tcW w:w="2310" w:type="dxa"/>
          </w:tcPr>
          <w:p w:rsidR="004953F3" w:rsidRDefault="004953F3">
            <w:r>
              <w:t xml:space="preserve">Mobile Infrastructure Project (MIP) </w:t>
            </w:r>
            <w:proofErr w:type="spellStart"/>
            <w:r>
              <w:t>VfM</w:t>
            </w:r>
            <w:proofErr w:type="spellEnd"/>
            <w:r>
              <w:t xml:space="preserve"> Model.</w:t>
            </w:r>
          </w:p>
        </w:tc>
        <w:tc>
          <w:tcPr>
            <w:tcW w:w="2310" w:type="dxa"/>
          </w:tcPr>
          <w:p w:rsidR="004953F3" w:rsidRDefault="004953F3">
            <w:r>
              <w:t>Estimate BCRs of MIP.</w:t>
            </w:r>
          </w:p>
        </w:tc>
        <w:tc>
          <w:tcPr>
            <w:tcW w:w="2311" w:type="dxa"/>
          </w:tcPr>
          <w:p w:rsidR="004953F3" w:rsidRDefault="004953F3">
            <w:r>
              <w:t>Up to £150 million of capital investment.</w:t>
            </w:r>
          </w:p>
        </w:tc>
        <w:tc>
          <w:tcPr>
            <w:tcW w:w="2311" w:type="dxa"/>
          </w:tcPr>
          <w:p w:rsidR="004953F3" w:rsidRDefault="004953F3">
            <w:r>
              <w:t>2 to 3 times per month during policy formation.</w:t>
            </w:r>
          </w:p>
        </w:tc>
      </w:tr>
      <w:tr w:rsidR="004953F3" w:rsidTr="004953F3">
        <w:tc>
          <w:tcPr>
            <w:tcW w:w="2310" w:type="dxa"/>
          </w:tcPr>
          <w:p w:rsidR="004953F3" w:rsidRDefault="004953F3">
            <w:r>
              <w:t>Funding Allocation Model.</w:t>
            </w:r>
          </w:p>
        </w:tc>
        <w:tc>
          <w:tcPr>
            <w:tcW w:w="2310" w:type="dxa"/>
          </w:tcPr>
          <w:p w:rsidR="004953F3" w:rsidRDefault="004953F3" w:rsidP="004953F3">
            <w:r>
              <w:t>Postcode-based analysis of existing and planned provision of broadband in the UK.</w:t>
            </w:r>
          </w:p>
        </w:tc>
        <w:tc>
          <w:tcPr>
            <w:tcW w:w="2311" w:type="dxa"/>
          </w:tcPr>
          <w:p w:rsidR="004953F3" w:rsidRDefault="004953F3">
            <w:r>
              <w:t>£780 million of Government capital investment.</w:t>
            </w:r>
          </w:p>
        </w:tc>
        <w:tc>
          <w:tcPr>
            <w:tcW w:w="2311" w:type="dxa"/>
          </w:tcPr>
          <w:p w:rsidR="004953F3" w:rsidRDefault="004953F3">
            <w:r>
              <w:t>Daily.</w:t>
            </w:r>
          </w:p>
        </w:tc>
      </w:tr>
      <w:tr w:rsidR="004953F3" w:rsidTr="004953F3">
        <w:tc>
          <w:tcPr>
            <w:tcW w:w="2310" w:type="dxa"/>
          </w:tcPr>
          <w:p w:rsidR="004953F3" w:rsidRDefault="004953F3">
            <w:r>
              <w:t>SQW Broadband Evaluation Model.</w:t>
            </w:r>
          </w:p>
        </w:tc>
        <w:tc>
          <w:tcPr>
            <w:tcW w:w="2310" w:type="dxa"/>
          </w:tcPr>
          <w:p w:rsidR="004953F3" w:rsidRDefault="004953F3">
            <w:r>
              <w:t>Estimate impacts of Government policy to enhance broadband availability.</w:t>
            </w:r>
          </w:p>
        </w:tc>
        <w:tc>
          <w:tcPr>
            <w:tcW w:w="2311" w:type="dxa"/>
          </w:tcPr>
          <w:p w:rsidR="004953F3" w:rsidRDefault="004953F3">
            <w:r>
              <w:t>NA</w:t>
            </w:r>
          </w:p>
        </w:tc>
        <w:tc>
          <w:tcPr>
            <w:tcW w:w="2311" w:type="dxa"/>
          </w:tcPr>
          <w:p w:rsidR="004953F3" w:rsidRDefault="004953F3">
            <w:r>
              <w:t>Monthly.</w:t>
            </w:r>
          </w:p>
        </w:tc>
      </w:tr>
      <w:tr w:rsidR="004953F3" w:rsidTr="004953F3">
        <w:tc>
          <w:tcPr>
            <w:tcW w:w="2310" w:type="dxa"/>
          </w:tcPr>
          <w:p w:rsidR="004953F3" w:rsidRDefault="004953F3">
            <w:r>
              <w:t>Digital Radio Switchover Model.</w:t>
            </w:r>
          </w:p>
        </w:tc>
        <w:tc>
          <w:tcPr>
            <w:tcW w:w="2310" w:type="dxa"/>
          </w:tcPr>
          <w:p w:rsidR="004953F3" w:rsidRDefault="004953F3" w:rsidP="004953F3">
            <w:r>
              <w:t>Provide guidance on timing of policy decisions on digital radio switchover.</w:t>
            </w:r>
          </w:p>
        </w:tc>
        <w:tc>
          <w:tcPr>
            <w:tcW w:w="2311" w:type="dxa"/>
          </w:tcPr>
          <w:p w:rsidR="004953F3" w:rsidRDefault="004953F3">
            <w:r>
              <w:t>NA</w:t>
            </w:r>
          </w:p>
        </w:tc>
        <w:tc>
          <w:tcPr>
            <w:tcW w:w="2311" w:type="dxa"/>
          </w:tcPr>
          <w:p w:rsidR="004953F3" w:rsidRDefault="004953F3">
            <w:r>
              <w:t>Weekly during policy formation.</w:t>
            </w:r>
          </w:p>
        </w:tc>
      </w:tr>
    </w:tbl>
    <w:p w:rsidR="004953F3" w:rsidRDefault="004953F3"/>
    <w:sectPr w:rsidR="0049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F3"/>
    <w:rsid w:val="004050C5"/>
    <w:rsid w:val="004953F3"/>
    <w:rsid w:val="00D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LEPPER JOHN</dc:creator>
  <cp:lastModifiedBy>Morrisoe, Dylan</cp:lastModifiedBy>
  <cp:revision>2</cp:revision>
  <dcterms:created xsi:type="dcterms:W3CDTF">2014-02-20T10:03:00Z</dcterms:created>
  <dcterms:modified xsi:type="dcterms:W3CDTF">2014-02-20T10:03:00Z</dcterms:modified>
</cp:coreProperties>
</file>