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AB65E9" w:rsidRPr="000F2B33" w:rsidTr="0057472C">
        <w:trPr>
          <w:trHeight w:hRule="exact" w:val="2890"/>
        </w:trPr>
        <w:tc>
          <w:tcPr>
            <w:tcW w:w="6118" w:type="dxa"/>
            <w:tcBorders>
              <w:top w:val="single" w:sz="4" w:space="0" w:color="auto"/>
              <w:bottom w:val="single" w:sz="4" w:space="0" w:color="auto"/>
            </w:tcBorders>
          </w:tcPr>
          <w:p w:rsidR="00AB65E9" w:rsidRPr="00F01332" w:rsidRDefault="00AB65E9" w:rsidP="00F01332">
            <w:pPr>
              <w:spacing w:before="50" w:after="50" w:line="240" w:lineRule="auto"/>
              <w:ind w:lef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Title:</w:t>
            </w:r>
          </w:p>
          <w:bookmarkStart w:id="0" w:name="IATitle"/>
          <w:p w:rsidR="00AB65E9" w:rsidRDefault="00AB65E9" w:rsidP="00F01332">
            <w:pPr>
              <w:spacing w:after="0" w:line="240" w:lineRule="auto"/>
              <w:ind w:left="113"/>
              <w:rPr>
                <w:rFonts w:ascii="Arial" w:eastAsia="SimSun" w:hAnsi="Arial" w:cs="Arial"/>
                <w:sz w:val="20"/>
                <w:szCs w:val="24"/>
              </w:rPr>
            </w:pPr>
            <w:r w:rsidRPr="00F01332">
              <w:rPr>
                <w:rFonts w:ascii="Arial" w:eastAsia="SimSun" w:hAnsi="Arial" w:cs="Arial"/>
                <w:sz w:val="20"/>
                <w:szCs w:val="24"/>
              </w:rPr>
              <w:fldChar w:fldCharType="begin">
                <w:ffData>
                  <w:name w:val="IATitle"/>
                  <w:enabled/>
                  <w:calcOnExit w:val="0"/>
                  <w:textInput>
                    <w:maxLength w:val="800"/>
                  </w:textInput>
                </w:ffData>
              </w:fldChar>
            </w:r>
            <w:r w:rsidRPr="00F01332">
              <w:rPr>
                <w:rFonts w:ascii="Arial" w:eastAsia="SimSun" w:hAnsi="Arial" w:cs="Arial"/>
                <w:sz w:val="20"/>
                <w:szCs w:val="24"/>
              </w:rPr>
              <w:instrText xml:space="preserve"> FORMTEXT </w:instrText>
            </w:r>
            <w:r w:rsidRPr="00F01332">
              <w:rPr>
                <w:rFonts w:ascii="Arial" w:eastAsia="SimSun" w:hAnsi="Arial" w:cs="Arial"/>
                <w:sz w:val="20"/>
                <w:szCs w:val="24"/>
              </w:rPr>
            </w:r>
            <w:r w:rsidRPr="00F01332">
              <w:rPr>
                <w:rFonts w:ascii="Arial" w:eastAsia="SimSun" w:hAnsi="Arial" w:cs="Arial"/>
                <w:sz w:val="20"/>
                <w:szCs w:val="24"/>
              </w:rPr>
              <w:fldChar w:fldCharType="separate"/>
            </w:r>
            <w:r w:rsidRPr="00F01332">
              <w:rPr>
                <w:rFonts w:ascii="Arial" w:eastAsia="Arial Unicode MS" w:hAnsi="Arial" w:cs="Arial"/>
                <w:sz w:val="20"/>
                <w:szCs w:val="24"/>
              </w:rPr>
              <w:t>Insolvency Practitioner fees</w:t>
            </w:r>
            <w:r w:rsidRPr="00F01332">
              <w:rPr>
                <w:rFonts w:ascii="Arial" w:eastAsia="SimSun" w:hAnsi="Arial" w:cs="Arial"/>
                <w:sz w:val="20"/>
                <w:szCs w:val="24"/>
              </w:rPr>
              <w:fldChar w:fldCharType="end"/>
            </w:r>
            <w:bookmarkEnd w:id="0"/>
            <w:r w:rsidRPr="00F01332">
              <w:rPr>
                <w:rFonts w:ascii="Arial" w:eastAsia="SimSun" w:hAnsi="Arial" w:cs="Arial"/>
                <w:sz w:val="20"/>
                <w:szCs w:val="24"/>
              </w:rPr>
              <w:t xml:space="preserve"> regime</w:t>
            </w:r>
          </w:p>
          <w:p w:rsidR="00E42FF4" w:rsidRPr="00F01332" w:rsidRDefault="00E42FF4" w:rsidP="00F01332">
            <w:pPr>
              <w:spacing w:after="0" w:line="240" w:lineRule="auto"/>
              <w:ind w:left="113"/>
              <w:rPr>
                <w:rFonts w:ascii="Arial" w:eastAsia="SimSun" w:hAnsi="Arial" w:cs="Arial"/>
                <w:sz w:val="20"/>
                <w:szCs w:val="24"/>
              </w:rPr>
            </w:pPr>
            <w:bookmarkStart w:id="1" w:name="_GoBack"/>
            <w:bookmarkEnd w:id="1"/>
          </w:p>
          <w:p w:rsidR="00AB65E9" w:rsidRPr="00F01332" w:rsidRDefault="00AB65E9" w:rsidP="00F01332">
            <w:pPr>
              <w:spacing w:after="0" w:line="240" w:lineRule="auto"/>
              <w:ind w:left="113" w:right="57"/>
              <w:rPr>
                <w:rFonts w:ascii="Arial" w:eastAsia="SimSun" w:hAnsi="Arial"/>
                <w:b/>
                <w:color w:val="000000"/>
                <w:spacing w:val="-6"/>
                <w:sz w:val="28"/>
              </w:rPr>
            </w:pPr>
            <w:r w:rsidRPr="00F01332">
              <w:rPr>
                <w:rFonts w:ascii="Arial" w:eastAsia="SimSun" w:hAnsi="Arial"/>
                <w:b/>
                <w:spacing w:val="-6"/>
                <w:sz w:val="20"/>
                <w:szCs w:val="20"/>
                <w:lang w:eastAsia="zh-CN"/>
              </w:rPr>
              <w:t xml:space="preserve">IA No: </w:t>
            </w:r>
            <w:r w:rsidR="00E42FF4" w:rsidRPr="00E42FF4">
              <w:rPr>
                <w:rFonts w:ascii="Arial" w:hAnsi="Arial" w:cs="Arial"/>
                <w:bCs/>
              </w:rPr>
              <w:t>RPC13-BIS-1970</w:t>
            </w:r>
          </w:p>
          <w:p w:rsidR="00AB65E9" w:rsidRPr="00F01332" w:rsidRDefault="00AB65E9" w:rsidP="00F01332">
            <w:pPr>
              <w:spacing w:before="110" w:after="50" w:line="240" w:lineRule="auto"/>
              <w:ind w:lef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Lead department or agency:</w:t>
            </w:r>
          </w:p>
          <w:bookmarkStart w:id="2" w:name="IALeadDept"/>
          <w:p w:rsidR="00AB65E9" w:rsidRPr="00F01332" w:rsidRDefault="00AB65E9" w:rsidP="00F01332">
            <w:pPr>
              <w:spacing w:after="0" w:line="240" w:lineRule="auto"/>
              <w:ind w:left="113"/>
              <w:rPr>
                <w:rFonts w:ascii="Arial" w:eastAsia="Arial Unicode MS" w:hAnsi="Arial" w:cs="Arial"/>
                <w:noProof/>
                <w:sz w:val="20"/>
                <w:szCs w:val="24"/>
              </w:rPr>
            </w:pPr>
            <w:r w:rsidRPr="00F01332">
              <w:rPr>
                <w:rFonts w:ascii="Arial" w:eastAsia="Arial Unicode MS" w:hAnsi="Arial" w:cs="Arial"/>
                <w:noProof/>
                <w:sz w:val="20"/>
                <w:szCs w:val="24"/>
              </w:rPr>
              <w:fldChar w:fldCharType="begin">
                <w:ffData>
                  <w:name w:val="IALeadDept"/>
                  <w:enabled/>
                  <w:calcOnExit w:val="0"/>
                  <w:textInput>
                    <w:maxLength w:val="100"/>
                  </w:textInput>
                </w:ffData>
              </w:fldChar>
            </w:r>
            <w:r w:rsidRPr="00F01332">
              <w:rPr>
                <w:rFonts w:ascii="Arial" w:eastAsia="Arial Unicode MS" w:hAnsi="Arial" w:cs="Arial"/>
                <w:noProof/>
                <w:sz w:val="20"/>
                <w:szCs w:val="24"/>
              </w:rPr>
              <w:instrText xml:space="preserve"> FORMTEXT </w:instrText>
            </w:r>
            <w:r w:rsidRPr="00F01332">
              <w:rPr>
                <w:rFonts w:ascii="Arial" w:eastAsia="Arial Unicode MS" w:hAnsi="Arial" w:cs="Arial"/>
                <w:noProof/>
                <w:sz w:val="20"/>
                <w:szCs w:val="24"/>
              </w:rPr>
            </w:r>
            <w:r w:rsidRPr="00F01332">
              <w:rPr>
                <w:rFonts w:ascii="Arial" w:eastAsia="Arial Unicode MS" w:hAnsi="Arial" w:cs="Arial"/>
                <w:noProof/>
                <w:sz w:val="20"/>
                <w:szCs w:val="24"/>
              </w:rPr>
              <w:fldChar w:fldCharType="separate"/>
            </w:r>
            <w:r w:rsidRPr="00F01332">
              <w:rPr>
                <w:rFonts w:ascii="Arial" w:eastAsia="Arial Unicode MS" w:hAnsi="Arial" w:cs="Arial"/>
                <w:noProof/>
                <w:sz w:val="20"/>
                <w:szCs w:val="24"/>
              </w:rPr>
              <w:t>BIS</w:t>
            </w:r>
            <w:r w:rsidRPr="00F01332">
              <w:rPr>
                <w:rFonts w:ascii="Arial" w:eastAsia="Arial Unicode MS" w:hAnsi="Arial" w:cs="Arial"/>
                <w:noProof/>
                <w:sz w:val="20"/>
                <w:szCs w:val="24"/>
              </w:rPr>
              <w:fldChar w:fldCharType="end"/>
            </w:r>
            <w:bookmarkEnd w:id="2"/>
          </w:p>
          <w:p w:rsidR="00AB65E9" w:rsidRPr="00F01332" w:rsidRDefault="00AB65E9" w:rsidP="00F01332">
            <w:pPr>
              <w:spacing w:before="50"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Other departments or agencies: </w:t>
            </w:r>
          </w:p>
          <w:bookmarkStart w:id="3" w:name="IAOtherDepts"/>
          <w:p w:rsidR="00AB65E9" w:rsidRPr="00F01332" w:rsidRDefault="00AB65E9" w:rsidP="00F01332">
            <w:pPr>
              <w:spacing w:before="50" w:after="0" w:line="240" w:lineRule="auto"/>
              <w:ind w:left="113" w:right="113"/>
              <w:rPr>
                <w:rFonts w:ascii="Arial" w:eastAsia="SimSun" w:hAnsi="Arial"/>
                <w:color w:val="000000"/>
                <w:spacing w:val="-5"/>
                <w:sz w:val="20"/>
                <w:szCs w:val="20"/>
                <w:lang w:eastAsia="zh-CN"/>
              </w:rPr>
            </w:pPr>
            <w:r w:rsidRPr="00F01332">
              <w:rPr>
                <w:rFonts w:ascii="Arial" w:eastAsia="SimSun" w:hAnsi="Arial"/>
                <w:color w:val="000000"/>
                <w:spacing w:val="-5"/>
                <w:sz w:val="20"/>
                <w:szCs w:val="20"/>
                <w:lang w:eastAsia="zh-CN"/>
              </w:rPr>
              <w:fldChar w:fldCharType="begin">
                <w:ffData>
                  <w:name w:val="IAOtherDepts"/>
                  <w:enabled/>
                  <w:calcOnExit w:val="0"/>
                  <w:textInput>
                    <w:maxLength w:val="200"/>
                  </w:textInput>
                </w:ffData>
              </w:fldChar>
            </w:r>
            <w:r w:rsidRPr="00F01332">
              <w:rPr>
                <w:rFonts w:ascii="Arial" w:eastAsia="SimSun" w:hAnsi="Arial"/>
                <w:color w:val="000000"/>
                <w:spacing w:val="-5"/>
                <w:sz w:val="20"/>
                <w:szCs w:val="20"/>
                <w:lang w:eastAsia="zh-CN"/>
              </w:rPr>
              <w:instrText xml:space="preserve"> FORMTEXT </w:instrText>
            </w:r>
            <w:r w:rsidRPr="00F01332">
              <w:rPr>
                <w:rFonts w:ascii="Arial" w:eastAsia="SimSun" w:hAnsi="Arial"/>
                <w:color w:val="000000"/>
                <w:spacing w:val="-5"/>
                <w:sz w:val="20"/>
                <w:szCs w:val="20"/>
                <w:lang w:eastAsia="zh-CN"/>
              </w:rPr>
            </w:r>
            <w:r w:rsidRPr="00F01332">
              <w:rPr>
                <w:rFonts w:ascii="Arial" w:eastAsia="SimSun" w:hAnsi="Arial"/>
                <w:color w:val="000000"/>
                <w:spacing w:val="-5"/>
                <w:sz w:val="20"/>
                <w:szCs w:val="20"/>
                <w:lang w:eastAsia="zh-CN"/>
              </w:rPr>
              <w:fldChar w:fldCharType="separate"/>
            </w:r>
            <w:r w:rsidRPr="00F01332">
              <w:rPr>
                <w:rFonts w:ascii="Arial" w:eastAsia="SimSun" w:hAnsi="Arial"/>
                <w:noProof/>
                <w:color w:val="000000"/>
                <w:spacing w:val="-5"/>
                <w:sz w:val="20"/>
                <w:szCs w:val="20"/>
                <w:lang w:eastAsia="zh-CN"/>
              </w:rPr>
              <w:t>Insolvency Service</w:t>
            </w:r>
            <w:r w:rsidRPr="00F01332">
              <w:rPr>
                <w:rFonts w:ascii="Arial" w:eastAsia="SimSun" w:hAnsi="Arial"/>
                <w:color w:val="000000"/>
                <w:spacing w:val="-5"/>
                <w:sz w:val="20"/>
                <w:szCs w:val="20"/>
                <w:lang w:eastAsia="zh-CN"/>
              </w:rPr>
              <w:fldChar w:fldCharType="end"/>
            </w:r>
            <w:bookmarkEnd w:id="3"/>
          </w:p>
        </w:tc>
        <w:tc>
          <w:tcPr>
            <w:tcW w:w="4098" w:type="dxa"/>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AB65E9" w:rsidRPr="000F2B33" w:rsidTr="0057472C">
              <w:trPr>
                <w:trHeight w:hRule="exact" w:val="539"/>
              </w:trPr>
              <w:tc>
                <w:tcPr>
                  <w:tcW w:w="4088" w:type="dxa"/>
                  <w:tcBorders>
                    <w:bottom w:val="single" w:sz="4" w:space="0" w:color="333333"/>
                  </w:tcBorders>
                  <w:shd w:val="clear" w:color="auto" w:fill="333333"/>
                  <w:vAlign w:val="center"/>
                </w:tcPr>
                <w:p w:rsidR="00AB65E9" w:rsidRPr="00F01332" w:rsidRDefault="00AB65E9" w:rsidP="00F01332">
                  <w:pPr>
                    <w:spacing w:after="0" w:line="240" w:lineRule="auto"/>
                    <w:ind w:left="113"/>
                    <w:outlineLvl w:val="0"/>
                    <w:rPr>
                      <w:rFonts w:ascii="Arial" w:hAnsi="Arial" w:cs="Arial"/>
                      <w:bCs/>
                      <w:color w:val="FFFFFF"/>
                      <w:kern w:val="28"/>
                      <w:sz w:val="32"/>
                      <w:szCs w:val="32"/>
                    </w:rPr>
                  </w:pPr>
                  <w:r w:rsidRPr="00F01332">
                    <w:rPr>
                      <w:rFonts w:ascii="Arial" w:hAnsi="Arial" w:cs="Arial"/>
                      <w:bCs/>
                      <w:color w:val="FFFFFF"/>
                      <w:kern w:val="28"/>
                      <w:sz w:val="32"/>
                      <w:szCs w:val="32"/>
                    </w:rPr>
                    <w:t>Impact Assessment (IA)</w:t>
                  </w:r>
                </w:p>
              </w:tc>
            </w:tr>
            <w:tr w:rsidR="00AB65E9" w:rsidRPr="000F2B33" w:rsidTr="0057472C">
              <w:tc>
                <w:tcPr>
                  <w:tcW w:w="4088" w:type="dxa"/>
                  <w:tcBorders>
                    <w:top w:val="single" w:sz="4" w:space="0" w:color="333333"/>
                    <w:bottom w:val="single" w:sz="4" w:space="0" w:color="333333"/>
                  </w:tcBorders>
                </w:tcPr>
                <w:p w:rsidR="00AB65E9" w:rsidRPr="00F01332" w:rsidRDefault="00AB65E9" w:rsidP="006D5333">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Date:</w:t>
                  </w:r>
                  <w:r w:rsidR="006D5333">
                    <w:rPr>
                      <w:rFonts w:ascii="Arial" w:eastAsia="SimSun" w:hAnsi="Arial"/>
                      <w:b/>
                      <w:color w:val="000000"/>
                      <w:spacing w:val="-5"/>
                      <w:sz w:val="20"/>
                      <w:szCs w:val="20"/>
                      <w:lang w:eastAsia="zh-CN"/>
                    </w:rPr>
                    <w:t xml:space="preserve"> </w:t>
                  </w:r>
                  <w:r w:rsidR="006D5333" w:rsidRPr="006D5333">
                    <w:rPr>
                      <w:rFonts w:ascii="Arial" w:eastAsia="SimSun" w:hAnsi="Arial"/>
                      <w:color w:val="000000"/>
                      <w:spacing w:val="-5"/>
                      <w:sz w:val="20"/>
                      <w:szCs w:val="20"/>
                      <w:lang w:eastAsia="zh-CN"/>
                    </w:rPr>
                    <w:t>04</w:t>
                  </w:r>
                  <w:r w:rsidRPr="006D5333">
                    <w:rPr>
                      <w:rFonts w:ascii="Arial" w:eastAsia="SimSun" w:hAnsi="Arial"/>
                      <w:color w:val="000000"/>
                      <w:spacing w:val="-5"/>
                      <w:sz w:val="20"/>
                      <w:szCs w:val="20"/>
                      <w:lang w:eastAsia="zh-CN"/>
                    </w:rPr>
                    <w:t xml:space="preserve"> </w:t>
                  </w:r>
                  <w:r w:rsidR="006D5333" w:rsidRPr="006D5333">
                    <w:rPr>
                      <w:rFonts w:ascii="Arial" w:eastAsia="SimSun" w:hAnsi="Arial"/>
                      <w:color w:val="000000"/>
                      <w:spacing w:val="-5"/>
                      <w:sz w:val="20"/>
                      <w:szCs w:val="20"/>
                      <w:lang w:eastAsia="zh-CN"/>
                    </w:rPr>
                    <w:t xml:space="preserve">December </w:t>
                  </w:r>
                  <w:r w:rsidRPr="006D5333">
                    <w:rPr>
                      <w:rFonts w:ascii="Arial" w:eastAsia="SimSun" w:hAnsi="Arial"/>
                      <w:color w:val="000000"/>
                      <w:spacing w:val="-5"/>
                      <w:sz w:val="20"/>
                      <w:szCs w:val="20"/>
                      <w:lang w:eastAsia="zh-CN"/>
                    </w:rPr>
                    <w:t>2013</w:t>
                  </w:r>
                </w:p>
              </w:tc>
            </w:tr>
            <w:tr w:rsidR="00AB65E9" w:rsidRPr="000F2B33" w:rsidTr="0057472C">
              <w:tc>
                <w:tcPr>
                  <w:tcW w:w="4088" w:type="dxa"/>
                  <w:tcBorders>
                    <w:top w:val="single" w:sz="4" w:space="0" w:color="333333"/>
                    <w:bottom w:val="single" w:sz="4" w:space="0" w:color="333333"/>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bookmarkStart w:id="4" w:name="Stage"/>
                  <w:r w:rsidRPr="00F01332">
                    <w:rPr>
                      <w:rFonts w:ascii="Arial" w:eastAsia="SimSun" w:hAnsi="Arial"/>
                      <w:b/>
                      <w:color w:val="000000"/>
                      <w:spacing w:val="-5"/>
                      <w:sz w:val="20"/>
                      <w:szCs w:val="20"/>
                      <w:lang w:eastAsia="zh-CN"/>
                    </w:rPr>
                    <w:t xml:space="preserve">Stage: </w:t>
                  </w:r>
                  <w:r w:rsidRPr="00F01332">
                    <w:rPr>
                      <w:rFonts w:ascii="Arial" w:eastAsia="SimSun" w:hAnsi="Arial"/>
                      <w:color w:val="000000"/>
                      <w:spacing w:val="-5"/>
                      <w:sz w:val="20"/>
                      <w:szCs w:val="20"/>
                      <w:lang w:eastAsia="zh-CN"/>
                    </w:rPr>
                    <w:fldChar w:fldCharType="begin"/>
                  </w:r>
                  <w:r w:rsidRPr="00F01332">
                    <w:rPr>
                      <w:rFonts w:ascii="Arial" w:eastAsia="SimSun" w:hAnsi="Arial"/>
                      <w:color w:val="000000"/>
                      <w:spacing w:val="-5"/>
                      <w:sz w:val="20"/>
                      <w:szCs w:val="20"/>
                      <w:lang w:eastAsia="zh-CN"/>
                    </w:rPr>
                    <w:instrText xml:space="preserve"> DOCPROPERTY  Stage </w:instrText>
                  </w:r>
                  <w:r w:rsidRPr="00F01332">
                    <w:rPr>
                      <w:rFonts w:ascii="Arial" w:eastAsia="SimSun" w:hAnsi="Arial"/>
                      <w:color w:val="000000"/>
                      <w:spacing w:val="-5"/>
                      <w:sz w:val="20"/>
                      <w:szCs w:val="20"/>
                      <w:lang w:eastAsia="zh-CN"/>
                    </w:rPr>
                    <w:fldChar w:fldCharType="separate"/>
                  </w:r>
                  <w:r w:rsidRPr="00F01332">
                    <w:rPr>
                      <w:rFonts w:ascii="Arial" w:eastAsia="SimSun" w:hAnsi="Arial"/>
                      <w:color w:val="000000"/>
                      <w:spacing w:val="-5"/>
                      <w:sz w:val="20"/>
                      <w:szCs w:val="20"/>
                      <w:lang w:eastAsia="zh-CN"/>
                    </w:rPr>
                    <w:t>Consultation</w:t>
                  </w:r>
                  <w:r w:rsidRPr="00F01332">
                    <w:rPr>
                      <w:rFonts w:ascii="Arial" w:eastAsia="SimSun" w:hAnsi="Arial"/>
                      <w:color w:val="000000"/>
                      <w:spacing w:val="-5"/>
                      <w:sz w:val="20"/>
                      <w:szCs w:val="20"/>
                      <w:lang w:eastAsia="zh-CN"/>
                    </w:rPr>
                    <w:fldChar w:fldCharType="end"/>
                  </w:r>
                  <w:bookmarkEnd w:id="4"/>
                </w:p>
              </w:tc>
            </w:tr>
            <w:tr w:rsidR="00AB65E9" w:rsidRPr="000F2B33" w:rsidTr="0057472C">
              <w:tc>
                <w:tcPr>
                  <w:tcW w:w="4088" w:type="dxa"/>
                  <w:tcBorders>
                    <w:top w:val="single" w:sz="4" w:space="0" w:color="333333"/>
                    <w:bottom w:val="single" w:sz="4" w:space="0" w:color="333333"/>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Source of intervention: </w:t>
                  </w:r>
                  <w:bookmarkStart w:id="5" w:name="IAInterSource"/>
                  <w:r w:rsidRPr="00F01332">
                    <w:rPr>
                      <w:rFonts w:ascii="Arial" w:eastAsia="SimSun" w:hAnsi="Arial"/>
                      <w:color w:val="000000"/>
                      <w:spacing w:val="-5"/>
                      <w:sz w:val="20"/>
                      <w:szCs w:val="20"/>
                      <w:lang w:eastAsia="zh-CN"/>
                    </w:rPr>
                    <w:fldChar w:fldCharType="begin">
                      <w:ffData>
                        <w:name w:val="IAInterSource"/>
                        <w:enabled/>
                        <w:calcOnExit w:val="0"/>
                        <w:ddList>
                          <w:listEntry w:val="Domestic"/>
                          <w:listEntry w:val="EU"/>
                          <w:listEntry w:val="International"/>
                        </w:ddList>
                      </w:ffData>
                    </w:fldChar>
                  </w:r>
                  <w:r w:rsidRPr="00F01332">
                    <w:rPr>
                      <w:rFonts w:ascii="Arial" w:eastAsia="SimSun" w:hAnsi="Arial"/>
                      <w:color w:val="000000"/>
                      <w:spacing w:val="-5"/>
                      <w:sz w:val="20"/>
                      <w:szCs w:val="20"/>
                      <w:lang w:eastAsia="zh-CN"/>
                    </w:rPr>
                    <w:instrText xml:space="preserve"> FORMDROPDOWN </w:instrText>
                  </w:r>
                  <w:r w:rsidRPr="00F01332">
                    <w:rPr>
                      <w:rFonts w:ascii="Arial" w:eastAsia="SimSun" w:hAnsi="Arial"/>
                      <w:color w:val="000000"/>
                      <w:spacing w:val="-5"/>
                      <w:sz w:val="20"/>
                      <w:szCs w:val="20"/>
                      <w:lang w:eastAsia="zh-CN"/>
                    </w:rPr>
                  </w:r>
                  <w:r w:rsidRPr="00F01332">
                    <w:rPr>
                      <w:rFonts w:ascii="Arial" w:eastAsia="SimSun" w:hAnsi="Arial"/>
                      <w:color w:val="000000"/>
                      <w:spacing w:val="-5"/>
                      <w:sz w:val="20"/>
                      <w:szCs w:val="20"/>
                      <w:lang w:eastAsia="zh-CN"/>
                    </w:rPr>
                    <w:fldChar w:fldCharType="end"/>
                  </w:r>
                  <w:bookmarkEnd w:id="5"/>
                </w:p>
              </w:tc>
            </w:tr>
            <w:tr w:rsidR="00AB65E9" w:rsidRPr="000F2B33" w:rsidTr="0057472C">
              <w:tc>
                <w:tcPr>
                  <w:tcW w:w="4088" w:type="dxa"/>
                  <w:tcBorders>
                    <w:top w:val="single" w:sz="4" w:space="0" w:color="333333"/>
                    <w:bottom w:val="single" w:sz="4" w:space="0" w:color="333333"/>
                  </w:tcBorders>
                </w:tcPr>
                <w:p w:rsidR="00AB65E9" w:rsidRPr="00F01332" w:rsidRDefault="00AB65E9" w:rsidP="00A96A81">
                  <w:pPr>
                    <w:spacing w:before="50" w:after="50" w:line="240" w:lineRule="auto"/>
                    <w:ind w:left="113" w:right="113"/>
                    <w:rPr>
                      <w:rFonts w:ascii="Arial" w:eastAsia="SimSun" w:hAnsi="Arial"/>
                      <w:color w:val="000000"/>
                      <w:spacing w:val="-5"/>
                      <w:sz w:val="20"/>
                      <w:szCs w:val="20"/>
                      <w:lang w:eastAsia="zh-CN"/>
                    </w:rPr>
                  </w:pPr>
                  <w:r w:rsidRPr="00F01332">
                    <w:rPr>
                      <w:rFonts w:ascii="Arial" w:eastAsia="SimSun" w:hAnsi="Arial"/>
                      <w:b/>
                      <w:color w:val="000000"/>
                      <w:spacing w:val="-5"/>
                      <w:sz w:val="20"/>
                      <w:szCs w:val="20"/>
                      <w:lang w:eastAsia="zh-CN"/>
                    </w:rPr>
                    <w:t xml:space="preserve">Type of measure: </w:t>
                  </w:r>
                  <w:bookmarkStart w:id="6" w:name="IAMeasureType"/>
                  <w:r w:rsidR="00165AA9" w:rsidRPr="00A96A81">
                    <w:rPr>
                      <w:rFonts w:ascii="Arial" w:eastAsia="SimSun" w:hAnsi="Arial"/>
                      <w:color w:val="000000"/>
                      <w:spacing w:val="-5"/>
                      <w:sz w:val="20"/>
                      <w:szCs w:val="20"/>
                      <w:lang w:eastAsia="zh-CN"/>
                    </w:rPr>
                    <w:t xml:space="preserve">Primary and </w:t>
                  </w:r>
                  <w:r w:rsidR="00A96A81" w:rsidRPr="00A96A81">
                    <w:rPr>
                      <w:rFonts w:ascii="Arial" w:eastAsia="SimSun" w:hAnsi="Arial"/>
                      <w:color w:val="000000"/>
                      <w:spacing w:val="-5"/>
                      <w:sz w:val="20"/>
                      <w:szCs w:val="20"/>
                      <w:lang w:eastAsia="zh-CN"/>
                    </w:rPr>
                    <w:t>secondary legislation</w:t>
                  </w:r>
                  <w:bookmarkEnd w:id="6"/>
                </w:p>
              </w:tc>
            </w:tr>
            <w:tr w:rsidR="00AB65E9" w:rsidRPr="000F2B33" w:rsidTr="0057472C">
              <w:trPr>
                <w:trHeight w:val="1115"/>
              </w:trPr>
              <w:tc>
                <w:tcPr>
                  <w:tcW w:w="4088" w:type="dxa"/>
                  <w:tcBorders>
                    <w:top w:val="single" w:sz="4" w:space="0" w:color="333333"/>
                    <w:bottom w:val="single" w:sz="4" w:space="0" w:color="333333"/>
                  </w:tcBorders>
                </w:tcPr>
                <w:p w:rsidR="00AB65E9" w:rsidRPr="00F01332" w:rsidRDefault="00AB65E9" w:rsidP="006D5333">
                  <w:pPr>
                    <w:spacing w:after="0" w:line="240" w:lineRule="auto"/>
                    <w:ind w:left="113" w:right="113"/>
                    <w:rPr>
                      <w:rFonts w:ascii="Arial" w:hAnsi="Arial"/>
                      <w:sz w:val="24"/>
                      <w:szCs w:val="24"/>
                    </w:rPr>
                  </w:pPr>
                  <w:r w:rsidRPr="00F01332">
                    <w:rPr>
                      <w:rFonts w:ascii="Arial" w:eastAsia="SimSun" w:hAnsi="Arial"/>
                      <w:b/>
                      <w:color w:val="000000"/>
                      <w:spacing w:val="-5"/>
                      <w:sz w:val="20"/>
                      <w:szCs w:val="20"/>
                      <w:lang w:eastAsia="zh-CN"/>
                    </w:rPr>
                    <w:t>Contact for enquiries:</w:t>
                  </w:r>
                  <w:r w:rsidRPr="00F01332">
                    <w:rPr>
                      <w:rFonts w:ascii="Arial" w:hAnsi="Arial"/>
                      <w:sz w:val="24"/>
                      <w:szCs w:val="24"/>
                    </w:rPr>
                    <w:t xml:space="preserve"> </w:t>
                  </w:r>
                  <w:r w:rsidR="006D5333">
                    <w:rPr>
                      <w:rFonts w:ascii="Arial" w:eastAsia="SimSun" w:hAnsi="Arial"/>
                      <w:color w:val="000000"/>
                      <w:spacing w:val="-5"/>
                      <w:sz w:val="20"/>
                      <w:szCs w:val="24"/>
                      <w:lang w:eastAsia="zh-CN"/>
                    </w:rPr>
                    <w:t xml:space="preserve"> 020 7637 6365</w:t>
                  </w:r>
                </w:p>
              </w:tc>
            </w:tr>
            <w:tr w:rsidR="00AB65E9" w:rsidRPr="000F2B33" w:rsidTr="0057472C">
              <w:trPr>
                <w:trHeight w:val="1115"/>
              </w:trPr>
              <w:tc>
                <w:tcPr>
                  <w:tcW w:w="4088" w:type="dxa"/>
                  <w:tcBorders>
                    <w:top w:val="single" w:sz="4" w:space="0" w:color="333333"/>
                    <w:bottom w:val="single" w:sz="4" w:space="0" w:color="333333"/>
                  </w:tcBorders>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p>
              </w:tc>
            </w:tr>
            <w:tr w:rsidR="00AB65E9" w:rsidRPr="000F2B33" w:rsidTr="0057472C">
              <w:trPr>
                <w:trHeight w:val="1115"/>
              </w:trPr>
              <w:tc>
                <w:tcPr>
                  <w:tcW w:w="4088" w:type="dxa"/>
                  <w:tcBorders>
                    <w:top w:val="single" w:sz="4" w:space="0" w:color="333333"/>
                    <w:bottom w:val="single" w:sz="4" w:space="0" w:color="333333"/>
                  </w:tcBorders>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p>
              </w:tc>
            </w:tr>
            <w:tr w:rsidR="00AB65E9" w:rsidRPr="000F2B33" w:rsidTr="0057472C">
              <w:trPr>
                <w:trHeight w:val="1115"/>
              </w:trPr>
              <w:tc>
                <w:tcPr>
                  <w:tcW w:w="4088" w:type="dxa"/>
                  <w:tcBorders>
                    <w:top w:val="single" w:sz="4" w:space="0" w:color="333333"/>
                    <w:bottom w:val="single" w:sz="4" w:space="0" w:color="333333"/>
                  </w:tcBorders>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p>
              </w:tc>
            </w:tr>
            <w:tr w:rsidR="00AB65E9" w:rsidRPr="000F2B33" w:rsidTr="0057472C">
              <w:trPr>
                <w:trHeight w:val="1115"/>
              </w:trPr>
              <w:tc>
                <w:tcPr>
                  <w:tcW w:w="4088" w:type="dxa"/>
                  <w:tcBorders>
                    <w:top w:val="single" w:sz="4" w:space="0" w:color="333333"/>
                    <w:bottom w:val="single" w:sz="4" w:space="0" w:color="333333"/>
                  </w:tcBorders>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p>
              </w:tc>
            </w:tr>
            <w:tr w:rsidR="00AB65E9" w:rsidRPr="000F2B33" w:rsidTr="0057472C">
              <w:trPr>
                <w:trHeight w:val="1115"/>
              </w:trPr>
              <w:tc>
                <w:tcPr>
                  <w:tcW w:w="4088" w:type="dxa"/>
                  <w:tcBorders>
                    <w:top w:val="single" w:sz="4" w:space="0" w:color="333333"/>
                    <w:bottom w:val="single" w:sz="4" w:space="0" w:color="333333"/>
                  </w:tcBorders>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p>
              </w:tc>
            </w:tr>
            <w:tr w:rsidR="00AB65E9" w:rsidRPr="000F2B33" w:rsidTr="0057472C">
              <w:trPr>
                <w:trHeight w:val="1115"/>
              </w:trPr>
              <w:tc>
                <w:tcPr>
                  <w:tcW w:w="4088" w:type="dxa"/>
                  <w:tcBorders>
                    <w:top w:val="single" w:sz="4" w:space="0" w:color="333333"/>
                  </w:tcBorders>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p>
              </w:tc>
            </w:tr>
          </w:tbl>
          <w:p w:rsidR="00AB65E9" w:rsidRPr="00F01332" w:rsidRDefault="00AB65E9" w:rsidP="00F01332">
            <w:pPr>
              <w:spacing w:after="0" w:line="240" w:lineRule="auto"/>
              <w:rPr>
                <w:rFonts w:ascii="Arial" w:eastAsia="SimSun" w:hAnsi="Arial"/>
                <w:sz w:val="24"/>
                <w:szCs w:val="24"/>
              </w:rPr>
            </w:pPr>
          </w:p>
        </w:tc>
      </w:tr>
      <w:tr w:rsidR="00AB65E9" w:rsidRPr="000F2B33" w:rsidTr="0057472C">
        <w:trPr>
          <w:trHeight w:hRule="exact" w:val="410"/>
        </w:trPr>
        <w:tc>
          <w:tcPr>
            <w:tcW w:w="6118" w:type="dxa"/>
            <w:tcBorders>
              <w:top w:val="single" w:sz="4" w:space="0" w:color="auto"/>
              <w:left w:val="nil"/>
              <w:bottom w:val="single" w:sz="4" w:space="0" w:color="auto"/>
            </w:tcBorders>
          </w:tcPr>
          <w:p w:rsidR="00AB65E9" w:rsidRPr="00F01332" w:rsidRDefault="00AB65E9" w:rsidP="00F01332">
            <w:pPr>
              <w:keepNext/>
              <w:tabs>
                <w:tab w:val="right" w:pos="10206"/>
              </w:tabs>
              <w:spacing w:before="60" w:after="60" w:line="240" w:lineRule="auto"/>
              <w:outlineLvl w:val="0"/>
              <w:rPr>
                <w:rFonts w:ascii="Arial Bold" w:eastAsia="SimSun" w:hAnsi="Arial Bold" w:cs="Arial"/>
                <w:b/>
                <w:bCs/>
                <w:spacing w:val="-4"/>
                <w:kern w:val="32"/>
                <w:sz w:val="28"/>
                <w:szCs w:val="28"/>
              </w:rPr>
            </w:pPr>
            <w:r w:rsidRPr="00F01332">
              <w:rPr>
                <w:rFonts w:ascii="Arial Bold" w:eastAsia="SimSun" w:hAnsi="Arial Bold" w:cs="Arial"/>
                <w:b/>
                <w:bCs/>
                <w:spacing w:val="-4"/>
                <w:kern w:val="32"/>
                <w:sz w:val="28"/>
                <w:szCs w:val="28"/>
              </w:rPr>
              <w:t xml:space="preserve">Summary: Intervention and Options </w:t>
            </w:r>
          </w:p>
          <w:p w:rsidR="00AB65E9" w:rsidRPr="00F01332" w:rsidRDefault="00AB65E9" w:rsidP="00F01332">
            <w:pPr>
              <w:spacing w:before="50" w:after="50" w:line="240" w:lineRule="auto"/>
              <w:ind w:left="113"/>
              <w:rPr>
                <w:rFonts w:ascii="Arial" w:eastAsia="SimSun" w:hAnsi="Arial"/>
                <w:b/>
                <w:color w:val="000000"/>
                <w:spacing w:val="-5"/>
                <w:sz w:val="28"/>
                <w:szCs w:val="28"/>
                <w:lang w:eastAsia="zh-CN"/>
              </w:rPr>
            </w:pPr>
          </w:p>
        </w:tc>
        <w:tc>
          <w:tcPr>
            <w:tcW w:w="4098" w:type="dxa"/>
            <w:tcBorders>
              <w:top w:val="single" w:sz="4" w:space="0" w:color="auto"/>
              <w:bottom w:val="single" w:sz="4" w:space="0" w:color="auto"/>
            </w:tcBorders>
            <w:shd w:val="clear" w:color="auto" w:fill="E0E0E0"/>
            <w:vAlign w:val="center"/>
          </w:tcPr>
          <w:p w:rsidR="00AB65E9" w:rsidRPr="00F01332" w:rsidRDefault="00AB65E9" w:rsidP="003D1194">
            <w:pPr>
              <w:spacing w:after="0" w:line="240" w:lineRule="auto"/>
              <w:ind w:left="113"/>
              <w:outlineLvl w:val="0"/>
              <w:rPr>
                <w:rFonts w:ascii="Arial" w:eastAsia="SimSun" w:hAnsi="Arial" w:cs="Arial"/>
                <w:b/>
                <w:bCs/>
                <w:kern w:val="28"/>
                <w:sz w:val="24"/>
                <w:szCs w:val="24"/>
              </w:rPr>
            </w:pPr>
            <w:r w:rsidRPr="00F01332">
              <w:rPr>
                <w:rFonts w:ascii="Arial" w:eastAsia="SimSun" w:hAnsi="Arial" w:cs="Arial"/>
                <w:b/>
                <w:bCs/>
                <w:kern w:val="28"/>
                <w:sz w:val="24"/>
                <w:szCs w:val="24"/>
              </w:rPr>
              <w:t xml:space="preserve">RPC Opinion: </w:t>
            </w:r>
            <w:r w:rsidR="003D1194">
              <w:rPr>
                <w:rFonts w:ascii="Arial" w:eastAsia="SimSun" w:hAnsi="Arial" w:cs="Arial"/>
                <w:bCs/>
                <w:color w:val="000000"/>
                <w:kern w:val="28"/>
                <w:sz w:val="24"/>
                <w:szCs w:val="24"/>
              </w:rPr>
              <w:t>AMBER</w:t>
            </w:r>
          </w:p>
        </w:tc>
      </w:tr>
      <w:tr w:rsidR="00AB65E9" w:rsidRPr="000F2B33" w:rsidTr="0057472C">
        <w:trPr>
          <w:trHeight w:hRule="exact" w:val="90"/>
        </w:trPr>
        <w:tc>
          <w:tcPr>
            <w:tcW w:w="10216" w:type="dxa"/>
            <w:gridSpan w:val="2"/>
            <w:tcBorders>
              <w:top w:val="single" w:sz="4" w:space="0" w:color="auto"/>
              <w:left w:val="nil"/>
              <w:bottom w:val="nil"/>
            </w:tcBorders>
          </w:tcPr>
          <w:p w:rsidR="00AB65E9" w:rsidRPr="00F01332" w:rsidRDefault="00AB65E9" w:rsidP="00F01332">
            <w:pPr>
              <w:spacing w:after="0" w:line="240" w:lineRule="auto"/>
              <w:rPr>
                <w:rFonts w:ascii="Arial" w:eastAsia="SimSun" w:hAnsi="Arial"/>
                <w:sz w:val="24"/>
                <w:szCs w:val="24"/>
              </w:rPr>
            </w:pPr>
          </w:p>
        </w:tc>
      </w:tr>
    </w:tbl>
    <w:p w:rsidR="00AB65E9" w:rsidRPr="00F01332" w:rsidRDefault="00AB65E9" w:rsidP="00F01332">
      <w:pPr>
        <w:spacing w:after="0" w:line="240" w:lineRule="auto"/>
        <w:rPr>
          <w:rFonts w:ascii="Arial" w:hAnsi="Arial"/>
          <w:vanish/>
          <w:sz w:val="24"/>
          <w:szCs w:val="24"/>
        </w:rPr>
      </w:pPr>
      <w:bookmarkStart w:id="7" w:name="CostText"/>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86"/>
        <w:gridCol w:w="1619"/>
        <w:gridCol w:w="2516"/>
        <w:gridCol w:w="1980"/>
        <w:gridCol w:w="2106"/>
      </w:tblGrid>
      <w:tr w:rsidR="00AB65E9" w:rsidRPr="000F2B33" w:rsidTr="0057472C">
        <w:trPr>
          <w:trHeight w:hRule="exact" w:val="312"/>
        </w:trPr>
        <w:tc>
          <w:tcPr>
            <w:tcW w:w="10207" w:type="dxa"/>
            <w:gridSpan w:val="5"/>
            <w:tcBorders>
              <w:top w:val="single" w:sz="4" w:space="0" w:color="auto"/>
              <w:bottom w:val="nil"/>
            </w:tcBorders>
            <w:shd w:val="clear" w:color="auto" w:fill="E0E0E0"/>
          </w:tcPr>
          <w:p w:rsidR="00AB65E9" w:rsidRPr="00F01332" w:rsidRDefault="00AB65E9" w:rsidP="00F01332">
            <w:pPr>
              <w:spacing w:before="50" w:after="50" w:line="240" w:lineRule="auto"/>
              <w:ind w:right="113"/>
              <w:jc w:val="center"/>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Cost of Preferred (or more likely) Option</w:t>
            </w:r>
            <w:bookmarkEnd w:id="7"/>
          </w:p>
        </w:tc>
      </w:tr>
      <w:tr w:rsidR="00AB65E9" w:rsidRPr="000F2B33" w:rsidTr="0057472C">
        <w:trPr>
          <w:trHeight w:hRule="exact" w:val="571"/>
        </w:trPr>
        <w:tc>
          <w:tcPr>
            <w:tcW w:w="1986" w:type="dxa"/>
            <w:tcBorders>
              <w:top w:val="single" w:sz="4" w:space="0" w:color="auto"/>
              <w:bottom w:val="nil"/>
              <w:right w:val="single" w:sz="4" w:space="0" w:color="auto"/>
            </w:tcBorders>
            <w:shd w:val="clear" w:color="auto" w:fill="E0E0E0"/>
            <w:vAlign w:val="center"/>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Total Net Present Value</w:t>
            </w:r>
          </w:p>
        </w:tc>
        <w:tc>
          <w:tcPr>
            <w:tcW w:w="1619" w:type="dxa"/>
            <w:tcBorders>
              <w:top w:val="single" w:sz="4" w:space="0" w:color="auto"/>
              <w:bottom w:val="nil"/>
              <w:right w:val="single" w:sz="4" w:space="0" w:color="auto"/>
            </w:tcBorders>
            <w:shd w:val="clear" w:color="auto" w:fill="E0E0E0"/>
            <w:vAlign w:val="center"/>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Business Net Present Value</w:t>
            </w:r>
          </w:p>
        </w:tc>
        <w:tc>
          <w:tcPr>
            <w:tcW w:w="2516" w:type="dxa"/>
            <w:tcBorders>
              <w:top w:val="single" w:sz="4" w:space="0" w:color="auto"/>
              <w:bottom w:val="nil"/>
              <w:right w:val="single" w:sz="4" w:space="0" w:color="auto"/>
            </w:tcBorders>
            <w:shd w:val="clear" w:color="auto" w:fill="E0E0E0"/>
            <w:vAlign w:val="center"/>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Net cost to business per year </w:t>
            </w:r>
            <w:r w:rsidRPr="00F01332">
              <w:rPr>
                <w:rFonts w:ascii="Arial" w:eastAsia="SimSun" w:hAnsi="Arial"/>
                <w:color w:val="000000"/>
                <w:spacing w:val="-5"/>
                <w:sz w:val="20"/>
                <w:szCs w:val="20"/>
                <w:lang w:eastAsia="zh-CN"/>
              </w:rPr>
              <w:t>(</w:t>
            </w:r>
            <w:r w:rsidRPr="00F01332">
              <w:rPr>
                <w:rFonts w:ascii="Arial" w:eastAsia="SimSun" w:hAnsi="Arial"/>
                <w:color w:val="000000"/>
                <w:spacing w:val="-5"/>
                <w:sz w:val="16"/>
                <w:szCs w:val="16"/>
                <w:lang w:eastAsia="zh-CN"/>
              </w:rPr>
              <w:t>EANCB</w:t>
            </w:r>
            <w:r w:rsidRPr="00F01332">
              <w:rPr>
                <w:rFonts w:ascii="Arial" w:eastAsia="SimSun" w:hAnsi="Arial"/>
                <w:color w:val="000000"/>
                <w:spacing w:val="-5"/>
                <w:sz w:val="20"/>
                <w:szCs w:val="20"/>
                <w:lang w:eastAsia="zh-CN"/>
              </w:rPr>
              <w:t xml:space="preserve"> </w:t>
            </w:r>
            <w:r w:rsidRPr="00F01332">
              <w:rPr>
                <w:rFonts w:ascii="Arial" w:eastAsia="SimSun" w:hAnsi="Arial"/>
                <w:color w:val="000000"/>
                <w:spacing w:val="-5"/>
                <w:sz w:val="16"/>
                <w:szCs w:val="16"/>
                <w:lang w:eastAsia="zh-CN"/>
              </w:rPr>
              <w:t>on 2009 prices)</w:t>
            </w:r>
          </w:p>
        </w:tc>
        <w:tc>
          <w:tcPr>
            <w:tcW w:w="1980" w:type="dxa"/>
            <w:tcBorders>
              <w:top w:val="single" w:sz="4" w:space="0" w:color="auto"/>
              <w:left w:val="single" w:sz="4" w:space="0" w:color="auto"/>
              <w:bottom w:val="nil"/>
              <w:right w:val="nil"/>
            </w:tcBorders>
            <w:shd w:val="clear" w:color="auto" w:fill="E0E0E0"/>
            <w:vAlign w:val="center"/>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In scope of One-In, Two-Out?</w:t>
            </w:r>
          </w:p>
        </w:tc>
        <w:tc>
          <w:tcPr>
            <w:tcW w:w="2106" w:type="dxa"/>
            <w:tcBorders>
              <w:top w:val="single" w:sz="4" w:space="0" w:color="auto"/>
              <w:left w:val="nil"/>
              <w:bottom w:val="nil"/>
            </w:tcBorders>
            <w:shd w:val="clear" w:color="auto" w:fill="E0E0E0"/>
            <w:vAlign w:val="center"/>
          </w:tcPr>
          <w:p w:rsidR="00AB65E9" w:rsidRPr="00F01332" w:rsidRDefault="00AB65E9" w:rsidP="00F01332">
            <w:pPr>
              <w:spacing w:after="0" w:line="240" w:lineRule="auto"/>
              <w:ind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Measure qualifies as</w:t>
            </w:r>
          </w:p>
          <w:p w:rsidR="00AB65E9" w:rsidRPr="00F01332" w:rsidRDefault="00AB65E9" w:rsidP="00F01332">
            <w:pPr>
              <w:spacing w:after="0" w:line="240" w:lineRule="auto"/>
              <w:ind w:right="113"/>
              <w:rPr>
                <w:rFonts w:ascii="Arial" w:eastAsia="SimSun" w:hAnsi="Arial"/>
                <w:b/>
                <w:color w:val="000000"/>
                <w:spacing w:val="-5"/>
                <w:sz w:val="20"/>
                <w:szCs w:val="20"/>
                <w:lang w:eastAsia="zh-CN"/>
              </w:rPr>
            </w:pPr>
          </w:p>
        </w:tc>
      </w:tr>
      <w:tr w:rsidR="00AB65E9" w:rsidRPr="000F2B33" w:rsidTr="00AB4323">
        <w:trPr>
          <w:trHeight w:hRule="exact" w:val="663"/>
        </w:trPr>
        <w:tc>
          <w:tcPr>
            <w:tcW w:w="1986" w:type="dxa"/>
            <w:tcBorders>
              <w:top w:val="nil"/>
              <w:bottom w:val="single" w:sz="4" w:space="0" w:color="auto"/>
              <w:right w:val="single" w:sz="4" w:space="0" w:color="auto"/>
            </w:tcBorders>
            <w:shd w:val="clear" w:color="auto" w:fill="E0E0E0"/>
            <w:vAlign w:val="center"/>
          </w:tcPr>
          <w:p w:rsidR="00AB65E9" w:rsidRPr="00F01332" w:rsidRDefault="00AB65E9" w:rsidP="00F01332">
            <w:pPr>
              <w:spacing w:after="0" w:line="240" w:lineRule="auto"/>
              <w:ind w:left="113" w:right="113"/>
              <w:jc w:val="both"/>
              <w:rPr>
                <w:rFonts w:ascii="Arial" w:eastAsia="SimSun" w:hAnsi="Arial"/>
                <w:color w:val="000000"/>
                <w:spacing w:val="-5"/>
                <w:lang w:eastAsia="zh-CN"/>
              </w:rPr>
            </w:pPr>
            <w:bookmarkStart w:id="8" w:name="IATNPV"/>
            <w:r>
              <w:rPr>
                <w:rFonts w:ascii="Arial" w:eastAsia="SimSun" w:hAnsi="Arial"/>
                <w:color w:val="000000"/>
                <w:spacing w:val="-5"/>
                <w:lang w:eastAsia="zh-CN"/>
              </w:rPr>
              <w:t>-</w:t>
            </w:r>
            <w:r w:rsidRPr="00F01332">
              <w:rPr>
                <w:rFonts w:ascii="Arial" w:eastAsia="SimSun" w:hAnsi="Arial"/>
                <w:color w:val="000000"/>
                <w:spacing w:val="-5"/>
                <w:lang w:eastAsia="zh-CN"/>
              </w:rPr>
              <w:fldChar w:fldCharType="begin">
                <w:ffData>
                  <w:name w:val="IATNPV"/>
                  <w:enabled/>
                  <w:calcOnExit w:val="0"/>
                  <w:textInput>
                    <w:default w:val="£m"/>
                    <w:maxLength w:val="9"/>
                  </w:textInput>
                </w:ffData>
              </w:fldChar>
            </w:r>
            <w:r w:rsidRPr="00F01332">
              <w:rPr>
                <w:rFonts w:ascii="Arial" w:eastAsia="SimSun" w:hAnsi="Arial"/>
                <w:color w:val="000000"/>
                <w:spacing w:val="-5"/>
                <w:lang w:eastAsia="zh-CN"/>
              </w:rPr>
              <w:instrText xml:space="preserve"> FORMTEXT </w:instrText>
            </w:r>
            <w:r w:rsidRPr="00F01332">
              <w:rPr>
                <w:rFonts w:ascii="Arial" w:eastAsia="SimSun" w:hAnsi="Arial"/>
                <w:color w:val="000000"/>
                <w:spacing w:val="-5"/>
                <w:lang w:eastAsia="zh-CN"/>
              </w:rPr>
            </w:r>
            <w:r w:rsidRPr="00F01332">
              <w:rPr>
                <w:rFonts w:ascii="Arial" w:eastAsia="SimSun" w:hAnsi="Arial"/>
                <w:color w:val="000000"/>
                <w:spacing w:val="-5"/>
                <w:lang w:eastAsia="zh-CN"/>
              </w:rPr>
              <w:fldChar w:fldCharType="separate"/>
            </w:r>
            <w:r w:rsidRPr="00F01332">
              <w:rPr>
                <w:rFonts w:ascii="Arial" w:eastAsia="SimSun" w:hAnsi="Arial"/>
                <w:noProof/>
                <w:color w:val="000000"/>
                <w:spacing w:val="-5"/>
                <w:lang w:eastAsia="zh-CN"/>
              </w:rPr>
              <w:t>£</w:t>
            </w:r>
            <w:r>
              <w:rPr>
                <w:rFonts w:ascii="Arial" w:eastAsia="SimSun" w:hAnsi="Arial"/>
                <w:noProof/>
                <w:color w:val="000000"/>
                <w:spacing w:val="-5"/>
                <w:lang w:eastAsia="zh-CN"/>
              </w:rPr>
              <w:t>15.39</w:t>
            </w:r>
            <w:r w:rsidRPr="00F01332">
              <w:rPr>
                <w:rFonts w:ascii="Arial" w:eastAsia="SimSun" w:hAnsi="Arial"/>
                <w:noProof/>
                <w:color w:val="000000"/>
                <w:spacing w:val="-5"/>
                <w:lang w:eastAsia="zh-CN"/>
              </w:rPr>
              <w:t>m</w:t>
            </w:r>
            <w:r w:rsidRPr="00F01332">
              <w:rPr>
                <w:rFonts w:ascii="Arial" w:eastAsia="SimSun" w:hAnsi="Arial"/>
                <w:color w:val="000000"/>
                <w:spacing w:val="-5"/>
                <w:lang w:eastAsia="zh-CN"/>
              </w:rPr>
              <w:fldChar w:fldCharType="end"/>
            </w:r>
            <w:bookmarkEnd w:id="8"/>
          </w:p>
        </w:tc>
        <w:tc>
          <w:tcPr>
            <w:tcW w:w="1619" w:type="dxa"/>
            <w:tcBorders>
              <w:top w:val="nil"/>
              <w:bottom w:val="single" w:sz="4" w:space="0" w:color="auto"/>
              <w:right w:val="single" w:sz="4" w:space="0" w:color="auto"/>
            </w:tcBorders>
            <w:shd w:val="clear" w:color="auto" w:fill="E0E0E0"/>
            <w:vAlign w:val="center"/>
          </w:tcPr>
          <w:p w:rsidR="00AB65E9" w:rsidRPr="00F01332" w:rsidRDefault="004F2AFA" w:rsidP="00F01332">
            <w:pPr>
              <w:spacing w:after="0" w:line="240" w:lineRule="auto"/>
              <w:ind w:left="113" w:right="113"/>
              <w:rPr>
                <w:rFonts w:ascii="Arial" w:eastAsia="SimSun" w:hAnsi="Arial"/>
                <w:color w:val="000000"/>
                <w:spacing w:val="-5"/>
                <w:lang w:eastAsia="zh-CN"/>
              </w:rPr>
            </w:pPr>
            <w:bookmarkStart w:id="9" w:name="IABNPV"/>
            <w:r>
              <w:rPr>
                <w:rFonts w:ascii="Arial" w:eastAsia="SimSun" w:hAnsi="Arial"/>
                <w:color w:val="000000"/>
                <w:spacing w:val="-5"/>
                <w:lang w:eastAsia="zh-CN"/>
              </w:rPr>
              <w:t>-£15.39m</w:t>
            </w:r>
            <w:bookmarkEnd w:id="9"/>
          </w:p>
        </w:tc>
        <w:tc>
          <w:tcPr>
            <w:tcW w:w="2516" w:type="dxa"/>
            <w:tcBorders>
              <w:top w:val="nil"/>
              <w:bottom w:val="single" w:sz="4" w:space="0" w:color="auto"/>
              <w:right w:val="single" w:sz="4" w:space="0" w:color="auto"/>
            </w:tcBorders>
            <w:shd w:val="clear" w:color="auto" w:fill="E0E0E0"/>
            <w:vAlign w:val="center"/>
          </w:tcPr>
          <w:p w:rsidR="00AB65E9" w:rsidRPr="00F01332" w:rsidRDefault="00AB65E9" w:rsidP="00695991">
            <w:pPr>
              <w:spacing w:after="0" w:line="240" w:lineRule="auto"/>
              <w:ind w:left="113" w:right="113"/>
              <w:rPr>
                <w:rFonts w:ascii="Arial" w:eastAsia="SimSun" w:hAnsi="Arial"/>
                <w:color w:val="000000"/>
                <w:spacing w:val="-5"/>
                <w:lang w:eastAsia="zh-CN"/>
              </w:rPr>
            </w:pPr>
            <w:r>
              <w:rPr>
                <w:rFonts w:ascii="Arial" w:eastAsia="SimSun" w:hAnsi="Arial"/>
                <w:color w:val="000000"/>
                <w:spacing w:val="-5"/>
                <w:lang w:eastAsia="zh-CN"/>
              </w:rPr>
              <w:t>£</w:t>
            </w:r>
            <w:r w:rsidR="00695991">
              <w:rPr>
                <w:rFonts w:ascii="Arial" w:eastAsia="SimSun" w:hAnsi="Arial"/>
                <w:color w:val="000000"/>
                <w:spacing w:val="-5"/>
                <w:lang w:eastAsia="zh-CN"/>
              </w:rPr>
              <w:t>1.47</w:t>
            </w:r>
            <w:r>
              <w:rPr>
                <w:rFonts w:ascii="Arial" w:eastAsia="SimSun" w:hAnsi="Arial"/>
                <w:color w:val="000000"/>
                <w:spacing w:val="-5"/>
                <w:lang w:eastAsia="zh-CN"/>
              </w:rPr>
              <w:t>m</w:t>
            </w:r>
          </w:p>
        </w:tc>
        <w:tc>
          <w:tcPr>
            <w:tcW w:w="1980" w:type="dxa"/>
            <w:tcBorders>
              <w:top w:val="nil"/>
              <w:left w:val="single" w:sz="4" w:space="0" w:color="auto"/>
              <w:bottom w:val="single" w:sz="4" w:space="0" w:color="auto"/>
              <w:right w:val="single" w:sz="4" w:space="0" w:color="auto"/>
            </w:tcBorders>
            <w:shd w:val="clear" w:color="auto" w:fill="E0E0E0"/>
            <w:vAlign w:val="center"/>
          </w:tcPr>
          <w:p w:rsidR="00AB65E9" w:rsidRPr="00F01332" w:rsidRDefault="00AB65E9" w:rsidP="00F01332">
            <w:pPr>
              <w:spacing w:after="0" w:line="240" w:lineRule="auto"/>
              <w:ind w:left="113" w:right="113"/>
              <w:rPr>
                <w:rFonts w:ascii="Arial" w:eastAsia="SimSun" w:hAnsi="Arial"/>
                <w:color w:val="000000"/>
                <w:spacing w:val="-5"/>
                <w:lang w:eastAsia="zh-CN"/>
              </w:rPr>
            </w:pPr>
            <w:r>
              <w:rPr>
                <w:rFonts w:ascii="Arial" w:eastAsia="SimSun" w:hAnsi="Arial"/>
                <w:color w:val="000000"/>
                <w:spacing w:val="-5"/>
                <w:lang w:eastAsia="zh-CN"/>
              </w:rPr>
              <w:t>In</w:t>
            </w:r>
          </w:p>
        </w:tc>
        <w:tc>
          <w:tcPr>
            <w:tcW w:w="2106" w:type="dxa"/>
            <w:tcBorders>
              <w:top w:val="nil"/>
              <w:left w:val="single" w:sz="4" w:space="0" w:color="auto"/>
              <w:bottom w:val="single" w:sz="4" w:space="0" w:color="auto"/>
            </w:tcBorders>
            <w:shd w:val="clear" w:color="auto" w:fill="E0E0E0"/>
            <w:vAlign w:val="center"/>
          </w:tcPr>
          <w:p w:rsidR="00AB65E9" w:rsidRPr="00F01332" w:rsidRDefault="00AB65E9" w:rsidP="00695991">
            <w:pPr>
              <w:spacing w:after="0" w:line="240" w:lineRule="auto"/>
              <w:ind w:left="113" w:right="113"/>
              <w:rPr>
                <w:rFonts w:ascii="Arial" w:eastAsia="SimSun" w:hAnsi="Arial"/>
                <w:color w:val="000000"/>
                <w:spacing w:val="-5"/>
                <w:lang w:eastAsia="zh-CN"/>
              </w:rPr>
            </w:pPr>
            <w:r>
              <w:rPr>
                <w:rFonts w:ascii="Arial" w:eastAsia="SimSun" w:hAnsi="Arial"/>
                <w:color w:val="000000"/>
                <w:spacing w:val="-5"/>
                <w:lang w:eastAsia="zh-CN"/>
              </w:rPr>
              <w:t>£</w:t>
            </w:r>
            <w:r w:rsidR="00695991">
              <w:rPr>
                <w:rFonts w:ascii="Arial" w:eastAsia="SimSun" w:hAnsi="Arial"/>
                <w:color w:val="000000"/>
                <w:spacing w:val="-5"/>
                <w:lang w:eastAsia="zh-CN"/>
              </w:rPr>
              <w:t>1.47</w:t>
            </w:r>
            <w:r>
              <w:rPr>
                <w:rFonts w:ascii="Arial" w:eastAsia="SimSun" w:hAnsi="Arial"/>
                <w:color w:val="000000"/>
                <w:spacing w:val="-5"/>
                <w:lang w:eastAsia="zh-CN"/>
              </w:rPr>
              <w:t>m</w:t>
            </w:r>
          </w:p>
        </w:tc>
      </w:tr>
      <w:tr w:rsidR="00AB65E9" w:rsidRPr="000F2B33" w:rsidTr="003C7276">
        <w:trPr>
          <w:trHeight w:hRule="exact" w:val="2993"/>
        </w:trPr>
        <w:tc>
          <w:tcPr>
            <w:tcW w:w="10207" w:type="dxa"/>
            <w:gridSpan w:val="5"/>
            <w:tcBorders>
              <w:top w:val="single" w:sz="4" w:space="0" w:color="auto"/>
              <w:bottom w:val="single" w:sz="4"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bookmarkStart w:id="10" w:name="Summary1"/>
            <w:r w:rsidRPr="00F01332">
              <w:rPr>
                <w:rFonts w:ascii="Arial" w:eastAsia="SimSun" w:hAnsi="Arial"/>
                <w:b/>
                <w:color w:val="000000"/>
                <w:spacing w:val="-5"/>
                <w:sz w:val="20"/>
                <w:szCs w:val="20"/>
                <w:lang w:eastAsia="zh-CN"/>
              </w:rPr>
              <w:t>What is the problem under consideration? Why is government intervention necessary?</w:t>
            </w:r>
            <w:bookmarkEnd w:id="10"/>
          </w:p>
          <w:bookmarkStart w:id="11" w:name="IAIOA1"/>
          <w:p w:rsidR="00AB65E9" w:rsidRPr="0055000C" w:rsidRDefault="00AB65E9" w:rsidP="00F01332">
            <w:pPr>
              <w:spacing w:after="0" w:line="240" w:lineRule="auto"/>
              <w:ind w:left="113" w:right="113"/>
              <w:rPr>
                <w:rFonts w:ascii="Arial" w:eastAsia="SimSun" w:hAnsi="Arial"/>
                <w:spacing w:val="-5"/>
                <w:szCs w:val="20"/>
                <w:lang w:eastAsia="zh-CN"/>
              </w:rPr>
            </w:pPr>
            <w:r w:rsidRPr="0055000C">
              <w:rPr>
                <w:rFonts w:ascii="Arial" w:eastAsia="SimSun" w:hAnsi="Arial"/>
                <w:spacing w:val="-5"/>
                <w:szCs w:val="20"/>
                <w:lang w:eastAsia="zh-CN"/>
              </w:rPr>
              <w:fldChar w:fldCharType="begin">
                <w:ffData>
                  <w:name w:val="IAIOA1"/>
                  <w:enabled/>
                  <w:calcOnExit w:val="0"/>
                  <w:textInput>
                    <w:default w:val="Maximum of 7 lines"/>
                    <w:maxLength w:val="800"/>
                  </w:textInput>
                </w:ffData>
              </w:fldChar>
            </w:r>
            <w:r w:rsidRPr="0055000C">
              <w:rPr>
                <w:rFonts w:ascii="Arial" w:eastAsia="SimSun" w:hAnsi="Arial"/>
                <w:spacing w:val="-5"/>
                <w:szCs w:val="20"/>
                <w:lang w:eastAsia="zh-CN"/>
              </w:rPr>
              <w:instrText xml:space="preserve"> FORMTEXT </w:instrText>
            </w:r>
            <w:r w:rsidRPr="0055000C">
              <w:rPr>
                <w:rFonts w:ascii="Arial" w:eastAsia="SimSun" w:hAnsi="Arial"/>
                <w:spacing w:val="-5"/>
                <w:szCs w:val="20"/>
                <w:lang w:eastAsia="zh-CN"/>
              </w:rPr>
            </w:r>
            <w:r w:rsidRPr="0055000C">
              <w:rPr>
                <w:rFonts w:ascii="Arial" w:eastAsia="SimSun" w:hAnsi="Arial"/>
                <w:spacing w:val="-5"/>
                <w:szCs w:val="20"/>
                <w:lang w:eastAsia="zh-CN"/>
              </w:rPr>
              <w:fldChar w:fldCharType="separate"/>
            </w:r>
            <w:r w:rsidRPr="0055000C">
              <w:rPr>
                <w:rFonts w:ascii="Arial" w:eastAsia="SimSun" w:hAnsi="Arial"/>
                <w:spacing w:val="-5"/>
                <w:szCs w:val="20"/>
                <w:lang w:eastAsia="zh-CN"/>
              </w:rPr>
              <w:t xml:space="preserve">A report by the OFT in 2010 into the market for corporate insolvency practitioners (IPs) and a recent review by Elaine Kempson of IP fees, found that the market does not work sufficiently where unsecured creditors are left to ‘control’ an office-holders fees and remuneration, which occurs in just over a third of cases. This becomes apparent where there are funds remaining after paying secured creditors and unsecured creditors bear the costs of the office-holders fees. </w:t>
            </w:r>
            <w:r w:rsidR="002F04F8" w:rsidRPr="0055000C">
              <w:rPr>
                <w:rFonts w:ascii="Arial" w:eastAsia="SimSun" w:hAnsi="Arial"/>
                <w:spacing w:val="-5"/>
                <w:szCs w:val="20"/>
                <w:lang w:eastAsia="zh-CN"/>
              </w:rPr>
              <w:t>Both reports found that f</w:t>
            </w:r>
            <w:r w:rsidRPr="0055000C">
              <w:rPr>
                <w:rFonts w:ascii="Arial" w:eastAsia="SimSun" w:hAnsi="Arial"/>
                <w:spacing w:val="-5"/>
                <w:szCs w:val="20"/>
                <w:lang w:eastAsia="zh-CN"/>
              </w:rPr>
              <w:t>ees charged to unsecured creditors</w:t>
            </w:r>
            <w:r w:rsidR="002F04F8" w:rsidRPr="0055000C">
              <w:rPr>
                <w:rFonts w:ascii="Arial" w:eastAsia="SimSun" w:hAnsi="Arial"/>
                <w:spacing w:val="-5"/>
                <w:szCs w:val="20"/>
                <w:lang w:eastAsia="zh-CN"/>
              </w:rPr>
              <w:t xml:space="preserve"> can be</w:t>
            </w:r>
            <w:r w:rsidRPr="0055000C">
              <w:rPr>
                <w:rFonts w:ascii="Arial" w:eastAsia="SimSun" w:hAnsi="Arial"/>
                <w:spacing w:val="-5"/>
                <w:szCs w:val="20"/>
                <w:lang w:eastAsia="zh-CN"/>
              </w:rPr>
              <w:t xml:space="preserve"> higher</w:t>
            </w:r>
            <w:r w:rsidR="002F04F8" w:rsidRPr="0055000C">
              <w:rPr>
                <w:rFonts w:ascii="Arial" w:eastAsia="SimSun" w:hAnsi="Arial"/>
                <w:spacing w:val="-5"/>
                <w:szCs w:val="20"/>
                <w:lang w:eastAsia="zh-CN"/>
              </w:rPr>
              <w:t xml:space="preserve"> due to unsecured creditors being in a weaker bargaining position than secured credito</w:t>
            </w:r>
            <w:r w:rsidR="003C7276" w:rsidRPr="0055000C">
              <w:rPr>
                <w:rFonts w:ascii="Arial" w:eastAsia="SimSun" w:hAnsi="Arial"/>
                <w:spacing w:val="-5"/>
                <w:szCs w:val="20"/>
                <w:lang w:eastAsia="zh-CN"/>
              </w:rPr>
              <w:t>rs</w:t>
            </w:r>
            <w:r w:rsidRPr="0055000C">
              <w:rPr>
                <w:rFonts w:ascii="Arial" w:eastAsia="SimSun" w:hAnsi="Arial"/>
                <w:spacing w:val="-5"/>
                <w:szCs w:val="20"/>
                <w:lang w:eastAsia="zh-CN"/>
              </w:rPr>
              <w:t xml:space="preserve">. </w:t>
            </w:r>
            <w:r w:rsidR="002F04F8" w:rsidRPr="0055000C">
              <w:rPr>
                <w:rFonts w:ascii="Arial" w:eastAsia="SimSun" w:hAnsi="Arial"/>
                <w:spacing w:val="-5"/>
                <w:szCs w:val="20"/>
                <w:lang w:eastAsia="zh-CN"/>
              </w:rPr>
              <w:t>T</w:t>
            </w:r>
            <w:r w:rsidRPr="0055000C">
              <w:rPr>
                <w:rFonts w:ascii="Arial" w:eastAsia="SimSun" w:hAnsi="Arial"/>
                <w:spacing w:val="-5"/>
                <w:szCs w:val="20"/>
                <w:lang w:eastAsia="zh-CN"/>
              </w:rPr>
              <w:t>his can result in over charging by the IP and  inefficiencies</w:t>
            </w:r>
            <w:r w:rsidR="002F04F8" w:rsidRPr="0055000C">
              <w:rPr>
                <w:rFonts w:ascii="Arial" w:eastAsia="SimSun" w:hAnsi="Arial"/>
                <w:spacing w:val="-5"/>
                <w:szCs w:val="20"/>
                <w:lang w:eastAsia="zh-CN"/>
              </w:rPr>
              <w:t xml:space="preserve"> in administering the case</w:t>
            </w:r>
            <w:r w:rsidRPr="0055000C">
              <w:rPr>
                <w:rFonts w:ascii="Arial" w:eastAsia="SimSun" w:hAnsi="Arial"/>
                <w:spacing w:val="-5"/>
                <w:szCs w:val="20"/>
                <w:lang w:eastAsia="zh-CN"/>
              </w:rPr>
              <w:t xml:space="preserve">, which leads to fees being higher than they might otherwise have been. This leads to a transfer of resources from unsecured creditors to IPs that for both </w:t>
            </w:r>
            <w:r w:rsidR="002F04F8" w:rsidRPr="0055000C">
              <w:rPr>
                <w:rFonts w:ascii="Arial" w:eastAsia="SimSun" w:hAnsi="Arial"/>
                <w:spacing w:val="-5"/>
                <w:szCs w:val="20"/>
                <w:lang w:eastAsia="zh-CN"/>
              </w:rPr>
              <w:t>fairness</w:t>
            </w:r>
            <w:r w:rsidRPr="0055000C">
              <w:rPr>
                <w:rFonts w:ascii="Arial" w:eastAsia="SimSun" w:hAnsi="Arial"/>
                <w:spacing w:val="-5"/>
                <w:szCs w:val="20"/>
                <w:lang w:eastAsia="zh-CN"/>
              </w:rPr>
              <w:t xml:space="preserve"> and efficiency reasons we wish to remove.</w:t>
            </w:r>
          </w:p>
          <w:p w:rsidR="00AB65E9" w:rsidRPr="0055000C" w:rsidRDefault="00AB65E9" w:rsidP="00F01332">
            <w:pPr>
              <w:spacing w:after="0" w:line="240" w:lineRule="auto"/>
              <w:ind w:left="113" w:right="113"/>
              <w:rPr>
                <w:rFonts w:ascii="Arial" w:eastAsia="SimSun" w:hAnsi="Arial"/>
                <w:spacing w:val="-5"/>
                <w:szCs w:val="20"/>
                <w:lang w:eastAsia="zh-CN"/>
              </w:rPr>
            </w:pPr>
          </w:p>
          <w:p w:rsidR="00AB65E9" w:rsidRPr="00F01332" w:rsidRDefault="00AB65E9" w:rsidP="00F01332">
            <w:pPr>
              <w:spacing w:after="0" w:line="240" w:lineRule="auto"/>
              <w:ind w:left="113" w:right="113"/>
              <w:rPr>
                <w:rFonts w:ascii="Arial" w:eastAsia="SimSun" w:hAnsi="Arial"/>
                <w:spacing w:val="-5"/>
                <w:szCs w:val="20"/>
                <w:lang w:eastAsia="zh-CN"/>
              </w:rPr>
            </w:pPr>
            <w:r w:rsidRPr="0055000C">
              <w:rPr>
                <w:rFonts w:ascii="Arial" w:eastAsia="SimSun" w:hAnsi="Arial"/>
                <w:spacing w:val="-5"/>
                <w:szCs w:val="20"/>
                <w:lang w:eastAsia="zh-CN"/>
              </w:rPr>
              <w:t xml:space="preserve">. </w:t>
            </w:r>
            <w:r w:rsidRPr="0055000C">
              <w:rPr>
                <w:rFonts w:ascii="Arial" w:eastAsia="SimSun" w:hAnsi="Arial"/>
                <w:spacing w:val="-5"/>
                <w:szCs w:val="20"/>
                <w:lang w:eastAsia="zh-CN"/>
              </w:rPr>
              <w:fldChar w:fldCharType="end"/>
            </w:r>
            <w:bookmarkEnd w:id="11"/>
          </w:p>
        </w:tc>
      </w:tr>
    </w:tbl>
    <w:p w:rsidR="00AB65E9" w:rsidRPr="00F01332" w:rsidRDefault="00AB65E9" w:rsidP="00F01332">
      <w:pPr>
        <w:spacing w:after="0" w:line="80" w:lineRule="exact"/>
        <w:rPr>
          <w:rFonts w:ascii="Arial" w:eastAsia="SimSun" w:hAnsi="Arial"/>
          <w:szCs w:val="24"/>
          <w:lang w:eastAsia="zh-CN"/>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AB65E9" w:rsidRPr="000F2B33" w:rsidTr="0057472C">
        <w:trPr>
          <w:trHeight w:hRule="exact" w:val="2744"/>
        </w:trPr>
        <w:tc>
          <w:tcPr>
            <w:tcW w:w="10214" w:type="dxa"/>
            <w:tcBorders>
              <w:top w:val="single" w:sz="4" w:space="0" w:color="auto"/>
              <w:bottom w:val="single" w:sz="4"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bookmarkStart w:id="12" w:name="Summary2"/>
            <w:r w:rsidRPr="00F01332">
              <w:rPr>
                <w:rFonts w:ascii="Arial" w:eastAsia="SimSun" w:hAnsi="Arial"/>
                <w:b/>
                <w:color w:val="000000"/>
                <w:spacing w:val="-5"/>
                <w:sz w:val="20"/>
                <w:szCs w:val="20"/>
                <w:lang w:eastAsia="zh-CN"/>
              </w:rPr>
              <w:t>What are the policy objectives and the intended effects?</w:t>
            </w:r>
            <w:bookmarkEnd w:id="12"/>
          </w:p>
          <w:p w:rsidR="00AB65E9" w:rsidRDefault="00AB65E9" w:rsidP="00010313">
            <w:pPr>
              <w:spacing w:after="0" w:line="240" w:lineRule="auto"/>
              <w:ind w:left="113" w:right="113"/>
              <w:rPr>
                <w:rFonts w:ascii="Arial" w:eastAsia="SimSun" w:hAnsi="Arial"/>
                <w:spacing w:val="-5"/>
                <w:szCs w:val="20"/>
                <w:lang w:eastAsia="zh-CN"/>
              </w:rPr>
            </w:pPr>
            <w:bookmarkStart w:id="13" w:name="IAIOA2"/>
            <w:r w:rsidRPr="00F01332">
              <w:rPr>
                <w:rFonts w:ascii="Arial" w:eastAsia="SimSun" w:hAnsi="Arial"/>
                <w:spacing w:val="-5"/>
                <w:szCs w:val="20"/>
                <w:lang w:eastAsia="zh-CN"/>
              </w:rPr>
              <w:t>To remove the harm caused by the market failure. The total impact of the</w:t>
            </w:r>
            <w:r>
              <w:rPr>
                <w:rFonts w:ascii="Arial" w:eastAsia="SimSun" w:hAnsi="Arial"/>
                <w:spacing w:val="-5"/>
                <w:szCs w:val="20"/>
                <w:lang w:eastAsia="zh-CN"/>
              </w:rPr>
              <w:t xml:space="preserve"> inability</w:t>
            </w:r>
            <w:r w:rsidRPr="00F01332">
              <w:rPr>
                <w:rFonts w:ascii="Arial" w:eastAsia="SimSun" w:hAnsi="Arial"/>
                <w:spacing w:val="-5"/>
                <w:szCs w:val="20"/>
                <w:lang w:eastAsia="zh-CN"/>
              </w:rPr>
              <w:t xml:space="preserve"> of unsecured creditors to control fees and actions of IPs</w:t>
            </w:r>
            <w:r>
              <w:rPr>
                <w:rFonts w:ascii="Arial" w:eastAsia="SimSun" w:hAnsi="Arial"/>
                <w:spacing w:val="-5"/>
                <w:szCs w:val="20"/>
                <w:lang w:eastAsia="zh-CN"/>
              </w:rPr>
              <w:t xml:space="preserve"> is a</w:t>
            </w:r>
            <w:r w:rsidRPr="00F01332">
              <w:rPr>
                <w:rFonts w:ascii="Arial" w:eastAsia="SimSun" w:hAnsi="Arial"/>
                <w:spacing w:val="-5"/>
                <w:szCs w:val="20"/>
                <w:lang w:eastAsia="zh-CN"/>
              </w:rPr>
              <w:t xml:space="preserve"> reduction in </w:t>
            </w:r>
            <w:r w:rsidR="00BF2ADD">
              <w:rPr>
                <w:rFonts w:ascii="Arial" w:eastAsia="SimSun" w:hAnsi="Arial"/>
                <w:spacing w:val="-5"/>
                <w:szCs w:val="20"/>
                <w:lang w:eastAsia="zh-CN"/>
              </w:rPr>
              <w:t>distributions,</w:t>
            </w:r>
            <w:r w:rsidRPr="00F01332">
              <w:rPr>
                <w:rFonts w:ascii="Arial" w:eastAsia="SimSun" w:hAnsi="Arial"/>
                <w:spacing w:val="-5"/>
                <w:szCs w:val="20"/>
                <w:lang w:eastAsia="zh-CN"/>
              </w:rPr>
              <w:t xml:space="preserve"> estimated by the OFT at in the region of £15m per annum. </w:t>
            </w:r>
          </w:p>
          <w:p w:rsidR="00AB65E9" w:rsidRDefault="00AB65E9" w:rsidP="00010313">
            <w:pPr>
              <w:spacing w:after="0" w:line="240" w:lineRule="auto"/>
              <w:ind w:left="113" w:right="113"/>
              <w:rPr>
                <w:rFonts w:ascii="Arial" w:eastAsia="SimSun" w:hAnsi="Arial"/>
                <w:spacing w:val="-5"/>
                <w:szCs w:val="20"/>
                <w:lang w:eastAsia="zh-CN"/>
              </w:rPr>
            </w:pPr>
          </w:p>
          <w:p w:rsidR="00AB65E9" w:rsidRPr="00F01332" w:rsidRDefault="00AB65E9" w:rsidP="00010313">
            <w:pPr>
              <w:spacing w:after="0" w:line="240" w:lineRule="auto"/>
              <w:ind w:left="113" w:right="113"/>
              <w:rPr>
                <w:rFonts w:ascii="Arial" w:eastAsia="SimSun" w:hAnsi="Arial"/>
                <w:spacing w:val="-5"/>
                <w:szCs w:val="20"/>
                <w:lang w:eastAsia="zh-CN"/>
              </w:rPr>
            </w:pPr>
            <w:r w:rsidRPr="00F01332">
              <w:rPr>
                <w:rFonts w:ascii="Arial" w:eastAsia="SimSun" w:hAnsi="Arial"/>
                <w:spacing w:val="-5"/>
                <w:szCs w:val="20"/>
                <w:lang w:eastAsia="zh-CN"/>
              </w:rPr>
              <w:t xml:space="preserve">In </w:t>
            </w:r>
            <w:r>
              <w:rPr>
                <w:rFonts w:ascii="Arial" w:eastAsia="SimSun" w:hAnsi="Arial"/>
                <w:spacing w:val="-5"/>
                <w:szCs w:val="20"/>
                <w:lang w:eastAsia="zh-CN"/>
              </w:rPr>
              <w:t>removing this harm</w:t>
            </w:r>
            <w:r w:rsidRPr="00F01332">
              <w:rPr>
                <w:rFonts w:ascii="Arial" w:eastAsia="SimSun" w:hAnsi="Arial"/>
                <w:spacing w:val="-5"/>
                <w:szCs w:val="20"/>
                <w:lang w:eastAsia="zh-CN"/>
              </w:rPr>
              <w:t xml:space="preserve">, </w:t>
            </w:r>
            <w:r>
              <w:rPr>
                <w:rFonts w:ascii="Arial" w:eastAsia="SimSun" w:hAnsi="Arial"/>
                <w:spacing w:val="-5"/>
                <w:szCs w:val="20"/>
                <w:lang w:eastAsia="zh-CN"/>
              </w:rPr>
              <w:t>we</w:t>
            </w:r>
            <w:r w:rsidRPr="00F01332">
              <w:rPr>
                <w:rFonts w:ascii="Arial" w:eastAsia="SimSun" w:hAnsi="Arial"/>
                <w:spacing w:val="-5"/>
                <w:szCs w:val="20"/>
                <w:lang w:eastAsia="zh-CN"/>
              </w:rPr>
              <w:t xml:space="preserve"> will improve returns to unsecured</w:t>
            </w:r>
            <w:r>
              <w:rPr>
                <w:rFonts w:ascii="Arial" w:eastAsia="SimSun" w:hAnsi="Arial"/>
                <w:spacing w:val="-5"/>
                <w:szCs w:val="20"/>
                <w:lang w:eastAsia="zh-CN"/>
              </w:rPr>
              <w:t xml:space="preserve"> creditors</w:t>
            </w:r>
            <w:r w:rsidRPr="00F01332">
              <w:rPr>
                <w:rFonts w:ascii="Arial" w:eastAsia="SimSun" w:hAnsi="Arial"/>
                <w:spacing w:val="-5"/>
                <w:szCs w:val="20"/>
                <w:lang w:eastAsia="zh-CN"/>
              </w:rPr>
              <w:t xml:space="preserve">; and improve the reputation of and confidence in the insolvency profession.  </w:t>
            </w:r>
            <w:bookmarkEnd w:id="13"/>
          </w:p>
        </w:tc>
      </w:tr>
    </w:tbl>
    <w:p w:rsidR="00AB65E9" w:rsidRPr="00F01332" w:rsidRDefault="00AB65E9" w:rsidP="00F01332">
      <w:pPr>
        <w:spacing w:after="0" w:line="80" w:lineRule="exact"/>
        <w:rPr>
          <w:rFonts w:ascii="Arial" w:eastAsia="SimSun" w:hAnsi="Arial"/>
          <w:szCs w:val="24"/>
          <w:lang w:eastAsia="zh-CN"/>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AB65E9" w:rsidRPr="000F2B33" w:rsidTr="0057472C">
        <w:trPr>
          <w:trHeight w:hRule="exact" w:val="4074"/>
        </w:trPr>
        <w:tc>
          <w:tcPr>
            <w:tcW w:w="9648" w:type="dxa"/>
            <w:tcBorders>
              <w:top w:val="single" w:sz="4" w:space="0" w:color="auto"/>
              <w:bottom w:val="single" w:sz="4"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bookmarkStart w:id="14" w:name="IAIOQ3"/>
            <w:bookmarkStart w:id="15" w:name="Summary3"/>
            <w:r w:rsidRPr="00F01332">
              <w:rPr>
                <w:rFonts w:ascii="Arial" w:eastAsia="SimSun" w:hAnsi="Arial"/>
                <w:b/>
                <w:color w:val="000000"/>
                <w:spacing w:val="-5"/>
                <w:sz w:val="20"/>
                <w:szCs w:val="20"/>
                <w:lang w:eastAsia="zh-CN"/>
              </w:rPr>
              <w:t>What policy options have been considered, including any alternatives to regulation? Please justify preferred option (further details in Evidence Base)</w:t>
            </w:r>
            <w:bookmarkEnd w:id="14"/>
          </w:p>
          <w:p w:rsidR="00AB65E9" w:rsidRPr="0057472C" w:rsidRDefault="00AB65E9" w:rsidP="00F01332">
            <w:pPr>
              <w:numPr>
                <w:ilvl w:val="0"/>
                <w:numId w:val="6"/>
              </w:numPr>
              <w:spacing w:before="50" w:after="50" w:line="240" w:lineRule="auto"/>
              <w:ind w:right="113"/>
              <w:rPr>
                <w:rFonts w:ascii="Arial" w:eastAsia="SimSun" w:hAnsi="Arial"/>
                <w:b/>
                <w:color w:val="000000"/>
                <w:spacing w:val="-5"/>
                <w:lang w:eastAsia="zh-CN"/>
              </w:rPr>
            </w:pPr>
            <w:r w:rsidRPr="0057472C">
              <w:rPr>
                <w:rFonts w:ascii="Arial" w:eastAsia="SimSun" w:hAnsi="Arial"/>
                <w:b/>
                <w:color w:val="000000"/>
                <w:spacing w:val="-5"/>
                <w:u w:val="single"/>
                <w:lang w:eastAsia="zh-CN"/>
              </w:rPr>
              <w:t>Do nothing</w:t>
            </w:r>
            <w:r w:rsidRPr="0057472C">
              <w:rPr>
                <w:rFonts w:ascii="Arial" w:eastAsia="SimSun" w:hAnsi="Arial"/>
                <w:b/>
                <w:color w:val="000000"/>
                <w:spacing w:val="-5"/>
                <w:lang w:eastAsia="zh-CN"/>
              </w:rPr>
              <w:t xml:space="preserve"> </w:t>
            </w:r>
            <w:r w:rsidRPr="0057472C">
              <w:rPr>
                <w:rFonts w:ascii="Arial" w:eastAsia="SimSun" w:hAnsi="Arial"/>
                <w:color w:val="000000"/>
                <w:spacing w:val="-5"/>
                <w:lang w:eastAsia="zh-CN"/>
              </w:rPr>
              <w:t xml:space="preserve">– this would not address the market failure identified by the OFT and Professor </w:t>
            </w:r>
            <w:proofErr w:type="spellStart"/>
            <w:r w:rsidRPr="0057472C">
              <w:rPr>
                <w:rFonts w:ascii="Arial" w:eastAsia="SimSun" w:hAnsi="Arial"/>
                <w:color w:val="000000"/>
                <w:spacing w:val="-5"/>
                <w:lang w:eastAsia="zh-CN"/>
              </w:rPr>
              <w:t>Kempson</w:t>
            </w:r>
            <w:proofErr w:type="spellEnd"/>
            <w:r w:rsidRPr="0057472C">
              <w:rPr>
                <w:rFonts w:ascii="Arial" w:eastAsia="SimSun" w:hAnsi="Arial"/>
                <w:color w:val="000000"/>
                <w:spacing w:val="-5"/>
                <w:lang w:eastAsia="zh-CN"/>
              </w:rPr>
              <w:t>.</w:t>
            </w:r>
          </w:p>
          <w:p w:rsidR="00AB65E9" w:rsidRPr="0057472C" w:rsidRDefault="00AB65E9" w:rsidP="00F01332">
            <w:pPr>
              <w:numPr>
                <w:ilvl w:val="0"/>
                <w:numId w:val="6"/>
              </w:numPr>
              <w:spacing w:before="50" w:after="50" w:line="240" w:lineRule="auto"/>
              <w:ind w:right="113"/>
              <w:rPr>
                <w:rFonts w:ascii="Arial" w:eastAsia="SimSun" w:hAnsi="Arial"/>
                <w:b/>
                <w:color w:val="000000"/>
                <w:spacing w:val="-5"/>
                <w:lang w:eastAsia="zh-CN"/>
              </w:rPr>
            </w:pPr>
            <w:r w:rsidRPr="0057472C">
              <w:rPr>
                <w:rFonts w:ascii="Arial" w:eastAsia="SimSun" w:hAnsi="Arial"/>
                <w:b/>
                <w:color w:val="000000"/>
                <w:spacing w:val="-5"/>
                <w:u w:val="single"/>
                <w:lang w:eastAsia="zh-CN"/>
              </w:rPr>
              <w:t>Option 1:</w:t>
            </w:r>
            <w:r w:rsidRPr="0057472C">
              <w:rPr>
                <w:rFonts w:ascii="Arial" w:eastAsia="SimSun" w:hAnsi="Arial"/>
                <w:color w:val="000000"/>
                <w:spacing w:val="-5"/>
                <w:lang w:eastAsia="zh-CN"/>
              </w:rPr>
              <w:t xml:space="preserve">  </w:t>
            </w:r>
            <w:r w:rsidRPr="0057472C">
              <w:rPr>
                <w:rFonts w:ascii="Arial" w:eastAsia="SimSun" w:hAnsi="Arial"/>
                <w:b/>
                <w:color w:val="000000"/>
                <w:spacing w:val="-5"/>
                <w:lang w:eastAsia="zh-CN"/>
              </w:rPr>
              <w:t>Package of measures</w:t>
            </w:r>
            <w:r w:rsidRPr="0057472C">
              <w:rPr>
                <w:rFonts w:ascii="Arial" w:eastAsia="SimSun" w:hAnsi="Arial"/>
                <w:color w:val="000000"/>
                <w:spacing w:val="-5"/>
                <w:lang w:eastAsia="zh-CN"/>
              </w:rPr>
              <w:t xml:space="preserve"> to address the fee structure and regulatory regime. These aim to change the statutory basis for an IP’s remuneration where unsecured creditors have control and explicitly bring fee complaints within the current complaints process. </w:t>
            </w:r>
            <w:r w:rsidRPr="0057472C">
              <w:rPr>
                <w:rFonts w:ascii="Arial" w:eastAsia="SimSun" w:hAnsi="Arial"/>
                <w:b/>
                <w:color w:val="000000"/>
                <w:spacing w:val="-5"/>
                <w:lang w:eastAsia="zh-CN"/>
              </w:rPr>
              <w:t xml:space="preserve">This is our preferred option as it addresses the market failure and is consistent with Professor </w:t>
            </w:r>
            <w:proofErr w:type="spellStart"/>
            <w:r w:rsidRPr="0057472C">
              <w:rPr>
                <w:rFonts w:ascii="Arial" w:eastAsia="SimSun" w:hAnsi="Arial"/>
                <w:b/>
                <w:color w:val="000000"/>
                <w:spacing w:val="-5"/>
                <w:lang w:eastAsia="zh-CN"/>
              </w:rPr>
              <w:t>Kempson’s</w:t>
            </w:r>
            <w:proofErr w:type="spellEnd"/>
            <w:r w:rsidRPr="0057472C">
              <w:rPr>
                <w:rFonts w:ascii="Arial" w:eastAsia="SimSun" w:hAnsi="Arial"/>
                <w:b/>
                <w:color w:val="000000"/>
                <w:spacing w:val="-5"/>
                <w:lang w:eastAsia="zh-CN"/>
              </w:rPr>
              <w:t xml:space="preserve"> recommendations.</w:t>
            </w:r>
          </w:p>
          <w:p w:rsidR="00AB65E9" w:rsidRPr="0057472C" w:rsidRDefault="00AB65E9" w:rsidP="00F01332">
            <w:pPr>
              <w:numPr>
                <w:ilvl w:val="0"/>
                <w:numId w:val="6"/>
              </w:numPr>
              <w:spacing w:before="50" w:after="50" w:line="240" w:lineRule="auto"/>
              <w:ind w:right="113"/>
              <w:rPr>
                <w:rFonts w:ascii="Arial" w:eastAsia="SimSun" w:hAnsi="Arial"/>
                <w:b/>
                <w:color w:val="000000"/>
                <w:spacing w:val="-5"/>
                <w:lang w:eastAsia="zh-CN"/>
              </w:rPr>
            </w:pPr>
            <w:r w:rsidRPr="0057472C">
              <w:rPr>
                <w:rFonts w:ascii="Arial" w:eastAsia="SimSun" w:hAnsi="Arial"/>
                <w:b/>
                <w:color w:val="000000"/>
                <w:spacing w:val="-5"/>
                <w:u w:val="single"/>
                <w:lang w:eastAsia="zh-CN"/>
              </w:rPr>
              <w:t>Option 2:</w:t>
            </w:r>
            <w:r w:rsidRPr="0057472C">
              <w:rPr>
                <w:rFonts w:ascii="Arial" w:eastAsia="SimSun" w:hAnsi="Arial"/>
                <w:color w:val="000000"/>
                <w:spacing w:val="-5"/>
                <w:lang w:eastAsia="zh-CN"/>
              </w:rPr>
              <w:t xml:space="preserve"> </w:t>
            </w:r>
            <w:r w:rsidRPr="0057472C">
              <w:rPr>
                <w:rFonts w:ascii="Arial" w:eastAsia="SimSun" w:hAnsi="Arial"/>
                <w:b/>
                <w:color w:val="000000"/>
                <w:spacing w:val="-5"/>
                <w:lang w:eastAsia="zh-CN"/>
              </w:rPr>
              <w:t>Alternatives to regulation</w:t>
            </w:r>
            <w:r w:rsidRPr="0057472C">
              <w:rPr>
                <w:rFonts w:ascii="Arial" w:eastAsia="SimSun" w:hAnsi="Arial"/>
                <w:color w:val="000000"/>
                <w:spacing w:val="-5"/>
                <w:lang w:eastAsia="zh-CN"/>
              </w:rPr>
              <w:t>. Work with insolvency professionals to introduce a voluntary code to change the basis for an IP’s remuneration. We would also work with the regulatory bodies for IPs to draw up a voluntary code ensuring that they deal with complaints about fees.</w:t>
            </w:r>
          </w:p>
          <w:p w:rsidR="00AB65E9" w:rsidRPr="00F01332" w:rsidRDefault="00AB65E9" w:rsidP="0057472C">
            <w:pPr>
              <w:spacing w:before="50" w:after="50" w:line="240" w:lineRule="auto"/>
              <w:ind w:left="473" w:right="113"/>
              <w:rPr>
                <w:rFonts w:ascii="Arial" w:eastAsia="SimSun" w:hAnsi="Arial"/>
                <w:spacing w:val="-5"/>
                <w:lang w:eastAsia="zh-CN"/>
              </w:rPr>
            </w:pPr>
          </w:p>
        </w:tc>
      </w:tr>
    </w:tbl>
    <w:p w:rsidR="00AB65E9" w:rsidRPr="00F01332" w:rsidRDefault="00AB65E9" w:rsidP="00F01332">
      <w:pPr>
        <w:spacing w:after="0" w:line="40" w:lineRule="exact"/>
        <w:rPr>
          <w:rFonts w:ascii="Arial" w:eastAsia="SimSun" w:hAnsi="Arial"/>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5"/>
      </w:tblGrid>
      <w:tr w:rsidR="00AB65E9" w:rsidRPr="000F2B33" w:rsidTr="0057472C">
        <w:tc>
          <w:tcPr>
            <w:tcW w:w="5000" w:type="pct"/>
          </w:tcPr>
          <w:p w:rsidR="00AB65E9" w:rsidRPr="00F01332" w:rsidRDefault="00AB65E9" w:rsidP="00E62250">
            <w:pPr>
              <w:spacing w:before="50" w:after="50" w:line="240" w:lineRule="auto"/>
              <w:ind w:left="113" w:right="113"/>
              <w:rPr>
                <w:rFonts w:ascii="Arial" w:eastAsia="SimSun" w:hAnsi="Arial"/>
                <w:color w:val="000000"/>
                <w:spacing w:val="-5"/>
                <w:lang w:eastAsia="zh-CN"/>
              </w:rPr>
            </w:pPr>
            <w:r w:rsidRPr="00F01332">
              <w:rPr>
                <w:rFonts w:ascii="Arial" w:eastAsia="SimSun" w:hAnsi="Arial"/>
                <w:b/>
                <w:color w:val="000000"/>
                <w:spacing w:val="-5"/>
                <w:sz w:val="20"/>
                <w:szCs w:val="20"/>
                <w:lang w:eastAsia="zh-CN"/>
              </w:rPr>
              <w:lastRenderedPageBreak/>
              <w:t xml:space="preserve">Will the policy be reviewed?  </w:t>
            </w:r>
            <w:r w:rsidRPr="00F01332">
              <w:rPr>
                <w:rFonts w:ascii="Arial" w:eastAsia="SimSun" w:hAnsi="Arial"/>
                <w:color w:val="000000"/>
                <w:spacing w:val="-5"/>
                <w:lang w:eastAsia="zh-CN"/>
              </w:rPr>
              <w:t xml:space="preserve">It </w:t>
            </w:r>
            <w:bookmarkStart w:id="16" w:name="IAPolicyReview"/>
            <w:r w:rsidR="00E62250">
              <w:rPr>
                <w:rFonts w:ascii="Arial" w:eastAsia="SimSun" w:hAnsi="Arial"/>
                <w:color w:val="000000"/>
                <w:spacing w:val="-5"/>
                <w:lang w:eastAsia="zh-CN"/>
              </w:rPr>
              <w:t>will</w:t>
            </w:r>
            <w:bookmarkEnd w:id="16"/>
            <w:r w:rsidRPr="00F01332">
              <w:rPr>
                <w:rFonts w:ascii="Arial" w:eastAsia="SimSun" w:hAnsi="Arial"/>
                <w:color w:val="000000"/>
                <w:spacing w:val="-5"/>
                <w:lang w:eastAsia="zh-CN"/>
              </w:rPr>
              <w:t xml:space="preserve"> be reviewed.</w:t>
            </w:r>
            <w:r w:rsidRPr="00F01332">
              <w:rPr>
                <w:rFonts w:ascii="Arial" w:eastAsia="SimSun" w:hAnsi="Arial"/>
                <w:b/>
                <w:color w:val="000000"/>
                <w:spacing w:val="-5"/>
                <w:lang w:eastAsia="zh-CN"/>
              </w:rPr>
              <w:t xml:space="preserve"> </w:t>
            </w:r>
            <w:r w:rsidRPr="00F01332">
              <w:rPr>
                <w:rFonts w:ascii="Arial" w:eastAsia="SimSun" w:hAnsi="Arial"/>
                <w:b/>
                <w:color w:val="000000"/>
                <w:spacing w:val="-5"/>
                <w:sz w:val="20"/>
                <w:szCs w:val="20"/>
                <w:lang w:eastAsia="zh-CN"/>
              </w:rPr>
              <w:t xml:space="preserve"> If applicable, set review date:  </w:t>
            </w:r>
            <w:r w:rsidR="00E62250">
              <w:rPr>
                <w:rFonts w:ascii="Arial" w:eastAsia="SimSun" w:hAnsi="Arial"/>
                <w:color w:val="000000"/>
                <w:spacing w:val="-5"/>
                <w:lang w:eastAsia="zh-CN"/>
              </w:rPr>
              <w:t>04/2018</w:t>
            </w:r>
          </w:p>
        </w:tc>
      </w:tr>
    </w:tbl>
    <w:p w:rsidR="00AB65E9" w:rsidRPr="00F01332" w:rsidRDefault="00AB65E9" w:rsidP="00F01332">
      <w:pPr>
        <w:spacing w:after="0" w:line="240" w:lineRule="auto"/>
        <w:rPr>
          <w:rFonts w:ascii="Arial" w:hAnsi="Arial"/>
          <w:vanish/>
          <w:sz w:val="24"/>
          <w:szCs w:val="24"/>
        </w:rPr>
      </w:pPr>
      <w:bookmarkStart w:id="17" w:name="Summary4"/>
      <w:bookmarkEnd w:id="15"/>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6"/>
        <w:gridCol w:w="983"/>
        <w:gridCol w:w="983"/>
        <w:gridCol w:w="983"/>
        <w:gridCol w:w="348"/>
        <w:gridCol w:w="635"/>
        <w:gridCol w:w="983"/>
      </w:tblGrid>
      <w:tr w:rsidR="00AB65E9" w:rsidRPr="000F2B33" w:rsidTr="0057472C">
        <w:trPr>
          <w:trHeight w:hRule="exact" w:val="340"/>
        </w:trPr>
        <w:tc>
          <w:tcPr>
            <w:tcW w:w="7252" w:type="dxa"/>
            <w:gridSpan w:val="3"/>
            <w:shd w:val="clear" w:color="auto" w:fill="E0E0E0"/>
            <w:vAlign w:val="center"/>
          </w:tcPr>
          <w:p w:rsidR="00AB65E9" w:rsidRPr="00F01332" w:rsidRDefault="00AB65E9" w:rsidP="00F01332">
            <w:pPr>
              <w:spacing w:after="0" w:line="240" w:lineRule="auto"/>
              <w:ind w:right="113"/>
              <w:rPr>
                <w:rFonts w:ascii="Arial" w:eastAsia="SimSun" w:hAnsi="Arial"/>
                <w:spacing w:val="-5"/>
                <w:sz w:val="20"/>
                <w:szCs w:val="20"/>
                <w:lang w:eastAsia="zh-CN"/>
              </w:rPr>
            </w:pPr>
            <w:r w:rsidRPr="00F01332">
              <w:rPr>
                <w:rFonts w:ascii="Arial" w:eastAsia="SimSun" w:hAnsi="Arial"/>
                <w:iCs/>
                <w:spacing w:val="-5"/>
                <w:sz w:val="20"/>
                <w:szCs w:val="20"/>
                <w:lang w:eastAsia="zh-CN"/>
              </w:rPr>
              <w:t>Does implementation go beyond minimum EU requirements?</w:t>
            </w:r>
          </w:p>
        </w:tc>
        <w:tc>
          <w:tcPr>
            <w:tcW w:w="2949" w:type="dxa"/>
            <w:gridSpan w:val="4"/>
            <w:shd w:val="clear" w:color="auto" w:fill="E0E0E0"/>
            <w:vAlign w:val="center"/>
          </w:tcPr>
          <w:p w:rsidR="00AB65E9" w:rsidRPr="00F01332" w:rsidRDefault="00E62250" w:rsidP="00F01332">
            <w:pPr>
              <w:spacing w:after="0" w:line="240" w:lineRule="auto"/>
              <w:ind w:left="113" w:right="113"/>
              <w:rPr>
                <w:rFonts w:ascii="Arial" w:eastAsia="SimSun" w:hAnsi="Arial"/>
                <w:spacing w:val="-5"/>
                <w:sz w:val="20"/>
                <w:szCs w:val="20"/>
                <w:lang w:eastAsia="zh-CN"/>
              </w:rPr>
            </w:pPr>
            <w:r>
              <w:rPr>
                <w:rFonts w:ascii="Arial" w:eastAsia="SimSun" w:hAnsi="Arial"/>
                <w:spacing w:val="-5"/>
                <w:sz w:val="20"/>
                <w:szCs w:val="20"/>
                <w:lang w:eastAsia="zh-CN"/>
              </w:rPr>
              <w:t>No</w:t>
            </w:r>
          </w:p>
        </w:tc>
      </w:tr>
      <w:tr w:rsidR="00AB65E9" w:rsidRPr="000F2B33" w:rsidTr="0057472C">
        <w:trPr>
          <w:trHeight w:val="460"/>
        </w:trPr>
        <w:tc>
          <w:tcPr>
            <w:tcW w:w="5286" w:type="dxa"/>
            <w:shd w:val="clear" w:color="auto" w:fill="E0E0E0"/>
            <w:vAlign w:val="center"/>
          </w:tcPr>
          <w:p w:rsidR="00AB65E9" w:rsidRPr="00F01332" w:rsidRDefault="00AB65E9" w:rsidP="00F01332">
            <w:pPr>
              <w:spacing w:after="0" w:line="240" w:lineRule="auto"/>
              <w:ind w:left="113" w:right="113"/>
              <w:rPr>
                <w:rFonts w:ascii="Arial" w:eastAsia="SimSun" w:hAnsi="Arial"/>
                <w:spacing w:val="-5"/>
                <w:sz w:val="20"/>
                <w:szCs w:val="20"/>
                <w:lang w:eastAsia="zh-CN"/>
              </w:rPr>
            </w:pPr>
            <w:r w:rsidRPr="00F01332">
              <w:rPr>
                <w:rFonts w:ascii="Arial" w:eastAsia="SimSun" w:hAnsi="Arial" w:cs="Arial"/>
                <w:spacing w:val="-5"/>
                <w:sz w:val="20"/>
                <w:szCs w:val="20"/>
                <w:lang w:eastAsia="zh-CN"/>
              </w:rPr>
              <w:t>Are any of these organisations in scope? If Micros not exempted set out reason in Evidence Base.</w:t>
            </w:r>
          </w:p>
        </w:tc>
        <w:tc>
          <w:tcPr>
            <w:tcW w:w="983" w:type="dxa"/>
            <w:shd w:val="clear" w:color="auto" w:fill="E0E0E0"/>
            <w:vAlign w:val="center"/>
          </w:tcPr>
          <w:p w:rsidR="00AB4323" w:rsidRDefault="00AB65E9" w:rsidP="00AB4323">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Micro</w:t>
            </w:r>
          </w:p>
          <w:p w:rsidR="00AB65E9" w:rsidRPr="00F01332" w:rsidRDefault="00AB4323" w:rsidP="00AB4323">
            <w:pPr>
              <w:spacing w:after="0" w:line="240" w:lineRule="auto"/>
              <w:ind w:left="113" w:right="113"/>
              <w:rPr>
                <w:rFonts w:ascii="Arial" w:eastAsia="SimSun" w:hAnsi="Arial"/>
                <w:b/>
                <w:color w:val="000000"/>
                <w:spacing w:val="-5"/>
                <w:sz w:val="20"/>
                <w:szCs w:val="20"/>
                <w:lang w:eastAsia="zh-CN"/>
              </w:rPr>
            </w:pPr>
            <w:r>
              <w:rPr>
                <w:rFonts w:ascii="Arial" w:eastAsia="SimSun" w:hAnsi="Arial"/>
                <w:color w:val="000000"/>
                <w:spacing w:val="-5"/>
                <w:sz w:val="20"/>
                <w:szCs w:val="20"/>
                <w:lang w:eastAsia="zh-CN"/>
              </w:rPr>
              <w:t>Yes</w:t>
            </w:r>
          </w:p>
        </w:tc>
        <w:tc>
          <w:tcPr>
            <w:tcW w:w="983" w:type="dxa"/>
            <w:shd w:val="clear" w:color="auto" w:fill="E0E0E0"/>
            <w:vAlign w:val="center"/>
          </w:tcPr>
          <w:p w:rsidR="00AB65E9" w:rsidRPr="00F01332" w:rsidRDefault="00AB65E9" w:rsidP="00F01332">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&lt; 20</w:t>
            </w:r>
          </w:p>
          <w:p w:rsidR="00AB65E9" w:rsidRPr="00F01332" w:rsidRDefault="00AB65E9" w:rsidP="00AB4323">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 </w:t>
            </w:r>
            <w:bookmarkStart w:id="18" w:name="IACheck20"/>
            <w:r w:rsidR="00AB4323">
              <w:rPr>
                <w:rFonts w:ascii="Arial" w:eastAsia="SimSun" w:hAnsi="Arial"/>
                <w:b/>
                <w:color w:val="000000"/>
                <w:spacing w:val="-5"/>
                <w:sz w:val="20"/>
                <w:szCs w:val="20"/>
                <w:lang w:eastAsia="zh-CN"/>
              </w:rPr>
              <w:t>Yes</w:t>
            </w:r>
            <w:bookmarkEnd w:id="18"/>
          </w:p>
        </w:tc>
        <w:tc>
          <w:tcPr>
            <w:tcW w:w="983" w:type="dxa"/>
            <w:shd w:val="clear" w:color="auto" w:fill="E0E0E0"/>
            <w:vAlign w:val="center"/>
          </w:tcPr>
          <w:p w:rsidR="00AB4323" w:rsidRDefault="00AB65E9" w:rsidP="00AB4323">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Small</w:t>
            </w:r>
          </w:p>
          <w:p w:rsidR="00AB65E9" w:rsidRPr="00F01332" w:rsidRDefault="00AB4323" w:rsidP="00AB4323">
            <w:pPr>
              <w:spacing w:after="0" w:line="240" w:lineRule="auto"/>
              <w:ind w:left="113" w:right="113"/>
              <w:rPr>
                <w:rFonts w:ascii="Arial" w:eastAsia="SimSun" w:hAnsi="Arial"/>
                <w:b/>
                <w:color w:val="000000"/>
                <w:spacing w:val="-5"/>
                <w:sz w:val="20"/>
                <w:szCs w:val="20"/>
                <w:lang w:eastAsia="zh-CN"/>
              </w:rPr>
            </w:pPr>
            <w:r>
              <w:rPr>
                <w:rFonts w:ascii="Arial" w:eastAsia="SimSun" w:hAnsi="Arial"/>
                <w:color w:val="000000"/>
                <w:spacing w:val="-5"/>
                <w:sz w:val="20"/>
                <w:szCs w:val="20"/>
                <w:lang w:eastAsia="zh-CN"/>
              </w:rPr>
              <w:t>Yes</w:t>
            </w:r>
          </w:p>
        </w:tc>
        <w:tc>
          <w:tcPr>
            <w:tcW w:w="983" w:type="dxa"/>
            <w:gridSpan w:val="2"/>
            <w:shd w:val="clear" w:color="auto" w:fill="E0E0E0"/>
            <w:vAlign w:val="center"/>
          </w:tcPr>
          <w:p w:rsidR="00AB65E9" w:rsidRPr="00F01332" w:rsidRDefault="00AB65E9" w:rsidP="00AB4323">
            <w:pPr>
              <w:spacing w:after="0" w:line="240" w:lineRule="auto"/>
              <w:ind w:left="113" w:right="113"/>
              <w:rPr>
                <w:rFonts w:ascii="Arial" w:eastAsia="SimSun" w:hAnsi="Arial"/>
                <w:b/>
                <w:color w:val="000000"/>
                <w:spacing w:val="-5"/>
                <w:sz w:val="20"/>
                <w:szCs w:val="20"/>
                <w:lang w:eastAsia="zh-CN"/>
              </w:rPr>
            </w:pPr>
            <w:proofErr w:type="spellStart"/>
            <w:r w:rsidRPr="00F01332">
              <w:rPr>
                <w:rFonts w:ascii="Arial" w:eastAsia="SimSun" w:hAnsi="Arial"/>
                <w:b/>
                <w:color w:val="000000"/>
                <w:spacing w:val="-5"/>
                <w:sz w:val="20"/>
                <w:szCs w:val="20"/>
                <w:lang w:eastAsia="zh-CN"/>
              </w:rPr>
              <w:t>Medium</w:t>
            </w:r>
            <w:r w:rsidR="00AB4323">
              <w:rPr>
                <w:rFonts w:ascii="Arial" w:eastAsia="SimSun" w:hAnsi="Arial"/>
                <w:color w:val="000000"/>
                <w:spacing w:val="-5"/>
                <w:sz w:val="20"/>
                <w:szCs w:val="20"/>
                <w:lang w:eastAsia="zh-CN"/>
              </w:rPr>
              <w:t>Yes</w:t>
            </w:r>
            <w:proofErr w:type="spellEnd"/>
          </w:p>
        </w:tc>
        <w:tc>
          <w:tcPr>
            <w:tcW w:w="983" w:type="dxa"/>
            <w:shd w:val="clear" w:color="auto" w:fill="E0E0E0"/>
            <w:vAlign w:val="center"/>
          </w:tcPr>
          <w:p w:rsidR="00AB4323" w:rsidRDefault="00AB65E9" w:rsidP="00AB4323">
            <w:pPr>
              <w:spacing w:after="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Large</w:t>
            </w:r>
          </w:p>
          <w:p w:rsidR="00AB65E9" w:rsidRPr="00F01332" w:rsidRDefault="00AB4323" w:rsidP="00AB4323">
            <w:pPr>
              <w:spacing w:after="0" w:line="240" w:lineRule="auto"/>
              <w:ind w:left="113" w:right="113"/>
              <w:rPr>
                <w:rFonts w:ascii="Arial" w:eastAsia="SimSun" w:hAnsi="Arial"/>
                <w:b/>
                <w:color w:val="000000"/>
                <w:spacing w:val="-5"/>
                <w:sz w:val="20"/>
                <w:szCs w:val="20"/>
                <w:lang w:eastAsia="zh-CN"/>
              </w:rPr>
            </w:pPr>
            <w:r>
              <w:rPr>
                <w:rFonts w:ascii="Arial" w:eastAsia="SimSun" w:hAnsi="Arial"/>
                <w:color w:val="000000"/>
                <w:spacing w:val="-5"/>
                <w:sz w:val="20"/>
                <w:szCs w:val="20"/>
                <w:lang w:eastAsia="zh-CN"/>
              </w:rPr>
              <w:t>Yes</w:t>
            </w:r>
          </w:p>
        </w:tc>
      </w:tr>
      <w:tr w:rsidR="00AB65E9" w:rsidRPr="000F2B33" w:rsidTr="0057472C">
        <w:trPr>
          <w:trHeight w:hRule="exact" w:val="567"/>
        </w:trPr>
        <w:tc>
          <w:tcPr>
            <w:tcW w:w="7252" w:type="dxa"/>
            <w:gridSpan w:val="3"/>
            <w:shd w:val="clear" w:color="auto" w:fill="E0E0E0"/>
            <w:vAlign w:val="center"/>
          </w:tcPr>
          <w:p w:rsidR="00AB65E9" w:rsidRPr="00F01332" w:rsidRDefault="00AB65E9" w:rsidP="00F01332">
            <w:pPr>
              <w:spacing w:after="0" w:line="240" w:lineRule="auto"/>
              <w:ind w:left="113" w:right="113"/>
              <w:rPr>
                <w:rFonts w:ascii="Arial" w:hAnsi="Arial"/>
                <w:spacing w:val="-5"/>
                <w:sz w:val="16"/>
                <w:szCs w:val="16"/>
                <w:lang w:eastAsia="zh-CN"/>
              </w:rPr>
            </w:pPr>
            <w:r w:rsidRPr="00F01332">
              <w:rPr>
                <w:rFonts w:ascii="Arial" w:eastAsia="SimSun" w:hAnsi="Arial" w:cs="Arial"/>
                <w:spacing w:val="-5"/>
                <w:sz w:val="20"/>
                <w:szCs w:val="20"/>
                <w:lang w:eastAsia="zh-CN"/>
              </w:rPr>
              <w:t>What is the CO</w:t>
            </w:r>
            <w:r w:rsidRPr="00F01332">
              <w:rPr>
                <w:rFonts w:ascii="Arial" w:eastAsia="SimSun" w:hAnsi="Arial" w:cs="Arial"/>
                <w:spacing w:val="-5"/>
                <w:sz w:val="20"/>
                <w:szCs w:val="20"/>
                <w:vertAlign w:val="subscript"/>
                <w:lang w:eastAsia="zh-CN"/>
              </w:rPr>
              <w:t>2</w:t>
            </w:r>
            <w:r w:rsidRPr="00F01332">
              <w:rPr>
                <w:rFonts w:ascii="Arial" w:eastAsia="SimSun" w:hAnsi="Arial" w:cs="Arial"/>
                <w:spacing w:val="-5"/>
                <w:sz w:val="20"/>
                <w:szCs w:val="20"/>
                <w:lang w:eastAsia="zh-CN"/>
              </w:rPr>
              <w:t xml:space="preserve"> equivalent change in greenhouse gas emissions? </w:t>
            </w:r>
            <w:r w:rsidRPr="00F01332">
              <w:rPr>
                <w:rFonts w:ascii="Arial" w:eastAsia="SimSun" w:hAnsi="Arial" w:cs="Arial"/>
                <w:spacing w:val="-5"/>
                <w:sz w:val="20"/>
                <w:szCs w:val="20"/>
                <w:lang w:eastAsia="zh-CN"/>
              </w:rPr>
              <w:br/>
              <w:t>(Million tonnes CO</w:t>
            </w:r>
            <w:r w:rsidRPr="00F01332">
              <w:rPr>
                <w:rFonts w:ascii="Arial" w:eastAsia="SimSun" w:hAnsi="Arial" w:cs="Arial"/>
                <w:spacing w:val="-5"/>
                <w:sz w:val="20"/>
                <w:szCs w:val="20"/>
                <w:vertAlign w:val="subscript"/>
                <w:lang w:eastAsia="zh-CN"/>
              </w:rPr>
              <w:t>2</w:t>
            </w:r>
            <w:r w:rsidRPr="00F01332">
              <w:rPr>
                <w:rFonts w:ascii="Arial" w:eastAsia="SimSun" w:hAnsi="Arial" w:cs="Arial"/>
                <w:spacing w:val="-5"/>
                <w:sz w:val="20"/>
                <w:szCs w:val="20"/>
                <w:lang w:eastAsia="zh-CN"/>
              </w:rPr>
              <w:t xml:space="preserve"> equivalent)</w:t>
            </w:r>
            <w:r w:rsidRPr="00F01332">
              <w:rPr>
                <w:rFonts w:ascii="Arial" w:eastAsia="SimSun" w:hAnsi="Arial"/>
                <w:sz w:val="18"/>
                <w:szCs w:val="20"/>
                <w:lang w:eastAsia="zh-CN"/>
              </w:rPr>
              <w:t xml:space="preserve">  </w:t>
            </w:r>
            <w:r w:rsidR="00AB4323">
              <w:rPr>
                <w:rFonts w:ascii="Arial" w:eastAsia="SimSun" w:hAnsi="Arial"/>
                <w:sz w:val="18"/>
                <w:szCs w:val="20"/>
                <w:lang w:eastAsia="zh-CN"/>
              </w:rPr>
              <w:t>N/A</w:t>
            </w:r>
          </w:p>
        </w:tc>
        <w:tc>
          <w:tcPr>
            <w:tcW w:w="1331" w:type="dxa"/>
            <w:gridSpan w:val="2"/>
            <w:shd w:val="clear" w:color="auto" w:fill="E0E0E0"/>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Traded:   </w:t>
            </w:r>
            <w:r w:rsidRPr="00F01332">
              <w:rPr>
                <w:rFonts w:ascii="Arial" w:eastAsia="SimSun" w:hAnsi="Arial"/>
                <w:b/>
                <w:color w:val="000000"/>
                <w:spacing w:val="-5"/>
                <w:sz w:val="20"/>
                <w:szCs w:val="20"/>
                <w:lang w:eastAsia="zh-CN"/>
              </w:rPr>
              <w:br/>
            </w:r>
            <w:bookmarkStart w:id="19" w:name="IACO2Traded"/>
            <w:r w:rsidRPr="00F01332">
              <w:rPr>
                <w:rFonts w:ascii="Arial" w:eastAsia="SimSun" w:hAnsi="Arial"/>
                <w:color w:val="000000"/>
                <w:spacing w:val="-5"/>
                <w:sz w:val="20"/>
                <w:szCs w:val="20"/>
                <w:lang w:eastAsia="zh-CN"/>
              </w:rPr>
              <w:fldChar w:fldCharType="begin">
                <w:ffData>
                  <w:name w:val="IACO2Traded"/>
                  <w:enabled/>
                  <w:calcOnExit w:val="0"/>
                  <w:textInput>
                    <w:maxLength w:val="8"/>
                  </w:textInput>
                </w:ffData>
              </w:fldChar>
            </w:r>
            <w:r w:rsidRPr="00F01332">
              <w:rPr>
                <w:rFonts w:ascii="Arial" w:eastAsia="SimSun" w:hAnsi="Arial"/>
                <w:color w:val="000000"/>
                <w:spacing w:val="-5"/>
                <w:sz w:val="20"/>
                <w:szCs w:val="20"/>
                <w:lang w:eastAsia="zh-CN"/>
              </w:rPr>
              <w:instrText xml:space="preserve"> FORMTEXT </w:instrText>
            </w:r>
            <w:r w:rsidRPr="00F01332">
              <w:rPr>
                <w:rFonts w:ascii="Arial" w:eastAsia="SimSun" w:hAnsi="Arial"/>
                <w:color w:val="000000"/>
                <w:spacing w:val="-5"/>
                <w:sz w:val="20"/>
                <w:szCs w:val="20"/>
                <w:lang w:eastAsia="zh-CN"/>
              </w:rPr>
            </w:r>
            <w:r w:rsidRPr="00F01332">
              <w:rPr>
                <w:rFonts w:ascii="Arial" w:eastAsia="SimSun" w:hAnsi="Arial"/>
                <w:color w:val="000000"/>
                <w:spacing w:val="-5"/>
                <w:sz w:val="20"/>
                <w:szCs w:val="20"/>
                <w:lang w:eastAsia="zh-CN"/>
              </w:rPr>
              <w:fldChar w:fldCharType="separate"/>
            </w:r>
            <w:r w:rsidRPr="00F01332">
              <w:rPr>
                <w:rFonts w:ascii="Arial" w:eastAsia="SimSun" w:hAnsi="Arial"/>
                <w:color w:val="000000"/>
                <w:spacing w:val="-5"/>
                <w:sz w:val="20"/>
                <w:szCs w:val="20"/>
                <w:lang w:eastAsia="zh-CN"/>
              </w:rPr>
              <w:t> </w:t>
            </w:r>
            <w:r w:rsidRPr="00F01332">
              <w:rPr>
                <w:rFonts w:ascii="Arial" w:eastAsia="SimSun" w:hAnsi="Arial"/>
                <w:color w:val="000000"/>
                <w:spacing w:val="-5"/>
                <w:sz w:val="20"/>
                <w:szCs w:val="20"/>
                <w:lang w:eastAsia="zh-CN"/>
              </w:rPr>
              <w:t> </w:t>
            </w:r>
            <w:r w:rsidRPr="00F01332">
              <w:rPr>
                <w:rFonts w:ascii="Arial" w:eastAsia="SimSun" w:hAnsi="Arial"/>
                <w:color w:val="000000"/>
                <w:spacing w:val="-5"/>
                <w:sz w:val="20"/>
                <w:szCs w:val="20"/>
                <w:lang w:eastAsia="zh-CN"/>
              </w:rPr>
              <w:t> </w:t>
            </w:r>
            <w:r w:rsidRPr="00F01332">
              <w:rPr>
                <w:rFonts w:ascii="Arial" w:eastAsia="SimSun" w:hAnsi="Arial"/>
                <w:color w:val="000000"/>
                <w:spacing w:val="-5"/>
                <w:sz w:val="20"/>
                <w:szCs w:val="20"/>
                <w:lang w:eastAsia="zh-CN"/>
              </w:rPr>
              <w:t> </w:t>
            </w:r>
            <w:r w:rsidRPr="00F01332">
              <w:rPr>
                <w:rFonts w:ascii="Arial" w:eastAsia="SimSun" w:hAnsi="Arial"/>
                <w:color w:val="000000"/>
                <w:spacing w:val="-5"/>
                <w:sz w:val="20"/>
                <w:szCs w:val="20"/>
                <w:lang w:eastAsia="zh-CN"/>
              </w:rPr>
              <w:t> </w:t>
            </w:r>
            <w:r w:rsidRPr="00F01332">
              <w:rPr>
                <w:rFonts w:ascii="Arial" w:eastAsia="SimSun" w:hAnsi="Arial"/>
                <w:color w:val="000000"/>
                <w:spacing w:val="-5"/>
                <w:sz w:val="20"/>
                <w:szCs w:val="20"/>
                <w:lang w:eastAsia="zh-CN"/>
              </w:rPr>
              <w:fldChar w:fldCharType="end"/>
            </w:r>
            <w:bookmarkEnd w:id="19"/>
          </w:p>
        </w:tc>
        <w:tc>
          <w:tcPr>
            <w:tcW w:w="1618" w:type="dxa"/>
            <w:gridSpan w:val="2"/>
            <w:shd w:val="clear" w:color="auto" w:fill="E0E0E0"/>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Non-traded:   </w:t>
            </w:r>
            <w:r w:rsidRPr="00F01332">
              <w:rPr>
                <w:rFonts w:ascii="Arial" w:eastAsia="SimSun" w:hAnsi="Arial"/>
                <w:b/>
                <w:color w:val="000000"/>
                <w:spacing w:val="-5"/>
                <w:sz w:val="20"/>
                <w:szCs w:val="20"/>
                <w:lang w:eastAsia="zh-CN"/>
              </w:rPr>
              <w:br/>
            </w:r>
            <w:bookmarkStart w:id="20" w:name="IACO2NonTraded"/>
            <w:r w:rsidRPr="00F01332">
              <w:rPr>
                <w:rFonts w:ascii="Arial" w:eastAsia="SimSun" w:hAnsi="Arial"/>
                <w:color w:val="000000"/>
                <w:spacing w:val="-5"/>
                <w:sz w:val="20"/>
                <w:szCs w:val="20"/>
                <w:lang w:eastAsia="zh-CN"/>
              </w:rPr>
              <w:fldChar w:fldCharType="begin">
                <w:ffData>
                  <w:name w:val="IACO2NonTraded"/>
                  <w:enabled/>
                  <w:calcOnExit w:val="0"/>
                  <w:textInput>
                    <w:maxLength w:val="8"/>
                  </w:textInput>
                </w:ffData>
              </w:fldChar>
            </w:r>
            <w:r w:rsidRPr="00F01332">
              <w:rPr>
                <w:rFonts w:ascii="Arial" w:eastAsia="SimSun" w:hAnsi="Arial"/>
                <w:color w:val="000000"/>
                <w:spacing w:val="-5"/>
                <w:sz w:val="20"/>
                <w:szCs w:val="20"/>
                <w:lang w:eastAsia="zh-CN"/>
              </w:rPr>
              <w:instrText xml:space="preserve"> FORMTEXT </w:instrText>
            </w:r>
            <w:r w:rsidRPr="00F01332">
              <w:rPr>
                <w:rFonts w:ascii="Arial" w:eastAsia="SimSun" w:hAnsi="Arial"/>
                <w:color w:val="000000"/>
                <w:spacing w:val="-5"/>
                <w:sz w:val="20"/>
                <w:szCs w:val="20"/>
                <w:lang w:eastAsia="zh-CN"/>
              </w:rPr>
            </w:r>
            <w:r w:rsidRPr="00F01332">
              <w:rPr>
                <w:rFonts w:ascii="Arial" w:eastAsia="SimSun" w:hAnsi="Arial"/>
                <w:color w:val="000000"/>
                <w:spacing w:val="-5"/>
                <w:sz w:val="20"/>
                <w:szCs w:val="20"/>
                <w:lang w:eastAsia="zh-CN"/>
              </w:rPr>
              <w:fldChar w:fldCharType="separate"/>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color w:val="000000"/>
                <w:spacing w:val="-5"/>
                <w:sz w:val="20"/>
                <w:szCs w:val="20"/>
                <w:lang w:eastAsia="zh-CN"/>
              </w:rPr>
              <w:fldChar w:fldCharType="end"/>
            </w:r>
            <w:bookmarkEnd w:id="20"/>
          </w:p>
        </w:tc>
      </w:tr>
    </w:tbl>
    <w:p w:rsidR="00AB65E9" w:rsidRPr="00F01332" w:rsidRDefault="00AB65E9" w:rsidP="00F01332">
      <w:pPr>
        <w:spacing w:after="0" w:line="240" w:lineRule="auto"/>
        <w:ind w:right="284"/>
        <w:rPr>
          <w:rFonts w:ascii="Arial" w:eastAsia="SimSun" w:hAnsi="Arial"/>
          <w:b/>
          <w:i/>
          <w:spacing w:val="-5"/>
          <w:sz w:val="20"/>
          <w:szCs w:val="20"/>
          <w:lang w:eastAsia="zh-CN"/>
        </w:rPr>
      </w:pPr>
      <w:bookmarkStart w:id="21" w:name="SignOfftext"/>
      <w:bookmarkEnd w:id="17"/>
      <w:r w:rsidRPr="00F01332">
        <w:rPr>
          <w:rFonts w:ascii="Arial" w:eastAsia="SimSun" w:hAnsi="Arial"/>
          <w:b/>
          <w:i/>
          <w:spacing w:val="-5"/>
          <w:sz w:val="20"/>
          <w:szCs w:val="20"/>
          <w:lang w:eastAsia="zh-CN"/>
        </w:rPr>
        <w:t>I have read the Impact Assessment and I am satisfied that, given the available evidence, it represents a reasonable view of the likely costs, benefits and impact of the leading options.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AB65E9" w:rsidRPr="000F2B33" w:rsidTr="0057472C">
        <w:trPr>
          <w:cantSplit/>
          <w:trHeight w:hRule="exact" w:val="767"/>
        </w:trPr>
        <w:tc>
          <w:tcPr>
            <w:tcW w:w="2350" w:type="pct"/>
            <w:vAlign w:val="bottom"/>
          </w:tcPr>
          <w:p w:rsidR="00AB65E9" w:rsidRPr="00F01332" w:rsidRDefault="00AB65E9" w:rsidP="0055000C">
            <w:pPr>
              <w:tabs>
                <w:tab w:val="left" w:leader="dot" w:pos="7380"/>
                <w:tab w:val="right" w:leader="dot" w:pos="10206"/>
              </w:tabs>
              <w:spacing w:after="0" w:line="240" w:lineRule="auto"/>
              <w:ind w:right="113"/>
              <w:rPr>
                <w:rFonts w:ascii="Arial" w:eastAsia="SimSun" w:hAnsi="Arial"/>
                <w:spacing w:val="-5"/>
                <w:szCs w:val="20"/>
                <w:lang w:eastAsia="zh-CN"/>
              </w:rPr>
            </w:pPr>
            <w:r w:rsidRPr="00F01332">
              <w:rPr>
                <w:rFonts w:ascii="Arial" w:eastAsia="SimSun" w:hAnsi="Arial"/>
                <w:spacing w:val="-5"/>
                <w:szCs w:val="20"/>
                <w:lang w:eastAsia="zh-CN"/>
              </w:rPr>
              <w:t xml:space="preserve">Signed by the responsible </w:t>
            </w:r>
            <w:r w:rsidR="0055000C">
              <w:rPr>
                <w:rFonts w:ascii="Arial" w:eastAsia="SimSun" w:hAnsi="Arial"/>
                <w:spacing w:val="-5"/>
                <w:szCs w:val="20"/>
                <w:lang w:eastAsia="zh-CN"/>
              </w:rPr>
              <w:t>MINISTER</w:t>
            </w:r>
          </w:p>
        </w:tc>
        <w:tc>
          <w:tcPr>
            <w:tcW w:w="1318" w:type="pct"/>
            <w:tcBorders>
              <w:bottom w:val="dashSmallGap" w:sz="4" w:space="0" w:color="auto"/>
            </w:tcBorders>
            <w:vAlign w:val="bottom"/>
          </w:tcPr>
          <w:p w:rsidR="00AB65E9" w:rsidRPr="00F01332" w:rsidRDefault="0055000C" w:rsidP="00F01332">
            <w:pPr>
              <w:spacing w:after="0" w:line="240" w:lineRule="auto"/>
              <w:jc w:val="center"/>
              <w:rPr>
                <w:rFonts w:ascii="Arial" w:hAnsi="Arial"/>
                <w:sz w:val="24"/>
                <w:szCs w:val="24"/>
              </w:rPr>
            </w:pPr>
            <w:r>
              <w:rPr>
                <w:rFonts w:ascii="Arial" w:hAnsi="Arial"/>
                <w:sz w:val="24"/>
                <w:szCs w:val="24"/>
              </w:rPr>
              <w:t xml:space="preserve">Jenny </w:t>
            </w:r>
            <w:proofErr w:type="spellStart"/>
            <w:r>
              <w:rPr>
                <w:rFonts w:ascii="Arial" w:hAnsi="Arial"/>
                <w:sz w:val="24"/>
                <w:szCs w:val="24"/>
              </w:rPr>
              <w:t>Willott</w:t>
            </w:r>
            <w:proofErr w:type="spellEnd"/>
          </w:p>
        </w:tc>
        <w:tc>
          <w:tcPr>
            <w:tcW w:w="345" w:type="pct"/>
            <w:vAlign w:val="bottom"/>
          </w:tcPr>
          <w:p w:rsidR="00AB65E9" w:rsidRPr="00F01332" w:rsidRDefault="00AB65E9" w:rsidP="00F01332">
            <w:pPr>
              <w:tabs>
                <w:tab w:val="left" w:leader="dot" w:pos="7380"/>
                <w:tab w:val="right" w:leader="dot" w:pos="10206"/>
              </w:tabs>
              <w:spacing w:after="0" w:line="240" w:lineRule="auto"/>
              <w:ind w:right="113"/>
              <w:rPr>
                <w:rFonts w:ascii="Arial" w:eastAsia="SimSun" w:hAnsi="Arial"/>
                <w:spacing w:val="-5"/>
                <w:szCs w:val="20"/>
                <w:lang w:eastAsia="zh-CN"/>
              </w:rPr>
            </w:pPr>
            <w:r w:rsidRPr="00F01332">
              <w:rPr>
                <w:rFonts w:ascii="Arial" w:eastAsia="SimSun" w:hAnsi="Arial"/>
                <w:spacing w:val="-5"/>
                <w:szCs w:val="20"/>
                <w:lang w:eastAsia="zh-CN"/>
              </w:rPr>
              <w:t> Date:</w:t>
            </w:r>
          </w:p>
        </w:tc>
        <w:tc>
          <w:tcPr>
            <w:tcW w:w="988" w:type="pct"/>
            <w:tcBorders>
              <w:bottom w:val="dashSmallGap" w:sz="4" w:space="0" w:color="auto"/>
            </w:tcBorders>
            <w:vAlign w:val="bottom"/>
          </w:tcPr>
          <w:p w:rsidR="00AB65E9" w:rsidRPr="00F01332" w:rsidRDefault="0055000C" w:rsidP="00F01332">
            <w:pPr>
              <w:spacing w:after="0" w:line="240" w:lineRule="auto"/>
              <w:jc w:val="center"/>
              <w:rPr>
                <w:rFonts w:ascii="Arial" w:hAnsi="Arial"/>
              </w:rPr>
            </w:pPr>
            <w:bookmarkStart w:id="22" w:name="SigDate"/>
            <w:r>
              <w:rPr>
                <w:rFonts w:ascii="Arial" w:hAnsi="Arial"/>
              </w:rPr>
              <w:t>29 January 2014</w:t>
            </w:r>
            <w:r w:rsidR="00AB65E9" w:rsidRPr="00F01332">
              <w:rPr>
                <w:rFonts w:ascii="Arial" w:hAnsi="Arial"/>
              </w:rPr>
              <w:fldChar w:fldCharType="begin">
                <w:ffData>
                  <w:name w:val="SigDate"/>
                  <w:enabled/>
                  <w:calcOnExit w:val="0"/>
                  <w:textInput/>
                </w:ffData>
              </w:fldChar>
            </w:r>
            <w:r w:rsidR="00AB65E9" w:rsidRPr="00F01332">
              <w:rPr>
                <w:rFonts w:ascii="Arial" w:hAnsi="Arial"/>
              </w:rPr>
              <w:instrText xml:space="preserve"> FORMTEXT </w:instrText>
            </w:r>
            <w:r w:rsidR="00AB65E9" w:rsidRPr="00F01332">
              <w:rPr>
                <w:rFonts w:ascii="Arial" w:hAnsi="Arial"/>
              </w:rPr>
            </w:r>
            <w:r w:rsidR="00AB65E9" w:rsidRPr="00F01332">
              <w:rPr>
                <w:rFonts w:ascii="Arial" w:hAnsi="Arial"/>
              </w:rPr>
              <w:fldChar w:fldCharType="separate"/>
            </w:r>
            <w:r w:rsidR="00AB65E9" w:rsidRPr="00F01332">
              <w:rPr>
                <w:rFonts w:ascii="Arial" w:hAnsi="Arial"/>
                <w:noProof/>
              </w:rPr>
              <w:t> </w:t>
            </w:r>
            <w:r w:rsidR="00AB65E9" w:rsidRPr="00F01332">
              <w:rPr>
                <w:rFonts w:ascii="Arial" w:hAnsi="Arial"/>
                <w:noProof/>
              </w:rPr>
              <w:t> </w:t>
            </w:r>
            <w:r w:rsidR="00AB65E9" w:rsidRPr="00F01332">
              <w:rPr>
                <w:rFonts w:ascii="Arial" w:hAnsi="Arial"/>
                <w:noProof/>
              </w:rPr>
              <w:t> </w:t>
            </w:r>
            <w:r w:rsidR="00AB65E9" w:rsidRPr="00F01332">
              <w:rPr>
                <w:rFonts w:ascii="Arial" w:hAnsi="Arial"/>
                <w:noProof/>
              </w:rPr>
              <w:t> </w:t>
            </w:r>
            <w:r w:rsidR="00AB65E9" w:rsidRPr="00F01332">
              <w:rPr>
                <w:rFonts w:ascii="Arial" w:hAnsi="Arial"/>
                <w:noProof/>
              </w:rPr>
              <w:t> </w:t>
            </w:r>
            <w:r w:rsidR="00AB65E9" w:rsidRPr="00F01332">
              <w:rPr>
                <w:rFonts w:ascii="Arial" w:hAnsi="Arial"/>
              </w:rPr>
              <w:fldChar w:fldCharType="end"/>
            </w:r>
            <w:bookmarkEnd w:id="22"/>
          </w:p>
        </w:tc>
      </w:tr>
      <w:bookmarkEnd w:id="21"/>
    </w:tbl>
    <w:p w:rsidR="00AB65E9" w:rsidRPr="00F01332" w:rsidRDefault="00AB65E9" w:rsidP="00F01332">
      <w:pPr>
        <w:keepNext/>
        <w:tabs>
          <w:tab w:val="right" w:pos="10206"/>
        </w:tabs>
        <w:spacing w:after="60" w:line="240" w:lineRule="auto"/>
        <w:outlineLvl w:val="0"/>
        <w:rPr>
          <w:rFonts w:ascii="Arial Bold" w:hAnsi="Arial Bold" w:cs="Arial"/>
          <w:b/>
          <w:bCs/>
          <w:spacing w:val="-4"/>
          <w:kern w:val="32"/>
          <w:sz w:val="32"/>
          <w:szCs w:val="32"/>
        </w:rPr>
        <w:sectPr w:rsidR="00AB65E9" w:rsidRPr="00F01332" w:rsidSect="00F01332">
          <w:headerReference w:type="default" r:id="rId9"/>
          <w:footerReference w:type="default" r:id="rId10"/>
          <w:footnotePr>
            <w:numRestart w:val="eachSect"/>
          </w:footnotePr>
          <w:pgSz w:w="11907" w:h="16840" w:code="9"/>
          <w:pgMar w:top="680" w:right="851" w:bottom="680" w:left="851" w:header="284" w:footer="284" w:gutter="0"/>
          <w:cols w:space="708"/>
          <w:docGrid w:linePitch="360"/>
        </w:sectPr>
      </w:pPr>
    </w:p>
    <w:p w:rsidR="00AB65E9" w:rsidRPr="00F01332" w:rsidRDefault="00AB65E9" w:rsidP="00F01332">
      <w:pPr>
        <w:keepNext/>
        <w:tabs>
          <w:tab w:val="right" w:pos="10206"/>
        </w:tabs>
        <w:spacing w:after="60" w:line="240" w:lineRule="auto"/>
        <w:outlineLvl w:val="0"/>
        <w:rPr>
          <w:rFonts w:ascii="Arial Bold" w:hAnsi="Arial Bold" w:cs="Arial"/>
          <w:b/>
          <w:bCs/>
          <w:spacing w:val="-4"/>
          <w:kern w:val="32"/>
          <w:sz w:val="32"/>
          <w:szCs w:val="32"/>
        </w:rPr>
      </w:pPr>
      <w:r w:rsidRPr="00F01332">
        <w:rPr>
          <w:rFonts w:ascii="Arial Bold" w:hAnsi="Arial Bold" w:cs="Arial"/>
          <w:b/>
          <w:bCs/>
          <w:spacing w:val="-4"/>
          <w:kern w:val="32"/>
          <w:sz w:val="32"/>
          <w:szCs w:val="32"/>
        </w:rPr>
        <w:lastRenderedPageBreak/>
        <w:t>Summary: Analysis &amp; Evidence</w:t>
      </w:r>
      <w:r w:rsidRPr="00F01332">
        <w:rPr>
          <w:rFonts w:ascii="Arial Bold" w:hAnsi="Arial Bold" w:cs="Arial"/>
          <w:b/>
          <w:bCs/>
          <w:spacing w:val="-4"/>
          <w:kern w:val="32"/>
          <w:sz w:val="32"/>
          <w:szCs w:val="32"/>
        </w:rPr>
        <w:tab/>
      </w:r>
      <w:r w:rsidRPr="00F01332">
        <w:rPr>
          <w:rFonts w:ascii="Arial" w:hAnsi="Arial" w:cs="Arial"/>
          <w:spacing w:val="-4"/>
          <w:kern w:val="32"/>
          <w:sz w:val="32"/>
          <w:szCs w:val="32"/>
        </w:rPr>
        <w:t>Policy Option 1</w:t>
      </w:r>
    </w:p>
    <w:p w:rsidR="00AB65E9" w:rsidRPr="00F01332" w:rsidRDefault="00AB65E9" w:rsidP="00F01332">
      <w:pPr>
        <w:spacing w:before="50" w:after="50" w:line="240" w:lineRule="auto"/>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Description:  </w:t>
      </w:r>
      <w:r w:rsidRPr="00F01332">
        <w:rPr>
          <w:rFonts w:ascii="Arial" w:eastAsia="SimSun" w:hAnsi="Arial"/>
          <w:color w:val="000000"/>
          <w:spacing w:val="-5"/>
          <w:sz w:val="20"/>
          <w:szCs w:val="20"/>
          <w:lang w:eastAsia="zh-CN"/>
        </w:rPr>
        <w:t xml:space="preserve">Regulatory changes to the structure for IP fees and to complaints handling process  </w:t>
      </w:r>
    </w:p>
    <w:p w:rsidR="00AB65E9" w:rsidRPr="00F01332" w:rsidRDefault="00AB65E9" w:rsidP="00F01332">
      <w:pPr>
        <w:spacing w:before="50" w:after="50" w:line="240" w:lineRule="auto"/>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AB65E9" w:rsidRPr="000F2B33" w:rsidTr="0057472C">
        <w:trPr>
          <w:trHeight w:hRule="exact" w:val="312"/>
        </w:trPr>
        <w:tc>
          <w:tcPr>
            <w:tcW w:w="1265" w:type="dxa"/>
            <w:vMerge w:val="restart"/>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Price Base Year  </w:t>
            </w:r>
            <w:r>
              <w:rPr>
                <w:rFonts w:ascii="Arial" w:eastAsia="SimSun" w:hAnsi="Arial"/>
                <w:color w:val="000000"/>
                <w:spacing w:val="-5"/>
                <w:sz w:val="20"/>
                <w:szCs w:val="20"/>
                <w:lang w:eastAsia="zh-CN"/>
              </w:rPr>
              <w:t>2013</w:t>
            </w:r>
          </w:p>
        </w:tc>
        <w:tc>
          <w:tcPr>
            <w:tcW w:w="1260" w:type="dxa"/>
            <w:vMerge w:val="restart"/>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PV Base Year  </w:t>
            </w:r>
            <w:r>
              <w:rPr>
                <w:rFonts w:ascii="Arial" w:eastAsia="SimSun" w:hAnsi="Arial"/>
                <w:color w:val="000000"/>
                <w:spacing w:val="-5"/>
                <w:sz w:val="20"/>
                <w:szCs w:val="20"/>
                <w:lang w:eastAsia="zh-CN"/>
              </w:rPr>
              <w:t>2013</w:t>
            </w:r>
          </w:p>
        </w:tc>
        <w:tc>
          <w:tcPr>
            <w:tcW w:w="1440" w:type="dxa"/>
            <w:vMerge w:val="restart"/>
            <w:tcBorders>
              <w:right w:val="single" w:sz="12"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Time Period Years  </w:t>
            </w:r>
            <w:r>
              <w:rPr>
                <w:rFonts w:ascii="Arial" w:eastAsia="SimSun" w:hAnsi="Arial"/>
                <w:color w:val="000000"/>
                <w:spacing w:val="-5"/>
                <w:sz w:val="20"/>
                <w:szCs w:val="20"/>
                <w:lang w:eastAsia="zh-CN"/>
              </w:rPr>
              <w:t>10</w:t>
            </w:r>
          </w:p>
        </w:tc>
        <w:tc>
          <w:tcPr>
            <w:tcW w:w="6260" w:type="dxa"/>
            <w:gridSpan w:val="3"/>
            <w:tcBorders>
              <w:top w:val="single" w:sz="12" w:space="0" w:color="auto"/>
              <w:left w:val="single" w:sz="12" w:space="0" w:color="auto"/>
              <w:right w:val="single" w:sz="12" w:space="0" w:color="auto"/>
            </w:tcBorders>
            <w:shd w:val="clear" w:color="auto" w:fill="FFFFFF"/>
          </w:tcPr>
          <w:p w:rsidR="00AB65E9" w:rsidRPr="00F01332" w:rsidRDefault="00AB65E9" w:rsidP="00F01332">
            <w:pPr>
              <w:spacing w:before="50" w:after="50" w:line="240" w:lineRule="auto"/>
              <w:ind w:left="113" w:right="113"/>
              <w:jc w:val="center"/>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Net Benefit (Present Value (PV)) (£m)</w:t>
            </w:r>
          </w:p>
        </w:tc>
      </w:tr>
      <w:tr w:rsidR="00AB65E9" w:rsidRPr="000F2B33" w:rsidTr="00AB4323">
        <w:trPr>
          <w:trHeight w:hRule="exact" w:val="835"/>
        </w:trPr>
        <w:tc>
          <w:tcPr>
            <w:tcW w:w="1265" w:type="dxa"/>
            <w:vMerge/>
          </w:tcPr>
          <w:p w:rsidR="00AB65E9" w:rsidRPr="00F01332" w:rsidRDefault="00AB65E9" w:rsidP="00F01332">
            <w:pPr>
              <w:spacing w:before="60" w:after="60" w:line="240" w:lineRule="auto"/>
              <w:ind w:right="113"/>
              <w:rPr>
                <w:rFonts w:ascii="Arial" w:eastAsia="SimSun" w:hAnsi="Arial"/>
                <w:b/>
                <w:sz w:val="20"/>
                <w:szCs w:val="20"/>
                <w:lang w:eastAsia="zh-CN"/>
              </w:rPr>
            </w:pPr>
          </w:p>
        </w:tc>
        <w:tc>
          <w:tcPr>
            <w:tcW w:w="1260" w:type="dxa"/>
            <w:vMerge/>
          </w:tcPr>
          <w:p w:rsidR="00AB65E9" w:rsidRPr="00F01332" w:rsidRDefault="00AB65E9" w:rsidP="00F01332">
            <w:pPr>
              <w:spacing w:before="60" w:after="60" w:line="240" w:lineRule="auto"/>
              <w:ind w:right="113"/>
              <w:rPr>
                <w:rFonts w:ascii="Arial" w:eastAsia="SimSun" w:hAnsi="Arial"/>
                <w:b/>
                <w:sz w:val="20"/>
                <w:szCs w:val="20"/>
                <w:lang w:eastAsia="zh-CN"/>
              </w:rPr>
            </w:pPr>
          </w:p>
        </w:tc>
        <w:tc>
          <w:tcPr>
            <w:tcW w:w="1440" w:type="dxa"/>
            <w:vMerge/>
            <w:tcBorders>
              <w:right w:val="single" w:sz="12" w:space="0" w:color="auto"/>
            </w:tcBorders>
          </w:tcPr>
          <w:p w:rsidR="00AB65E9" w:rsidRPr="00F01332" w:rsidRDefault="00AB65E9" w:rsidP="00F01332">
            <w:pPr>
              <w:spacing w:before="60" w:after="60" w:line="240" w:lineRule="auto"/>
              <w:ind w:right="113"/>
              <w:rPr>
                <w:rFonts w:ascii="Arial" w:eastAsia="SimSun" w:hAnsi="Arial"/>
                <w:b/>
                <w:sz w:val="20"/>
                <w:szCs w:val="20"/>
                <w:lang w:eastAsia="zh-CN"/>
              </w:rPr>
            </w:pPr>
          </w:p>
        </w:tc>
        <w:tc>
          <w:tcPr>
            <w:tcW w:w="1800" w:type="dxa"/>
            <w:tcBorders>
              <w:left w:val="single" w:sz="12" w:space="0" w:color="auto"/>
              <w:bottom w:val="single" w:sz="12" w:space="0" w:color="auto"/>
            </w:tcBorders>
          </w:tcPr>
          <w:p w:rsidR="00AB65E9" w:rsidRPr="00F01332" w:rsidRDefault="00AB65E9" w:rsidP="00FC70EA">
            <w:pPr>
              <w:spacing w:before="50" w:after="50" w:line="240" w:lineRule="auto"/>
              <w:ind w:left="113" w:right="113"/>
              <w:rPr>
                <w:rFonts w:ascii="Arial" w:eastAsia="SimSun" w:hAnsi="Arial"/>
                <w:b/>
                <w:bCs/>
                <w:color w:val="000000"/>
                <w:spacing w:val="-5"/>
                <w:sz w:val="20"/>
                <w:szCs w:val="20"/>
                <w:lang w:eastAsia="zh-CN"/>
              </w:rPr>
            </w:pPr>
            <w:r w:rsidRPr="00F01332">
              <w:rPr>
                <w:rFonts w:ascii="Arial" w:eastAsia="SimSun" w:hAnsi="Arial"/>
                <w:b/>
                <w:color w:val="000000"/>
                <w:spacing w:val="-5"/>
                <w:sz w:val="20"/>
                <w:szCs w:val="20"/>
                <w:lang w:eastAsia="zh-CN"/>
              </w:rPr>
              <w:t>Low</w:t>
            </w:r>
            <w:r w:rsidRPr="00FC70EA">
              <w:rPr>
                <w:rFonts w:ascii="Arial" w:eastAsia="SimSun" w:hAnsi="Arial"/>
                <w:color w:val="000000"/>
                <w:spacing w:val="-5"/>
                <w:sz w:val="20"/>
                <w:szCs w:val="20"/>
                <w:lang w:eastAsia="zh-CN"/>
              </w:rPr>
              <w:t xml:space="preserve">: </w:t>
            </w:r>
            <w:r w:rsidR="00FC70EA" w:rsidRPr="00FC70EA">
              <w:rPr>
                <w:rFonts w:ascii="Arial" w:eastAsia="SimSun" w:hAnsi="Arial"/>
                <w:color w:val="000000"/>
                <w:spacing w:val="-5"/>
                <w:sz w:val="20"/>
                <w:szCs w:val="20"/>
                <w:lang w:eastAsia="zh-CN"/>
              </w:rPr>
              <w:t>-15.39</w:t>
            </w:r>
          </w:p>
        </w:tc>
        <w:tc>
          <w:tcPr>
            <w:tcW w:w="1827" w:type="dxa"/>
            <w:tcBorders>
              <w:bottom w:val="single" w:sz="12" w:space="0" w:color="auto"/>
              <w:right w:val="single" w:sz="12" w:space="0" w:color="auto"/>
            </w:tcBorders>
          </w:tcPr>
          <w:p w:rsidR="00AB65E9" w:rsidRPr="00F01332" w:rsidRDefault="00AB65E9" w:rsidP="00FC70EA">
            <w:pPr>
              <w:spacing w:before="50" w:after="50" w:line="240" w:lineRule="auto"/>
              <w:ind w:left="113" w:right="113"/>
              <w:rPr>
                <w:rFonts w:ascii="Arial" w:eastAsia="SimSun" w:hAnsi="Arial" w:cs="Arial"/>
                <w:b/>
                <w:bCs/>
                <w:color w:val="000000"/>
                <w:spacing w:val="-5"/>
                <w:sz w:val="20"/>
                <w:szCs w:val="18"/>
                <w:lang w:eastAsia="zh-CN"/>
              </w:rPr>
            </w:pPr>
            <w:r w:rsidRPr="00F01332">
              <w:rPr>
                <w:rFonts w:ascii="Arial" w:eastAsia="SimSun" w:hAnsi="Arial"/>
                <w:b/>
                <w:color w:val="000000"/>
                <w:spacing w:val="-5"/>
                <w:sz w:val="20"/>
                <w:szCs w:val="20"/>
                <w:lang w:eastAsia="zh-CN"/>
              </w:rPr>
              <w:t xml:space="preserve">High: </w:t>
            </w:r>
            <w:r>
              <w:rPr>
                <w:rFonts w:ascii="Arial" w:eastAsia="SimSun" w:hAnsi="Arial"/>
                <w:color w:val="000000"/>
                <w:spacing w:val="-5"/>
                <w:sz w:val="20"/>
                <w:lang w:eastAsia="zh-CN"/>
              </w:rPr>
              <w:t>-</w:t>
            </w:r>
            <w:r w:rsidR="00FC70EA">
              <w:rPr>
                <w:rFonts w:ascii="Arial" w:eastAsia="SimSun" w:hAnsi="Arial"/>
                <w:color w:val="000000"/>
                <w:spacing w:val="-5"/>
                <w:sz w:val="20"/>
                <w:lang w:eastAsia="zh-CN"/>
              </w:rPr>
              <w:t>15.39</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0"/>
                <w:szCs w:val="18"/>
                <w:lang w:eastAsia="zh-CN"/>
              </w:rPr>
            </w:pPr>
            <w:r w:rsidRPr="00F01332">
              <w:rPr>
                <w:rFonts w:ascii="Arial" w:eastAsia="SimSun" w:hAnsi="Arial"/>
                <w:b/>
                <w:color w:val="000000"/>
                <w:spacing w:val="-5"/>
                <w:sz w:val="20"/>
                <w:szCs w:val="20"/>
                <w:lang w:eastAsia="zh-CN"/>
              </w:rPr>
              <w:t xml:space="preserve">Best Estimate: </w:t>
            </w:r>
            <w:r>
              <w:rPr>
                <w:rFonts w:ascii="Arial" w:eastAsia="SimSun" w:hAnsi="Arial"/>
                <w:b/>
                <w:color w:val="000000"/>
                <w:spacing w:val="-5"/>
                <w:sz w:val="20"/>
                <w:szCs w:val="20"/>
                <w:lang w:eastAsia="zh-CN"/>
              </w:rPr>
              <w:t>-</w:t>
            </w:r>
            <w:r>
              <w:rPr>
                <w:rFonts w:ascii="Arial" w:eastAsia="SimSun" w:hAnsi="Arial"/>
                <w:color w:val="000000"/>
                <w:spacing w:val="-5"/>
                <w:sz w:val="20"/>
                <w:lang w:eastAsia="zh-CN"/>
              </w:rPr>
              <w:t>15.39</w:t>
            </w:r>
          </w:p>
        </w:tc>
      </w:tr>
    </w:tbl>
    <w:p w:rsidR="00AB65E9" w:rsidRPr="00F01332" w:rsidRDefault="00AB65E9" w:rsidP="00F01332">
      <w:pPr>
        <w:spacing w:after="0" w:line="80" w:lineRule="exact"/>
        <w:rPr>
          <w:rFonts w:ascii="Arial" w:eastAsia="SimSun" w:hAnsi="Arial"/>
          <w:szCs w:val="24"/>
          <w:lang w:eastAsia="zh-C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AB65E9" w:rsidRPr="000F2B33" w:rsidTr="0057472C">
        <w:trPr>
          <w:trHeight w:hRule="exact" w:val="567"/>
        </w:trPr>
        <w:tc>
          <w:tcPr>
            <w:tcW w:w="1995" w:type="dxa"/>
            <w:tcBorders>
              <w:top w:val="single" w:sz="12"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4"/>
                <w:szCs w:val="24"/>
                <w:lang w:eastAsia="zh-CN"/>
              </w:rPr>
            </w:pPr>
            <w:r w:rsidRPr="00F01332">
              <w:rPr>
                <w:rFonts w:ascii="Arial" w:eastAsia="SimSun" w:hAnsi="Arial"/>
                <w:b/>
                <w:color w:val="000000"/>
                <w:spacing w:val="-5"/>
                <w:sz w:val="24"/>
                <w:szCs w:val="24"/>
                <w:lang w:eastAsia="zh-CN"/>
              </w:rPr>
              <w:t>COSTS (£m)</w:t>
            </w:r>
          </w:p>
        </w:tc>
        <w:tc>
          <w:tcPr>
            <w:tcW w:w="2739" w:type="dxa"/>
            <w:gridSpan w:val="2"/>
            <w:tcBorders>
              <w:top w:val="single" w:sz="12" w:space="0" w:color="auto"/>
            </w:tcBorders>
          </w:tcPr>
          <w:p w:rsidR="00AB65E9" w:rsidRPr="00F01332" w:rsidRDefault="00AB65E9" w:rsidP="00F01332">
            <w:pPr>
              <w:tabs>
                <w:tab w:val="right" w:pos="1800"/>
                <w:tab w:val="center" w:pos="2340"/>
              </w:tabs>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Total Transition </w:t>
            </w:r>
            <w:r w:rsidRPr="00F01332">
              <w:rPr>
                <w:rFonts w:ascii="Arial" w:eastAsia="SimSun" w:hAnsi="Arial"/>
                <w:b/>
                <w:color w:val="000000"/>
                <w:spacing w:val="-5"/>
                <w:sz w:val="20"/>
                <w:szCs w:val="20"/>
                <w:lang w:eastAsia="zh-CN"/>
              </w:rPr>
              <w:br/>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(Constant Price)</w:t>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Yea</w:t>
            </w:r>
            <w:r w:rsidRPr="00F01332">
              <w:rPr>
                <w:rFonts w:ascii="Arial" w:eastAsia="SimSun" w:hAnsi="Arial"/>
                <w:bCs/>
                <w:color w:val="000000"/>
                <w:spacing w:val="-5"/>
                <w:sz w:val="18"/>
                <w:szCs w:val="18"/>
                <w:lang w:eastAsia="zh-CN"/>
              </w:rPr>
              <w:t>r</w:t>
            </w:r>
            <w:r w:rsidRPr="00F01332">
              <w:rPr>
                <w:rFonts w:ascii="Arial" w:eastAsia="SimSun" w:hAnsi="Arial"/>
                <w:color w:val="000000"/>
                <w:spacing w:val="-5"/>
                <w:sz w:val="18"/>
                <w:szCs w:val="18"/>
                <w:lang w:eastAsia="zh-CN"/>
              </w:rPr>
              <w:t>s</w:t>
            </w:r>
          </w:p>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br/>
            </w:r>
          </w:p>
        </w:tc>
        <w:tc>
          <w:tcPr>
            <w:tcW w:w="2865" w:type="dxa"/>
            <w:tcBorders>
              <w:top w:val="single" w:sz="12" w:space="0" w:color="auto"/>
              <w:right w:val="single" w:sz="12" w:space="0" w:color="auto"/>
            </w:tcBorders>
          </w:tcPr>
          <w:p w:rsidR="00AB65E9" w:rsidRPr="00F01332" w:rsidRDefault="00AB65E9" w:rsidP="00F01332">
            <w:pPr>
              <w:spacing w:before="50" w:after="50" w:line="240" w:lineRule="auto"/>
              <w:ind w:left="113" w:right="113"/>
              <w:jc w:val="right"/>
              <w:rPr>
                <w:rFonts w:ascii="Arial" w:eastAsia="SimSun" w:hAnsi="Arial" w:cs="Arial"/>
                <w:b/>
                <w:bCs/>
                <w:color w:val="000000"/>
                <w:spacing w:val="-5"/>
                <w:sz w:val="20"/>
                <w:szCs w:val="20"/>
                <w:lang w:eastAsia="zh-CN"/>
              </w:rPr>
            </w:pPr>
            <w:r w:rsidRPr="00F01332">
              <w:rPr>
                <w:rFonts w:ascii="Arial" w:eastAsia="SimSun" w:hAnsi="Arial"/>
                <w:b/>
                <w:color w:val="000000"/>
                <w:spacing w:val="-5"/>
                <w:sz w:val="20"/>
                <w:szCs w:val="20"/>
                <w:lang w:eastAsia="zh-CN"/>
              </w:rPr>
              <w:t xml:space="preserve">Average Annual </w:t>
            </w:r>
            <w:r w:rsidRPr="00F01332">
              <w:rPr>
                <w:rFonts w:ascii="Arial" w:eastAsia="SimSun" w:hAnsi="Arial"/>
                <w:b/>
                <w:color w:val="000000"/>
                <w:spacing w:val="-5"/>
                <w:sz w:val="20"/>
                <w:szCs w:val="20"/>
                <w:lang w:eastAsia="zh-CN"/>
              </w:rPr>
              <w:br/>
            </w:r>
            <w:r w:rsidRPr="00F01332">
              <w:rPr>
                <w:rFonts w:ascii="Arial" w:eastAsia="SimSun" w:hAnsi="Arial"/>
                <w:color w:val="000000"/>
                <w:spacing w:val="-5"/>
                <w:sz w:val="18"/>
                <w:szCs w:val="18"/>
                <w:lang w:eastAsia="zh-CN"/>
              </w:rPr>
              <w:t xml:space="preserve">(excl. Transition) </w:t>
            </w:r>
            <w:r w:rsidRPr="00F01332">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tcBorders>
          </w:tcPr>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Total Cost</w:t>
            </w:r>
            <w:r w:rsidRPr="00F01332">
              <w:rPr>
                <w:rFonts w:ascii="Arial" w:eastAsia="SimSun" w:hAnsi="Arial"/>
                <w:color w:val="000000"/>
                <w:spacing w:val="-5"/>
                <w:sz w:val="18"/>
                <w:szCs w:val="18"/>
                <w:lang w:eastAsia="zh-CN"/>
              </w:rPr>
              <w:t xml:space="preserve"> </w:t>
            </w:r>
            <w:r w:rsidRPr="00F01332">
              <w:rPr>
                <w:rFonts w:ascii="Arial" w:eastAsia="SimSun" w:hAnsi="Arial"/>
                <w:color w:val="000000"/>
                <w:spacing w:val="-5"/>
                <w:sz w:val="18"/>
                <w:szCs w:val="18"/>
                <w:lang w:eastAsia="zh-CN"/>
              </w:rPr>
              <w:br/>
              <w:t>(Present Value)</w:t>
            </w:r>
          </w:p>
        </w:tc>
      </w:tr>
      <w:tr w:rsidR="00AB65E9" w:rsidRPr="000F2B33" w:rsidTr="0057472C">
        <w:trPr>
          <w:trHeight w:hRule="exact" w:val="348"/>
        </w:trPr>
        <w:tc>
          <w:tcPr>
            <w:tcW w:w="1995" w:type="dxa"/>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Low </w:t>
            </w:r>
          </w:p>
        </w:tc>
        <w:tc>
          <w:tcPr>
            <w:tcW w:w="1949" w:type="dxa"/>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0.8</w:t>
            </w:r>
          </w:p>
        </w:tc>
        <w:tc>
          <w:tcPr>
            <w:tcW w:w="790" w:type="dxa"/>
            <w:vMerge w:val="restart"/>
            <w:vAlign w:val="center"/>
          </w:tcPr>
          <w:p w:rsidR="00AB65E9" w:rsidRPr="00F01332" w:rsidRDefault="00AB65E9" w:rsidP="00F01332">
            <w:pPr>
              <w:spacing w:before="50" w:after="50" w:line="240" w:lineRule="auto"/>
              <w:ind w:left="113" w:right="113"/>
              <w:jc w:val="center"/>
              <w:rPr>
                <w:rFonts w:ascii="Arial" w:eastAsia="SimSun" w:hAnsi="Arial"/>
                <w:spacing w:val="-5"/>
                <w:sz w:val="20"/>
                <w:szCs w:val="20"/>
                <w:lang w:eastAsia="zh-CN"/>
              </w:rPr>
            </w:pPr>
            <w:r>
              <w:rPr>
                <w:rFonts w:ascii="Arial" w:eastAsia="SimSun" w:hAnsi="Arial"/>
                <w:spacing w:val="-5"/>
                <w:sz w:val="20"/>
                <w:szCs w:val="20"/>
                <w:lang w:eastAsia="zh-CN"/>
              </w:rPr>
              <w:t>1</w:t>
            </w:r>
          </w:p>
        </w:tc>
        <w:tc>
          <w:tcPr>
            <w:tcW w:w="2865" w:type="dxa"/>
            <w:tcBorders>
              <w:right w:val="single" w:sz="12" w:space="0" w:color="auto"/>
            </w:tcBorders>
            <w:vAlign w:val="center"/>
          </w:tcPr>
          <w:p w:rsidR="00AB65E9" w:rsidRPr="00F01332" w:rsidRDefault="00FC70EA" w:rsidP="00FC70EA">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3.3</w:t>
            </w:r>
          </w:p>
        </w:tc>
        <w:tc>
          <w:tcPr>
            <w:tcW w:w="2636" w:type="dxa"/>
            <w:gridSpan w:val="2"/>
            <w:tcBorders>
              <w:left w:val="single" w:sz="12" w:space="0" w:color="auto"/>
            </w:tcBorders>
            <w:vAlign w:val="center"/>
          </w:tcPr>
          <w:p w:rsidR="00AB65E9" w:rsidRPr="00F01332" w:rsidRDefault="00FC70EA" w:rsidP="00FC70EA">
            <w:pPr>
              <w:spacing w:before="50" w:after="50" w:line="240" w:lineRule="auto"/>
              <w:ind w:left="113" w:right="113"/>
              <w:jc w:val="right"/>
              <w:rPr>
                <w:rFonts w:ascii="Arial" w:eastAsia="SimSun" w:hAnsi="Arial"/>
                <w:b/>
                <w:spacing w:val="-5"/>
                <w:sz w:val="20"/>
                <w:szCs w:val="20"/>
                <w:lang w:eastAsia="zh-CN"/>
              </w:rPr>
            </w:pPr>
            <w:r>
              <w:rPr>
                <w:rFonts w:ascii="Arial" w:eastAsia="SimSun" w:hAnsi="Arial"/>
                <w:b/>
                <w:spacing w:val="-5"/>
                <w:sz w:val="20"/>
                <w:szCs w:val="20"/>
                <w:lang w:eastAsia="zh-CN"/>
              </w:rPr>
              <w:t>29.2</w:t>
            </w:r>
          </w:p>
        </w:tc>
      </w:tr>
      <w:tr w:rsidR="00AB65E9" w:rsidRPr="000F2B33" w:rsidTr="0057472C">
        <w:trPr>
          <w:trHeight w:hRule="exact" w:val="348"/>
        </w:trPr>
        <w:tc>
          <w:tcPr>
            <w:tcW w:w="1995" w:type="dxa"/>
            <w:tcBorders>
              <w:bottom w:val="single" w:sz="12" w:space="0" w:color="auto"/>
            </w:tcBorders>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High </w:t>
            </w:r>
          </w:p>
        </w:tc>
        <w:tc>
          <w:tcPr>
            <w:tcW w:w="1949" w:type="dxa"/>
            <w:tcBorders>
              <w:bottom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0.8</w:t>
            </w:r>
          </w:p>
        </w:tc>
        <w:tc>
          <w:tcPr>
            <w:tcW w:w="790" w:type="dxa"/>
            <w:vMerge/>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bottom w:val="single" w:sz="12" w:space="0" w:color="auto"/>
              <w:righ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17.7</w:t>
            </w:r>
          </w:p>
        </w:tc>
        <w:tc>
          <w:tcPr>
            <w:tcW w:w="2636" w:type="dxa"/>
            <w:gridSpan w:val="2"/>
            <w:tcBorders>
              <w:left w:val="single" w:sz="12" w:space="0" w:color="auto"/>
              <w:bottom w:val="single" w:sz="12" w:space="0" w:color="auto"/>
            </w:tcBorders>
            <w:vAlign w:val="center"/>
          </w:tcPr>
          <w:p w:rsidR="00AB65E9" w:rsidRPr="00F01332" w:rsidRDefault="00FC70EA" w:rsidP="00FC70EA">
            <w:pPr>
              <w:spacing w:before="50" w:after="50" w:line="240" w:lineRule="auto"/>
              <w:ind w:left="113" w:right="113"/>
              <w:jc w:val="right"/>
              <w:rPr>
                <w:rFonts w:ascii="Arial" w:eastAsia="SimSun" w:hAnsi="Arial"/>
                <w:b/>
                <w:spacing w:val="-5"/>
                <w:sz w:val="20"/>
                <w:szCs w:val="20"/>
                <w:lang w:eastAsia="zh-CN"/>
              </w:rPr>
            </w:pPr>
            <w:r>
              <w:rPr>
                <w:rFonts w:ascii="Arial" w:eastAsia="SimSun" w:hAnsi="Arial"/>
                <w:b/>
                <w:spacing w:val="-5"/>
                <w:sz w:val="20"/>
                <w:szCs w:val="20"/>
                <w:lang w:eastAsia="zh-CN"/>
              </w:rPr>
              <w:t>153.1</w:t>
            </w:r>
          </w:p>
        </w:tc>
      </w:tr>
      <w:tr w:rsidR="00AB65E9" w:rsidRPr="000F2B33" w:rsidTr="0057472C">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Best Estimate</w:t>
            </w:r>
          </w:p>
          <w:p w:rsidR="00AB65E9" w:rsidRPr="00F01332" w:rsidRDefault="00AB65E9" w:rsidP="00FB622B">
            <w:pPr>
              <w:spacing w:beforeLines="40" w:before="96" w:after="60" w:line="240" w:lineRule="auto"/>
              <w:ind w:right="-22"/>
              <w:jc w:val="center"/>
              <w:rPr>
                <w:rFonts w:ascii="Arial" w:eastAsia="SimSun" w:hAnsi="Arial" w:cs="Arial"/>
                <w:b/>
                <w:sz w:val="20"/>
                <w:szCs w:val="20"/>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0.8</w:t>
            </w:r>
          </w:p>
        </w:tc>
        <w:tc>
          <w:tcPr>
            <w:tcW w:w="790" w:type="dxa"/>
            <w:vMerge/>
            <w:tcBorders>
              <w:left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11.2</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B65E9" w:rsidRPr="00F01332" w:rsidRDefault="00FC70EA"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b/>
                <w:spacing w:val="-5"/>
                <w:sz w:val="20"/>
                <w:szCs w:val="20"/>
                <w:lang w:eastAsia="zh-CN"/>
              </w:rPr>
              <w:t>97.2</w:t>
            </w:r>
          </w:p>
        </w:tc>
      </w:tr>
      <w:tr w:rsidR="00AB65E9" w:rsidRPr="000F2B33" w:rsidTr="0057472C">
        <w:trPr>
          <w:trHeight w:hRule="exact" w:val="1701"/>
        </w:trPr>
        <w:tc>
          <w:tcPr>
            <w:tcW w:w="10235" w:type="dxa"/>
            <w:gridSpan w:val="6"/>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Description and scale of key monetised costs by ‘main affected groups’ </w:t>
            </w:r>
          </w:p>
          <w:p w:rsidR="00AB65E9" w:rsidRPr="00F01332" w:rsidRDefault="00AB65E9" w:rsidP="00017DEC">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 xml:space="preserve">Cost include a one off </w:t>
            </w:r>
            <w:r w:rsidRPr="00AB4323">
              <w:rPr>
                <w:rFonts w:ascii="Arial" w:eastAsia="SimSun" w:hAnsi="Arial"/>
                <w:b/>
                <w:spacing w:val="-5"/>
                <w:szCs w:val="20"/>
                <w:lang w:eastAsia="zh-CN"/>
              </w:rPr>
              <w:t>£0.8m</w:t>
            </w:r>
            <w:r>
              <w:rPr>
                <w:rFonts w:ascii="Arial" w:eastAsia="SimSun" w:hAnsi="Arial"/>
                <w:spacing w:val="-5"/>
                <w:szCs w:val="20"/>
                <w:lang w:eastAsia="zh-CN"/>
              </w:rPr>
              <w:t xml:space="preserve"> cost to IPs from familiarising with the new proposals. A transfer from IPs to unsecured creditors of £16m pa (</w:t>
            </w:r>
            <w:r w:rsidRPr="00AB4323">
              <w:rPr>
                <w:rFonts w:ascii="Arial" w:eastAsia="SimSun" w:hAnsi="Arial"/>
                <w:b/>
                <w:spacing w:val="-5"/>
                <w:szCs w:val="20"/>
                <w:lang w:eastAsia="zh-CN"/>
              </w:rPr>
              <w:t>£138.5m NPV</w:t>
            </w:r>
            <w:r>
              <w:rPr>
                <w:rFonts w:ascii="Arial" w:eastAsia="SimSun" w:hAnsi="Arial"/>
                <w:spacing w:val="-5"/>
                <w:szCs w:val="20"/>
                <w:lang w:eastAsia="zh-CN"/>
              </w:rPr>
              <w:t>) in the high case, £9.5m (</w:t>
            </w:r>
            <w:r w:rsidRPr="00AB4323">
              <w:rPr>
                <w:rFonts w:ascii="Arial" w:eastAsia="SimSun" w:hAnsi="Arial"/>
                <w:b/>
                <w:spacing w:val="-5"/>
                <w:szCs w:val="20"/>
                <w:lang w:eastAsia="zh-CN"/>
              </w:rPr>
              <w:t>£82.5m NPV</w:t>
            </w:r>
            <w:r>
              <w:rPr>
                <w:rFonts w:ascii="Arial" w:eastAsia="SimSun" w:hAnsi="Arial"/>
                <w:spacing w:val="-5"/>
                <w:szCs w:val="20"/>
                <w:lang w:eastAsia="zh-CN"/>
              </w:rPr>
              <w:t>) in the medium case and £1.6m (</w:t>
            </w:r>
            <w:r w:rsidRPr="00AB4323">
              <w:rPr>
                <w:rFonts w:ascii="Arial" w:eastAsia="SimSun" w:hAnsi="Arial"/>
                <w:b/>
                <w:spacing w:val="-5"/>
                <w:szCs w:val="20"/>
                <w:lang w:eastAsia="zh-CN"/>
              </w:rPr>
              <w:t>£14.5m NPV</w:t>
            </w:r>
            <w:r>
              <w:rPr>
                <w:rFonts w:ascii="Arial" w:eastAsia="SimSun" w:hAnsi="Arial"/>
                <w:spacing w:val="-5"/>
                <w:szCs w:val="20"/>
                <w:lang w:eastAsia="zh-CN"/>
              </w:rPr>
              <w:t xml:space="preserve">) in the low case. In addition we would also expect </w:t>
            </w:r>
            <w:r w:rsidRPr="00AB4323">
              <w:rPr>
                <w:rFonts w:ascii="Arial" w:eastAsia="SimSun" w:hAnsi="Arial"/>
                <w:b/>
                <w:spacing w:val="-5"/>
                <w:szCs w:val="20"/>
                <w:lang w:eastAsia="zh-CN"/>
              </w:rPr>
              <w:t>£1.6m</w:t>
            </w:r>
            <w:r>
              <w:rPr>
                <w:rFonts w:ascii="Arial" w:eastAsia="SimSun" w:hAnsi="Arial"/>
                <w:spacing w:val="-5"/>
                <w:szCs w:val="20"/>
                <w:lang w:eastAsia="zh-CN"/>
              </w:rPr>
              <w:t xml:space="preserve"> annual cost (</w:t>
            </w:r>
            <w:r w:rsidRPr="00AB4323">
              <w:rPr>
                <w:rFonts w:ascii="Arial" w:eastAsia="SimSun" w:hAnsi="Arial"/>
                <w:b/>
                <w:spacing w:val="-5"/>
                <w:szCs w:val="20"/>
                <w:lang w:eastAsia="zh-CN"/>
              </w:rPr>
              <w:t>£15.3m NPV</w:t>
            </w:r>
            <w:r>
              <w:rPr>
                <w:rFonts w:ascii="Arial" w:eastAsia="SimSun" w:hAnsi="Arial"/>
                <w:spacing w:val="-5"/>
                <w:szCs w:val="20"/>
                <w:lang w:eastAsia="zh-CN"/>
              </w:rPr>
              <w:t xml:space="preserve">) to regulators from </w:t>
            </w:r>
            <w:r w:rsidR="00017DEC">
              <w:rPr>
                <w:rFonts w:ascii="Arial" w:eastAsia="SimSun" w:hAnsi="Arial"/>
                <w:spacing w:val="-5"/>
                <w:szCs w:val="20"/>
                <w:lang w:eastAsia="zh-CN"/>
              </w:rPr>
              <w:t>reviewing</w:t>
            </w:r>
            <w:r>
              <w:rPr>
                <w:rFonts w:ascii="Arial" w:eastAsia="SimSun" w:hAnsi="Arial"/>
                <w:spacing w:val="-5"/>
                <w:szCs w:val="20"/>
                <w:lang w:eastAsia="zh-CN"/>
              </w:rPr>
              <w:t xml:space="preserve"> fee complaints (this is only assumed for the high and best estimate case as at the lower case the number for complaints is likely to be small).</w:t>
            </w:r>
          </w:p>
        </w:tc>
      </w:tr>
      <w:tr w:rsidR="00AB65E9" w:rsidRPr="000F2B33" w:rsidTr="0057472C">
        <w:trPr>
          <w:trHeight w:hRule="exact" w:val="1701"/>
        </w:trPr>
        <w:tc>
          <w:tcPr>
            <w:tcW w:w="10235" w:type="dxa"/>
            <w:gridSpan w:val="6"/>
            <w:tcBorders>
              <w:bottom w:val="single" w:sz="12"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Other key non-monetised costs by ‘main affected groups’ </w:t>
            </w:r>
          </w:p>
          <w:p w:rsidR="00AB65E9" w:rsidRPr="00F01332" w:rsidRDefault="00AB65E9" w:rsidP="00F01332">
            <w:pPr>
              <w:spacing w:after="0" w:line="240" w:lineRule="auto"/>
              <w:ind w:left="113" w:right="113"/>
              <w:rPr>
                <w:rFonts w:ascii="Arial" w:eastAsia="SimSun" w:hAnsi="Arial"/>
                <w:spacing w:val="-5"/>
                <w:lang w:eastAsia="zh-CN"/>
              </w:rPr>
            </w:pPr>
            <w:r>
              <w:rPr>
                <w:rFonts w:ascii="Arial" w:eastAsia="SimSun" w:hAnsi="Arial"/>
                <w:spacing w:val="-5"/>
                <w:lang w:eastAsia="zh-CN"/>
              </w:rPr>
              <w:t xml:space="preserve">Familiarisation costs to secured creditors who are users of the new legislation are also expected. These however have not been quantified at this stage given the lack of data. We are seeking further information as part of the consultation. </w:t>
            </w:r>
          </w:p>
        </w:tc>
      </w:tr>
      <w:tr w:rsidR="00AB65E9" w:rsidRPr="000F2B33" w:rsidTr="0057472C">
        <w:trPr>
          <w:trHeight w:hRule="exact" w:val="567"/>
        </w:trPr>
        <w:tc>
          <w:tcPr>
            <w:tcW w:w="1995" w:type="dxa"/>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4"/>
                <w:szCs w:val="24"/>
                <w:lang w:eastAsia="zh-CN"/>
              </w:rPr>
            </w:pPr>
            <w:r w:rsidRPr="00F01332">
              <w:rPr>
                <w:rFonts w:ascii="Arial" w:eastAsia="SimSun" w:hAnsi="Arial"/>
                <w:b/>
                <w:color w:val="000000"/>
                <w:spacing w:val="-5"/>
                <w:sz w:val="24"/>
                <w:szCs w:val="24"/>
                <w:lang w:eastAsia="zh-CN"/>
              </w:rPr>
              <w:t>BENEFITS (£m)</w:t>
            </w:r>
          </w:p>
        </w:tc>
        <w:tc>
          <w:tcPr>
            <w:tcW w:w="2739" w:type="dxa"/>
            <w:gridSpan w:val="2"/>
            <w:tcBorders>
              <w:top w:val="single" w:sz="12" w:space="0" w:color="auto"/>
            </w:tcBorders>
          </w:tcPr>
          <w:p w:rsidR="00AB65E9" w:rsidRPr="00F01332" w:rsidRDefault="00AB65E9" w:rsidP="00F01332">
            <w:pPr>
              <w:tabs>
                <w:tab w:val="right" w:pos="1797"/>
                <w:tab w:val="center" w:pos="2340"/>
              </w:tabs>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Total Transition </w:t>
            </w:r>
            <w:r w:rsidRPr="00F01332">
              <w:rPr>
                <w:rFonts w:ascii="Arial" w:eastAsia="SimSun" w:hAnsi="Arial"/>
                <w:b/>
                <w:color w:val="000000"/>
                <w:spacing w:val="-5"/>
                <w:sz w:val="20"/>
                <w:szCs w:val="20"/>
                <w:lang w:eastAsia="zh-CN"/>
              </w:rPr>
              <w:br/>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(Constant Price)</w:t>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Yea</w:t>
            </w:r>
            <w:r w:rsidRPr="00F01332">
              <w:rPr>
                <w:rFonts w:ascii="Arial" w:eastAsia="SimSun" w:hAnsi="Arial"/>
                <w:bCs/>
                <w:color w:val="000000"/>
                <w:spacing w:val="-5"/>
                <w:sz w:val="18"/>
                <w:szCs w:val="18"/>
                <w:lang w:eastAsia="zh-CN"/>
              </w:rPr>
              <w:t>r</w:t>
            </w:r>
            <w:r w:rsidRPr="00F01332">
              <w:rPr>
                <w:rFonts w:ascii="Arial" w:eastAsia="SimSun" w:hAnsi="Arial"/>
                <w:color w:val="000000"/>
                <w:spacing w:val="-5"/>
                <w:sz w:val="18"/>
                <w:szCs w:val="18"/>
                <w:lang w:eastAsia="zh-CN"/>
              </w:rPr>
              <w:t>s</w:t>
            </w:r>
          </w:p>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br/>
            </w:r>
          </w:p>
        </w:tc>
        <w:tc>
          <w:tcPr>
            <w:tcW w:w="2865" w:type="dxa"/>
            <w:tcBorders>
              <w:right w:val="single" w:sz="12" w:space="0" w:color="auto"/>
            </w:tcBorders>
          </w:tcPr>
          <w:p w:rsidR="00AB65E9" w:rsidRPr="00F01332" w:rsidRDefault="00AB65E9" w:rsidP="00F01332">
            <w:pPr>
              <w:spacing w:before="50" w:after="50" w:line="240" w:lineRule="auto"/>
              <w:ind w:left="113" w:right="113"/>
              <w:jc w:val="right"/>
              <w:rPr>
                <w:rFonts w:ascii="Arial" w:eastAsia="SimSun" w:hAnsi="Arial" w:cs="Arial"/>
                <w:b/>
                <w:bCs/>
                <w:color w:val="000000"/>
                <w:spacing w:val="-5"/>
                <w:sz w:val="20"/>
                <w:szCs w:val="20"/>
                <w:lang w:eastAsia="zh-CN"/>
              </w:rPr>
            </w:pPr>
            <w:r w:rsidRPr="00F01332">
              <w:rPr>
                <w:rFonts w:ascii="Arial" w:eastAsia="SimSun" w:hAnsi="Arial"/>
                <w:b/>
                <w:color w:val="000000"/>
                <w:spacing w:val="-5"/>
                <w:sz w:val="20"/>
                <w:szCs w:val="20"/>
                <w:lang w:eastAsia="zh-CN"/>
              </w:rPr>
              <w:t xml:space="preserve">Average Annual </w:t>
            </w:r>
            <w:r w:rsidRPr="00F01332">
              <w:rPr>
                <w:rFonts w:ascii="Arial" w:eastAsia="SimSun" w:hAnsi="Arial"/>
                <w:b/>
                <w:color w:val="000000"/>
                <w:spacing w:val="-5"/>
                <w:sz w:val="20"/>
                <w:szCs w:val="20"/>
                <w:lang w:eastAsia="zh-CN"/>
              </w:rPr>
              <w:br/>
            </w:r>
            <w:r w:rsidRPr="00F01332">
              <w:rPr>
                <w:rFonts w:ascii="Arial" w:eastAsia="SimSun" w:hAnsi="Arial"/>
                <w:color w:val="000000"/>
                <w:spacing w:val="-5"/>
                <w:sz w:val="18"/>
                <w:szCs w:val="18"/>
                <w:lang w:eastAsia="zh-CN"/>
              </w:rPr>
              <w:t xml:space="preserve">(excl. Transition) </w:t>
            </w:r>
            <w:r w:rsidRPr="00F01332">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tcBorders>
          </w:tcPr>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Total Benefit</w:t>
            </w:r>
            <w:r w:rsidRPr="00F01332">
              <w:rPr>
                <w:rFonts w:ascii="Arial" w:eastAsia="SimSun" w:hAnsi="Arial"/>
                <w:color w:val="000000"/>
                <w:spacing w:val="-5"/>
                <w:sz w:val="18"/>
                <w:szCs w:val="18"/>
                <w:lang w:eastAsia="zh-CN"/>
              </w:rPr>
              <w:t xml:space="preserve"> </w:t>
            </w:r>
            <w:r w:rsidRPr="00F01332">
              <w:rPr>
                <w:rFonts w:ascii="Arial" w:eastAsia="SimSun" w:hAnsi="Arial"/>
                <w:color w:val="000000"/>
                <w:spacing w:val="-5"/>
                <w:sz w:val="18"/>
                <w:szCs w:val="18"/>
                <w:lang w:eastAsia="zh-CN"/>
              </w:rPr>
              <w:br/>
              <w:t>(Present Value)</w:t>
            </w:r>
          </w:p>
        </w:tc>
      </w:tr>
      <w:tr w:rsidR="00AB65E9" w:rsidRPr="000F2B33" w:rsidTr="0057472C">
        <w:trPr>
          <w:trHeight w:hRule="exact" w:val="348"/>
        </w:trPr>
        <w:tc>
          <w:tcPr>
            <w:tcW w:w="1995" w:type="dxa"/>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Low </w:t>
            </w:r>
          </w:p>
        </w:tc>
        <w:tc>
          <w:tcPr>
            <w:tcW w:w="1949" w:type="dxa"/>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N/A</w:t>
            </w:r>
          </w:p>
        </w:tc>
        <w:tc>
          <w:tcPr>
            <w:tcW w:w="790" w:type="dxa"/>
            <w:vMerge w:val="restart"/>
            <w:vAlign w:val="center"/>
          </w:tcPr>
          <w:p w:rsidR="00AB65E9" w:rsidRPr="00F01332" w:rsidRDefault="00AB65E9" w:rsidP="00F01332">
            <w:pPr>
              <w:spacing w:before="50" w:after="50" w:line="240" w:lineRule="auto"/>
              <w:ind w:left="113" w:right="113"/>
              <w:jc w:val="center"/>
              <w:rPr>
                <w:rFonts w:ascii="Arial" w:eastAsia="SimSun" w:hAnsi="Arial"/>
                <w:spacing w:val="-5"/>
                <w:sz w:val="20"/>
                <w:szCs w:val="20"/>
                <w:lang w:eastAsia="zh-CN"/>
              </w:rPr>
            </w:pPr>
            <w:r>
              <w:rPr>
                <w:rFonts w:ascii="Arial" w:eastAsia="SimSun" w:hAnsi="Arial"/>
                <w:spacing w:val="-5"/>
                <w:sz w:val="20"/>
                <w:szCs w:val="20"/>
                <w:lang w:eastAsia="zh-CN"/>
              </w:rPr>
              <w:t>N/A</w:t>
            </w:r>
          </w:p>
        </w:tc>
        <w:tc>
          <w:tcPr>
            <w:tcW w:w="2865" w:type="dxa"/>
            <w:tcBorders>
              <w:righ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1.6</w:t>
            </w:r>
          </w:p>
        </w:tc>
        <w:tc>
          <w:tcPr>
            <w:tcW w:w="2636" w:type="dxa"/>
            <w:gridSpan w:val="2"/>
            <w:tcBorders>
              <w:lef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b/>
                <w:spacing w:val="-5"/>
                <w:sz w:val="20"/>
                <w:szCs w:val="20"/>
                <w:lang w:eastAsia="zh-CN"/>
              </w:rPr>
              <w:t>13.8</w:t>
            </w:r>
          </w:p>
        </w:tc>
      </w:tr>
      <w:tr w:rsidR="00AB65E9" w:rsidRPr="000F2B33" w:rsidTr="0057472C">
        <w:trPr>
          <w:trHeight w:hRule="exact" w:val="348"/>
        </w:trPr>
        <w:tc>
          <w:tcPr>
            <w:tcW w:w="1995" w:type="dxa"/>
            <w:tcBorders>
              <w:bottom w:val="single" w:sz="12" w:space="0" w:color="auto"/>
            </w:tcBorders>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High </w:t>
            </w:r>
          </w:p>
        </w:tc>
        <w:tc>
          <w:tcPr>
            <w:tcW w:w="1949" w:type="dxa"/>
            <w:tcBorders>
              <w:bottom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N/A</w:t>
            </w:r>
          </w:p>
        </w:tc>
        <w:tc>
          <w:tcPr>
            <w:tcW w:w="790" w:type="dxa"/>
            <w:vMerge/>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bottom w:val="single" w:sz="12" w:space="0" w:color="auto"/>
              <w:righ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16.0</w:t>
            </w:r>
          </w:p>
        </w:tc>
        <w:tc>
          <w:tcPr>
            <w:tcW w:w="2636" w:type="dxa"/>
            <w:gridSpan w:val="2"/>
            <w:tcBorders>
              <w:left w:val="single" w:sz="12" w:space="0" w:color="auto"/>
              <w:bottom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b/>
                <w:spacing w:val="-5"/>
                <w:sz w:val="20"/>
                <w:szCs w:val="20"/>
                <w:lang w:eastAsia="zh-CN"/>
              </w:rPr>
              <w:t>137.7</w:t>
            </w:r>
          </w:p>
        </w:tc>
      </w:tr>
      <w:tr w:rsidR="00AB65E9" w:rsidRPr="000F2B33" w:rsidTr="0057472C">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Best Estimate</w:t>
            </w:r>
          </w:p>
          <w:p w:rsidR="00AB65E9" w:rsidRPr="00F01332" w:rsidRDefault="00AB65E9" w:rsidP="00FB622B">
            <w:pPr>
              <w:spacing w:beforeLines="40" w:before="96" w:after="60" w:line="240" w:lineRule="auto"/>
              <w:ind w:right="-22"/>
              <w:jc w:val="center"/>
              <w:rPr>
                <w:rFonts w:ascii="Arial" w:eastAsia="SimSun" w:hAnsi="Arial" w:cs="Arial"/>
                <w:b/>
                <w:sz w:val="20"/>
                <w:szCs w:val="20"/>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N/A</w:t>
            </w:r>
          </w:p>
        </w:tc>
        <w:tc>
          <w:tcPr>
            <w:tcW w:w="790" w:type="dxa"/>
            <w:vMerge/>
            <w:tcBorders>
              <w:left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9.5</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b/>
                <w:spacing w:val="-5"/>
                <w:sz w:val="20"/>
                <w:szCs w:val="20"/>
                <w:lang w:eastAsia="zh-CN"/>
              </w:rPr>
              <w:t>81.8</w:t>
            </w:r>
          </w:p>
        </w:tc>
      </w:tr>
      <w:tr w:rsidR="00AB65E9" w:rsidRPr="000F2B33" w:rsidTr="0055000C">
        <w:trPr>
          <w:trHeight w:hRule="exact" w:val="1264"/>
        </w:trPr>
        <w:tc>
          <w:tcPr>
            <w:tcW w:w="10235" w:type="dxa"/>
            <w:gridSpan w:val="6"/>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Description and scale of key monetised benefits by ‘main affected groups’ </w:t>
            </w:r>
          </w:p>
          <w:p w:rsidR="00AB65E9" w:rsidRPr="00F01332" w:rsidRDefault="00AB65E9" w:rsidP="00F01332">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 xml:space="preserve">Quantified benefits of this option include the transfer from IPs to unsecured creditors, which equals the costs to IP described in the above section. </w:t>
            </w:r>
          </w:p>
        </w:tc>
      </w:tr>
      <w:tr w:rsidR="00AB65E9" w:rsidRPr="000F2B33" w:rsidTr="0055000C">
        <w:trPr>
          <w:trHeight w:hRule="exact" w:val="1259"/>
        </w:trPr>
        <w:tc>
          <w:tcPr>
            <w:tcW w:w="10235" w:type="dxa"/>
            <w:gridSpan w:val="6"/>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Other key non-monetised benefits by ‘main affected groups’ </w:t>
            </w:r>
          </w:p>
          <w:p w:rsidR="00AB65E9" w:rsidRPr="00F01332" w:rsidRDefault="00AB65E9" w:rsidP="00C55230">
            <w:pPr>
              <w:spacing w:after="0" w:line="240" w:lineRule="auto"/>
              <w:ind w:left="113" w:right="113"/>
              <w:rPr>
                <w:rFonts w:ascii="Arial" w:eastAsia="SimSun" w:hAnsi="Arial"/>
                <w:spacing w:val="-5"/>
                <w:szCs w:val="20"/>
                <w:lang w:eastAsia="zh-CN"/>
              </w:rPr>
            </w:pPr>
            <w:proofErr w:type="spellStart"/>
            <w:r>
              <w:rPr>
                <w:rFonts w:ascii="Arial" w:eastAsia="SimSun" w:hAnsi="Arial"/>
                <w:spacing w:val="-5"/>
                <w:szCs w:val="20"/>
                <w:lang w:eastAsia="zh-CN"/>
              </w:rPr>
              <w:t>Unquantified</w:t>
            </w:r>
            <w:proofErr w:type="spellEnd"/>
            <w:r>
              <w:rPr>
                <w:rFonts w:ascii="Arial" w:eastAsia="SimSun" w:hAnsi="Arial"/>
                <w:spacing w:val="-5"/>
                <w:szCs w:val="20"/>
                <w:lang w:eastAsia="zh-CN"/>
              </w:rPr>
              <w:t xml:space="preserve"> benefits are increased efficiency in the market by addressing the market failure</w:t>
            </w:r>
            <w:r w:rsidR="00C55230">
              <w:rPr>
                <w:rFonts w:ascii="Arial" w:eastAsia="SimSun" w:hAnsi="Arial"/>
                <w:spacing w:val="-5"/>
                <w:szCs w:val="20"/>
                <w:lang w:eastAsia="zh-CN"/>
              </w:rPr>
              <w:t xml:space="preserve">, fair allocation of </w:t>
            </w:r>
            <w:r w:rsidR="0055000C">
              <w:rPr>
                <w:rFonts w:ascii="Arial" w:eastAsia="SimSun" w:hAnsi="Arial"/>
                <w:spacing w:val="-5"/>
                <w:szCs w:val="20"/>
                <w:lang w:eastAsia="zh-CN"/>
              </w:rPr>
              <w:t>fees between</w:t>
            </w:r>
            <w:r>
              <w:rPr>
                <w:rFonts w:ascii="Arial" w:eastAsia="SimSun" w:hAnsi="Arial"/>
                <w:spacing w:val="-5"/>
                <w:szCs w:val="20"/>
                <w:lang w:eastAsia="zh-CN"/>
              </w:rPr>
              <w:t xml:space="preserve"> secured and unsecured creditors, increased IP market confidence, and </w:t>
            </w:r>
            <w:r w:rsidRPr="00E16072">
              <w:rPr>
                <w:rFonts w:ascii="Arial" w:eastAsia="SimSun" w:hAnsi="Arial"/>
                <w:spacing w:val="-5"/>
                <w:szCs w:val="20"/>
                <w:lang w:eastAsia="zh-CN"/>
              </w:rPr>
              <w:t xml:space="preserve">specific benefits associated with the new complaint handling arrangements. </w:t>
            </w:r>
          </w:p>
        </w:tc>
      </w:tr>
      <w:tr w:rsidR="00AB65E9" w:rsidRPr="000F2B33" w:rsidTr="0057472C">
        <w:trPr>
          <w:trHeight w:hRule="exact" w:val="346"/>
        </w:trPr>
        <w:tc>
          <w:tcPr>
            <w:tcW w:w="9375" w:type="dxa"/>
            <w:gridSpan w:val="5"/>
            <w:tcBorders>
              <w:bottom w:val="nil"/>
            </w:tcBorders>
          </w:tcPr>
          <w:p w:rsidR="00AB65E9" w:rsidRPr="00F01332" w:rsidRDefault="00AB65E9" w:rsidP="00F01332">
            <w:pPr>
              <w:tabs>
                <w:tab w:val="left" w:pos="7655"/>
              </w:tabs>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Key assumptions/sensitivities/risks</w:t>
            </w:r>
            <w:r w:rsidRPr="00F01332">
              <w:rPr>
                <w:rFonts w:ascii="Arial" w:eastAsia="SimSun" w:hAnsi="Arial"/>
                <w:b/>
                <w:color w:val="000000"/>
                <w:spacing w:val="-5"/>
                <w:sz w:val="20"/>
                <w:szCs w:val="20"/>
                <w:lang w:eastAsia="zh-CN"/>
              </w:rPr>
              <w:tab/>
              <w:t>Discount rate (%)</w:t>
            </w:r>
          </w:p>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p>
        </w:tc>
        <w:tc>
          <w:tcPr>
            <w:tcW w:w="860" w:type="dxa"/>
            <w:tcBorders>
              <w:bottom w:val="single" w:sz="4" w:space="0" w:color="auto"/>
            </w:tcBorders>
          </w:tcPr>
          <w:p w:rsidR="00AB65E9" w:rsidRPr="00F01332" w:rsidRDefault="00AB65E9" w:rsidP="00F01332">
            <w:pPr>
              <w:spacing w:before="50" w:after="50" w:line="240" w:lineRule="auto"/>
              <w:ind w:right="113"/>
              <w:jc w:val="center"/>
              <w:rPr>
                <w:rFonts w:ascii="Arial" w:eastAsia="SimSun" w:hAnsi="Arial"/>
                <w:color w:val="000000"/>
                <w:spacing w:val="-5"/>
                <w:sz w:val="20"/>
                <w:szCs w:val="20"/>
                <w:lang w:eastAsia="zh-CN"/>
              </w:rPr>
            </w:pPr>
            <w:r>
              <w:rPr>
                <w:rFonts w:ascii="Arial" w:eastAsia="SimSun" w:hAnsi="Arial"/>
                <w:color w:val="000000"/>
                <w:spacing w:val="-5"/>
                <w:sz w:val="20"/>
                <w:szCs w:val="20"/>
                <w:lang w:eastAsia="zh-CN"/>
              </w:rPr>
              <w:t>3.5</w:t>
            </w:r>
          </w:p>
        </w:tc>
      </w:tr>
      <w:tr w:rsidR="00AB65E9" w:rsidRPr="000F2B33" w:rsidTr="00AB4323">
        <w:trPr>
          <w:trHeight w:hRule="exact" w:val="1604"/>
        </w:trPr>
        <w:tc>
          <w:tcPr>
            <w:tcW w:w="10235" w:type="dxa"/>
            <w:gridSpan w:val="6"/>
            <w:tcBorders>
              <w:top w:val="nil"/>
              <w:bottom w:val="single" w:sz="12" w:space="0" w:color="auto"/>
            </w:tcBorders>
          </w:tcPr>
          <w:p w:rsidR="00AB65E9" w:rsidRPr="00F01332" w:rsidRDefault="00AB65E9" w:rsidP="00831471">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 xml:space="preserve">It has been assumed that the benefits to secured creditors are weighted the same as costs to unsecured creditors even if the proposal is likely to have </w:t>
            </w:r>
            <w:r w:rsidR="0055000C">
              <w:rPr>
                <w:rFonts w:ascii="Arial" w:eastAsia="SimSun" w:hAnsi="Arial"/>
                <w:spacing w:val="-5"/>
                <w:szCs w:val="20"/>
                <w:lang w:eastAsia="zh-CN"/>
              </w:rPr>
              <w:t>some benefits</w:t>
            </w:r>
            <w:r w:rsidR="00831471">
              <w:rPr>
                <w:rFonts w:ascii="Arial" w:eastAsia="SimSun" w:hAnsi="Arial"/>
                <w:spacing w:val="-5"/>
                <w:szCs w:val="20"/>
                <w:lang w:eastAsia="zh-CN"/>
              </w:rPr>
              <w:t xml:space="preserve"> in terms of fairness</w:t>
            </w:r>
            <w:r>
              <w:rPr>
                <w:rFonts w:ascii="Arial" w:eastAsia="SimSun" w:hAnsi="Arial"/>
                <w:spacing w:val="-5"/>
                <w:szCs w:val="20"/>
                <w:lang w:eastAsia="zh-CN"/>
              </w:rPr>
              <w:t>. This is because no robust weigh</w:t>
            </w:r>
            <w:r w:rsidR="00AB4323">
              <w:rPr>
                <w:rFonts w:ascii="Arial" w:eastAsia="SimSun" w:hAnsi="Arial"/>
                <w:spacing w:val="-5"/>
                <w:szCs w:val="20"/>
                <w:lang w:eastAsia="zh-CN"/>
              </w:rPr>
              <w:t>t</w:t>
            </w:r>
            <w:r>
              <w:rPr>
                <w:rFonts w:ascii="Arial" w:eastAsia="SimSun" w:hAnsi="Arial"/>
                <w:spacing w:val="-5"/>
                <w:szCs w:val="20"/>
                <w:lang w:eastAsia="zh-CN"/>
              </w:rPr>
              <w:t>ing methodology has been found in this case. For simplicity it has been assumed that fee complaints will increase by 300 both in the medium case and the high case scenario. The transfer from IPs to unsecured creditors has been removed in the overall Net Present Value calculation as it is only a transfer</w:t>
            </w:r>
            <w:r w:rsidR="00017DEC">
              <w:rPr>
                <w:rFonts w:ascii="Arial" w:eastAsia="SimSun" w:hAnsi="Arial"/>
                <w:spacing w:val="-5"/>
                <w:szCs w:val="20"/>
                <w:lang w:eastAsia="zh-CN"/>
              </w:rPr>
              <w:t>.</w:t>
            </w:r>
          </w:p>
        </w:tc>
      </w:tr>
    </w:tbl>
    <w:p w:rsidR="00AB65E9" w:rsidRPr="00F01332" w:rsidRDefault="00AB65E9" w:rsidP="00F01332">
      <w:pPr>
        <w:spacing w:after="0" w:line="80" w:lineRule="exact"/>
        <w:rPr>
          <w:rFonts w:ascii="Arial" w:eastAsia="SimSun" w:hAnsi="Arial"/>
          <w:szCs w:val="24"/>
          <w:lang w:eastAsia="zh-CN"/>
        </w:rPr>
      </w:pPr>
    </w:p>
    <w:p w:rsidR="00AB65E9" w:rsidRPr="00F01332" w:rsidRDefault="00AB65E9" w:rsidP="00F01332">
      <w:pPr>
        <w:spacing w:before="50" w:after="50" w:line="240" w:lineRule="auto"/>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BUSINESS ASSESSMENT (Option </w:t>
      </w:r>
      <w:r w:rsidRPr="00F01332">
        <w:rPr>
          <w:rFonts w:ascii="Arial" w:eastAsia="SimSun" w:hAnsi="Arial"/>
          <w:b/>
          <w:color w:val="000000"/>
          <w:spacing w:val="-5"/>
          <w:sz w:val="20"/>
          <w:szCs w:val="20"/>
          <w:lang w:eastAsia="zh-CN"/>
        </w:rPr>
        <w:fldChar w:fldCharType="begin"/>
      </w:r>
      <w:r w:rsidRPr="00F01332">
        <w:rPr>
          <w:rFonts w:ascii="Arial" w:eastAsia="SimSun" w:hAnsi="Arial"/>
          <w:b/>
          <w:color w:val="000000"/>
          <w:spacing w:val="-5"/>
          <w:sz w:val="20"/>
          <w:szCs w:val="20"/>
          <w:lang w:eastAsia="zh-CN"/>
        </w:rPr>
        <w:instrText xml:space="preserve"> SEQ BA </w:instrText>
      </w:r>
      <w:r w:rsidRPr="00F01332">
        <w:rPr>
          <w:rFonts w:ascii="Arial" w:eastAsia="SimSun" w:hAnsi="Arial"/>
          <w:b/>
          <w:color w:val="000000"/>
          <w:spacing w:val="-5"/>
          <w:sz w:val="20"/>
          <w:szCs w:val="20"/>
          <w:lang w:eastAsia="zh-CN"/>
        </w:rPr>
        <w:fldChar w:fldCharType="separate"/>
      </w:r>
      <w:r w:rsidR="00C7666D">
        <w:rPr>
          <w:rFonts w:ascii="Arial" w:eastAsia="SimSun" w:hAnsi="Arial"/>
          <w:b/>
          <w:noProof/>
          <w:color w:val="000000"/>
          <w:spacing w:val="-5"/>
          <w:sz w:val="20"/>
          <w:szCs w:val="20"/>
          <w:lang w:eastAsia="zh-CN"/>
        </w:rPr>
        <w:t>1</w:t>
      </w:r>
      <w:r w:rsidRPr="00F01332">
        <w:rPr>
          <w:rFonts w:ascii="Arial" w:eastAsia="SimSun" w:hAnsi="Arial"/>
          <w:b/>
          <w:color w:val="000000"/>
          <w:spacing w:val="-5"/>
          <w:sz w:val="20"/>
          <w:szCs w:val="20"/>
          <w:lang w:eastAsia="zh-CN"/>
        </w:rPr>
        <w:fldChar w:fldCharType="end"/>
      </w:r>
      <w:r w:rsidRPr="00F01332">
        <w:rPr>
          <w:rFonts w:ascii="Arial" w:eastAsia="SimSun" w:hAnsi="Arial"/>
          <w:b/>
          <w:color w:val="000000"/>
          <w:spacing w:val="-5"/>
          <w:sz w:val="20"/>
          <w:szCs w:val="20"/>
          <w:lang w:eastAsia="zh-CN"/>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AB65E9" w:rsidRPr="000F2B33" w:rsidTr="0057472C">
        <w:trPr>
          <w:trHeight w:hRule="exact" w:val="312"/>
        </w:trPr>
        <w:tc>
          <w:tcPr>
            <w:tcW w:w="6125" w:type="dxa"/>
            <w:gridSpan w:val="3"/>
            <w:tcBorders>
              <w:top w:val="single" w:sz="4" w:space="0" w:color="auto"/>
              <w:bottom w:val="nil"/>
              <w:right w:val="single" w:sz="4"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Direct impact on business (Equivalent Annual) £m: </w:t>
            </w:r>
          </w:p>
        </w:tc>
        <w:tc>
          <w:tcPr>
            <w:tcW w:w="1980" w:type="dxa"/>
            <w:tcBorders>
              <w:top w:val="single" w:sz="4" w:space="0" w:color="auto"/>
              <w:left w:val="single" w:sz="4" w:space="0" w:color="auto"/>
              <w:bottom w:val="nil"/>
              <w:right w:val="nil"/>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In scope of OITO?</w:t>
            </w:r>
          </w:p>
        </w:tc>
        <w:tc>
          <w:tcPr>
            <w:tcW w:w="2110" w:type="dxa"/>
            <w:tcBorders>
              <w:top w:val="single" w:sz="4" w:space="0" w:color="auto"/>
              <w:left w:val="nil"/>
              <w:bottom w:val="nil"/>
            </w:tcBorders>
          </w:tcPr>
          <w:p w:rsidR="00AB65E9" w:rsidRPr="00F01332" w:rsidRDefault="00AB65E9" w:rsidP="00F01332">
            <w:pPr>
              <w:spacing w:before="50" w:after="50" w:line="240" w:lineRule="auto"/>
              <w:ind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  Measure qualifies as</w:t>
            </w:r>
          </w:p>
        </w:tc>
      </w:tr>
      <w:tr w:rsidR="00AB65E9" w:rsidRPr="000F2B33" w:rsidTr="00AB4323">
        <w:trPr>
          <w:trHeight w:hRule="exact" w:val="594"/>
        </w:trPr>
        <w:tc>
          <w:tcPr>
            <w:tcW w:w="1990" w:type="dxa"/>
            <w:tcBorders>
              <w:top w:val="nil"/>
              <w:bottom w:val="single" w:sz="4" w:space="0" w:color="auto"/>
              <w:right w:val="single" w:sz="4" w:space="0" w:color="auto"/>
            </w:tcBorders>
            <w:shd w:val="clear" w:color="auto" w:fill="FFFFFF"/>
          </w:tcPr>
          <w:p w:rsidR="00AB65E9" w:rsidRPr="00BD7236" w:rsidRDefault="00AB65E9" w:rsidP="00BD7236">
            <w:pPr>
              <w:spacing w:before="50" w:after="50" w:line="240" w:lineRule="auto"/>
              <w:ind w:left="113" w:right="113"/>
              <w:rPr>
                <w:rFonts w:ascii="Arial" w:eastAsia="SimSun" w:hAnsi="Arial"/>
                <w:b/>
                <w:color w:val="000000"/>
                <w:spacing w:val="-5"/>
                <w:sz w:val="20"/>
                <w:szCs w:val="20"/>
                <w:lang w:eastAsia="zh-CN"/>
              </w:rPr>
            </w:pPr>
            <w:r w:rsidRPr="00BD7236">
              <w:rPr>
                <w:rFonts w:ascii="Arial" w:eastAsia="SimSun" w:hAnsi="Arial"/>
                <w:b/>
                <w:color w:val="000000"/>
                <w:spacing w:val="-5"/>
                <w:sz w:val="20"/>
                <w:szCs w:val="20"/>
                <w:lang w:eastAsia="zh-CN"/>
              </w:rPr>
              <w:t>Costs: £</w:t>
            </w:r>
            <w:r w:rsidR="00BD7236" w:rsidRPr="00BD7236">
              <w:rPr>
                <w:rFonts w:ascii="Arial" w:eastAsia="SimSun" w:hAnsi="Arial"/>
                <w:b/>
                <w:color w:val="000000"/>
                <w:spacing w:val="-5"/>
                <w:sz w:val="20"/>
                <w:szCs w:val="20"/>
                <w:lang w:eastAsia="zh-CN"/>
              </w:rPr>
              <w:t>1.47m</w:t>
            </w:r>
          </w:p>
        </w:tc>
        <w:tc>
          <w:tcPr>
            <w:tcW w:w="2155" w:type="dxa"/>
            <w:tcBorders>
              <w:top w:val="nil"/>
              <w:bottom w:val="single" w:sz="4" w:space="0" w:color="auto"/>
              <w:right w:val="single" w:sz="4" w:space="0" w:color="auto"/>
            </w:tcBorders>
            <w:shd w:val="clear" w:color="auto" w:fill="FFFFFF"/>
          </w:tcPr>
          <w:p w:rsidR="00AB65E9" w:rsidRPr="00BD7236" w:rsidRDefault="00AB65E9" w:rsidP="00F01332">
            <w:pPr>
              <w:spacing w:before="50" w:after="50" w:line="240" w:lineRule="auto"/>
              <w:ind w:left="113" w:right="113"/>
              <w:rPr>
                <w:rFonts w:ascii="Arial" w:eastAsia="SimSun" w:hAnsi="Arial"/>
                <w:b/>
                <w:color w:val="000000"/>
                <w:spacing w:val="-5"/>
                <w:sz w:val="20"/>
                <w:szCs w:val="20"/>
                <w:lang w:eastAsia="zh-CN"/>
              </w:rPr>
            </w:pPr>
            <w:r w:rsidRPr="00BD7236">
              <w:rPr>
                <w:rFonts w:ascii="Arial" w:eastAsia="SimSun" w:hAnsi="Arial"/>
                <w:b/>
                <w:color w:val="000000"/>
                <w:spacing w:val="-5"/>
                <w:sz w:val="20"/>
                <w:szCs w:val="20"/>
                <w:lang w:eastAsia="zh-CN"/>
              </w:rPr>
              <w:t xml:space="preserve">Benefits: </w:t>
            </w:r>
            <w:r w:rsidRPr="00BD7236">
              <w:rPr>
                <w:rFonts w:ascii="Arial" w:eastAsia="SimSun" w:hAnsi="Arial"/>
                <w:color w:val="000000"/>
                <w:spacing w:val="-5"/>
                <w:sz w:val="20"/>
                <w:szCs w:val="20"/>
                <w:lang w:eastAsia="zh-CN"/>
              </w:rPr>
              <w:t>Unknown</w:t>
            </w:r>
          </w:p>
        </w:tc>
        <w:tc>
          <w:tcPr>
            <w:tcW w:w="1980" w:type="dxa"/>
            <w:tcBorders>
              <w:top w:val="nil"/>
              <w:bottom w:val="single" w:sz="4" w:space="0" w:color="auto"/>
              <w:right w:val="single" w:sz="4" w:space="0" w:color="auto"/>
            </w:tcBorders>
            <w:shd w:val="clear" w:color="auto" w:fill="FFFFFF"/>
          </w:tcPr>
          <w:p w:rsidR="00AB65E9" w:rsidRPr="00BD7236" w:rsidRDefault="00AB65E9" w:rsidP="00FC70EA">
            <w:pPr>
              <w:spacing w:before="50" w:after="50" w:line="240" w:lineRule="auto"/>
              <w:ind w:left="113" w:right="113"/>
              <w:rPr>
                <w:rFonts w:ascii="Arial" w:eastAsia="SimSun" w:hAnsi="Arial"/>
                <w:b/>
                <w:color w:val="000000"/>
                <w:spacing w:val="-5"/>
                <w:sz w:val="20"/>
                <w:szCs w:val="20"/>
                <w:lang w:eastAsia="zh-CN"/>
              </w:rPr>
            </w:pPr>
            <w:r w:rsidRPr="00BD7236">
              <w:rPr>
                <w:rFonts w:ascii="Arial" w:eastAsia="SimSun" w:hAnsi="Arial"/>
                <w:b/>
                <w:color w:val="000000"/>
                <w:spacing w:val="-5"/>
                <w:sz w:val="20"/>
                <w:szCs w:val="20"/>
                <w:lang w:eastAsia="zh-CN"/>
              </w:rPr>
              <w:t xml:space="preserve">Net: </w:t>
            </w:r>
            <w:r w:rsidRPr="00BD7236">
              <w:rPr>
                <w:rFonts w:ascii="Arial" w:eastAsia="SimSun" w:hAnsi="Arial"/>
                <w:color w:val="000000"/>
                <w:spacing w:val="-5"/>
                <w:sz w:val="20"/>
                <w:szCs w:val="20"/>
                <w:lang w:eastAsia="zh-CN"/>
              </w:rPr>
              <w:t>£</w:t>
            </w:r>
            <w:r w:rsidR="00FC70EA" w:rsidRPr="00BD7236">
              <w:rPr>
                <w:rFonts w:ascii="Arial" w:eastAsia="SimSun" w:hAnsi="Arial"/>
                <w:color w:val="000000"/>
                <w:spacing w:val="-5"/>
                <w:sz w:val="20"/>
                <w:szCs w:val="20"/>
                <w:lang w:eastAsia="zh-CN"/>
              </w:rPr>
              <w:t>1.47</w:t>
            </w:r>
            <w:r w:rsidRPr="00BD7236">
              <w:rPr>
                <w:rFonts w:ascii="Arial" w:eastAsia="SimSun" w:hAnsi="Arial"/>
                <w:color w:val="000000"/>
                <w:spacing w:val="-5"/>
                <w:sz w:val="20"/>
                <w:szCs w:val="20"/>
                <w:lang w:eastAsia="zh-CN"/>
              </w:rPr>
              <w:t>m</w:t>
            </w:r>
          </w:p>
        </w:tc>
        <w:tc>
          <w:tcPr>
            <w:tcW w:w="1980" w:type="dxa"/>
            <w:tcBorders>
              <w:top w:val="nil"/>
              <w:left w:val="single" w:sz="4" w:space="0" w:color="auto"/>
              <w:bottom w:val="single" w:sz="4" w:space="0" w:color="auto"/>
              <w:right w:val="single" w:sz="4"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color w:val="000000"/>
                <w:spacing w:val="-5"/>
                <w:sz w:val="20"/>
                <w:szCs w:val="20"/>
                <w:lang w:eastAsia="zh-CN"/>
              </w:rPr>
            </w:pPr>
            <w:r>
              <w:rPr>
                <w:rFonts w:ascii="Arial" w:eastAsia="SimSun" w:hAnsi="Arial"/>
                <w:color w:val="000000"/>
                <w:spacing w:val="-5"/>
                <w:sz w:val="20"/>
                <w:szCs w:val="20"/>
                <w:lang w:eastAsia="zh-CN"/>
              </w:rPr>
              <w:t>Yes</w:t>
            </w:r>
          </w:p>
        </w:tc>
        <w:tc>
          <w:tcPr>
            <w:tcW w:w="2110" w:type="dxa"/>
            <w:tcBorders>
              <w:top w:val="nil"/>
              <w:left w:val="single" w:sz="4" w:space="0" w:color="auto"/>
              <w:bottom w:val="single" w:sz="4" w:space="0" w:color="auto"/>
            </w:tcBorders>
          </w:tcPr>
          <w:p w:rsidR="00AB65E9" w:rsidRPr="00F01332" w:rsidRDefault="00AB65E9" w:rsidP="00F01332">
            <w:pPr>
              <w:spacing w:before="50" w:after="50" w:line="240" w:lineRule="auto"/>
              <w:ind w:left="113" w:right="113"/>
              <w:rPr>
                <w:rFonts w:ascii="Arial" w:eastAsia="SimSun" w:hAnsi="Arial"/>
                <w:color w:val="000000"/>
                <w:spacing w:val="-5"/>
                <w:sz w:val="20"/>
                <w:szCs w:val="20"/>
                <w:lang w:eastAsia="zh-CN"/>
              </w:rPr>
            </w:pPr>
            <w:r>
              <w:rPr>
                <w:rFonts w:ascii="Arial" w:eastAsia="SimSun" w:hAnsi="Arial"/>
                <w:color w:val="000000"/>
                <w:spacing w:val="-5"/>
                <w:sz w:val="20"/>
                <w:szCs w:val="20"/>
                <w:lang w:eastAsia="zh-CN"/>
              </w:rPr>
              <w:t>In</w:t>
            </w:r>
          </w:p>
        </w:tc>
      </w:tr>
    </w:tbl>
    <w:p w:rsidR="00AB65E9" w:rsidRPr="00F01332" w:rsidRDefault="00AB65E9" w:rsidP="00F01332">
      <w:pPr>
        <w:spacing w:after="0" w:line="240" w:lineRule="auto"/>
        <w:rPr>
          <w:rFonts w:ascii="Arial" w:hAnsi="Arial"/>
          <w:sz w:val="24"/>
          <w:szCs w:val="24"/>
        </w:rPr>
      </w:pPr>
    </w:p>
    <w:p w:rsidR="00AB65E9" w:rsidRPr="00F01332" w:rsidRDefault="00AB65E9" w:rsidP="00F01332">
      <w:pPr>
        <w:keepNext/>
        <w:tabs>
          <w:tab w:val="right" w:pos="10206"/>
        </w:tabs>
        <w:spacing w:after="60" w:line="240" w:lineRule="auto"/>
        <w:outlineLvl w:val="0"/>
        <w:rPr>
          <w:rFonts w:ascii="Arial Bold" w:hAnsi="Arial Bold" w:cs="Arial"/>
          <w:b/>
          <w:bCs/>
          <w:spacing w:val="-4"/>
          <w:kern w:val="32"/>
          <w:sz w:val="32"/>
          <w:szCs w:val="32"/>
        </w:rPr>
      </w:pPr>
      <w:r w:rsidRPr="00F01332">
        <w:rPr>
          <w:rFonts w:ascii="Arial Bold" w:hAnsi="Arial Bold" w:cs="Arial"/>
          <w:b/>
          <w:bCs/>
          <w:spacing w:val="-4"/>
          <w:kern w:val="32"/>
          <w:sz w:val="32"/>
          <w:szCs w:val="32"/>
        </w:rPr>
        <w:t>Summary: Analysis &amp; Evidence</w:t>
      </w:r>
      <w:r w:rsidRPr="00F01332">
        <w:rPr>
          <w:rFonts w:ascii="Arial Bold" w:hAnsi="Arial Bold" w:cs="Arial"/>
          <w:b/>
          <w:bCs/>
          <w:spacing w:val="-4"/>
          <w:kern w:val="32"/>
          <w:sz w:val="32"/>
          <w:szCs w:val="32"/>
        </w:rPr>
        <w:tab/>
      </w:r>
      <w:r w:rsidRPr="00F01332">
        <w:rPr>
          <w:rFonts w:ascii="Arial" w:hAnsi="Arial" w:cs="Arial"/>
          <w:spacing w:val="-4"/>
          <w:kern w:val="32"/>
          <w:sz w:val="32"/>
          <w:szCs w:val="32"/>
        </w:rPr>
        <w:t>Policy Option 2</w:t>
      </w:r>
    </w:p>
    <w:p w:rsidR="00AB65E9" w:rsidRPr="00F01332" w:rsidRDefault="00AB65E9" w:rsidP="00F01332">
      <w:pPr>
        <w:spacing w:before="50" w:after="50" w:line="240" w:lineRule="auto"/>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Description:  </w:t>
      </w:r>
      <w:r w:rsidRPr="00F01332">
        <w:rPr>
          <w:rFonts w:ascii="Arial" w:eastAsia="SimSun" w:hAnsi="Arial"/>
          <w:color w:val="000000"/>
          <w:spacing w:val="-5"/>
          <w:sz w:val="20"/>
          <w:szCs w:val="20"/>
          <w:lang w:eastAsia="zh-CN"/>
        </w:rPr>
        <w:t xml:space="preserve">Voluntary code to achieve changes to the structure for IP fees and to complaints handling process  </w:t>
      </w:r>
    </w:p>
    <w:p w:rsidR="00AB65E9" w:rsidRPr="00F01332" w:rsidRDefault="00AB65E9" w:rsidP="00F01332">
      <w:pPr>
        <w:spacing w:before="50" w:after="50" w:line="240" w:lineRule="auto"/>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AB65E9" w:rsidRPr="000F2B33" w:rsidTr="0057472C">
        <w:trPr>
          <w:trHeight w:hRule="exact" w:val="312"/>
        </w:trPr>
        <w:tc>
          <w:tcPr>
            <w:tcW w:w="1265" w:type="dxa"/>
            <w:vMerge w:val="restart"/>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Price Base Year  </w:t>
            </w:r>
            <w:r>
              <w:rPr>
                <w:rFonts w:ascii="Arial" w:eastAsia="SimSun" w:hAnsi="Arial"/>
                <w:color w:val="000000"/>
                <w:spacing w:val="-5"/>
                <w:sz w:val="20"/>
                <w:szCs w:val="20"/>
                <w:lang w:eastAsia="zh-CN"/>
              </w:rPr>
              <w:t>N/A</w:t>
            </w:r>
          </w:p>
        </w:tc>
        <w:tc>
          <w:tcPr>
            <w:tcW w:w="1260" w:type="dxa"/>
            <w:vMerge w:val="restart"/>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PV Base Year  </w:t>
            </w:r>
            <w:r>
              <w:rPr>
                <w:rFonts w:ascii="Arial" w:eastAsia="SimSun" w:hAnsi="Arial"/>
                <w:color w:val="000000"/>
                <w:spacing w:val="-5"/>
                <w:sz w:val="20"/>
                <w:szCs w:val="20"/>
                <w:lang w:eastAsia="zh-CN"/>
              </w:rPr>
              <w:t>N/A</w:t>
            </w:r>
          </w:p>
        </w:tc>
        <w:tc>
          <w:tcPr>
            <w:tcW w:w="1440" w:type="dxa"/>
            <w:vMerge w:val="restart"/>
            <w:tcBorders>
              <w:right w:val="single" w:sz="12"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Time Period Years  </w:t>
            </w:r>
            <w:r>
              <w:rPr>
                <w:rFonts w:ascii="Arial" w:eastAsia="SimSun" w:hAnsi="Arial"/>
                <w:color w:val="000000"/>
                <w:spacing w:val="-5"/>
                <w:sz w:val="20"/>
                <w:szCs w:val="20"/>
                <w:lang w:eastAsia="zh-CN"/>
              </w:rPr>
              <w:t>N/A</w:t>
            </w:r>
          </w:p>
        </w:tc>
        <w:tc>
          <w:tcPr>
            <w:tcW w:w="6260" w:type="dxa"/>
            <w:gridSpan w:val="3"/>
            <w:tcBorders>
              <w:top w:val="single" w:sz="12" w:space="0" w:color="auto"/>
              <w:left w:val="single" w:sz="12" w:space="0" w:color="auto"/>
              <w:right w:val="single" w:sz="12" w:space="0" w:color="auto"/>
            </w:tcBorders>
            <w:shd w:val="clear" w:color="auto" w:fill="FFFFFF"/>
          </w:tcPr>
          <w:p w:rsidR="00AB65E9" w:rsidRPr="00F01332" w:rsidRDefault="00AB65E9" w:rsidP="00F01332">
            <w:pPr>
              <w:spacing w:before="50" w:after="50" w:line="240" w:lineRule="auto"/>
              <w:ind w:left="113" w:right="113"/>
              <w:jc w:val="center"/>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Net Benefit (Present Value (PV)) (£m)</w:t>
            </w:r>
          </w:p>
        </w:tc>
      </w:tr>
      <w:tr w:rsidR="00AB65E9" w:rsidRPr="000F2B33" w:rsidTr="0057472C">
        <w:trPr>
          <w:trHeight w:hRule="exact" w:val="340"/>
        </w:trPr>
        <w:tc>
          <w:tcPr>
            <w:tcW w:w="1265" w:type="dxa"/>
            <w:vMerge/>
          </w:tcPr>
          <w:p w:rsidR="00AB65E9" w:rsidRPr="00F01332" w:rsidRDefault="00AB65E9" w:rsidP="00F01332">
            <w:pPr>
              <w:spacing w:before="60" w:after="60" w:line="240" w:lineRule="auto"/>
              <w:ind w:right="113"/>
              <w:rPr>
                <w:rFonts w:ascii="Arial" w:eastAsia="SimSun" w:hAnsi="Arial"/>
                <w:b/>
                <w:sz w:val="20"/>
                <w:szCs w:val="20"/>
                <w:lang w:eastAsia="zh-CN"/>
              </w:rPr>
            </w:pPr>
          </w:p>
        </w:tc>
        <w:tc>
          <w:tcPr>
            <w:tcW w:w="1260" w:type="dxa"/>
            <w:vMerge/>
          </w:tcPr>
          <w:p w:rsidR="00AB65E9" w:rsidRPr="00F01332" w:rsidRDefault="00AB65E9" w:rsidP="00F01332">
            <w:pPr>
              <w:spacing w:before="60" w:after="60" w:line="240" w:lineRule="auto"/>
              <w:ind w:right="113"/>
              <w:rPr>
                <w:rFonts w:ascii="Arial" w:eastAsia="SimSun" w:hAnsi="Arial"/>
                <w:b/>
                <w:sz w:val="20"/>
                <w:szCs w:val="20"/>
                <w:lang w:eastAsia="zh-CN"/>
              </w:rPr>
            </w:pPr>
          </w:p>
        </w:tc>
        <w:tc>
          <w:tcPr>
            <w:tcW w:w="1440" w:type="dxa"/>
            <w:vMerge/>
            <w:tcBorders>
              <w:right w:val="single" w:sz="12" w:space="0" w:color="auto"/>
            </w:tcBorders>
          </w:tcPr>
          <w:p w:rsidR="00AB65E9" w:rsidRPr="00F01332" w:rsidRDefault="00AB65E9" w:rsidP="00F01332">
            <w:pPr>
              <w:spacing w:before="60" w:after="60" w:line="240" w:lineRule="auto"/>
              <w:ind w:right="113"/>
              <w:rPr>
                <w:rFonts w:ascii="Arial" w:eastAsia="SimSun" w:hAnsi="Arial"/>
                <w:b/>
                <w:sz w:val="20"/>
                <w:szCs w:val="20"/>
                <w:lang w:eastAsia="zh-CN"/>
              </w:rPr>
            </w:pPr>
          </w:p>
        </w:tc>
        <w:tc>
          <w:tcPr>
            <w:tcW w:w="1800" w:type="dxa"/>
            <w:tcBorders>
              <w:left w:val="single" w:sz="12" w:space="0" w:color="auto"/>
              <w:bottom w:val="single" w:sz="12" w:space="0" w:color="auto"/>
            </w:tcBorders>
          </w:tcPr>
          <w:p w:rsidR="00AB65E9" w:rsidRPr="00F01332" w:rsidRDefault="00AB65E9" w:rsidP="00F01332">
            <w:pPr>
              <w:spacing w:before="50" w:after="50" w:line="240" w:lineRule="auto"/>
              <w:ind w:left="113" w:right="113"/>
              <w:rPr>
                <w:rFonts w:ascii="Arial" w:eastAsia="SimSun" w:hAnsi="Arial"/>
                <w:b/>
                <w:bCs/>
                <w:color w:val="000000"/>
                <w:spacing w:val="-5"/>
                <w:sz w:val="20"/>
                <w:szCs w:val="20"/>
                <w:lang w:eastAsia="zh-CN"/>
              </w:rPr>
            </w:pPr>
            <w:r w:rsidRPr="00F01332">
              <w:rPr>
                <w:rFonts w:ascii="Arial" w:eastAsia="SimSun" w:hAnsi="Arial"/>
                <w:b/>
                <w:color w:val="000000"/>
                <w:spacing w:val="-5"/>
                <w:sz w:val="20"/>
                <w:szCs w:val="20"/>
                <w:lang w:eastAsia="zh-CN"/>
              </w:rPr>
              <w:t xml:space="preserve">Low: </w:t>
            </w:r>
            <w:r>
              <w:rPr>
                <w:rFonts w:ascii="Arial" w:eastAsia="SimSun" w:hAnsi="Arial"/>
                <w:color w:val="000000"/>
                <w:spacing w:val="-5"/>
                <w:sz w:val="20"/>
                <w:szCs w:val="20"/>
                <w:lang w:eastAsia="zh-CN"/>
              </w:rPr>
              <w:t>N/A</w:t>
            </w:r>
          </w:p>
        </w:tc>
        <w:tc>
          <w:tcPr>
            <w:tcW w:w="1827" w:type="dxa"/>
            <w:tcBorders>
              <w:bottom w:val="single" w:sz="12" w:space="0" w:color="auto"/>
              <w:right w:val="single" w:sz="12" w:space="0" w:color="auto"/>
            </w:tcBorders>
          </w:tcPr>
          <w:p w:rsidR="00AB65E9" w:rsidRPr="00F01332" w:rsidRDefault="00AB65E9" w:rsidP="00F01332">
            <w:pPr>
              <w:spacing w:before="50" w:after="50" w:line="240" w:lineRule="auto"/>
              <w:ind w:left="113" w:right="113"/>
              <w:rPr>
                <w:rFonts w:ascii="Arial" w:eastAsia="SimSun" w:hAnsi="Arial" w:cs="Arial"/>
                <w:b/>
                <w:bCs/>
                <w:color w:val="000000"/>
                <w:spacing w:val="-5"/>
                <w:sz w:val="20"/>
                <w:szCs w:val="18"/>
                <w:lang w:eastAsia="zh-CN"/>
              </w:rPr>
            </w:pPr>
            <w:r w:rsidRPr="00F01332">
              <w:rPr>
                <w:rFonts w:ascii="Arial" w:eastAsia="SimSun" w:hAnsi="Arial"/>
                <w:b/>
                <w:color w:val="000000"/>
                <w:spacing w:val="-5"/>
                <w:sz w:val="20"/>
                <w:szCs w:val="20"/>
                <w:lang w:eastAsia="zh-CN"/>
              </w:rPr>
              <w:t xml:space="preserve">High: </w:t>
            </w:r>
            <w:r>
              <w:rPr>
                <w:rFonts w:ascii="Arial" w:eastAsia="SimSun" w:hAnsi="Arial"/>
                <w:color w:val="000000"/>
                <w:spacing w:val="-5"/>
                <w:sz w:val="20"/>
                <w:szCs w:val="20"/>
                <w:lang w:eastAsia="zh-CN"/>
              </w:rPr>
              <w:t>N/A</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0"/>
                <w:szCs w:val="18"/>
                <w:lang w:eastAsia="zh-CN"/>
              </w:rPr>
            </w:pPr>
            <w:r w:rsidRPr="00F01332">
              <w:rPr>
                <w:rFonts w:ascii="Arial" w:eastAsia="SimSun" w:hAnsi="Arial"/>
                <w:b/>
                <w:color w:val="000000"/>
                <w:spacing w:val="-5"/>
                <w:sz w:val="20"/>
                <w:szCs w:val="20"/>
                <w:lang w:eastAsia="zh-CN"/>
              </w:rPr>
              <w:t xml:space="preserve">Best Estimate: </w:t>
            </w:r>
            <w:r>
              <w:rPr>
                <w:rFonts w:ascii="Arial" w:eastAsia="SimSun" w:hAnsi="Arial"/>
                <w:color w:val="000000"/>
                <w:spacing w:val="-5"/>
                <w:sz w:val="20"/>
                <w:szCs w:val="20"/>
                <w:lang w:eastAsia="zh-CN"/>
              </w:rPr>
              <w:t>N/A</w:t>
            </w:r>
          </w:p>
        </w:tc>
      </w:tr>
    </w:tbl>
    <w:p w:rsidR="00AB65E9" w:rsidRPr="00F01332" w:rsidRDefault="00AB65E9" w:rsidP="00F01332">
      <w:pPr>
        <w:spacing w:after="0" w:line="80" w:lineRule="exact"/>
        <w:rPr>
          <w:rFonts w:ascii="Arial" w:eastAsia="SimSun" w:hAnsi="Arial"/>
          <w:szCs w:val="24"/>
          <w:lang w:eastAsia="zh-C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AB65E9" w:rsidRPr="000F2B33" w:rsidTr="0057472C">
        <w:trPr>
          <w:trHeight w:hRule="exact" w:val="567"/>
        </w:trPr>
        <w:tc>
          <w:tcPr>
            <w:tcW w:w="1995" w:type="dxa"/>
            <w:tcBorders>
              <w:top w:val="single" w:sz="12"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4"/>
                <w:szCs w:val="24"/>
                <w:lang w:eastAsia="zh-CN"/>
              </w:rPr>
            </w:pPr>
            <w:r w:rsidRPr="00F01332">
              <w:rPr>
                <w:rFonts w:ascii="Arial" w:eastAsia="SimSun" w:hAnsi="Arial"/>
                <w:b/>
                <w:color w:val="000000"/>
                <w:spacing w:val="-5"/>
                <w:sz w:val="24"/>
                <w:szCs w:val="24"/>
                <w:lang w:eastAsia="zh-CN"/>
              </w:rPr>
              <w:t>COSTS (£m)</w:t>
            </w:r>
          </w:p>
        </w:tc>
        <w:tc>
          <w:tcPr>
            <w:tcW w:w="2739" w:type="dxa"/>
            <w:gridSpan w:val="2"/>
            <w:tcBorders>
              <w:top w:val="single" w:sz="12" w:space="0" w:color="auto"/>
            </w:tcBorders>
          </w:tcPr>
          <w:p w:rsidR="00AB65E9" w:rsidRPr="00F01332" w:rsidRDefault="00AB65E9" w:rsidP="00F01332">
            <w:pPr>
              <w:tabs>
                <w:tab w:val="right" w:pos="1800"/>
                <w:tab w:val="center" w:pos="2340"/>
              </w:tabs>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Total Transition </w:t>
            </w:r>
            <w:r w:rsidRPr="00F01332">
              <w:rPr>
                <w:rFonts w:ascii="Arial" w:eastAsia="SimSun" w:hAnsi="Arial"/>
                <w:b/>
                <w:color w:val="000000"/>
                <w:spacing w:val="-5"/>
                <w:sz w:val="20"/>
                <w:szCs w:val="20"/>
                <w:lang w:eastAsia="zh-CN"/>
              </w:rPr>
              <w:br/>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(Constant Price)</w:t>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Yea</w:t>
            </w:r>
            <w:r w:rsidRPr="00F01332">
              <w:rPr>
                <w:rFonts w:ascii="Arial" w:eastAsia="SimSun" w:hAnsi="Arial"/>
                <w:bCs/>
                <w:color w:val="000000"/>
                <w:spacing w:val="-5"/>
                <w:sz w:val="18"/>
                <w:szCs w:val="18"/>
                <w:lang w:eastAsia="zh-CN"/>
              </w:rPr>
              <w:t>r</w:t>
            </w:r>
            <w:r w:rsidRPr="00F01332">
              <w:rPr>
                <w:rFonts w:ascii="Arial" w:eastAsia="SimSun" w:hAnsi="Arial"/>
                <w:color w:val="000000"/>
                <w:spacing w:val="-5"/>
                <w:sz w:val="18"/>
                <w:szCs w:val="18"/>
                <w:lang w:eastAsia="zh-CN"/>
              </w:rPr>
              <w:t>s</w:t>
            </w:r>
          </w:p>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br/>
            </w:r>
          </w:p>
        </w:tc>
        <w:tc>
          <w:tcPr>
            <w:tcW w:w="2865" w:type="dxa"/>
            <w:tcBorders>
              <w:top w:val="single" w:sz="12" w:space="0" w:color="auto"/>
              <w:right w:val="single" w:sz="12" w:space="0" w:color="auto"/>
            </w:tcBorders>
          </w:tcPr>
          <w:p w:rsidR="00AB65E9" w:rsidRPr="00F01332" w:rsidRDefault="00AB65E9" w:rsidP="00F01332">
            <w:pPr>
              <w:spacing w:before="50" w:after="50" w:line="240" w:lineRule="auto"/>
              <w:ind w:left="113" w:right="113"/>
              <w:jc w:val="right"/>
              <w:rPr>
                <w:rFonts w:ascii="Arial" w:eastAsia="SimSun" w:hAnsi="Arial" w:cs="Arial"/>
                <w:b/>
                <w:bCs/>
                <w:color w:val="000000"/>
                <w:spacing w:val="-5"/>
                <w:sz w:val="20"/>
                <w:szCs w:val="20"/>
                <w:lang w:eastAsia="zh-CN"/>
              </w:rPr>
            </w:pPr>
            <w:r w:rsidRPr="00F01332">
              <w:rPr>
                <w:rFonts w:ascii="Arial" w:eastAsia="SimSun" w:hAnsi="Arial"/>
                <w:b/>
                <w:color w:val="000000"/>
                <w:spacing w:val="-5"/>
                <w:sz w:val="20"/>
                <w:szCs w:val="20"/>
                <w:lang w:eastAsia="zh-CN"/>
              </w:rPr>
              <w:t xml:space="preserve">Average Annual </w:t>
            </w:r>
            <w:r w:rsidRPr="00F01332">
              <w:rPr>
                <w:rFonts w:ascii="Arial" w:eastAsia="SimSun" w:hAnsi="Arial"/>
                <w:b/>
                <w:color w:val="000000"/>
                <w:spacing w:val="-5"/>
                <w:sz w:val="20"/>
                <w:szCs w:val="20"/>
                <w:lang w:eastAsia="zh-CN"/>
              </w:rPr>
              <w:br/>
            </w:r>
            <w:r w:rsidRPr="00F01332">
              <w:rPr>
                <w:rFonts w:ascii="Arial" w:eastAsia="SimSun" w:hAnsi="Arial"/>
                <w:color w:val="000000"/>
                <w:spacing w:val="-5"/>
                <w:sz w:val="18"/>
                <w:szCs w:val="18"/>
                <w:lang w:eastAsia="zh-CN"/>
              </w:rPr>
              <w:t xml:space="preserve">(excl. Transition) </w:t>
            </w:r>
            <w:r w:rsidRPr="00F01332">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tcBorders>
          </w:tcPr>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Total Cost</w:t>
            </w:r>
            <w:r w:rsidRPr="00F01332">
              <w:rPr>
                <w:rFonts w:ascii="Arial" w:eastAsia="SimSun" w:hAnsi="Arial"/>
                <w:color w:val="000000"/>
                <w:spacing w:val="-5"/>
                <w:sz w:val="18"/>
                <w:szCs w:val="18"/>
                <w:lang w:eastAsia="zh-CN"/>
              </w:rPr>
              <w:t xml:space="preserve"> </w:t>
            </w:r>
            <w:r w:rsidRPr="00F01332">
              <w:rPr>
                <w:rFonts w:ascii="Arial" w:eastAsia="SimSun" w:hAnsi="Arial"/>
                <w:color w:val="000000"/>
                <w:spacing w:val="-5"/>
                <w:sz w:val="18"/>
                <w:szCs w:val="18"/>
                <w:lang w:eastAsia="zh-CN"/>
              </w:rPr>
              <w:br/>
              <w:t>(Present Value)</w:t>
            </w:r>
          </w:p>
        </w:tc>
      </w:tr>
      <w:tr w:rsidR="00AB65E9" w:rsidRPr="000F2B33" w:rsidTr="0057472C">
        <w:trPr>
          <w:trHeight w:hRule="exact" w:val="348"/>
        </w:trPr>
        <w:tc>
          <w:tcPr>
            <w:tcW w:w="1995" w:type="dxa"/>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Low </w:t>
            </w:r>
          </w:p>
        </w:tc>
        <w:tc>
          <w:tcPr>
            <w:tcW w:w="1949" w:type="dxa"/>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color w:val="000000"/>
                <w:spacing w:val="-5"/>
                <w:sz w:val="20"/>
                <w:szCs w:val="20"/>
                <w:lang w:eastAsia="zh-CN"/>
              </w:rPr>
              <w:t>N/A</w:t>
            </w:r>
          </w:p>
        </w:tc>
        <w:tc>
          <w:tcPr>
            <w:tcW w:w="790" w:type="dxa"/>
            <w:vMerge w:val="restart"/>
            <w:vAlign w:val="center"/>
          </w:tcPr>
          <w:p w:rsidR="00AB65E9" w:rsidRPr="00F01332" w:rsidRDefault="00AB65E9" w:rsidP="00F01332">
            <w:pPr>
              <w:spacing w:before="50" w:after="50" w:line="240" w:lineRule="auto"/>
              <w:ind w:left="113" w:right="113"/>
              <w:jc w:val="center"/>
              <w:rPr>
                <w:rFonts w:ascii="Arial" w:eastAsia="SimSun" w:hAnsi="Arial"/>
                <w:spacing w:val="-5"/>
                <w:sz w:val="20"/>
                <w:szCs w:val="20"/>
                <w:lang w:eastAsia="zh-CN"/>
              </w:rPr>
            </w:pPr>
            <w:r>
              <w:rPr>
                <w:rFonts w:ascii="Arial" w:eastAsia="SimSun" w:hAnsi="Arial"/>
                <w:color w:val="000000"/>
                <w:spacing w:val="-5"/>
                <w:sz w:val="20"/>
                <w:szCs w:val="20"/>
                <w:lang w:eastAsia="zh-CN"/>
              </w:rPr>
              <w:t>N/A</w:t>
            </w:r>
          </w:p>
        </w:tc>
        <w:tc>
          <w:tcPr>
            <w:tcW w:w="2865" w:type="dxa"/>
            <w:tcBorders>
              <w:righ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color w:val="000000"/>
                <w:spacing w:val="-5"/>
                <w:sz w:val="20"/>
                <w:szCs w:val="20"/>
                <w:lang w:eastAsia="zh-CN"/>
              </w:rPr>
              <w:t>N/A</w:t>
            </w:r>
          </w:p>
        </w:tc>
        <w:tc>
          <w:tcPr>
            <w:tcW w:w="2636" w:type="dxa"/>
            <w:gridSpan w:val="2"/>
            <w:tcBorders>
              <w:lef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color w:val="000000"/>
                <w:spacing w:val="-5"/>
                <w:sz w:val="20"/>
                <w:szCs w:val="20"/>
                <w:lang w:eastAsia="zh-CN"/>
              </w:rPr>
              <w:t>N/A</w:t>
            </w:r>
          </w:p>
        </w:tc>
      </w:tr>
      <w:tr w:rsidR="00AB65E9" w:rsidRPr="000F2B33" w:rsidTr="0057472C">
        <w:trPr>
          <w:trHeight w:hRule="exact" w:val="348"/>
        </w:trPr>
        <w:tc>
          <w:tcPr>
            <w:tcW w:w="1995" w:type="dxa"/>
            <w:tcBorders>
              <w:bottom w:val="single" w:sz="12" w:space="0" w:color="auto"/>
            </w:tcBorders>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High </w:t>
            </w:r>
          </w:p>
        </w:tc>
        <w:tc>
          <w:tcPr>
            <w:tcW w:w="1949" w:type="dxa"/>
            <w:tcBorders>
              <w:bottom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color w:val="000000"/>
                <w:spacing w:val="-5"/>
                <w:sz w:val="20"/>
                <w:szCs w:val="20"/>
                <w:lang w:eastAsia="zh-CN"/>
              </w:rPr>
              <w:t>N/A</w:t>
            </w:r>
          </w:p>
        </w:tc>
        <w:tc>
          <w:tcPr>
            <w:tcW w:w="790" w:type="dxa"/>
            <w:vMerge/>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bottom w:val="single" w:sz="12" w:space="0" w:color="auto"/>
              <w:righ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color w:val="000000"/>
                <w:spacing w:val="-5"/>
                <w:sz w:val="20"/>
                <w:szCs w:val="20"/>
                <w:lang w:eastAsia="zh-CN"/>
              </w:rPr>
              <w:t>N/A</w:t>
            </w:r>
          </w:p>
        </w:tc>
        <w:tc>
          <w:tcPr>
            <w:tcW w:w="2636" w:type="dxa"/>
            <w:gridSpan w:val="2"/>
            <w:tcBorders>
              <w:left w:val="single" w:sz="12" w:space="0" w:color="auto"/>
              <w:bottom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color w:val="000000"/>
                <w:spacing w:val="-5"/>
                <w:sz w:val="20"/>
                <w:szCs w:val="20"/>
                <w:lang w:eastAsia="zh-CN"/>
              </w:rPr>
              <w:t>N/A</w:t>
            </w:r>
          </w:p>
        </w:tc>
      </w:tr>
      <w:tr w:rsidR="00AB65E9" w:rsidRPr="000F2B33" w:rsidTr="0057472C">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Best Estimate</w:t>
            </w:r>
          </w:p>
          <w:p w:rsidR="00AB65E9" w:rsidRPr="00F01332" w:rsidRDefault="00AB65E9">
            <w:pPr>
              <w:spacing w:beforeLines="40" w:before="96" w:after="60" w:line="240" w:lineRule="auto"/>
              <w:ind w:right="-22"/>
              <w:jc w:val="center"/>
              <w:rPr>
                <w:rFonts w:ascii="Arial" w:eastAsia="SimSun" w:hAnsi="Arial" w:cs="Arial"/>
                <w:b/>
                <w:sz w:val="20"/>
                <w:szCs w:val="20"/>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color w:val="000000"/>
                <w:spacing w:val="-5"/>
                <w:sz w:val="20"/>
                <w:szCs w:val="20"/>
                <w:lang w:eastAsia="zh-CN"/>
              </w:rPr>
              <w:t>N/A</w:t>
            </w:r>
          </w:p>
        </w:tc>
        <w:tc>
          <w:tcPr>
            <w:tcW w:w="790" w:type="dxa"/>
            <w:vMerge/>
            <w:tcBorders>
              <w:left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color w:val="000000"/>
                <w:spacing w:val="-5"/>
                <w:sz w:val="20"/>
                <w:szCs w:val="20"/>
                <w:lang w:eastAsia="zh-CN"/>
              </w:rPr>
              <w:t>N/A</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color w:val="000000"/>
                <w:spacing w:val="-5"/>
                <w:sz w:val="20"/>
                <w:szCs w:val="20"/>
                <w:lang w:eastAsia="zh-CN"/>
              </w:rPr>
              <w:t>N/A</w:t>
            </w:r>
            <w:r w:rsidRPr="00F01332">
              <w:rPr>
                <w:rFonts w:ascii="Arial" w:eastAsia="SimSun" w:hAnsi="Arial"/>
                <w:b/>
                <w:spacing w:val="-5"/>
                <w:sz w:val="20"/>
                <w:szCs w:val="20"/>
                <w:lang w:eastAsia="zh-CN"/>
              </w:rPr>
              <w:t xml:space="preserve"> </w:t>
            </w:r>
          </w:p>
        </w:tc>
      </w:tr>
      <w:tr w:rsidR="00AB65E9" w:rsidRPr="000F2B33" w:rsidTr="0055000C">
        <w:trPr>
          <w:trHeight w:hRule="exact" w:val="2815"/>
        </w:trPr>
        <w:tc>
          <w:tcPr>
            <w:tcW w:w="10235" w:type="dxa"/>
            <w:gridSpan w:val="6"/>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Description and scale of key monetised costs by ‘main affected groups’ </w:t>
            </w:r>
          </w:p>
          <w:p w:rsidR="00E75C7F" w:rsidRDefault="00BF2ADD" w:rsidP="00E75C7F">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 xml:space="preserve">As in option 1, it is expected that IPs will incur familiarisation costs. In this case related to the reading and becoming familiar with the new code of practice. </w:t>
            </w:r>
            <w:r w:rsidR="00E75C7F">
              <w:rPr>
                <w:rFonts w:ascii="Arial" w:eastAsia="SimSun" w:hAnsi="Arial"/>
                <w:spacing w:val="-5"/>
                <w:szCs w:val="20"/>
                <w:lang w:eastAsia="zh-CN"/>
              </w:rPr>
              <w:t xml:space="preserve"> </w:t>
            </w:r>
            <w:r w:rsidR="003D1194">
              <w:rPr>
                <w:rFonts w:ascii="Arial" w:eastAsia="SimSun" w:hAnsi="Arial"/>
                <w:spacing w:val="-5"/>
                <w:szCs w:val="20"/>
                <w:lang w:eastAsia="zh-CN"/>
              </w:rPr>
              <w:t xml:space="preserve">See paragraphs </w:t>
            </w:r>
          </w:p>
          <w:p w:rsidR="003C7276" w:rsidRDefault="003C7276" w:rsidP="00E75C7F">
            <w:pPr>
              <w:spacing w:after="0" w:line="240" w:lineRule="auto"/>
              <w:ind w:left="113" w:right="113"/>
              <w:rPr>
                <w:rFonts w:ascii="Arial" w:eastAsia="SimSun" w:hAnsi="Arial"/>
                <w:spacing w:val="-5"/>
                <w:szCs w:val="20"/>
                <w:lang w:eastAsia="zh-CN"/>
              </w:rPr>
            </w:pPr>
          </w:p>
          <w:p w:rsidR="006C6FD9" w:rsidRPr="00F01332" w:rsidRDefault="00E75C7F" w:rsidP="00A67A1F">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 xml:space="preserve">To be effective a code of practice would need to be drafted by the profession and the Insolvency Service. However in the past drafting by consensus has proved extremely difficult to get agreement and taken a long time. The </w:t>
            </w:r>
            <w:r w:rsidR="003D1194">
              <w:rPr>
                <w:rFonts w:ascii="Arial" w:eastAsia="SimSun" w:hAnsi="Arial"/>
                <w:spacing w:val="-5"/>
                <w:szCs w:val="20"/>
                <w:lang w:eastAsia="zh-CN"/>
              </w:rPr>
              <w:t>industry has</w:t>
            </w:r>
            <w:r>
              <w:rPr>
                <w:rFonts w:ascii="Arial" w:eastAsia="SimSun" w:hAnsi="Arial"/>
                <w:spacing w:val="-5"/>
                <w:szCs w:val="20"/>
                <w:lang w:eastAsia="zh-CN"/>
              </w:rPr>
              <w:t xml:space="preserve"> already been given opportunities to take action in this area but no changes have been forthcoming – getting consensus to a voluntary code is therefore unlikely. We are unable to estimate the cost of doing this as it would be dependant on the willingness of the regulators to contribute and agree to the code. Given this we would estimate the cost of doing this would outweigh the cost of regulation.</w:t>
            </w:r>
          </w:p>
        </w:tc>
      </w:tr>
      <w:tr w:rsidR="00AB65E9" w:rsidRPr="000F2B33" w:rsidTr="0055000C">
        <w:trPr>
          <w:trHeight w:hRule="exact" w:val="970"/>
        </w:trPr>
        <w:tc>
          <w:tcPr>
            <w:tcW w:w="10235" w:type="dxa"/>
            <w:gridSpan w:val="6"/>
            <w:tcBorders>
              <w:bottom w:val="single" w:sz="12"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Other key non-monetised costs by ‘main affected groups’ </w:t>
            </w:r>
          </w:p>
          <w:p w:rsidR="00AB65E9" w:rsidRPr="00F01332" w:rsidRDefault="00AB65E9" w:rsidP="00F01332">
            <w:pPr>
              <w:spacing w:after="0" w:line="240" w:lineRule="auto"/>
              <w:ind w:left="113" w:right="113"/>
              <w:rPr>
                <w:rFonts w:ascii="Arial" w:eastAsia="SimSun" w:hAnsi="Arial"/>
                <w:spacing w:val="-5"/>
                <w:lang w:eastAsia="zh-CN"/>
              </w:rPr>
            </w:pPr>
            <w:r>
              <w:rPr>
                <w:rFonts w:ascii="Arial" w:eastAsia="SimSun" w:hAnsi="Arial"/>
                <w:spacing w:val="-5"/>
                <w:lang w:eastAsia="zh-CN"/>
              </w:rPr>
              <w:t xml:space="preserve">No further costs to other groups are expected from this proposal. </w:t>
            </w:r>
          </w:p>
        </w:tc>
      </w:tr>
      <w:tr w:rsidR="00AB65E9" w:rsidRPr="000F2B33" w:rsidTr="0057472C">
        <w:trPr>
          <w:trHeight w:hRule="exact" w:val="567"/>
        </w:trPr>
        <w:tc>
          <w:tcPr>
            <w:tcW w:w="1995" w:type="dxa"/>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4"/>
                <w:szCs w:val="24"/>
                <w:lang w:eastAsia="zh-CN"/>
              </w:rPr>
            </w:pPr>
            <w:r w:rsidRPr="00F01332">
              <w:rPr>
                <w:rFonts w:ascii="Arial" w:eastAsia="SimSun" w:hAnsi="Arial"/>
                <w:b/>
                <w:color w:val="000000"/>
                <w:spacing w:val="-5"/>
                <w:sz w:val="24"/>
                <w:szCs w:val="24"/>
                <w:lang w:eastAsia="zh-CN"/>
              </w:rPr>
              <w:t>BENEFITS (£m)</w:t>
            </w:r>
          </w:p>
        </w:tc>
        <w:tc>
          <w:tcPr>
            <w:tcW w:w="2739" w:type="dxa"/>
            <w:gridSpan w:val="2"/>
            <w:tcBorders>
              <w:top w:val="single" w:sz="12" w:space="0" w:color="auto"/>
            </w:tcBorders>
          </w:tcPr>
          <w:p w:rsidR="00AB65E9" w:rsidRPr="00F01332" w:rsidRDefault="00AB65E9" w:rsidP="00F01332">
            <w:pPr>
              <w:tabs>
                <w:tab w:val="right" w:pos="1797"/>
                <w:tab w:val="center" w:pos="2340"/>
              </w:tabs>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Total Transition </w:t>
            </w:r>
            <w:r w:rsidRPr="00F01332">
              <w:rPr>
                <w:rFonts w:ascii="Arial" w:eastAsia="SimSun" w:hAnsi="Arial"/>
                <w:b/>
                <w:color w:val="000000"/>
                <w:spacing w:val="-5"/>
                <w:sz w:val="20"/>
                <w:szCs w:val="20"/>
                <w:lang w:eastAsia="zh-CN"/>
              </w:rPr>
              <w:br/>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(Constant Price)</w:t>
            </w:r>
            <w:r w:rsidRPr="00F01332">
              <w:rPr>
                <w:rFonts w:ascii="Arial" w:eastAsia="SimSun" w:hAnsi="Arial"/>
                <w:b/>
                <w:color w:val="000000"/>
                <w:spacing w:val="-5"/>
                <w:sz w:val="20"/>
                <w:szCs w:val="20"/>
                <w:lang w:eastAsia="zh-CN"/>
              </w:rPr>
              <w:tab/>
            </w:r>
            <w:r w:rsidRPr="00F01332">
              <w:rPr>
                <w:rFonts w:ascii="Arial" w:eastAsia="SimSun" w:hAnsi="Arial"/>
                <w:color w:val="000000"/>
                <w:spacing w:val="-5"/>
                <w:sz w:val="18"/>
                <w:szCs w:val="18"/>
                <w:lang w:eastAsia="zh-CN"/>
              </w:rPr>
              <w:t>Yea</w:t>
            </w:r>
            <w:r w:rsidRPr="00F01332">
              <w:rPr>
                <w:rFonts w:ascii="Arial" w:eastAsia="SimSun" w:hAnsi="Arial"/>
                <w:bCs/>
                <w:color w:val="000000"/>
                <w:spacing w:val="-5"/>
                <w:sz w:val="18"/>
                <w:szCs w:val="18"/>
                <w:lang w:eastAsia="zh-CN"/>
              </w:rPr>
              <w:t>r</w:t>
            </w:r>
            <w:r w:rsidRPr="00F01332">
              <w:rPr>
                <w:rFonts w:ascii="Arial" w:eastAsia="SimSun" w:hAnsi="Arial"/>
                <w:color w:val="000000"/>
                <w:spacing w:val="-5"/>
                <w:sz w:val="18"/>
                <w:szCs w:val="18"/>
                <w:lang w:eastAsia="zh-CN"/>
              </w:rPr>
              <w:t>s</w:t>
            </w:r>
          </w:p>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br/>
            </w:r>
          </w:p>
        </w:tc>
        <w:tc>
          <w:tcPr>
            <w:tcW w:w="2865" w:type="dxa"/>
            <w:tcBorders>
              <w:right w:val="single" w:sz="12" w:space="0" w:color="auto"/>
            </w:tcBorders>
          </w:tcPr>
          <w:p w:rsidR="00AB65E9" w:rsidRPr="00F01332" w:rsidRDefault="00AB65E9" w:rsidP="00F01332">
            <w:pPr>
              <w:spacing w:before="50" w:after="50" w:line="240" w:lineRule="auto"/>
              <w:ind w:left="113" w:right="113"/>
              <w:jc w:val="right"/>
              <w:rPr>
                <w:rFonts w:ascii="Arial" w:eastAsia="SimSun" w:hAnsi="Arial" w:cs="Arial"/>
                <w:b/>
                <w:bCs/>
                <w:color w:val="000000"/>
                <w:spacing w:val="-5"/>
                <w:sz w:val="20"/>
                <w:szCs w:val="20"/>
                <w:lang w:eastAsia="zh-CN"/>
              </w:rPr>
            </w:pPr>
            <w:r w:rsidRPr="00F01332">
              <w:rPr>
                <w:rFonts w:ascii="Arial" w:eastAsia="SimSun" w:hAnsi="Arial"/>
                <w:b/>
                <w:color w:val="000000"/>
                <w:spacing w:val="-5"/>
                <w:sz w:val="20"/>
                <w:szCs w:val="20"/>
                <w:lang w:eastAsia="zh-CN"/>
              </w:rPr>
              <w:t xml:space="preserve">Average Annual </w:t>
            </w:r>
            <w:r w:rsidRPr="00F01332">
              <w:rPr>
                <w:rFonts w:ascii="Arial" w:eastAsia="SimSun" w:hAnsi="Arial"/>
                <w:b/>
                <w:color w:val="000000"/>
                <w:spacing w:val="-5"/>
                <w:sz w:val="20"/>
                <w:szCs w:val="20"/>
                <w:lang w:eastAsia="zh-CN"/>
              </w:rPr>
              <w:br/>
            </w:r>
            <w:r w:rsidRPr="00F01332">
              <w:rPr>
                <w:rFonts w:ascii="Arial" w:eastAsia="SimSun" w:hAnsi="Arial"/>
                <w:color w:val="000000"/>
                <w:spacing w:val="-5"/>
                <w:sz w:val="18"/>
                <w:szCs w:val="18"/>
                <w:lang w:eastAsia="zh-CN"/>
              </w:rPr>
              <w:t xml:space="preserve">(excl. Transition) </w:t>
            </w:r>
            <w:r w:rsidRPr="00F01332">
              <w:rPr>
                <w:rFonts w:ascii="Arial" w:eastAsia="SimSun" w:hAnsi="Arial" w:cs="Arial"/>
                <w:bCs/>
                <w:color w:val="000000"/>
                <w:spacing w:val="-5"/>
                <w:sz w:val="18"/>
                <w:szCs w:val="18"/>
                <w:lang w:eastAsia="zh-CN"/>
              </w:rPr>
              <w:t>(Constant Price)</w:t>
            </w:r>
          </w:p>
        </w:tc>
        <w:tc>
          <w:tcPr>
            <w:tcW w:w="2636" w:type="dxa"/>
            <w:gridSpan w:val="2"/>
            <w:tcBorders>
              <w:top w:val="single" w:sz="12" w:space="0" w:color="auto"/>
              <w:left w:val="single" w:sz="12" w:space="0" w:color="auto"/>
            </w:tcBorders>
          </w:tcPr>
          <w:p w:rsidR="00AB65E9" w:rsidRPr="00F01332" w:rsidRDefault="00AB65E9" w:rsidP="00F01332">
            <w:pPr>
              <w:spacing w:before="50" w:after="50" w:line="240" w:lineRule="auto"/>
              <w:ind w:left="113" w:right="113"/>
              <w:jc w:val="right"/>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Total Benefit</w:t>
            </w:r>
            <w:r w:rsidRPr="00F01332">
              <w:rPr>
                <w:rFonts w:ascii="Arial" w:eastAsia="SimSun" w:hAnsi="Arial"/>
                <w:color w:val="000000"/>
                <w:spacing w:val="-5"/>
                <w:sz w:val="18"/>
                <w:szCs w:val="18"/>
                <w:lang w:eastAsia="zh-CN"/>
              </w:rPr>
              <w:t xml:space="preserve"> </w:t>
            </w:r>
            <w:r w:rsidRPr="00F01332">
              <w:rPr>
                <w:rFonts w:ascii="Arial" w:eastAsia="SimSun" w:hAnsi="Arial"/>
                <w:color w:val="000000"/>
                <w:spacing w:val="-5"/>
                <w:sz w:val="18"/>
                <w:szCs w:val="18"/>
                <w:lang w:eastAsia="zh-CN"/>
              </w:rPr>
              <w:br/>
              <w:t>(Present Value)</w:t>
            </w:r>
          </w:p>
        </w:tc>
      </w:tr>
      <w:tr w:rsidR="00AB65E9" w:rsidRPr="000F2B33" w:rsidTr="0057472C">
        <w:trPr>
          <w:trHeight w:hRule="exact" w:val="348"/>
        </w:trPr>
        <w:tc>
          <w:tcPr>
            <w:tcW w:w="1995" w:type="dxa"/>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Low </w:t>
            </w:r>
          </w:p>
        </w:tc>
        <w:tc>
          <w:tcPr>
            <w:tcW w:w="1949" w:type="dxa"/>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N/A</w:t>
            </w:r>
          </w:p>
        </w:tc>
        <w:tc>
          <w:tcPr>
            <w:tcW w:w="790" w:type="dxa"/>
            <w:vMerge w:val="restart"/>
            <w:vAlign w:val="center"/>
          </w:tcPr>
          <w:p w:rsidR="00AB65E9" w:rsidRPr="00F01332" w:rsidRDefault="00AB65E9" w:rsidP="00F01332">
            <w:pPr>
              <w:spacing w:before="50" w:after="50" w:line="240" w:lineRule="auto"/>
              <w:ind w:left="113" w:right="113"/>
              <w:jc w:val="center"/>
              <w:rPr>
                <w:rFonts w:ascii="Arial" w:eastAsia="SimSun" w:hAnsi="Arial"/>
                <w:spacing w:val="-5"/>
                <w:sz w:val="20"/>
                <w:szCs w:val="20"/>
                <w:lang w:eastAsia="zh-CN"/>
              </w:rPr>
            </w:pPr>
            <w:r>
              <w:rPr>
                <w:rFonts w:ascii="Arial" w:eastAsia="SimSun" w:hAnsi="Arial"/>
                <w:spacing w:val="-5"/>
                <w:sz w:val="20"/>
                <w:szCs w:val="20"/>
                <w:lang w:eastAsia="zh-CN"/>
              </w:rPr>
              <w:t>N/A</w:t>
            </w:r>
          </w:p>
        </w:tc>
        <w:tc>
          <w:tcPr>
            <w:tcW w:w="2865" w:type="dxa"/>
            <w:tcBorders>
              <w:righ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Unknown</w:t>
            </w:r>
          </w:p>
        </w:tc>
        <w:tc>
          <w:tcPr>
            <w:tcW w:w="2636" w:type="dxa"/>
            <w:gridSpan w:val="2"/>
            <w:tcBorders>
              <w:lef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spacing w:val="-5"/>
                <w:sz w:val="20"/>
                <w:szCs w:val="20"/>
                <w:lang w:eastAsia="zh-CN"/>
              </w:rPr>
              <w:t>Unknown</w:t>
            </w:r>
          </w:p>
        </w:tc>
      </w:tr>
      <w:tr w:rsidR="00AB65E9" w:rsidRPr="000F2B33" w:rsidTr="0057472C">
        <w:trPr>
          <w:trHeight w:hRule="exact" w:val="348"/>
        </w:trPr>
        <w:tc>
          <w:tcPr>
            <w:tcW w:w="1995" w:type="dxa"/>
            <w:tcBorders>
              <w:bottom w:val="single" w:sz="12" w:space="0" w:color="auto"/>
            </w:tcBorders>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High </w:t>
            </w:r>
          </w:p>
        </w:tc>
        <w:tc>
          <w:tcPr>
            <w:tcW w:w="1949" w:type="dxa"/>
            <w:tcBorders>
              <w:bottom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N/A</w:t>
            </w:r>
          </w:p>
        </w:tc>
        <w:tc>
          <w:tcPr>
            <w:tcW w:w="790" w:type="dxa"/>
            <w:vMerge/>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bottom w:val="single" w:sz="12" w:space="0" w:color="auto"/>
              <w:right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Unknown</w:t>
            </w:r>
          </w:p>
        </w:tc>
        <w:tc>
          <w:tcPr>
            <w:tcW w:w="2636" w:type="dxa"/>
            <w:gridSpan w:val="2"/>
            <w:tcBorders>
              <w:left w:val="single" w:sz="12" w:space="0" w:color="auto"/>
              <w:bottom w:val="single" w:sz="12" w:space="0" w:color="auto"/>
            </w:tcBorders>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spacing w:val="-5"/>
                <w:sz w:val="20"/>
                <w:szCs w:val="20"/>
                <w:lang w:eastAsia="zh-CN"/>
              </w:rPr>
              <w:t>Unknown</w:t>
            </w:r>
          </w:p>
        </w:tc>
      </w:tr>
      <w:tr w:rsidR="00AB65E9" w:rsidRPr="000F2B33" w:rsidTr="0057472C">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Best Estimate</w:t>
            </w:r>
          </w:p>
          <w:p w:rsidR="00AB65E9" w:rsidRPr="00F01332" w:rsidRDefault="00AB65E9">
            <w:pPr>
              <w:spacing w:beforeLines="40" w:before="96" w:after="60" w:line="240" w:lineRule="auto"/>
              <w:ind w:right="-22"/>
              <w:jc w:val="center"/>
              <w:rPr>
                <w:rFonts w:ascii="Arial" w:eastAsia="SimSun" w:hAnsi="Arial" w:cs="Arial"/>
                <w:b/>
                <w:sz w:val="20"/>
                <w:szCs w:val="20"/>
                <w:lang w:eastAsia="zh-CN"/>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N/A</w:t>
            </w:r>
          </w:p>
        </w:tc>
        <w:tc>
          <w:tcPr>
            <w:tcW w:w="790" w:type="dxa"/>
            <w:vMerge/>
            <w:tcBorders>
              <w:left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spacing w:val="-5"/>
                <w:sz w:val="20"/>
                <w:szCs w:val="20"/>
                <w:lang w:eastAsia="zh-CN"/>
              </w:rPr>
            </w:pPr>
            <w:r>
              <w:rPr>
                <w:rFonts w:ascii="Arial" w:eastAsia="SimSun" w:hAnsi="Arial"/>
                <w:spacing w:val="-5"/>
                <w:sz w:val="20"/>
                <w:szCs w:val="20"/>
                <w:lang w:eastAsia="zh-CN"/>
              </w:rPr>
              <w:t>Unknown</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B65E9" w:rsidRPr="00F01332" w:rsidRDefault="00AB65E9" w:rsidP="00F01332">
            <w:pPr>
              <w:spacing w:before="50" w:after="50" w:line="240" w:lineRule="auto"/>
              <w:ind w:left="113" w:right="113"/>
              <w:jc w:val="right"/>
              <w:rPr>
                <w:rFonts w:ascii="Arial" w:eastAsia="SimSun" w:hAnsi="Arial"/>
                <w:b/>
                <w:spacing w:val="-5"/>
                <w:sz w:val="20"/>
                <w:szCs w:val="20"/>
                <w:lang w:eastAsia="zh-CN"/>
              </w:rPr>
            </w:pPr>
            <w:r>
              <w:rPr>
                <w:rFonts w:ascii="Arial" w:eastAsia="SimSun" w:hAnsi="Arial"/>
                <w:spacing w:val="-5"/>
                <w:sz w:val="20"/>
                <w:szCs w:val="20"/>
                <w:lang w:eastAsia="zh-CN"/>
              </w:rPr>
              <w:t>Unknown</w:t>
            </w:r>
          </w:p>
        </w:tc>
      </w:tr>
      <w:tr w:rsidR="00AB65E9" w:rsidRPr="000F2B33" w:rsidTr="0055000C">
        <w:trPr>
          <w:trHeight w:hRule="exact" w:val="689"/>
        </w:trPr>
        <w:tc>
          <w:tcPr>
            <w:tcW w:w="10235" w:type="dxa"/>
            <w:gridSpan w:val="6"/>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Description and scale of key monetised benefits by ‘main affected groups’ </w:t>
            </w:r>
          </w:p>
          <w:p w:rsidR="00AB65E9" w:rsidRPr="00F01332" w:rsidRDefault="00AB65E9" w:rsidP="00F01332">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No benefits have bee</w:t>
            </w:r>
            <w:r w:rsidR="003D1194">
              <w:rPr>
                <w:rFonts w:ascii="Arial" w:eastAsia="SimSun" w:hAnsi="Arial"/>
                <w:spacing w:val="-5"/>
                <w:szCs w:val="20"/>
                <w:lang w:eastAsia="zh-CN"/>
              </w:rPr>
              <w:t>n</w:t>
            </w:r>
            <w:r>
              <w:rPr>
                <w:rFonts w:ascii="Arial" w:eastAsia="SimSun" w:hAnsi="Arial"/>
                <w:spacing w:val="-5"/>
                <w:szCs w:val="20"/>
                <w:lang w:eastAsia="zh-CN"/>
              </w:rPr>
              <w:t xml:space="preserve"> quantified under this option</w:t>
            </w:r>
            <w:r w:rsidR="003D1194">
              <w:rPr>
                <w:rFonts w:ascii="Arial" w:eastAsia="SimSun" w:hAnsi="Arial"/>
                <w:spacing w:val="-5"/>
                <w:szCs w:val="20"/>
                <w:lang w:eastAsia="zh-CN"/>
              </w:rPr>
              <w:t>, but see paragraph 76 for more detailed explanations</w:t>
            </w:r>
            <w:r>
              <w:rPr>
                <w:rFonts w:ascii="Arial" w:eastAsia="SimSun" w:hAnsi="Arial"/>
                <w:spacing w:val="-5"/>
                <w:szCs w:val="20"/>
                <w:lang w:eastAsia="zh-CN"/>
              </w:rPr>
              <w:t xml:space="preserve">. </w:t>
            </w:r>
          </w:p>
        </w:tc>
      </w:tr>
      <w:tr w:rsidR="00AB65E9" w:rsidRPr="000F2B33" w:rsidTr="0055000C">
        <w:trPr>
          <w:trHeight w:hRule="exact" w:val="1428"/>
        </w:trPr>
        <w:tc>
          <w:tcPr>
            <w:tcW w:w="10235" w:type="dxa"/>
            <w:gridSpan w:val="6"/>
          </w:tcPr>
          <w:p w:rsidR="00AB65E9" w:rsidRPr="00F01332" w:rsidRDefault="00AB65E9" w:rsidP="00F01332">
            <w:pPr>
              <w:spacing w:before="50" w:after="50" w:line="240" w:lineRule="auto"/>
              <w:ind w:left="113" w:right="113"/>
              <w:rPr>
                <w:rFonts w:ascii="Arial" w:eastAsia="SimSun" w:hAnsi="Arial"/>
                <w:b/>
                <w:color w:val="000000"/>
                <w:spacing w:val="-5"/>
                <w:sz w:val="20"/>
                <w:lang w:eastAsia="zh-CN"/>
              </w:rPr>
            </w:pPr>
            <w:r w:rsidRPr="00F01332">
              <w:rPr>
                <w:rFonts w:ascii="Arial" w:eastAsia="SimSun" w:hAnsi="Arial"/>
                <w:b/>
                <w:color w:val="000000"/>
                <w:spacing w:val="-5"/>
                <w:sz w:val="20"/>
                <w:szCs w:val="20"/>
                <w:lang w:eastAsia="zh-CN"/>
              </w:rPr>
              <w:t xml:space="preserve">Other key non-monetised benefits by ‘main affected groups’ </w:t>
            </w:r>
          </w:p>
          <w:p w:rsidR="00AB65E9" w:rsidRPr="00FA1DAD" w:rsidRDefault="00AB65E9" w:rsidP="00831471">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If this option was to be effective, it might deliver the same types of benefits as Option 1. However, given that</w:t>
            </w:r>
            <w:r w:rsidRPr="00FA1DAD">
              <w:rPr>
                <w:rFonts w:ascii="Arial" w:eastAsia="SimSun" w:hAnsi="Arial"/>
                <w:spacing w:val="-5"/>
                <w:szCs w:val="20"/>
                <w:lang w:eastAsia="zh-CN"/>
              </w:rPr>
              <w:t xml:space="preserve"> there has been opportunity for the profession to take action voluntarily</w:t>
            </w:r>
            <w:r>
              <w:rPr>
                <w:rFonts w:ascii="Arial" w:eastAsia="SimSun" w:hAnsi="Arial"/>
                <w:spacing w:val="-5"/>
                <w:szCs w:val="20"/>
                <w:lang w:eastAsia="zh-CN"/>
              </w:rPr>
              <w:t xml:space="preserve"> already</w:t>
            </w:r>
            <w:r w:rsidRPr="00FA1DAD">
              <w:rPr>
                <w:rFonts w:ascii="Arial" w:eastAsia="SimSun" w:hAnsi="Arial"/>
                <w:spacing w:val="-5"/>
                <w:szCs w:val="20"/>
                <w:lang w:eastAsia="zh-CN"/>
              </w:rPr>
              <w:t xml:space="preserve">, we do not think that this option would have sufficient impact and therefore the level of efficiency expected from this proposal is likely to be much lower than in Option 1.  </w:t>
            </w:r>
          </w:p>
        </w:tc>
      </w:tr>
      <w:tr w:rsidR="00AB65E9" w:rsidRPr="000F2B33" w:rsidTr="0057472C">
        <w:trPr>
          <w:trHeight w:hRule="exact" w:val="346"/>
        </w:trPr>
        <w:tc>
          <w:tcPr>
            <w:tcW w:w="9375" w:type="dxa"/>
            <w:gridSpan w:val="5"/>
            <w:tcBorders>
              <w:bottom w:val="nil"/>
            </w:tcBorders>
          </w:tcPr>
          <w:p w:rsidR="00AB65E9" w:rsidRPr="00F01332" w:rsidRDefault="00AB65E9" w:rsidP="00F01332">
            <w:pPr>
              <w:tabs>
                <w:tab w:val="left" w:pos="7655"/>
              </w:tabs>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Key assumptions/sensitivities/risks</w:t>
            </w:r>
            <w:r w:rsidRPr="00F01332">
              <w:rPr>
                <w:rFonts w:ascii="Arial" w:eastAsia="SimSun" w:hAnsi="Arial"/>
                <w:b/>
                <w:color w:val="000000"/>
                <w:spacing w:val="-5"/>
                <w:sz w:val="20"/>
                <w:szCs w:val="20"/>
                <w:lang w:eastAsia="zh-CN"/>
              </w:rPr>
              <w:tab/>
              <w:t>Discount rate (%)</w:t>
            </w:r>
          </w:p>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p>
        </w:tc>
        <w:tc>
          <w:tcPr>
            <w:tcW w:w="860" w:type="dxa"/>
            <w:tcBorders>
              <w:bottom w:val="single" w:sz="4" w:space="0" w:color="auto"/>
            </w:tcBorders>
          </w:tcPr>
          <w:p w:rsidR="00AB65E9" w:rsidRPr="00F01332" w:rsidRDefault="00AB65E9" w:rsidP="00F01332">
            <w:pPr>
              <w:spacing w:before="50" w:after="50" w:line="240" w:lineRule="auto"/>
              <w:ind w:right="113"/>
              <w:jc w:val="center"/>
              <w:rPr>
                <w:rFonts w:ascii="Arial" w:eastAsia="SimSun" w:hAnsi="Arial"/>
                <w:color w:val="000000"/>
                <w:spacing w:val="-5"/>
                <w:sz w:val="20"/>
                <w:szCs w:val="20"/>
                <w:lang w:eastAsia="zh-CN"/>
              </w:rPr>
            </w:pPr>
            <w:r w:rsidRPr="00F01332">
              <w:rPr>
                <w:rFonts w:ascii="Arial" w:eastAsia="SimSun" w:hAnsi="Arial"/>
                <w:color w:val="000000"/>
                <w:spacing w:val="-5"/>
                <w:sz w:val="20"/>
                <w:szCs w:val="20"/>
                <w:lang w:eastAsia="zh-CN"/>
              </w:rPr>
              <w:fldChar w:fldCharType="begin">
                <w:ffData>
                  <w:name w:val=""/>
                  <w:enabled/>
                  <w:calcOnExit w:val="0"/>
                  <w:textInput>
                    <w:maxLength w:val="5"/>
                  </w:textInput>
                </w:ffData>
              </w:fldChar>
            </w:r>
            <w:r w:rsidRPr="00F01332">
              <w:rPr>
                <w:rFonts w:ascii="Arial" w:eastAsia="SimSun" w:hAnsi="Arial"/>
                <w:color w:val="000000"/>
                <w:spacing w:val="-5"/>
                <w:sz w:val="20"/>
                <w:szCs w:val="20"/>
                <w:lang w:eastAsia="zh-CN"/>
              </w:rPr>
              <w:instrText xml:space="preserve"> FORMTEXT </w:instrText>
            </w:r>
            <w:r w:rsidRPr="00F01332">
              <w:rPr>
                <w:rFonts w:ascii="Arial" w:eastAsia="SimSun" w:hAnsi="Arial"/>
                <w:color w:val="000000"/>
                <w:spacing w:val="-5"/>
                <w:sz w:val="20"/>
                <w:szCs w:val="20"/>
                <w:lang w:eastAsia="zh-CN"/>
              </w:rPr>
            </w:r>
            <w:r w:rsidRPr="00F01332">
              <w:rPr>
                <w:rFonts w:ascii="Arial" w:eastAsia="SimSun" w:hAnsi="Arial"/>
                <w:color w:val="000000"/>
                <w:spacing w:val="-5"/>
                <w:sz w:val="20"/>
                <w:szCs w:val="20"/>
                <w:lang w:eastAsia="zh-CN"/>
              </w:rPr>
              <w:fldChar w:fldCharType="separate"/>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noProof/>
                <w:color w:val="000000"/>
                <w:spacing w:val="-5"/>
                <w:sz w:val="20"/>
                <w:szCs w:val="20"/>
                <w:lang w:eastAsia="zh-CN"/>
              </w:rPr>
              <w:t> </w:t>
            </w:r>
            <w:r w:rsidRPr="00F01332">
              <w:rPr>
                <w:rFonts w:ascii="Arial" w:eastAsia="SimSun" w:hAnsi="Arial"/>
                <w:color w:val="000000"/>
                <w:spacing w:val="-5"/>
                <w:sz w:val="20"/>
                <w:szCs w:val="20"/>
                <w:lang w:eastAsia="zh-CN"/>
              </w:rPr>
              <w:fldChar w:fldCharType="end"/>
            </w:r>
          </w:p>
        </w:tc>
      </w:tr>
      <w:tr w:rsidR="00AB65E9" w:rsidRPr="000F2B33" w:rsidTr="0055000C">
        <w:trPr>
          <w:trHeight w:hRule="exact" w:val="1070"/>
        </w:trPr>
        <w:tc>
          <w:tcPr>
            <w:tcW w:w="10235" w:type="dxa"/>
            <w:gridSpan w:val="6"/>
            <w:tcBorders>
              <w:top w:val="nil"/>
              <w:bottom w:val="single" w:sz="12" w:space="0" w:color="auto"/>
            </w:tcBorders>
          </w:tcPr>
          <w:p w:rsidR="00AB65E9" w:rsidRPr="00F01332" w:rsidRDefault="00AB65E9" w:rsidP="006D5333">
            <w:pPr>
              <w:spacing w:after="0" w:line="240" w:lineRule="auto"/>
              <w:ind w:left="113" w:right="113"/>
              <w:rPr>
                <w:rFonts w:ascii="Arial" w:eastAsia="SimSun" w:hAnsi="Arial"/>
                <w:spacing w:val="-5"/>
                <w:szCs w:val="20"/>
                <w:lang w:eastAsia="zh-CN"/>
              </w:rPr>
            </w:pPr>
            <w:r>
              <w:rPr>
                <w:rFonts w:ascii="Arial" w:eastAsia="SimSun" w:hAnsi="Arial"/>
                <w:spacing w:val="-5"/>
                <w:szCs w:val="20"/>
                <w:lang w:eastAsia="zh-CN"/>
              </w:rPr>
              <w:t>There ha</w:t>
            </w:r>
            <w:r w:rsidR="00E75C7F">
              <w:rPr>
                <w:rFonts w:ascii="Arial" w:eastAsia="SimSun" w:hAnsi="Arial"/>
                <w:spacing w:val="-5"/>
                <w:szCs w:val="20"/>
                <w:lang w:eastAsia="zh-CN"/>
              </w:rPr>
              <w:t>ve</w:t>
            </w:r>
            <w:r>
              <w:rPr>
                <w:rFonts w:ascii="Arial" w:eastAsia="SimSun" w:hAnsi="Arial"/>
                <w:spacing w:val="-5"/>
                <w:szCs w:val="20"/>
                <w:lang w:eastAsia="zh-CN"/>
              </w:rPr>
              <w:t xml:space="preserve"> been opportunities for the profession to take voluntary actions</w:t>
            </w:r>
            <w:r w:rsidR="00E75C7F">
              <w:rPr>
                <w:rFonts w:ascii="Arial" w:eastAsia="SimSun" w:hAnsi="Arial"/>
                <w:spacing w:val="-5"/>
                <w:szCs w:val="20"/>
                <w:lang w:eastAsia="zh-CN"/>
              </w:rPr>
              <w:t xml:space="preserve"> in respect of fees, but little or no action has been taken</w:t>
            </w:r>
            <w:r>
              <w:rPr>
                <w:rFonts w:ascii="Arial" w:eastAsia="SimSun" w:hAnsi="Arial"/>
                <w:spacing w:val="-5"/>
                <w:szCs w:val="20"/>
                <w:lang w:eastAsia="zh-CN"/>
              </w:rPr>
              <w:t>. Therefore any benefits from a voluntary approach are expected to be</w:t>
            </w:r>
            <w:r w:rsidR="00E75C7F">
              <w:rPr>
                <w:rFonts w:ascii="Arial" w:eastAsia="SimSun" w:hAnsi="Arial"/>
                <w:spacing w:val="-5"/>
                <w:szCs w:val="20"/>
                <w:lang w:eastAsia="zh-CN"/>
              </w:rPr>
              <w:t xml:space="preserve"> minimal and</w:t>
            </w:r>
            <w:r>
              <w:rPr>
                <w:rFonts w:ascii="Arial" w:eastAsia="SimSun" w:hAnsi="Arial"/>
                <w:spacing w:val="-5"/>
                <w:szCs w:val="20"/>
                <w:lang w:eastAsia="zh-CN"/>
              </w:rPr>
              <w:t xml:space="preserve"> much lower than any regulatory approach. </w:t>
            </w:r>
          </w:p>
        </w:tc>
      </w:tr>
    </w:tbl>
    <w:p w:rsidR="00FB622B" w:rsidRDefault="00FB622B" w:rsidP="00F01332">
      <w:pPr>
        <w:spacing w:before="50" w:after="50" w:line="240" w:lineRule="auto"/>
        <w:rPr>
          <w:rFonts w:ascii="Arial" w:eastAsia="SimSun" w:hAnsi="Arial"/>
          <w:b/>
          <w:color w:val="000000"/>
          <w:spacing w:val="-5"/>
          <w:sz w:val="20"/>
          <w:szCs w:val="20"/>
          <w:lang w:eastAsia="zh-CN"/>
        </w:rPr>
      </w:pPr>
    </w:p>
    <w:p w:rsidR="00AB65E9" w:rsidRPr="00F01332" w:rsidRDefault="00AB65E9" w:rsidP="00F01332">
      <w:pPr>
        <w:spacing w:before="50" w:after="50" w:line="240" w:lineRule="auto"/>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BUSINESS ASSESSMENT (Option 2)</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AB65E9" w:rsidRPr="000F2B33" w:rsidTr="0057472C">
        <w:trPr>
          <w:trHeight w:hRule="exact" w:val="312"/>
        </w:trPr>
        <w:tc>
          <w:tcPr>
            <w:tcW w:w="6125" w:type="dxa"/>
            <w:gridSpan w:val="3"/>
            <w:tcBorders>
              <w:top w:val="single" w:sz="4" w:space="0" w:color="auto"/>
              <w:bottom w:val="nil"/>
              <w:right w:val="single" w:sz="4" w:space="0" w:color="auto"/>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Direct impact on business (Equivalent Annual) £m: </w:t>
            </w:r>
          </w:p>
        </w:tc>
        <w:tc>
          <w:tcPr>
            <w:tcW w:w="1980" w:type="dxa"/>
            <w:tcBorders>
              <w:top w:val="single" w:sz="4" w:space="0" w:color="auto"/>
              <w:left w:val="single" w:sz="4" w:space="0" w:color="auto"/>
              <w:bottom w:val="nil"/>
              <w:right w:val="nil"/>
            </w:tcBorders>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In scope of OITO?</w:t>
            </w:r>
          </w:p>
        </w:tc>
        <w:tc>
          <w:tcPr>
            <w:tcW w:w="2110" w:type="dxa"/>
            <w:tcBorders>
              <w:top w:val="single" w:sz="4" w:space="0" w:color="auto"/>
              <w:left w:val="nil"/>
              <w:bottom w:val="nil"/>
            </w:tcBorders>
          </w:tcPr>
          <w:p w:rsidR="00AB65E9" w:rsidRPr="00F01332" w:rsidRDefault="00AB65E9" w:rsidP="00F01332">
            <w:pPr>
              <w:spacing w:before="50" w:after="50" w:line="240" w:lineRule="auto"/>
              <w:ind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  Measure qualifies as</w:t>
            </w:r>
          </w:p>
        </w:tc>
      </w:tr>
      <w:tr w:rsidR="00AB65E9" w:rsidRPr="000F2B33" w:rsidTr="00AB4323">
        <w:trPr>
          <w:trHeight w:hRule="exact" w:val="810"/>
        </w:trPr>
        <w:tc>
          <w:tcPr>
            <w:tcW w:w="1990" w:type="dxa"/>
            <w:tcBorders>
              <w:top w:val="nil"/>
              <w:bottom w:val="single" w:sz="4" w:space="0" w:color="auto"/>
              <w:right w:val="single" w:sz="4"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Costs: </w:t>
            </w:r>
            <w:r>
              <w:rPr>
                <w:rFonts w:ascii="Arial" w:eastAsia="SimSun" w:hAnsi="Arial"/>
                <w:b/>
                <w:color w:val="000000"/>
                <w:spacing w:val="-5"/>
                <w:sz w:val="20"/>
                <w:szCs w:val="20"/>
                <w:lang w:eastAsia="zh-CN"/>
              </w:rPr>
              <w:t>N/A</w:t>
            </w:r>
          </w:p>
        </w:tc>
        <w:tc>
          <w:tcPr>
            <w:tcW w:w="2155" w:type="dxa"/>
            <w:tcBorders>
              <w:top w:val="nil"/>
              <w:bottom w:val="single" w:sz="4" w:space="0" w:color="auto"/>
              <w:right w:val="single" w:sz="4"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Benefits: </w:t>
            </w:r>
            <w:r>
              <w:rPr>
                <w:rFonts w:ascii="Arial" w:eastAsia="SimSun" w:hAnsi="Arial"/>
                <w:color w:val="000000"/>
                <w:spacing w:val="-5"/>
                <w:sz w:val="20"/>
                <w:szCs w:val="20"/>
                <w:lang w:eastAsia="zh-CN"/>
              </w:rPr>
              <w:t>N/A</w:t>
            </w:r>
          </w:p>
        </w:tc>
        <w:tc>
          <w:tcPr>
            <w:tcW w:w="1980" w:type="dxa"/>
            <w:tcBorders>
              <w:top w:val="nil"/>
              <w:bottom w:val="single" w:sz="4" w:space="0" w:color="auto"/>
              <w:right w:val="single" w:sz="4"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b/>
                <w:color w:val="000000"/>
                <w:spacing w:val="-5"/>
                <w:sz w:val="20"/>
                <w:szCs w:val="20"/>
                <w:lang w:eastAsia="zh-CN"/>
              </w:rPr>
            </w:pPr>
            <w:r w:rsidRPr="00F01332">
              <w:rPr>
                <w:rFonts w:ascii="Arial" w:eastAsia="SimSun" w:hAnsi="Arial"/>
                <w:b/>
                <w:color w:val="000000"/>
                <w:spacing w:val="-5"/>
                <w:sz w:val="20"/>
                <w:szCs w:val="20"/>
                <w:lang w:eastAsia="zh-CN"/>
              </w:rPr>
              <w:t xml:space="preserve">Net: </w:t>
            </w:r>
            <w:r>
              <w:rPr>
                <w:rFonts w:ascii="Arial" w:eastAsia="SimSun" w:hAnsi="Arial"/>
                <w:color w:val="000000"/>
                <w:spacing w:val="-5"/>
                <w:sz w:val="20"/>
                <w:szCs w:val="20"/>
                <w:lang w:eastAsia="zh-CN"/>
              </w:rPr>
              <w:t>N/A</w:t>
            </w:r>
          </w:p>
        </w:tc>
        <w:tc>
          <w:tcPr>
            <w:tcW w:w="1980" w:type="dxa"/>
            <w:tcBorders>
              <w:top w:val="nil"/>
              <w:left w:val="single" w:sz="4" w:space="0" w:color="auto"/>
              <w:bottom w:val="single" w:sz="4" w:space="0" w:color="auto"/>
              <w:right w:val="single" w:sz="4" w:space="0" w:color="auto"/>
            </w:tcBorders>
            <w:shd w:val="clear" w:color="auto" w:fill="FFFFFF"/>
          </w:tcPr>
          <w:p w:rsidR="00AB65E9" w:rsidRPr="00F01332" w:rsidRDefault="00AB65E9" w:rsidP="00F01332">
            <w:pPr>
              <w:spacing w:before="50" w:after="50" w:line="240" w:lineRule="auto"/>
              <w:ind w:left="113" w:right="113"/>
              <w:rPr>
                <w:rFonts w:ascii="Arial" w:eastAsia="SimSun" w:hAnsi="Arial"/>
                <w:color w:val="000000"/>
                <w:spacing w:val="-5"/>
                <w:sz w:val="20"/>
                <w:szCs w:val="20"/>
                <w:lang w:eastAsia="zh-CN"/>
              </w:rPr>
            </w:pPr>
            <w:r>
              <w:rPr>
                <w:rFonts w:ascii="Arial" w:eastAsia="SimSun" w:hAnsi="Arial"/>
                <w:color w:val="000000"/>
                <w:spacing w:val="-5"/>
                <w:sz w:val="20"/>
                <w:szCs w:val="20"/>
                <w:lang w:eastAsia="zh-CN"/>
              </w:rPr>
              <w:t>No</w:t>
            </w:r>
          </w:p>
        </w:tc>
        <w:tc>
          <w:tcPr>
            <w:tcW w:w="2110" w:type="dxa"/>
            <w:tcBorders>
              <w:top w:val="nil"/>
              <w:left w:val="single" w:sz="4" w:space="0" w:color="auto"/>
              <w:bottom w:val="single" w:sz="4" w:space="0" w:color="auto"/>
            </w:tcBorders>
          </w:tcPr>
          <w:p w:rsidR="00AB65E9" w:rsidRPr="00F01332" w:rsidRDefault="00AB65E9" w:rsidP="00F01332">
            <w:pPr>
              <w:spacing w:before="50" w:after="50" w:line="240" w:lineRule="auto"/>
              <w:ind w:left="113" w:right="113"/>
              <w:rPr>
                <w:rFonts w:ascii="Arial" w:eastAsia="SimSun" w:hAnsi="Arial"/>
                <w:color w:val="000000"/>
                <w:spacing w:val="-5"/>
                <w:sz w:val="20"/>
                <w:szCs w:val="20"/>
                <w:lang w:eastAsia="zh-CN"/>
              </w:rPr>
            </w:pPr>
            <w:r>
              <w:rPr>
                <w:rFonts w:ascii="Arial" w:eastAsia="SimSun" w:hAnsi="Arial"/>
                <w:color w:val="000000"/>
                <w:spacing w:val="-5"/>
                <w:sz w:val="20"/>
                <w:szCs w:val="20"/>
                <w:lang w:eastAsia="zh-CN"/>
              </w:rPr>
              <w:t>N/A</w:t>
            </w:r>
          </w:p>
        </w:tc>
      </w:tr>
    </w:tbl>
    <w:p w:rsidR="00AB4323" w:rsidRDefault="00AB4323">
      <w:pPr>
        <w:spacing w:after="0" w:line="240" w:lineRule="auto"/>
        <w:rPr>
          <w:rFonts w:ascii="Arial Bold" w:hAnsi="Arial Bold" w:cs="Arial"/>
          <w:b/>
          <w:bCs/>
          <w:spacing w:val="-4"/>
          <w:kern w:val="32"/>
          <w:sz w:val="32"/>
          <w:szCs w:val="32"/>
        </w:rPr>
      </w:pPr>
      <w:bookmarkStart w:id="23" w:name="EvidenceHead"/>
    </w:p>
    <w:p w:rsidR="00AB65E9" w:rsidRPr="00F01332" w:rsidRDefault="00AB65E9" w:rsidP="00F01332">
      <w:pPr>
        <w:keepNext/>
        <w:tabs>
          <w:tab w:val="right" w:pos="10206"/>
        </w:tabs>
        <w:spacing w:after="60" w:line="240" w:lineRule="auto"/>
        <w:outlineLvl w:val="0"/>
        <w:rPr>
          <w:rFonts w:ascii="Arial Bold" w:hAnsi="Arial Bold" w:cs="Arial"/>
          <w:b/>
          <w:bCs/>
          <w:spacing w:val="-4"/>
          <w:kern w:val="32"/>
          <w:sz w:val="32"/>
          <w:szCs w:val="32"/>
        </w:rPr>
      </w:pPr>
      <w:r w:rsidRPr="00F01332">
        <w:rPr>
          <w:rFonts w:ascii="Arial Bold" w:hAnsi="Arial Bold" w:cs="Arial"/>
          <w:b/>
          <w:bCs/>
          <w:spacing w:val="-4"/>
          <w:kern w:val="32"/>
          <w:sz w:val="32"/>
          <w:szCs w:val="32"/>
        </w:rPr>
        <w:lastRenderedPageBreak/>
        <w:t xml:space="preserve">Evidence Base </w:t>
      </w:r>
      <w:bookmarkStart w:id="24" w:name="EvidenceBase"/>
      <w:bookmarkEnd w:id="24"/>
      <w:r w:rsidRPr="00F01332">
        <w:rPr>
          <w:rFonts w:ascii="Arial Bold" w:hAnsi="Arial Bold" w:cs="Arial"/>
          <w:b/>
          <w:bCs/>
          <w:spacing w:val="-4"/>
          <w:kern w:val="32"/>
          <w:sz w:val="32"/>
          <w:szCs w:val="32"/>
        </w:rPr>
        <w:t>(for summary sheets)</w:t>
      </w:r>
    </w:p>
    <w:bookmarkEnd w:id="23"/>
    <w:p w:rsidR="00AB65E9" w:rsidRPr="00F01332" w:rsidRDefault="00AB65E9" w:rsidP="00F01332">
      <w:pPr>
        <w:keepNext/>
        <w:spacing w:after="120" w:line="240" w:lineRule="auto"/>
        <w:rPr>
          <w:rFonts w:ascii="Arial" w:hAnsi="Arial" w:cs="Arial"/>
          <w:bCs/>
          <w:color w:val="000000"/>
          <w:sz w:val="24"/>
          <w:szCs w:val="24"/>
          <w:lang w:eastAsia="en-GB"/>
        </w:rPr>
      </w:pPr>
      <w:r w:rsidRPr="00F01332">
        <w:rPr>
          <w:rFonts w:ascii="Arial" w:hAnsi="Arial" w:cs="Arial"/>
          <w:b/>
          <w:bCs/>
          <w:color w:val="000000"/>
          <w:sz w:val="24"/>
          <w:szCs w:val="24"/>
          <w:lang w:eastAsia="en-GB"/>
        </w:rPr>
        <w:t>Problem under consideration</w:t>
      </w:r>
      <w:r w:rsidRPr="00F01332">
        <w:rPr>
          <w:rFonts w:ascii="Arial" w:hAnsi="Arial" w:cs="Arial"/>
          <w:bCs/>
          <w:color w:val="000000"/>
          <w:sz w:val="24"/>
          <w:szCs w:val="24"/>
          <w:lang w:eastAsia="en-GB"/>
        </w:rPr>
        <w:t>;</w:t>
      </w:r>
    </w:p>
    <w:p w:rsidR="009F12C1" w:rsidRDefault="009F12C1" w:rsidP="00F01332">
      <w:pPr>
        <w:keepNext/>
        <w:numPr>
          <w:ilvl w:val="0"/>
          <w:numId w:val="15"/>
        </w:numPr>
        <w:spacing w:after="120" w:line="240" w:lineRule="auto"/>
        <w:jc w:val="both"/>
        <w:rPr>
          <w:rFonts w:ascii="Arial" w:hAnsi="Arial" w:cs="Arial"/>
          <w:bCs/>
          <w:color w:val="000000"/>
          <w:lang w:eastAsia="en-GB"/>
        </w:rPr>
      </w:pPr>
      <w:r>
        <w:rPr>
          <w:rFonts w:ascii="Arial" w:hAnsi="Arial" w:cs="Arial"/>
          <w:bCs/>
          <w:color w:val="000000"/>
          <w:lang w:eastAsia="en-GB"/>
        </w:rPr>
        <w:t>IPs act as office-holders in insolvency procedures. To be qualified to act as an IP, the Insolvency Act 1986 requires a person to be authorised as a member of a professional body which has been recognised for this purpose by the Secretary of State. There are currently 7 of these recognised professional bodies (RPBs). Once authorised, IPs are regulated through a system of self-regulation by the RPBs, overseen by the Insolvency Service. Each of the RPBs has a set of rules and regulations to ensure that those indivi</w:t>
      </w:r>
      <w:r w:rsidR="004F49E6">
        <w:rPr>
          <w:rFonts w:ascii="Arial" w:hAnsi="Arial" w:cs="Arial"/>
          <w:bCs/>
          <w:color w:val="000000"/>
          <w:lang w:eastAsia="en-GB"/>
        </w:rPr>
        <w:t xml:space="preserve">duals they authorise to act as IPs are fit and proper persons with the necessary experience, qualifications and insurance in place. </w:t>
      </w:r>
      <w:r>
        <w:rPr>
          <w:rFonts w:ascii="Arial" w:hAnsi="Arial" w:cs="Arial"/>
          <w:bCs/>
          <w:color w:val="000000"/>
          <w:lang w:eastAsia="en-GB"/>
        </w:rPr>
        <w:t xml:space="preserve">  </w:t>
      </w:r>
    </w:p>
    <w:p w:rsidR="00AB65E9" w:rsidRPr="00BF2ADD" w:rsidRDefault="00AB65E9" w:rsidP="00F01332">
      <w:pPr>
        <w:keepNext/>
        <w:numPr>
          <w:ilvl w:val="0"/>
          <w:numId w:val="15"/>
        </w:numPr>
        <w:spacing w:after="120" w:line="240" w:lineRule="auto"/>
        <w:jc w:val="both"/>
        <w:rPr>
          <w:rFonts w:ascii="Arial" w:hAnsi="Arial" w:cs="Arial"/>
          <w:bCs/>
          <w:color w:val="000000"/>
          <w:lang w:eastAsia="en-GB"/>
        </w:rPr>
      </w:pPr>
      <w:r w:rsidRPr="00BF2ADD">
        <w:rPr>
          <w:rFonts w:ascii="Arial" w:hAnsi="Arial" w:cs="Arial"/>
          <w:bCs/>
          <w:color w:val="000000"/>
          <w:lang w:eastAsia="en-GB"/>
        </w:rPr>
        <w:t>The OFT report</w:t>
      </w:r>
      <w:r w:rsidR="00017DEC" w:rsidRPr="00BF2ADD">
        <w:rPr>
          <w:rStyle w:val="FootnoteReference"/>
          <w:rFonts w:ascii="Arial" w:hAnsi="Arial" w:cs="Arial"/>
          <w:bCs/>
          <w:color w:val="000000"/>
          <w:lang w:eastAsia="en-GB"/>
        </w:rPr>
        <w:t xml:space="preserve"> </w:t>
      </w:r>
      <w:r w:rsidRPr="00BF2ADD">
        <w:rPr>
          <w:rFonts w:ascii="Arial" w:hAnsi="Arial" w:cs="Arial"/>
          <w:bCs/>
          <w:color w:val="000000"/>
          <w:lang w:eastAsia="en-GB"/>
        </w:rPr>
        <w:t>into the market for corporate IPs in 2010</w:t>
      </w:r>
      <w:r w:rsidR="00017DEC" w:rsidRPr="00BF2ADD">
        <w:rPr>
          <w:rStyle w:val="FootnoteReference"/>
          <w:rFonts w:ascii="Arial" w:hAnsi="Arial" w:cs="Arial"/>
          <w:bCs/>
          <w:color w:val="000000"/>
          <w:lang w:eastAsia="en-GB"/>
        </w:rPr>
        <w:footnoteReference w:id="1"/>
      </w:r>
      <w:r w:rsidRPr="00BF2ADD">
        <w:rPr>
          <w:rFonts w:ascii="Arial" w:hAnsi="Arial" w:cs="Arial"/>
          <w:bCs/>
          <w:color w:val="000000"/>
          <w:lang w:eastAsia="en-GB"/>
        </w:rPr>
        <w:t xml:space="preserve"> found that in just over a third of insolvency cases, where unsecured creditors receive a pay-out and thereby bear the cost of the IPs fees, fees are estimated to be 9% higher in like-for-like cases than where secured creditors ‘control’ the IPs fees. The OFT estimated that in administration cases only, this amounted to £15m per year that unsecured creditors were paying in higher fees to IPs. Despite numerous discussions with the profession and the regulators little has changed to address this market failure and concerns continue to be raised by creditors about the fees (both remuneration and expenses) charged by IPs and the impact this has on the position of unsecured creditors in insolvency situations. </w:t>
      </w:r>
    </w:p>
    <w:p w:rsidR="00AB65E9" w:rsidRPr="00BF2ADD" w:rsidRDefault="00AB65E9" w:rsidP="00F01332">
      <w:pPr>
        <w:keepNext/>
        <w:numPr>
          <w:ilvl w:val="0"/>
          <w:numId w:val="15"/>
        </w:numPr>
        <w:spacing w:after="120" w:line="240" w:lineRule="auto"/>
        <w:jc w:val="both"/>
        <w:rPr>
          <w:rFonts w:ascii="Arial" w:hAnsi="Arial" w:cs="Arial"/>
          <w:bCs/>
          <w:color w:val="000000"/>
          <w:lang w:eastAsia="en-GB"/>
        </w:rPr>
      </w:pPr>
      <w:r w:rsidRPr="00BF2ADD">
        <w:rPr>
          <w:rFonts w:ascii="Arial" w:hAnsi="Arial" w:cs="Arial"/>
          <w:bCs/>
          <w:color w:val="000000"/>
          <w:lang w:eastAsia="en-GB"/>
        </w:rPr>
        <w:t xml:space="preserve">As a result of on-going concern, in December 2012 the Government announced a review, led by Professor Elaine </w:t>
      </w:r>
      <w:proofErr w:type="spellStart"/>
      <w:r w:rsidRPr="00BF2ADD">
        <w:rPr>
          <w:rFonts w:ascii="Arial" w:hAnsi="Arial" w:cs="Arial"/>
          <w:bCs/>
          <w:color w:val="000000"/>
          <w:lang w:eastAsia="en-GB"/>
        </w:rPr>
        <w:t>Kempson</w:t>
      </w:r>
      <w:proofErr w:type="spellEnd"/>
      <w:r w:rsidRPr="00BF2ADD">
        <w:rPr>
          <w:rFonts w:ascii="Arial" w:hAnsi="Arial" w:cs="Arial"/>
          <w:bCs/>
          <w:color w:val="000000"/>
          <w:lang w:eastAsia="en-GB"/>
        </w:rPr>
        <w:t xml:space="preserve">, into IP fees to ensure that creditors are being charged fairly and to increase confidence in the insolvency regime. In July 2013 Professor </w:t>
      </w:r>
      <w:proofErr w:type="spellStart"/>
      <w:r w:rsidRPr="00BF2ADD">
        <w:rPr>
          <w:rFonts w:ascii="Arial" w:hAnsi="Arial" w:cs="Arial"/>
          <w:bCs/>
          <w:color w:val="000000"/>
          <w:lang w:eastAsia="en-GB"/>
        </w:rPr>
        <w:t>Kempson</w:t>
      </w:r>
      <w:proofErr w:type="spellEnd"/>
      <w:r w:rsidRPr="00BF2ADD">
        <w:rPr>
          <w:rFonts w:ascii="Arial" w:hAnsi="Arial" w:cs="Arial"/>
          <w:bCs/>
          <w:color w:val="000000"/>
          <w:lang w:eastAsia="en-GB"/>
        </w:rPr>
        <w:t xml:space="preserve"> published her report</w:t>
      </w:r>
      <w:r w:rsidR="006C6FD9">
        <w:rPr>
          <w:rStyle w:val="FootnoteReference"/>
          <w:rFonts w:ascii="Arial" w:hAnsi="Arial"/>
          <w:bCs/>
          <w:color w:val="000000"/>
          <w:lang w:eastAsia="en-GB"/>
        </w:rPr>
        <w:footnoteReference w:id="2"/>
      </w:r>
      <w:r w:rsidRPr="00BF2ADD">
        <w:rPr>
          <w:rFonts w:ascii="Arial" w:hAnsi="Arial" w:cs="Arial"/>
          <w:bCs/>
          <w:color w:val="000000"/>
          <w:lang w:eastAsia="en-GB"/>
        </w:rPr>
        <w:t xml:space="preserve"> which found that the current system of controls on IP remuneration works as intended where a secured creditor plays an active part in </w:t>
      </w:r>
      <w:r w:rsidR="0055000C">
        <w:rPr>
          <w:rFonts w:ascii="Arial" w:hAnsi="Arial" w:cs="Arial"/>
          <w:bCs/>
          <w:color w:val="000000"/>
          <w:lang w:eastAsia="en-GB"/>
        </w:rPr>
        <w:t xml:space="preserve">an </w:t>
      </w:r>
      <w:r w:rsidR="0055000C" w:rsidRPr="00BF2ADD">
        <w:rPr>
          <w:rFonts w:ascii="Arial" w:hAnsi="Arial" w:cs="Arial"/>
          <w:bCs/>
          <w:color w:val="000000"/>
          <w:lang w:eastAsia="en-GB"/>
        </w:rPr>
        <w:t>insolvency</w:t>
      </w:r>
      <w:r w:rsidRPr="00BF2ADD">
        <w:rPr>
          <w:rFonts w:ascii="Arial" w:hAnsi="Arial" w:cs="Arial"/>
          <w:bCs/>
          <w:color w:val="000000"/>
          <w:lang w:eastAsia="en-GB"/>
        </w:rPr>
        <w:t xml:space="preserve">. In this situation there is a degree of competition, as banks are repeat customers and IPs want to join and remain on Bank panels. </w:t>
      </w:r>
    </w:p>
    <w:p w:rsidR="00AB65E9" w:rsidRPr="00BF2ADD" w:rsidRDefault="00AB65E9" w:rsidP="00F01332">
      <w:pPr>
        <w:keepNext/>
        <w:numPr>
          <w:ilvl w:val="0"/>
          <w:numId w:val="15"/>
        </w:numPr>
        <w:spacing w:after="120" w:line="240" w:lineRule="auto"/>
        <w:jc w:val="both"/>
        <w:rPr>
          <w:rFonts w:ascii="Arial" w:hAnsi="Arial" w:cs="Arial"/>
          <w:bCs/>
          <w:color w:val="000000"/>
          <w:lang w:eastAsia="en-GB"/>
        </w:rPr>
      </w:pPr>
      <w:r w:rsidRPr="00BF2ADD">
        <w:rPr>
          <w:rFonts w:ascii="Arial" w:hAnsi="Arial" w:cs="Arial"/>
          <w:bCs/>
          <w:color w:val="000000"/>
          <w:lang w:eastAsia="en-GB"/>
        </w:rPr>
        <w:t xml:space="preserve">On the other hand there is evidence that where control lies in the hands of unsecured creditors collectively, the current control mechanisms do not work as intended. In such circumstances there is little competition for jobs, no ‘identifiable’ client (as the IP is working to a number of unsecured creditors, most of which have no involvement) and creditors are required to work together, in circumstances where they don’t know, or find it difficult to contact, each other. This results in little effective oversight by unsecured creditors of the work undertaken by IPs. IPs take their remuneration on the basis of time and rate in the majority of cases, which requires creditors to have considerable knowledge and understanding of the process in order to question the amount of time spent.  The only current route for complaining about quantum of fees is through the courts which is costly. For all these reasons, there is little control or oversight, and higher fees are paid where unsecured creditors are responsible for paying. </w:t>
      </w:r>
    </w:p>
    <w:p w:rsidR="00AB65E9" w:rsidRPr="00BF2ADD" w:rsidRDefault="00AB65E9" w:rsidP="00F01332">
      <w:pPr>
        <w:keepNext/>
        <w:numPr>
          <w:ilvl w:val="0"/>
          <w:numId w:val="15"/>
        </w:numPr>
        <w:spacing w:after="120" w:line="240" w:lineRule="auto"/>
        <w:jc w:val="both"/>
        <w:rPr>
          <w:rFonts w:ascii="Arial" w:hAnsi="Arial" w:cs="Arial"/>
          <w:bCs/>
          <w:color w:val="000000"/>
          <w:lang w:eastAsia="en-GB"/>
        </w:rPr>
      </w:pPr>
      <w:r w:rsidRPr="00BF2ADD">
        <w:rPr>
          <w:rFonts w:ascii="Arial" w:hAnsi="Arial" w:cs="Arial"/>
          <w:bCs/>
          <w:color w:val="000000"/>
          <w:lang w:eastAsia="en-GB"/>
        </w:rPr>
        <w:t xml:space="preserve">The decisions </w:t>
      </w:r>
      <w:r w:rsidR="00AB4323" w:rsidRPr="00BF2ADD">
        <w:rPr>
          <w:rFonts w:ascii="Arial" w:hAnsi="Arial" w:cs="Arial"/>
          <w:bCs/>
          <w:color w:val="000000"/>
          <w:lang w:eastAsia="en-GB"/>
        </w:rPr>
        <w:t>IPs</w:t>
      </w:r>
      <w:r w:rsidRPr="00BF2ADD">
        <w:rPr>
          <w:rFonts w:ascii="Arial" w:hAnsi="Arial" w:cs="Arial"/>
          <w:bCs/>
          <w:color w:val="000000"/>
          <w:lang w:eastAsia="en-GB"/>
        </w:rPr>
        <w:t xml:space="preserve"> make in any insolvency procedure, where they have wide powers, can have a substantial impact on the funds available to creditors. Creditors are reliant on IPs to act fairly in their best interests.  Professor </w:t>
      </w:r>
      <w:proofErr w:type="spellStart"/>
      <w:r w:rsidRPr="00BF2ADD">
        <w:rPr>
          <w:rFonts w:ascii="Arial" w:hAnsi="Arial" w:cs="Arial"/>
          <w:bCs/>
          <w:color w:val="000000"/>
          <w:lang w:eastAsia="en-GB"/>
        </w:rPr>
        <w:t>Kempson</w:t>
      </w:r>
      <w:proofErr w:type="spellEnd"/>
      <w:r w:rsidRPr="00BF2ADD">
        <w:rPr>
          <w:rFonts w:ascii="Arial" w:hAnsi="Arial" w:cs="Arial"/>
          <w:bCs/>
          <w:color w:val="000000"/>
          <w:lang w:eastAsia="en-GB"/>
        </w:rPr>
        <w:t xml:space="preserve"> acknowledges that concerns are more muted in Voluntary Arrangements, where creditor voting power has tended to be used to exercise greater control over IP fees.</w:t>
      </w:r>
    </w:p>
    <w:p w:rsidR="00AB65E9" w:rsidRPr="00BF2ADD" w:rsidRDefault="00AB65E9" w:rsidP="00F01332">
      <w:pPr>
        <w:numPr>
          <w:ilvl w:val="0"/>
          <w:numId w:val="15"/>
        </w:numPr>
        <w:spacing w:after="0" w:line="240" w:lineRule="auto"/>
        <w:jc w:val="both"/>
        <w:rPr>
          <w:rFonts w:ascii="Arial" w:eastAsia="Arial Unicode MS" w:hAnsi="Arial" w:cs="Arial"/>
        </w:rPr>
      </w:pPr>
      <w:r w:rsidRPr="00BF2ADD">
        <w:rPr>
          <w:rFonts w:ascii="Arial" w:hAnsi="Arial" w:cs="Arial"/>
        </w:rPr>
        <w:t xml:space="preserve">Over the last few years, culminating in the 2010 Insolvency Rules changes, Government has been seeking to improve the position for unsecured creditors by, for example: </w:t>
      </w:r>
      <w:r w:rsidRPr="00BF2ADD">
        <w:rPr>
          <w:rFonts w:ascii="Arial" w:eastAsia="Arial Unicode MS" w:hAnsi="Arial" w:cs="Arial"/>
        </w:rPr>
        <w:t xml:space="preserve">lowering the threshold of creditor value required to challenge remuneration from 25% to 10%, or otherwise as court allows and allowing creditors (5% or more as court allows) the right to requisition further information on receipt of a report.  The 2010 Rules also opened up the possibility of an IP having more than one basis for remuneration; however, anecdotally, it seems that this option is seldom used. </w:t>
      </w:r>
    </w:p>
    <w:p w:rsidR="00AB65E9" w:rsidRPr="00BF2ADD" w:rsidRDefault="00AB65E9" w:rsidP="00F01332">
      <w:pPr>
        <w:spacing w:after="0" w:line="240" w:lineRule="auto"/>
        <w:jc w:val="both"/>
        <w:rPr>
          <w:rFonts w:ascii="Arial" w:hAnsi="Arial" w:cs="Arial"/>
        </w:rPr>
      </w:pPr>
    </w:p>
    <w:p w:rsidR="00AB65E9" w:rsidRPr="00BF2ADD" w:rsidRDefault="00AB65E9" w:rsidP="00F01332">
      <w:pPr>
        <w:spacing w:after="0" w:line="240" w:lineRule="auto"/>
        <w:rPr>
          <w:rFonts w:ascii="Arial" w:hAnsi="Arial" w:cs="Arial"/>
          <w:b/>
        </w:rPr>
      </w:pPr>
      <w:r w:rsidRPr="00BF2ADD">
        <w:rPr>
          <w:rFonts w:ascii="Arial" w:hAnsi="Arial" w:cs="Arial"/>
          <w:b/>
        </w:rPr>
        <w:t>Background;</w:t>
      </w:r>
    </w:p>
    <w:p w:rsidR="00AB65E9" w:rsidRPr="00BF2ADD" w:rsidRDefault="00AB65E9" w:rsidP="00F01332">
      <w:pPr>
        <w:keepNext/>
        <w:spacing w:after="120" w:line="240" w:lineRule="auto"/>
        <w:rPr>
          <w:rFonts w:ascii="Arial" w:hAnsi="Arial" w:cs="Arial"/>
          <w:b/>
          <w:bCs/>
          <w:color w:val="000000"/>
          <w:lang w:eastAsia="en-GB"/>
        </w:rPr>
      </w:pPr>
    </w:p>
    <w:p w:rsidR="00AB65E9" w:rsidRPr="00BF2ADD" w:rsidRDefault="00AB65E9" w:rsidP="00C123C2">
      <w:pPr>
        <w:numPr>
          <w:ilvl w:val="0"/>
          <w:numId w:val="15"/>
        </w:numPr>
        <w:autoSpaceDE w:val="0"/>
        <w:autoSpaceDN w:val="0"/>
        <w:adjustRightInd w:val="0"/>
        <w:spacing w:after="0" w:line="240" w:lineRule="auto"/>
        <w:rPr>
          <w:rFonts w:ascii="Arial" w:hAnsi="Arial" w:cs="Arial"/>
        </w:rPr>
      </w:pPr>
      <w:r w:rsidRPr="00BF2ADD">
        <w:rPr>
          <w:rFonts w:ascii="Arial" w:hAnsi="Arial" w:cs="Arial"/>
        </w:rPr>
        <w:t>Each year IPs realise approximately £5bn worth of assets from corporate insolvency processes, and in doing so charge about £1bn in fees, and distribute some £4bn to creditors</w:t>
      </w:r>
      <w:r w:rsidRPr="00BF2ADD">
        <w:rPr>
          <w:rStyle w:val="FootnoteReference"/>
          <w:rFonts w:ascii="Arial" w:hAnsi="Arial" w:cs="Arial"/>
        </w:rPr>
        <w:footnoteReference w:id="3"/>
      </w:r>
      <w:r w:rsidRPr="00BF2ADD">
        <w:rPr>
          <w:rFonts w:ascii="Arial" w:hAnsi="Arial" w:cs="Arial"/>
        </w:rPr>
        <w:t xml:space="preserve">. IPs can also advise on </w:t>
      </w:r>
      <w:r w:rsidRPr="00BF2ADD">
        <w:rPr>
          <w:rFonts w:ascii="Arial" w:hAnsi="Arial" w:cs="Arial"/>
        </w:rPr>
        <w:lastRenderedPageBreak/>
        <w:t>business restructuring and continuity prior to insolvency and are part of the wider business restructuring market.</w:t>
      </w:r>
    </w:p>
    <w:p w:rsidR="00AB65E9" w:rsidRPr="00BF2ADD" w:rsidRDefault="00AB65E9" w:rsidP="00C123C2">
      <w:pPr>
        <w:autoSpaceDE w:val="0"/>
        <w:autoSpaceDN w:val="0"/>
        <w:adjustRightInd w:val="0"/>
        <w:spacing w:after="0" w:line="240" w:lineRule="auto"/>
        <w:ind w:left="720"/>
        <w:rPr>
          <w:rFonts w:ascii="Arial" w:hAnsi="Arial" w:cs="Arial"/>
        </w:rPr>
      </w:pPr>
    </w:p>
    <w:p w:rsidR="00AB65E9" w:rsidRPr="00BF2ADD" w:rsidRDefault="00AB65E9" w:rsidP="00C123C2">
      <w:pPr>
        <w:numPr>
          <w:ilvl w:val="0"/>
          <w:numId w:val="15"/>
        </w:numPr>
        <w:autoSpaceDE w:val="0"/>
        <w:autoSpaceDN w:val="0"/>
        <w:adjustRightInd w:val="0"/>
        <w:spacing w:after="0" w:line="240" w:lineRule="auto"/>
        <w:rPr>
          <w:rFonts w:ascii="Arial" w:hAnsi="Arial" w:cs="Arial"/>
        </w:rPr>
      </w:pPr>
      <w:r w:rsidRPr="00BF2ADD">
        <w:rPr>
          <w:rFonts w:ascii="Arial" w:hAnsi="Arial" w:cs="Arial"/>
        </w:rPr>
        <w:t xml:space="preserve">At present an IP’s remuneration can be set a) on a time-cost basis, b) as a percentage of realisations or c) since 2010, as a fixed fee. It is the </w:t>
      </w:r>
      <w:r w:rsidR="00AB4323" w:rsidRPr="00BF2ADD">
        <w:rPr>
          <w:rFonts w:ascii="Arial" w:hAnsi="Arial" w:cs="Arial"/>
        </w:rPr>
        <w:t>IP</w:t>
      </w:r>
      <w:r w:rsidRPr="00BF2ADD">
        <w:rPr>
          <w:rFonts w:ascii="Arial" w:hAnsi="Arial" w:cs="Arial"/>
        </w:rPr>
        <w:t xml:space="preserve"> who proposes which basis they wish to take their remuneration under and the creditors vote on the </w:t>
      </w:r>
      <w:r w:rsidR="00AB4323" w:rsidRPr="00BF2ADD">
        <w:rPr>
          <w:rFonts w:ascii="Arial" w:hAnsi="Arial" w:cs="Arial"/>
        </w:rPr>
        <w:t>his/her</w:t>
      </w:r>
      <w:r w:rsidRPr="00BF2ADD">
        <w:rPr>
          <w:rFonts w:ascii="Arial" w:hAnsi="Arial" w:cs="Arial"/>
        </w:rPr>
        <w:t xml:space="preserve"> proposal.  Professor </w:t>
      </w:r>
      <w:proofErr w:type="spellStart"/>
      <w:r w:rsidRPr="00BF2ADD">
        <w:rPr>
          <w:rFonts w:ascii="Arial" w:hAnsi="Arial" w:cs="Arial"/>
        </w:rPr>
        <w:t>Kempson</w:t>
      </w:r>
      <w:proofErr w:type="spellEnd"/>
      <w:r w:rsidRPr="00BF2ADD">
        <w:rPr>
          <w:rFonts w:ascii="Arial" w:hAnsi="Arial" w:cs="Arial"/>
        </w:rPr>
        <w:t xml:space="preserve"> found that in the great majority of cases remuneration was taken on a time-cost basis. </w:t>
      </w:r>
    </w:p>
    <w:p w:rsidR="00AB65E9" w:rsidRPr="00BF2ADD" w:rsidRDefault="00AB65E9" w:rsidP="00D3157E">
      <w:pPr>
        <w:spacing w:after="0" w:line="240" w:lineRule="auto"/>
        <w:ind w:left="720" w:right="-55"/>
        <w:jc w:val="both"/>
        <w:rPr>
          <w:rFonts w:ascii="Arial" w:hAnsi="Arial" w:cs="Arial"/>
        </w:rPr>
      </w:pPr>
    </w:p>
    <w:p w:rsidR="00AB65E9" w:rsidRPr="00BF2ADD" w:rsidRDefault="00AB65E9" w:rsidP="00F01332">
      <w:pPr>
        <w:numPr>
          <w:ilvl w:val="0"/>
          <w:numId w:val="15"/>
        </w:numPr>
        <w:spacing w:after="0" w:line="240" w:lineRule="auto"/>
        <w:jc w:val="both"/>
        <w:rPr>
          <w:rFonts w:ascii="Arial" w:hAnsi="Arial" w:cs="Arial"/>
        </w:rPr>
      </w:pPr>
      <w:r w:rsidRPr="00BF2ADD">
        <w:rPr>
          <w:rFonts w:ascii="Arial" w:hAnsi="Arial" w:cs="Arial"/>
        </w:rPr>
        <w:t xml:space="preserve">The requirement to set the basis of remuneration, for all insolvency procedures, is set out in secondary legislation, namely the Insolvency Rules 1986. This provides that an office-holder must hold a creditors meeting within 14 days of a resolution to wind up a company, or within 10 weeks of start of administration. At this meeting it is common practice for the IP to seek approval of his/her appointment and the basis for their remuneration.  In bankruptcy, where an IP is appointed trustee rather than the official receiver, the basis for their remuneration should be set within 18 months of appointment. This is the fall back position for all insolvency procedures. </w:t>
      </w:r>
    </w:p>
    <w:p w:rsidR="00AB65E9" w:rsidRPr="00BF2ADD" w:rsidRDefault="00AB65E9" w:rsidP="00F01332">
      <w:pPr>
        <w:spacing w:after="0" w:line="240" w:lineRule="auto"/>
        <w:ind w:left="720"/>
        <w:rPr>
          <w:rFonts w:ascii="Arial" w:hAnsi="Arial" w:cs="Arial"/>
        </w:rPr>
      </w:pPr>
    </w:p>
    <w:p w:rsidR="00AB65E9" w:rsidRPr="00BF2ADD" w:rsidRDefault="00AB65E9" w:rsidP="00F01332">
      <w:pPr>
        <w:numPr>
          <w:ilvl w:val="0"/>
          <w:numId w:val="15"/>
        </w:numPr>
        <w:spacing w:after="0" w:line="240" w:lineRule="auto"/>
        <w:jc w:val="both"/>
        <w:rPr>
          <w:rFonts w:ascii="Arial" w:hAnsi="Arial" w:cs="Arial"/>
        </w:rPr>
      </w:pPr>
      <w:r w:rsidRPr="00BF2ADD">
        <w:rPr>
          <w:rFonts w:ascii="Arial" w:hAnsi="Arial" w:cs="Arial"/>
        </w:rPr>
        <w:t>The only existing route to challenge high fees is by an application to court. In addition, although fees can be reviewed by the court, as the process is expensive it often outweighs the benefit for unsecured creditors to challenge.</w:t>
      </w:r>
    </w:p>
    <w:p w:rsidR="00AB65E9" w:rsidRPr="00BF2ADD" w:rsidRDefault="00AB65E9" w:rsidP="00F01332">
      <w:pPr>
        <w:spacing w:after="0" w:line="240" w:lineRule="auto"/>
        <w:ind w:left="720"/>
        <w:rPr>
          <w:rFonts w:ascii="Arial" w:hAnsi="Arial" w:cs="Arial"/>
        </w:rPr>
      </w:pPr>
    </w:p>
    <w:p w:rsidR="00AB65E9" w:rsidRPr="00DB5C52" w:rsidRDefault="00AB65E9" w:rsidP="00DB5C52">
      <w:pPr>
        <w:numPr>
          <w:ilvl w:val="0"/>
          <w:numId w:val="15"/>
        </w:numPr>
        <w:spacing w:after="0" w:line="240" w:lineRule="auto"/>
        <w:jc w:val="both"/>
        <w:rPr>
          <w:rFonts w:ascii="Arial" w:hAnsi="Arial" w:cs="Arial"/>
        </w:rPr>
      </w:pPr>
      <w:r w:rsidRPr="00BF2ADD">
        <w:rPr>
          <w:rFonts w:ascii="Arial" w:hAnsi="Arial" w:cs="Arial"/>
        </w:rPr>
        <w:t xml:space="preserve">Given that both OFT and Professor </w:t>
      </w:r>
      <w:proofErr w:type="spellStart"/>
      <w:r w:rsidRPr="00BF2ADD">
        <w:rPr>
          <w:rFonts w:ascii="Arial" w:hAnsi="Arial" w:cs="Arial"/>
        </w:rPr>
        <w:t>Kempson</w:t>
      </w:r>
      <w:proofErr w:type="spellEnd"/>
      <w:r w:rsidRPr="00BF2ADD">
        <w:rPr>
          <w:rFonts w:ascii="Arial" w:hAnsi="Arial" w:cs="Arial"/>
        </w:rPr>
        <w:t xml:space="preserve"> believe that significant harm is o</w:t>
      </w:r>
      <w:r w:rsidR="00DB5C52">
        <w:rPr>
          <w:rFonts w:ascii="Arial" w:hAnsi="Arial" w:cs="Arial"/>
        </w:rPr>
        <w:t xml:space="preserve">ccurring to unsecured creditors, </w:t>
      </w:r>
      <w:r w:rsidRPr="00DB5C52">
        <w:rPr>
          <w:rFonts w:ascii="Arial" w:hAnsi="Arial" w:cs="Arial"/>
        </w:rPr>
        <w:t>the ability to effectively review fees has been identified as a significant reform.</w:t>
      </w:r>
    </w:p>
    <w:p w:rsidR="00AB65E9" w:rsidRPr="00BF2ADD" w:rsidRDefault="00AB65E9" w:rsidP="00F01332">
      <w:pPr>
        <w:spacing w:after="0" w:line="240" w:lineRule="auto"/>
        <w:ind w:left="720"/>
        <w:jc w:val="both"/>
        <w:rPr>
          <w:rFonts w:ascii="Arial" w:hAnsi="Arial" w:cs="Arial"/>
        </w:rPr>
      </w:pPr>
    </w:p>
    <w:p w:rsidR="00AB65E9" w:rsidRPr="00BF2ADD" w:rsidRDefault="00AB65E9" w:rsidP="00F01332">
      <w:pPr>
        <w:numPr>
          <w:ilvl w:val="0"/>
          <w:numId w:val="15"/>
        </w:numPr>
        <w:spacing w:after="0" w:line="240" w:lineRule="auto"/>
        <w:jc w:val="both"/>
        <w:rPr>
          <w:rFonts w:ascii="Arial" w:hAnsi="Arial" w:cs="Arial"/>
        </w:rPr>
      </w:pPr>
      <w:r w:rsidRPr="00BF2ADD">
        <w:rPr>
          <w:rFonts w:ascii="Arial" w:hAnsi="Arial" w:cs="Arial"/>
        </w:rPr>
        <w:t xml:space="preserve">Both the OFT report of 2010 and Professor </w:t>
      </w:r>
      <w:proofErr w:type="spellStart"/>
      <w:r w:rsidRPr="00BF2ADD">
        <w:rPr>
          <w:rFonts w:ascii="Arial" w:hAnsi="Arial" w:cs="Arial"/>
        </w:rPr>
        <w:t>Kempson’s</w:t>
      </w:r>
      <w:proofErr w:type="spellEnd"/>
      <w:r w:rsidRPr="00BF2ADD">
        <w:rPr>
          <w:rFonts w:ascii="Arial" w:hAnsi="Arial" w:cs="Arial"/>
        </w:rPr>
        <w:t xml:space="preserve"> report  acknowledge that there is no single solution to address the market failure for unsecured creditors and instead sets out a number of recommendations, which collectively would address the issues highlighted by the review.</w:t>
      </w:r>
    </w:p>
    <w:p w:rsidR="00AB65E9" w:rsidRPr="00BF2ADD" w:rsidRDefault="00AB65E9" w:rsidP="00F01332">
      <w:pPr>
        <w:spacing w:after="0" w:line="240" w:lineRule="auto"/>
        <w:ind w:left="360"/>
        <w:jc w:val="both"/>
        <w:rPr>
          <w:rFonts w:ascii="Arial" w:hAnsi="Arial" w:cs="Arial"/>
        </w:rPr>
      </w:pPr>
    </w:p>
    <w:p w:rsidR="00AB65E9" w:rsidRDefault="00AB65E9" w:rsidP="00F01332">
      <w:pPr>
        <w:numPr>
          <w:ilvl w:val="0"/>
          <w:numId w:val="15"/>
        </w:numPr>
        <w:spacing w:after="0" w:line="240" w:lineRule="auto"/>
        <w:jc w:val="both"/>
        <w:rPr>
          <w:rFonts w:ascii="Arial" w:hAnsi="Arial" w:cs="Arial"/>
        </w:rPr>
      </w:pPr>
      <w:r w:rsidRPr="00BF2ADD">
        <w:rPr>
          <w:rFonts w:ascii="Arial" w:hAnsi="Arial" w:cs="Arial"/>
        </w:rPr>
        <w:t>The</w:t>
      </w:r>
      <w:r w:rsidR="00742D9D" w:rsidRPr="00BF2ADD">
        <w:rPr>
          <w:rFonts w:ascii="Arial" w:hAnsi="Arial" w:cs="Arial"/>
        </w:rPr>
        <w:t xml:space="preserve"> </w:t>
      </w:r>
      <w:proofErr w:type="spellStart"/>
      <w:r w:rsidR="00742D9D" w:rsidRPr="00BF2ADD">
        <w:rPr>
          <w:rFonts w:ascii="Arial" w:hAnsi="Arial" w:cs="Arial"/>
        </w:rPr>
        <w:t>Kempson</w:t>
      </w:r>
      <w:proofErr w:type="spellEnd"/>
      <w:r w:rsidRPr="00BF2ADD">
        <w:rPr>
          <w:rFonts w:ascii="Arial" w:hAnsi="Arial" w:cs="Arial"/>
        </w:rPr>
        <w:t xml:space="preserve"> report offers a wide-ranging number of options that could be considered. These fall into three main categories:</w:t>
      </w:r>
    </w:p>
    <w:p w:rsidR="001C2DA7" w:rsidRPr="00BF2ADD" w:rsidRDefault="001C2DA7" w:rsidP="001C2DA7">
      <w:pPr>
        <w:spacing w:after="0" w:line="240" w:lineRule="auto"/>
        <w:ind w:left="720"/>
        <w:rPr>
          <w:rFonts w:ascii="Arial" w:hAnsi="Arial" w:cs="Arial"/>
        </w:rPr>
      </w:pPr>
    </w:p>
    <w:p w:rsidR="001C2DA7" w:rsidRPr="00BF2ADD" w:rsidRDefault="001C2DA7" w:rsidP="001C2DA7">
      <w:pPr>
        <w:numPr>
          <w:ilvl w:val="0"/>
          <w:numId w:val="16"/>
        </w:numPr>
        <w:spacing w:after="0" w:line="240" w:lineRule="auto"/>
        <w:jc w:val="both"/>
        <w:rPr>
          <w:rFonts w:ascii="Arial" w:hAnsi="Arial" w:cs="Arial"/>
        </w:rPr>
      </w:pPr>
      <w:r w:rsidRPr="00BF2ADD">
        <w:rPr>
          <w:rFonts w:ascii="Arial" w:hAnsi="Arial" w:cs="Arial"/>
          <w:u w:val="single"/>
        </w:rPr>
        <w:t>Transparency Measures and increasing creditor engagement:</w:t>
      </w:r>
      <w:r w:rsidRPr="00BF2ADD">
        <w:rPr>
          <w:rFonts w:ascii="Arial" w:hAnsi="Arial" w:cs="Arial"/>
        </w:rPr>
        <w:t xml:space="preserve"> these concentrate around ensuring that sufficient and clear information is available generally and specific to a particular case to encourage greater engagement by unsecured creditors.  This could include an estimate at the start of the case of the likely fees that will be charged.</w:t>
      </w:r>
    </w:p>
    <w:p w:rsidR="001C2DA7" w:rsidRPr="00BF2ADD" w:rsidRDefault="001C2DA7" w:rsidP="001C2DA7">
      <w:pPr>
        <w:spacing w:after="0" w:line="240" w:lineRule="auto"/>
        <w:ind w:left="720"/>
        <w:rPr>
          <w:rFonts w:ascii="Arial" w:hAnsi="Arial" w:cs="Arial"/>
        </w:rPr>
      </w:pPr>
    </w:p>
    <w:p w:rsidR="001C2DA7" w:rsidRPr="00BF2ADD" w:rsidRDefault="001C2DA7" w:rsidP="001C2DA7">
      <w:pPr>
        <w:numPr>
          <w:ilvl w:val="0"/>
          <w:numId w:val="16"/>
        </w:numPr>
        <w:spacing w:after="0" w:line="240" w:lineRule="auto"/>
        <w:jc w:val="both"/>
        <w:rPr>
          <w:rFonts w:ascii="Arial" w:hAnsi="Arial" w:cs="Arial"/>
        </w:rPr>
      </w:pPr>
      <w:r w:rsidRPr="00BF2ADD">
        <w:rPr>
          <w:rFonts w:ascii="Arial" w:hAnsi="Arial" w:cs="Arial"/>
          <w:u w:val="single"/>
        </w:rPr>
        <w:t>Simplifying the fee structure:</w:t>
      </w:r>
      <w:r w:rsidRPr="00BF2ADD">
        <w:rPr>
          <w:rFonts w:ascii="Arial" w:hAnsi="Arial" w:cs="Arial"/>
        </w:rPr>
        <w:t xml:space="preserve"> here Professor </w:t>
      </w:r>
      <w:proofErr w:type="spellStart"/>
      <w:r w:rsidRPr="00BF2ADD">
        <w:rPr>
          <w:rFonts w:ascii="Arial" w:hAnsi="Arial" w:cs="Arial"/>
        </w:rPr>
        <w:t>Kempson</w:t>
      </w:r>
      <w:proofErr w:type="spellEnd"/>
      <w:r w:rsidRPr="00BF2ADD">
        <w:rPr>
          <w:rFonts w:ascii="Arial" w:hAnsi="Arial" w:cs="Arial"/>
        </w:rPr>
        <w:t xml:space="preserve"> says consideration should be given to changing the presumed basis for remuneration (which is time and rate in almost all administration, winding up and bankruptcy cases). She proposes two options; having percentage of realisations as the presumed basis for charging fees in all cases or using different bases for different aspects of a case.  For example fixed fees could be charged for statutory work where the costs are known, and a realisation percentage where the work involves asset realisation.  </w:t>
      </w:r>
    </w:p>
    <w:p w:rsidR="001C2DA7" w:rsidRPr="00BF2ADD" w:rsidRDefault="001C2DA7" w:rsidP="001C2DA7">
      <w:pPr>
        <w:spacing w:after="0" w:line="240" w:lineRule="auto"/>
        <w:ind w:left="720"/>
        <w:rPr>
          <w:rFonts w:ascii="Arial" w:hAnsi="Arial" w:cs="Arial"/>
        </w:rPr>
      </w:pPr>
    </w:p>
    <w:p w:rsidR="001C2DA7" w:rsidRPr="001C2DA7" w:rsidRDefault="001C2DA7" w:rsidP="001C2DA7">
      <w:pPr>
        <w:numPr>
          <w:ilvl w:val="0"/>
          <w:numId w:val="16"/>
        </w:numPr>
        <w:spacing w:after="0" w:line="240" w:lineRule="auto"/>
        <w:jc w:val="both"/>
        <w:rPr>
          <w:rFonts w:ascii="Arial" w:hAnsi="Arial" w:cs="Arial"/>
        </w:rPr>
      </w:pPr>
      <w:r w:rsidRPr="00BF2ADD">
        <w:rPr>
          <w:rFonts w:ascii="Arial" w:hAnsi="Arial" w:cs="Arial"/>
          <w:u w:val="single"/>
        </w:rPr>
        <w:t>Enhanced monitoring of fee complaints by regulators:</w:t>
      </w:r>
      <w:r w:rsidRPr="00BF2ADD">
        <w:rPr>
          <w:rFonts w:ascii="Arial" w:hAnsi="Arial" w:cs="Arial"/>
        </w:rPr>
        <w:t xml:space="preserve"> Professor </w:t>
      </w:r>
      <w:proofErr w:type="spellStart"/>
      <w:r w:rsidRPr="00BF2ADD">
        <w:rPr>
          <w:rFonts w:ascii="Arial" w:hAnsi="Arial" w:cs="Arial"/>
        </w:rPr>
        <w:t>Kempson</w:t>
      </w:r>
      <w:proofErr w:type="spellEnd"/>
      <w:r w:rsidRPr="00BF2ADD">
        <w:rPr>
          <w:rFonts w:ascii="Arial" w:hAnsi="Arial" w:cs="Arial"/>
        </w:rPr>
        <w:t xml:space="preserve"> raised the issue of whether a single regulator would be beneficial in this sector. Her main comment here is around the need for regulators to exercise a greater degree of compliance monitoring of fees. </w:t>
      </w:r>
      <w:r w:rsidRPr="00BF2ADD">
        <w:rPr>
          <w:rFonts w:ascii="Arial" w:hAnsi="Arial" w:cs="Arial"/>
          <w:u w:val="single"/>
        </w:rPr>
        <w:t xml:space="preserve"> </w:t>
      </w:r>
      <w:r w:rsidRPr="00BF2ADD">
        <w:rPr>
          <w:rFonts w:ascii="Arial" w:hAnsi="Arial" w:cs="Arial"/>
        </w:rPr>
        <w:t xml:space="preserve"> </w:t>
      </w:r>
      <w:r w:rsidRPr="00BF2ADD">
        <w:rPr>
          <w:rFonts w:ascii="Arial" w:hAnsi="Arial" w:cs="Arial"/>
          <w:u w:val="single"/>
        </w:rPr>
        <w:t xml:space="preserve"> </w:t>
      </w:r>
    </w:p>
    <w:p w:rsidR="001C2DA7" w:rsidRDefault="001C2DA7" w:rsidP="0055000C">
      <w:pPr>
        <w:pStyle w:val="ListParagraph"/>
        <w:ind w:left="426"/>
        <w:rPr>
          <w:rFonts w:cs="Arial"/>
        </w:rPr>
      </w:pPr>
    </w:p>
    <w:p w:rsidR="000A0227" w:rsidRDefault="00B71B4E" w:rsidP="0055000C">
      <w:pPr>
        <w:pStyle w:val="ListParagraph"/>
        <w:ind w:left="426"/>
        <w:rPr>
          <w:rFonts w:eastAsia="Calibri" w:cs="Arial"/>
          <w:bCs/>
          <w:color w:val="000000"/>
          <w:sz w:val="22"/>
          <w:szCs w:val="22"/>
          <w:lang w:eastAsia="en-GB"/>
        </w:rPr>
      </w:pPr>
      <w:r w:rsidRPr="0055000C">
        <w:rPr>
          <w:rFonts w:cs="Arial"/>
          <w:sz w:val="22"/>
          <w:szCs w:val="22"/>
        </w:rPr>
        <w:t>Government is proposing a package of measures which aim to address these three main strands identified.</w:t>
      </w:r>
      <w:r>
        <w:rPr>
          <w:rFonts w:eastAsia="Calibri" w:cs="Arial"/>
          <w:bCs/>
          <w:color w:val="000000"/>
          <w:sz w:val="22"/>
          <w:szCs w:val="22"/>
          <w:lang w:eastAsia="en-GB"/>
        </w:rPr>
        <w:t xml:space="preserve"> This Impact Assessment considers the way in which the fee structure</w:t>
      </w:r>
      <w:r w:rsidR="000A0227">
        <w:rPr>
          <w:rFonts w:eastAsia="Calibri" w:cs="Arial"/>
          <w:bCs/>
          <w:color w:val="000000"/>
          <w:sz w:val="22"/>
          <w:szCs w:val="22"/>
          <w:lang w:eastAsia="en-GB"/>
        </w:rPr>
        <w:t xml:space="preserve"> may be simplified and how we can enhance the monitoring of fee complaints by regulators. In addition to these statutory measures we are proposing to assist unsecured creditors by working with the profession to produce a basic information sheet on the role that creditors can play in influencing the fees charged. We are also scoping the feasibility of publicising comparative fee data that may provide a basis for challenging an IP’s fees.</w:t>
      </w:r>
    </w:p>
    <w:p w:rsidR="00B71B4E" w:rsidRPr="0055000C" w:rsidRDefault="00B71B4E" w:rsidP="0055000C">
      <w:pPr>
        <w:pStyle w:val="ListParagraph"/>
        <w:ind w:left="426"/>
        <w:rPr>
          <w:rFonts w:eastAsia="Calibri" w:cs="Arial"/>
          <w:bCs/>
          <w:color w:val="000000"/>
          <w:sz w:val="22"/>
          <w:szCs w:val="22"/>
          <w:lang w:eastAsia="en-GB"/>
        </w:rPr>
      </w:pPr>
      <w:r w:rsidRPr="0055000C">
        <w:rPr>
          <w:rFonts w:eastAsia="Calibri" w:cs="Arial"/>
          <w:bCs/>
          <w:color w:val="000000"/>
          <w:sz w:val="22"/>
          <w:szCs w:val="22"/>
          <w:lang w:eastAsia="en-GB"/>
        </w:rPr>
        <w:t xml:space="preserve"> </w:t>
      </w:r>
    </w:p>
    <w:p w:rsidR="001C2DA7" w:rsidRPr="00743CB1" w:rsidRDefault="001C2DA7" w:rsidP="001C2DA7">
      <w:pPr>
        <w:pStyle w:val="Default"/>
        <w:numPr>
          <w:ilvl w:val="0"/>
          <w:numId w:val="15"/>
        </w:numPr>
        <w:rPr>
          <w:sz w:val="22"/>
          <w:szCs w:val="22"/>
        </w:rPr>
      </w:pPr>
      <w:r w:rsidRPr="00743CB1">
        <w:rPr>
          <w:bCs/>
          <w:sz w:val="22"/>
          <w:szCs w:val="22"/>
        </w:rPr>
        <w:t xml:space="preserve">In addition, we are also consulting on proposals to increase the powers of the Secretary of State for Business as the oversight regulator and to provide regulatory objectives which will provide regulators </w:t>
      </w:r>
      <w:r w:rsidRPr="00743CB1">
        <w:rPr>
          <w:bCs/>
          <w:sz w:val="22"/>
          <w:szCs w:val="22"/>
        </w:rPr>
        <w:lastRenderedPageBreak/>
        <w:t>with a framework within which to carry out their activities. The Impact Assessment for these proposals is entitled ‘Insolvency Practitioner Regulation – regulatory objectives and oversight powers’ (RPC13-BIS-1767(2))</w:t>
      </w:r>
      <w:r>
        <w:rPr>
          <w:bCs/>
          <w:sz w:val="22"/>
          <w:szCs w:val="22"/>
        </w:rPr>
        <w:t>.</w:t>
      </w:r>
    </w:p>
    <w:p w:rsidR="003C7276" w:rsidRPr="00BF2ADD" w:rsidRDefault="003C7276" w:rsidP="00C123C2">
      <w:pPr>
        <w:keepNext/>
        <w:spacing w:after="120" w:line="240" w:lineRule="auto"/>
        <w:rPr>
          <w:rFonts w:ascii="Arial" w:hAnsi="Arial" w:cs="Arial"/>
          <w:bCs/>
          <w:color w:val="000000"/>
          <w:lang w:eastAsia="en-GB"/>
        </w:rPr>
      </w:pPr>
    </w:p>
    <w:p w:rsidR="00AB65E9" w:rsidRPr="00BF2ADD" w:rsidRDefault="00AB65E9" w:rsidP="00F01332">
      <w:pPr>
        <w:spacing w:after="0" w:line="240" w:lineRule="auto"/>
        <w:rPr>
          <w:rFonts w:ascii="Arial" w:hAnsi="Arial" w:cs="Arial"/>
          <w:b/>
        </w:rPr>
      </w:pPr>
      <w:r w:rsidRPr="00BF2ADD">
        <w:rPr>
          <w:rFonts w:ascii="Arial" w:hAnsi="Arial" w:cs="Arial"/>
          <w:b/>
        </w:rPr>
        <w:t xml:space="preserve">Rationale for intervention; </w:t>
      </w:r>
    </w:p>
    <w:p w:rsidR="00AB65E9" w:rsidRPr="00BF2ADD" w:rsidRDefault="00AB65E9" w:rsidP="00F01332">
      <w:pPr>
        <w:spacing w:after="0" w:line="240" w:lineRule="auto"/>
        <w:rPr>
          <w:rFonts w:ascii="Arial" w:hAnsi="Arial" w:cs="Arial"/>
          <w:b/>
        </w:rPr>
      </w:pPr>
    </w:p>
    <w:p w:rsidR="00AB65E9" w:rsidRPr="00BF2ADD" w:rsidRDefault="00AB65E9" w:rsidP="00D3157E">
      <w:pPr>
        <w:numPr>
          <w:ilvl w:val="0"/>
          <w:numId w:val="17"/>
        </w:numPr>
        <w:spacing w:after="0" w:line="240" w:lineRule="auto"/>
        <w:jc w:val="both"/>
        <w:rPr>
          <w:rFonts w:ascii="Arial" w:hAnsi="Arial" w:cs="Arial"/>
        </w:rPr>
      </w:pPr>
      <w:r w:rsidRPr="00BF2ADD">
        <w:rPr>
          <w:rFonts w:ascii="Arial" w:hAnsi="Arial" w:cs="Arial"/>
        </w:rPr>
        <w:t>Government intervention is necessary in this instance for two main reasons</w:t>
      </w:r>
      <w:r w:rsidR="00017DEC" w:rsidRPr="00BF2ADD">
        <w:rPr>
          <w:rFonts w:ascii="Arial" w:hAnsi="Arial" w:cs="Arial"/>
        </w:rPr>
        <w:t>;</w:t>
      </w:r>
    </w:p>
    <w:p w:rsidR="00AB65E9" w:rsidRPr="00BF2ADD" w:rsidRDefault="00AB65E9" w:rsidP="00C90E7F">
      <w:pPr>
        <w:spacing w:after="0" w:line="240" w:lineRule="auto"/>
        <w:jc w:val="both"/>
        <w:rPr>
          <w:rFonts w:ascii="Arial" w:hAnsi="Arial" w:cs="Arial"/>
        </w:rPr>
      </w:pPr>
    </w:p>
    <w:p w:rsidR="00AB65E9" w:rsidRPr="00BF2ADD" w:rsidRDefault="00AB65E9" w:rsidP="00C90E7F">
      <w:pPr>
        <w:spacing w:after="0" w:line="240" w:lineRule="auto"/>
        <w:jc w:val="both"/>
        <w:rPr>
          <w:rFonts w:ascii="Arial" w:hAnsi="Arial" w:cs="Arial"/>
          <w:i/>
        </w:rPr>
      </w:pPr>
      <w:r w:rsidRPr="00BF2ADD">
        <w:rPr>
          <w:rFonts w:ascii="Arial" w:hAnsi="Arial" w:cs="Arial"/>
          <w:i/>
        </w:rPr>
        <w:t>Market failure</w:t>
      </w:r>
    </w:p>
    <w:p w:rsidR="00AB65E9" w:rsidRPr="00BF2ADD" w:rsidRDefault="00AB65E9" w:rsidP="00C90E7F">
      <w:pPr>
        <w:spacing w:after="0" w:line="240" w:lineRule="auto"/>
        <w:ind w:left="360"/>
        <w:jc w:val="both"/>
        <w:rPr>
          <w:rFonts w:ascii="Arial" w:hAnsi="Arial" w:cs="Arial"/>
        </w:rPr>
      </w:pPr>
    </w:p>
    <w:p w:rsidR="00AB65E9" w:rsidRPr="00BF2ADD" w:rsidRDefault="00AB65E9" w:rsidP="00C90E7F">
      <w:pPr>
        <w:numPr>
          <w:ilvl w:val="0"/>
          <w:numId w:val="17"/>
        </w:numPr>
        <w:spacing w:after="0" w:line="240" w:lineRule="auto"/>
        <w:jc w:val="both"/>
        <w:rPr>
          <w:rFonts w:ascii="Arial" w:hAnsi="Arial" w:cs="Arial"/>
        </w:rPr>
      </w:pPr>
      <w:r w:rsidRPr="00BF2ADD">
        <w:rPr>
          <w:rFonts w:ascii="Arial" w:hAnsi="Arial" w:cs="Arial"/>
        </w:rPr>
        <w:t xml:space="preserve">The first one is to address the </w:t>
      </w:r>
      <w:r w:rsidRPr="00BF2ADD">
        <w:rPr>
          <w:rFonts w:ascii="Arial" w:hAnsi="Arial" w:cs="Arial"/>
          <w:b/>
        </w:rPr>
        <w:t>market failure</w:t>
      </w:r>
      <w:r w:rsidRPr="00BF2ADD">
        <w:rPr>
          <w:rFonts w:ascii="Arial" w:hAnsi="Arial" w:cs="Arial"/>
        </w:rPr>
        <w:t xml:space="preserve"> identified by the OFT and Professor </w:t>
      </w:r>
      <w:proofErr w:type="spellStart"/>
      <w:r w:rsidRPr="00BF2ADD">
        <w:rPr>
          <w:rFonts w:ascii="Arial" w:hAnsi="Arial" w:cs="Arial"/>
        </w:rPr>
        <w:t>Kempson</w:t>
      </w:r>
      <w:proofErr w:type="spellEnd"/>
      <w:r w:rsidRPr="00BF2ADD">
        <w:rPr>
          <w:rFonts w:ascii="Arial" w:hAnsi="Arial" w:cs="Arial"/>
        </w:rPr>
        <w:t xml:space="preserve">, by which unsecured creditors </w:t>
      </w:r>
      <w:r w:rsidR="006C6FD9">
        <w:rPr>
          <w:rFonts w:ascii="Arial" w:hAnsi="Arial" w:cs="Arial"/>
        </w:rPr>
        <w:t xml:space="preserve">are unable to </w:t>
      </w:r>
      <w:r w:rsidRPr="00BF2ADD">
        <w:rPr>
          <w:rFonts w:ascii="Arial" w:hAnsi="Arial" w:cs="Arial"/>
        </w:rPr>
        <w:t xml:space="preserve"> exercise effective control over IPs which leads to IPs taking advantage of their </w:t>
      </w:r>
      <w:r w:rsidRPr="00BF2ADD">
        <w:rPr>
          <w:rFonts w:ascii="Arial" w:hAnsi="Arial" w:cs="Arial"/>
          <w:b/>
        </w:rPr>
        <w:t>market power</w:t>
      </w:r>
      <w:r w:rsidR="006C6FD9" w:rsidRPr="003C7276">
        <w:rPr>
          <w:rFonts w:ascii="Arial" w:hAnsi="Arial" w:cs="Arial"/>
        </w:rPr>
        <w:t>, which results in increased cost and/or reduced quality of work (by taking longer to do the same job) for unsecured creditors</w:t>
      </w:r>
      <w:r w:rsidRPr="00BF2ADD">
        <w:rPr>
          <w:rFonts w:ascii="Arial" w:hAnsi="Arial" w:cs="Arial"/>
        </w:rPr>
        <w:t xml:space="preserve">, for the same type of service. </w:t>
      </w:r>
    </w:p>
    <w:p w:rsidR="00AB65E9" w:rsidRPr="00BF2ADD" w:rsidRDefault="00AB65E9" w:rsidP="00C90E7F">
      <w:pPr>
        <w:spacing w:after="0" w:line="240" w:lineRule="auto"/>
        <w:ind w:left="360"/>
        <w:jc w:val="both"/>
        <w:rPr>
          <w:rFonts w:ascii="Arial" w:hAnsi="Arial" w:cs="Arial"/>
        </w:rPr>
      </w:pPr>
    </w:p>
    <w:p w:rsidR="00287E45" w:rsidRDefault="00287E45" w:rsidP="00287E45">
      <w:pPr>
        <w:numPr>
          <w:ilvl w:val="0"/>
          <w:numId w:val="17"/>
        </w:numPr>
        <w:spacing w:after="0" w:line="240" w:lineRule="auto"/>
        <w:jc w:val="both"/>
        <w:rPr>
          <w:rFonts w:ascii="Arial" w:hAnsi="Arial" w:cs="Arial"/>
          <w:b/>
        </w:rPr>
      </w:pPr>
      <w:r>
        <w:rPr>
          <w:rFonts w:ascii="Arial" w:hAnsi="Arial" w:cs="Arial"/>
        </w:rPr>
        <w:t xml:space="preserve">This is considered in economic terms a potential </w:t>
      </w:r>
      <w:r>
        <w:rPr>
          <w:rFonts w:ascii="Arial" w:hAnsi="Arial" w:cs="Arial"/>
          <w:b/>
        </w:rPr>
        <w:t>inefficiency in the market</w:t>
      </w:r>
      <w:r w:rsidR="00C55230">
        <w:rPr>
          <w:rFonts w:ascii="Arial" w:hAnsi="Arial" w:cs="Arial"/>
        </w:rPr>
        <w:t>. IPs are obtaining fees</w:t>
      </w:r>
      <w:r>
        <w:rPr>
          <w:rFonts w:ascii="Arial" w:hAnsi="Arial" w:cs="Arial"/>
        </w:rPr>
        <w:t xml:space="preserve"> above the market rate; the transfer of returns from IPs to unsecured creditors has the potential to deliver a more efficient dynamic economic allocation of resources as these creditors are more likely </w:t>
      </w:r>
      <w:r w:rsidR="00C55230">
        <w:rPr>
          <w:rFonts w:ascii="Arial" w:hAnsi="Arial" w:cs="Arial"/>
        </w:rPr>
        <w:t xml:space="preserve">to </w:t>
      </w:r>
      <w:r>
        <w:rPr>
          <w:rFonts w:ascii="Arial" w:hAnsi="Arial" w:cs="Arial"/>
        </w:rPr>
        <w:t>reinvest these resources in growth driving activities. Indeed, increased insolvency recovery rates to this class of investor could well increase the absolute amounts of credit made available</w:t>
      </w:r>
      <w:r w:rsidR="00C55230">
        <w:rPr>
          <w:rStyle w:val="FootnoteReference"/>
          <w:rFonts w:ascii="Arial" w:hAnsi="Arial"/>
        </w:rPr>
        <w:footnoteReference w:id="4"/>
      </w:r>
      <w:r>
        <w:rPr>
          <w:rFonts w:ascii="Arial" w:hAnsi="Arial" w:cs="Arial"/>
        </w:rPr>
        <w:t xml:space="preserve">, to the benefit of the wider economy. Reduction of the current profit margin in servicing unsecured creditors will </w:t>
      </w:r>
      <w:r w:rsidR="00C55230">
        <w:rPr>
          <w:rFonts w:ascii="Arial" w:hAnsi="Arial" w:cs="Arial"/>
        </w:rPr>
        <w:t>also incentivise</w:t>
      </w:r>
      <w:r>
        <w:rPr>
          <w:rFonts w:ascii="Arial" w:hAnsi="Arial" w:cs="Arial"/>
        </w:rPr>
        <w:t xml:space="preserve"> cost effectiveness/minimisation by IPs.  </w:t>
      </w:r>
    </w:p>
    <w:p w:rsidR="00AB65E9" w:rsidRPr="00BF2ADD" w:rsidRDefault="00AB65E9" w:rsidP="00C90E7F">
      <w:pPr>
        <w:spacing w:after="0" w:line="240" w:lineRule="auto"/>
        <w:jc w:val="both"/>
        <w:rPr>
          <w:rFonts w:ascii="Arial" w:hAnsi="Arial" w:cs="Arial"/>
          <w:i/>
        </w:rPr>
      </w:pPr>
    </w:p>
    <w:p w:rsidR="00AB65E9" w:rsidRPr="00BF2ADD" w:rsidRDefault="006C6FD9" w:rsidP="00C90E7F">
      <w:pPr>
        <w:spacing w:after="0" w:line="240" w:lineRule="auto"/>
        <w:ind w:left="360"/>
        <w:jc w:val="both"/>
        <w:rPr>
          <w:rFonts w:ascii="Arial" w:hAnsi="Arial" w:cs="Arial"/>
          <w:i/>
        </w:rPr>
      </w:pPr>
      <w:r>
        <w:rPr>
          <w:rFonts w:ascii="Arial" w:hAnsi="Arial" w:cs="Arial"/>
          <w:i/>
        </w:rPr>
        <w:t>Fairness</w:t>
      </w:r>
      <w:r w:rsidR="00AB65E9" w:rsidRPr="00BF2ADD">
        <w:rPr>
          <w:rFonts w:ascii="Arial" w:hAnsi="Arial" w:cs="Arial"/>
          <w:i/>
        </w:rPr>
        <w:t xml:space="preserve"> grounds</w:t>
      </w:r>
    </w:p>
    <w:p w:rsidR="00AB65E9" w:rsidRPr="00BF2ADD" w:rsidRDefault="00AB65E9" w:rsidP="00C90E7F">
      <w:pPr>
        <w:spacing w:after="0" w:line="240" w:lineRule="auto"/>
        <w:rPr>
          <w:rFonts w:ascii="Arial" w:hAnsi="Arial" w:cs="Arial"/>
        </w:rPr>
      </w:pPr>
    </w:p>
    <w:p w:rsidR="00AB65E9" w:rsidRPr="00BF2ADD" w:rsidRDefault="00AB65E9" w:rsidP="00C90E7F">
      <w:pPr>
        <w:numPr>
          <w:ilvl w:val="0"/>
          <w:numId w:val="17"/>
        </w:numPr>
        <w:spacing w:after="0" w:line="240" w:lineRule="auto"/>
        <w:jc w:val="both"/>
        <w:rPr>
          <w:rFonts w:ascii="Arial" w:hAnsi="Arial" w:cs="Arial"/>
          <w:b/>
        </w:rPr>
      </w:pPr>
      <w:r w:rsidRPr="00BF2ADD">
        <w:rPr>
          <w:rFonts w:ascii="Arial" w:hAnsi="Arial" w:cs="Arial"/>
        </w:rPr>
        <w:t xml:space="preserve">In addition, there are also </w:t>
      </w:r>
      <w:r w:rsidR="006C6FD9">
        <w:rPr>
          <w:rFonts w:ascii="Arial" w:hAnsi="Arial" w:cs="Arial"/>
        </w:rPr>
        <w:t>fairness</w:t>
      </w:r>
      <w:r w:rsidRPr="00BF2ADD">
        <w:rPr>
          <w:rFonts w:ascii="Arial" w:hAnsi="Arial" w:cs="Arial"/>
        </w:rPr>
        <w:t xml:space="preserve"> reasons why Government should intervene in this particular case. It appears from the evidence that unsecured creditors are seemingly facing higher fees than secured creditors for the same service. From a fairness perspective this is not desirable as unsecured creditors are disadvantaged. Government intervention is necessary to redress this </w:t>
      </w:r>
      <w:r w:rsidR="006C6FD9">
        <w:rPr>
          <w:rFonts w:ascii="Arial" w:hAnsi="Arial" w:cs="Arial"/>
        </w:rPr>
        <w:t>bias</w:t>
      </w:r>
      <w:r w:rsidRPr="00BF2ADD">
        <w:rPr>
          <w:rFonts w:ascii="Arial" w:hAnsi="Arial" w:cs="Arial"/>
        </w:rPr>
        <w:t xml:space="preserve">.    </w:t>
      </w:r>
    </w:p>
    <w:p w:rsidR="00AB65E9" w:rsidRPr="00BF2ADD" w:rsidRDefault="00AB65E9" w:rsidP="00F01332">
      <w:pPr>
        <w:spacing w:after="0" w:line="240" w:lineRule="auto"/>
        <w:rPr>
          <w:rFonts w:ascii="Arial" w:hAnsi="Arial" w:cs="Arial"/>
          <w:b/>
        </w:rPr>
      </w:pPr>
    </w:p>
    <w:p w:rsidR="00AB65E9" w:rsidRPr="00BF2ADD" w:rsidRDefault="00AB65E9" w:rsidP="00F01332">
      <w:pPr>
        <w:spacing w:after="0" w:line="240" w:lineRule="auto"/>
        <w:rPr>
          <w:rFonts w:ascii="Arial" w:hAnsi="Arial" w:cs="Arial"/>
          <w:b/>
        </w:rPr>
      </w:pPr>
      <w:r w:rsidRPr="00BF2ADD">
        <w:rPr>
          <w:rFonts w:ascii="Arial" w:hAnsi="Arial" w:cs="Arial"/>
          <w:b/>
        </w:rPr>
        <w:t xml:space="preserve">Policy objective; </w:t>
      </w:r>
    </w:p>
    <w:p w:rsidR="00AB65E9" w:rsidRPr="00BF2ADD" w:rsidRDefault="00AB65E9" w:rsidP="00F01332">
      <w:pPr>
        <w:spacing w:after="0" w:line="240" w:lineRule="auto"/>
        <w:ind w:left="360"/>
        <w:rPr>
          <w:rFonts w:ascii="Arial" w:hAnsi="Arial" w:cs="Arial"/>
          <w:b/>
        </w:rPr>
      </w:pPr>
    </w:p>
    <w:p w:rsidR="00AB65E9" w:rsidRPr="00BF2ADD" w:rsidRDefault="00AB65E9" w:rsidP="00F01332">
      <w:pPr>
        <w:numPr>
          <w:ilvl w:val="0"/>
          <w:numId w:val="15"/>
        </w:numPr>
        <w:spacing w:after="0" w:line="240" w:lineRule="auto"/>
        <w:jc w:val="both"/>
        <w:rPr>
          <w:rFonts w:ascii="Arial" w:hAnsi="Arial" w:cs="Arial"/>
        </w:rPr>
      </w:pPr>
      <w:r w:rsidRPr="00BF2ADD">
        <w:rPr>
          <w:rFonts w:ascii="Arial" w:hAnsi="Arial" w:cs="Arial"/>
        </w:rPr>
        <w:t xml:space="preserve">The overall aim of these measures is to increase returns to unsecured creditors and at the same time increase confidence in the work of IPs. This will be achieved </w:t>
      </w:r>
      <w:r w:rsidR="00742D9D" w:rsidRPr="00BF2ADD">
        <w:rPr>
          <w:rFonts w:ascii="Arial" w:hAnsi="Arial" w:cs="Arial"/>
        </w:rPr>
        <w:t>through a package of measures aimed at improving and strengthening the regulatory regime for IPs. This impact assessment concerns the changes we are proposing to the basis for an IP’s remuneration</w:t>
      </w:r>
      <w:r w:rsidR="00017DEC" w:rsidRPr="00BF2ADD">
        <w:rPr>
          <w:rFonts w:ascii="Arial" w:hAnsi="Arial" w:cs="Arial"/>
        </w:rPr>
        <w:t xml:space="preserve"> as well as changes to the complaint handling process for fee complaints. </w:t>
      </w:r>
      <w:r w:rsidRPr="00BF2ADD">
        <w:rPr>
          <w:rFonts w:ascii="Arial" w:hAnsi="Arial" w:cs="Arial"/>
        </w:rPr>
        <w:t xml:space="preserve"> It is </w:t>
      </w:r>
      <w:r w:rsidR="00742D9D" w:rsidRPr="00BF2ADD">
        <w:rPr>
          <w:rFonts w:ascii="Arial" w:hAnsi="Arial" w:cs="Arial"/>
        </w:rPr>
        <w:t xml:space="preserve">anticipated </w:t>
      </w:r>
      <w:r w:rsidRPr="00BF2ADD">
        <w:rPr>
          <w:rFonts w:ascii="Arial" w:hAnsi="Arial" w:cs="Arial"/>
        </w:rPr>
        <w:t>that these measures will drive behaviour by IPs and prevent excessive fee charging.</w:t>
      </w:r>
    </w:p>
    <w:p w:rsidR="00AB65E9" w:rsidRPr="00BF2ADD" w:rsidRDefault="00AB65E9" w:rsidP="00F01332">
      <w:pPr>
        <w:spacing w:after="0" w:line="240" w:lineRule="auto"/>
        <w:ind w:left="360"/>
        <w:jc w:val="both"/>
        <w:rPr>
          <w:rFonts w:ascii="Arial" w:hAnsi="Arial" w:cs="Arial"/>
        </w:rPr>
      </w:pPr>
    </w:p>
    <w:p w:rsidR="00AB65E9" w:rsidRPr="00BF2ADD" w:rsidRDefault="00AB65E9" w:rsidP="00F01332">
      <w:pPr>
        <w:numPr>
          <w:ilvl w:val="0"/>
          <w:numId w:val="15"/>
        </w:numPr>
        <w:spacing w:after="0" w:line="240" w:lineRule="auto"/>
        <w:jc w:val="both"/>
        <w:rPr>
          <w:rFonts w:ascii="Arial" w:hAnsi="Arial" w:cs="Arial"/>
        </w:rPr>
      </w:pPr>
      <w:r w:rsidRPr="00BF2ADD">
        <w:rPr>
          <w:rFonts w:ascii="Arial" w:hAnsi="Arial" w:cs="Arial"/>
        </w:rPr>
        <w:t xml:space="preserve">It is not proposed that these measures should apply to the fees charged by the Official Receiver which are already set out by regulations.  Nor should they apply in the case of an Individual Voluntary Arrangement or a Company Voluntary Arrangement, where IP fees are closely controlled by creditors.  They should not apply in the case of Members Voluntary Liquidation, where the company is solvent </w:t>
      </w:r>
      <w:r w:rsidR="00270C60" w:rsidRPr="00BF2ADD">
        <w:rPr>
          <w:rFonts w:ascii="Arial" w:hAnsi="Arial" w:cs="Arial"/>
        </w:rPr>
        <w:t>and</w:t>
      </w:r>
      <w:r w:rsidRPr="00BF2ADD">
        <w:rPr>
          <w:rFonts w:ascii="Arial" w:hAnsi="Arial" w:cs="Arial"/>
        </w:rPr>
        <w:t xml:space="preserve"> all creditors are paid in full</w:t>
      </w:r>
      <w:r w:rsidR="00270C60" w:rsidRPr="00BF2ADD">
        <w:rPr>
          <w:rFonts w:ascii="Arial" w:hAnsi="Arial" w:cs="Arial"/>
        </w:rPr>
        <w:t>.</w:t>
      </w:r>
      <w:r w:rsidRPr="00BF2ADD">
        <w:rPr>
          <w:rFonts w:ascii="Arial" w:hAnsi="Arial" w:cs="Arial"/>
        </w:rPr>
        <w:t xml:space="preserve"> </w:t>
      </w:r>
    </w:p>
    <w:p w:rsidR="00AB65E9" w:rsidRPr="00BF2ADD" w:rsidRDefault="00AB65E9" w:rsidP="00F01332">
      <w:pPr>
        <w:spacing w:after="0" w:line="240" w:lineRule="auto"/>
        <w:ind w:left="360"/>
        <w:rPr>
          <w:rFonts w:ascii="Arial" w:hAnsi="Arial" w:cs="Arial"/>
          <w:b/>
        </w:rPr>
      </w:pPr>
    </w:p>
    <w:p w:rsidR="00AB65E9" w:rsidRPr="00BF2ADD" w:rsidRDefault="00AB65E9" w:rsidP="00F01332">
      <w:pPr>
        <w:keepNext/>
        <w:spacing w:after="120" w:line="240" w:lineRule="auto"/>
        <w:rPr>
          <w:rFonts w:ascii="Arial" w:hAnsi="Arial" w:cs="Arial"/>
          <w:b/>
          <w:bCs/>
          <w:color w:val="000000"/>
          <w:lang w:eastAsia="en-GB"/>
        </w:rPr>
      </w:pPr>
      <w:bookmarkStart w:id="25" w:name="EvidenceBullet"/>
      <w:r w:rsidRPr="00BF2ADD">
        <w:rPr>
          <w:rFonts w:ascii="Arial" w:hAnsi="Arial" w:cs="Arial"/>
          <w:b/>
          <w:bCs/>
          <w:color w:val="000000"/>
          <w:lang w:eastAsia="en-GB"/>
        </w:rPr>
        <w:t>Description of options considered (including do nothing);</w:t>
      </w:r>
    </w:p>
    <w:p w:rsidR="00AB65E9" w:rsidRPr="00BF2ADD" w:rsidRDefault="00AB65E9" w:rsidP="00F01332">
      <w:pPr>
        <w:keepNext/>
        <w:spacing w:after="120" w:line="240" w:lineRule="auto"/>
        <w:ind w:left="284" w:hanging="284"/>
        <w:rPr>
          <w:rFonts w:ascii="Arial" w:hAnsi="Arial" w:cs="Arial"/>
          <w:b/>
          <w:bCs/>
          <w:color w:val="FF0000"/>
          <w:lang w:eastAsia="en-GB"/>
        </w:rPr>
      </w:pPr>
      <w:r w:rsidRPr="00BF2ADD">
        <w:rPr>
          <w:rFonts w:ascii="Arial" w:hAnsi="Arial" w:cs="Arial"/>
          <w:b/>
          <w:bCs/>
          <w:color w:val="FF0000"/>
          <w:lang w:eastAsia="en-GB"/>
        </w:rPr>
        <w:t>Do nothing option</w:t>
      </w:r>
    </w:p>
    <w:p w:rsidR="00AB65E9" w:rsidRPr="00BF2ADD" w:rsidRDefault="00AB65E9" w:rsidP="00F01332">
      <w:pPr>
        <w:numPr>
          <w:ilvl w:val="0"/>
          <w:numId w:val="15"/>
        </w:numPr>
        <w:spacing w:after="0" w:line="240" w:lineRule="auto"/>
        <w:jc w:val="both"/>
        <w:rPr>
          <w:rFonts w:ascii="Arial" w:hAnsi="Arial" w:cs="Arial"/>
        </w:rPr>
      </w:pPr>
      <w:r w:rsidRPr="00BF2ADD">
        <w:rPr>
          <w:rFonts w:ascii="Arial" w:hAnsi="Arial" w:cs="Arial"/>
        </w:rPr>
        <w:t xml:space="preserve">Do nothing would be to continue with the status quo whereby IPs </w:t>
      </w:r>
      <w:r w:rsidR="00532757">
        <w:rPr>
          <w:rFonts w:ascii="Arial" w:hAnsi="Arial" w:cs="Arial"/>
        </w:rPr>
        <w:t xml:space="preserve">are able to </w:t>
      </w:r>
      <w:r w:rsidRPr="00BF2ADD">
        <w:rPr>
          <w:rFonts w:ascii="Arial" w:hAnsi="Arial" w:cs="Arial"/>
        </w:rPr>
        <w:t xml:space="preserve">charge higher fees to unsecured creditors. Given the weakness for unsecured creditors of the current regime, identified by the OFT and more recently by Professor </w:t>
      </w:r>
      <w:proofErr w:type="spellStart"/>
      <w:r w:rsidRPr="00BF2ADD">
        <w:rPr>
          <w:rFonts w:ascii="Arial" w:hAnsi="Arial" w:cs="Arial"/>
        </w:rPr>
        <w:t>Kempson’s</w:t>
      </w:r>
      <w:proofErr w:type="spellEnd"/>
      <w:r w:rsidRPr="00BF2ADD">
        <w:rPr>
          <w:rFonts w:ascii="Arial" w:hAnsi="Arial" w:cs="Arial"/>
        </w:rPr>
        <w:t xml:space="preserve"> review, doing nothing is not considered a credible option</w:t>
      </w:r>
      <w:r w:rsidR="00270C60" w:rsidRPr="00BF2ADD">
        <w:rPr>
          <w:rFonts w:ascii="Arial" w:hAnsi="Arial" w:cs="Arial"/>
        </w:rPr>
        <w:t xml:space="preserve"> </w:t>
      </w:r>
      <w:r w:rsidRPr="00BF2ADD">
        <w:rPr>
          <w:rFonts w:ascii="Arial" w:hAnsi="Arial" w:cs="Arial"/>
        </w:rPr>
        <w:t>as it would allow the current inefficiency and unfairness in the market to continue unchecked</w:t>
      </w:r>
      <w:r w:rsidR="00270C60" w:rsidRPr="00BF2ADD">
        <w:rPr>
          <w:rFonts w:ascii="Arial" w:hAnsi="Arial" w:cs="Arial"/>
        </w:rPr>
        <w:t>.</w:t>
      </w:r>
      <w:r w:rsidRPr="00BF2ADD">
        <w:rPr>
          <w:rFonts w:ascii="Arial" w:hAnsi="Arial" w:cs="Arial"/>
        </w:rPr>
        <w:t xml:space="preserve"> </w:t>
      </w:r>
    </w:p>
    <w:p w:rsidR="00AB65E9" w:rsidRPr="00BF2ADD" w:rsidRDefault="00AB65E9" w:rsidP="00F01332">
      <w:pPr>
        <w:keepNext/>
        <w:spacing w:after="120" w:line="240" w:lineRule="auto"/>
        <w:ind w:firstLine="284"/>
        <w:rPr>
          <w:rFonts w:ascii="Arial" w:hAnsi="Arial" w:cs="Arial"/>
          <w:b/>
          <w:bCs/>
          <w:color w:val="FF0000"/>
          <w:lang w:eastAsia="en-GB"/>
        </w:rPr>
      </w:pPr>
    </w:p>
    <w:p w:rsidR="00091A2F" w:rsidRPr="00BF2ADD" w:rsidRDefault="00091A2F" w:rsidP="00091A2F">
      <w:pPr>
        <w:keepNext/>
        <w:spacing w:after="120" w:line="240" w:lineRule="auto"/>
        <w:ind w:left="284" w:hanging="284"/>
        <w:rPr>
          <w:rFonts w:ascii="Arial" w:hAnsi="Arial" w:cs="Arial"/>
          <w:b/>
          <w:bCs/>
          <w:color w:val="FF0000"/>
          <w:lang w:eastAsia="en-GB"/>
        </w:rPr>
      </w:pPr>
      <w:r w:rsidRPr="00BF2ADD">
        <w:rPr>
          <w:rFonts w:ascii="Arial" w:hAnsi="Arial" w:cs="Arial"/>
          <w:b/>
          <w:bCs/>
          <w:color w:val="FF0000"/>
          <w:lang w:eastAsia="en-GB"/>
        </w:rPr>
        <w:t xml:space="preserve">Option 1: </w:t>
      </w:r>
      <w:r w:rsidR="003B7264" w:rsidRPr="00BF2ADD">
        <w:rPr>
          <w:rFonts w:ascii="Arial" w:hAnsi="Arial" w:cs="Arial"/>
          <w:b/>
          <w:bCs/>
          <w:color w:val="FF0000"/>
          <w:lang w:eastAsia="en-GB"/>
        </w:rPr>
        <w:t>Changes to the basis for remuneration and bringing quantum of fees within the remit of the regulatory framework</w:t>
      </w:r>
    </w:p>
    <w:p w:rsidR="00091A2F" w:rsidRPr="00BF2ADD" w:rsidRDefault="00091A2F" w:rsidP="00091A2F">
      <w:pPr>
        <w:spacing w:after="0" w:line="240" w:lineRule="auto"/>
        <w:ind w:left="360"/>
        <w:jc w:val="both"/>
        <w:rPr>
          <w:rFonts w:ascii="Arial" w:hAnsi="Arial" w:cs="Arial"/>
        </w:rPr>
      </w:pPr>
    </w:p>
    <w:p w:rsidR="00091A2F" w:rsidRDefault="00091A2F" w:rsidP="00130BEE">
      <w:pPr>
        <w:numPr>
          <w:ilvl w:val="0"/>
          <w:numId w:val="15"/>
        </w:numPr>
        <w:spacing w:after="0" w:line="240" w:lineRule="auto"/>
        <w:jc w:val="both"/>
        <w:rPr>
          <w:rFonts w:ascii="Arial" w:hAnsi="Arial" w:cs="Arial"/>
        </w:rPr>
      </w:pPr>
      <w:r w:rsidRPr="00BF2ADD">
        <w:rPr>
          <w:rFonts w:ascii="Arial" w:hAnsi="Arial" w:cs="Arial"/>
        </w:rPr>
        <w:t>For the purposes of this impact assessment, we have provided an estimated average of the costs and benefits</w:t>
      </w:r>
      <w:r w:rsidR="00E448CD" w:rsidRPr="00BF2ADD">
        <w:rPr>
          <w:rFonts w:ascii="Arial" w:hAnsi="Arial" w:cs="Arial"/>
        </w:rPr>
        <w:t>.</w:t>
      </w:r>
      <w:r w:rsidRPr="00BF2ADD">
        <w:rPr>
          <w:rFonts w:ascii="Arial" w:hAnsi="Arial" w:cs="Arial"/>
        </w:rPr>
        <w:t xml:space="preserve">  We propose to use the consultation to seek further information on the impact the changes would have on </w:t>
      </w:r>
      <w:r w:rsidR="00E448CD" w:rsidRPr="00BF2ADD">
        <w:rPr>
          <w:rFonts w:ascii="Arial" w:hAnsi="Arial" w:cs="Arial"/>
        </w:rPr>
        <w:t>(</w:t>
      </w:r>
      <w:proofErr w:type="spellStart"/>
      <w:r w:rsidR="00E448CD" w:rsidRPr="00BF2ADD">
        <w:rPr>
          <w:rFonts w:ascii="Arial" w:hAnsi="Arial" w:cs="Arial"/>
        </w:rPr>
        <w:t>i</w:t>
      </w:r>
      <w:proofErr w:type="spellEnd"/>
      <w:r w:rsidR="00E448CD" w:rsidRPr="00BF2ADD">
        <w:rPr>
          <w:rFonts w:ascii="Arial" w:hAnsi="Arial" w:cs="Arial"/>
        </w:rPr>
        <w:t xml:space="preserve">) </w:t>
      </w:r>
      <w:r w:rsidRPr="00BF2ADD">
        <w:rPr>
          <w:rFonts w:ascii="Arial" w:hAnsi="Arial" w:cs="Arial"/>
        </w:rPr>
        <w:t xml:space="preserve">the current levels of over-charging by IPs and </w:t>
      </w:r>
      <w:r w:rsidR="00E448CD" w:rsidRPr="00BF2ADD">
        <w:rPr>
          <w:rFonts w:ascii="Arial" w:hAnsi="Arial" w:cs="Arial"/>
        </w:rPr>
        <w:t xml:space="preserve">(ii) </w:t>
      </w:r>
      <w:r w:rsidRPr="00BF2ADD">
        <w:rPr>
          <w:rFonts w:ascii="Arial" w:hAnsi="Arial" w:cs="Arial"/>
        </w:rPr>
        <w:t xml:space="preserve">the costs associated with including </w:t>
      </w:r>
      <w:r w:rsidR="00E448CD" w:rsidRPr="00BF2ADD">
        <w:rPr>
          <w:rFonts w:ascii="Arial" w:hAnsi="Arial" w:cs="Arial"/>
        </w:rPr>
        <w:t xml:space="preserve">quantum of </w:t>
      </w:r>
      <w:r w:rsidRPr="00BF2ADD">
        <w:rPr>
          <w:rFonts w:ascii="Arial" w:hAnsi="Arial" w:cs="Arial"/>
        </w:rPr>
        <w:t>IP fees</w:t>
      </w:r>
      <w:r w:rsidR="00E448CD" w:rsidRPr="00BF2ADD">
        <w:rPr>
          <w:rFonts w:ascii="Arial" w:hAnsi="Arial" w:cs="Arial"/>
        </w:rPr>
        <w:t xml:space="preserve"> within the regulatory framework by including</w:t>
      </w:r>
      <w:r w:rsidRPr="00BF2ADD">
        <w:rPr>
          <w:rFonts w:ascii="Arial" w:hAnsi="Arial" w:cs="Arial"/>
        </w:rPr>
        <w:t xml:space="preserve"> giving value for money </w:t>
      </w:r>
      <w:r w:rsidR="00E448CD" w:rsidRPr="00BF2ADD">
        <w:rPr>
          <w:rFonts w:ascii="Arial" w:hAnsi="Arial" w:cs="Arial"/>
        </w:rPr>
        <w:t>within</w:t>
      </w:r>
      <w:r w:rsidRPr="00BF2ADD">
        <w:rPr>
          <w:rFonts w:ascii="Arial" w:hAnsi="Arial" w:cs="Arial"/>
        </w:rPr>
        <w:t xml:space="preserve"> the </w:t>
      </w:r>
      <w:r w:rsidR="00E448CD" w:rsidRPr="00BF2ADD">
        <w:rPr>
          <w:rFonts w:ascii="Arial" w:hAnsi="Arial" w:cs="Arial"/>
        </w:rPr>
        <w:t xml:space="preserve">proposed </w:t>
      </w:r>
      <w:r w:rsidRPr="00BF2ADD">
        <w:rPr>
          <w:rFonts w:ascii="Arial" w:hAnsi="Arial" w:cs="Arial"/>
        </w:rPr>
        <w:t>regulatory objectives</w:t>
      </w:r>
      <w:r w:rsidR="00E448CD" w:rsidRPr="00BF2ADD">
        <w:rPr>
          <w:rStyle w:val="FootnoteReference"/>
          <w:rFonts w:ascii="Arial" w:hAnsi="Arial" w:cs="Arial"/>
        </w:rPr>
        <w:footnoteReference w:id="5"/>
      </w:r>
      <w:r w:rsidRPr="00BF2ADD">
        <w:rPr>
          <w:rFonts w:ascii="Arial" w:hAnsi="Arial" w:cs="Arial"/>
        </w:rPr>
        <w:t>.  Information gathered at the consultation stage will be used to assess the costs and benefits in the Final Impact Assessment.</w:t>
      </w:r>
    </w:p>
    <w:p w:rsidR="00235BE5" w:rsidRPr="00BF2ADD" w:rsidRDefault="00235BE5" w:rsidP="00235BE5">
      <w:pPr>
        <w:spacing w:after="0" w:line="240" w:lineRule="auto"/>
        <w:jc w:val="both"/>
        <w:rPr>
          <w:rFonts w:ascii="Arial" w:hAnsi="Arial" w:cs="Arial"/>
        </w:rPr>
      </w:pPr>
    </w:p>
    <w:p w:rsidR="00235BE5" w:rsidRPr="00BF2ADD" w:rsidRDefault="00235BE5" w:rsidP="00235BE5">
      <w:pPr>
        <w:pStyle w:val="ListParagraph"/>
        <w:numPr>
          <w:ilvl w:val="0"/>
          <w:numId w:val="15"/>
        </w:numPr>
        <w:rPr>
          <w:rFonts w:cs="Arial"/>
          <w:sz w:val="22"/>
          <w:szCs w:val="22"/>
        </w:rPr>
      </w:pPr>
      <w:r w:rsidRPr="00BF2ADD">
        <w:rPr>
          <w:rFonts w:cs="Arial"/>
          <w:sz w:val="22"/>
          <w:szCs w:val="22"/>
        </w:rPr>
        <w:t xml:space="preserve">The proposed change to the </w:t>
      </w:r>
      <w:r w:rsidRPr="00BF2ADD">
        <w:rPr>
          <w:rFonts w:cs="Arial"/>
          <w:b/>
          <w:sz w:val="22"/>
          <w:szCs w:val="22"/>
        </w:rPr>
        <w:t>fee structure</w:t>
      </w:r>
      <w:r w:rsidRPr="00BF2ADD">
        <w:rPr>
          <w:rFonts w:cs="Arial"/>
          <w:sz w:val="22"/>
          <w:szCs w:val="22"/>
        </w:rPr>
        <w:t xml:space="preserve"> is to r</w:t>
      </w:r>
      <w:r w:rsidRPr="00BF2ADD">
        <w:rPr>
          <w:rFonts w:cs="Arial"/>
          <w:b/>
          <w:sz w:val="22"/>
          <w:szCs w:val="22"/>
        </w:rPr>
        <w:t>equire office-holders to take their remuneration as a percentage of assets</w:t>
      </w:r>
      <w:r>
        <w:rPr>
          <w:rFonts w:cs="Arial"/>
          <w:b/>
          <w:sz w:val="22"/>
          <w:szCs w:val="22"/>
        </w:rPr>
        <w:t xml:space="preserve"> or fixed fee</w:t>
      </w:r>
      <w:r w:rsidRPr="00BF2ADD">
        <w:rPr>
          <w:rFonts w:cs="Arial"/>
          <w:b/>
          <w:sz w:val="22"/>
          <w:szCs w:val="22"/>
        </w:rPr>
        <w:t xml:space="preserve"> in all insolvency cases </w:t>
      </w:r>
      <w:r w:rsidRPr="00BF2ADD">
        <w:rPr>
          <w:rFonts w:cs="Arial"/>
          <w:sz w:val="22"/>
          <w:szCs w:val="22"/>
        </w:rPr>
        <w:t>with the exception of;</w:t>
      </w:r>
    </w:p>
    <w:p w:rsidR="00235BE5" w:rsidRPr="00BF2ADD" w:rsidRDefault="00235BE5" w:rsidP="00235BE5">
      <w:pPr>
        <w:spacing w:after="0" w:line="240" w:lineRule="auto"/>
        <w:ind w:left="567"/>
        <w:rPr>
          <w:rFonts w:ascii="Arial" w:hAnsi="Arial" w:cs="Arial"/>
        </w:rPr>
      </w:pPr>
    </w:p>
    <w:p w:rsidR="00235BE5" w:rsidRPr="00BF2ADD" w:rsidRDefault="00235BE5" w:rsidP="00235BE5">
      <w:pPr>
        <w:pStyle w:val="ListParagraph"/>
        <w:numPr>
          <w:ilvl w:val="0"/>
          <w:numId w:val="27"/>
        </w:numPr>
        <w:rPr>
          <w:rFonts w:cs="Arial"/>
          <w:sz w:val="22"/>
          <w:szCs w:val="22"/>
        </w:rPr>
      </w:pPr>
      <w:r w:rsidRPr="00BF2ADD">
        <w:rPr>
          <w:rFonts w:cs="Arial"/>
          <w:sz w:val="22"/>
          <w:szCs w:val="22"/>
        </w:rPr>
        <w:t>Cases in which a creditors committee is established, as these committees oversee the remuneration of the office-holder; or</w:t>
      </w:r>
    </w:p>
    <w:p w:rsidR="00235BE5" w:rsidRDefault="00235BE5" w:rsidP="00235BE5">
      <w:pPr>
        <w:numPr>
          <w:ilvl w:val="0"/>
          <w:numId w:val="27"/>
        </w:numPr>
        <w:spacing w:after="0" w:line="240" w:lineRule="auto"/>
        <w:rPr>
          <w:rFonts w:ascii="Arial" w:hAnsi="Arial" w:cs="Arial"/>
        </w:rPr>
      </w:pPr>
      <w:r w:rsidRPr="000E5A4F">
        <w:rPr>
          <w:rFonts w:ascii="Arial" w:hAnsi="Arial" w:cs="Arial"/>
        </w:rPr>
        <w:t>Cases where secured creditors will not be paid in full and so remain in control of fees. The market works well in this instance so we do not want to interfere with the ability for secured creditors to successfully negotiate down fees. If however it later becomes apparent that secured creditor(s) will be paid in full, at this point office-holders would be required to seek approval from unsecured creditors for the basis and percentage (if relevant) for their remuneration going forward. The basis would need to be either percentage of realisations or fixed fee</w:t>
      </w:r>
      <w:r>
        <w:rPr>
          <w:rFonts w:ascii="Arial" w:hAnsi="Arial" w:cs="Arial"/>
        </w:rPr>
        <w:t>; or</w:t>
      </w:r>
      <w:r w:rsidRPr="000E5A4F">
        <w:rPr>
          <w:rFonts w:ascii="Arial" w:hAnsi="Arial" w:cs="Arial"/>
        </w:rPr>
        <w:t xml:space="preserve"> </w:t>
      </w:r>
    </w:p>
    <w:p w:rsidR="00235BE5" w:rsidRPr="000E5A4F" w:rsidRDefault="00235BE5" w:rsidP="00235BE5">
      <w:pPr>
        <w:numPr>
          <w:ilvl w:val="0"/>
          <w:numId w:val="27"/>
        </w:numPr>
        <w:spacing w:after="0" w:line="240" w:lineRule="auto"/>
        <w:rPr>
          <w:rFonts w:ascii="Arial" w:hAnsi="Arial" w:cs="Arial"/>
        </w:rPr>
      </w:pPr>
      <w:r>
        <w:rPr>
          <w:rFonts w:ascii="Arial" w:hAnsi="Arial" w:cs="Arial"/>
        </w:rPr>
        <w:t>IVAs, CVAs, or MVLs</w:t>
      </w:r>
    </w:p>
    <w:p w:rsidR="00235BE5" w:rsidRPr="00BF2ADD" w:rsidRDefault="00235BE5" w:rsidP="00235BE5">
      <w:pPr>
        <w:spacing w:after="0" w:line="240" w:lineRule="auto"/>
        <w:ind w:left="567"/>
        <w:rPr>
          <w:rFonts w:ascii="Arial" w:hAnsi="Arial" w:cs="Arial"/>
        </w:rPr>
      </w:pPr>
    </w:p>
    <w:p w:rsidR="00235BE5" w:rsidRPr="00BF2ADD" w:rsidRDefault="00235BE5" w:rsidP="00235BE5">
      <w:pPr>
        <w:spacing w:after="0" w:line="240" w:lineRule="auto"/>
        <w:ind w:left="567"/>
        <w:rPr>
          <w:rFonts w:ascii="Arial" w:hAnsi="Arial" w:cs="Arial"/>
        </w:rPr>
      </w:pPr>
    </w:p>
    <w:p w:rsidR="00235BE5" w:rsidRPr="000E5A4F" w:rsidRDefault="00235BE5" w:rsidP="00235BE5">
      <w:pPr>
        <w:numPr>
          <w:ilvl w:val="0"/>
          <w:numId w:val="15"/>
        </w:numPr>
        <w:spacing w:after="0" w:line="240" w:lineRule="auto"/>
        <w:rPr>
          <w:rFonts w:ascii="Arial" w:hAnsi="Arial" w:cs="Arial"/>
        </w:rPr>
      </w:pPr>
      <w:r w:rsidRPr="000E5A4F">
        <w:rPr>
          <w:rFonts w:ascii="Arial" w:hAnsi="Arial" w:cs="Arial"/>
        </w:rPr>
        <w:t xml:space="preserve">Where the office-holder seeks to take their remuneration as a percentage of realisations, he or she will be required to get </w:t>
      </w:r>
      <w:r w:rsidRPr="000E5A4F">
        <w:rPr>
          <w:rFonts w:ascii="Arial" w:hAnsi="Arial" w:cs="Arial"/>
          <w:b/>
        </w:rPr>
        <w:t>positive approval from a simple majority (in value) of creditors voting</w:t>
      </w:r>
      <w:r w:rsidRPr="000E5A4F">
        <w:rPr>
          <w:rFonts w:ascii="Arial" w:hAnsi="Arial" w:cs="Arial"/>
        </w:rPr>
        <w:t xml:space="preserve"> (that is more than 50%) for the percentage, or a range of different percentages for different assets, that they seek to take. This is the same threshold as is required currently –deemed consent would not be sufficient. Where approval is sought after it becomes apparent that secured creditors will be paid in full, approval is required from a simple majority of </w:t>
      </w:r>
      <w:r w:rsidRPr="000E5A4F">
        <w:rPr>
          <w:rFonts w:ascii="Arial" w:hAnsi="Arial" w:cs="Arial"/>
          <w:b/>
        </w:rPr>
        <w:t>unsecured creditors</w:t>
      </w:r>
      <w:r w:rsidRPr="000E5A4F">
        <w:rPr>
          <w:rFonts w:ascii="Arial" w:hAnsi="Arial" w:cs="Arial"/>
        </w:rPr>
        <w:t xml:space="preserve">. The </w:t>
      </w:r>
      <w:r w:rsidRPr="000E5A4F">
        <w:rPr>
          <w:rFonts w:ascii="Arial" w:hAnsi="Arial" w:cs="Arial"/>
          <w:b/>
        </w:rPr>
        <w:t xml:space="preserve">fall-back position, </w:t>
      </w:r>
      <w:r w:rsidRPr="000E5A4F">
        <w:rPr>
          <w:rFonts w:ascii="Arial" w:hAnsi="Arial" w:cs="Arial"/>
        </w:rPr>
        <w:t>for all insolvency procedures, would be that the statutory scale, which currently applies to compulsory liquidations and bankruptcies, will apply. This is set out in schedule 6 to the Insolvency Rules 1986 and allows an IP to take their remuneration as:</w:t>
      </w:r>
    </w:p>
    <w:p w:rsidR="00235BE5" w:rsidRPr="00BF2ADD" w:rsidRDefault="00235BE5" w:rsidP="00235BE5">
      <w:pPr>
        <w:spacing w:after="0" w:line="240" w:lineRule="auto"/>
        <w:ind w:left="567" w:right="-55"/>
        <w:rPr>
          <w:rFonts w:ascii="Arial" w:hAnsi="Arial" w:cs="Arial"/>
        </w:rPr>
      </w:pPr>
    </w:p>
    <w:p w:rsidR="00235BE5" w:rsidRPr="00BF2ADD" w:rsidRDefault="00235BE5" w:rsidP="00235BE5">
      <w:pPr>
        <w:pStyle w:val="ListParagraph"/>
        <w:numPr>
          <w:ilvl w:val="0"/>
          <w:numId w:val="28"/>
        </w:numPr>
        <w:ind w:firstLine="131"/>
        <w:rPr>
          <w:rFonts w:cs="Arial"/>
          <w:sz w:val="22"/>
          <w:szCs w:val="22"/>
          <w:lang w:eastAsia="en-GB"/>
        </w:rPr>
      </w:pPr>
      <w:r w:rsidRPr="00BF2ADD">
        <w:rPr>
          <w:rFonts w:cs="Arial"/>
          <w:sz w:val="22"/>
          <w:szCs w:val="22"/>
          <w:lang w:eastAsia="en-GB"/>
        </w:rPr>
        <w:t>20% on the first £5k</w:t>
      </w:r>
    </w:p>
    <w:p w:rsidR="00235BE5" w:rsidRPr="00BF2ADD" w:rsidRDefault="00235BE5" w:rsidP="00235BE5">
      <w:pPr>
        <w:pStyle w:val="ListParagraph"/>
        <w:numPr>
          <w:ilvl w:val="0"/>
          <w:numId w:val="28"/>
        </w:numPr>
        <w:ind w:firstLine="131"/>
        <w:rPr>
          <w:rFonts w:cs="Arial"/>
          <w:sz w:val="22"/>
          <w:szCs w:val="22"/>
          <w:lang w:eastAsia="en-GB"/>
        </w:rPr>
      </w:pPr>
      <w:r w:rsidRPr="00BF2ADD">
        <w:rPr>
          <w:rFonts w:cs="Arial"/>
          <w:sz w:val="22"/>
          <w:szCs w:val="22"/>
          <w:lang w:eastAsia="en-GB"/>
        </w:rPr>
        <w:t>15% on the next £5k</w:t>
      </w:r>
    </w:p>
    <w:p w:rsidR="00235BE5" w:rsidRPr="00BF2ADD" w:rsidRDefault="00235BE5" w:rsidP="00235BE5">
      <w:pPr>
        <w:pStyle w:val="ListParagraph"/>
        <w:numPr>
          <w:ilvl w:val="0"/>
          <w:numId w:val="28"/>
        </w:numPr>
        <w:ind w:firstLine="131"/>
        <w:rPr>
          <w:rFonts w:cs="Arial"/>
          <w:sz w:val="22"/>
          <w:szCs w:val="22"/>
          <w:lang w:eastAsia="en-GB"/>
        </w:rPr>
      </w:pPr>
      <w:r w:rsidRPr="00BF2ADD">
        <w:rPr>
          <w:rFonts w:cs="Arial"/>
          <w:sz w:val="22"/>
          <w:szCs w:val="22"/>
          <w:lang w:eastAsia="en-GB"/>
        </w:rPr>
        <w:t>10% on the next £90k and</w:t>
      </w:r>
    </w:p>
    <w:p w:rsidR="00235BE5" w:rsidRPr="00BF2ADD" w:rsidRDefault="00235BE5" w:rsidP="00235BE5">
      <w:pPr>
        <w:pStyle w:val="ListParagraph"/>
        <w:numPr>
          <w:ilvl w:val="0"/>
          <w:numId w:val="28"/>
        </w:numPr>
        <w:ind w:firstLine="131"/>
        <w:rPr>
          <w:rFonts w:cs="Arial"/>
          <w:sz w:val="22"/>
          <w:szCs w:val="22"/>
          <w:lang w:eastAsia="en-GB"/>
        </w:rPr>
      </w:pPr>
      <w:r w:rsidRPr="00BF2ADD">
        <w:rPr>
          <w:rFonts w:cs="Arial"/>
          <w:sz w:val="22"/>
          <w:szCs w:val="22"/>
          <w:lang w:eastAsia="en-GB"/>
        </w:rPr>
        <w:t>5% on everything above.</w:t>
      </w:r>
    </w:p>
    <w:p w:rsidR="00235BE5" w:rsidRPr="00BF2ADD" w:rsidRDefault="00235BE5" w:rsidP="00235BE5">
      <w:pPr>
        <w:spacing w:after="0" w:line="240" w:lineRule="auto"/>
        <w:ind w:left="567" w:firstLine="60"/>
        <w:rPr>
          <w:rFonts w:ascii="Arial" w:hAnsi="Arial" w:cs="Arial"/>
          <w:lang w:eastAsia="en-GB"/>
        </w:rPr>
      </w:pPr>
    </w:p>
    <w:p w:rsidR="00235BE5" w:rsidRPr="00BF2ADD" w:rsidRDefault="00235BE5" w:rsidP="00235BE5">
      <w:pPr>
        <w:numPr>
          <w:ilvl w:val="0"/>
          <w:numId w:val="15"/>
        </w:numPr>
        <w:spacing w:after="0" w:line="240" w:lineRule="auto"/>
        <w:jc w:val="both"/>
        <w:rPr>
          <w:rFonts w:ascii="Arial" w:hAnsi="Arial" w:cs="Arial"/>
          <w:lang w:eastAsia="en-GB"/>
        </w:rPr>
      </w:pPr>
      <w:r w:rsidRPr="00BF2ADD">
        <w:rPr>
          <w:rFonts w:ascii="Arial" w:hAnsi="Arial" w:cs="Arial"/>
          <w:lang w:eastAsia="en-GB"/>
        </w:rPr>
        <w:t xml:space="preserve"> Under this system, the IP can also receive payment for distributing funds to creditors –</w:t>
      </w:r>
    </w:p>
    <w:p w:rsidR="00235BE5" w:rsidRPr="00BF2ADD" w:rsidRDefault="00235BE5" w:rsidP="00235BE5">
      <w:pPr>
        <w:spacing w:after="0" w:line="240" w:lineRule="auto"/>
        <w:ind w:left="567" w:firstLine="60"/>
        <w:rPr>
          <w:rFonts w:ascii="Arial" w:hAnsi="Arial" w:cs="Arial"/>
          <w:lang w:eastAsia="en-GB"/>
        </w:rPr>
      </w:pPr>
    </w:p>
    <w:p w:rsidR="00235BE5" w:rsidRPr="00BF2ADD" w:rsidRDefault="00235BE5" w:rsidP="00235BE5">
      <w:pPr>
        <w:pStyle w:val="ListParagraph"/>
        <w:numPr>
          <w:ilvl w:val="0"/>
          <w:numId w:val="29"/>
        </w:numPr>
        <w:ind w:firstLine="131"/>
        <w:rPr>
          <w:rFonts w:cs="Arial"/>
          <w:sz w:val="22"/>
          <w:szCs w:val="22"/>
          <w:lang w:eastAsia="en-GB"/>
        </w:rPr>
      </w:pPr>
      <w:r w:rsidRPr="00BF2ADD">
        <w:rPr>
          <w:rFonts w:cs="Arial"/>
          <w:sz w:val="22"/>
          <w:szCs w:val="22"/>
          <w:lang w:eastAsia="en-GB"/>
        </w:rPr>
        <w:t>10% on the first £5k</w:t>
      </w:r>
    </w:p>
    <w:p w:rsidR="00235BE5" w:rsidRPr="00BF2ADD" w:rsidRDefault="00235BE5" w:rsidP="00235BE5">
      <w:pPr>
        <w:pStyle w:val="ListParagraph"/>
        <w:numPr>
          <w:ilvl w:val="0"/>
          <w:numId w:val="29"/>
        </w:numPr>
        <w:ind w:firstLine="131"/>
        <w:rPr>
          <w:rFonts w:cs="Arial"/>
          <w:sz w:val="22"/>
          <w:szCs w:val="22"/>
          <w:lang w:eastAsia="en-GB"/>
        </w:rPr>
      </w:pPr>
      <w:r w:rsidRPr="00BF2ADD">
        <w:rPr>
          <w:rFonts w:cs="Arial"/>
          <w:sz w:val="22"/>
          <w:szCs w:val="22"/>
          <w:lang w:eastAsia="en-GB"/>
        </w:rPr>
        <w:t>7.5% on the next £5k</w:t>
      </w:r>
    </w:p>
    <w:p w:rsidR="00235BE5" w:rsidRPr="00BF2ADD" w:rsidRDefault="00235BE5" w:rsidP="00235BE5">
      <w:pPr>
        <w:pStyle w:val="ListParagraph"/>
        <w:numPr>
          <w:ilvl w:val="0"/>
          <w:numId w:val="29"/>
        </w:numPr>
        <w:ind w:firstLine="131"/>
        <w:rPr>
          <w:rFonts w:cs="Arial"/>
          <w:sz w:val="22"/>
          <w:szCs w:val="22"/>
          <w:lang w:eastAsia="en-GB"/>
        </w:rPr>
      </w:pPr>
      <w:r w:rsidRPr="00BF2ADD">
        <w:rPr>
          <w:rFonts w:cs="Arial"/>
          <w:sz w:val="22"/>
          <w:szCs w:val="22"/>
          <w:lang w:eastAsia="en-GB"/>
        </w:rPr>
        <w:t>5% on the next £90k and</w:t>
      </w:r>
    </w:p>
    <w:p w:rsidR="00235BE5" w:rsidRPr="00BF2ADD" w:rsidRDefault="00235BE5" w:rsidP="00235BE5">
      <w:pPr>
        <w:pStyle w:val="ListParagraph"/>
        <w:numPr>
          <w:ilvl w:val="0"/>
          <w:numId w:val="29"/>
        </w:numPr>
        <w:ind w:firstLine="131"/>
        <w:rPr>
          <w:rFonts w:cs="Arial"/>
          <w:sz w:val="22"/>
          <w:szCs w:val="22"/>
          <w:lang w:eastAsia="en-GB"/>
        </w:rPr>
      </w:pPr>
      <w:r w:rsidRPr="00BF2ADD">
        <w:rPr>
          <w:rFonts w:cs="Arial"/>
          <w:sz w:val="22"/>
          <w:szCs w:val="22"/>
          <w:lang w:eastAsia="en-GB"/>
        </w:rPr>
        <w:t>2.5% on everything above</w:t>
      </w:r>
    </w:p>
    <w:p w:rsidR="00235BE5" w:rsidRPr="00BF2ADD" w:rsidRDefault="00235BE5" w:rsidP="00235BE5">
      <w:pPr>
        <w:spacing w:after="0" w:line="240" w:lineRule="auto"/>
        <w:ind w:left="567"/>
        <w:rPr>
          <w:rFonts w:ascii="Arial" w:hAnsi="Arial" w:cs="Arial"/>
        </w:rPr>
      </w:pPr>
    </w:p>
    <w:p w:rsidR="00235BE5" w:rsidRPr="00BF2ADD" w:rsidRDefault="00235BE5" w:rsidP="00235BE5">
      <w:pPr>
        <w:pStyle w:val="ListParagraph"/>
        <w:numPr>
          <w:ilvl w:val="0"/>
          <w:numId w:val="15"/>
        </w:numPr>
        <w:rPr>
          <w:rFonts w:cs="Arial"/>
          <w:sz w:val="22"/>
          <w:szCs w:val="22"/>
        </w:rPr>
      </w:pPr>
      <w:r w:rsidRPr="00BF2ADD">
        <w:rPr>
          <w:rFonts w:cs="Arial"/>
          <w:sz w:val="22"/>
          <w:szCs w:val="22"/>
        </w:rPr>
        <w:t xml:space="preserve">We believe that the advantages of this as a basis for remuneration are that: </w:t>
      </w:r>
    </w:p>
    <w:p w:rsidR="00235BE5" w:rsidRPr="00BF2ADD" w:rsidRDefault="00235BE5" w:rsidP="00235BE5">
      <w:pPr>
        <w:pStyle w:val="ListParagraph"/>
        <w:numPr>
          <w:ilvl w:val="0"/>
          <w:numId w:val="30"/>
        </w:numPr>
        <w:ind w:firstLine="131"/>
        <w:rPr>
          <w:rFonts w:cs="Arial"/>
          <w:sz w:val="22"/>
          <w:szCs w:val="22"/>
        </w:rPr>
      </w:pPr>
      <w:r w:rsidRPr="00BF2ADD">
        <w:rPr>
          <w:rFonts w:cs="Arial"/>
          <w:sz w:val="22"/>
          <w:szCs w:val="22"/>
        </w:rPr>
        <w:t>It gives tight control over the amount an IP can charge,</w:t>
      </w:r>
    </w:p>
    <w:p w:rsidR="00235BE5" w:rsidRPr="00BF2ADD" w:rsidRDefault="00235BE5" w:rsidP="00235BE5">
      <w:pPr>
        <w:pStyle w:val="ListParagraph"/>
        <w:numPr>
          <w:ilvl w:val="0"/>
          <w:numId w:val="30"/>
        </w:numPr>
        <w:ind w:left="1418" w:hanging="425"/>
        <w:rPr>
          <w:rFonts w:cs="Arial"/>
          <w:sz w:val="22"/>
          <w:szCs w:val="22"/>
        </w:rPr>
      </w:pPr>
      <w:r w:rsidRPr="00BF2ADD">
        <w:rPr>
          <w:rFonts w:cs="Arial"/>
          <w:sz w:val="22"/>
          <w:szCs w:val="22"/>
        </w:rPr>
        <w:t xml:space="preserve">It ensures that there are funds available for distribution and not all realisations are swallowed up in fees, </w:t>
      </w:r>
    </w:p>
    <w:p w:rsidR="00235BE5" w:rsidRPr="00BF2ADD" w:rsidRDefault="00235BE5" w:rsidP="00235BE5">
      <w:pPr>
        <w:pStyle w:val="ListParagraph"/>
        <w:numPr>
          <w:ilvl w:val="0"/>
          <w:numId w:val="30"/>
        </w:numPr>
        <w:ind w:left="1418" w:hanging="425"/>
        <w:rPr>
          <w:rFonts w:cs="Arial"/>
          <w:sz w:val="22"/>
          <w:szCs w:val="22"/>
        </w:rPr>
      </w:pPr>
      <w:r w:rsidRPr="00BF2ADD">
        <w:rPr>
          <w:rFonts w:cs="Arial"/>
          <w:sz w:val="22"/>
          <w:szCs w:val="22"/>
        </w:rPr>
        <w:t>It allows creditors to use the statutory scale as a comparison on which to question the percentage the IP is proposing, and</w:t>
      </w:r>
    </w:p>
    <w:p w:rsidR="00235BE5" w:rsidRPr="00BF2ADD" w:rsidRDefault="00235BE5" w:rsidP="00235BE5">
      <w:pPr>
        <w:pStyle w:val="ListParagraph"/>
        <w:numPr>
          <w:ilvl w:val="0"/>
          <w:numId w:val="30"/>
        </w:numPr>
        <w:ind w:left="1418" w:hanging="425"/>
        <w:rPr>
          <w:rFonts w:cs="Arial"/>
          <w:sz w:val="22"/>
          <w:szCs w:val="22"/>
        </w:rPr>
      </w:pPr>
      <w:r w:rsidRPr="00BF2ADD">
        <w:rPr>
          <w:rFonts w:cs="Arial"/>
          <w:sz w:val="22"/>
          <w:szCs w:val="22"/>
        </w:rPr>
        <w:lastRenderedPageBreak/>
        <w:t xml:space="preserve">From the outset of a case, creditors will have more idea of the final outcome because they will be able to reasonably assess the IP’s remuneration.  </w:t>
      </w:r>
    </w:p>
    <w:p w:rsidR="00235BE5" w:rsidRPr="00BF2ADD" w:rsidRDefault="00235BE5" w:rsidP="00235BE5">
      <w:pPr>
        <w:spacing w:after="0" w:line="240" w:lineRule="auto"/>
        <w:ind w:left="567"/>
        <w:rPr>
          <w:rFonts w:ascii="Arial" w:hAnsi="Arial" w:cs="Arial"/>
        </w:rPr>
      </w:pPr>
    </w:p>
    <w:p w:rsidR="00235BE5" w:rsidRPr="00BF2ADD" w:rsidRDefault="00235BE5" w:rsidP="00235BE5">
      <w:pPr>
        <w:spacing w:after="0" w:line="240" w:lineRule="auto"/>
        <w:ind w:left="142"/>
        <w:rPr>
          <w:rFonts w:ascii="Arial" w:hAnsi="Arial" w:cs="Arial"/>
        </w:rPr>
      </w:pPr>
    </w:p>
    <w:p w:rsidR="00235BE5" w:rsidRPr="00BF2ADD" w:rsidRDefault="00235BE5" w:rsidP="00235BE5">
      <w:pPr>
        <w:keepNext/>
        <w:spacing w:after="120"/>
        <w:ind w:left="142"/>
        <w:rPr>
          <w:rFonts w:ascii="Arial" w:hAnsi="Arial" w:cs="Arial"/>
          <w:b/>
          <w:bCs/>
          <w:color w:val="000000"/>
          <w:lang w:eastAsia="en-GB"/>
        </w:rPr>
      </w:pPr>
      <w:r w:rsidRPr="00BF2ADD">
        <w:rPr>
          <w:rFonts w:ascii="Arial" w:hAnsi="Arial" w:cs="Arial"/>
          <w:b/>
          <w:bCs/>
          <w:color w:val="000000"/>
          <w:lang w:eastAsia="en-GB"/>
        </w:rPr>
        <w:t>Q: What impact do you think the proposed change to the fee structure will have on IP fees and returns to unsecured creditors?</w:t>
      </w:r>
    </w:p>
    <w:p w:rsidR="00235BE5" w:rsidRPr="00BF2ADD" w:rsidRDefault="00235BE5" w:rsidP="00235BE5">
      <w:pPr>
        <w:keepNext/>
        <w:spacing w:after="120"/>
        <w:ind w:left="142"/>
        <w:rPr>
          <w:rFonts w:ascii="Arial" w:hAnsi="Arial" w:cs="Arial"/>
          <w:b/>
          <w:bCs/>
          <w:color w:val="000000"/>
          <w:lang w:eastAsia="en-GB"/>
        </w:rPr>
      </w:pPr>
      <w:r>
        <w:rPr>
          <w:rFonts w:ascii="Arial" w:hAnsi="Arial" w:cs="Arial"/>
          <w:b/>
          <w:bCs/>
          <w:color w:val="000000"/>
          <w:lang w:eastAsia="en-GB"/>
        </w:rPr>
        <w:t xml:space="preserve">Q: </w:t>
      </w:r>
      <w:r w:rsidRPr="000E5A4F">
        <w:rPr>
          <w:rFonts w:ascii="Arial" w:hAnsi="Arial" w:cs="Arial"/>
          <w:b/>
          <w:bCs/>
          <w:color w:val="000000"/>
          <w:lang w:eastAsia="en-GB"/>
        </w:rPr>
        <w:t>Do you agree that the proposed changes to basis for remuneration should not apply to company voluntary arrangements, members’ voluntary liquidation or individual voluntary arrangements?</w:t>
      </w:r>
    </w:p>
    <w:p w:rsidR="00235BE5" w:rsidRDefault="00235BE5" w:rsidP="00235BE5">
      <w:pPr>
        <w:numPr>
          <w:ilvl w:val="0"/>
          <w:numId w:val="15"/>
        </w:numPr>
        <w:spacing w:after="0" w:line="240" w:lineRule="auto"/>
        <w:rPr>
          <w:rFonts w:ascii="Arial" w:hAnsi="Arial" w:cs="Arial"/>
        </w:rPr>
      </w:pPr>
      <w:r w:rsidRPr="000E5A4F">
        <w:rPr>
          <w:rFonts w:ascii="Arial" w:hAnsi="Arial" w:cs="Arial"/>
        </w:rPr>
        <w:t xml:space="preserve">We appreciate that </w:t>
      </w:r>
      <w:r>
        <w:rPr>
          <w:rFonts w:ascii="Arial" w:hAnsi="Arial" w:cs="Arial"/>
        </w:rPr>
        <w:t>a balance needs to be struck between incentivising IPs to undertake work to identify and realise assets and investigate misconduct and ensuring that fees charged represent value for money for creditors.</w:t>
      </w:r>
      <w:r w:rsidRPr="000E5A4F">
        <w:rPr>
          <w:rFonts w:ascii="Arial" w:hAnsi="Arial" w:cs="Arial"/>
        </w:rPr>
        <w:t xml:space="preserve"> We have therefore considered whether it would be useful </w:t>
      </w:r>
      <w:r w:rsidRPr="000E5A4F">
        <w:rPr>
          <w:rFonts w:ascii="Arial" w:hAnsi="Arial" w:cs="Arial"/>
          <w:b/>
        </w:rPr>
        <w:t>to allow time and rate in specified circumstances</w:t>
      </w:r>
      <w:r w:rsidRPr="000E5A4F">
        <w:rPr>
          <w:rFonts w:ascii="Arial" w:hAnsi="Arial" w:cs="Arial"/>
        </w:rPr>
        <w:t>, for example for investigations into the conduct of directors or individuals, or investigations to uncover realisable assets. However, while we recognise that this would allow IPs to recover costs for more time-consuming and unpredictable work, there is potential for over-charging for these aspects of a case to cover losses made on non-investigative work.  It would also be very difficult to define what should be covered by investigation work especially in relation to uncovering assets.  Allowing time and rate in these circumstances would not remove the uncertainty that currently exists in requiring creditors to approve an hourly rate, without any indication of how long a job will take or what work will be done for that time.</w:t>
      </w:r>
    </w:p>
    <w:p w:rsidR="00235BE5" w:rsidRPr="00235BE5" w:rsidRDefault="00235BE5" w:rsidP="00235BE5">
      <w:pPr>
        <w:spacing w:after="0" w:line="240" w:lineRule="auto"/>
        <w:ind w:left="360"/>
        <w:rPr>
          <w:rFonts w:ascii="Arial" w:hAnsi="Arial" w:cs="Arial"/>
        </w:rPr>
      </w:pPr>
    </w:p>
    <w:p w:rsidR="00235BE5" w:rsidRPr="00AA53B3" w:rsidRDefault="00235BE5" w:rsidP="00235BE5">
      <w:pPr>
        <w:numPr>
          <w:ilvl w:val="0"/>
          <w:numId w:val="15"/>
        </w:numPr>
        <w:spacing w:after="0" w:line="240" w:lineRule="auto"/>
        <w:rPr>
          <w:rFonts w:ascii="Arial" w:hAnsi="Arial" w:cs="Arial"/>
        </w:rPr>
      </w:pPr>
      <w:r w:rsidRPr="000E5A4F">
        <w:rPr>
          <w:rFonts w:ascii="Arial" w:hAnsi="Arial" w:cs="Arial"/>
        </w:rPr>
        <w:t xml:space="preserve">Where there is strong support amongst unsecured creditors for such investigation work to be undertaken, and where those creditors would be willing to agree a time and rate basis for the work, the IP has the option of putting together a creditors committee, which will allow an exception to be made.   </w:t>
      </w:r>
    </w:p>
    <w:p w:rsidR="00235BE5" w:rsidRPr="00BF2ADD" w:rsidRDefault="00235BE5" w:rsidP="00235BE5">
      <w:pPr>
        <w:spacing w:after="0" w:line="240" w:lineRule="auto"/>
        <w:ind w:left="360"/>
        <w:rPr>
          <w:rFonts w:ascii="Arial" w:hAnsi="Arial" w:cs="Arial"/>
        </w:rPr>
      </w:pPr>
    </w:p>
    <w:p w:rsidR="00235BE5" w:rsidRDefault="00235BE5" w:rsidP="00235BE5">
      <w:pPr>
        <w:spacing w:after="0" w:line="240" w:lineRule="auto"/>
        <w:ind w:right="-55"/>
        <w:rPr>
          <w:rFonts w:ascii="Arial" w:hAnsi="Arial" w:cs="Arial"/>
          <w:b/>
        </w:rPr>
      </w:pPr>
      <w:r>
        <w:rPr>
          <w:rFonts w:ascii="Arial" w:hAnsi="Arial" w:cs="Arial"/>
          <w:b/>
        </w:rPr>
        <w:t xml:space="preserve">Q: </w:t>
      </w:r>
      <w:r w:rsidRPr="000E5A4F">
        <w:rPr>
          <w:rFonts w:ascii="Arial" w:hAnsi="Arial" w:cs="Arial"/>
          <w:b/>
        </w:rPr>
        <w:t xml:space="preserve">Do you </w:t>
      </w:r>
      <w:r>
        <w:rPr>
          <w:rFonts w:ascii="Arial" w:hAnsi="Arial" w:cs="Arial"/>
          <w:b/>
        </w:rPr>
        <w:t>think there are further circumstances in which time and rate should be able to be charged?</w:t>
      </w:r>
    </w:p>
    <w:p w:rsidR="00235BE5" w:rsidRPr="00BF2ADD" w:rsidRDefault="00235BE5" w:rsidP="00235BE5">
      <w:pPr>
        <w:spacing w:after="0" w:line="240" w:lineRule="auto"/>
        <w:ind w:left="360" w:right="-55"/>
        <w:rPr>
          <w:rFonts w:ascii="Arial" w:hAnsi="Arial" w:cs="Arial"/>
          <w:b/>
        </w:rPr>
      </w:pPr>
    </w:p>
    <w:p w:rsidR="00235BE5" w:rsidRDefault="00235BE5" w:rsidP="00235BE5">
      <w:pPr>
        <w:numPr>
          <w:ilvl w:val="0"/>
          <w:numId w:val="15"/>
        </w:numPr>
        <w:spacing w:after="0" w:line="240" w:lineRule="auto"/>
        <w:jc w:val="both"/>
        <w:rPr>
          <w:rFonts w:ascii="Arial" w:hAnsi="Arial" w:cs="Arial"/>
        </w:rPr>
      </w:pPr>
      <w:r w:rsidRPr="00BF2ADD">
        <w:rPr>
          <w:rFonts w:ascii="Arial" w:hAnsi="Arial" w:cs="Arial"/>
        </w:rPr>
        <w:t xml:space="preserve">Professor </w:t>
      </w:r>
      <w:proofErr w:type="spellStart"/>
      <w:r w:rsidRPr="00BF2ADD">
        <w:rPr>
          <w:rFonts w:ascii="Arial" w:hAnsi="Arial" w:cs="Arial"/>
        </w:rPr>
        <w:t>Kempson’s</w:t>
      </w:r>
      <w:proofErr w:type="spellEnd"/>
      <w:r w:rsidRPr="00BF2ADD">
        <w:rPr>
          <w:rFonts w:ascii="Arial" w:hAnsi="Arial" w:cs="Arial"/>
        </w:rPr>
        <w:t xml:space="preserve"> review highlights that enhanced monitoring by the regulators</w:t>
      </w:r>
      <w:r>
        <w:rPr>
          <w:rFonts w:ascii="Arial" w:hAnsi="Arial" w:cs="Arial"/>
        </w:rPr>
        <w:t xml:space="preserve"> of IPs</w:t>
      </w:r>
      <w:r w:rsidRPr="00BF2ADD">
        <w:rPr>
          <w:rFonts w:ascii="Arial" w:hAnsi="Arial" w:cs="Arial"/>
        </w:rPr>
        <w:t xml:space="preserve"> </w:t>
      </w:r>
      <w:r>
        <w:rPr>
          <w:rFonts w:ascii="Arial" w:hAnsi="Arial" w:cs="Arial"/>
        </w:rPr>
        <w:t xml:space="preserve">(Regulated Professional Bodies – RPBs) </w:t>
      </w:r>
      <w:r w:rsidRPr="00BF2ADD">
        <w:rPr>
          <w:rFonts w:ascii="Arial" w:hAnsi="Arial" w:cs="Arial"/>
        </w:rPr>
        <w:t>is particularly important both for the reputation of the profession and to ensure that work is properly undertaken and the levels of remuneration are appropriate. She highlights that the starting point for reforms in this area should be on providing greater oversight, therefore reducing the numbers of complaints and challenges relating to fees.</w:t>
      </w:r>
    </w:p>
    <w:p w:rsidR="00235BE5" w:rsidRPr="003C7276" w:rsidRDefault="00235BE5" w:rsidP="00235BE5">
      <w:pPr>
        <w:spacing w:after="0" w:line="240" w:lineRule="auto"/>
        <w:ind w:left="360"/>
        <w:jc w:val="both"/>
        <w:rPr>
          <w:rFonts w:ascii="Arial" w:hAnsi="Arial" w:cs="Arial"/>
        </w:rPr>
      </w:pPr>
    </w:p>
    <w:p w:rsidR="00235BE5" w:rsidRPr="003C7276" w:rsidRDefault="00235BE5" w:rsidP="00235BE5">
      <w:pPr>
        <w:numPr>
          <w:ilvl w:val="0"/>
          <w:numId w:val="15"/>
        </w:numPr>
        <w:spacing w:after="0" w:line="240" w:lineRule="auto"/>
        <w:jc w:val="both"/>
        <w:rPr>
          <w:rFonts w:ascii="Arial" w:hAnsi="Arial" w:cs="Arial"/>
        </w:rPr>
      </w:pPr>
      <w:r w:rsidRPr="003C7276">
        <w:rPr>
          <w:rFonts w:ascii="Arial" w:hAnsi="Arial" w:cs="Arial"/>
        </w:rPr>
        <w:t xml:space="preserve">Underpinning the regulation of IPs in Great Britain is the dual regulatory approach, combining both self-regulation by the profession and independent oversight regulation by the Government. In practice, the Insolvency Service carries out oversight regulation acting on behalf of the Secretary of State. </w:t>
      </w:r>
    </w:p>
    <w:p w:rsidR="00235BE5" w:rsidRPr="003C7276" w:rsidRDefault="00235BE5" w:rsidP="00235BE5">
      <w:pPr>
        <w:spacing w:after="0" w:line="240" w:lineRule="auto"/>
        <w:ind w:left="360"/>
        <w:jc w:val="both"/>
        <w:rPr>
          <w:rFonts w:ascii="Arial" w:hAnsi="Arial" w:cs="Arial"/>
        </w:rPr>
      </w:pPr>
    </w:p>
    <w:p w:rsidR="00235BE5" w:rsidRPr="003C7276" w:rsidRDefault="00235BE5" w:rsidP="00235BE5">
      <w:pPr>
        <w:numPr>
          <w:ilvl w:val="0"/>
          <w:numId w:val="15"/>
        </w:numPr>
        <w:spacing w:after="0" w:line="240" w:lineRule="auto"/>
        <w:jc w:val="both"/>
        <w:rPr>
          <w:rFonts w:ascii="Arial" w:hAnsi="Arial" w:cs="Arial"/>
        </w:rPr>
      </w:pPr>
      <w:r w:rsidRPr="003C7276">
        <w:rPr>
          <w:rFonts w:ascii="Arial" w:hAnsi="Arial" w:cs="Arial"/>
        </w:rPr>
        <w:t>Self-regulation is carried out by the RPBs that authorise IPs</w:t>
      </w:r>
      <w:r>
        <w:rPr>
          <w:rFonts w:ascii="Arial" w:hAnsi="Arial" w:cs="Arial"/>
        </w:rPr>
        <w:t xml:space="preserve"> – these are bodies established by statute and some are trading companies and are therefore businesses for the purpose of this IA. These bodies are</w:t>
      </w:r>
      <w:r w:rsidRPr="003C7276">
        <w:rPr>
          <w:rFonts w:ascii="Arial" w:hAnsi="Arial" w:cs="Arial"/>
        </w:rPr>
        <w:t xml:space="preserve"> the:</w:t>
      </w:r>
    </w:p>
    <w:p w:rsidR="00235BE5" w:rsidRPr="003C7276" w:rsidRDefault="00235BE5" w:rsidP="00235BE5">
      <w:pPr>
        <w:numPr>
          <w:ilvl w:val="0"/>
          <w:numId w:val="35"/>
        </w:numPr>
        <w:spacing w:after="0" w:line="240" w:lineRule="auto"/>
        <w:rPr>
          <w:rFonts w:ascii="Arial" w:hAnsi="Arial" w:cs="Arial"/>
        </w:rPr>
      </w:pPr>
      <w:r w:rsidRPr="003C7276">
        <w:rPr>
          <w:rFonts w:ascii="Arial" w:hAnsi="Arial" w:cs="Arial"/>
        </w:rPr>
        <w:t xml:space="preserve">Association of Chartered Certified Accountants (ACCA); </w:t>
      </w:r>
    </w:p>
    <w:p w:rsidR="00235BE5" w:rsidRPr="003C7276" w:rsidRDefault="00235BE5" w:rsidP="00235BE5">
      <w:pPr>
        <w:numPr>
          <w:ilvl w:val="0"/>
          <w:numId w:val="35"/>
        </w:numPr>
        <w:spacing w:after="0" w:line="240" w:lineRule="auto"/>
        <w:rPr>
          <w:rFonts w:ascii="Arial" w:hAnsi="Arial" w:cs="Arial"/>
        </w:rPr>
      </w:pPr>
      <w:r w:rsidRPr="003C7276">
        <w:rPr>
          <w:rFonts w:ascii="Arial" w:hAnsi="Arial" w:cs="Arial"/>
        </w:rPr>
        <w:t>Insolvency Practitioners Association (IPA);</w:t>
      </w:r>
    </w:p>
    <w:p w:rsidR="00235BE5" w:rsidRPr="003C7276" w:rsidRDefault="00235BE5" w:rsidP="00235BE5">
      <w:pPr>
        <w:numPr>
          <w:ilvl w:val="0"/>
          <w:numId w:val="35"/>
        </w:numPr>
        <w:spacing w:after="0" w:line="240" w:lineRule="auto"/>
        <w:rPr>
          <w:rFonts w:ascii="Arial" w:hAnsi="Arial" w:cs="Arial"/>
        </w:rPr>
      </w:pPr>
      <w:r w:rsidRPr="003C7276">
        <w:rPr>
          <w:rFonts w:ascii="Arial" w:hAnsi="Arial" w:cs="Arial"/>
        </w:rPr>
        <w:t xml:space="preserve">Institute of Chartered Accountants in England and Wales (ICAEW); </w:t>
      </w:r>
    </w:p>
    <w:p w:rsidR="00235BE5" w:rsidRPr="003C7276" w:rsidRDefault="00235BE5" w:rsidP="00235BE5">
      <w:pPr>
        <w:numPr>
          <w:ilvl w:val="0"/>
          <w:numId w:val="35"/>
        </w:numPr>
        <w:spacing w:after="0" w:line="240" w:lineRule="auto"/>
        <w:rPr>
          <w:rFonts w:ascii="Arial" w:hAnsi="Arial" w:cs="Arial"/>
        </w:rPr>
      </w:pPr>
      <w:r w:rsidRPr="003C7276">
        <w:rPr>
          <w:rFonts w:ascii="Arial" w:hAnsi="Arial" w:cs="Arial"/>
        </w:rPr>
        <w:t>Institute of Chartered Accountants in Ireland (CARB);</w:t>
      </w:r>
    </w:p>
    <w:p w:rsidR="00235BE5" w:rsidRPr="003C7276" w:rsidRDefault="00235BE5" w:rsidP="00235BE5">
      <w:pPr>
        <w:numPr>
          <w:ilvl w:val="0"/>
          <w:numId w:val="35"/>
        </w:numPr>
        <w:spacing w:after="0" w:line="240" w:lineRule="auto"/>
        <w:rPr>
          <w:rFonts w:ascii="Arial" w:hAnsi="Arial" w:cs="Arial"/>
        </w:rPr>
      </w:pPr>
      <w:r w:rsidRPr="003C7276">
        <w:rPr>
          <w:rFonts w:ascii="Arial" w:hAnsi="Arial" w:cs="Arial"/>
        </w:rPr>
        <w:t xml:space="preserve">Institute of Chartered Accountants of Scotland (ICAS); </w:t>
      </w:r>
    </w:p>
    <w:p w:rsidR="00235BE5" w:rsidRPr="003C7276" w:rsidRDefault="00235BE5" w:rsidP="00235BE5">
      <w:pPr>
        <w:numPr>
          <w:ilvl w:val="0"/>
          <w:numId w:val="35"/>
        </w:numPr>
        <w:spacing w:after="0" w:line="240" w:lineRule="auto"/>
        <w:rPr>
          <w:rFonts w:ascii="Arial" w:hAnsi="Arial" w:cs="Arial"/>
        </w:rPr>
      </w:pPr>
      <w:r w:rsidRPr="003C7276">
        <w:rPr>
          <w:rFonts w:ascii="Arial" w:hAnsi="Arial" w:cs="Arial"/>
        </w:rPr>
        <w:t xml:space="preserve">Solicitors Regulation Authority (SRA, formerly the Law Society); and </w:t>
      </w:r>
    </w:p>
    <w:p w:rsidR="00235BE5" w:rsidRPr="006840C4" w:rsidRDefault="00235BE5" w:rsidP="00235BE5">
      <w:pPr>
        <w:numPr>
          <w:ilvl w:val="0"/>
          <w:numId w:val="35"/>
        </w:numPr>
        <w:spacing w:after="0" w:line="240" w:lineRule="auto"/>
        <w:rPr>
          <w:rFonts w:ascii="Arial" w:hAnsi="Arial" w:cs="Arial"/>
        </w:rPr>
      </w:pPr>
      <w:r w:rsidRPr="003C7276">
        <w:rPr>
          <w:rFonts w:ascii="Arial" w:hAnsi="Arial" w:cs="Arial"/>
        </w:rPr>
        <w:t>Law Society of Scotland (LSS).</w:t>
      </w:r>
    </w:p>
    <w:p w:rsidR="00235BE5" w:rsidRPr="00BF2ADD" w:rsidRDefault="00235BE5" w:rsidP="00235BE5">
      <w:pPr>
        <w:keepNext/>
        <w:spacing w:after="120" w:line="240" w:lineRule="auto"/>
        <w:rPr>
          <w:rFonts w:ascii="Arial" w:hAnsi="Arial" w:cs="Arial"/>
          <w:b/>
          <w:bCs/>
          <w:color w:val="000000"/>
          <w:lang w:eastAsia="en-GB"/>
        </w:rPr>
      </w:pPr>
    </w:p>
    <w:p w:rsidR="00235BE5" w:rsidRPr="00BF2ADD" w:rsidRDefault="00235BE5" w:rsidP="00235BE5">
      <w:pPr>
        <w:numPr>
          <w:ilvl w:val="0"/>
          <w:numId w:val="15"/>
        </w:numPr>
        <w:spacing w:after="0" w:line="240" w:lineRule="auto"/>
        <w:jc w:val="both"/>
        <w:rPr>
          <w:rFonts w:ascii="Arial" w:hAnsi="Arial" w:cs="Arial"/>
        </w:rPr>
      </w:pPr>
      <w:r w:rsidRPr="00BF2ADD">
        <w:rPr>
          <w:rFonts w:ascii="Arial" w:hAnsi="Arial" w:cs="Arial"/>
        </w:rPr>
        <w:t xml:space="preserve">In tandem with the proposed change to the basis for remuneration, we are working on </w:t>
      </w:r>
      <w:r w:rsidRPr="00BF2ADD">
        <w:rPr>
          <w:rFonts w:ascii="Arial" w:hAnsi="Arial" w:cs="Arial"/>
          <w:b/>
        </w:rPr>
        <w:t>proposals to reform the landscape of IP regulation</w:t>
      </w:r>
      <w:r w:rsidRPr="00BF2ADD">
        <w:rPr>
          <w:rFonts w:ascii="Arial" w:hAnsi="Arial" w:cs="Arial"/>
        </w:rPr>
        <w:t xml:space="preserve"> (see separate IA entitled ‘Insolvency Practitioner Regulation – Regulatory objectives and oversight powers), by bringing in regulatory objectives and strengthening the Secretary of State powers of oversight. The RPBs do not currently monitor levels of IP fees. We </w:t>
      </w:r>
      <w:r w:rsidRPr="00BF2ADD">
        <w:rPr>
          <w:rFonts w:ascii="Arial" w:hAnsi="Arial" w:cs="Arial"/>
        </w:rPr>
        <w:lastRenderedPageBreak/>
        <w:t xml:space="preserve">would like them to do more in this respect and therefore intend to include </w:t>
      </w:r>
      <w:r w:rsidRPr="00BF2ADD">
        <w:rPr>
          <w:rFonts w:ascii="Arial" w:hAnsi="Arial" w:cs="Arial"/>
          <w:b/>
        </w:rPr>
        <w:t>IP fees offering value for money as a regulatory objective</w:t>
      </w:r>
      <w:r w:rsidRPr="00BF2ADD">
        <w:rPr>
          <w:rFonts w:ascii="Arial" w:hAnsi="Arial" w:cs="Arial"/>
        </w:rPr>
        <w:t>.</w:t>
      </w:r>
      <w:r w:rsidRPr="00BF2ADD">
        <w:rPr>
          <w:rFonts w:ascii="Arial" w:hAnsi="Arial" w:cs="Arial"/>
          <w:b/>
        </w:rPr>
        <w:t xml:space="preserve"> </w:t>
      </w:r>
      <w:r w:rsidRPr="00BF2ADD">
        <w:rPr>
          <w:rFonts w:ascii="Arial" w:hAnsi="Arial" w:cs="Arial"/>
        </w:rPr>
        <w:t xml:space="preserve">The purpose of the regulatory objectives as a whole is not to introduce additional regulatory burdens but rather they would direct and focus regulatory activity to produce better and more consistent outcomes and to tackle misconduct in the small minority of cases where regulatory action is required. Adding this objective will ensure that RPBs can direct and focus their regulatory activity onto the quantum of fees charged as well as the process in which fees were taken.   </w:t>
      </w:r>
    </w:p>
    <w:p w:rsidR="00235BE5" w:rsidRPr="00BF2ADD" w:rsidRDefault="00235BE5" w:rsidP="00235BE5">
      <w:pPr>
        <w:pStyle w:val="ListParagraph"/>
        <w:rPr>
          <w:rFonts w:cs="Arial"/>
          <w:sz w:val="22"/>
          <w:szCs w:val="22"/>
        </w:rPr>
      </w:pPr>
    </w:p>
    <w:p w:rsidR="00235BE5" w:rsidRPr="00BF2ADD" w:rsidRDefault="00235BE5" w:rsidP="00235BE5">
      <w:pPr>
        <w:numPr>
          <w:ilvl w:val="0"/>
          <w:numId w:val="15"/>
        </w:numPr>
        <w:spacing w:after="0" w:line="240" w:lineRule="auto"/>
        <w:jc w:val="both"/>
        <w:rPr>
          <w:rFonts w:ascii="Arial" w:hAnsi="Arial" w:cs="Arial"/>
        </w:rPr>
      </w:pPr>
      <w:r w:rsidRPr="00BF2ADD">
        <w:rPr>
          <w:rFonts w:ascii="Arial" w:hAnsi="Arial" w:cs="Arial"/>
        </w:rPr>
        <w:t xml:space="preserve">We do recognise that giving the RPBs a regulatory role in monitoring fees will increase the burden on them when dealing with complaints around the quantum of fees. We have, therefore, included the estimated cost of this. </w:t>
      </w:r>
    </w:p>
    <w:p w:rsidR="00AB65E9" w:rsidRPr="00BF2ADD" w:rsidRDefault="00AB65E9" w:rsidP="00165AA9">
      <w:pPr>
        <w:keepNext/>
        <w:spacing w:after="120" w:line="240" w:lineRule="auto"/>
        <w:rPr>
          <w:rFonts w:ascii="Arial" w:hAnsi="Arial" w:cs="Arial"/>
          <w:b/>
          <w:bCs/>
          <w:color w:val="000000"/>
          <w:u w:val="single"/>
          <w:lang w:eastAsia="en-GB"/>
        </w:rPr>
      </w:pPr>
    </w:p>
    <w:p w:rsidR="00AB65E9" w:rsidRPr="00BF2ADD" w:rsidRDefault="00AB65E9" w:rsidP="00F01332">
      <w:pPr>
        <w:keepNext/>
        <w:spacing w:after="120" w:line="240" w:lineRule="auto"/>
        <w:rPr>
          <w:rFonts w:ascii="Arial" w:hAnsi="Arial" w:cs="Arial"/>
          <w:bCs/>
          <w:color w:val="000000"/>
          <w:u w:val="single"/>
          <w:lang w:eastAsia="en-GB"/>
        </w:rPr>
      </w:pPr>
      <w:r w:rsidRPr="00BF2ADD">
        <w:rPr>
          <w:rFonts w:ascii="Arial" w:hAnsi="Arial" w:cs="Arial"/>
          <w:bCs/>
          <w:color w:val="000000"/>
          <w:u w:val="single"/>
          <w:lang w:eastAsia="en-GB"/>
        </w:rPr>
        <w:t>Costs of Option 1</w:t>
      </w:r>
    </w:p>
    <w:p w:rsidR="00AB65E9" w:rsidRPr="00BF2ADD" w:rsidRDefault="00AB65E9" w:rsidP="00F01332">
      <w:pPr>
        <w:keepNext/>
        <w:spacing w:after="120" w:line="240" w:lineRule="auto"/>
        <w:rPr>
          <w:rFonts w:ascii="Arial" w:hAnsi="Arial" w:cs="Arial"/>
          <w:b/>
          <w:bCs/>
          <w:color w:val="000000"/>
          <w:lang w:eastAsia="en-GB"/>
        </w:rPr>
      </w:pPr>
    </w:p>
    <w:p w:rsidR="00AB65E9" w:rsidRPr="00BF2ADD" w:rsidRDefault="00AB65E9" w:rsidP="00F01332">
      <w:pPr>
        <w:keepNext/>
        <w:spacing w:after="120" w:line="240" w:lineRule="auto"/>
        <w:rPr>
          <w:rFonts w:ascii="Arial" w:hAnsi="Arial" w:cs="Arial"/>
          <w:b/>
          <w:bCs/>
          <w:color w:val="000000"/>
          <w:lang w:eastAsia="en-GB"/>
        </w:rPr>
      </w:pPr>
      <w:r w:rsidRPr="00BF2ADD">
        <w:rPr>
          <w:rFonts w:ascii="Arial" w:hAnsi="Arial" w:cs="Arial"/>
          <w:b/>
          <w:bCs/>
          <w:color w:val="000000"/>
          <w:lang w:eastAsia="en-GB"/>
        </w:rPr>
        <w:t>Fee structure</w:t>
      </w:r>
    </w:p>
    <w:p w:rsidR="00AB65E9" w:rsidRPr="00BF2ADD" w:rsidRDefault="00AB65E9" w:rsidP="00F01332">
      <w:pPr>
        <w:keepNext/>
        <w:spacing w:after="120" w:line="240" w:lineRule="auto"/>
        <w:rPr>
          <w:rFonts w:ascii="Arial" w:hAnsi="Arial" w:cs="Arial"/>
          <w:bCs/>
          <w:color w:val="000000"/>
          <w:lang w:eastAsia="en-GB"/>
        </w:rPr>
      </w:pPr>
      <w:r w:rsidRPr="00BF2ADD">
        <w:rPr>
          <w:rFonts w:ascii="Arial" w:hAnsi="Arial" w:cs="Arial"/>
          <w:bCs/>
          <w:color w:val="000000"/>
          <w:u w:val="single"/>
          <w:lang w:eastAsia="en-GB"/>
        </w:rPr>
        <w:t>Familiarisation Costs</w:t>
      </w:r>
    </w:p>
    <w:p w:rsidR="00AB65E9" w:rsidRPr="00BF2ADD" w:rsidRDefault="00AB65E9" w:rsidP="00130BEE">
      <w:pPr>
        <w:numPr>
          <w:ilvl w:val="0"/>
          <w:numId w:val="15"/>
        </w:numPr>
        <w:spacing w:after="0" w:line="240" w:lineRule="auto"/>
        <w:jc w:val="both"/>
        <w:rPr>
          <w:rFonts w:ascii="Arial" w:hAnsi="Arial" w:cs="Arial"/>
          <w:b/>
        </w:rPr>
      </w:pPr>
      <w:r w:rsidRPr="00BF2ADD">
        <w:rPr>
          <w:rFonts w:ascii="Arial" w:hAnsi="Arial" w:cs="Arial"/>
        </w:rPr>
        <w:t>Changes to legislation and in particular to the way in which an IP’s fees may be charged will need familiarisation time.</w:t>
      </w:r>
      <w:r w:rsidRPr="00BF2ADD">
        <w:rPr>
          <w:rFonts w:ascii="Arial" w:hAnsi="Arial" w:cs="Arial"/>
          <w:b/>
        </w:rPr>
        <w:t xml:space="preserve"> </w:t>
      </w:r>
    </w:p>
    <w:p w:rsidR="00AB65E9" w:rsidRPr="00BF2ADD" w:rsidRDefault="00AB65E9" w:rsidP="00E22210">
      <w:pPr>
        <w:spacing w:after="0" w:line="240" w:lineRule="auto"/>
        <w:ind w:left="720"/>
        <w:jc w:val="both"/>
        <w:rPr>
          <w:rFonts w:ascii="Arial" w:hAnsi="Arial" w:cs="Arial"/>
          <w:b/>
        </w:rPr>
      </w:pPr>
    </w:p>
    <w:p w:rsidR="00E448CD" w:rsidRPr="00BF2ADD" w:rsidRDefault="00AB65E9" w:rsidP="00E448CD">
      <w:pPr>
        <w:numPr>
          <w:ilvl w:val="0"/>
          <w:numId w:val="15"/>
        </w:numPr>
        <w:spacing w:after="0" w:line="240" w:lineRule="auto"/>
        <w:jc w:val="both"/>
        <w:rPr>
          <w:rFonts w:ascii="Arial" w:hAnsi="Arial" w:cs="Arial"/>
          <w:b/>
        </w:rPr>
      </w:pPr>
      <w:r w:rsidRPr="00BF2ADD">
        <w:rPr>
          <w:rFonts w:ascii="Arial" w:hAnsi="Arial" w:cs="Arial"/>
        </w:rPr>
        <w:t xml:space="preserve"> </w:t>
      </w:r>
      <w:r w:rsidR="00A00A3B">
        <w:rPr>
          <w:rFonts w:ascii="Arial" w:hAnsi="Arial" w:cs="Arial"/>
        </w:rPr>
        <w:t xml:space="preserve">Based on our experience </w:t>
      </w:r>
      <w:r w:rsidR="00E83C6E">
        <w:rPr>
          <w:rFonts w:ascii="Arial" w:hAnsi="Arial" w:cs="Arial"/>
        </w:rPr>
        <w:t xml:space="preserve">and data sought in relation to other legislative changes, we would estimate that </w:t>
      </w:r>
      <w:r w:rsidRPr="00BF2ADD">
        <w:rPr>
          <w:rFonts w:ascii="Arial" w:hAnsi="Arial" w:cs="Arial"/>
        </w:rPr>
        <w:t xml:space="preserve"> familiarisation</w:t>
      </w:r>
      <w:r w:rsidR="00E83C6E">
        <w:rPr>
          <w:rFonts w:ascii="Arial" w:hAnsi="Arial" w:cs="Arial"/>
        </w:rPr>
        <w:t xml:space="preserve"> would take up</w:t>
      </w:r>
      <w:r w:rsidRPr="00BF2ADD">
        <w:rPr>
          <w:rFonts w:ascii="Arial" w:hAnsi="Arial" w:cs="Arial"/>
        </w:rPr>
        <w:t xml:space="preserve"> to 1.5 hours of an IP’s time based on the assumption that this change is not complex to understand and would only need to be understood once before being applied. There are currently 1,352 IPs who take appointments and we have assumed an average hourly rate for an IP of £375 per hour. </w:t>
      </w:r>
      <w:r w:rsidR="00E83C6E">
        <w:rPr>
          <w:rFonts w:ascii="Arial" w:hAnsi="Arial" w:cs="Arial"/>
        </w:rPr>
        <w:t>This is based on the average hourly charge out of an IP firm, at director/partner level.</w:t>
      </w:r>
      <w:r w:rsidR="00E83C6E">
        <w:rPr>
          <w:rStyle w:val="FootnoteReference"/>
          <w:rFonts w:ascii="Arial" w:hAnsi="Arial"/>
        </w:rPr>
        <w:footnoteReference w:id="6"/>
      </w:r>
      <w:r w:rsidRPr="00BF2ADD">
        <w:rPr>
          <w:rFonts w:ascii="Arial" w:hAnsi="Arial" w:cs="Arial"/>
        </w:rPr>
        <w:t xml:space="preserve"> Based on these figures, </w:t>
      </w:r>
      <w:r w:rsidRPr="00BF2ADD">
        <w:rPr>
          <w:rFonts w:ascii="Arial" w:hAnsi="Arial" w:cs="Arial"/>
          <w:b/>
        </w:rPr>
        <w:t xml:space="preserve">we would expect familiarisation costs to be in the region of £760,000.    </w:t>
      </w:r>
    </w:p>
    <w:p w:rsidR="00E448CD" w:rsidRPr="00BF2ADD" w:rsidRDefault="00E448CD" w:rsidP="00E448CD">
      <w:pPr>
        <w:pStyle w:val="ListParagraph"/>
        <w:rPr>
          <w:rFonts w:cs="Arial"/>
          <w:b/>
          <w:sz w:val="22"/>
          <w:szCs w:val="22"/>
        </w:rPr>
      </w:pPr>
    </w:p>
    <w:p w:rsidR="00AB65E9" w:rsidRPr="00BF2ADD" w:rsidRDefault="00AB65E9" w:rsidP="00743CB1">
      <w:pPr>
        <w:spacing w:after="0" w:line="240" w:lineRule="auto"/>
        <w:ind w:left="360"/>
        <w:jc w:val="both"/>
        <w:rPr>
          <w:rFonts w:ascii="Arial" w:hAnsi="Arial" w:cs="Arial"/>
          <w:b/>
        </w:rPr>
      </w:pPr>
      <w:r w:rsidRPr="00BF2ADD">
        <w:rPr>
          <w:rFonts w:ascii="Arial" w:hAnsi="Arial" w:cs="Arial"/>
          <w:b/>
        </w:rPr>
        <w:t>Q: Do you agree with this estimation for familiarisation costs for the changes to the fee structure.</w:t>
      </w:r>
    </w:p>
    <w:p w:rsidR="00AB65E9" w:rsidRPr="00BF2ADD" w:rsidRDefault="00AB65E9" w:rsidP="00F01332">
      <w:pPr>
        <w:spacing w:after="0" w:line="240" w:lineRule="auto"/>
        <w:ind w:left="720"/>
        <w:jc w:val="both"/>
        <w:rPr>
          <w:rFonts w:ascii="Arial" w:hAnsi="Arial" w:cs="Arial"/>
          <w:b/>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Given the involvement of secured creditors in appointing IPs and negotiating down fees, we would assume that they are already familiar with the legislative requirements surrounding the remuneration of IPs. For these creditors, who are mainly made up of banks and asset based financiers, who regularly deal with insolvency processes there will be familiarisation costs for the new fee charging structure. We are unable to estimate the level of these costs and intend to use the consultation to gain more data.</w:t>
      </w:r>
    </w:p>
    <w:p w:rsidR="00E448CD" w:rsidRPr="00BF2ADD" w:rsidRDefault="00E448CD" w:rsidP="00E448CD">
      <w:pPr>
        <w:spacing w:after="0" w:line="240" w:lineRule="auto"/>
        <w:jc w:val="both"/>
        <w:rPr>
          <w:rFonts w:ascii="Arial" w:hAnsi="Arial" w:cs="Arial"/>
          <w:u w:val="single"/>
        </w:rPr>
      </w:pPr>
    </w:p>
    <w:p w:rsidR="00AB65E9" w:rsidRPr="00BF2ADD" w:rsidRDefault="00AB65E9" w:rsidP="00E448CD">
      <w:pPr>
        <w:spacing w:after="0" w:line="240" w:lineRule="auto"/>
        <w:ind w:left="360"/>
        <w:jc w:val="both"/>
        <w:rPr>
          <w:rFonts w:ascii="Arial" w:hAnsi="Arial" w:cs="Arial"/>
          <w:b/>
        </w:rPr>
      </w:pPr>
      <w:r w:rsidRPr="00BF2ADD">
        <w:rPr>
          <w:rFonts w:ascii="Arial" w:hAnsi="Arial" w:cs="Arial"/>
          <w:b/>
        </w:rPr>
        <w:t xml:space="preserve">Q: As a secured creditor, how much time/cost do you anticipate these changes will require in order to familiarise yourself with the new fee structure?   </w:t>
      </w:r>
    </w:p>
    <w:p w:rsidR="00AB65E9" w:rsidRPr="00BF2ADD" w:rsidRDefault="00AB65E9" w:rsidP="00DD341A">
      <w:pPr>
        <w:spacing w:after="0" w:line="240" w:lineRule="auto"/>
        <w:ind w:left="720"/>
        <w:jc w:val="both"/>
        <w:rPr>
          <w:rFonts w:ascii="Arial" w:hAnsi="Arial" w:cs="Arial"/>
          <w:b/>
        </w:rPr>
      </w:pPr>
    </w:p>
    <w:p w:rsidR="00AB65E9" w:rsidRPr="00BF2ADD" w:rsidRDefault="00AB65E9" w:rsidP="00130BEE">
      <w:pPr>
        <w:pStyle w:val="ListParagraph"/>
        <w:numPr>
          <w:ilvl w:val="0"/>
          <w:numId w:val="15"/>
        </w:numPr>
        <w:jc w:val="both"/>
        <w:rPr>
          <w:rFonts w:cs="Arial"/>
          <w:sz w:val="22"/>
          <w:szCs w:val="22"/>
        </w:rPr>
      </w:pPr>
      <w:r w:rsidRPr="00BF2ADD">
        <w:rPr>
          <w:rFonts w:cs="Arial"/>
          <w:sz w:val="22"/>
          <w:szCs w:val="22"/>
        </w:rPr>
        <w:t xml:space="preserve">It is not expected that unsecured creditors will incur any additional familiarisation costs. Creditors </w:t>
      </w:r>
      <w:r w:rsidR="006C4805" w:rsidRPr="00BF2ADD">
        <w:rPr>
          <w:rFonts w:cs="Arial"/>
          <w:sz w:val="22"/>
          <w:szCs w:val="22"/>
        </w:rPr>
        <w:t>are given the necessary information by an IP when the IP is asking for his/her basis for remuneration to be agreed. There is no need for an unsecured creditor to have regard to the legislation</w:t>
      </w:r>
      <w:r w:rsidR="00165AA9" w:rsidRPr="00BF2ADD">
        <w:rPr>
          <w:rFonts w:cs="Arial"/>
          <w:sz w:val="22"/>
          <w:szCs w:val="22"/>
        </w:rPr>
        <w:t xml:space="preserve"> prior to this</w:t>
      </w:r>
      <w:r w:rsidR="006C4805" w:rsidRPr="00BF2ADD">
        <w:rPr>
          <w:rFonts w:cs="Arial"/>
          <w:sz w:val="22"/>
          <w:szCs w:val="22"/>
        </w:rPr>
        <w:t xml:space="preserve">. </w:t>
      </w:r>
      <w:r w:rsidRPr="00BF2ADD">
        <w:rPr>
          <w:rFonts w:cs="Arial"/>
          <w:sz w:val="22"/>
          <w:szCs w:val="22"/>
        </w:rPr>
        <w:t xml:space="preserve">  </w:t>
      </w:r>
    </w:p>
    <w:p w:rsidR="00AB65E9" w:rsidRPr="00BF2ADD" w:rsidRDefault="00AB65E9" w:rsidP="00C24D04">
      <w:pPr>
        <w:spacing w:after="0" w:line="240" w:lineRule="auto"/>
        <w:rPr>
          <w:rFonts w:ascii="Arial" w:hAnsi="Arial" w:cs="Arial"/>
          <w:u w:val="single"/>
        </w:rPr>
      </w:pPr>
    </w:p>
    <w:p w:rsidR="00AB65E9" w:rsidRPr="00BF2ADD" w:rsidRDefault="00AB65E9" w:rsidP="00C24D04">
      <w:pPr>
        <w:spacing w:after="0" w:line="240" w:lineRule="auto"/>
        <w:rPr>
          <w:rFonts w:ascii="Arial" w:hAnsi="Arial" w:cs="Arial"/>
          <w:u w:val="single"/>
        </w:rPr>
      </w:pPr>
      <w:r w:rsidRPr="00BF2ADD">
        <w:rPr>
          <w:rFonts w:ascii="Arial" w:hAnsi="Arial" w:cs="Arial"/>
          <w:u w:val="single"/>
        </w:rPr>
        <w:t>Reduced fees</w:t>
      </w:r>
    </w:p>
    <w:p w:rsidR="00AB65E9" w:rsidRPr="00BF2ADD" w:rsidRDefault="00AB65E9" w:rsidP="00C24D04">
      <w:pPr>
        <w:spacing w:after="0" w:line="240" w:lineRule="auto"/>
        <w:rPr>
          <w:rFonts w:ascii="Arial" w:hAnsi="Arial" w:cs="Arial"/>
          <w:u w:val="single"/>
        </w:rPr>
      </w:pPr>
    </w:p>
    <w:p w:rsidR="00AB65E9" w:rsidRPr="00BF2ADD" w:rsidRDefault="00AB65E9" w:rsidP="00D3157E">
      <w:pPr>
        <w:numPr>
          <w:ilvl w:val="0"/>
          <w:numId w:val="18"/>
        </w:numPr>
        <w:spacing w:after="0" w:line="240" w:lineRule="auto"/>
        <w:jc w:val="both"/>
        <w:rPr>
          <w:rFonts w:ascii="Arial" w:hAnsi="Arial" w:cs="Arial"/>
        </w:rPr>
      </w:pPr>
      <w:r w:rsidRPr="00BF2ADD">
        <w:rPr>
          <w:rFonts w:ascii="Arial" w:hAnsi="Arial" w:cs="Arial"/>
        </w:rPr>
        <w:t xml:space="preserve">There will be costs to IPs in terms of fee reduction. This will be a monetary transfer from IPs to unsecured creditors and therefore it has also been considered on the assessment of benefits.  </w:t>
      </w:r>
    </w:p>
    <w:p w:rsidR="00AB65E9" w:rsidRPr="00BF2ADD" w:rsidRDefault="00AB65E9" w:rsidP="00C24D04">
      <w:pPr>
        <w:spacing w:after="0" w:line="240" w:lineRule="auto"/>
        <w:ind w:left="360"/>
        <w:jc w:val="both"/>
        <w:rPr>
          <w:rFonts w:ascii="Arial" w:hAnsi="Arial" w:cs="Arial"/>
        </w:rPr>
      </w:pPr>
    </w:p>
    <w:p w:rsidR="00AB65E9" w:rsidRPr="00BF2ADD" w:rsidRDefault="00AB65E9" w:rsidP="00C24D04">
      <w:pPr>
        <w:numPr>
          <w:ilvl w:val="0"/>
          <w:numId w:val="18"/>
        </w:numPr>
        <w:spacing w:after="0" w:line="240" w:lineRule="auto"/>
        <w:jc w:val="both"/>
        <w:rPr>
          <w:rFonts w:ascii="Arial" w:hAnsi="Arial" w:cs="Arial"/>
        </w:rPr>
      </w:pPr>
      <w:r w:rsidRPr="00BF2ADD">
        <w:rPr>
          <w:rFonts w:ascii="Arial" w:hAnsi="Arial" w:cs="Arial"/>
        </w:rPr>
        <w:t xml:space="preserve">According to the OFT report, there is an overall overpayment in fees from unsecured creditors to IPs of £15m (9% more than secured creditors fees). The new fees structure is expected to reduce this overpayment; however no data is available to quantify the extent of the reduction.  This is mainly because the amount will differ depending on the circumstances of the case and the way individual IP firms currently use the fee charging structure. It will also be dependant on the percentage of assets, </w:t>
      </w:r>
      <w:r w:rsidRPr="00BF2ADD">
        <w:rPr>
          <w:rFonts w:ascii="Arial" w:hAnsi="Arial" w:cs="Arial"/>
        </w:rPr>
        <w:lastRenderedPageBreak/>
        <w:t xml:space="preserve">agreed between the IP and the creditors, against which the IP can take his remuneration. We propose to use the consultation period to seek further data on this. </w:t>
      </w:r>
    </w:p>
    <w:p w:rsidR="00AB65E9" w:rsidRPr="00BF2ADD" w:rsidRDefault="00AB65E9" w:rsidP="00C24D04">
      <w:pPr>
        <w:spacing w:after="0" w:line="240" w:lineRule="auto"/>
        <w:jc w:val="both"/>
        <w:rPr>
          <w:rFonts w:ascii="Arial" w:hAnsi="Arial" w:cs="Arial"/>
        </w:rPr>
      </w:pPr>
    </w:p>
    <w:p w:rsidR="00AB65E9" w:rsidRPr="00BF2ADD" w:rsidRDefault="00AB65E9" w:rsidP="00C24D04">
      <w:pPr>
        <w:numPr>
          <w:ilvl w:val="0"/>
          <w:numId w:val="18"/>
        </w:numPr>
        <w:spacing w:after="0" w:line="240" w:lineRule="auto"/>
        <w:jc w:val="both"/>
        <w:rPr>
          <w:rFonts w:ascii="Arial" w:hAnsi="Arial" w:cs="Arial"/>
        </w:rPr>
      </w:pPr>
      <w:r w:rsidRPr="00BF2ADD">
        <w:rPr>
          <w:rFonts w:ascii="Arial" w:hAnsi="Arial" w:cs="Arial"/>
        </w:rPr>
        <w:t xml:space="preserve">Given the lack of data, three scenarios have been set in this consultation stage IA which provide a possible range of the extent of the costs to IPs (and the benefit to unsecured creditors): </w:t>
      </w:r>
    </w:p>
    <w:p w:rsidR="00AB65E9" w:rsidRPr="00BF2ADD" w:rsidRDefault="00AB65E9" w:rsidP="00C24D04">
      <w:pPr>
        <w:spacing w:after="0" w:line="240" w:lineRule="auto"/>
        <w:jc w:val="both"/>
        <w:rPr>
          <w:rFonts w:ascii="Arial" w:hAnsi="Arial" w:cs="Arial"/>
        </w:rPr>
      </w:pPr>
    </w:p>
    <w:p w:rsidR="00AB65E9" w:rsidRPr="00BF2ADD" w:rsidRDefault="00AB65E9" w:rsidP="00C24D04">
      <w:pPr>
        <w:numPr>
          <w:ilvl w:val="1"/>
          <w:numId w:val="18"/>
        </w:numPr>
        <w:spacing w:after="0" w:line="240" w:lineRule="auto"/>
        <w:jc w:val="both"/>
        <w:rPr>
          <w:rFonts w:ascii="Arial" w:hAnsi="Arial" w:cs="Arial"/>
        </w:rPr>
      </w:pPr>
      <w:r w:rsidRPr="00BF2ADD">
        <w:rPr>
          <w:rFonts w:ascii="Arial" w:hAnsi="Arial" w:cs="Arial"/>
        </w:rPr>
        <w:t>High case scenario: the new fee structure reduces the overpayment by 100% - fees charged by IPs are £15m less (£16m in 2013 prices) a year (where unsecured creditors control fees) compared to the Do nothing.</w:t>
      </w:r>
    </w:p>
    <w:p w:rsidR="00AB65E9" w:rsidRPr="00BF2ADD" w:rsidRDefault="00AB65E9" w:rsidP="00C24D04">
      <w:pPr>
        <w:numPr>
          <w:ilvl w:val="1"/>
          <w:numId w:val="18"/>
        </w:numPr>
        <w:spacing w:after="0" w:line="240" w:lineRule="auto"/>
        <w:jc w:val="both"/>
        <w:rPr>
          <w:rFonts w:ascii="Arial" w:hAnsi="Arial" w:cs="Arial"/>
        </w:rPr>
      </w:pPr>
      <w:r w:rsidRPr="00BF2ADD">
        <w:rPr>
          <w:rFonts w:ascii="Arial" w:hAnsi="Arial" w:cs="Arial"/>
        </w:rPr>
        <w:t>Low case scenario: the new fee structure reduces the overpayment by 10% - that is £1.5m reduction in IPs fees (£1.6m in 2013 prices)</w:t>
      </w:r>
    </w:p>
    <w:p w:rsidR="00AB65E9" w:rsidRPr="00BF2ADD" w:rsidRDefault="00AB65E9" w:rsidP="00C24D04">
      <w:pPr>
        <w:numPr>
          <w:ilvl w:val="1"/>
          <w:numId w:val="18"/>
        </w:numPr>
        <w:spacing w:after="0" w:line="240" w:lineRule="auto"/>
        <w:jc w:val="both"/>
        <w:rPr>
          <w:rFonts w:ascii="Arial" w:hAnsi="Arial" w:cs="Arial"/>
        </w:rPr>
      </w:pPr>
      <w:r w:rsidRPr="00BF2ADD">
        <w:rPr>
          <w:rFonts w:ascii="Arial" w:hAnsi="Arial" w:cs="Arial"/>
        </w:rPr>
        <w:t>Middle case scenario:  the new fee structure reduces the overpayment by 60% - fees charged by IPs are reduced by 60% of the £15m a year. That is £9m (£9.5m in 2013 prices)</w:t>
      </w:r>
    </w:p>
    <w:p w:rsidR="00AB65E9" w:rsidRPr="00BF2ADD" w:rsidRDefault="00AB65E9" w:rsidP="00C24D04">
      <w:pPr>
        <w:spacing w:after="0" w:line="240" w:lineRule="auto"/>
        <w:ind w:left="1080"/>
        <w:jc w:val="both"/>
        <w:rPr>
          <w:rFonts w:ascii="Arial" w:hAnsi="Arial" w:cs="Arial"/>
          <w:u w:val="single"/>
        </w:rPr>
      </w:pPr>
    </w:p>
    <w:p w:rsidR="00AB65E9" w:rsidRPr="00BF2ADD" w:rsidRDefault="00AB65E9" w:rsidP="00C24D04">
      <w:pPr>
        <w:numPr>
          <w:ilvl w:val="0"/>
          <w:numId w:val="18"/>
        </w:numPr>
        <w:spacing w:after="0" w:line="240" w:lineRule="auto"/>
        <w:jc w:val="both"/>
        <w:rPr>
          <w:rFonts w:ascii="Arial" w:hAnsi="Arial" w:cs="Arial"/>
        </w:rPr>
      </w:pPr>
      <w:r w:rsidRPr="00BF2ADD">
        <w:rPr>
          <w:rFonts w:ascii="Arial" w:hAnsi="Arial" w:cs="Arial"/>
        </w:rPr>
        <w:t>It is also important to mention that the £15m figure only represents the overpayment in administration cases, and does not reflect the other procedures to which this policy will apply and is therefore likely to be a significant underestimation. The OFT reported that the level of fee overpayment was likely to be similar for creditors voluntary liquidation (CVL), as the procedures in both CVL and administration are similar</w:t>
      </w:r>
      <w:r w:rsidRPr="00BF2ADD">
        <w:rPr>
          <w:rStyle w:val="FootnoteReference"/>
          <w:rFonts w:ascii="Arial" w:hAnsi="Arial" w:cs="Arial"/>
        </w:rPr>
        <w:footnoteReference w:id="7"/>
      </w:r>
      <w:r w:rsidRPr="00BF2ADD">
        <w:rPr>
          <w:rFonts w:ascii="Arial" w:hAnsi="Arial" w:cs="Arial"/>
        </w:rPr>
        <w:t xml:space="preserve">. With CVLs accounting for around half the level of IP fees compared to administration, this is likely to mean the level of overpayment is around an additional £7.5m (half of £15m) for CVLs. This amount would be similarly increased by the overpayment in bankruptcy cases, to which this proposal will apply. However due to the paucity of data, the overpayment has only calculated for administration. </w:t>
      </w:r>
    </w:p>
    <w:p w:rsidR="00AB65E9" w:rsidRPr="00BF2ADD" w:rsidRDefault="00AB65E9" w:rsidP="00C24D04">
      <w:pPr>
        <w:spacing w:after="0" w:line="240" w:lineRule="auto"/>
        <w:ind w:left="360"/>
        <w:jc w:val="both"/>
        <w:rPr>
          <w:rFonts w:ascii="Arial" w:hAnsi="Arial" w:cs="Arial"/>
          <w:u w:val="single"/>
        </w:rPr>
      </w:pPr>
    </w:p>
    <w:p w:rsidR="00AB65E9" w:rsidRPr="00BF2ADD" w:rsidRDefault="00AB65E9" w:rsidP="00C24D04">
      <w:pPr>
        <w:numPr>
          <w:ilvl w:val="0"/>
          <w:numId w:val="18"/>
        </w:numPr>
        <w:spacing w:after="0" w:line="240" w:lineRule="auto"/>
        <w:jc w:val="both"/>
        <w:rPr>
          <w:rFonts w:ascii="Arial" w:hAnsi="Arial" w:cs="Arial"/>
        </w:rPr>
      </w:pPr>
      <w:r w:rsidRPr="00BF2ADD">
        <w:rPr>
          <w:rFonts w:ascii="Arial" w:hAnsi="Arial" w:cs="Arial"/>
        </w:rPr>
        <w:t>The extent of the costs to IPs (and the benefit to unsecured creditors) will depend on the final structure of fees, that is whether the preferred option is Option 1a, Option 1b or Option 1c. This however, is unknown at this stage.</w:t>
      </w:r>
    </w:p>
    <w:p w:rsidR="00AB65E9" w:rsidRPr="00BF2ADD" w:rsidRDefault="00AB65E9" w:rsidP="00C24D04">
      <w:pPr>
        <w:spacing w:after="0" w:line="240" w:lineRule="auto"/>
        <w:ind w:left="720"/>
        <w:jc w:val="both"/>
        <w:rPr>
          <w:rFonts w:ascii="Arial" w:hAnsi="Arial" w:cs="Arial"/>
          <w:b/>
        </w:rPr>
      </w:pPr>
    </w:p>
    <w:p w:rsidR="00AB65E9" w:rsidRPr="00BF2ADD" w:rsidRDefault="00AB65E9" w:rsidP="00E448CD">
      <w:pPr>
        <w:spacing w:after="0" w:line="240" w:lineRule="auto"/>
        <w:ind w:left="360"/>
        <w:jc w:val="both"/>
        <w:rPr>
          <w:rFonts w:ascii="Arial" w:hAnsi="Arial" w:cs="Arial"/>
          <w:b/>
        </w:rPr>
      </w:pPr>
      <w:r w:rsidRPr="00BF2ADD">
        <w:rPr>
          <w:rFonts w:ascii="Arial" w:hAnsi="Arial" w:cs="Arial"/>
          <w:b/>
        </w:rPr>
        <w:t xml:space="preserve">Q: To what extent do you expect the new fee structure to reduce the current level of overpayment? </w:t>
      </w:r>
    </w:p>
    <w:p w:rsidR="00AB65E9" w:rsidRPr="00BF2ADD" w:rsidRDefault="00AB65E9" w:rsidP="00F01332">
      <w:pPr>
        <w:spacing w:after="0" w:line="240" w:lineRule="auto"/>
        <w:jc w:val="both"/>
        <w:rPr>
          <w:rFonts w:ascii="Arial" w:hAnsi="Arial" w:cs="Arial"/>
          <w:u w:val="single"/>
        </w:rPr>
      </w:pPr>
    </w:p>
    <w:p w:rsidR="00AB65E9" w:rsidRPr="00BF2ADD" w:rsidRDefault="00AB65E9" w:rsidP="00F01332">
      <w:pPr>
        <w:spacing w:after="0" w:line="240" w:lineRule="auto"/>
        <w:rPr>
          <w:rFonts w:ascii="Arial" w:hAnsi="Arial" w:cs="Arial"/>
          <w:u w:val="single"/>
        </w:rPr>
      </w:pPr>
      <w:r w:rsidRPr="00BF2ADD">
        <w:rPr>
          <w:rFonts w:ascii="Arial" w:hAnsi="Arial" w:cs="Arial"/>
          <w:u w:val="single"/>
        </w:rPr>
        <w:t>Other Costs:</w:t>
      </w:r>
    </w:p>
    <w:p w:rsidR="00AB65E9" w:rsidRPr="00BF2ADD" w:rsidRDefault="00AB65E9" w:rsidP="00F01332">
      <w:pPr>
        <w:spacing w:after="0" w:line="240" w:lineRule="auto"/>
        <w:rPr>
          <w:rFonts w:ascii="Arial" w:hAnsi="Arial" w:cs="Arial"/>
          <w:u w:val="single"/>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The requirement to seek approval from creditors for the percentage of assets, against which remuneration can be taken, is an additional burden on IPs. However IPs are already required to seek the approval of creditors for the basis on which their remuneration is taken and it is anticipated that at the same time they will seek agreement to the percentage they are proposing to take. We do not therefore anticipate any additional costs associated with this.</w:t>
      </w:r>
    </w:p>
    <w:p w:rsidR="00AB65E9" w:rsidRPr="00BF2ADD" w:rsidRDefault="00AB65E9" w:rsidP="00E22210">
      <w:pPr>
        <w:spacing w:after="0" w:line="240" w:lineRule="auto"/>
        <w:ind w:left="720"/>
        <w:jc w:val="both"/>
        <w:rPr>
          <w:rFonts w:ascii="Arial" w:hAnsi="Arial" w:cs="Arial"/>
        </w:rPr>
      </w:pPr>
    </w:p>
    <w:p w:rsidR="00AB65E9" w:rsidRPr="00BF2ADD" w:rsidRDefault="00AB65E9" w:rsidP="00E22210">
      <w:pPr>
        <w:spacing w:after="0" w:line="240" w:lineRule="auto"/>
        <w:jc w:val="both"/>
        <w:rPr>
          <w:rFonts w:ascii="Arial" w:hAnsi="Arial" w:cs="Arial"/>
        </w:rPr>
      </w:pPr>
      <w:r w:rsidRPr="00BF2ADD">
        <w:rPr>
          <w:rFonts w:ascii="Arial" w:hAnsi="Arial" w:cs="Arial"/>
          <w:b/>
        </w:rPr>
        <w:t>Q: Do you agree with the assessment that the requirement to seek approval of creditors for the percentage of assets against which remuneration will be taken, will not add any additional costs</w:t>
      </w:r>
      <w:r w:rsidRPr="00BF2ADD">
        <w:rPr>
          <w:rFonts w:ascii="Arial" w:hAnsi="Arial" w:cs="Arial"/>
        </w:rPr>
        <w:t>?</w:t>
      </w:r>
    </w:p>
    <w:p w:rsidR="00AB65E9" w:rsidRPr="00BF2ADD" w:rsidRDefault="00AB65E9" w:rsidP="00F01332">
      <w:pPr>
        <w:keepNext/>
        <w:spacing w:after="120" w:line="240" w:lineRule="auto"/>
        <w:rPr>
          <w:rFonts w:ascii="Arial" w:hAnsi="Arial" w:cs="Arial"/>
          <w:bCs/>
          <w:color w:val="000000"/>
          <w:lang w:eastAsia="en-GB"/>
        </w:rPr>
      </w:pPr>
    </w:p>
    <w:p w:rsidR="00AB65E9" w:rsidRPr="00BF2ADD" w:rsidRDefault="00E448CD" w:rsidP="00F01332">
      <w:pPr>
        <w:keepNext/>
        <w:spacing w:after="120" w:line="240" w:lineRule="auto"/>
        <w:rPr>
          <w:rFonts w:ascii="Arial" w:hAnsi="Arial" w:cs="Arial"/>
          <w:b/>
          <w:bCs/>
          <w:color w:val="000000"/>
          <w:lang w:eastAsia="en-GB"/>
        </w:rPr>
      </w:pPr>
      <w:r w:rsidRPr="00BF2ADD">
        <w:rPr>
          <w:rFonts w:ascii="Arial" w:hAnsi="Arial" w:cs="Arial"/>
          <w:b/>
          <w:bCs/>
          <w:color w:val="000000"/>
          <w:lang w:eastAsia="en-GB"/>
        </w:rPr>
        <w:t>Quantum of fees – monitoring by the regulators</w:t>
      </w:r>
    </w:p>
    <w:p w:rsidR="00AB65E9" w:rsidRPr="00BF2ADD" w:rsidRDefault="00AB65E9" w:rsidP="00F01332">
      <w:pPr>
        <w:keepNext/>
        <w:spacing w:after="120" w:line="240" w:lineRule="auto"/>
        <w:jc w:val="both"/>
        <w:rPr>
          <w:rFonts w:ascii="Arial" w:hAnsi="Arial" w:cs="Arial"/>
          <w:bCs/>
          <w:color w:val="000000"/>
          <w:u w:val="single"/>
          <w:lang w:eastAsia="en-GB"/>
        </w:rPr>
      </w:pPr>
      <w:r w:rsidRPr="00BF2ADD">
        <w:rPr>
          <w:rFonts w:ascii="Arial" w:hAnsi="Arial" w:cs="Arial"/>
          <w:bCs/>
          <w:color w:val="000000"/>
          <w:u w:val="single"/>
          <w:lang w:eastAsia="en-GB"/>
        </w:rPr>
        <w:t>Costs:</w:t>
      </w:r>
    </w:p>
    <w:p w:rsidR="00AB65E9" w:rsidRPr="00BF2ADD" w:rsidRDefault="00AB65E9" w:rsidP="00D3157E">
      <w:pPr>
        <w:numPr>
          <w:ilvl w:val="0"/>
          <w:numId w:val="19"/>
        </w:numPr>
        <w:spacing w:after="0" w:line="240" w:lineRule="auto"/>
        <w:jc w:val="both"/>
        <w:rPr>
          <w:rFonts w:ascii="Arial" w:hAnsi="Arial" w:cs="Arial"/>
        </w:rPr>
      </w:pPr>
      <w:r w:rsidRPr="00BF2ADD">
        <w:rPr>
          <w:rFonts w:ascii="Arial" w:hAnsi="Arial" w:cs="Arial"/>
        </w:rPr>
        <w:t xml:space="preserve">This proposal is likely to have costs mainly to regulators. We have not included any set-up costs as this measure is based on fee complaints following the existing structure for all complaints. </w:t>
      </w:r>
    </w:p>
    <w:p w:rsidR="00AB65E9" w:rsidRPr="00BF2ADD" w:rsidRDefault="00AB65E9" w:rsidP="00CF3154">
      <w:pPr>
        <w:spacing w:after="0" w:line="240" w:lineRule="auto"/>
        <w:ind w:left="360"/>
        <w:jc w:val="both"/>
        <w:rPr>
          <w:rFonts w:ascii="Arial" w:hAnsi="Arial" w:cs="Arial"/>
        </w:rPr>
      </w:pPr>
    </w:p>
    <w:p w:rsidR="00AB65E9" w:rsidRPr="00BF2ADD" w:rsidRDefault="00AB65E9" w:rsidP="00CF3154">
      <w:pPr>
        <w:numPr>
          <w:ilvl w:val="0"/>
          <w:numId w:val="19"/>
        </w:numPr>
        <w:spacing w:after="0" w:line="240" w:lineRule="auto"/>
        <w:jc w:val="both"/>
        <w:rPr>
          <w:rFonts w:ascii="Arial" w:hAnsi="Arial" w:cs="Arial"/>
        </w:rPr>
      </w:pPr>
      <w:r w:rsidRPr="00BF2ADD">
        <w:rPr>
          <w:rFonts w:ascii="Arial" w:hAnsi="Arial" w:cs="Arial"/>
        </w:rPr>
        <w:t xml:space="preserve">In terms of on going costs, the proposal is likely to have increased costs to RPBs in terms of dealing with increased complaints. </w:t>
      </w:r>
    </w:p>
    <w:p w:rsidR="00AB65E9" w:rsidRPr="00BF2ADD" w:rsidRDefault="00AB65E9" w:rsidP="00F01332">
      <w:pPr>
        <w:keepNext/>
        <w:spacing w:after="120" w:line="240" w:lineRule="auto"/>
        <w:jc w:val="both"/>
        <w:rPr>
          <w:rFonts w:ascii="Arial" w:hAnsi="Arial" w:cs="Arial"/>
          <w:bCs/>
          <w:color w:val="000000"/>
          <w:u w:val="single"/>
          <w:lang w:eastAsia="en-GB"/>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Currently there are very few fee related complaints handled by the RPBs,  but this is likely to be  a result of RPBs stating publicly that they do not consider fee-related complaints and does not reflect </w:t>
      </w:r>
      <w:r w:rsidRPr="00BF2ADD">
        <w:rPr>
          <w:rFonts w:ascii="Arial" w:hAnsi="Arial" w:cs="Arial"/>
        </w:rPr>
        <w:lastRenderedPageBreak/>
        <w:t xml:space="preserve">the current level of concern around fees. In the past 6 months 23% of all IP related ministerial correspondence has been in relation to fees. </w:t>
      </w:r>
    </w:p>
    <w:p w:rsidR="00AB65E9" w:rsidRPr="00BF2ADD" w:rsidRDefault="00AB65E9" w:rsidP="00E22210">
      <w:pPr>
        <w:spacing w:after="0" w:line="240" w:lineRule="auto"/>
        <w:ind w:left="720"/>
        <w:jc w:val="both"/>
        <w:rPr>
          <w:rFonts w:ascii="Arial" w:hAnsi="Arial" w:cs="Arial"/>
        </w:rPr>
      </w:pPr>
    </w:p>
    <w:p w:rsidR="00AB65E9" w:rsidRPr="004A1FDE" w:rsidRDefault="00AB65E9" w:rsidP="004A1FDE">
      <w:pPr>
        <w:numPr>
          <w:ilvl w:val="0"/>
          <w:numId w:val="15"/>
        </w:numPr>
        <w:spacing w:after="0" w:line="240" w:lineRule="auto"/>
        <w:jc w:val="both"/>
        <w:rPr>
          <w:rFonts w:ascii="Arial" w:hAnsi="Arial" w:cs="Arial"/>
        </w:rPr>
      </w:pPr>
      <w:r w:rsidRPr="00BF2ADD">
        <w:rPr>
          <w:rFonts w:ascii="Arial" w:hAnsi="Arial" w:cs="Arial"/>
        </w:rPr>
        <w:t>If RPBs were to investigate fee complaints</w:t>
      </w:r>
      <w:r w:rsidR="006C4805" w:rsidRPr="00BF2ADD">
        <w:rPr>
          <w:rFonts w:ascii="Arial" w:hAnsi="Arial" w:cs="Arial"/>
        </w:rPr>
        <w:t xml:space="preserve"> </w:t>
      </w:r>
      <w:r w:rsidRPr="00BF2ADD">
        <w:rPr>
          <w:rFonts w:ascii="Arial" w:hAnsi="Arial" w:cs="Arial"/>
        </w:rPr>
        <w:t>we estimate that fee complaints would amount</w:t>
      </w:r>
      <w:r w:rsidR="006D5333">
        <w:rPr>
          <w:rFonts w:ascii="Arial" w:hAnsi="Arial" w:cs="Arial"/>
        </w:rPr>
        <w:t xml:space="preserve"> </w:t>
      </w:r>
      <w:r w:rsidRPr="00BF2ADD">
        <w:rPr>
          <w:rFonts w:ascii="Arial" w:hAnsi="Arial" w:cs="Arial"/>
        </w:rPr>
        <w:t>to 300 per annum.</w:t>
      </w:r>
      <w:r w:rsidR="004A1FDE">
        <w:rPr>
          <w:rFonts w:ascii="Arial" w:hAnsi="Arial" w:cs="Arial"/>
        </w:rPr>
        <w:t xml:space="preserve"> This estimation is based on</w:t>
      </w:r>
      <w:r w:rsidRPr="00BF2ADD">
        <w:rPr>
          <w:rFonts w:ascii="Arial" w:hAnsi="Arial" w:cs="Arial"/>
        </w:rPr>
        <w:t xml:space="preserve"> </w:t>
      </w:r>
      <w:r w:rsidR="00A67A1F">
        <w:rPr>
          <w:rFonts w:ascii="Arial" w:hAnsi="Arial" w:cs="Arial"/>
        </w:rPr>
        <w:t xml:space="preserve">the number of </w:t>
      </w:r>
      <w:r w:rsidRPr="00BF2ADD">
        <w:rPr>
          <w:rFonts w:ascii="Arial" w:hAnsi="Arial" w:cs="Arial"/>
        </w:rPr>
        <w:t>complaints dealt with by RPBs over the past 3 years (578 in 2012, 517 in 2011 and 531 in 2010)</w:t>
      </w:r>
      <w:r w:rsidR="004A1FDE">
        <w:rPr>
          <w:rFonts w:ascii="Arial" w:hAnsi="Arial" w:cs="Arial"/>
        </w:rPr>
        <w:t xml:space="preserve"> </w:t>
      </w:r>
      <w:r w:rsidR="003C7276">
        <w:rPr>
          <w:rFonts w:ascii="Arial" w:hAnsi="Arial" w:cs="Arial"/>
        </w:rPr>
        <w:t xml:space="preserve">and </w:t>
      </w:r>
      <w:r w:rsidR="003C7276" w:rsidRPr="00BF2ADD">
        <w:rPr>
          <w:rFonts w:ascii="Arial" w:hAnsi="Arial" w:cs="Arial"/>
        </w:rPr>
        <w:t>represents</w:t>
      </w:r>
      <w:r w:rsidRPr="00BF2ADD">
        <w:rPr>
          <w:rFonts w:ascii="Arial" w:hAnsi="Arial" w:cs="Arial"/>
        </w:rPr>
        <w:t xml:space="preserve"> more than 50% of the total complaints received in 2012</w:t>
      </w:r>
      <w:r w:rsidR="004A1FDE">
        <w:rPr>
          <w:rFonts w:ascii="Arial" w:hAnsi="Arial" w:cs="Arial"/>
        </w:rPr>
        <w:t xml:space="preserve">. </w:t>
      </w:r>
      <w:r w:rsidR="004A1FDE" w:rsidRPr="00BF2ADD">
        <w:rPr>
          <w:rFonts w:ascii="Arial" w:hAnsi="Arial" w:cs="Arial"/>
        </w:rPr>
        <w:t>We have assumed 50 appeals (17%) on fee related complaints. This is a high number of appeals but is based on IPs and complainants having much to gain in over-turning a fee de</w:t>
      </w:r>
      <w:r w:rsidR="004A1FDE">
        <w:rPr>
          <w:rFonts w:ascii="Arial" w:hAnsi="Arial" w:cs="Arial"/>
        </w:rPr>
        <w:t xml:space="preserve">cision which goes against them. </w:t>
      </w:r>
      <w:r w:rsidR="004A1FDE" w:rsidRPr="004A1FDE">
        <w:rPr>
          <w:rFonts w:ascii="Arial" w:hAnsi="Arial" w:cs="Arial"/>
        </w:rPr>
        <w:t xml:space="preserve">These figures were also used for our assessment of the costs of RPBs taking fee complaints in </w:t>
      </w:r>
      <w:r w:rsidR="004A1FDE">
        <w:rPr>
          <w:rFonts w:ascii="Arial" w:hAnsi="Arial" w:cs="Arial"/>
        </w:rPr>
        <w:t>our</w:t>
      </w:r>
      <w:r w:rsidR="004A1FDE" w:rsidRPr="004A1FDE">
        <w:rPr>
          <w:rFonts w:ascii="Arial" w:hAnsi="Arial" w:cs="Arial"/>
        </w:rPr>
        <w:t xml:space="preserve"> consultation on reforms to the regulation of IPs in 2011</w:t>
      </w:r>
      <w:r w:rsidR="00A67A1F" w:rsidRPr="00BF2ADD">
        <w:rPr>
          <w:rStyle w:val="FootnoteReference"/>
          <w:rFonts w:ascii="Arial" w:hAnsi="Arial" w:cs="Arial"/>
        </w:rPr>
        <w:footnoteReference w:id="8"/>
      </w:r>
      <w:r w:rsidR="004A1FDE" w:rsidRPr="004A1FDE">
        <w:rPr>
          <w:rFonts w:ascii="Arial" w:hAnsi="Arial" w:cs="Arial"/>
        </w:rPr>
        <w:t>.</w:t>
      </w:r>
      <w:r w:rsidRPr="00BF2ADD">
        <w:rPr>
          <w:rStyle w:val="FootnoteReference"/>
          <w:rFonts w:ascii="Arial" w:hAnsi="Arial" w:cs="Arial"/>
        </w:rPr>
        <w:footnoteReference w:id="9"/>
      </w:r>
      <w:r w:rsidRPr="004A1FDE">
        <w:rPr>
          <w:rFonts w:ascii="Arial" w:hAnsi="Arial" w:cs="Arial"/>
        </w:rPr>
        <w:t xml:space="preserve"> </w:t>
      </w:r>
      <w:r w:rsidR="004A1FDE">
        <w:rPr>
          <w:rFonts w:ascii="Arial" w:hAnsi="Arial" w:cs="Arial"/>
        </w:rPr>
        <w:t xml:space="preserve">We appreciate that </w:t>
      </w:r>
      <w:r w:rsidR="00D55DAF">
        <w:rPr>
          <w:rFonts w:ascii="Arial" w:hAnsi="Arial" w:cs="Arial"/>
        </w:rPr>
        <w:t xml:space="preserve">this might not reflect the total number of fee complaints received, but given that RPBs do not currently consider fee complaints and complaints to the court are very low due to the high cost, this is a best estimate for opening up the current system of complaints to a new category. We also believe that the proposed changes to the fee structure will ensure that fee complaints are less common than they might otherwise have been, as creditors will be in a position to agree the percentage of assets the IP is allowed to draw his remuneration from. </w:t>
      </w:r>
    </w:p>
    <w:p w:rsidR="00AB65E9" w:rsidRPr="00BF2ADD" w:rsidRDefault="00AB65E9" w:rsidP="00E22210">
      <w:pPr>
        <w:spacing w:after="0" w:line="240" w:lineRule="auto"/>
        <w:jc w:val="both"/>
        <w:rPr>
          <w:rFonts w:ascii="Arial" w:hAnsi="Arial" w:cs="Arial"/>
        </w:rPr>
      </w:pPr>
    </w:p>
    <w:p w:rsidR="00AB65E9" w:rsidRPr="00BF2ADD" w:rsidRDefault="00AB65E9" w:rsidP="00E22210">
      <w:pPr>
        <w:spacing w:after="0" w:line="240" w:lineRule="auto"/>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The annual additional costs for RPBs to consider and investigate fee complaints is set out below, the main being staffing costs and panel costs as the structure is already in place</w:t>
      </w:r>
      <w:r w:rsidRPr="00BF2ADD">
        <w:rPr>
          <w:rStyle w:val="FootnoteReference"/>
          <w:rFonts w:ascii="Arial" w:hAnsi="Arial" w:cs="Arial"/>
        </w:rPr>
        <w:footnoteReference w:id="10"/>
      </w:r>
      <w:r w:rsidRPr="00BF2ADD">
        <w:rPr>
          <w:rFonts w:ascii="Arial" w:hAnsi="Arial" w:cs="Arial"/>
        </w:rPr>
        <w:t>. This is the total costs so would be split between the 7 RPBs. We would anticipate that these costs will be passed onto IPs in higher regulatory costs:</w:t>
      </w:r>
    </w:p>
    <w:p w:rsidR="00AB65E9" w:rsidRPr="00BF2ADD" w:rsidRDefault="00AB65E9" w:rsidP="00F01332">
      <w:pPr>
        <w:spacing w:after="0" w:line="240" w:lineRule="auto"/>
        <w:jc w:val="both"/>
        <w:rPr>
          <w:rFonts w:ascii="Arial" w:hAnsi="Arial" w:cs="Arial"/>
        </w:rPr>
      </w:pPr>
    </w:p>
    <w:p w:rsidR="00AB65E9" w:rsidRPr="00BF2ADD" w:rsidRDefault="00AB65E9" w:rsidP="00E448CD">
      <w:pPr>
        <w:spacing w:after="0" w:line="240" w:lineRule="auto"/>
        <w:ind w:firstLine="720"/>
        <w:rPr>
          <w:rFonts w:ascii="Arial" w:hAnsi="Arial" w:cs="Arial"/>
          <w:u w:val="single"/>
        </w:rPr>
      </w:pPr>
      <w:r w:rsidRPr="00BF2ADD">
        <w:rPr>
          <w:rFonts w:ascii="Arial" w:hAnsi="Arial" w:cs="Arial"/>
          <w:u w:val="single"/>
        </w:rPr>
        <w:t>Initial Complaint:</w:t>
      </w:r>
    </w:p>
    <w:p w:rsidR="00AB65E9" w:rsidRPr="00BF2ADD" w:rsidRDefault="00AB65E9" w:rsidP="00E448CD">
      <w:pPr>
        <w:spacing w:after="0" w:line="240" w:lineRule="auto"/>
        <w:ind w:left="720"/>
        <w:rPr>
          <w:rFonts w:ascii="Arial" w:hAnsi="Arial" w:cs="Arial"/>
        </w:rPr>
      </w:pPr>
      <w:r w:rsidRPr="00BF2ADD">
        <w:rPr>
          <w:rFonts w:ascii="Arial" w:hAnsi="Arial" w:cs="Arial"/>
        </w:rPr>
        <w:t>Staff and overhead cost</w:t>
      </w:r>
      <w:r w:rsidR="00E448CD" w:rsidRPr="00BF2ADD">
        <w:rPr>
          <w:rStyle w:val="FootnoteReference"/>
          <w:rFonts w:ascii="Arial" w:hAnsi="Arial" w:cs="Arial"/>
        </w:rPr>
        <w:footnoteReference w:id="11"/>
      </w:r>
      <w:r w:rsidRPr="00BF2ADD">
        <w:rPr>
          <w:rFonts w:ascii="Arial" w:hAnsi="Arial" w:cs="Arial"/>
        </w:rPr>
        <w:tab/>
      </w:r>
      <w:r w:rsidRPr="00BF2ADD">
        <w:rPr>
          <w:rFonts w:ascii="Arial" w:hAnsi="Arial" w:cs="Arial"/>
        </w:rPr>
        <w:tab/>
      </w:r>
      <w:r w:rsidRPr="00BF2ADD">
        <w:rPr>
          <w:rFonts w:ascii="Arial" w:hAnsi="Arial" w:cs="Arial"/>
        </w:rPr>
        <w:tab/>
        <w:t>£810,000</w:t>
      </w:r>
    </w:p>
    <w:p w:rsidR="00AB65E9" w:rsidRPr="00BF2ADD" w:rsidRDefault="00AB65E9" w:rsidP="00E448CD">
      <w:pPr>
        <w:spacing w:after="0" w:line="240" w:lineRule="auto"/>
        <w:ind w:firstLine="720"/>
        <w:rPr>
          <w:rFonts w:ascii="Arial" w:hAnsi="Arial" w:cs="Arial"/>
        </w:rPr>
      </w:pPr>
      <w:r w:rsidRPr="00BF2ADD">
        <w:rPr>
          <w:rFonts w:ascii="Arial" w:hAnsi="Arial" w:cs="Arial"/>
        </w:rPr>
        <w:t>Investigation and discipline committee</w:t>
      </w:r>
      <w:r w:rsidR="00281AB3" w:rsidRPr="00BF2ADD">
        <w:rPr>
          <w:rStyle w:val="FootnoteReference"/>
          <w:rFonts w:ascii="Arial" w:hAnsi="Arial" w:cs="Arial"/>
        </w:rPr>
        <w:footnoteReference w:id="12"/>
      </w:r>
      <w:r w:rsidRPr="00BF2ADD">
        <w:rPr>
          <w:rFonts w:ascii="Arial" w:hAnsi="Arial" w:cs="Arial"/>
        </w:rPr>
        <w:tab/>
        <w:t>£420,000</w:t>
      </w:r>
    </w:p>
    <w:p w:rsidR="00AB65E9" w:rsidRPr="00BF2ADD" w:rsidRDefault="00AB65E9" w:rsidP="00F01332">
      <w:pPr>
        <w:spacing w:after="0" w:line="240" w:lineRule="auto"/>
        <w:rPr>
          <w:rFonts w:ascii="Arial" w:hAnsi="Arial" w:cs="Arial"/>
        </w:rPr>
      </w:pPr>
    </w:p>
    <w:p w:rsidR="00AB65E9" w:rsidRPr="00BF2ADD" w:rsidRDefault="00AB65E9" w:rsidP="00E448CD">
      <w:pPr>
        <w:spacing w:after="0" w:line="240" w:lineRule="auto"/>
        <w:ind w:firstLine="720"/>
        <w:rPr>
          <w:rFonts w:ascii="Arial" w:hAnsi="Arial" w:cs="Arial"/>
          <w:u w:val="single"/>
        </w:rPr>
      </w:pPr>
      <w:r w:rsidRPr="00BF2ADD">
        <w:rPr>
          <w:rFonts w:ascii="Arial" w:hAnsi="Arial" w:cs="Arial"/>
          <w:u w:val="single"/>
        </w:rPr>
        <w:t>Appeal Process</w:t>
      </w:r>
      <w:r w:rsidR="00281AB3" w:rsidRPr="00BF2ADD">
        <w:rPr>
          <w:rStyle w:val="FootnoteReference"/>
          <w:rFonts w:ascii="Arial" w:hAnsi="Arial" w:cs="Arial"/>
          <w:u w:val="single"/>
        </w:rPr>
        <w:footnoteReference w:id="13"/>
      </w:r>
      <w:r w:rsidRPr="00BF2ADD">
        <w:rPr>
          <w:rFonts w:ascii="Arial" w:hAnsi="Arial" w:cs="Arial"/>
          <w:u w:val="single"/>
        </w:rPr>
        <w:t>:</w:t>
      </w:r>
    </w:p>
    <w:p w:rsidR="00AB65E9" w:rsidRPr="00BF2ADD" w:rsidRDefault="00AB65E9" w:rsidP="00E448CD">
      <w:pPr>
        <w:spacing w:after="0" w:line="240" w:lineRule="auto"/>
        <w:ind w:firstLine="720"/>
        <w:rPr>
          <w:rFonts w:ascii="Arial" w:hAnsi="Arial" w:cs="Arial"/>
        </w:rPr>
      </w:pPr>
      <w:r w:rsidRPr="00BF2ADD">
        <w:rPr>
          <w:rFonts w:ascii="Arial" w:hAnsi="Arial" w:cs="Arial"/>
        </w:rPr>
        <w:t>Staff and oversight cost</w:t>
      </w:r>
      <w:r w:rsidRPr="00BF2ADD">
        <w:rPr>
          <w:rFonts w:ascii="Arial" w:hAnsi="Arial" w:cs="Arial"/>
        </w:rPr>
        <w:tab/>
      </w:r>
      <w:r w:rsidRPr="00BF2ADD">
        <w:rPr>
          <w:rFonts w:ascii="Arial" w:hAnsi="Arial" w:cs="Arial"/>
        </w:rPr>
        <w:tab/>
      </w:r>
      <w:r w:rsidRPr="00BF2ADD">
        <w:rPr>
          <w:rFonts w:ascii="Arial" w:hAnsi="Arial" w:cs="Arial"/>
        </w:rPr>
        <w:tab/>
        <w:t>£140,000</w:t>
      </w:r>
    </w:p>
    <w:p w:rsidR="00AB65E9" w:rsidRPr="00BF2ADD" w:rsidRDefault="00AB65E9" w:rsidP="00E448CD">
      <w:pPr>
        <w:spacing w:after="0" w:line="240" w:lineRule="auto"/>
        <w:ind w:firstLine="720"/>
        <w:rPr>
          <w:rFonts w:ascii="Arial" w:hAnsi="Arial" w:cs="Arial"/>
        </w:rPr>
      </w:pPr>
      <w:r w:rsidRPr="00BF2ADD">
        <w:rPr>
          <w:rFonts w:ascii="Arial" w:hAnsi="Arial" w:cs="Arial"/>
        </w:rPr>
        <w:t>Appeals committee</w:t>
      </w:r>
      <w:r w:rsidRPr="00BF2ADD">
        <w:rPr>
          <w:rFonts w:ascii="Arial" w:hAnsi="Arial" w:cs="Arial"/>
        </w:rPr>
        <w:tab/>
      </w:r>
      <w:r w:rsidRPr="00BF2ADD">
        <w:rPr>
          <w:rFonts w:ascii="Arial" w:hAnsi="Arial" w:cs="Arial"/>
        </w:rPr>
        <w:tab/>
      </w:r>
      <w:r w:rsidRPr="00BF2ADD">
        <w:rPr>
          <w:rFonts w:ascii="Arial" w:hAnsi="Arial" w:cs="Arial"/>
        </w:rPr>
        <w:tab/>
      </w:r>
      <w:r w:rsidRPr="00BF2ADD">
        <w:rPr>
          <w:rFonts w:ascii="Arial" w:hAnsi="Arial" w:cs="Arial"/>
        </w:rPr>
        <w:tab/>
        <w:t>£130,000</w:t>
      </w:r>
    </w:p>
    <w:p w:rsidR="00AB65E9" w:rsidRPr="00BF2ADD" w:rsidRDefault="00AB65E9" w:rsidP="00F01332">
      <w:pPr>
        <w:spacing w:after="0" w:line="240" w:lineRule="auto"/>
        <w:rPr>
          <w:rFonts w:ascii="Arial" w:hAnsi="Arial" w:cs="Arial"/>
        </w:rPr>
      </w:pPr>
    </w:p>
    <w:p w:rsidR="00AB65E9" w:rsidRPr="00BF2ADD" w:rsidRDefault="00AB65E9" w:rsidP="00E448CD">
      <w:pPr>
        <w:spacing w:after="0" w:line="240" w:lineRule="auto"/>
        <w:ind w:firstLine="720"/>
        <w:rPr>
          <w:rFonts w:ascii="Arial" w:hAnsi="Arial" w:cs="Arial"/>
          <w:u w:val="single"/>
        </w:rPr>
      </w:pPr>
      <w:r w:rsidRPr="00BF2ADD">
        <w:rPr>
          <w:rFonts w:ascii="Arial" w:hAnsi="Arial" w:cs="Arial"/>
          <w:u w:val="single"/>
        </w:rPr>
        <w:t>Other costs:</w:t>
      </w:r>
    </w:p>
    <w:p w:rsidR="00AB65E9" w:rsidRPr="00BF2ADD" w:rsidRDefault="00AB65E9" w:rsidP="00E448CD">
      <w:pPr>
        <w:spacing w:after="0" w:line="240" w:lineRule="auto"/>
        <w:ind w:firstLine="720"/>
        <w:rPr>
          <w:rFonts w:ascii="Arial" w:hAnsi="Arial" w:cs="Arial"/>
        </w:rPr>
      </w:pPr>
      <w:r w:rsidRPr="00BF2ADD">
        <w:rPr>
          <w:rFonts w:ascii="Arial" w:hAnsi="Arial" w:cs="Arial"/>
        </w:rPr>
        <w:t>Legal contingency</w:t>
      </w:r>
      <w:r w:rsidRPr="00BF2ADD">
        <w:rPr>
          <w:rFonts w:ascii="Arial" w:hAnsi="Arial" w:cs="Arial"/>
        </w:rPr>
        <w:tab/>
      </w:r>
      <w:r w:rsidRPr="00BF2ADD">
        <w:rPr>
          <w:rFonts w:ascii="Arial" w:hAnsi="Arial" w:cs="Arial"/>
        </w:rPr>
        <w:tab/>
      </w:r>
      <w:r w:rsidRPr="00BF2ADD">
        <w:rPr>
          <w:rFonts w:ascii="Arial" w:hAnsi="Arial" w:cs="Arial"/>
        </w:rPr>
        <w:tab/>
      </w:r>
      <w:r w:rsidRPr="00BF2ADD">
        <w:rPr>
          <w:rFonts w:ascii="Arial" w:hAnsi="Arial" w:cs="Arial"/>
        </w:rPr>
        <w:tab/>
        <w:t>£150,000</w:t>
      </w:r>
    </w:p>
    <w:p w:rsidR="00AB65E9" w:rsidRPr="00BF2ADD" w:rsidRDefault="00AB65E9" w:rsidP="00F01332">
      <w:pPr>
        <w:spacing w:after="0" w:line="240" w:lineRule="auto"/>
        <w:rPr>
          <w:rFonts w:ascii="Arial" w:hAnsi="Arial" w:cs="Arial"/>
        </w:rPr>
      </w:pPr>
    </w:p>
    <w:p w:rsidR="00AB65E9" w:rsidRPr="00BF2ADD" w:rsidRDefault="00AB65E9" w:rsidP="00E448CD">
      <w:pPr>
        <w:spacing w:after="0" w:line="240" w:lineRule="auto"/>
        <w:ind w:left="6480" w:hanging="5760"/>
        <w:rPr>
          <w:rFonts w:ascii="Arial" w:hAnsi="Arial" w:cs="Arial"/>
          <w:b/>
        </w:rPr>
      </w:pPr>
      <w:r w:rsidRPr="00BF2ADD">
        <w:rPr>
          <w:rFonts w:ascii="Arial" w:hAnsi="Arial" w:cs="Arial"/>
          <w:b/>
        </w:rPr>
        <w:t>Total Annual Costs – split between all RPBs</w:t>
      </w:r>
      <w:r w:rsidRPr="00BF2ADD">
        <w:rPr>
          <w:rFonts w:ascii="Arial" w:hAnsi="Arial" w:cs="Arial"/>
          <w:b/>
        </w:rPr>
        <w:tab/>
        <w:t xml:space="preserve">£1,650,000 </w:t>
      </w:r>
      <w:r w:rsidRPr="00BF2ADD">
        <w:rPr>
          <w:rFonts w:ascii="Arial" w:hAnsi="Arial" w:cs="Arial"/>
        </w:rPr>
        <w:t>(in 2011 prices - £1,684,650 in 2013 prices)</w:t>
      </w:r>
    </w:p>
    <w:p w:rsidR="00AB65E9" w:rsidRPr="00BF2ADD" w:rsidRDefault="00AB65E9" w:rsidP="00281AB3">
      <w:pPr>
        <w:keepNext/>
        <w:spacing w:after="120" w:line="240" w:lineRule="auto"/>
        <w:jc w:val="both"/>
        <w:rPr>
          <w:rFonts w:ascii="Arial" w:hAnsi="Arial" w:cs="Arial"/>
          <w:bCs/>
          <w:color w:val="000000"/>
          <w:lang w:eastAsia="en-GB"/>
        </w:rPr>
      </w:pPr>
    </w:p>
    <w:p w:rsidR="006D5333" w:rsidRPr="00F367C8" w:rsidRDefault="00AB65E9" w:rsidP="00F367C8">
      <w:pPr>
        <w:keepNext/>
        <w:spacing w:after="120" w:line="240" w:lineRule="auto"/>
        <w:jc w:val="both"/>
        <w:rPr>
          <w:rFonts w:ascii="Arial" w:hAnsi="Arial" w:cs="Arial"/>
          <w:b/>
          <w:bCs/>
          <w:color w:val="000000"/>
          <w:lang w:eastAsia="en-GB"/>
        </w:rPr>
      </w:pPr>
      <w:r w:rsidRPr="00BF2ADD">
        <w:rPr>
          <w:rFonts w:ascii="Arial" w:hAnsi="Arial" w:cs="Arial"/>
          <w:b/>
          <w:bCs/>
          <w:color w:val="000000"/>
          <w:lang w:eastAsia="en-GB"/>
        </w:rPr>
        <w:t>Q: Do you agree with the assessment of the costs associated with fee com</w:t>
      </w:r>
      <w:r w:rsidR="00F367C8">
        <w:rPr>
          <w:rFonts w:ascii="Arial" w:hAnsi="Arial" w:cs="Arial"/>
          <w:b/>
          <w:bCs/>
          <w:color w:val="000000"/>
          <w:lang w:eastAsia="en-GB"/>
        </w:rPr>
        <w:t>plaints being reviewed by RPBs?</w:t>
      </w:r>
    </w:p>
    <w:p w:rsidR="00AB65E9" w:rsidRPr="00BF2ADD" w:rsidRDefault="00AB65E9" w:rsidP="00F01332">
      <w:pPr>
        <w:keepNext/>
        <w:spacing w:after="120" w:line="240" w:lineRule="auto"/>
        <w:rPr>
          <w:rFonts w:ascii="Arial" w:hAnsi="Arial" w:cs="Arial"/>
          <w:bCs/>
          <w:color w:val="000000"/>
          <w:u w:val="single"/>
          <w:lang w:eastAsia="en-GB"/>
        </w:rPr>
      </w:pPr>
      <w:r w:rsidRPr="00BF2ADD">
        <w:rPr>
          <w:rFonts w:ascii="Arial" w:hAnsi="Arial" w:cs="Arial"/>
          <w:bCs/>
          <w:color w:val="000000"/>
          <w:u w:val="single"/>
          <w:lang w:eastAsia="en-GB"/>
        </w:rPr>
        <w:t>Benefits of Option 1</w:t>
      </w:r>
    </w:p>
    <w:p w:rsidR="00AB65E9" w:rsidRPr="00BF2ADD" w:rsidRDefault="00AB65E9" w:rsidP="000C1991">
      <w:pPr>
        <w:spacing w:after="0" w:line="240" w:lineRule="auto"/>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As mentioned earlier the benefits of this proposal have been considered for the package as a whole, rather than for each particular sub option or each measure in the package. Benefits of the proposal are expected be: </w:t>
      </w:r>
    </w:p>
    <w:p w:rsidR="00AB65E9" w:rsidRPr="00BF2ADD" w:rsidRDefault="00AB65E9" w:rsidP="000C1991">
      <w:pPr>
        <w:spacing w:after="0" w:line="240" w:lineRule="auto"/>
        <w:ind w:left="360"/>
        <w:jc w:val="both"/>
        <w:rPr>
          <w:rFonts w:ascii="Arial" w:hAnsi="Arial" w:cs="Arial"/>
        </w:rPr>
      </w:pPr>
    </w:p>
    <w:p w:rsidR="00AB65E9" w:rsidRPr="00BF2ADD" w:rsidRDefault="00AB65E9" w:rsidP="000C1991">
      <w:pPr>
        <w:numPr>
          <w:ilvl w:val="1"/>
          <w:numId w:val="20"/>
        </w:numPr>
        <w:spacing w:after="0" w:line="240" w:lineRule="auto"/>
        <w:jc w:val="both"/>
        <w:rPr>
          <w:rFonts w:ascii="Arial" w:hAnsi="Arial" w:cs="Arial"/>
        </w:rPr>
      </w:pPr>
      <w:r w:rsidRPr="00BF2ADD">
        <w:rPr>
          <w:rFonts w:ascii="Arial" w:hAnsi="Arial" w:cs="Arial"/>
        </w:rPr>
        <w:t>Reduction in fees for unsecured creditors – as mentioned earlier this is considered to be a transfer from IPs to unsecured creditors and therefore is also considered on the costs side</w:t>
      </w:r>
    </w:p>
    <w:p w:rsidR="003C7276" w:rsidRDefault="00AB65E9" w:rsidP="00831471">
      <w:pPr>
        <w:numPr>
          <w:ilvl w:val="1"/>
          <w:numId w:val="20"/>
        </w:numPr>
        <w:spacing w:after="0" w:line="240" w:lineRule="auto"/>
        <w:jc w:val="both"/>
        <w:rPr>
          <w:rFonts w:ascii="Arial" w:hAnsi="Arial" w:cs="Arial"/>
        </w:rPr>
      </w:pPr>
      <w:r w:rsidRPr="00BF2ADD">
        <w:rPr>
          <w:rFonts w:ascii="Arial" w:hAnsi="Arial" w:cs="Arial"/>
        </w:rPr>
        <w:t>Increased efficiency in the market</w:t>
      </w:r>
    </w:p>
    <w:p w:rsidR="003C7276" w:rsidRDefault="00AB65E9" w:rsidP="00831471">
      <w:pPr>
        <w:numPr>
          <w:ilvl w:val="1"/>
          <w:numId w:val="20"/>
        </w:numPr>
        <w:spacing w:after="0" w:line="240" w:lineRule="auto"/>
        <w:jc w:val="both"/>
        <w:rPr>
          <w:rFonts w:ascii="Arial" w:hAnsi="Arial" w:cs="Arial"/>
        </w:rPr>
      </w:pPr>
      <w:r w:rsidRPr="00831471">
        <w:rPr>
          <w:rFonts w:ascii="Arial" w:hAnsi="Arial" w:cs="Arial"/>
        </w:rPr>
        <w:t xml:space="preserve">Increased </w:t>
      </w:r>
      <w:r w:rsidR="00831471" w:rsidRPr="00831471">
        <w:rPr>
          <w:rFonts w:ascii="Arial" w:hAnsi="Arial" w:cs="Arial"/>
        </w:rPr>
        <w:t>fairness in the market</w:t>
      </w:r>
      <w:r w:rsidR="00831471">
        <w:rPr>
          <w:rFonts w:ascii="Arial" w:hAnsi="Arial" w:cs="Arial"/>
        </w:rPr>
        <w:t xml:space="preserve"> </w:t>
      </w:r>
      <w:r w:rsidR="00831471" w:rsidRPr="00831471">
        <w:rPr>
          <w:rFonts w:ascii="Arial" w:hAnsi="Arial" w:cs="Arial"/>
        </w:rPr>
        <w:t>place</w:t>
      </w:r>
    </w:p>
    <w:p w:rsidR="00AB65E9" w:rsidRPr="00831471" w:rsidRDefault="00AB65E9" w:rsidP="00831471">
      <w:pPr>
        <w:numPr>
          <w:ilvl w:val="1"/>
          <w:numId w:val="20"/>
        </w:numPr>
        <w:spacing w:after="0" w:line="240" w:lineRule="auto"/>
        <w:jc w:val="both"/>
        <w:rPr>
          <w:rFonts w:ascii="Arial" w:hAnsi="Arial" w:cs="Arial"/>
        </w:rPr>
      </w:pPr>
      <w:r w:rsidRPr="00831471">
        <w:rPr>
          <w:rFonts w:ascii="Arial" w:hAnsi="Arial" w:cs="Arial"/>
        </w:rPr>
        <w:t>Increased IP market confidence</w:t>
      </w:r>
    </w:p>
    <w:p w:rsidR="00AB65E9" w:rsidRPr="00BF2ADD" w:rsidRDefault="00AB65E9" w:rsidP="000C1991">
      <w:pPr>
        <w:numPr>
          <w:ilvl w:val="1"/>
          <w:numId w:val="20"/>
        </w:numPr>
        <w:spacing w:after="0" w:line="240" w:lineRule="auto"/>
        <w:jc w:val="both"/>
        <w:rPr>
          <w:rFonts w:ascii="Arial" w:hAnsi="Arial" w:cs="Arial"/>
        </w:rPr>
      </w:pPr>
      <w:r w:rsidRPr="00BF2ADD">
        <w:rPr>
          <w:rFonts w:ascii="Arial" w:hAnsi="Arial" w:cs="Arial"/>
        </w:rPr>
        <w:t xml:space="preserve">In addition this section also highlights some specific benefits associated with the new complaint handling arrangements. </w:t>
      </w:r>
    </w:p>
    <w:p w:rsidR="00AB65E9" w:rsidRPr="00BF2ADD" w:rsidRDefault="00AB65E9" w:rsidP="000C1991">
      <w:pPr>
        <w:spacing w:after="0" w:line="240" w:lineRule="auto"/>
        <w:ind w:left="360"/>
        <w:jc w:val="both"/>
        <w:rPr>
          <w:rFonts w:ascii="Arial" w:hAnsi="Arial" w:cs="Arial"/>
        </w:rPr>
      </w:pPr>
    </w:p>
    <w:p w:rsidR="00AB65E9" w:rsidRPr="00BF2ADD" w:rsidRDefault="00AB65E9" w:rsidP="000C1991">
      <w:pPr>
        <w:keepNext/>
        <w:spacing w:after="120" w:line="240" w:lineRule="auto"/>
        <w:rPr>
          <w:rFonts w:ascii="Arial" w:hAnsi="Arial" w:cs="Arial"/>
          <w:b/>
          <w:bCs/>
          <w:color w:val="000000"/>
          <w:u w:val="single"/>
          <w:lang w:eastAsia="en-GB"/>
        </w:rPr>
      </w:pPr>
      <w:r w:rsidRPr="00BF2ADD">
        <w:rPr>
          <w:rFonts w:ascii="Arial" w:hAnsi="Arial" w:cs="Arial"/>
          <w:b/>
          <w:bCs/>
          <w:color w:val="000000"/>
          <w:u w:val="single"/>
          <w:lang w:eastAsia="en-GB"/>
        </w:rPr>
        <w:t>Quantifiable benefits</w:t>
      </w:r>
    </w:p>
    <w:p w:rsidR="00AB65E9" w:rsidRPr="00BF2ADD" w:rsidRDefault="00AB65E9" w:rsidP="000C1991">
      <w:pPr>
        <w:spacing w:after="0" w:line="240" w:lineRule="auto"/>
        <w:ind w:left="360"/>
        <w:jc w:val="both"/>
        <w:rPr>
          <w:rFonts w:ascii="Arial" w:hAnsi="Arial" w:cs="Arial"/>
          <w:i/>
        </w:rPr>
      </w:pPr>
      <w:r w:rsidRPr="00BF2ADD">
        <w:rPr>
          <w:rFonts w:ascii="Arial" w:hAnsi="Arial" w:cs="Arial"/>
          <w:i/>
        </w:rPr>
        <w:t>Reduction in fees for unsecured creditors</w:t>
      </w:r>
    </w:p>
    <w:p w:rsidR="00AB65E9" w:rsidRPr="00BF2ADD" w:rsidRDefault="00AB65E9" w:rsidP="000C1991">
      <w:pPr>
        <w:spacing w:after="0" w:line="240" w:lineRule="auto"/>
        <w:ind w:left="360"/>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The only quantifiable benefit identified is the 9% or £15m overpayment in fees by unsecured creditors to IPs. </w:t>
      </w:r>
    </w:p>
    <w:p w:rsidR="00AB65E9" w:rsidRPr="00BF2ADD" w:rsidRDefault="00AB65E9" w:rsidP="000C1991">
      <w:pPr>
        <w:spacing w:after="0" w:line="240" w:lineRule="auto"/>
        <w:ind w:left="360"/>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The benefit, and conversely the cost, of these pr</w:t>
      </w:r>
      <w:r w:rsidR="00743CB1">
        <w:rPr>
          <w:rFonts w:ascii="Arial" w:hAnsi="Arial" w:cs="Arial"/>
        </w:rPr>
        <w:t>oposals is a transfer of funds (</w:t>
      </w:r>
      <w:r w:rsidRPr="00BF2ADD">
        <w:rPr>
          <w:rFonts w:ascii="Arial" w:hAnsi="Arial" w:cs="Arial"/>
        </w:rPr>
        <w:t>£15m</w:t>
      </w:r>
      <w:r w:rsidR="00743CB1">
        <w:rPr>
          <w:rFonts w:ascii="Arial" w:hAnsi="Arial" w:cs="Arial"/>
        </w:rPr>
        <w:t>)</w:t>
      </w:r>
      <w:r w:rsidRPr="00BF2ADD">
        <w:rPr>
          <w:rFonts w:ascii="Arial" w:hAnsi="Arial" w:cs="Arial"/>
        </w:rPr>
        <w:t xml:space="preserve"> from IPs back to unsecured creditors. As stated in the costs section, we are unable to quantify by how much these proposals will reduce or extinguish the overpayment by unsecured creditors, and therefore the same scenarios as in paragraph </w:t>
      </w:r>
      <w:r w:rsidR="00743CB1">
        <w:rPr>
          <w:rFonts w:ascii="Arial" w:hAnsi="Arial" w:cs="Arial"/>
        </w:rPr>
        <w:t>36</w:t>
      </w:r>
      <w:r w:rsidRPr="00BF2ADD">
        <w:rPr>
          <w:rFonts w:ascii="Arial" w:hAnsi="Arial" w:cs="Arial"/>
        </w:rPr>
        <w:t xml:space="preserve"> have been used. </w:t>
      </w:r>
    </w:p>
    <w:p w:rsidR="00AB65E9" w:rsidRPr="00BF2ADD" w:rsidRDefault="00AB65E9" w:rsidP="000C1991">
      <w:pPr>
        <w:spacing w:after="0" w:line="240" w:lineRule="auto"/>
        <w:ind w:left="360"/>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At the top end (high case scenario), all excessive fee charging would be prevented and the full £15m would be returned back to creditors. This would equate to an additional 0.1 pence in the pound recovery rate for unsecured creditors</w:t>
      </w:r>
      <w:r w:rsidRPr="00BF2ADD">
        <w:rPr>
          <w:rStyle w:val="FootnoteReference"/>
          <w:rFonts w:ascii="Arial" w:hAnsi="Arial" w:cs="Arial"/>
        </w:rPr>
        <w:footnoteReference w:id="14"/>
      </w:r>
      <w:r w:rsidRPr="00BF2ADD">
        <w:rPr>
          <w:rFonts w:ascii="Arial" w:hAnsi="Arial" w:cs="Arial"/>
        </w:rPr>
        <w:t>. At the lower end the proposals will have minimal impact on the amount IPs charge where creditors ‘control’ the fees and return only 10% or £1.5m of the £15m overpayment back to unsecured creditors..</w:t>
      </w:r>
    </w:p>
    <w:p w:rsidR="00AB65E9" w:rsidRPr="00BF2ADD" w:rsidRDefault="00AB65E9" w:rsidP="000C1991">
      <w:pPr>
        <w:spacing w:after="0" w:line="240" w:lineRule="auto"/>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What we would expect to see is that the measures will have some impact somewhere in the middle of the two scenarios, and increase returns to unsecured creditors by 60% or £9m per annum. </w:t>
      </w:r>
    </w:p>
    <w:p w:rsidR="00AB65E9" w:rsidRPr="00BF2ADD" w:rsidRDefault="00AB65E9" w:rsidP="000C1991">
      <w:pPr>
        <w:spacing w:after="0" w:line="240" w:lineRule="auto"/>
        <w:jc w:val="both"/>
        <w:rPr>
          <w:rFonts w:ascii="Arial" w:hAnsi="Arial" w:cs="Arial"/>
        </w:rPr>
      </w:pPr>
    </w:p>
    <w:p w:rsidR="00AB65E9" w:rsidRPr="00BF2ADD" w:rsidRDefault="00AB65E9" w:rsidP="00281AB3">
      <w:pPr>
        <w:spacing w:after="0" w:line="240" w:lineRule="auto"/>
        <w:jc w:val="both"/>
        <w:rPr>
          <w:rFonts w:ascii="Arial" w:hAnsi="Arial" w:cs="Arial"/>
          <w:b/>
        </w:rPr>
      </w:pPr>
      <w:r w:rsidRPr="00BF2ADD">
        <w:rPr>
          <w:rFonts w:ascii="Arial" w:hAnsi="Arial" w:cs="Arial"/>
          <w:b/>
        </w:rPr>
        <w:t>Q: Do you agree with these assumptions? Do you have any data to support how the changes to the fee structure will impact on the fees currently charged?</w:t>
      </w:r>
    </w:p>
    <w:p w:rsidR="00AB65E9" w:rsidRPr="00BF2ADD" w:rsidRDefault="00AB65E9" w:rsidP="000C1991">
      <w:pPr>
        <w:spacing w:after="0" w:line="240" w:lineRule="auto"/>
        <w:ind w:left="720"/>
        <w:jc w:val="both"/>
        <w:rPr>
          <w:rFonts w:ascii="Arial" w:hAnsi="Arial" w:cs="Arial"/>
          <w:b/>
        </w:rPr>
      </w:pPr>
    </w:p>
    <w:p w:rsidR="00AB65E9" w:rsidRPr="00BF2ADD" w:rsidRDefault="00AB65E9" w:rsidP="00452FDA">
      <w:pPr>
        <w:keepNext/>
        <w:spacing w:after="120" w:line="240" w:lineRule="auto"/>
        <w:rPr>
          <w:rFonts w:ascii="Arial" w:hAnsi="Arial" w:cs="Arial"/>
          <w:b/>
          <w:bCs/>
          <w:color w:val="000000"/>
          <w:u w:val="single"/>
          <w:lang w:eastAsia="en-GB"/>
        </w:rPr>
      </w:pPr>
      <w:r w:rsidRPr="00BF2ADD">
        <w:rPr>
          <w:rFonts w:ascii="Arial" w:hAnsi="Arial" w:cs="Arial"/>
          <w:b/>
          <w:bCs/>
          <w:color w:val="000000"/>
          <w:u w:val="single"/>
          <w:lang w:eastAsia="en-GB"/>
        </w:rPr>
        <w:t>Non-quantifiable Benefits</w:t>
      </w:r>
    </w:p>
    <w:p w:rsidR="00AB65E9" w:rsidRPr="00BF2ADD" w:rsidRDefault="00AB65E9" w:rsidP="00452FDA">
      <w:pPr>
        <w:spacing w:after="0" w:line="240" w:lineRule="auto"/>
        <w:jc w:val="both"/>
        <w:rPr>
          <w:rFonts w:ascii="Arial" w:hAnsi="Arial" w:cs="Arial"/>
          <w:i/>
        </w:rPr>
      </w:pPr>
      <w:r w:rsidRPr="00BF2ADD">
        <w:rPr>
          <w:rFonts w:ascii="Arial" w:hAnsi="Arial" w:cs="Arial"/>
          <w:i/>
        </w:rPr>
        <w:t>Efficiency</w:t>
      </w:r>
    </w:p>
    <w:p w:rsidR="00AB65E9" w:rsidRPr="00BF2ADD" w:rsidRDefault="00AB65E9" w:rsidP="00452FDA">
      <w:pPr>
        <w:spacing w:after="0" w:line="240" w:lineRule="auto"/>
        <w:jc w:val="both"/>
        <w:rPr>
          <w:rFonts w:ascii="Arial" w:hAnsi="Arial" w:cs="Arial"/>
          <w:i/>
        </w:rPr>
      </w:pPr>
    </w:p>
    <w:p w:rsidR="00AB65E9" w:rsidRPr="00BF2ADD" w:rsidRDefault="00AB65E9" w:rsidP="00D3157E">
      <w:pPr>
        <w:numPr>
          <w:ilvl w:val="0"/>
          <w:numId w:val="20"/>
        </w:numPr>
        <w:spacing w:after="0" w:line="240" w:lineRule="auto"/>
        <w:jc w:val="both"/>
        <w:rPr>
          <w:rFonts w:ascii="Arial" w:hAnsi="Arial" w:cs="Arial"/>
        </w:rPr>
      </w:pPr>
      <w:r w:rsidRPr="00BF2ADD">
        <w:rPr>
          <w:rFonts w:ascii="Arial" w:hAnsi="Arial" w:cs="Arial"/>
        </w:rPr>
        <w:t xml:space="preserve">Although a transfer from one group to another, it is expected that these reforms will correct the market failure by allocating resources more efficiently which will in turn provide a net benefit to the economy. </w:t>
      </w:r>
    </w:p>
    <w:p w:rsidR="00AB65E9" w:rsidRPr="00BF2ADD" w:rsidRDefault="00AB65E9" w:rsidP="00452FDA">
      <w:pPr>
        <w:spacing w:after="0" w:line="240" w:lineRule="auto"/>
        <w:ind w:left="360"/>
        <w:jc w:val="both"/>
        <w:rPr>
          <w:rFonts w:ascii="Arial" w:hAnsi="Arial" w:cs="Arial"/>
        </w:rPr>
      </w:pPr>
    </w:p>
    <w:p w:rsidR="00AB65E9" w:rsidRPr="00BF2ADD" w:rsidRDefault="00AB65E9" w:rsidP="00452FDA">
      <w:pPr>
        <w:numPr>
          <w:ilvl w:val="0"/>
          <w:numId w:val="20"/>
        </w:numPr>
        <w:spacing w:after="0" w:line="240" w:lineRule="auto"/>
        <w:jc w:val="both"/>
        <w:rPr>
          <w:rFonts w:ascii="Arial" w:hAnsi="Arial" w:cs="Arial"/>
        </w:rPr>
      </w:pPr>
      <w:r w:rsidRPr="00BF2ADD">
        <w:rPr>
          <w:rFonts w:ascii="Arial" w:hAnsi="Arial" w:cs="Arial"/>
        </w:rPr>
        <w:t>We cannot define exactly what impact on the economy this might have, but we feel it is a reasonable assumption that creditors will reinvest these funds back into the economy. It could be argued that this investment will be more productive than payment to IPs, given that IPs payment is over the market/competitive rate.</w:t>
      </w:r>
    </w:p>
    <w:p w:rsidR="00AB65E9" w:rsidRPr="00BF2ADD" w:rsidRDefault="00AB65E9" w:rsidP="00452FDA">
      <w:pPr>
        <w:spacing w:after="0" w:line="240" w:lineRule="auto"/>
        <w:jc w:val="both"/>
        <w:rPr>
          <w:rFonts w:ascii="Arial" w:hAnsi="Arial" w:cs="Arial"/>
        </w:rPr>
      </w:pPr>
    </w:p>
    <w:p w:rsidR="00AB65E9" w:rsidRPr="00BF2ADD" w:rsidRDefault="00AB65E9" w:rsidP="00452FDA">
      <w:pPr>
        <w:numPr>
          <w:ilvl w:val="0"/>
          <w:numId w:val="20"/>
        </w:numPr>
        <w:spacing w:after="0" w:line="240" w:lineRule="auto"/>
        <w:jc w:val="both"/>
        <w:rPr>
          <w:rFonts w:ascii="Arial" w:hAnsi="Arial" w:cs="Arial"/>
        </w:rPr>
      </w:pPr>
      <w:r w:rsidRPr="00BF2ADD">
        <w:rPr>
          <w:rFonts w:ascii="Arial" w:hAnsi="Arial" w:cs="Arial"/>
        </w:rPr>
        <w:lastRenderedPageBreak/>
        <w:t>The OFT report states that some unsecured creditors say that if their recovery rate from insolvency increased, they would extend more credit. While this effect is likely to be slight, even a small increase in the £80bn</w:t>
      </w:r>
      <w:r w:rsidRPr="00BF2ADD">
        <w:rPr>
          <w:rStyle w:val="FootnoteReference"/>
          <w:rFonts w:ascii="Arial" w:hAnsi="Arial" w:cs="Arial"/>
        </w:rPr>
        <w:footnoteReference w:id="15"/>
      </w:r>
      <w:r w:rsidRPr="00BF2ADD">
        <w:rPr>
          <w:rFonts w:ascii="Arial" w:hAnsi="Arial" w:cs="Arial"/>
        </w:rPr>
        <w:t xml:space="preserve"> of unsecured credit extended by SME's will amount to many millions of pounds. </w:t>
      </w:r>
    </w:p>
    <w:p w:rsidR="00AB65E9" w:rsidRPr="00BF2ADD" w:rsidRDefault="00AB65E9" w:rsidP="00452FDA">
      <w:pPr>
        <w:spacing w:after="0" w:line="240" w:lineRule="auto"/>
        <w:jc w:val="both"/>
        <w:rPr>
          <w:rFonts w:ascii="Arial" w:hAnsi="Arial" w:cs="Arial"/>
        </w:rPr>
      </w:pPr>
    </w:p>
    <w:p w:rsidR="00AB65E9" w:rsidRPr="00BF2ADD" w:rsidRDefault="00AB65E9" w:rsidP="00452FDA">
      <w:pPr>
        <w:keepNext/>
        <w:keepLines/>
        <w:numPr>
          <w:ilvl w:val="0"/>
          <w:numId w:val="20"/>
        </w:numPr>
        <w:spacing w:after="120" w:line="240" w:lineRule="auto"/>
        <w:rPr>
          <w:rFonts w:ascii="Arial" w:hAnsi="Arial" w:cs="Arial"/>
          <w:bCs/>
          <w:color w:val="000000"/>
          <w:lang w:eastAsia="en-GB"/>
        </w:rPr>
      </w:pPr>
      <w:r w:rsidRPr="00BF2ADD">
        <w:rPr>
          <w:rFonts w:ascii="Arial" w:hAnsi="Arial" w:cs="Arial"/>
          <w:bCs/>
          <w:color w:val="000000"/>
          <w:lang w:eastAsia="en-GB"/>
        </w:rPr>
        <w:t xml:space="preserve">There may be additional efficiency gains if the removal of the IPs excessive market power versus unsecured creditors means that they would be forced to produce efficiently, given they had previously been able to operate without needing to minimise costs. Effectively productive efficiency could increase. </w:t>
      </w:r>
    </w:p>
    <w:p w:rsidR="00AB65E9" w:rsidRPr="00BF2ADD" w:rsidRDefault="00AB65E9" w:rsidP="00452FDA">
      <w:pPr>
        <w:spacing w:after="0" w:line="240" w:lineRule="auto"/>
        <w:jc w:val="both"/>
        <w:rPr>
          <w:rFonts w:ascii="Arial" w:hAnsi="Arial" w:cs="Arial"/>
        </w:rPr>
      </w:pPr>
    </w:p>
    <w:p w:rsidR="00AB65E9" w:rsidRPr="00BF2ADD" w:rsidRDefault="004F2AFA" w:rsidP="004F72C7">
      <w:pPr>
        <w:keepNext/>
        <w:spacing w:after="120" w:line="240" w:lineRule="auto"/>
        <w:rPr>
          <w:rFonts w:ascii="Arial" w:hAnsi="Arial" w:cs="Arial"/>
          <w:bCs/>
          <w:i/>
          <w:color w:val="000000"/>
          <w:lang w:eastAsia="en-GB"/>
        </w:rPr>
      </w:pPr>
      <w:r>
        <w:rPr>
          <w:rFonts w:ascii="Arial" w:hAnsi="Arial" w:cs="Arial"/>
          <w:bCs/>
          <w:i/>
          <w:color w:val="000000"/>
          <w:lang w:eastAsia="en-GB"/>
        </w:rPr>
        <w:t>Fairness</w:t>
      </w:r>
      <w:r w:rsidR="00AB65E9" w:rsidRPr="00BF2ADD">
        <w:rPr>
          <w:rFonts w:ascii="Arial" w:hAnsi="Arial" w:cs="Arial"/>
          <w:bCs/>
          <w:i/>
          <w:color w:val="000000"/>
          <w:lang w:eastAsia="en-GB"/>
        </w:rPr>
        <w:t xml:space="preserve"> </w:t>
      </w:r>
    </w:p>
    <w:p w:rsidR="00AB65E9" w:rsidRPr="00BF2ADD" w:rsidRDefault="00AB65E9" w:rsidP="00D3157E">
      <w:pPr>
        <w:numPr>
          <w:ilvl w:val="0"/>
          <w:numId w:val="21"/>
        </w:numPr>
        <w:spacing w:after="0" w:line="240" w:lineRule="auto"/>
        <w:jc w:val="both"/>
        <w:rPr>
          <w:rFonts w:ascii="Arial" w:hAnsi="Arial" w:cs="Arial"/>
        </w:rPr>
      </w:pPr>
      <w:r w:rsidRPr="00BF2ADD">
        <w:rPr>
          <w:rFonts w:ascii="Arial" w:hAnsi="Arial" w:cs="Arial"/>
        </w:rPr>
        <w:t>It is possible to argue that the transfer of resources from the unsecured creditor to IPs is unfair as unsecured creditors are being disadvantaged versus secured creditors for no apparent reason. Whilst unsecured creditors are disadvantaged against secured creditors by legislation in terms of order of priority of disbursements, there is no reason why they should pay higher fees on like-for-like cases compared to secured creditors for the same service.</w:t>
      </w:r>
    </w:p>
    <w:p w:rsidR="00AB65E9" w:rsidRPr="00BF2ADD" w:rsidRDefault="00AB65E9" w:rsidP="004F72C7">
      <w:pPr>
        <w:spacing w:after="0" w:line="240" w:lineRule="auto"/>
        <w:rPr>
          <w:rFonts w:ascii="Arial" w:hAnsi="Arial" w:cs="Arial"/>
        </w:rPr>
      </w:pPr>
    </w:p>
    <w:p w:rsidR="00AB65E9" w:rsidRPr="00BF2ADD" w:rsidRDefault="00AB65E9" w:rsidP="004F72C7">
      <w:pPr>
        <w:numPr>
          <w:ilvl w:val="0"/>
          <w:numId w:val="21"/>
        </w:numPr>
        <w:spacing w:after="0" w:line="240" w:lineRule="auto"/>
        <w:jc w:val="both"/>
        <w:rPr>
          <w:rFonts w:ascii="Arial" w:hAnsi="Arial" w:cs="Arial"/>
        </w:rPr>
      </w:pPr>
      <w:r w:rsidRPr="00BF2ADD">
        <w:rPr>
          <w:rFonts w:ascii="Arial" w:hAnsi="Arial" w:cs="Arial"/>
        </w:rPr>
        <w:t>We have not included any quantification of benefits from a</w:t>
      </w:r>
      <w:r w:rsidR="00831471">
        <w:rPr>
          <w:rFonts w:ascii="Arial" w:hAnsi="Arial" w:cs="Arial"/>
        </w:rPr>
        <w:t xml:space="preserve"> fairness</w:t>
      </w:r>
      <w:r w:rsidRPr="00BF2ADD">
        <w:rPr>
          <w:rFonts w:ascii="Arial" w:hAnsi="Arial" w:cs="Arial"/>
        </w:rPr>
        <w:t xml:space="preserve"> standpoint in the IA. This is because no evidence is available in order to attach a value for redistributing money from IPs to unsecured creditors. Both parties tend to be companies so it would not be possible to compare the relative prosperity of IPs against unsecured creditors in order to make a distributional adjustment as suggested by the Green Book.</w:t>
      </w:r>
      <w:r w:rsidRPr="00BF2ADD">
        <w:rPr>
          <w:rFonts w:ascii="Arial" w:eastAsia="SimSun" w:hAnsi="Arial" w:cs="Arial"/>
          <w:vertAlign w:val="superscript"/>
        </w:rPr>
        <w:footnoteReference w:id="16"/>
      </w:r>
      <w:r w:rsidRPr="00BF2ADD">
        <w:rPr>
          <w:rFonts w:ascii="Arial" w:hAnsi="Arial" w:cs="Arial"/>
        </w:rPr>
        <w:t xml:space="preserve"> Other factors would need to be taken into account in terms of weighting the relative costs and benefits to each group.  </w:t>
      </w:r>
    </w:p>
    <w:p w:rsidR="00AB65E9" w:rsidRPr="00BF2ADD" w:rsidRDefault="00AB65E9" w:rsidP="004F72C7">
      <w:pPr>
        <w:spacing w:after="0" w:line="240" w:lineRule="auto"/>
        <w:jc w:val="both"/>
        <w:rPr>
          <w:rFonts w:ascii="Arial" w:hAnsi="Arial" w:cs="Arial"/>
        </w:rPr>
      </w:pPr>
    </w:p>
    <w:p w:rsidR="00AB65E9" w:rsidRPr="00BF2ADD" w:rsidRDefault="00AB65E9" w:rsidP="00281AB3">
      <w:pPr>
        <w:spacing w:after="0" w:line="240" w:lineRule="auto"/>
        <w:jc w:val="both"/>
        <w:rPr>
          <w:rFonts w:ascii="Arial" w:hAnsi="Arial" w:cs="Arial"/>
          <w:b/>
        </w:rPr>
      </w:pPr>
      <w:r w:rsidRPr="00BF2ADD">
        <w:rPr>
          <w:rFonts w:ascii="Arial" w:hAnsi="Arial" w:cs="Arial"/>
          <w:b/>
        </w:rPr>
        <w:t>Q: Do you agree or disagree in adding a weight in the relative costs and benefits to IPs and unsecured creditors? If you agree, what would the weight be?</w:t>
      </w:r>
    </w:p>
    <w:p w:rsidR="00AB65E9" w:rsidRPr="00BF2ADD" w:rsidRDefault="00AB65E9" w:rsidP="000C1991">
      <w:pPr>
        <w:spacing w:after="0" w:line="240" w:lineRule="auto"/>
        <w:ind w:left="720"/>
        <w:jc w:val="both"/>
        <w:rPr>
          <w:rFonts w:ascii="Arial" w:hAnsi="Arial" w:cs="Arial"/>
          <w:b/>
        </w:rPr>
      </w:pPr>
    </w:p>
    <w:p w:rsidR="00AB65E9" w:rsidRPr="00BF2ADD" w:rsidRDefault="00AB65E9" w:rsidP="00326425">
      <w:pPr>
        <w:keepNext/>
        <w:spacing w:after="120" w:line="240" w:lineRule="auto"/>
        <w:rPr>
          <w:rFonts w:ascii="Arial" w:hAnsi="Arial" w:cs="Arial"/>
          <w:bCs/>
          <w:i/>
          <w:color w:val="000000"/>
          <w:lang w:eastAsia="en-GB"/>
        </w:rPr>
      </w:pPr>
      <w:r w:rsidRPr="00BF2ADD">
        <w:rPr>
          <w:rFonts w:ascii="Arial" w:hAnsi="Arial" w:cs="Arial"/>
          <w:bCs/>
          <w:i/>
          <w:color w:val="000000"/>
          <w:lang w:eastAsia="en-GB"/>
        </w:rPr>
        <w:t>Market confidence</w:t>
      </w:r>
    </w:p>
    <w:p w:rsidR="00AB65E9" w:rsidRPr="00BF2ADD" w:rsidRDefault="00AB65E9" w:rsidP="00326425">
      <w:pPr>
        <w:spacing w:after="0" w:line="240" w:lineRule="auto"/>
        <w:jc w:val="both"/>
        <w:rPr>
          <w:rFonts w:ascii="Arial" w:hAnsi="Arial" w:cs="Arial"/>
          <w:b/>
        </w:rPr>
      </w:pPr>
    </w:p>
    <w:p w:rsidR="00AB65E9" w:rsidRPr="00BF2ADD" w:rsidRDefault="00AB65E9" w:rsidP="00D3157E">
      <w:pPr>
        <w:numPr>
          <w:ilvl w:val="0"/>
          <w:numId w:val="22"/>
        </w:numPr>
        <w:spacing w:after="0" w:line="240" w:lineRule="auto"/>
        <w:jc w:val="both"/>
        <w:rPr>
          <w:rFonts w:ascii="Arial" w:hAnsi="Arial" w:cs="Arial"/>
        </w:rPr>
      </w:pPr>
      <w:r w:rsidRPr="00BF2ADD">
        <w:rPr>
          <w:rFonts w:ascii="Arial" w:hAnsi="Arial" w:cs="Arial"/>
        </w:rPr>
        <w:t xml:space="preserve"> One of the benefits the OFT anticipated from reforms, is an increased market confidence in IPs, leading to businesses making more use of IPs other services. The OFT expects this to lead to businesses in trouble seeking earlier advice from IPs than they currently do. This is expected to lead to better business outcomes for these businesses, potentially saving a business from an insolvency proceeding and leading to a positive impact on the economy. It would also lead to an increase in demand for IP advisory services increasing their fees. </w:t>
      </w:r>
    </w:p>
    <w:p w:rsidR="00AB65E9" w:rsidRPr="00BF2ADD" w:rsidRDefault="00AB65E9" w:rsidP="00326425">
      <w:pPr>
        <w:spacing w:after="0" w:line="240" w:lineRule="auto"/>
        <w:ind w:left="360"/>
        <w:jc w:val="both"/>
        <w:rPr>
          <w:rFonts w:ascii="Arial" w:hAnsi="Arial" w:cs="Arial"/>
        </w:rPr>
      </w:pPr>
    </w:p>
    <w:p w:rsidR="00AB65E9" w:rsidRPr="00BF2ADD" w:rsidRDefault="00AB65E9" w:rsidP="00326425">
      <w:pPr>
        <w:spacing w:after="0" w:line="240" w:lineRule="auto"/>
        <w:jc w:val="both"/>
        <w:rPr>
          <w:rFonts w:ascii="Arial" w:hAnsi="Arial" w:cs="Arial"/>
        </w:rPr>
      </w:pPr>
      <w:r w:rsidRPr="00BF2ADD">
        <w:rPr>
          <w:rFonts w:ascii="Arial" w:hAnsi="Arial" w:cs="Arial"/>
          <w:b/>
        </w:rPr>
        <w:t xml:space="preserve">Q: Do </w:t>
      </w:r>
      <w:proofErr w:type="spellStart"/>
      <w:r w:rsidRPr="00BF2ADD">
        <w:rPr>
          <w:rFonts w:ascii="Arial" w:hAnsi="Arial" w:cs="Arial"/>
          <w:b/>
        </w:rPr>
        <w:t>consultees</w:t>
      </w:r>
      <w:proofErr w:type="spellEnd"/>
      <w:r w:rsidRPr="00BF2ADD">
        <w:rPr>
          <w:rFonts w:ascii="Arial" w:hAnsi="Arial" w:cs="Arial"/>
          <w:b/>
        </w:rPr>
        <w:t xml:space="preserve"> believe these measures will improve the market confidence?</w:t>
      </w:r>
    </w:p>
    <w:p w:rsidR="00AB65E9" w:rsidRPr="00BF2ADD" w:rsidRDefault="00AB65E9" w:rsidP="00326425">
      <w:pPr>
        <w:keepNext/>
        <w:spacing w:after="120" w:line="240" w:lineRule="auto"/>
        <w:rPr>
          <w:rFonts w:ascii="Arial" w:hAnsi="Arial" w:cs="Arial"/>
          <w:bCs/>
          <w:i/>
          <w:color w:val="000000"/>
          <w:lang w:eastAsia="en-GB"/>
        </w:rPr>
      </w:pPr>
    </w:p>
    <w:p w:rsidR="00AB65E9" w:rsidRPr="00BF2ADD" w:rsidRDefault="00AB65E9" w:rsidP="00326425">
      <w:pPr>
        <w:keepNext/>
        <w:spacing w:after="120" w:line="240" w:lineRule="auto"/>
        <w:rPr>
          <w:rFonts w:ascii="Arial" w:hAnsi="Arial" w:cs="Arial"/>
          <w:bCs/>
          <w:i/>
          <w:color w:val="000000"/>
          <w:lang w:eastAsia="en-GB"/>
        </w:rPr>
      </w:pPr>
      <w:r w:rsidRPr="00BF2ADD">
        <w:rPr>
          <w:rFonts w:ascii="Arial" w:hAnsi="Arial" w:cs="Arial"/>
          <w:bCs/>
          <w:i/>
          <w:color w:val="000000"/>
          <w:lang w:eastAsia="en-GB"/>
        </w:rPr>
        <w:t>Specific benefits of the proposed complaint handling arrangement</w:t>
      </w:r>
    </w:p>
    <w:p w:rsidR="00AB65E9" w:rsidRPr="00BF2ADD" w:rsidRDefault="00AB65E9" w:rsidP="00B26756">
      <w:pPr>
        <w:numPr>
          <w:ilvl w:val="0"/>
          <w:numId w:val="22"/>
        </w:numPr>
        <w:spacing w:after="0" w:line="240" w:lineRule="auto"/>
        <w:jc w:val="both"/>
        <w:rPr>
          <w:rFonts w:ascii="Arial" w:hAnsi="Arial" w:cs="Arial"/>
        </w:rPr>
      </w:pPr>
      <w:r w:rsidRPr="00BF2ADD">
        <w:rPr>
          <w:rFonts w:ascii="Arial" w:hAnsi="Arial" w:cs="Arial"/>
        </w:rPr>
        <w:t>The benefit would be an accessible and free route for creditors to dispute excessive fee charging. Once action is seen to be taken against IPs who have over-charged, the profession as a whole will be encouraged to charge fairly. This will lead to more funds available for distribution to creditors as fees are reduced. This will ultimately lead to an improved reputation of the profession.</w:t>
      </w:r>
    </w:p>
    <w:p w:rsidR="00AB65E9" w:rsidRPr="00BF2ADD" w:rsidRDefault="00AB65E9" w:rsidP="00326425">
      <w:pPr>
        <w:spacing w:after="0" w:line="240" w:lineRule="auto"/>
        <w:ind w:left="360"/>
        <w:jc w:val="both"/>
        <w:rPr>
          <w:rFonts w:ascii="Arial" w:hAnsi="Arial" w:cs="Arial"/>
        </w:rPr>
      </w:pPr>
    </w:p>
    <w:p w:rsidR="00AB65E9" w:rsidRPr="00BF2ADD" w:rsidRDefault="00AB65E9" w:rsidP="00326425">
      <w:pPr>
        <w:spacing w:after="0" w:line="240" w:lineRule="auto"/>
        <w:jc w:val="both"/>
        <w:rPr>
          <w:rFonts w:ascii="Arial" w:hAnsi="Arial" w:cs="Arial"/>
        </w:rPr>
      </w:pPr>
      <w:r w:rsidRPr="00BF2ADD">
        <w:rPr>
          <w:rFonts w:ascii="Arial" w:hAnsi="Arial" w:cs="Arial"/>
          <w:b/>
        </w:rPr>
        <w:t xml:space="preserve">Q: Do </w:t>
      </w:r>
      <w:proofErr w:type="spellStart"/>
      <w:r w:rsidRPr="00BF2ADD">
        <w:rPr>
          <w:rFonts w:ascii="Arial" w:hAnsi="Arial" w:cs="Arial"/>
          <w:b/>
        </w:rPr>
        <w:t>consultees</w:t>
      </w:r>
      <w:proofErr w:type="spellEnd"/>
      <w:r w:rsidRPr="00BF2ADD">
        <w:rPr>
          <w:rFonts w:ascii="Arial" w:hAnsi="Arial" w:cs="Arial"/>
          <w:b/>
        </w:rPr>
        <w:t xml:space="preserve"> believe these measures will improve the reputation of the insolvency profession?</w:t>
      </w:r>
    </w:p>
    <w:p w:rsidR="00AB65E9" w:rsidRPr="00BF2ADD" w:rsidRDefault="00AB65E9" w:rsidP="00F01332">
      <w:pPr>
        <w:keepNext/>
        <w:keepLines/>
        <w:spacing w:after="120" w:line="240" w:lineRule="auto"/>
        <w:rPr>
          <w:rFonts w:ascii="Arial" w:hAnsi="Arial" w:cs="Arial"/>
          <w:b/>
          <w:bCs/>
          <w:color w:val="000000"/>
          <w:lang w:eastAsia="en-GB"/>
        </w:rPr>
      </w:pPr>
    </w:p>
    <w:p w:rsidR="00AB65E9" w:rsidRPr="00BF2ADD" w:rsidRDefault="00AB65E9" w:rsidP="00F01332">
      <w:pPr>
        <w:keepNext/>
        <w:keepLines/>
        <w:spacing w:after="120" w:line="240" w:lineRule="auto"/>
        <w:rPr>
          <w:rFonts w:ascii="Arial" w:hAnsi="Arial" w:cs="Arial"/>
          <w:b/>
          <w:bCs/>
          <w:color w:val="000000"/>
          <w:lang w:eastAsia="en-GB"/>
        </w:rPr>
      </w:pPr>
      <w:r w:rsidRPr="00BF2ADD">
        <w:rPr>
          <w:rFonts w:ascii="Arial" w:hAnsi="Arial" w:cs="Arial"/>
          <w:b/>
          <w:bCs/>
          <w:color w:val="000000"/>
          <w:lang w:eastAsia="en-GB"/>
        </w:rPr>
        <w:t>Risks and Assumptions</w:t>
      </w: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The OFT contend that the 9% higher fees arise as a consequence of the reduced market power unsecured creditors face relative to secured creditors. Whilst these fee and regulatory changes will increase the market power enjoyed by the unsecured creditors, in no way will this replicate the level of market power enjoyed by secured creditors who tend to be repeat customers and have the power </w:t>
      </w:r>
      <w:r w:rsidRPr="00BF2ADD">
        <w:rPr>
          <w:rFonts w:ascii="Arial" w:hAnsi="Arial" w:cs="Arial"/>
        </w:rPr>
        <w:lastRenderedPageBreak/>
        <w:t>to appoint IPs in many cases. It is also very difficult to assess exactly what impact the changes to the fee structure will have on the amount of fees charged by IPs as it is impossible to assess the percentage at which creditors will agree for fees to be taken</w:t>
      </w:r>
      <w:r w:rsidR="008A7536">
        <w:rPr>
          <w:rFonts w:ascii="Arial" w:hAnsi="Arial" w:cs="Arial"/>
        </w:rPr>
        <w:t>, or the amount of the fixed fee</w:t>
      </w:r>
      <w:r w:rsidRPr="00BF2ADD">
        <w:rPr>
          <w:rFonts w:ascii="Arial" w:hAnsi="Arial" w:cs="Arial"/>
        </w:rPr>
        <w:t>. For this reason we can only estimate a likely range of between £1.5m and £15m on which these proposals will impact.</w:t>
      </w:r>
    </w:p>
    <w:p w:rsidR="00AB65E9" w:rsidRPr="00BF2ADD" w:rsidRDefault="00AB65E9" w:rsidP="00E22210">
      <w:pPr>
        <w:spacing w:after="0" w:line="240" w:lineRule="auto"/>
        <w:ind w:left="720"/>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It should however be noted that the £15m is only an estimation of the harm in administration cases so is likely to be much higher when you include CVL and bankruptcy cases, so perhaps it is not so unfair to assume that the full £15m harm will be alleviated.</w:t>
      </w:r>
    </w:p>
    <w:p w:rsidR="00AB65E9" w:rsidRPr="00BF2ADD" w:rsidRDefault="00AB65E9" w:rsidP="00F01332">
      <w:pPr>
        <w:spacing w:after="0" w:line="240" w:lineRule="auto"/>
        <w:ind w:left="360"/>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There is also a risk that if the percentage is set too low, IPs will be unwilling to take on these cases as it would not be financially viable for them to do so. In compulsory winding up and bankruptcy cases these would fall to the Official Receiver to deal with and could result in costs being incurred with no benefit or prospect of repayment (for example where assets are not investigated and do not materialise or where the costs of realising them are more than the value of the asset). In administration and voluntary liquidation this could mean that insolvent companies continue to trade with a detrimental impact on the economy as a whole (‘zombie companies). Creditors will be out of pocket as their debts will be written off with no prospect of a return and more assets will be written off.</w:t>
      </w:r>
      <w:r w:rsidR="006C4805" w:rsidRPr="00BF2ADD">
        <w:rPr>
          <w:rFonts w:ascii="Arial" w:hAnsi="Arial" w:cs="Arial"/>
        </w:rPr>
        <w:t xml:space="preserve"> However, we believe that this risk is overcome by the introduction of IP fees offering value for money in the regulatory objectives as RPBs will</w:t>
      </w:r>
      <w:r w:rsidR="00943F6D" w:rsidRPr="00BF2ADD">
        <w:rPr>
          <w:rFonts w:ascii="Arial" w:hAnsi="Arial" w:cs="Arial"/>
        </w:rPr>
        <w:t>,</w:t>
      </w:r>
      <w:r w:rsidR="006C4805" w:rsidRPr="00BF2ADD">
        <w:rPr>
          <w:rFonts w:ascii="Arial" w:hAnsi="Arial" w:cs="Arial"/>
        </w:rPr>
        <w:t xml:space="preserve"> through their monitoring activity</w:t>
      </w:r>
      <w:r w:rsidR="00943F6D" w:rsidRPr="00BF2ADD">
        <w:rPr>
          <w:rFonts w:ascii="Arial" w:hAnsi="Arial" w:cs="Arial"/>
        </w:rPr>
        <w:t>,</w:t>
      </w:r>
      <w:r w:rsidR="006C4805" w:rsidRPr="00BF2ADD">
        <w:rPr>
          <w:rFonts w:ascii="Arial" w:hAnsi="Arial" w:cs="Arial"/>
        </w:rPr>
        <w:t xml:space="preserve"> be able to monitor what is happening in relation to fees.</w:t>
      </w:r>
    </w:p>
    <w:p w:rsidR="00AB65E9" w:rsidRPr="00BF2ADD" w:rsidRDefault="00AB65E9" w:rsidP="00066281">
      <w:pPr>
        <w:spacing w:after="0" w:line="240" w:lineRule="auto"/>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Some may argue that creditors do not engage currently so again will not engage with the office-holder in setting the percentage on which he can take his remuneration</w:t>
      </w:r>
      <w:r w:rsidR="00066281">
        <w:rPr>
          <w:rFonts w:ascii="Arial" w:hAnsi="Arial" w:cs="Arial"/>
        </w:rPr>
        <w:t>. W</w:t>
      </w:r>
      <w:r w:rsidR="006C4805" w:rsidRPr="00BF2ADD">
        <w:rPr>
          <w:rFonts w:ascii="Arial" w:hAnsi="Arial" w:cs="Arial"/>
        </w:rPr>
        <w:t>e believe that the inclusion of fees offering value for money in the regulatory objectives will counter this risk</w:t>
      </w:r>
      <w:r w:rsidR="00943F6D" w:rsidRPr="00BF2ADD">
        <w:rPr>
          <w:rFonts w:ascii="Arial" w:hAnsi="Arial" w:cs="Arial"/>
        </w:rPr>
        <w:t xml:space="preserve">. </w:t>
      </w:r>
      <w:r w:rsidRPr="00BF2ADD">
        <w:rPr>
          <w:rFonts w:ascii="Arial" w:hAnsi="Arial" w:cs="Arial"/>
        </w:rPr>
        <w:t xml:space="preserve">Taking their remuneration as a percentage of assets ensures </w:t>
      </w:r>
      <w:proofErr w:type="spellStart"/>
      <w:r w:rsidR="00066281">
        <w:rPr>
          <w:rFonts w:ascii="Arial" w:hAnsi="Arial" w:cs="Arial"/>
        </w:rPr>
        <w:t>Ips</w:t>
      </w:r>
      <w:proofErr w:type="spellEnd"/>
      <w:r w:rsidR="00066281">
        <w:rPr>
          <w:rFonts w:ascii="Arial" w:hAnsi="Arial" w:cs="Arial"/>
        </w:rPr>
        <w:t xml:space="preserve"> and creditors interests are aligned in maximising the realisation of assets.</w:t>
      </w:r>
    </w:p>
    <w:p w:rsidR="00AB65E9" w:rsidRPr="00BF2ADD" w:rsidRDefault="00AB65E9" w:rsidP="00F01332">
      <w:pPr>
        <w:spacing w:after="0" w:line="240" w:lineRule="auto"/>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It can be argued that creditors already approve fees during the process of the case so should not have an additional opportunity to question fees at a later date. However statutory powers to agree the basis of remuneration and approve fees are ‘after the event’ powers, with fees being approved after they have already been incurred by the office-holder. </w:t>
      </w:r>
    </w:p>
    <w:p w:rsidR="00AB65E9" w:rsidRPr="00BF2ADD" w:rsidRDefault="00AB65E9" w:rsidP="00F01332">
      <w:pPr>
        <w:spacing w:after="0" w:line="240" w:lineRule="auto"/>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There is a risk that IPs will increase their charge out rates to cover the costs of the system as well as to mitigate any potential loss in claims made against excessive fee charging. However we believe this risk is small.</w:t>
      </w:r>
    </w:p>
    <w:p w:rsidR="00AB65E9" w:rsidRPr="00BF2ADD" w:rsidRDefault="00AB65E9" w:rsidP="00F01332">
      <w:pPr>
        <w:spacing w:after="0" w:line="240" w:lineRule="auto"/>
        <w:ind w:left="720"/>
        <w:rPr>
          <w:rFonts w:ascii="Arial" w:hAnsi="Arial" w:cs="Arial"/>
          <w:b/>
          <w:color w:val="FF0000"/>
        </w:rPr>
      </w:pPr>
    </w:p>
    <w:p w:rsidR="00AB65E9" w:rsidRPr="00BF2ADD" w:rsidRDefault="00AB65E9" w:rsidP="00F01332">
      <w:pPr>
        <w:spacing w:after="0" w:line="240" w:lineRule="auto"/>
        <w:rPr>
          <w:rFonts w:ascii="Arial" w:hAnsi="Arial" w:cs="Arial"/>
          <w:b/>
          <w:color w:val="FF0000"/>
        </w:rPr>
      </w:pPr>
      <w:r w:rsidRPr="00BF2ADD">
        <w:rPr>
          <w:rFonts w:ascii="Arial" w:hAnsi="Arial" w:cs="Arial"/>
          <w:b/>
          <w:color w:val="FF0000"/>
        </w:rPr>
        <w:t>Option 2: Introduce voluntary codes which (1) agree changes to the basis for an IP’s remuneration and (2) ensure that RPBs will look at complaints about their members’ fees where they are deemed to be excessive.</w:t>
      </w:r>
    </w:p>
    <w:p w:rsidR="00AB65E9" w:rsidRPr="00BF2ADD" w:rsidRDefault="00AB65E9" w:rsidP="00F01332">
      <w:pPr>
        <w:spacing w:after="0" w:line="240" w:lineRule="auto"/>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This option would be to reach agreement</w:t>
      </w:r>
      <w:r w:rsidR="00042EFA">
        <w:rPr>
          <w:rFonts w:ascii="Arial" w:hAnsi="Arial" w:cs="Arial"/>
        </w:rPr>
        <w:t xml:space="preserve"> setting out best practice</w:t>
      </w:r>
      <w:r w:rsidRPr="00BF2ADD">
        <w:rPr>
          <w:rFonts w:ascii="Arial" w:hAnsi="Arial" w:cs="Arial"/>
        </w:rPr>
        <w:t xml:space="preserve"> with all IPs about their fee charging structure and with all the RPBs such that they would take complaints about their member IPs that concerned the quantum of fees, rather than using the regulatory route described above.</w:t>
      </w:r>
    </w:p>
    <w:p w:rsidR="00AB65E9" w:rsidRPr="00BF2ADD" w:rsidRDefault="00AB65E9" w:rsidP="00F01332">
      <w:pPr>
        <w:spacing w:after="0" w:line="240" w:lineRule="auto"/>
        <w:ind w:left="720"/>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As noted earlier in this impact assessment there is already an option for IPs to use more than one basis for remuneration. However, Professor </w:t>
      </w:r>
      <w:proofErr w:type="spellStart"/>
      <w:r w:rsidRPr="00BF2ADD">
        <w:rPr>
          <w:rFonts w:ascii="Arial" w:hAnsi="Arial" w:cs="Arial"/>
        </w:rPr>
        <w:t>Kempson</w:t>
      </w:r>
      <w:proofErr w:type="spellEnd"/>
      <w:r w:rsidRPr="00BF2ADD">
        <w:rPr>
          <w:rFonts w:ascii="Arial" w:hAnsi="Arial" w:cs="Arial"/>
        </w:rPr>
        <w:t xml:space="preserve"> found that by far the most common way for IPs to set their remuneration is on a time-cost basis where different hourly rates for different grades of staff are set at the outset and staff subsequently record the time they have taken. Her report goes on to acknowledge that a fixed fee basis for remuneration is found sometimes in corporate insolvency cases. This basis for remuneration was introduced in the Insolvency Rules 2010 at the request of the industry as a way in which work on a members voluntary liquidation could be effectively charged.</w:t>
      </w:r>
    </w:p>
    <w:p w:rsidR="00AB65E9" w:rsidRPr="00BF2ADD" w:rsidRDefault="00AB65E9" w:rsidP="00F01332">
      <w:pPr>
        <w:spacing w:after="0" w:line="240" w:lineRule="auto"/>
        <w:ind w:left="720"/>
        <w:rPr>
          <w:rFonts w:ascii="Arial" w:hAnsi="Arial" w:cs="Arial"/>
        </w:rPr>
      </w:pPr>
    </w:p>
    <w:p w:rsidR="00AB65E9"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Following on-going discussions with the RPBs they say that they already consider complaints of alleged excessive fees where there is a suggestion that this could be due to IP misconduct. An enquiry into possible misconduct might then look at whether the IP was charging levels of fees that were clearly out of proportion to the work done (e.g. excessive hours being falsely charged to the estate), although RPBs were concerned that this would be difficult to evidence in all but the most </w:t>
      </w:r>
      <w:r w:rsidRPr="00BF2ADD">
        <w:rPr>
          <w:rFonts w:ascii="Arial" w:hAnsi="Arial" w:cs="Arial"/>
        </w:rPr>
        <w:lastRenderedPageBreak/>
        <w:t xml:space="preserve">obvious of cases. We have concerns that not all RPBs will look at complaints about fees as being potential misconduct.    </w:t>
      </w:r>
    </w:p>
    <w:p w:rsidR="00627A92" w:rsidRDefault="00627A92" w:rsidP="0055000C">
      <w:pPr>
        <w:pStyle w:val="ListParagraph"/>
        <w:rPr>
          <w:rFonts w:cs="Arial"/>
        </w:rPr>
      </w:pPr>
    </w:p>
    <w:p w:rsidR="00627A92" w:rsidRDefault="00627A92" w:rsidP="00130BEE">
      <w:pPr>
        <w:numPr>
          <w:ilvl w:val="0"/>
          <w:numId w:val="15"/>
        </w:numPr>
        <w:spacing w:after="0" w:line="240" w:lineRule="auto"/>
        <w:jc w:val="both"/>
        <w:rPr>
          <w:rFonts w:ascii="Arial" w:hAnsi="Arial" w:cs="Arial"/>
        </w:rPr>
      </w:pPr>
      <w:r>
        <w:rPr>
          <w:rFonts w:ascii="Arial" w:hAnsi="Arial" w:cs="Arial"/>
        </w:rPr>
        <w:t>We have experienced working with the RPBs to set up voluntary measures. For example, in tandem with setting up the Complaints Gateway (whereby all complaints about IPs come through one portal before being passed over to the relevant RPB) we tried working with the RPBs to set up a list of common sanctions that would be used by RPBs when taking action against IPs following complaints</w:t>
      </w:r>
      <w:r w:rsidR="0006029F">
        <w:rPr>
          <w:rFonts w:ascii="Arial" w:hAnsi="Arial" w:cs="Arial"/>
        </w:rPr>
        <w:t>. However, we have not been able to get agreement from all 7 RPBs and there are differences in the “common” sanctions.</w:t>
      </w:r>
      <w:r>
        <w:rPr>
          <w:rFonts w:ascii="Arial" w:hAnsi="Arial" w:cs="Arial"/>
        </w:rPr>
        <w:t xml:space="preserve"> </w:t>
      </w:r>
    </w:p>
    <w:p w:rsidR="00042EFA" w:rsidRDefault="00042EFA" w:rsidP="0055000C">
      <w:pPr>
        <w:pStyle w:val="ListParagraph"/>
        <w:rPr>
          <w:rFonts w:cs="Arial"/>
        </w:rPr>
      </w:pPr>
    </w:p>
    <w:p w:rsidR="00042EFA" w:rsidRPr="00BF2ADD" w:rsidRDefault="00042EFA" w:rsidP="00130BEE">
      <w:pPr>
        <w:numPr>
          <w:ilvl w:val="0"/>
          <w:numId w:val="15"/>
        </w:numPr>
        <w:spacing w:after="0" w:line="240" w:lineRule="auto"/>
        <w:jc w:val="both"/>
        <w:rPr>
          <w:rFonts w:ascii="Arial" w:hAnsi="Arial" w:cs="Arial"/>
        </w:rPr>
      </w:pPr>
      <w:r>
        <w:rPr>
          <w:rFonts w:ascii="Arial" w:hAnsi="Arial" w:cs="Arial"/>
        </w:rPr>
        <w:t xml:space="preserve">Setting up a code of best practice could not take away any of the current options on which an IP may base his/her remuneration; however, it could provide guidance on when each basis for remuneration might be appropriate, whether that is for certain types of case, or certain aspects of the same case. </w:t>
      </w:r>
    </w:p>
    <w:p w:rsidR="00AB65E9" w:rsidRPr="00BF2ADD" w:rsidRDefault="00AB65E9" w:rsidP="00E22210">
      <w:pPr>
        <w:spacing w:after="0" w:line="240" w:lineRule="auto"/>
        <w:jc w:val="both"/>
        <w:rPr>
          <w:rFonts w:ascii="Arial" w:hAnsi="Arial" w:cs="Arial"/>
        </w:rPr>
      </w:pPr>
    </w:p>
    <w:p w:rsidR="00AB65E9" w:rsidRPr="00BF2ADD" w:rsidRDefault="00AB65E9" w:rsidP="00F01332">
      <w:pPr>
        <w:spacing w:after="0" w:line="240" w:lineRule="auto"/>
        <w:rPr>
          <w:rFonts w:ascii="Arial" w:hAnsi="Arial" w:cs="Arial"/>
          <w:u w:val="single"/>
        </w:rPr>
      </w:pPr>
      <w:r w:rsidRPr="00BF2ADD">
        <w:rPr>
          <w:rFonts w:ascii="Arial" w:hAnsi="Arial" w:cs="Arial"/>
          <w:u w:val="single"/>
        </w:rPr>
        <w:t>Costs of Option 2</w:t>
      </w:r>
    </w:p>
    <w:p w:rsidR="00AB65E9" w:rsidRPr="00BF2ADD" w:rsidRDefault="00AB65E9" w:rsidP="00F367C8">
      <w:pPr>
        <w:spacing w:after="0" w:line="240" w:lineRule="auto"/>
        <w:jc w:val="both"/>
        <w:rPr>
          <w:rFonts w:ascii="Arial" w:hAnsi="Arial" w:cs="Arial"/>
        </w:rPr>
      </w:pPr>
    </w:p>
    <w:p w:rsidR="0006029F" w:rsidRDefault="0006029F" w:rsidP="00130BEE">
      <w:pPr>
        <w:numPr>
          <w:ilvl w:val="0"/>
          <w:numId w:val="15"/>
        </w:numPr>
        <w:spacing w:after="0" w:line="240" w:lineRule="auto"/>
        <w:jc w:val="both"/>
        <w:rPr>
          <w:rFonts w:ascii="Arial" w:hAnsi="Arial" w:cs="Arial"/>
        </w:rPr>
      </w:pPr>
      <w:r>
        <w:rPr>
          <w:rFonts w:ascii="Arial" w:hAnsi="Arial" w:cs="Arial"/>
        </w:rPr>
        <w:t xml:space="preserve">If we were to pursue this option, there would be a need to set up a working group (of, say, 6-8 members from IPs, the RPBs and creditor bodies) to talk devise a code. We would be able to draw on the working group model currently used by the Joint Insolvency Committee when setting Statements of Insolvency Practice. This might entail a series of 6-12 meetings of the working group, with additional work expected outside of the meetings to draw up the code itself. We would then expect consultation with the profession at large, potentially with the need for redrafting. It is difficult to put a cost on such an exercise as the charge out rate for individuals will vary tremendously. </w:t>
      </w:r>
    </w:p>
    <w:p w:rsidR="00E03F7C" w:rsidRDefault="0006029F" w:rsidP="0055000C">
      <w:pPr>
        <w:spacing w:after="0" w:line="240" w:lineRule="auto"/>
        <w:jc w:val="both"/>
        <w:rPr>
          <w:rFonts w:ascii="Arial" w:hAnsi="Arial" w:cs="Arial"/>
        </w:rPr>
      </w:pPr>
      <w:r>
        <w:rPr>
          <w:rFonts w:ascii="Arial" w:hAnsi="Arial" w:cs="Arial"/>
        </w:rPr>
        <w:t xml:space="preserve"> </w:t>
      </w:r>
    </w:p>
    <w:p w:rsidR="00AB65E9"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 There would </w:t>
      </w:r>
      <w:r w:rsidR="0006029F">
        <w:rPr>
          <w:rFonts w:ascii="Arial" w:hAnsi="Arial" w:cs="Arial"/>
        </w:rPr>
        <w:t xml:space="preserve">also </w:t>
      </w:r>
      <w:r w:rsidRPr="00BF2ADD">
        <w:rPr>
          <w:rFonts w:ascii="Arial" w:hAnsi="Arial" w:cs="Arial"/>
        </w:rPr>
        <w:t>be costs to IP</w:t>
      </w:r>
      <w:r w:rsidR="0006029F">
        <w:rPr>
          <w:rFonts w:ascii="Arial" w:hAnsi="Arial" w:cs="Arial"/>
        </w:rPr>
        <w:t>s</w:t>
      </w:r>
      <w:r w:rsidRPr="00BF2ADD">
        <w:rPr>
          <w:rFonts w:ascii="Arial" w:hAnsi="Arial" w:cs="Arial"/>
        </w:rPr>
        <w:t xml:space="preserve"> f</w:t>
      </w:r>
      <w:r w:rsidR="0006029F">
        <w:rPr>
          <w:rFonts w:ascii="Arial" w:hAnsi="Arial" w:cs="Arial"/>
        </w:rPr>
        <w:t>o</w:t>
      </w:r>
      <w:r w:rsidRPr="00BF2ADD">
        <w:rPr>
          <w:rFonts w:ascii="Arial" w:hAnsi="Arial" w:cs="Arial"/>
        </w:rPr>
        <w:t>r familiarising</w:t>
      </w:r>
      <w:r w:rsidR="0006029F">
        <w:rPr>
          <w:rFonts w:ascii="Arial" w:hAnsi="Arial" w:cs="Arial"/>
        </w:rPr>
        <w:t xml:space="preserve"> themselves</w:t>
      </w:r>
      <w:r w:rsidRPr="00BF2ADD">
        <w:rPr>
          <w:rFonts w:ascii="Arial" w:hAnsi="Arial" w:cs="Arial"/>
        </w:rPr>
        <w:t xml:space="preserve"> with the new code of practice around how their fees could be charged. We would estimate that these costs would be in the same region as those for familiarisation with new legislation. That is </w:t>
      </w:r>
      <w:r w:rsidRPr="00BF2ADD">
        <w:rPr>
          <w:rFonts w:ascii="Arial" w:hAnsi="Arial" w:cs="Arial"/>
          <w:b/>
        </w:rPr>
        <w:t xml:space="preserve">costs in the region of £760,000 </w:t>
      </w:r>
      <w:r w:rsidRPr="00BF2ADD">
        <w:rPr>
          <w:rFonts w:ascii="Arial" w:hAnsi="Arial" w:cs="Arial"/>
        </w:rPr>
        <w:t xml:space="preserve">(see paragraph </w:t>
      </w:r>
      <w:r w:rsidR="00743CB1">
        <w:rPr>
          <w:rFonts w:ascii="Arial" w:hAnsi="Arial" w:cs="Arial"/>
        </w:rPr>
        <w:t>3</w:t>
      </w:r>
      <w:r w:rsidR="00A67A1F">
        <w:rPr>
          <w:rFonts w:ascii="Arial" w:hAnsi="Arial" w:cs="Arial"/>
        </w:rPr>
        <w:t>4</w:t>
      </w:r>
      <w:r w:rsidRPr="00BF2ADD">
        <w:rPr>
          <w:rFonts w:ascii="Arial" w:hAnsi="Arial" w:cs="Arial"/>
        </w:rPr>
        <w:t>).</w:t>
      </w:r>
    </w:p>
    <w:p w:rsidR="00345B66" w:rsidRDefault="00345B66" w:rsidP="0055000C">
      <w:pPr>
        <w:pStyle w:val="ListParagraph"/>
        <w:rPr>
          <w:rFonts w:cs="Arial"/>
        </w:rPr>
      </w:pPr>
    </w:p>
    <w:p w:rsidR="00345B66" w:rsidRPr="00BF2ADD" w:rsidRDefault="00345B66" w:rsidP="00130BEE">
      <w:pPr>
        <w:numPr>
          <w:ilvl w:val="0"/>
          <w:numId w:val="15"/>
        </w:numPr>
        <w:spacing w:after="0" w:line="240" w:lineRule="auto"/>
        <w:jc w:val="both"/>
        <w:rPr>
          <w:rFonts w:ascii="Arial" w:hAnsi="Arial" w:cs="Arial"/>
        </w:rPr>
      </w:pPr>
      <w:r>
        <w:rPr>
          <w:rFonts w:ascii="Arial" w:hAnsi="Arial" w:cs="Arial"/>
        </w:rPr>
        <w:t xml:space="preserve">The costs of RPBs dealing with complaints about the quantum of fees would be the same, if RPBs were to agree to look at this area under a voluntary code, as we have estimated under the legislative option – see paragraphs 43 to 47. </w:t>
      </w:r>
    </w:p>
    <w:p w:rsidR="00AB65E9" w:rsidRPr="00BF2ADD" w:rsidRDefault="00AB65E9" w:rsidP="00F01332">
      <w:pPr>
        <w:spacing w:after="0" w:line="240" w:lineRule="auto"/>
        <w:jc w:val="both"/>
        <w:rPr>
          <w:rFonts w:ascii="Arial" w:hAnsi="Arial" w:cs="Arial"/>
        </w:rPr>
      </w:pPr>
    </w:p>
    <w:p w:rsidR="00AB65E9" w:rsidRPr="00BF2ADD" w:rsidRDefault="00AB65E9" w:rsidP="00F01332">
      <w:pPr>
        <w:spacing w:after="0" w:line="240" w:lineRule="auto"/>
        <w:jc w:val="both"/>
        <w:rPr>
          <w:rFonts w:ascii="Arial" w:hAnsi="Arial" w:cs="Arial"/>
          <w:u w:val="single"/>
        </w:rPr>
      </w:pPr>
      <w:r w:rsidRPr="00BF2ADD">
        <w:rPr>
          <w:rFonts w:ascii="Arial" w:hAnsi="Arial" w:cs="Arial"/>
          <w:u w:val="single"/>
        </w:rPr>
        <w:t>Benefits of Option 2</w:t>
      </w:r>
    </w:p>
    <w:p w:rsidR="00AB65E9" w:rsidRPr="00BF2ADD" w:rsidRDefault="00AB65E9" w:rsidP="00F01332">
      <w:pPr>
        <w:spacing w:after="0" w:line="240" w:lineRule="auto"/>
        <w:ind w:left="1080"/>
        <w:jc w:val="both"/>
        <w:rPr>
          <w:rFonts w:ascii="Arial" w:hAnsi="Arial" w:cs="Arial"/>
        </w:rPr>
      </w:pPr>
    </w:p>
    <w:p w:rsidR="00AB65E9" w:rsidRPr="00BF2ADD" w:rsidRDefault="00AB65E9" w:rsidP="00130BEE">
      <w:pPr>
        <w:numPr>
          <w:ilvl w:val="0"/>
          <w:numId w:val="15"/>
        </w:numPr>
        <w:spacing w:after="0" w:line="240" w:lineRule="auto"/>
        <w:jc w:val="both"/>
        <w:rPr>
          <w:rFonts w:ascii="Arial" w:hAnsi="Arial" w:cs="Arial"/>
        </w:rPr>
      </w:pPr>
      <w:r w:rsidRPr="00BF2ADD">
        <w:rPr>
          <w:rFonts w:ascii="Arial" w:hAnsi="Arial" w:cs="Arial"/>
        </w:rPr>
        <w:t xml:space="preserve"> It is expected that this option, if implemented effectively, could have similar type of benefits as option 1. That is efficiency and </w:t>
      </w:r>
      <w:r w:rsidR="00831471">
        <w:rPr>
          <w:rFonts w:ascii="Arial" w:hAnsi="Arial" w:cs="Arial"/>
        </w:rPr>
        <w:t>fairness</w:t>
      </w:r>
      <w:r w:rsidRPr="00BF2ADD">
        <w:rPr>
          <w:rFonts w:ascii="Arial" w:hAnsi="Arial" w:cs="Arial"/>
        </w:rPr>
        <w:t xml:space="preserve"> benefits. However, due to the on-going issues and concerns around IP fees and the fact that there has been opportunity for the profession to take action voluntarily, we do not think that this option would have sufficient impact and therefore the level of efficiency and </w:t>
      </w:r>
      <w:r w:rsidR="00831471">
        <w:rPr>
          <w:rFonts w:ascii="Arial" w:hAnsi="Arial" w:cs="Arial"/>
        </w:rPr>
        <w:t>fairness</w:t>
      </w:r>
      <w:r w:rsidRPr="00BF2ADD">
        <w:rPr>
          <w:rFonts w:ascii="Arial" w:hAnsi="Arial" w:cs="Arial"/>
        </w:rPr>
        <w:t xml:space="preserve"> expected from this proposal is likely to be much lower than in Option 1.  </w:t>
      </w:r>
    </w:p>
    <w:p w:rsidR="00AB65E9" w:rsidRPr="00BF2ADD" w:rsidRDefault="00AB65E9" w:rsidP="00E22210">
      <w:pPr>
        <w:spacing w:after="0" w:line="240" w:lineRule="auto"/>
        <w:ind w:left="720"/>
        <w:jc w:val="both"/>
        <w:rPr>
          <w:rFonts w:ascii="Arial" w:hAnsi="Arial" w:cs="Arial"/>
        </w:rPr>
      </w:pPr>
    </w:p>
    <w:p w:rsidR="00AB65E9" w:rsidRPr="00BF2ADD" w:rsidRDefault="00AB65E9" w:rsidP="00F01332">
      <w:pPr>
        <w:keepNext/>
        <w:spacing w:after="120" w:line="240" w:lineRule="auto"/>
        <w:jc w:val="both"/>
        <w:rPr>
          <w:rFonts w:ascii="Arial" w:hAnsi="Arial" w:cs="Arial"/>
          <w:b/>
          <w:bCs/>
          <w:color w:val="000000"/>
          <w:lang w:eastAsia="en-GB"/>
        </w:rPr>
      </w:pPr>
      <w:r w:rsidRPr="00BF2ADD">
        <w:rPr>
          <w:rFonts w:ascii="Arial" w:hAnsi="Arial" w:cs="Arial"/>
          <w:bCs/>
          <w:color w:val="000000"/>
          <w:lang w:eastAsia="en-GB"/>
        </w:rPr>
        <w:t xml:space="preserve"> </w:t>
      </w:r>
      <w:r w:rsidRPr="00BF2ADD">
        <w:rPr>
          <w:rFonts w:ascii="Arial" w:hAnsi="Arial" w:cs="Arial"/>
          <w:b/>
          <w:bCs/>
          <w:color w:val="000000"/>
          <w:lang w:eastAsia="en-GB"/>
        </w:rPr>
        <w:t>Q Would you agree with this assumption about a non-regulatory approach?</w:t>
      </w:r>
    </w:p>
    <w:p w:rsidR="00AB65E9" w:rsidRPr="00BF2ADD" w:rsidRDefault="00AB65E9" w:rsidP="00F01332">
      <w:pPr>
        <w:keepNext/>
        <w:spacing w:after="120" w:line="240" w:lineRule="auto"/>
        <w:jc w:val="both"/>
        <w:rPr>
          <w:rFonts w:ascii="Arial" w:hAnsi="Arial" w:cs="Arial"/>
          <w:bCs/>
          <w:color w:val="000000"/>
          <w:lang w:eastAsia="en-GB"/>
        </w:rPr>
      </w:pPr>
    </w:p>
    <w:p w:rsidR="00AB65E9" w:rsidRPr="00BF2ADD" w:rsidRDefault="00AB65E9" w:rsidP="00F01332">
      <w:pPr>
        <w:keepNext/>
        <w:tabs>
          <w:tab w:val="num" w:pos="284"/>
        </w:tabs>
        <w:spacing w:after="120" w:line="240" w:lineRule="auto"/>
        <w:ind w:left="284" w:hanging="284"/>
        <w:rPr>
          <w:rFonts w:ascii="Arial" w:hAnsi="Arial" w:cs="Arial"/>
          <w:b/>
          <w:bCs/>
        </w:rPr>
      </w:pPr>
      <w:r w:rsidRPr="00BF2ADD">
        <w:rPr>
          <w:rFonts w:ascii="Arial" w:hAnsi="Arial" w:cs="Arial"/>
          <w:b/>
          <w:bCs/>
        </w:rPr>
        <w:t>Rationale and evidence that justify the level of analysis used in the IA (proportionality approach);</w:t>
      </w:r>
    </w:p>
    <w:p w:rsidR="00AB65E9" w:rsidRPr="00BF2ADD" w:rsidRDefault="00AB65E9" w:rsidP="00130BEE">
      <w:pPr>
        <w:numPr>
          <w:ilvl w:val="0"/>
          <w:numId w:val="15"/>
        </w:numPr>
        <w:spacing w:after="0" w:line="240" w:lineRule="auto"/>
        <w:jc w:val="both"/>
        <w:rPr>
          <w:rFonts w:ascii="Arial" w:hAnsi="Arial" w:cs="Arial"/>
          <w:b/>
          <w:bCs/>
        </w:rPr>
      </w:pPr>
      <w:r w:rsidRPr="00BF2ADD">
        <w:rPr>
          <w:rFonts w:ascii="Arial" w:hAnsi="Arial" w:cs="Arial"/>
          <w:bCs/>
        </w:rPr>
        <w:t xml:space="preserve">We believe the level of evidence provided in this Impact Assessment is proportional for the following reasons: </w:t>
      </w:r>
    </w:p>
    <w:p w:rsidR="00AB65E9" w:rsidRPr="00BF2ADD" w:rsidRDefault="00AB65E9" w:rsidP="00DD341A">
      <w:pPr>
        <w:numPr>
          <w:ilvl w:val="0"/>
          <w:numId w:val="23"/>
        </w:numPr>
        <w:spacing w:after="0" w:line="240" w:lineRule="auto"/>
        <w:jc w:val="both"/>
        <w:rPr>
          <w:rFonts w:ascii="Arial" w:hAnsi="Arial" w:cs="Arial"/>
          <w:b/>
          <w:bCs/>
        </w:rPr>
      </w:pPr>
      <w:r w:rsidRPr="00BF2ADD">
        <w:rPr>
          <w:rFonts w:ascii="Arial" w:hAnsi="Arial" w:cs="Arial"/>
          <w:bCs/>
        </w:rPr>
        <w:t xml:space="preserve">Policy development stage: </w:t>
      </w:r>
      <w:r w:rsidRPr="00BF2ADD">
        <w:rPr>
          <w:rFonts w:ascii="Arial" w:hAnsi="Arial" w:cs="Arial"/>
          <w:bCs/>
          <w:color w:val="000000"/>
          <w:lang w:eastAsia="en-GB"/>
        </w:rPr>
        <w:t>As far as possible this impact assessment has quantified (but not monetised in some instances) the costs and benefits of each proposal. We believe this is adequate at consultation stage.</w:t>
      </w:r>
      <w:r w:rsidRPr="00BF2ADD">
        <w:rPr>
          <w:rFonts w:ascii="Arial" w:hAnsi="Arial" w:cs="Arial"/>
          <w:bCs/>
        </w:rPr>
        <w:t xml:space="preserve"> As we progress through the policy developments we expect to close the evidence gaps highlighted in this IA and in particular use the consultation stage to gather evidence from the relevant stakeholders. </w:t>
      </w:r>
    </w:p>
    <w:p w:rsidR="00AB65E9" w:rsidRPr="00BF2ADD" w:rsidRDefault="00AB65E9" w:rsidP="0040034A">
      <w:pPr>
        <w:numPr>
          <w:ilvl w:val="1"/>
          <w:numId w:val="31"/>
        </w:numPr>
        <w:spacing w:after="0" w:line="240" w:lineRule="auto"/>
        <w:jc w:val="both"/>
        <w:rPr>
          <w:rFonts w:ascii="Arial" w:hAnsi="Arial" w:cs="Arial"/>
          <w:bCs/>
        </w:rPr>
      </w:pPr>
      <w:r w:rsidRPr="00BF2ADD">
        <w:rPr>
          <w:rFonts w:ascii="Arial" w:hAnsi="Arial" w:cs="Arial"/>
          <w:bCs/>
        </w:rPr>
        <w:t xml:space="preserve">Data availability (costs): </w:t>
      </w:r>
      <w:r w:rsidR="00943F6D" w:rsidRPr="00BF2ADD">
        <w:rPr>
          <w:rFonts w:ascii="Arial" w:hAnsi="Arial" w:cs="Arial"/>
          <w:bCs/>
        </w:rPr>
        <w:t>IP</w:t>
      </w:r>
      <w:r w:rsidRPr="00BF2ADD">
        <w:rPr>
          <w:rFonts w:ascii="Arial" w:hAnsi="Arial" w:cs="Arial"/>
          <w:bCs/>
        </w:rPr>
        <w:t xml:space="preserve">s are required to report to creditors annually (or 6 monthly in the case of administrations) with their hourly rates (if they take their remuneration on the basis of time and rate), setting out the fees and costs they have incurred during that period. These reports also contain general categories to which fees relate, for example asset realisations, investigations etc. This requirement is set out in Statement of </w:t>
      </w:r>
      <w:r w:rsidRPr="00BF2ADD">
        <w:rPr>
          <w:rFonts w:ascii="Arial" w:hAnsi="Arial" w:cs="Arial"/>
          <w:bCs/>
        </w:rPr>
        <w:lastRenderedPageBreak/>
        <w:t>Insolvency Practice 9 (SIP9)</w:t>
      </w:r>
      <w:r w:rsidRPr="00BF2ADD">
        <w:rPr>
          <w:rStyle w:val="FootnoteReference"/>
          <w:rFonts w:ascii="Arial" w:hAnsi="Arial" w:cs="Arial"/>
          <w:bCs/>
        </w:rPr>
        <w:footnoteReference w:id="17"/>
      </w:r>
      <w:r w:rsidRPr="00BF2ADD">
        <w:rPr>
          <w:rFonts w:ascii="Arial" w:hAnsi="Arial" w:cs="Arial"/>
          <w:bCs/>
        </w:rPr>
        <w:t>. For corporate insolvencies, these reports are filed at Companies House and can be obtained for a fee. However given the length of the reports and the variable level of detail provided in them, we have only been able to review a very small number and therefore unable to obtain any meaningful conclusions. From the cases we have looked at, it is apparent that the amount of fees taken in a case, varies enormously and as a percentage of assets can range from 5% to 90%.   Data is available for the 500 administration cases considered by the OFT study</w:t>
      </w:r>
      <w:r w:rsidR="00943F6D" w:rsidRPr="00BF2ADD">
        <w:rPr>
          <w:rFonts w:ascii="Arial" w:hAnsi="Arial" w:cs="Arial"/>
          <w:bCs/>
        </w:rPr>
        <w:t xml:space="preserve">. </w:t>
      </w:r>
      <w:r w:rsidRPr="00BF2ADD">
        <w:rPr>
          <w:rFonts w:ascii="Arial" w:hAnsi="Arial" w:cs="Arial"/>
          <w:bCs/>
        </w:rPr>
        <w:t xml:space="preserve"> This however still does not breakdown the fees into categories of work undertaken. This means that the distribution under the Do Nothing option and the additional changes from the policy options can not be determined. This is unlikely to be resolved at the final impact assessment stage, but we are aiming to obtain a view from stakeholders on the direction of change. </w:t>
      </w:r>
    </w:p>
    <w:p w:rsidR="00AB65E9" w:rsidRPr="00F367C8" w:rsidRDefault="00AB65E9" w:rsidP="00F367C8">
      <w:pPr>
        <w:numPr>
          <w:ilvl w:val="1"/>
          <w:numId w:val="31"/>
        </w:numPr>
        <w:spacing w:after="0" w:line="240" w:lineRule="auto"/>
        <w:jc w:val="both"/>
        <w:rPr>
          <w:rFonts w:ascii="Arial" w:hAnsi="Arial" w:cs="Arial"/>
          <w:bCs/>
        </w:rPr>
      </w:pPr>
      <w:r w:rsidRPr="00BF2ADD">
        <w:rPr>
          <w:rFonts w:ascii="Arial" w:hAnsi="Arial" w:cs="Arial"/>
          <w:bCs/>
        </w:rPr>
        <w:t>Data availability (benefits): data on the benefits associated with the policy options in this impact assessment is also limited and is mainly based on the results of the study by</w:t>
      </w:r>
      <w:r w:rsidR="00943F6D" w:rsidRPr="00BF2ADD">
        <w:rPr>
          <w:rFonts w:ascii="Arial" w:hAnsi="Arial" w:cs="Arial"/>
          <w:bCs/>
        </w:rPr>
        <w:t xml:space="preserve"> </w:t>
      </w:r>
      <w:r w:rsidRPr="00BF2ADD">
        <w:rPr>
          <w:rFonts w:ascii="Arial" w:hAnsi="Arial" w:cs="Arial"/>
          <w:bCs/>
        </w:rPr>
        <w:t xml:space="preserve">Professors </w:t>
      </w:r>
      <w:proofErr w:type="spellStart"/>
      <w:r w:rsidRPr="00BF2ADD">
        <w:rPr>
          <w:rFonts w:ascii="Arial" w:hAnsi="Arial" w:cs="Arial"/>
          <w:bCs/>
        </w:rPr>
        <w:t>Kempson</w:t>
      </w:r>
      <w:proofErr w:type="spellEnd"/>
      <w:r w:rsidRPr="00BF2ADD">
        <w:rPr>
          <w:rFonts w:ascii="Arial" w:hAnsi="Arial" w:cs="Arial"/>
          <w:bCs/>
        </w:rPr>
        <w:t xml:space="preserve"> and the OFT. We will use the consultation stage to gather </w:t>
      </w:r>
      <w:r w:rsidR="00943F6D" w:rsidRPr="00BF2ADD">
        <w:rPr>
          <w:rFonts w:ascii="Arial" w:hAnsi="Arial" w:cs="Arial"/>
          <w:bCs/>
        </w:rPr>
        <w:t>further</w:t>
      </w:r>
      <w:r w:rsidRPr="00BF2ADD">
        <w:rPr>
          <w:rFonts w:ascii="Arial" w:hAnsi="Arial" w:cs="Arial"/>
          <w:bCs/>
        </w:rPr>
        <w:t xml:space="preserve"> information, from amongst other sources, the profession itself, which we will quote in the final stage Impact Assessment. </w:t>
      </w:r>
    </w:p>
    <w:bookmarkEnd w:id="25"/>
    <w:p w:rsidR="00AB65E9" w:rsidRPr="00BF2ADD" w:rsidRDefault="00AB65E9" w:rsidP="00DD341A">
      <w:pPr>
        <w:spacing w:after="0" w:line="240" w:lineRule="auto"/>
        <w:ind w:left="360"/>
        <w:jc w:val="both"/>
        <w:rPr>
          <w:rFonts w:ascii="Arial" w:hAnsi="Arial" w:cs="Arial"/>
          <w:bCs/>
          <w:color w:val="000000"/>
          <w:lang w:eastAsia="en-GB"/>
        </w:rPr>
      </w:pPr>
    </w:p>
    <w:p w:rsidR="00AB65E9" w:rsidRPr="00BF2ADD" w:rsidRDefault="00AB65E9" w:rsidP="00F01332">
      <w:pPr>
        <w:spacing w:after="0" w:line="240" w:lineRule="auto"/>
        <w:rPr>
          <w:rFonts w:ascii="Arial" w:hAnsi="Arial" w:cs="Arial"/>
          <w:b/>
        </w:rPr>
      </w:pPr>
      <w:r w:rsidRPr="00BF2ADD">
        <w:rPr>
          <w:rFonts w:ascii="Arial" w:hAnsi="Arial" w:cs="Arial"/>
          <w:b/>
          <w:bCs/>
        </w:rPr>
        <w:t>Direct costs and benefits to business calculations (following OITO methodology);</w:t>
      </w:r>
    </w:p>
    <w:p w:rsidR="00BA1A4E" w:rsidRDefault="00BA1A4E" w:rsidP="00BA1A4E">
      <w:pPr>
        <w:spacing w:after="0" w:line="240" w:lineRule="auto"/>
        <w:rPr>
          <w:rFonts w:ascii="Arial" w:hAnsi="Arial" w:cs="Arial"/>
        </w:rPr>
      </w:pPr>
    </w:p>
    <w:p w:rsidR="00BA1A4E" w:rsidRDefault="00BA1A4E" w:rsidP="00BA1A4E">
      <w:pPr>
        <w:spacing w:after="0" w:line="240" w:lineRule="auto"/>
        <w:rPr>
          <w:rFonts w:ascii="Arial" w:hAnsi="Arial" w:cs="Arial"/>
        </w:rPr>
      </w:pPr>
      <w:r>
        <w:rPr>
          <w:rFonts w:ascii="Arial" w:hAnsi="Arial" w:cs="Arial"/>
        </w:rPr>
        <w:t xml:space="preserve">The preferred option is likely to impose costs and benefits to businesses. These are the following: </w:t>
      </w:r>
    </w:p>
    <w:p w:rsidR="00BA1A4E" w:rsidRDefault="00BA1A4E" w:rsidP="00BA1A4E">
      <w:pPr>
        <w:spacing w:after="0" w:line="240" w:lineRule="auto"/>
        <w:rPr>
          <w:rFonts w:ascii="Arial" w:hAnsi="Arial" w:cs="Arial"/>
        </w:rPr>
      </w:pPr>
    </w:p>
    <w:p w:rsidR="00BA1A4E" w:rsidRDefault="00BA1A4E" w:rsidP="00BA1A4E">
      <w:pPr>
        <w:spacing w:after="0" w:line="240" w:lineRule="auto"/>
        <w:ind w:left="360"/>
        <w:rPr>
          <w:rFonts w:ascii="Arial" w:hAnsi="Arial" w:cs="Arial"/>
        </w:rPr>
      </w:pPr>
    </w:p>
    <w:p w:rsidR="00BA1A4E" w:rsidRDefault="004F2AFA" w:rsidP="00BA1A4E">
      <w:pPr>
        <w:numPr>
          <w:ilvl w:val="0"/>
          <w:numId w:val="24"/>
        </w:numPr>
        <w:spacing w:after="0" w:line="240" w:lineRule="auto"/>
        <w:rPr>
          <w:rFonts w:ascii="Arial" w:hAnsi="Arial" w:cs="Arial"/>
        </w:rPr>
      </w:pPr>
      <w:r>
        <w:rPr>
          <w:rFonts w:ascii="Arial" w:hAnsi="Arial" w:cs="Arial"/>
        </w:rPr>
        <w:t>T</w:t>
      </w:r>
      <w:r w:rsidR="00BA1A4E">
        <w:rPr>
          <w:rFonts w:ascii="Arial" w:hAnsi="Arial" w:cs="Arial"/>
        </w:rPr>
        <w:t>here will be direct one-off costs to IPs from familiarising with the new regulatory requirement</w:t>
      </w:r>
      <w:r w:rsidR="00C56865">
        <w:rPr>
          <w:rFonts w:ascii="Arial" w:hAnsi="Arial" w:cs="Arial"/>
        </w:rPr>
        <w:t>, estimated at £0.76m.</w:t>
      </w:r>
    </w:p>
    <w:p w:rsidR="00BA1A4E" w:rsidRDefault="00BA1A4E" w:rsidP="00BA1A4E">
      <w:pPr>
        <w:spacing w:after="0" w:line="240" w:lineRule="auto"/>
        <w:rPr>
          <w:rFonts w:ascii="Arial" w:hAnsi="Arial" w:cs="Arial"/>
        </w:rPr>
      </w:pPr>
    </w:p>
    <w:p w:rsidR="00BA1A4E" w:rsidRDefault="00BA1A4E" w:rsidP="00BA1A4E">
      <w:pPr>
        <w:numPr>
          <w:ilvl w:val="0"/>
          <w:numId w:val="24"/>
        </w:numPr>
        <w:spacing w:after="0" w:line="240" w:lineRule="auto"/>
        <w:rPr>
          <w:rFonts w:ascii="Arial" w:hAnsi="Arial" w:cs="Arial"/>
        </w:rPr>
      </w:pPr>
      <w:r>
        <w:rPr>
          <w:rFonts w:ascii="Arial" w:hAnsi="Arial" w:cs="Arial"/>
        </w:rPr>
        <w:t xml:space="preserve"> </w:t>
      </w:r>
      <w:r w:rsidR="00C56865">
        <w:rPr>
          <w:rFonts w:ascii="Arial" w:hAnsi="Arial" w:cs="Arial"/>
        </w:rPr>
        <w:t>A</w:t>
      </w:r>
      <w:r>
        <w:rPr>
          <w:rFonts w:ascii="Arial" w:hAnsi="Arial" w:cs="Arial"/>
        </w:rPr>
        <w:t xml:space="preserve">n </w:t>
      </w:r>
      <w:r w:rsidRPr="00D3157E">
        <w:rPr>
          <w:rFonts w:ascii="Arial" w:hAnsi="Arial" w:cs="Arial"/>
        </w:rPr>
        <w:t xml:space="preserve">annual net cost of including fee related complaints within the current </w:t>
      </w:r>
      <w:r>
        <w:rPr>
          <w:rFonts w:ascii="Arial" w:hAnsi="Arial" w:cs="Arial"/>
        </w:rPr>
        <w:t xml:space="preserve">complaints </w:t>
      </w:r>
      <w:r w:rsidRPr="00D3157E">
        <w:rPr>
          <w:rFonts w:ascii="Arial" w:hAnsi="Arial" w:cs="Arial"/>
        </w:rPr>
        <w:t>system</w:t>
      </w:r>
      <w:r>
        <w:rPr>
          <w:rFonts w:ascii="Arial" w:hAnsi="Arial" w:cs="Arial"/>
        </w:rPr>
        <w:t>, which</w:t>
      </w:r>
      <w:r w:rsidRPr="00D3157E">
        <w:rPr>
          <w:rFonts w:ascii="Arial" w:hAnsi="Arial" w:cs="Arial"/>
        </w:rPr>
        <w:t xml:space="preserve"> is estimated at </w:t>
      </w:r>
      <w:r>
        <w:rPr>
          <w:rFonts w:ascii="Arial" w:hAnsi="Arial" w:cs="Arial"/>
        </w:rPr>
        <w:t>£1.6m across all RPBs</w:t>
      </w:r>
      <w:r w:rsidRPr="00D3157E">
        <w:rPr>
          <w:rFonts w:ascii="Arial" w:hAnsi="Arial" w:cs="Arial"/>
        </w:rPr>
        <w:t>. This is largely attributable to increased staff and panel costs for the RPBs to investigate complaints about fees. This cost will be wholly borne by the 7 regulatory bodies</w:t>
      </w:r>
      <w:r w:rsidR="00C56865">
        <w:rPr>
          <w:rFonts w:ascii="Arial" w:hAnsi="Arial" w:cs="Arial"/>
        </w:rPr>
        <w:t>.</w:t>
      </w:r>
      <w:r>
        <w:rPr>
          <w:rFonts w:ascii="Arial" w:hAnsi="Arial" w:cs="Arial"/>
        </w:rPr>
        <w:t xml:space="preserve"> </w:t>
      </w:r>
    </w:p>
    <w:p w:rsidR="00BA1A4E" w:rsidRDefault="00BA1A4E" w:rsidP="00BA1A4E">
      <w:pPr>
        <w:spacing w:after="0" w:line="240" w:lineRule="auto"/>
        <w:rPr>
          <w:rFonts w:ascii="Arial" w:hAnsi="Arial" w:cs="Arial"/>
        </w:rPr>
      </w:pPr>
    </w:p>
    <w:p w:rsidR="00BA1A4E" w:rsidRDefault="00BA1A4E" w:rsidP="00BA1A4E">
      <w:pPr>
        <w:spacing w:after="0" w:line="240" w:lineRule="auto"/>
        <w:rPr>
          <w:rFonts w:ascii="Arial" w:hAnsi="Arial" w:cs="Arial"/>
        </w:rPr>
      </w:pPr>
      <w:r>
        <w:rPr>
          <w:rFonts w:ascii="Arial" w:hAnsi="Arial" w:cs="Arial"/>
        </w:rPr>
        <w:t xml:space="preserve">The benefits stated in this impact assessment are wider benefits to the overall economy, society and the overall functioning of the market and therefore are not considered to be direct to businesses (although they will have an impact on businesses). </w:t>
      </w:r>
    </w:p>
    <w:p w:rsidR="00BA1A4E" w:rsidRDefault="00BA1A4E" w:rsidP="00BA1A4E">
      <w:pPr>
        <w:spacing w:after="0" w:line="240" w:lineRule="auto"/>
        <w:rPr>
          <w:rFonts w:ascii="Arial" w:hAnsi="Arial" w:cs="Arial"/>
        </w:rPr>
      </w:pPr>
    </w:p>
    <w:p w:rsidR="00BA1A4E" w:rsidRDefault="00BA1A4E" w:rsidP="00BA1A4E">
      <w:pPr>
        <w:spacing w:after="0" w:line="240" w:lineRule="auto"/>
        <w:rPr>
          <w:rFonts w:ascii="Arial" w:hAnsi="Arial" w:cs="Arial"/>
        </w:rPr>
      </w:pPr>
      <w:r>
        <w:rPr>
          <w:rFonts w:ascii="Arial" w:hAnsi="Arial" w:cs="Arial"/>
        </w:rPr>
        <w:t xml:space="preserve">Hence, based on the analysis stated above, this proposal constitutes an </w:t>
      </w:r>
      <w:r w:rsidRPr="003F134B">
        <w:rPr>
          <w:rFonts w:ascii="Arial" w:hAnsi="Arial" w:cs="Arial"/>
          <w:b/>
        </w:rPr>
        <w:t>In</w:t>
      </w:r>
      <w:r>
        <w:rPr>
          <w:rFonts w:ascii="Arial" w:hAnsi="Arial" w:cs="Arial"/>
        </w:rPr>
        <w:t xml:space="preserve"> of £1.47m under the OITO methodology. </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b/>
        </w:rPr>
      </w:pPr>
      <w:r w:rsidRPr="00BF2ADD">
        <w:rPr>
          <w:rFonts w:ascii="Arial" w:hAnsi="Arial" w:cs="Arial"/>
          <w:b/>
        </w:rPr>
        <w:t>Small and micro business assessment;</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r w:rsidRPr="00BF2ADD">
        <w:rPr>
          <w:rFonts w:ascii="Arial" w:hAnsi="Arial" w:cs="Arial"/>
        </w:rPr>
        <w:t>The proposed changes to the fee structure and the regulatory regime will require amendment to secondary legislation and are part of a wider package of reforms around insolvency regulation, such as the introduction of regulatory objective and increased powers of oversight (some of which require primary legislation). None of the measures will come into force until after 31 March 2014. It is anticipated that the secondary Rule changes will be incorporated within the new Insolvency Rules project, which we anticipate coming into force in 2015.</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u w:val="single"/>
        </w:rPr>
      </w:pPr>
      <w:r w:rsidRPr="00BF2ADD">
        <w:rPr>
          <w:rFonts w:ascii="Arial" w:hAnsi="Arial" w:cs="Arial"/>
          <w:u w:val="single"/>
        </w:rPr>
        <w:t>Changes to regulatory regime</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r w:rsidRPr="00BF2ADD">
        <w:rPr>
          <w:rFonts w:ascii="Arial" w:hAnsi="Arial" w:cs="Arial"/>
        </w:rPr>
        <w:t>The changes to the regulatory regime to ensure the RPBs consider fee related complaints are not targeted directly at IPs, instead the requirement and cost would be binding on the 7 independent RPBs. However we do recognise there is an onward impact on IPs in terms of tighter regulation over what they charge and possibly transfer of the cost of the system.</w:t>
      </w:r>
    </w:p>
    <w:p w:rsidR="00AB65E9" w:rsidRPr="00BF2ADD" w:rsidRDefault="00AB65E9" w:rsidP="00F01332">
      <w:pPr>
        <w:widowControl w:val="0"/>
        <w:spacing w:after="120" w:line="240" w:lineRule="auto"/>
        <w:rPr>
          <w:rFonts w:ascii="Arial" w:hAnsi="Arial" w:cs="Arial"/>
        </w:rPr>
      </w:pPr>
    </w:p>
    <w:p w:rsidR="00AB65E9" w:rsidRPr="00BF2ADD" w:rsidRDefault="00AB65E9" w:rsidP="00F01332">
      <w:pPr>
        <w:widowControl w:val="0"/>
        <w:spacing w:after="120" w:line="240" w:lineRule="auto"/>
        <w:rPr>
          <w:rFonts w:ascii="Arial" w:hAnsi="Arial" w:cs="Arial"/>
          <w:bCs/>
          <w:color w:val="000000"/>
          <w:lang w:eastAsia="en-GB"/>
        </w:rPr>
      </w:pPr>
      <w:r w:rsidRPr="00BF2ADD">
        <w:rPr>
          <w:rFonts w:ascii="Arial" w:hAnsi="Arial" w:cs="Arial"/>
          <w:bCs/>
          <w:color w:val="000000"/>
          <w:lang w:eastAsia="en-GB"/>
        </w:rPr>
        <w:lastRenderedPageBreak/>
        <w:t xml:space="preserve">To assess whether any of the RPBs fall in to the definition of a micro or small business we have considered information published by the RPBs (e.g. annual reviews) and contacted them directly for confirmation of staff numbers.  </w:t>
      </w:r>
    </w:p>
    <w:p w:rsidR="00AB65E9" w:rsidRPr="00BF2ADD" w:rsidRDefault="00AB65E9" w:rsidP="00F01332">
      <w:pPr>
        <w:spacing w:after="0" w:line="240" w:lineRule="auto"/>
        <w:rPr>
          <w:rFonts w:ascii="Arial" w:hAnsi="Arial" w:cs="Arial"/>
        </w:rPr>
      </w:pPr>
    </w:p>
    <w:p w:rsidR="00AB65E9" w:rsidRPr="00BF2ADD" w:rsidRDefault="00AB65E9" w:rsidP="00F01332">
      <w:pPr>
        <w:widowControl w:val="0"/>
        <w:spacing w:after="120" w:line="240" w:lineRule="auto"/>
        <w:rPr>
          <w:rFonts w:ascii="Arial" w:hAnsi="Arial" w:cs="Arial"/>
          <w:bCs/>
          <w:color w:val="000000"/>
          <w:lang w:eastAsia="en-GB"/>
        </w:rPr>
      </w:pPr>
      <w:r w:rsidRPr="00BF2ADD">
        <w:rPr>
          <w:rFonts w:ascii="Arial" w:hAnsi="Arial" w:cs="Arial"/>
          <w:bCs/>
          <w:color w:val="000000"/>
          <w:lang w:eastAsia="en-GB"/>
        </w:rPr>
        <w:t xml:space="preserve">None of the RPBs are micro-businesses (fewer than 10 employees) and one falls into the definition of a small business (fewer than 50 employees). Three of the RPBs have between 100 and 150 staff and three have in excess of 500 staff. We propose that the same requirement to consider complaints in relation to excessive fee charging is applied to all the RPBs regardless of size. It would be inappropriate and unworkable to distinguish between the RPBs on the basis of scale as different complaints systems would then apply to different IPs depending on the status of their licensing body. This would create confusion and uncertainty for debtors, creditors and other stakeholders in insolvency cases. In addition, it is likely that at least some IPs would switch to an institution outside the scope of considering complaints (potentially resulting in a merry-go-round of IPs between the RPBs) which would be to the further detriment of perceptions around the insolvency profession generally. </w:t>
      </w:r>
    </w:p>
    <w:p w:rsidR="00AB65E9" w:rsidRPr="00BF2ADD" w:rsidRDefault="00AB65E9" w:rsidP="00F01332">
      <w:pPr>
        <w:widowControl w:val="0"/>
        <w:spacing w:after="120" w:line="240" w:lineRule="auto"/>
        <w:rPr>
          <w:rFonts w:ascii="Arial" w:hAnsi="Arial" w:cs="Arial"/>
          <w:bCs/>
          <w:color w:val="000000"/>
          <w:lang w:eastAsia="en-GB"/>
        </w:rPr>
      </w:pPr>
    </w:p>
    <w:p w:rsidR="00AB65E9" w:rsidRPr="00BF2ADD" w:rsidRDefault="00AB65E9" w:rsidP="00C3484F">
      <w:pPr>
        <w:widowControl w:val="0"/>
        <w:spacing w:after="120" w:line="240" w:lineRule="auto"/>
        <w:rPr>
          <w:rFonts w:ascii="Arial" w:hAnsi="Arial" w:cs="Arial"/>
          <w:bCs/>
          <w:color w:val="000000"/>
          <w:lang w:eastAsia="en-GB"/>
        </w:rPr>
      </w:pPr>
      <w:r w:rsidRPr="00BF2ADD">
        <w:rPr>
          <w:rFonts w:ascii="Arial" w:hAnsi="Arial" w:cs="Arial"/>
          <w:bCs/>
          <w:color w:val="000000"/>
          <w:lang w:eastAsia="en-GB"/>
        </w:rPr>
        <w:t>R3, The Association of Business Recovery Professionals which represents 97% of the IP profession, estimate that a significant proportion of its IP members can be classified as micro and small businesses. Figures provided by R3 in response to consultation show that there are 366 small firms (based on a firm having five or fewer insolvency appointment takers) of which 135 (37%) are micro-businesses (fewer than 10 employees). In practice, the changes to the regulatory regime to allow complaints about fees, should have minimal impact for individual IPs, particularly for those who already act in compliance with the existing legal and regulatory framework.  If the costs of doing this are passed on to IPs it is highly likely they will pass these costs onto creditors in increased fees.</w:t>
      </w:r>
    </w:p>
    <w:p w:rsidR="00AB65E9" w:rsidRPr="00BF2ADD" w:rsidRDefault="00AB65E9" w:rsidP="00C3484F">
      <w:pPr>
        <w:widowControl w:val="0"/>
        <w:spacing w:after="120" w:line="240" w:lineRule="auto"/>
        <w:rPr>
          <w:rFonts w:ascii="Arial" w:hAnsi="Arial" w:cs="Arial"/>
          <w:bCs/>
          <w:color w:val="000000"/>
          <w:lang w:eastAsia="en-GB"/>
        </w:rPr>
      </w:pPr>
    </w:p>
    <w:p w:rsidR="00AB65E9" w:rsidRPr="00BF2ADD" w:rsidRDefault="00AB65E9" w:rsidP="00F01332">
      <w:pPr>
        <w:widowControl w:val="0"/>
        <w:tabs>
          <w:tab w:val="num" w:pos="540"/>
        </w:tabs>
        <w:spacing w:after="120" w:line="240" w:lineRule="auto"/>
        <w:rPr>
          <w:rFonts w:ascii="Arial" w:hAnsi="Arial" w:cs="Arial"/>
          <w:bCs/>
          <w:color w:val="000000"/>
          <w:u w:val="single"/>
          <w:lang w:eastAsia="en-GB"/>
        </w:rPr>
      </w:pPr>
      <w:r w:rsidRPr="00BF2ADD">
        <w:rPr>
          <w:rFonts w:ascii="Arial" w:hAnsi="Arial" w:cs="Arial"/>
          <w:bCs/>
          <w:color w:val="000000"/>
          <w:u w:val="single"/>
          <w:lang w:eastAsia="en-GB"/>
        </w:rPr>
        <w:t>Changes to the fee structure</w:t>
      </w:r>
    </w:p>
    <w:p w:rsidR="00AB65E9" w:rsidRPr="00BF2ADD" w:rsidRDefault="00AB65E9" w:rsidP="00F01332">
      <w:pPr>
        <w:widowControl w:val="0"/>
        <w:spacing w:after="120" w:line="240" w:lineRule="auto"/>
        <w:rPr>
          <w:rFonts w:ascii="Arial" w:hAnsi="Arial" w:cs="Arial"/>
          <w:bCs/>
          <w:color w:val="000000"/>
          <w:lang w:eastAsia="en-GB"/>
        </w:rPr>
      </w:pPr>
      <w:r w:rsidRPr="00BF2ADD">
        <w:rPr>
          <w:rFonts w:ascii="Arial" w:hAnsi="Arial" w:cs="Arial"/>
          <w:bCs/>
          <w:color w:val="000000"/>
          <w:lang w:eastAsia="en-GB"/>
        </w:rPr>
        <w:t xml:space="preserve">The proposed changes to the fee structure will impact on both IPs and creditors in relation to a transfer of benefit from IPs to creditors. </w:t>
      </w:r>
    </w:p>
    <w:p w:rsidR="00AB65E9" w:rsidRPr="00BF2ADD" w:rsidRDefault="00AB65E9" w:rsidP="00F01332">
      <w:pPr>
        <w:spacing w:after="0" w:line="240" w:lineRule="auto"/>
        <w:rPr>
          <w:rFonts w:ascii="Arial" w:hAnsi="Arial" w:cs="Arial"/>
        </w:rPr>
      </w:pPr>
      <w:r w:rsidRPr="00BF2ADD">
        <w:rPr>
          <w:rFonts w:ascii="Arial" w:hAnsi="Arial" w:cs="Arial"/>
        </w:rPr>
        <w:t>Numerous micro and small businesses will have an interest in insolvency outcomes both as creditors and debtors in those cases. This proposal aims to remove the harm suffered by unsecured creditors as a result of their weak market power. As a result the changes are expected to lead to better, fairer and more consistent outcomes for creditors, debtors and all those with an interest in insolvency cases.  The creditor profile of most insolvent businesses is reflected by the general business population meaning that the vast majority of creditors can be expected to be small or micro businesses and according to the BIS Business Population Estimate 2012 small and micro businesses accounted for 99% of all private sector businesses in the UK (with fewer than 49 employees). It is unsecured creditors who are expected to gain from the reduction in IP fees, being a straight transfer from the IP to the creditors, so it would be detrimental to unsecured creditors if we were to exempt businesses that are micro or small from gaining from these proposals (as this is the exact group we are trying to benefit from changing the fee charging structure for IPs).</w:t>
      </w:r>
    </w:p>
    <w:p w:rsidR="00AB65E9" w:rsidRPr="00BF2ADD" w:rsidRDefault="00AB65E9" w:rsidP="00F01332">
      <w:pPr>
        <w:widowControl w:val="0"/>
        <w:spacing w:after="120" w:line="240" w:lineRule="auto"/>
        <w:rPr>
          <w:rFonts w:ascii="Arial" w:hAnsi="Arial" w:cs="Arial"/>
          <w:bCs/>
          <w:color w:val="000000"/>
          <w:highlight w:val="yellow"/>
          <w:lang w:eastAsia="en-GB"/>
        </w:rPr>
      </w:pPr>
    </w:p>
    <w:p w:rsidR="00AB65E9" w:rsidRPr="00BF2ADD" w:rsidRDefault="00AB65E9" w:rsidP="00F01332">
      <w:pPr>
        <w:spacing w:after="0" w:line="240" w:lineRule="auto"/>
        <w:rPr>
          <w:rFonts w:ascii="Arial" w:hAnsi="Arial" w:cs="Arial"/>
        </w:rPr>
      </w:pPr>
      <w:r w:rsidRPr="00BF2ADD">
        <w:rPr>
          <w:rFonts w:ascii="Arial" w:hAnsi="Arial" w:cs="Arial"/>
        </w:rPr>
        <w:t>We do not propose to exempt IP firms or trade creditors, who are small or micro businesses from the new provisions as this would be detrimental to the policy objective of addressing the market failure for unsecured creditors. In terms of small and micro unsecured creditors, it would not be in their interest to be exempted from these proposals as they aim to protect them.</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r w:rsidRPr="00BF2ADD">
        <w:rPr>
          <w:rFonts w:ascii="Arial" w:hAnsi="Arial" w:cs="Arial"/>
        </w:rPr>
        <w:t>As the majority of IP firms are small or micro businesses, to exempt these firms from being bound by the new charging structure, would have the effect of making the new system redundant. It would also be inequitable to allow smaller firms to charge under any basis of remuneration whilst restricting it for larger firms – this would give smaller firms a commercial advantage. This would not address the market failure identified in two independent reports and is likely to add to the significantly compromised position of unsecured creditors as by their very nature these creditors are nearly always small businesses.</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r w:rsidRPr="00BF2ADD">
        <w:rPr>
          <w:rFonts w:ascii="Arial" w:hAnsi="Arial" w:cs="Arial"/>
        </w:rPr>
        <w:t xml:space="preserve">A full exemption from these proposals was considered for small and micro businesses but was rejected as the intended benefits from the new regulation in relation to the charging structure for IP firms, could </w:t>
      </w:r>
      <w:r w:rsidRPr="00BF2ADD">
        <w:rPr>
          <w:rFonts w:ascii="Arial" w:hAnsi="Arial" w:cs="Arial"/>
        </w:rPr>
        <w:lastRenderedPageBreak/>
        <w:t>only be achieved if this policy was applied to all IP firms. Conversely the ‘vulnerable’ group we are trying to benefit from the proposals (unsecured creditors) are mainly made up of small or micro businesses (99% of trade creditors) so there would be very little benefit to the general creditor population. This would result in the market failure for unsecured creditors existing as it does now.</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r w:rsidRPr="00BF2ADD">
        <w:rPr>
          <w:rFonts w:ascii="Arial" w:hAnsi="Arial" w:cs="Arial"/>
        </w:rPr>
        <w:t>For the same reasons a partial or temporary exemption would not achieve the overall policy outcome as sufficient benefit would not be transferred to the main body who we are trying to protect – unsecured creditors. No small or micro business would want a temporary or partial exemption.</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r w:rsidRPr="00BF2ADD">
        <w:rPr>
          <w:rFonts w:ascii="Arial" w:hAnsi="Arial" w:cs="Arial"/>
        </w:rPr>
        <w:t>If a partial or temporary exemption were given to IP firms, this would give a commercial advantage to those firms over others. A partial exemption is not applicable as there is no way of partially applying the proposals –either the current or new structure would apply to the charging basis for IPs. The proportion of the industry which could potentially apply for a temporary exemption is so high that it would remove any benefit proposed.</w:t>
      </w:r>
    </w:p>
    <w:p w:rsidR="00AB65E9" w:rsidRPr="00BF2ADD" w:rsidRDefault="00AB65E9" w:rsidP="00F01332">
      <w:pPr>
        <w:spacing w:after="0" w:line="240" w:lineRule="auto"/>
        <w:rPr>
          <w:rFonts w:ascii="Arial" w:hAnsi="Arial" w:cs="Arial"/>
        </w:rPr>
      </w:pPr>
    </w:p>
    <w:p w:rsidR="00AB65E9" w:rsidRPr="00BF2ADD" w:rsidRDefault="00AB65E9" w:rsidP="00F01332">
      <w:pPr>
        <w:spacing w:after="0" w:line="240" w:lineRule="auto"/>
        <w:rPr>
          <w:rFonts w:ascii="Arial" w:hAnsi="Arial" w:cs="Arial"/>
        </w:rPr>
      </w:pPr>
      <w:r w:rsidRPr="00BF2ADD">
        <w:rPr>
          <w:rFonts w:ascii="Arial" w:hAnsi="Arial" w:cs="Arial"/>
        </w:rPr>
        <w:t xml:space="preserve">It would also make the landscape and fee structure much more complex for creditors to understand. </w:t>
      </w:r>
    </w:p>
    <w:p w:rsidR="00AB65E9" w:rsidRPr="00BF2ADD" w:rsidRDefault="00AB65E9" w:rsidP="008114A2">
      <w:pPr>
        <w:pStyle w:val="Default"/>
        <w:spacing w:before="480" w:after="240"/>
        <w:rPr>
          <w:b/>
          <w:sz w:val="22"/>
          <w:szCs w:val="22"/>
        </w:rPr>
      </w:pPr>
      <w:r w:rsidRPr="00BF2ADD">
        <w:rPr>
          <w:b/>
          <w:sz w:val="22"/>
          <w:szCs w:val="22"/>
        </w:rPr>
        <w:t xml:space="preserve">Wider Impacts; </w:t>
      </w:r>
    </w:p>
    <w:p w:rsidR="00AB65E9" w:rsidRPr="00BF2ADD" w:rsidRDefault="00AB65E9" w:rsidP="008114A2">
      <w:pPr>
        <w:pStyle w:val="Default"/>
        <w:spacing w:after="120"/>
        <w:rPr>
          <w:sz w:val="22"/>
          <w:szCs w:val="22"/>
        </w:rPr>
      </w:pPr>
      <w:r w:rsidRPr="00BF2ADD">
        <w:rPr>
          <w:b/>
          <w:bCs/>
          <w:sz w:val="22"/>
          <w:szCs w:val="22"/>
        </w:rPr>
        <w:t xml:space="preserve">Economic/Financial </w:t>
      </w:r>
    </w:p>
    <w:p w:rsidR="00AB65E9" w:rsidRPr="00BF2ADD" w:rsidRDefault="00AB65E9" w:rsidP="008114A2">
      <w:pPr>
        <w:pStyle w:val="Default"/>
        <w:spacing w:after="120"/>
        <w:rPr>
          <w:sz w:val="22"/>
          <w:szCs w:val="22"/>
        </w:rPr>
      </w:pPr>
      <w:r w:rsidRPr="00BF2ADD">
        <w:rPr>
          <w:i/>
          <w:iCs/>
          <w:sz w:val="22"/>
          <w:szCs w:val="22"/>
        </w:rPr>
        <w:t>Competition</w:t>
      </w:r>
      <w:r w:rsidRPr="00BF2ADD">
        <w:rPr>
          <w:sz w:val="22"/>
          <w:szCs w:val="22"/>
        </w:rPr>
        <w:t xml:space="preserve">: The proposals aim to address the market failure for unsecured creditors by increasing competition between IPs. We do not however anticipate that these reforms will have a negative impact on IPs ability to compete or reduce the number of IPs in the market. A separate impact assessment has not been completed for this reason. </w:t>
      </w:r>
    </w:p>
    <w:p w:rsidR="00AB65E9" w:rsidRPr="00BF2ADD" w:rsidRDefault="00AB65E9" w:rsidP="008114A2">
      <w:pPr>
        <w:pStyle w:val="Default"/>
        <w:spacing w:after="120"/>
        <w:rPr>
          <w:sz w:val="22"/>
          <w:szCs w:val="22"/>
        </w:rPr>
      </w:pPr>
      <w:r w:rsidRPr="00BF2ADD">
        <w:rPr>
          <w:i/>
          <w:iCs/>
          <w:sz w:val="22"/>
          <w:szCs w:val="22"/>
        </w:rPr>
        <w:t>Justice</w:t>
      </w:r>
      <w:r w:rsidRPr="00BF2ADD">
        <w:rPr>
          <w:sz w:val="22"/>
          <w:szCs w:val="22"/>
        </w:rPr>
        <w:t xml:space="preserve">: there is no impact on legal aid, criminal offences or court workloads. The courts will need to be aware of the changes to the fee structure, in order to deal with fee complaints that are made to the court (as they are already). However we estimate this to be minimal as the majority of complaints will now be dealt with by the RPBs, this change is likely to reduce the workload of the court. </w:t>
      </w:r>
    </w:p>
    <w:p w:rsidR="00AB65E9" w:rsidRPr="00BF2ADD" w:rsidRDefault="00AB65E9" w:rsidP="008114A2">
      <w:pPr>
        <w:pStyle w:val="Default"/>
        <w:spacing w:after="120"/>
        <w:rPr>
          <w:sz w:val="22"/>
          <w:szCs w:val="22"/>
        </w:rPr>
      </w:pPr>
      <w:r w:rsidRPr="00BF2ADD">
        <w:rPr>
          <w:i/>
          <w:iCs/>
          <w:sz w:val="22"/>
          <w:szCs w:val="22"/>
        </w:rPr>
        <w:t>Small firms</w:t>
      </w:r>
      <w:r w:rsidRPr="00BF2ADD">
        <w:rPr>
          <w:sz w:val="22"/>
          <w:szCs w:val="22"/>
        </w:rPr>
        <w:t>: This is dealt with under the small and micro business assessment</w:t>
      </w:r>
    </w:p>
    <w:p w:rsidR="00AB65E9" w:rsidRPr="00BF2ADD" w:rsidRDefault="00AB65E9" w:rsidP="008114A2">
      <w:pPr>
        <w:pStyle w:val="Default"/>
        <w:spacing w:after="120"/>
        <w:rPr>
          <w:sz w:val="22"/>
          <w:szCs w:val="22"/>
        </w:rPr>
      </w:pPr>
      <w:r w:rsidRPr="00BF2ADD">
        <w:rPr>
          <w:sz w:val="22"/>
          <w:szCs w:val="22"/>
        </w:rPr>
        <w:t xml:space="preserve">There are no further wider impacts identified. </w:t>
      </w:r>
    </w:p>
    <w:p w:rsidR="00AB65E9" w:rsidRPr="00BF2ADD" w:rsidRDefault="00AB65E9" w:rsidP="008114A2">
      <w:pPr>
        <w:pStyle w:val="Default"/>
        <w:spacing w:after="120"/>
        <w:rPr>
          <w:b/>
          <w:bCs/>
          <w:sz w:val="22"/>
          <w:szCs w:val="22"/>
        </w:rPr>
      </w:pPr>
    </w:p>
    <w:p w:rsidR="00AB65E9" w:rsidRPr="00BF2ADD" w:rsidRDefault="00AB65E9" w:rsidP="008114A2">
      <w:pPr>
        <w:pStyle w:val="Default"/>
        <w:spacing w:after="120"/>
        <w:rPr>
          <w:sz w:val="22"/>
          <w:szCs w:val="22"/>
        </w:rPr>
      </w:pPr>
      <w:r w:rsidRPr="00BF2ADD">
        <w:rPr>
          <w:b/>
          <w:bCs/>
          <w:sz w:val="22"/>
          <w:szCs w:val="22"/>
        </w:rPr>
        <w:t xml:space="preserve">Social </w:t>
      </w:r>
    </w:p>
    <w:p w:rsidR="00AB65E9" w:rsidRPr="00BF2ADD" w:rsidRDefault="00AB65E9" w:rsidP="008114A2">
      <w:pPr>
        <w:pStyle w:val="Default"/>
        <w:spacing w:after="120"/>
        <w:rPr>
          <w:sz w:val="22"/>
          <w:szCs w:val="22"/>
        </w:rPr>
      </w:pPr>
      <w:r w:rsidRPr="00BF2ADD">
        <w:rPr>
          <w:i/>
          <w:iCs/>
          <w:sz w:val="22"/>
          <w:szCs w:val="22"/>
        </w:rPr>
        <w:t>Health and well being</w:t>
      </w:r>
      <w:r w:rsidRPr="00BF2ADD">
        <w:rPr>
          <w:sz w:val="22"/>
          <w:szCs w:val="22"/>
        </w:rPr>
        <w:t>: No impact</w:t>
      </w:r>
    </w:p>
    <w:p w:rsidR="00AB65E9" w:rsidRPr="00BF2ADD" w:rsidRDefault="00AB65E9" w:rsidP="008114A2">
      <w:pPr>
        <w:pStyle w:val="Default"/>
        <w:spacing w:after="120"/>
        <w:rPr>
          <w:sz w:val="22"/>
          <w:szCs w:val="22"/>
        </w:rPr>
      </w:pPr>
      <w:r w:rsidRPr="00BF2ADD">
        <w:rPr>
          <w:i/>
          <w:iCs/>
          <w:sz w:val="22"/>
          <w:szCs w:val="22"/>
        </w:rPr>
        <w:t>Equality</w:t>
      </w:r>
      <w:r w:rsidRPr="00BF2ADD">
        <w:rPr>
          <w:sz w:val="22"/>
          <w:szCs w:val="22"/>
        </w:rPr>
        <w:t>: The policy will not have any negative impact on all identified equality groups.</w:t>
      </w:r>
    </w:p>
    <w:p w:rsidR="00AB65E9" w:rsidRPr="00BF2ADD" w:rsidRDefault="00AB65E9" w:rsidP="008114A2">
      <w:pPr>
        <w:pStyle w:val="Default"/>
        <w:spacing w:after="120"/>
        <w:rPr>
          <w:sz w:val="22"/>
          <w:szCs w:val="22"/>
        </w:rPr>
      </w:pPr>
      <w:r w:rsidRPr="00BF2ADD">
        <w:rPr>
          <w:i/>
          <w:iCs/>
          <w:sz w:val="22"/>
          <w:szCs w:val="22"/>
        </w:rPr>
        <w:t>Human rights</w:t>
      </w:r>
      <w:r w:rsidRPr="00BF2ADD">
        <w:rPr>
          <w:sz w:val="22"/>
          <w:szCs w:val="22"/>
        </w:rPr>
        <w:t xml:space="preserve">: No impact </w:t>
      </w:r>
    </w:p>
    <w:p w:rsidR="00AB65E9" w:rsidRPr="00BF2ADD" w:rsidRDefault="00AB65E9" w:rsidP="008114A2">
      <w:pPr>
        <w:pStyle w:val="Default"/>
        <w:spacing w:after="120"/>
        <w:rPr>
          <w:b/>
          <w:bCs/>
          <w:sz w:val="22"/>
          <w:szCs w:val="22"/>
        </w:rPr>
      </w:pPr>
    </w:p>
    <w:p w:rsidR="00AB65E9" w:rsidRPr="00BF2ADD" w:rsidRDefault="00AB65E9" w:rsidP="008114A2">
      <w:pPr>
        <w:pStyle w:val="Default"/>
        <w:spacing w:after="120"/>
        <w:rPr>
          <w:sz w:val="22"/>
          <w:szCs w:val="22"/>
        </w:rPr>
      </w:pPr>
      <w:r w:rsidRPr="00BF2ADD">
        <w:rPr>
          <w:b/>
          <w:bCs/>
          <w:sz w:val="22"/>
          <w:szCs w:val="22"/>
        </w:rPr>
        <w:t xml:space="preserve">Environmental </w:t>
      </w:r>
    </w:p>
    <w:p w:rsidR="00AB65E9" w:rsidRPr="00BF2ADD" w:rsidRDefault="00AB65E9" w:rsidP="008114A2">
      <w:pPr>
        <w:pStyle w:val="Default"/>
        <w:spacing w:after="120"/>
        <w:rPr>
          <w:sz w:val="22"/>
          <w:szCs w:val="22"/>
        </w:rPr>
      </w:pPr>
      <w:r w:rsidRPr="00BF2ADD">
        <w:rPr>
          <w:i/>
          <w:iCs/>
          <w:sz w:val="22"/>
          <w:szCs w:val="22"/>
        </w:rPr>
        <w:t>Rural proofing</w:t>
      </w:r>
      <w:r w:rsidRPr="00BF2ADD">
        <w:rPr>
          <w:sz w:val="22"/>
          <w:szCs w:val="22"/>
        </w:rPr>
        <w:t>: No impact</w:t>
      </w:r>
    </w:p>
    <w:p w:rsidR="00AB65E9" w:rsidRPr="00BF2ADD" w:rsidRDefault="00AB65E9" w:rsidP="008114A2">
      <w:pPr>
        <w:pStyle w:val="Default"/>
        <w:spacing w:after="120"/>
        <w:rPr>
          <w:sz w:val="22"/>
          <w:szCs w:val="22"/>
        </w:rPr>
      </w:pPr>
      <w:r w:rsidRPr="00BF2ADD">
        <w:rPr>
          <w:i/>
          <w:iCs/>
          <w:sz w:val="22"/>
          <w:szCs w:val="22"/>
        </w:rPr>
        <w:t>Sustainable development</w:t>
      </w:r>
      <w:r w:rsidRPr="00BF2ADD">
        <w:rPr>
          <w:sz w:val="22"/>
          <w:szCs w:val="22"/>
        </w:rPr>
        <w:t xml:space="preserve">: no impact </w:t>
      </w:r>
    </w:p>
    <w:p w:rsidR="00AB65E9" w:rsidRPr="00BF2ADD" w:rsidRDefault="00AB65E9">
      <w:pPr>
        <w:rPr>
          <w:rFonts w:ascii="Arial" w:hAnsi="Arial" w:cs="Arial"/>
          <w:b/>
        </w:rPr>
      </w:pPr>
      <w:r w:rsidRPr="00BF2ADD">
        <w:rPr>
          <w:rFonts w:ascii="Arial" w:hAnsi="Arial" w:cs="Arial"/>
          <w:i/>
          <w:iCs/>
        </w:rPr>
        <w:t>Environment</w:t>
      </w:r>
      <w:r w:rsidRPr="00BF2ADD">
        <w:rPr>
          <w:rFonts w:ascii="Arial" w:hAnsi="Arial" w:cs="Arial"/>
        </w:rPr>
        <w:t>: no impact</w:t>
      </w:r>
    </w:p>
    <w:p w:rsidR="00AB65E9" w:rsidRPr="00BF2ADD" w:rsidRDefault="00AB65E9">
      <w:pPr>
        <w:rPr>
          <w:rFonts w:ascii="Arial" w:hAnsi="Arial" w:cs="Arial"/>
          <w:b/>
        </w:rPr>
      </w:pPr>
      <w:r w:rsidRPr="00BF2ADD">
        <w:rPr>
          <w:rFonts w:ascii="Arial" w:hAnsi="Arial" w:cs="Arial"/>
          <w:b/>
        </w:rPr>
        <w:t>Summary and preferred option with description of implementation plan;</w:t>
      </w:r>
    </w:p>
    <w:p w:rsidR="00AB65E9" w:rsidRPr="00BF2ADD" w:rsidRDefault="00AB65E9" w:rsidP="00AE4A4A">
      <w:pPr>
        <w:spacing w:after="0" w:line="240" w:lineRule="auto"/>
        <w:rPr>
          <w:rFonts w:ascii="Arial" w:hAnsi="Arial" w:cs="Arial"/>
        </w:rPr>
      </w:pPr>
      <w:r w:rsidRPr="00BF2ADD">
        <w:rPr>
          <w:rFonts w:ascii="Arial" w:hAnsi="Arial" w:cs="Arial"/>
        </w:rPr>
        <w:t>Our preferred option is option 1 – package of measures to address the market failure. This includes making changes to the fee structure to restrict the use of time and rate as a basis on which IPs can take their remuneration, and allowing fee complaints to be dealt with under the current complaint system. Progressing the non regulatory route has been attempted over the past few years with no success. It is anticipated that the secondary Rule changes will be incorporated within the new Insolvency Rules project, which we anticipate coming into force in April 2015.</w:t>
      </w:r>
    </w:p>
    <w:p w:rsidR="00AB65E9" w:rsidRPr="00BF2ADD" w:rsidRDefault="00AB65E9">
      <w:pPr>
        <w:rPr>
          <w:rFonts w:ascii="Arial" w:hAnsi="Arial" w:cs="Arial"/>
        </w:rPr>
      </w:pPr>
    </w:p>
    <w:sectPr w:rsidR="00AB65E9" w:rsidRPr="00BF2ADD" w:rsidSect="0057472C">
      <w:headerReference w:type="even" r:id="rId11"/>
      <w:footerReference w:type="default" r:id="rId12"/>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6D" w:rsidRDefault="00C7666D" w:rsidP="00F01332">
      <w:pPr>
        <w:spacing w:after="0" w:line="240" w:lineRule="auto"/>
      </w:pPr>
      <w:r>
        <w:separator/>
      </w:r>
    </w:p>
  </w:endnote>
  <w:endnote w:type="continuationSeparator" w:id="0">
    <w:p w:rsidR="00C7666D" w:rsidRDefault="00C7666D" w:rsidP="00F0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D" w:rsidRPr="00EB43FD" w:rsidRDefault="00C7666D" w:rsidP="0057472C">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E42FF4">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80"/>
      <w:gridCol w:w="9341"/>
    </w:tblGrid>
    <w:tr w:rsidR="00C7666D">
      <w:tc>
        <w:tcPr>
          <w:tcW w:w="918" w:type="dxa"/>
          <w:tcBorders>
            <w:top w:val="single" w:sz="18" w:space="0" w:color="808080"/>
          </w:tcBorders>
        </w:tcPr>
        <w:p w:rsidR="00C7666D" w:rsidRDefault="00C7666D">
          <w:pPr>
            <w:pStyle w:val="Footer"/>
            <w:jc w:val="right"/>
            <w:rPr>
              <w:b w:val="0"/>
              <w:bCs/>
              <w:color w:val="4F81BD"/>
              <w:sz w:val="32"/>
              <w:szCs w:val="32"/>
            </w:rPr>
          </w:pPr>
          <w:r>
            <w:fldChar w:fldCharType="begin"/>
          </w:r>
          <w:r>
            <w:instrText xml:space="preserve"> PAGE   \* MERGEFORMAT </w:instrText>
          </w:r>
          <w:r>
            <w:fldChar w:fldCharType="separate"/>
          </w:r>
          <w:r w:rsidR="00E42FF4" w:rsidRPr="00E42FF4">
            <w:rPr>
              <w:bCs/>
              <w:noProof/>
              <w:color w:val="4F81BD"/>
              <w:sz w:val="32"/>
              <w:szCs w:val="32"/>
            </w:rPr>
            <w:t>4</w:t>
          </w:r>
          <w:r>
            <w:rPr>
              <w:bCs/>
              <w:noProof/>
              <w:color w:val="4F81BD"/>
              <w:sz w:val="32"/>
              <w:szCs w:val="32"/>
            </w:rPr>
            <w:fldChar w:fldCharType="end"/>
          </w:r>
        </w:p>
      </w:tc>
      <w:tc>
        <w:tcPr>
          <w:tcW w:w="7938" w:type="dxa"/>
          <w:tcBorders>
            <w:top w:val="single" w:sz="18" w:space="0" w:color="808080"/>
          </w:tcBorders>
        </w:tcPr>
        <w:p w:rsidR="00C7666D" w:rsidRDefault="00C7666D">
          <w:pPr>
            <w:pStyle w:val="Footer"/>
          </w:pPr>
        </w:p>
      </w:tc>
    </w:tr>
  </w:tbl>
  <w:p w:rsidR="00C7666D" w:rsidRDefault="00C766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6D" w:rsidRDefault="00C7666D" w:rsidP="00F01332">
      <w:pPr>
        <w:spacing w:after="0" w:line="240" w:lineRule="auto"/>
      </w:pPr>
      <w:r>
        <w:separator/>
      </w:r>
    </w:p>
  </w:footnote>
  <w:footnote w:type="continuationSeparator" w:id="0">
    <w:p w:rsidR="00C7666D" w:rsidRDefault="00C7666D" w:rsidP="00F01332">
      <w:pPr>
        <w:spacing w:after="0" w:line="240" w:lineRule="auto"/>
      </w:pPr>
      <w:r>
        <w:continuationSeparator/>
      </w:r>
    </w:p>
  </w:footnote>
  <w:footnote w:id="1">
    <w:p w:rsidR="00C7666D" w:rsidRDefault="00C7666D">
      <w:pPr>
        <w:pStyle w:val="FootnoteText"/>
      </w:pPr>
      <w:r>
        <w:rPr>
          <w:rStyle w:val="FootnoteReference"/>
        </w:rPr>
        <w:footnoteRef/>
      </w:r>
      <w:r>
        <w:t xml:space="preserve">  </w:t>
      </w:r>
      <w:r w:rsidRPr="00C123C2">
        <w:t>http://www.oft.gov.uk/shared_oft/reports/Insolvency/oft1245</w:t>
      </w:r>
    </w:p>
  </w:footnote>
  <w:footnote w:id="2">
    <w:p w:rsidR="00C7666D" w:rsidRDefault="00C7666D">
      <w:pPr>
        <w:pStyle w:val="FootnoteText"/>
      </w:pPr>
      <w:r>
        <w:rPr>
          <w:rStyle w:val="FootnoteReference"/>
        </w:rPr>
        <w:footnoteRef/>
      </w:r>
      <w:r>
        <w:t xml:space="preserve"> </w:t>
      </w:r>
      <w:hyperlink r:id="rId1" w:history="1">
        <w:r>
          <w:rPr>
            <w:rStyle w:val="Hyperlink"/>
            <w:color w:val="000000"/>
          </w:rPr>
          <w:t>http://www.bis.gov.uk/insolvency/insolvency-profession/review-of-ip-fees</w:t>
        </w:r>
      </w:hyperlink>
    </w:p>
  </w:footnote>
  <w:footnote w:id="3">
    <w:p w:rsidR="00C7666D" w:rsidRDefault="00C7666D">
      <w:pPr>
        <w:pStyle w:val="FootnoteText"/>
      </w:pPr>
      <w:r>
        <w:rPr>
          <w:rStyle w:val="FootnoteReference"/>
        </w:rPr>
        <w:footnoteRef/>
      </w:r>
      <w:r>
        <w:t xml:space="preserve"> Paragraph 1.5 ‘Market for Corporate Insolvency Practitioners – a market study’ - </w:t>
      </w:r>
      <w:hyperlink r:id="rId2" w:history="1">
        <w:r w:rsidRPr="00340696">
          <w:rPr>
            <w:rStyle w:val="Hyperlink"/>
          </w:rPr>
          <w:t>http://www.oft.gov.uk/shared_oft/reports/Insolvency/oft1245</w:t>
        </w:r>
      </w:hyperlink>
    </w:p>
    <w:p w:rsidR="00C7666D" w:rsidRDefault="00C7666D">
      <w:pPr>
        <w:pStyle w:val="FootnoteText"/>
      </w:pPr>
    </w:p>
  </w:footnote>
  <w:footnote w:id="4">
    <w:p w:rsidR="00C7666D" w:rsidRDefault="00C7666D">
      <w:pPr>
        <w:pStyle w:val="FootnoteText"/>
      </w:pPr>
      <w:r>
        <w:rPr>
          <w:rStyle w:val="FootnoteReference"/>
        </w:rPr>
        <w:footnoteRef/>
      </w:r>
      <w:r>
        <w:t xml:space="preserve"> </w:t>
      </w:r>
      <w:r w:rsidRPr="00C3484F">
        <w:t>http://www.oft.gov.uk/shared_oft/reports/Insolvency/oft1245</w:t>
      </w:r>
    </w:p>
  </w:footnote>
  <w:footnote w:id="5">
    <w:p w:rsidR="00C7666D" w:rsidRDefault="00C7666D">
      <w:pPr>
        <w:pStyle w:val="FootnoteText"/>
      </w:pPr>
      <w:r>
        <w:rPr>
          <w:rStyle w:val="FootnoteReference"/>
        </w:rPr>
        <w:footnoteRef/>
      </w:r>
      <w:r>
        <w:t xml:space="preserve"> See Impact Assessment ‘Insolvency Practitioner Regulation – regulatory objectives and oversight powers’.</w:t>
      </w:r>
    </w:p>
  </w:footnote>
  <w:footnote w:id="6">
    <w:p w:rsidR="00C7666D" w:rsidRDefault="00C7666D">
      <w:pPr>
        <w:pStyle w:val="FootnoteText"/>
      </w:pPr>
      <w:r>
        <w:rPr>
          <w:rStyle w:val="FootnoteReference"/>
        </w:rPr>
        <w:footnoteRef/>
      </w:r>
      <w:r>
        <w:t xml:space="preserve"> See </w:t>
      </w:r>
      <w:proofErr w:type="spellStart"/>
      <w:r>
        <w:t>para</w:t>
      </w:r>
      <w:proofErr w:type="spellEnd"/>
      <w:r>
        <w:t xml:space="preserve"> 3.1 </w:t>
      </w:r>
      <w:r w:rsidRPr="00E83C6E">
        <w:t>http://www.bis.gov.uk/insolvency/insolvency-profession/review-of-ip-fees</w:t>
      </w:r>
    </w:p>
  </w:footnote>
  <w:footnote w:id="7">
    <w:p w:rsidR="00C7666D" w:rsidRDefault="00C7666D">
      <w:pPr>
        <w:pStyle w:val="FootnoteText"/>
      </w:pPr>
      <w:r>
        <w:rPr>
          <w:rStyle w:val="FootnoteReference"/>
        </w:rPr>
        <w:footnoteRef/>
      </w:r>
      <w:r>
        <w:t xml:space="preserve"> </w:t>
      </w:r>
      <w:r w:rsidRPr="00C3484F">
        <w:t>http://www.oft.gov.uk/shared_oft/reports/Insolvency/oft1245</w:t>
      </w:r>
    </w:p>
  </w:footnote>
  <w:footnote w:id="8">
    <w:p w:rsidR="00C7666D" w:rsidRPr="00E448CD" w:rsidRDefault="00C7666D" w:rsidP="00A67A1F">
      <w:pPr>
        <w:pStyle w:val="FootnoteText"/>
        <w:rPr>
          <w:rFonts w:asciiTheme="minorHAnsi" w:hAnsiTheme="minorHAnsi"/>
          <w:szCs w:val="16"/>
        </w:rPr>
      </w:pPr>
      <w:r w:rsidRPr="00E448CD">
        <w:rPr>
          <w:rStyle w:val="FootnoteReference"/>
          <w:rFonts w:asciiTheme="minorHAnsi" w:hAnsiTheme="minorHAnsi"/>
          <w:sz w:val="16"/>
          <w:szCs w:val="16"/>
        </w:rPr>
        <w:footnoteRef/>
      </w:r>
      <w:r w:rsidRPr="00E448CD">
        <w:rPr>
          <w:rFonts w:asciiTheme="minorHAnsi" w:hAnsiTheme="minorHAnsi"/>
          <w:szCs w:val="16"/>
        </w:rPr>
        <w:t xml:space="preserve"> http://www.bis.gov.uk/assets/insolvency/docs/insolvency%20profession/consultations/ipconsult.pdf</w:t>
      </w:r>
    </w:p>
  </w:footnote>
  <w:footnote w:id="9">
    <w:p w:rsidR="00C7666D" w:rsidRPr="00E448CD" w:rsidRDefault="00C7666D">
      <w:pPr>
        <w:pStyle w:val="FootnoteText"/>
        <w:rPr>
          <w:rFonts w:asciiTheme="minorHAnsi" w:hAnsiTheme="minorHAnsi"/>
          <w:szCs w:val="16"/>
        </w:rPr>
      </w:pPr>
      <w:r w:rsidRPr="00E448CD">
        <w:rPr>
          <w:rStyle w:val="FootnoteReference"/>
          <w:rFonts w:asciiTheme="minorHAnsi" w:hAnsiTheme="minorHAnsi"/>
          <w:sz w:val="16"/>
          <w:szCs w:val="16"/>
        </w:rPr>
        <w:footnoteRef/>
      </w:r>
      <w:r w:rsidRPr="00E448CD">
        <w:rPr>
          <w:rFonts w:asciiTheme="minorHAnsi" w:hAnsiTheme="minorHAnsi"/>
          <w:szCs w:val="16"/>
        </w:rPr>
        <w:t xml:space="preserve"> http://www.bis.gov.uk/assets/insolvency/docs/insolvency%20profession/consultations/ipconsult.pdf</w:t>
      </w:r>
    </w:p>
  </w:footnote>
  <w:footnote w:id="10">
    <w:p w:rsidR="00C7666D" w:rsidRPr="00E448CD" w:rsidRDefault="00C7666D" w:rsidP="0024540C">
      <w:pPr>
        <w:pStyle w:val="EndnoteText"/>
        <w:rPr>
          <w:rFonts w:asciiTheme="minorHAnsi" w:hAnsiTheme="minorHAnsi"/>
          <w:sz w:val="16"/>
          <w:szCs w:val="16"/>
        </w:rPr>
      </w:pPr>
      <w:r w:rsidRPr="00E448CD">
        <w:rPr>
          <w:rStyle w:val="FootnoteReference"/>
          <w:rFonts w:asciiTheme="minorHAnsi" w:hAnsiTheme="minorHAnsi"/>
          <w:sz w:val="16"/>
          <w:szCs w:val="16"/>
        </w:rPr>
        <w:footnoteRef/>
      </w:r>
      <w:r w:rsidRPr="00E448CD">
        <w:rPr>
          <w:rFonts w:asciiTheme="minorHAnsi" w:hAnsiTheme="minorHAnsi"/>
          <w:sz w:val="16"/>
          <w:szCs w:val="16"/>
        </w:rPr>
        <w:t xml:space="preserve"> These figures were provided by one of the regulators in 2011 for the consultation ‘reforms to the regulation of IPs’ - </w:t>
      </w:r>
      <w:hyperlink r:id="rId3" w:history="1">
        <w:r w:rsidRPr="00E448CD">
          <w:rPr>
            <w:rStyle w:val="Hyperlink"/>
            <w:rFonts w:asciiTheme="minorHAnsi" w:hAnsiTheme="minorHAnsi"/>
            <w:sz w:val="16"/>
            <w:szCs w:val="16"/>
          </w:rPr>
          <w:t>http://www.bis.gov.uk/insolvency/Consultations/IPConsultation?cat=closedwithresponse</w:t>
        </w:r>
      </w:hyperlink>
    </w:p>
    <w:p w:rsidR="00C7666D" w:rsidRPr="00E448CD" w:rsidRDefault="00C7666D" w:rsidP="0024540C">
      <w:pPr>
        <w:pStyle w:val="EndnoteText"/>
        <w:rPr>
          <w:rFonts w:asciiTheme="minorHAnsi" w:hAnsiTheme="minorHAnsi"/>
          <w:sz w:val="16"/>
          <w:szCs w:val="16"/>
        </w:rPr>
      </w:pPr>
    </w:p>
  </w:footnote>
  <w:footnote w:id="11">
    <w:p w:rsidR="00C7666D" w:rsidRPr="00E448CD" w:rsidRDefault="00C7666D" w:rsidP="00E448CD">
      <w:pPr>
        <w:keepNext/>
        <w:spacing w:after="120"/>
        <w:jc w:val="both"/>
        <w:rPr>
          <w:rFonts w:asciiTheme="minorHAnsi" w:hAnsiTheme="minorHAnsi" w:cs="Arial"/>
          <w:bCs/>
          <w:color w:val="000000"/>
          <w:sz w:val="16"/>
          <w:szCs w:val="16"/>
          <w:lang w:eastAsia="en-GB"/>
        </w:rPr>
      </w:pPr>
      <w:r w:rsidRPr="00E448CD">
        <w:rPr>
          <w:rStyle w:val="FootnoteReference"/>
          <w:rFonts w:asciiTheme="minorHAnsi" w:hAnsiTheme="minorHAnsi"/>
          <w:sz w:val="16"/>
          <w:szCs w:val="16"/>
        </w:rPr>
        <w:footnoteRef/>
      </w:r>
      <w:r w:rsidRPr="00E448CD">
        <w:rPr>
          <w:rFonts w:asciiTheme="minorHAnsi" w:hAnsiTheme="minorHAnsi"/>
          <w:sz w:val="16"/>
          <w:szCs w:val="16"/>
        </w:rPr>
        <w:t xml:space="preserve"> </w:t>
      </w:r>
      <w:r w:rsidRPr="00E448CD">
        <w:rPr>
          <w:rFonts w:asciiTheme="minorHAnsi" w:hAnsiTheme="minorHAnsi" w:cs="Arial"/>
          <w:bCs/>
          <w:color w:val="000000"/>
          <w:sz w:val="16"/>
          <w:szCs w:val="16"/>
          <w:lang w:eastAsia="en-GB"/>
        </w:rPr>
        <w:t>Staffing and overhead cost is based on a cost of £2715 per case review multiplied by the 300 cases and rounded to the nearest £10,000. This figure was provided by one of the regulators in 2011.</w:t>
      </w:r>
    </w:p>
    <w:p w:rsidR="00C7666D" w:rsidRDefault="00C7666D">
      <w:pPr>
        <w:pStyle w:val="FootnoteText"/>
      </w:pPr>
    </w:p>
  </w:footnote>
  <w:footnote w:id="12">
    <w:p w:rsidR="00C7666D" w:rsidRPr="00281AB3" w:rsidRDefault="00C7666D" w:rsidP="00281AB3">
      <w:pPr>
        <w:keepNext/>
        <w:spacing w:after="120"/>
        <w:jc w:val="both"/>
        <w:rPr>
          <w:rFonts w:asciiTheme="minorHAnsi" w:hAnsiTheme="minorHAnsi" w:cs="Arial"/>
          <w:bCs/>
          <w:color w:val="000000"/>
          <w:sz w:val="16"/>
          <w:szCs w:val="16"/>
          <w:lang w:eastAsia="en-GB"/>
        </w:rPr>
      </w:pPr>
      <w:r w:rsidRPr="00281AB3">
        <w:rPr>
          <w:rStyle w:val="FootnoteReference"/>
          <w:rFonts w:asciiTheme="minorHAnsi" w:hAnsiTheme="minorHAnsi"/>
          <w:sz w:val="16"/>
          <w:szCs w:val="16"/>
        </w:rPr>
        <w:footnoteRef/>
      </w:r>
      <w:r w:rsidRPr="00281AB3">
        <w:rPr>
          <w:rFonts w:asciiTheme="minorHAnsi" w:hAnsiTheme="minorHAnsi"/>
          <w:sz w:val="16"/>
          <w:szCs w:val="16"/>
        </w:rPr>
        <w:t xml:space="preserve"> </w:t>
      </w:r>
      <w:r w:rsidRPr="00281AB3">
        <w:rPr>
          <w:rFonts w:asciiTheme="minorHAnsi" w:hAnsiTheme="minorHAnsi" w:cs="Arial"/>
          <w:bCs/>
          <w:color w:val="000000"/>
          <w:sz w:val="16"/>
          <w:szCs w:val="16"/>
          <w:lang w:eastAsia="en-GB"/>
        </w:rPr>
        <w:t>The costs associated with the investigation and disciplinary committees, which already exist within the RPBs, considering the case are calculated as;</w:t>
      </w:r>
    </w:p>
    <w:p w:rsidR="00C7666D" w:rsidRPr="00281AB3" w:rsidRDefault="00C7666D" w:rsidP="00281AB3">
      <w:pPr>
        <w:keepNext/>
        <w:spacing w:after="120" w:line="240" w:lineRule="auto"/>
        <w:ind w:firstLine="720"/>
        <w:jc w:val="both"/>
        <w:rPr>
          <w:rFonts w:asciiTheme="minorHAnsi" w:hAnsiTheme="minorHAnsi" w:cs="Arial"/>
          <w:bCs/>
          <w:color w:val="000000"/>
          <w:sz w:val="16"/>
          <w:szCs w:val="16"/>
          <w:lang w:eastAsia="en-GB"/>
        </w:rPr>
      </w:pPr>
      <w:r w:rsidRPr="00281AB3">
        <w:rPr>
          <w:rFonts w:asciiTheme="minorHAnsi" w:hAnsiTheme="minorHAnsi" w:cs="Arial"/>
          <w:bCs/>
          <w:color w:val="000000"/>
          <w:sz w:val="16"/>
          <w:szCs w:val="16"/>
          <w:lang w:eastAsia="en-GB"/>
        </w:rPr>
        <w:t>150 cases going to investigation committee (50% of total number of fee complaints)</w:t>
      </w:r>
    </w:p>
    <w:p w:rsidR="00C7666D" w:rsidRPr="00281AB3" w:rsidRDefault="00C7666D" w:rsidP="00281AB3">
      <w:pPr>
        <w:keepNext/>
        <w:spacing w:after="120" w:line="240" w:lineRule="auto"/>
        <w:ind w:left="720"/>
        <w:jc w:val="both"/>
        <w:rPr>
          <w:rFonts w:asciiTheme="minorHAnsi" w:hAnsiTheme="minorHAnsi" w:cs="Arial"/>
          <w:bCs/>
          <w:color w:val="000000"/>
          <w:sz w:val="16"/>
          <w:szCs w:val="16"/>
          <w:lang w:eastAsia="en-GB"/>
        </w:rPr>
      </w:pPr>
      <w:r w:rsidRPr="00281AB3">
        <w:rPr>
          <w:rFonts w:asciiTheme="minorHAnsi" w:hAnsiTheme="minorHAnsi" w:cs="Arial"/>
          <w:bCs/>
          <w:color w:val="000000"/>
          <w:sz w:val="16"/>
          <w:szCs w:val="16"/>
          <w:lang w:eastAsia="en-GB"/>
        </w:rPr>
        <w:t>10% of the 150 cases being reviewed by the disciplinary committee (15)</w:t>
      </w:r>
    </w:p>
    <w:p w:rsidR="00C7666D" w:rsidRPr="00281AB3" w:rsidRDefault="00C7666D" w:rsidP="00281AB3">
      <w:pPr>
        <w:keepNext/>
        <w:spacing w:after="120" w:line="240" w:lineRule="auto"/>
        <w:ind w:firstLine="720"/>
        <w:jc w:val="both"/>
        <w:rPr>
          <w:rFonts w:asciiTheme="minorHAnsi" w:hAnsiTheme="minorHAnsi" w:cs="Arial"/>
          <w:bCs/>
          <w:color w:val="000000"/>
          <w:sz w:val="16"/>
          <w:szCs w:val="16"/>
          <w:lang w:eastAsia="en-GB"/>
        </w:rPr>
      </w:pPr>
      <w:r w:rsidRPr="00281AB3">
        <w:rPr>
          <w:rFonts w:asciiTheme="minorHAnsi" w:hAnsiTheme="minorHAnsi" w:cs="Arial"/>
          <w:bCs/>
          <w:color w:val="000000"/>
          <w:sz w:val="16"/>
          <w:szCs w:val="16"/>
          <w:lang w:eastAsia="en-GB"/>
        </w:rPr>
        <w:t>5 committee members on each panel</w:t>
      </w:r>
    </w:p>
    <w:p w:rsidR="00C7666D" w:rsidRPr="00281AB3" w:rsidRDefault="00C7666D" w:rsidP="00281AB3">
      <w:pPr>
        <w:keepNext/>
        <w:spacing w:after="120" w:line="240" w:lineRule="auto"/>
        <w:ind w:firstLine="720"/>
        <w:jc w:val="both"/>
        <w:rPr>
          <w:rFonts w:asciiTheme="minorHAnsi" w:hAnsiTheme="minorHAnsi" w:cs="Arial"/>
          <w:bCs/>
          <w:color w:val="000000"/>
          <w:sz w:val="16"/>
          <w:szCs w:val="16"/>
          <w:lang w:eastAsia="en-GB"/>
        </w:rPr>
      </w:pPr>
      <w:r w:rsidRPr="00281AB3">
        <w:rPr>
          <w:rFonts w:asciiTheme="minorHAnsi" w:hAnsiTheme="minorHAnsi" w:cs="Arial"/>
          <w:bCs/>
          <w:color w:val="000000"/>
          <w:sz w:val="16"/>
          <w:szCs w:val="16"/>
          <w:lang w:eastAsia="en-GB"/>
        </w:rPr>
        <w:t>£500 meeting attendance fee per committee member</w:t>
      </w:r>
    </w:p>
    <w:p w:rsidR="00C7666D" w:rsidRPr="00281AB3" w:rsidRDefault="00C7666D" w:rsidP="00281AB3">
      <w:pPr>
        <w:keepNext/>
        <w:spacing w:after="120" w:line="240" w:lineRule="auto"/>
        <w:ind w:firstLine="720"/>
        <w:jc w:val="both"/>
        <w:rPr>
          <w:rFonts w:asciiTheme="minorHAnsi" w:hAnsiTheme="minorHAnsi" w:cs="Arial"/>
          <w:bCs/>
          <w:color w:val="000000"/>
          <w:sz w:val="16"/>
          <w:szCs w:val="16"/>
          <w:lang w:eastAsia="en-GB"/>
        </w:rPr>
      </w:pPr>
      <w:r w:rsidRPr="00281AB3">
        <w:rPr>
          <w:rFonts w:asciiTheme="minorHAnsi" w:hAnsiTheme="minorHAnsi" w:cs="Arial"/>
          <w:bCs/>
          <w:color w:val="000000"/>
          <w:sz w:val="16"/>
          <w:szCs w:val="16"/>
          <w:lang w:eastAsia="en-GB"/>
        </w:rPr>
        <w:t xml:space="preserve">Expenses of £50 per committee hearing </w:t>
      </w:r>
    </w:p>
    <w:p w:rsidR="00C7666D" w:rsidRPr="00281AB3" w:rsidRDefault="00C7666D" w:rsidP="00281AB3">
      <w:pPr>
        <w:keepNext/>
        <w:spacing w:after="120" w:line="240" w:lineRule="auto"/>
        <w:ind w:firstLine="720"/>
        <w:jc w:val="both"/>
        <w:rPr>
          <w:rFonts w:asciiTheme="minorHAnsi" w:hAnsiTheme="minorHAnsi" w:cs="Arial"/>
          <w:bCs/>
          <w:color w:val="000000"/>
          <w:sz w:val="16"/>
          <w:szCs w:val="16"/>
          <w:lang w:eastAsia="en-GB"/>
        </w:rPr>
      </w:pPr>
      <w:r w:rsidRPr="00281AB3">
        <w:rPr>
          <w:rFonts w:asciiTheme="minorHAnsi" w:hAnsiTheme="minorHAnsi" w:cs="Arial"/>
          <w:bCs/>
          <w:color w:val="000000"/>
          <w:sz w:val="16"/>
          <w:szCs w:val="16"/>
          <w:lang w:eastAsia="en-GB"/>
        </w:rPr>
        <w:t>Total cost rounded = (150+15*5*500) + (165*50) = £420,000</w:t>
      </w:r>
    </w:p>
    <w:p w:rsidR="00C7666D" w:rsidRDefault="00C7666D">
      <w:pPr>
        <w:pStyle w:val="FootnoteText"/>
      </w:pPr>
    </w:p>
  </w:footnote>
  <w:footnote w:id="13">
    <w:p w:rsidR="00C7666D" w:rsidRPr="00281AB3" w:rsidRDefault="00C7666D" w:rsidP="00281AB3">
      <w:pPr>
        <w:keepNext/>
        <w:spacing w:after="120"/>
        <w:jc w:val="both"/>
        <w:rPr>
          <w:rFonts w:asciiTheme="minorHAnsi" w:hAnsiTheme="minorHAnsi" w:cs="Arial"/>
          <w:bCs/>
          <w:color w:val="000000"/>
          <w:sz w:val="16"/>
          <w:szCs w:val="16"/>
          <w:lang w:eastAsia="en-GB"/>
        </w:rPr>
      </w:pPr>
      <w:r w:rsidRPr="00281AB3">
        <w:rPr>
          <w:rStyle w:val="FootnoteReference"/>
          <w:rFonts w:asciiTheme="minorHAnsi" w:hAnsiTheme="minorHAnsi"/>
          <w:sz w:val="16"/>
          <w:szCs w:val="16"/>
        </w:rPr>
        <w:footnoteRef/>
      </w:r>
      <w:r w:rsidRPr="00281AB3">
        <w:rPr>
          <w:rFonts w:asciiTheme="minorHAnsi" w:hAnsiTheme="minorHAnsi"/>
          <w:sz w:val="16"/>
          <w:szCs w:val="16"/>
        </w:rPr>
        <w:t xml:space="preserve"> </w:t>
      </w:r>
      <w:r w:rsidRPr="00281AB3">
        <w:rPr>
          <w:rFonts w:asciiTheme="minorHAnsi" w:hAnsiTheme="minorHAnsi" w:cs="Arial"/>
          <w:bCs/>
          <w:color w:val="000000"/>
          <w:sz w:val="16"/>
          <w:szCs w:val="16"/>
          <w:lang w:eastAsia="en-GB"/>
        </w:rPr>
        <w:t>Calculations for appeal process:</w:t>
      </w:r>
      <w:r>
        <w:rPr>
          <w:rFonts w:asciiTheme="minorHAnsi" w:hAnsiTheme="minorHAnsi" w:cs="Arial"/>
          <w:bCs/>
          <w:color w:val="000000"/>
          <w:sz w:val="16"/>
          <w:szCs w:val="16"/>
          <w:lang w:eastAsia="en-GB"/>
        </w:rPr>
        <w:t xml:space="preserve"> </w:t>
      </w:r>
      <w:r w:rsidRPr="00281AB3">
        <w:rPr>
          <w:rFonts w:asciiTheme="minorHAnsi" w:hAnsiTheme="minorHAnsi" w:cs="Arial"/>
          <w:bCs/>
          <w:color w:val="000000"/>
          <w:sz w:val="16"/>
          <w:szCs w:val="16"/>
          <w:lang w:eastAsia="en-GB"/>
        </w:rPr>
        <w:t>Staff and oversight</w:t>
      </w:r>
      <w:r>
        <w:rPr>
          <w:rFonts w:asciiTheme="minorHAnsi" w:hAnsiTheme="minorHAnsi" w:cs="Arial"/>
          <w:bCs/>
          <w:color w:val="000000"/>
          <w:sz w:val="16"/>
          <w:szCs w:val="16"/>
          <w:lang w:eastAsia="en-GB"/>
        </w:rPr>
        <w:t xml:space="preserve"> cost rounded = £2715 *50 cases and a</w:t>
      </w:r>
      <w:r w:rsidRPr="00281AB3">
        <w:rPr>
          <w:rFonts w:asciiTheme="minorHAnsi" w:hAnsiTheme="minorHAnsi" w:cs="Arial"/>
          <w:bCs/>
          <w:color w:val="000000"/>
          <w:sz w:val="16"/>
          <w:szCs w:val="16"/>
          <w:lang w:eastAsia="en-GB"/>
        </w:rPr>
        <w:t>ppeals committee = (£500 per committee member * 5 members * 50 cases) + £50 expenses * 50 cases)</w:t>
      </w:r>
    </w:p>
    <w:p w:rsidR="00C7666D" w:rsidRDefault="00C7666D">
      <w:pPr>
        <w:pStyle w:val="FootnoteText"/>
      </w:pPr>
    </w:p>
  </w:footnote>
  <w:footnote w:id="14">
    <w:p w:rsidR="00C7666D" w:rsidRDefault="00C7666D">
      <w:pPr>
        <w:pStyle w:val="FootnoteText"/>
      </w:pPr>
      <w:r>
        <w:rPr>
          <w:rStyle w:val="FootnoteReference"/>
        </w:rPr>
        <w:footnoteRef/>
      </w:r>
      <w:r>
        <w:t xml:space="preserve"> </w:t>
      </w:r>
      <w:r w:rsidRPr="00C3484F">
        <w:t>http://www.oft.gov.uk/shared_oft/reports/Insolvency/oft1245</w:t>
      </w:r>
    </w:p>
  </w:footnote>
  <w:footnote w:id="15">
    <w:p w:rsidR="00C7666D" w:rsidRDefault="00C7666D">
      <w:pPr>
        <w:pStyle w:val="FootnoteText"/>
      </w:pPr>
      <w:r>
        <w:rPr>
          <w:rStyle w:val="FootnoteReference"/>
        </w:rPr>
        <w:footnoteRef/>
      </w:r>
      <w:r>
        <w:t xml:space="preserve"> </w:t>
      </w:r>
      <w:r w:rsidRPr="00C3484F">
        <w:t>http://www.oft.gov.uk/shared_oft/reports/Insolvency/oft1245</w:t>
      </w:r>
    </w:p>
  </w:footnote>
  <w:footnote w:id="16">
    <w:p w:rsidR="00C7666D" w:rsidRDefault="00C7666D" w:rsidP="004F72C7">
      <w:pPr>
        <w:pStyle w:val="FootnoteText"/>
      </w:pPr>
      <w:r>
        <w:rPr>
          <w:rStyle w:val="FootnoteReference"/>
        </w:rPr>
        <w:footnoteRef/>
      </w:r>
      <w:r>
        <w:t xml:space="preserve"> See Annex 5 of the Green Book for a full discussion of distributional impacts and their calculation. </w:t>
      </w:r>
      <w:hyperlink r:id="rId4" w:history="1">
        <w:r>
          <w:rPr>
            <w:rStyle w:val="Hyperlink"/>
          </w:rPr>
          <w:t>http://www.hm-treasury.gov.uk/data_greenbook_index.htm</w:t>
        </w:r>
      </w:hyperlink>
    </w:p>
  </w:footnote>
  <w:footnote w:id="17">
    <w:p w:rsidR="00C7666D" w:rsidRDefault="00C7666D">
      <w:pPr>
        <w:pStyle w:val="FootnoteText"/>
      </w:pPr>
      <w:r>
        <w:rPr>
          <w:rStyle w:val="FootnoteReference"/>
        </w:rPr>
        <w:footnoteRef/>
      </w:r>
      <w:r>
        <w:t xml:space="preserve"> </w:t>
      </w:r>
      <w:r w:rsidRPr="00F313A1">
        <w:t>http://www.r3.org.uk/media/documents/technical_library/SIPS/SIP9_EW_Payments_to_Insolvency_Office_Holders_and_their_Associates.pdf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D" w:rsidRDefault="00C7666D">
    <w:pPr>
      <w:pStyle w:val="Header"/>
    </w:pPr>
    <w:r>
      <w:t>[Type text]</w:t>
    </w:r>
  </w:p>
  <w:p w:rsidR="00C7666D" w:rsidRDefault="00C76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D" w:rsidRDefault="00C7666D"/>
  <w:p w:rsidR="00C7666D" w:rsidRDefault="00C76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E8"/>
    <w:multiLevelType w:val="hybridMultilevel"/>
    <w:tmpl w:val="F8183C8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04431DFE"/>
    <w:multiLevelType w:val="hybridMultilevel"/>
    <w:tmpl w:val="F8602D6E"/>
    <w:lvl w:ilvl="0" w:tplc="0809000F">
      <w:start w:val="1"/>
      <w:numFmt w:val="decimal"/>
      <w:lvlText w:val="%1."/>
      <w:lvlJc w:val="left"/>
      <w:pPr>
        <w:tabs>
          <w:tab w:val="num" w:pos="833"/>
        </w:tabs>
        <w:ind w:left="833" w:hanging="360"/>
      </w:pPr>
      <w:rPr>
        <w:rFonts w:cs="Times New Roman"/>
      </w:rPr>
    </w:lvl>
    <w:lvl w:ilvl="1" w:tplc="08090019" w:tentative="1">
      <w:start w:val="1"/>
      <w:numFmt w:val="lowerLetter"/>
      <w:lvlText w:val="%2."/>
      <w:lvlJc w:val="left"/>
      <w:pPr>
        <w:tabs>
          <w:tab w:val="num" w:pos="1553"/>
        </w:tabs>
        <w:ind w:left="1553" w:hanging="360"/>
      </w:pPr>
      <w:rPr>
        <w:rFonts w:cs="Times New Roman"/>
      </w:rPr>
    </w:lvl>
    <w:lvl w:ilvl="2" w:tplc="0809001B" w:tentative="1">
      <w:start w:val="1"/>
      <w:numFmt w:val="lowerRoman"/>
      <w:lvlText w:val="%3."/>
      <w:lvlJc w:val="right"/>
      <w:pPr>
        <w:tabs>
          <w:tab w:val="num" w:pos="2273"/>
        </w:tabs>
        <w:ind w:left="2273" w:hanging="180"/>
      </w:pPr>
      <w:rPr>
        <w:rFonts w:cs="Times New Roman"/>
      </w:rPr>
    </w:lvl>
    <w:lvl w:ilvl="3" w:tplc="0809000F" w:tentative="1">
      <w:start w:val="1"/>
      <w:numFmt w:val="decimal"/>
      <w:lvlText w:val="%4."/>
      <w:lvlJc w:val="left"/>
      <w:pPr>
        <w:tabs>
          <w:tab w:val="num" w:pos="2993"/>
        </w:tabs>
        <w:ind w:left="2993" w:hanging="360"/>
      </w:pPr>
      <w:rPr>
        <w:rFonts w:cs="Times New Roman"/>
      </w:rPr>
    </w:lvl>
    <w:lvl w:ilvl="4" w:tplc="08090019" w:tentative="1">
      <w:start w:val="1"/>
      <w:numFmt w:val="lowerLetter"/>
      <w:lvlText w:val="%5."/>
      <w:lvlJc w:val="left"/>
      <w:pPr>
        <w:tabs>
          <w:tab w:val="num" w:pos="3713"/>
        </w:tabs>
        <w:ind w:left="3713" w:hanging="360"/>
      </w:pPr>
      <w:rPr>
        <w:rFonts w:cs="Times New Roman"/>
      </w:rPr>
    </w:lvl>
    <w:lvl w:ilvl="5" w:tplc="0809001B" w:tentative="1">
      <w:start w:val="1"/>
      <w:numFmt w:val="lowerRoman"/>
      <w:lvlText w:val="%6."/>
      <w:lvlJc w:val="right"/>
      <w:pPr>
        <w:tabs>
          <w:tab w:val="num" w:pos="4433"/>
        </w:tabs>
        <w:ind w:left="4433" w:hanging="180"/>
      </w:pPr>
      <w:rPr>
        <w:rFonts w:cs="Times New Roman"/>
      </w:rPr>
    </w:lvl>
    <w:lvl w:ilvl="6" w:tplc="0809000F" w:tentative="1">
      <w:start w:val="1"/>
      <w:numFmt w:val="decimal"/>
      <w:lvlText w:val="%7."/>
      <w:lvlJc w:val="left"/>
      <w:pPr>
        <w:tabs>
          <w:tab w:val="num" w:pos="5153"/>
        </w:tabs>
        <w:ind w:left="5153" w:hanging="360"/>
      </w:pPr>
      <w:rPr>
        <w:rFonts w:cs="Times New Roman"/>
      </w:rPr>
    </w:lvl>
    <w:lvl w:ilvl="7" w:tplc="08090019" w:tentative="1">
      <w:start w:val="1"/>
      <w:numFmt w:val="lowerLetter"/>
      <w:lvlText w:val="%8."/>
      <w:lvlJc w:val="left"/>
      <w:pPr>
        <w:tabs>
          <w:tab w:val="num" w:pos="5873"/>
        </w:tabs>
        <w:ind w:left="5873" w:hanging="360"/>
      </w:pPr>
      <w:rPr>
        <w:rFonts w:cs="Times New Roman"/>
      </w:rPr>
    </w:lvl>
    <w:lvl w:ilvl="8" w:tplc="0809001B" w:tentative="1">
      <w:start w:val="1"/>
      <w:numFmt w:val="lowerRoman"/>
      <w:lvlText w:val="%9."/>
      <w:lvlJc w:val="right"/>
      <w:pPr>
        <w:tabs>
          <w:tab w:val="num" w:pos="6593"/>
        </w:tabs>
        <w:ind w:left="6593" w:hanging="180"/>
      </w:pPr>
      <w:rPr>
        <w:rFonts w:cs="Times New Roman"/>
      </w:rPr>
    </w:lvl>
  </w:abstractNum>
  <w:abstractNum w:abstractNumId="2">
    <w:nsid w:val="0DBD3FFA"/>
    <w:multiLevelType w:val="hybridMultilevel"/>
    <w:tmpl w:val="3FA051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71C4755"/>
    <w:multiLevelType w:val="hybridMultilevel"/>
    <w:tmpl w:val="7848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1089"/>
    <w:multiLevelType w:val="hybridMultilevel"/>
    <w:tmpl w:val="006A28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242855E1"/>
    <w:multiLevelType w:val="hybridMultilevel"/>
    <w:tmpl w:val="1602D070"/>
    <w:lvl w:ilvl="0" w:tplc="9A564890">
      <w:start w:val="1"/>
      <w:numFmt w:val="lowerRoman"/>
      <w:lvlText w:val="%1)"/>
      <w:lvlJc w:val="left"/>
      <w:pPr>
        <w:tabs>
          <w:tab w:val="num" w:pos="2160"/>
        </w:tabs>
        <w:ind w:left="2160" w:hanging="720"/>
      </w:pPr>
      <w:rPr>
        <w:rFonts w:cs="Times New Roman"/>
      </w:rPr>
    </w:lvl>
    <w:lvl w:ilvl="1" w:tplc="08090019">
      <w:start w:val="1"/>
      <w:numFmt w:val="decimal"/>
      <w:lvlText w:val="%2."/>
      <w:lvlJc w:val="left"/>
      <w:pPr>
        <w:tabs>
          <w:tab w:val="num" w:pos="2520"/>
        </w:tabs>
        <w:ind w:left="2520" w:hanging="360"/>
      </w:pPr>
      <w:rPr>
        <w:rFonts w:cs="Times New Roman"/>
      </w:rPr>
    </w:lvl>
    <w:lvl w:ilvl="2" w:tplc="0809001B">
      <w:start w:val="1"/>
      <w:numFmt w:val="decimal"/>
      <w:lvlText w:val="%3."/>
      <w:lvlJc w:val="left"/>
      <w:pPr>
        <w:tabs>
          <w:tab w:val="num" w:pos="3240"/>
        </w:tabs>
        <w:ind w:left="3240" w:hanging="36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decimal"/>
      <w:lvlText w:val="%5."/>
      <w:lvlJc w:val="left"/>
      <w:pPr>
        <w:tabs>
          <w:tab w:val="num" w:pos="4680"/>
        </w:tabs>
        <w:ind w:left="4680" w:hanging="360"/>
      </w:pPr>
      <w:rPr>
        <w:rFonts w:cs="Times New Roman"/>
      </w:rPr>
    </w:lvl>
    <w:lvl w:ilvl="5" w:tplc="0809001B">
      <w:start w:val="1"/>
      <w:numFmt w:val="decimal"/>
      <w:lvlText w:val="%6."/>
      <w:lvlJc w:val="left"/>
      <w:pPr>
        <w:tabs>
          <w:tab w:val="num" w:pos="5400"/>
        </w:tabs>
        <w:ind w:left="5400" w:hanging="36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decimal"/>
      <w:lvlText w:val="%8."/>
      <w:lvlJc w:val="left"/>
      <w:pPr>
        <w:tabs>
          <w:tab w:val="num" w:pos="6840"/>
        </w:tabs>
        <w:ind w:left="6840" w:hanging="360"/>
      </w:pPr>
      <w:rPr>
        <w:rFonts w:cs="Times New Roman"/>
      </w:rPr>
    </w:lvl>
    <w:lvl w:ilvl="8" w:tplc="0809001B">
      <w:start w:val="1"/>
      <w:numFmt w:val="decimal"/>
      <w:lvlText w:val="%9."/>
      <w:lvlJc w:val="left"/>
      <w:pPr>
        <w:tabs>
          <w:tab w:val="num" w:pos="7560"/>
        </w:tabs>
        <w:ind w:left="7560" w:hanging="360"/>
      </w:pPr>
      <w:rPr>
        <w:rFonts w:cs="Times New Roman"/>
      </w:rPr>
    </w:lvl>
  </w:abstractNum>
  <w:abstractNum w:abstractNumId="6">
    <w:nsid w:val="283F27A3"/>
    <w:multiLevelType w:val="hybridMultilevel"/>
    <w:tmpl w:val="A9B28D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99259D"/>
    <w:multiLevelType w:val="hybridMultilevel"/>
    <w:tmpl w:val="C5DE6818"/>
    <w:lvl w:ilvl="0" w:tplc="A8CAC08A">
      <w:start w:val="1"/>
      <w:numFmt w:val="decimal"/>
      <w:lvlText w:val="%1."/>
      <w:lvlJc w:val="left"/>
      <w:pPr>
        <w:tabs>
          <w:tab w:val="num" w:pos="502"/>
        </w:tabs>
        <w:ind w:left="502"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FD53F69"/>
    <w:multiLevelType w:val="hybridMultilevel"/>
    <w:tmpl w:val="146CCC46"/>
    <w:lvl w:ilvl="0" w:tplc="B5D8BB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BE79FC"/>
    <w:multiLevelType w:val="hybridMultilevel"/>
    <w:tmpl w:val="1770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443BE3"/>
    <w:multiLevelType w:val="hybridMultilevel"/>
    <w:tmpl w:val="CB262618"/>
    <w:lvl w:ilvl="0" w:tplc="A8CAC08A">
      <w:start w:val="1"/>
      <w:numFmt w:val="decimal"/>
      <w:lvlText w:val="%1."/>
      <w:lvlJc w:val="left"/>
      <w:pPr>
        <w:tabs>
          <w:tab w:val="num" w:pos="360"/>
        </w:tabs>
        <w:ind w:left="36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6D1258"/>
    <w:multiLevelType w:val="hybridMultilevel"/>
    <w:tmpl w:val="CF2EBF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B741D0A"/>
    <w:multiLevelType w:val="hybridMultilevel"/>
    <w:tmpl w:val="682254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41301019"/>
    <w:multiLevelType w:val="hybridMultilevel"/>
    <w:tmpl w:val="F5A09202"/>
    <w:lvl w:ilvl="0" w:tplc="BAA4980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2E74760"/>
    <w:multiLevelType w:val="hybridMultilevel"/>
    <w:tmpl w:val="A544C2EC"/>
    <w:lvl w:ilvl="0" w:tplc="008EBD82">
      <w:start w:val="1"/>
      <w:numFmt w:val="lowerRoman"/>
      <w:lvlText w:val="%1)"/>
      <w:lvlJc w:val="left"/>
      <w:pPr>
        <w:tabs>
          <w:tab w:val="num" w:pos="2160"/>
        </w:tabs>
        <w:ind w:left="2160" w:hanging="720"/>
      </w:pPr>
      <w:rPr>
        <w:rFonts w:cs="Times New Roman"/>
      </w:rPr>
    </w:lvl>
    <w:lvl w:ilvl="1" w:tplc="08090019">
      <w:start w:val="1"/>
      <w:numFmt w:val="decimal"/>
      <w:lvlText w:val="%2."/>
      <w:lvlJc w:val="left"/>
      <w:pPr>
        <w:tabs>
          <w:tab w:val="num" w:pos="2520"/>
        </w:tabs>
        <w:ind w:left="2520" w:hanging="360"/>
      </w:pPr>
      <w:rPr>
        <w:rFonts w:cs="Times New Roman"/>
      </w:rPr>
    </w:lvl>
    <w:lvl w:ilvl="2" w:tplc="0809001B">
      <w:start w:val="1"/>
      <w:numFmt w:val="decimal"/>
      <w:lvlText w:val="%3."/>
      <w:lvlJc w:val="left"/>
      <w:pPr>
        <w:tabs>
          <w:tab w:val="num" w:pos="3240"/>
        </w:tabs>
        <w:ind w:left="3240" w:hanging="36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decimal"/>
      <w:lvlText w:val="%5."/>
      <w:lvlJc w:val="left"/>
      <w:pPr>
        <w:tabs>
          <w:tab w:val="num" w:pos="4680"/>
        </w:tabs>
        <w:ind w:left="4680" w:hanging="360"/>
      </w:pPr>
      <w:rPr>
        <w:rFonts w:cs="Times New Roman"/>
      </w:rPr>
    </w:lvl>
    <w:lvl w:ilvl="5" w:tplc="0809001B">
      <w:start w:val="1"/>
      <w:numFmt w:val="decimal"/>
      <w:lvlText w:val="%6."/>
      <w:lvlJc w:val="left"/>
      <w:pPr>
        <w:tabs>
          <w:tab w:val="num" w:pos="5400"/>
        </w:tabs>
        <w:ind w:left="5400" w:hanging="36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decimal"/>
      <w:lvlText w:val="%8."/>
      <w:lvlJc w:val="left"/>
      <w:pPr>
        <w:tabs>
          <w:tab w:val="num" w:pos="6840"/>
        </w:tabs>
        <w:ind w:left="6840" w:hanging="360"/>
      </w:pPr>
      <w:rPr>
        <w:rFonts w:cs="Times New Roman"/>
      </w:rPr>
    </w:lvl>
    <w:lvl w:ilvl="8" w:tplc="0809001B">
      <w:start w:val="1"/>
      <w:numFmt w:val="decimal"/>
      <w:lvlText w:val="%9."/>
      <w:lvlJc w:val="left"/>
      <w:pPr>
        <w:tabs>
          <w:tab w:val="num" w:pos="7560"/>
        </w:tabs>
        <w:ind w:left="7560" w:hanging="360"/>
      </w:pPr>
      <w:rPr>
        <w:rFonts w:cs="Times New Roman"/>
      </w:rPr>
    </w:lvl>
  </w:abstractNum>
  <w:abstractNum w:abstractNumId="16">
    <w:nsid w:val="48FC33E2"/>
    <w:multiLevelType w:val="hybridMultilevel"/>
    <w:tmpl w:val="4AA64356"/>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nsid w:val="6AD963E7"/>
    <w:multiLevelType w:val="hybridMultilevel"/>
    <w:tmpl w:val="CC10188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6C640E36"/>
    <w:multiLevelType w:val="hybridMultilevel"/>
    <w:tmpl w:val="36EA1120"/>
    <w:lvl w:ilvl="0" w:tplc="A8CAC08A">
      <w:start w:val="1"/>
      <w:numFmt w:val="decimal"/>
      <w:lvlText w:val="%1."/>
      <w:lvlJc w:val="left"/>
      <w:pPr>
        <w:tabs>
          <w:tab w:val="num" w:pos="502"/>
        </w:tabs>
        <w:ind w:left="502"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65229E"/>
    <w:multiLevelType w:val="hybridMultilevel"/>
    <w:tmpl w:val="92C4D2D6"/>
    <w:lvl w:ilvl="0" w:tplc="08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786EBB"/>
    <w:multiLevelType w:val="hybridMultilevel"/>
    <w:tmpl w:val="8FBCB5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73E902C3"/>
    <w:multiLevelType w:val="hybridMultilevel"/>
    <w:tmpl w:val="24622CF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3">
    <w:nsid w:val="74843375"/>
    <w:multiLevelType w:val="hybridMultilevel"/>
    <w:tmpl w:val="B47EC9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77A11C1E"/>
    <w:multiLevelType w:val="hybridMultilevel"/>
    <w:tmpl w:val="AB161A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7A862858"/>
    <w:multiLevelType w:val="hybridMultilevel"/>
    <w:tmpl w:val="C3A2B2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7D6721FF"/>
    <w:multiLevelType w:val="multilevel"/>
    <w:tmpl w:val="A142D2EE"/>
    <w:lvl w:ilvl="0">
      <w:start w:val="1"/>
      <w:numFmt w:val="decimal"/>
      <w:lvlText w:val="1.%1"/>
      <w:lvlJc w:val="left"/>
      <w:pPr>
        <w:tabs>
          <w:tab w:val="num" w:pos="360"/>
        </w:tabs>
        <w:ind w:left="360" w:hanging="360"/>
      </w:pPr>
      <w:rPr>
        <w:b w:val="0"/>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E0C65AA"/>
    <w:multiLevelType w:val="hybridMultilevel"/>
    <w:tmpl w:val="11F412FE"/>
    <w:lvl w:ilvl="0" w:tplc="04090001">
      <w:start w:val="1"/>
      <w:numFmt w:val="bullet"/>
      <w:lvlText w:val=""/>
      <w:lvlJc w:val="left"/>
      <w:pPr>
        <w:tabs>
          <w:tab w:val="num" w:pos="1440"/>
        </w:tabs>
        <w:ind w:left="1440" w:hanging="360"/>
      </w:pPr>
      <w:rPr>
        <w:rFonts w:ascii="Symbol" w:hAnsi="Symbol" w:hint="default"/>
        <w:b w:val="0"/>
      </w:rPr>
    </w:lvl>
    <w:lvl w:ilvl="1" w:tplc="04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8"/>
  </w:num>
  <w:num w:numId="2">
    <w:abstractNumId w:val="2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7"/>
  </w:num>
  <w:num w:numId="9">
    <w:abstractNumId w:val="16"/>
  </w:num>
  <w:num w:numId="10">
    <w:abstractNumId w:val="14"/>
  </w:num>
  <w:num w:numId="11">
    <w:abstractNumId w:val="13"/>
  </w:num>
  <w:num w:numId="12">
    <w:abstractNumId w:val="20"/>
  </w:num>
  <w:num w:numId="13">
    <w:abstractNumId w:val="23"/>
  </w:num>
  <w:num w:numId="14">
    <w:abstractNumId w:val="2"/>
  </w:num>
  <w:num w:numId="15">
    <w:abstractNumId w:val="11"/>
  </w:num>
  <w:num w:numId="16">
    <w:abstractNumId w:val="19"/>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7"/>
  </w:num>
  <w:num w:numId="24">
    <w:abstractNumId w:val="6"/>
  </w:num>
  <w:num w:numId="25">
    <w:abstractNumId w:val="3"/>
  </w:num>
  <w:num w:numId="26">
    <w:abstractNumId w:val="10"/>
  </w:num>
  <w:num w:numId="27">
    <w:abstractNumId w:val="12"/>
  </w:num>
  <w:num w:numId="28">
    <w:abstractNumId w:val="24"/>
  </w:num>
  <w:num w:numId="29">
    <w:abstractNumId w:val="4"/>
  </w:num>
  <w:num w:numId="30">
    <w:abstractNumId w:val="25"/>
  </w:num>
  <w:num w:numId="31">
    <w:abstractNumId w:val="18"/>
  </w:num>
  <w:num w:numId="32">
    <w:abstractNumId w:val="9"/>
  </w:num>
  <w:num w:numId="33">
    <w:abstractNumId w:val="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32"/>
    <w:rsid w:val="00010313"/>
    <w:rsid w:val="00017DEC"/>
    <w:rsid w:val="00030D90"/>
    <w:rsid w:val="00042EFA"/>
    <w:rsid w:val="0006029F"/>
    <w:rsid w:val="00066281"/>
    <w:rsid w:val="00083281"/>
    <w:rsid w:val="00091A2F"/>
    <w:rsid w:val="000A0227"/>
    <w:rsid w:val="000C1991"/>
    <w:rsid w:val="000C1A95"/>
    <w:rsid w:val="000D0927"/>
    <w:rsid w:val="000D372E"/>
    <w:rsid w:val="000E40E9"/>
    <w:rsid w:val="000F2B33"/>
    <w:rsid w:val="000F7143"/>
    <w:rsid w:val="00116EF2"/>
    <w:rsid w:val="00130BEE"/>
    <w:rsid w:val="00165AA9"/>
    <w:rsid w:val="00176F07"/>
    <w:rsid w:val="00180922"/>
    <w:rsid w:val="00185EBA"/>
    <w:rsid w:val="001C2DA7"/>
    <w:rsid w:val="001D21F4"/>
    <w:rsid w:val="002251AE"/>
    <w:rsid w:val="00234018"/>
    <w:rsid w:val="00235BE5"/>
    <w:rsid w:val="0024540C"/>
    <w:rsid w:val="00270C60"/>
    <w:rsid w:val="00280BEE"/>
    <w:rsid w:val="00281AB3"/>
    <w:rsid w:val="002841F0"/>
    <w:rsid w:val="00287E45"/>
    <w:rsid w:val="002A0126"/>
    <w:rsid w:val="002C5B32"/>
    <w:rsid w:val="002D11C7"/>
    <w:rsid w:val="002E1878"/>
    <w:rsid w:val="002F04F8"/>
    <w:rsid w:val="002F4B86"/>
    <w:rsid w:val="003130D6"/>
    <w:rsid w:val="003165D7"/>
    <w:rsid w:val="00324B7E"/>
    <w:rsid w:val="00326425"/>
    <w:rsid w:val="00340696"/>
    <w:rsid w:val="00345B66"/>
    <w:rsid w:val="00373C8B"/>
    <w:rsid w:val="003936F6"/>
    <w:rsid w:val="003960FC"/>
    <w:rsid w:val="00396C15"/>
    <w:rsid w:val="003B286A"/>
    <w:rsid w:val="003B7264"/>
    <w:rsid w:val="003C7276"/>
    <w:rsid w:val="003D1194"/>
    <w:rsid w:val="003D29EB"/>
    <w:rsid w:val="003F18CB"/>
    <w:rsid w:val="003F3113"/>
    <w:rsid w:val="0040034A"/>
    <w:rsid w:val="00441350"/>
    <w:rsid w:val="00452FDA"/>
    <w:rsid w:val="00475F5D"/>
    <w:rsid w:val="00477EE0"/>
    <w:rsid w:val="004A0E30"/>
    <w:rsid w:val="004A1FDE"/>
    <w:rsid w:val="004B1B72"/>
    <w:rsid w:val="004F0D9F"/>
    <w:rsid w:val="004F2596"/>
    <w:rsid w:val="004F2AFA"/>
    <w:rsid w:val="004F2D3E"/>
    <w:rsid w:val="004F49E6"/>
    <w:rsid w:val="004F72C7"/>
    <w:rsid w:val="00501FD9"/>
    <w:rsid w:val="00505642"/>
    <w:rsid w:val="005128BC"/>
    <w:rsid w:val="00532757"/>
    <w:rsid w:val="0055000C"/>
    <w:rsid w:val="005520D8"/>
    <w:rsid w:val="0055248F"/>
    <w:rsid w:val="005651DC"/>
    <w:rsid w:val="005745C8"/>
    <w:rsid w:val="0057472C"/>
    <w:rsid w:val="00593546"/>
    <w:rsid w:val="005B1579"/>
    <w:rsid w:val="005C099B"/>
    <w:rsid w:val="005D3444"/>
    <w:rsid w:val="005D518E"/>
    <w:rsid w:val="00611E03"/>
    <w:rsid w:val="00621DAD"/>
    <w:rsid w:val="00627A92"/>
    <w:rsid w:val="0063068B"/>
    <w:rsid w:val="006430D0"/>
    <w:rsid w:val="00643640"/>
    <w:rsid w:val="0066755D"/>
    <w:rsid w:val="00671450"/>
    <w:rsid w:val="006720AB"/>
    <w:rsid w:val="006728A0"/>
    <w:rsid w:val="00674E60"/>
    <w:rsid w:val="006840C4"/>
    <w:rsid w:val="00695991"/>
    <w:rsid w:val="006C4805"/>
    <w:rsid w:val="006C6FD9"/>
    <w:rsid w:val="006D5333"/>
    <w:rsid w:val="006E3D82"/>
    <w:rsid w:val="006E4F9D"/>
    <w:rsid w:val="006E6DE6"/>
    <w:rsid w:val="006F04A9"/>
    <w:rsid w:val="006F0E0E"/>
    <w:rsid w:val="006F6873"/>
    <w:rsid w:val="00714100"/>
    <w:rsid w:val="00742D9D"/>
    <w:rsid w:val="00743CB1"/>
    <w:rsid w:val="00783387"/>
    <w:rsid w:val="00784591"/>
    <w:rsid w:val="007A4DC4"/>
    <w:rsid w:val="007B3132"/>
    <w:rsid w:val="007E71B3"/>
    <w:rsid w:val="007F1E24"/>
    <w:rsid w:val="00806BCB"/>
    <w:rsid w:val="008114A2"/>
    <w:rsid w:val="00831471"/>
    <w:rsid w:val="00843D5E"/>
    <w:rsid w:val="00892D47"/>
    <w:rsid w:val="00895321"/>
    <w:rsid w:val="008A7536"/>
    <w:rsid w:val="008B796E"/>
    <w:rsid w:val="008D57D6"/>
    <w:rsid w:val="0094134F"/>
    <w:rsid w:val="00943F6D"/>
    <w:rsid w:val="009563C5"/>
    <w:rsid w:val="0097099E"/>
    <w:rsid w:val="0097768E"/>
    <w:rsid w:val="00987CB5"/>
    <w:rsid w:val="00992F39"/>
    <w:rsid w:val="009B470A"/>
    <w:rsid w:val="009F12C1"/>
    <w:rsid w:val="00A00A3B"/>
    <w:rsid w:val="00A0228D"/>
    <w:rsid w:val="00A30EBD"/>
    <w:rsid w:val="00A573ED"/>
    <w:rsid w:val="00A67A1F"/>
    <w:rsid w:val="00A72985"/>
    <w:rsid w:val="00A923F8"/>
    <w:rsid w:val="00A96A81"/>
    <w:rsid w:val="00AB4323"/>
    <w:rsid w:val="00AB65E9"/>
    <w:rsid w:val="00AE4A4A"/>
    <w:rsid w:val="00AF2328"/>
    <w:rsid w:val="00B26756"/>
    <w:rsid w:val="00B55458"/>
    <w:rsid w:val="00B66C06"/>
    <w:rsid w:val="00B71B4E"/>
    <w:rsid w:val="00B769B4"/>
    <w:rsid w:val="00B86C0A"/>
    <w:rsid w:val="00BA1A4E"/>
    <w:rsid w:val="00BA231D"/>
    <w:rsid w:val="00BD7236"/>
    <w:rsid w:val="00BE6072"/>
    <w:rsid w:val="00BF2ADD"/>
    <w:rsid w:val="00C0704F"/>
    <w:rsid w:val="00C123C2"/>
    <w:rsid w:val="00C24D04"/>
    <w:rsid w:val="00C3484F"/>
    <w:rsid w:val="00C55230"/>
    <w:rsid w:val="00C56865"/>
    <w:rsid w:val="00C7666D"/>
    <w:rsid w:val="00C90E7F"/>
    <w:rsid w:val="00CA72DC"/>
    <w:rsid w:val="00CF3154"/>
    <w:rsid w:val="00CF4B35"/>
    <w:rsid w:val="00D019AD"/>
    <w:rsid w:val="00D04110"/>
    <w:rsid w:val="00D13564"/>
    <w:rsid w:val="00D258ED"/>
    <w:rsid w:val="00D30A68"/>
    <w:rsid w:val="00D3157E"/>
    <w:rsid w:val="00D516CE"/>
    <w:rsid w:val="00D53921"/>
    <w:rsid w:val="00D55DAF"/>
    <w:rsid w:val="00D8724A"/>
    <w:rsid w:val="00DA7D77"/>
    <w:rsid w:val="00DB5C52"/>
    <w:rsid w:val="00DC23FE"/>
    <w:rsid w:val="00DC767B"/>
    <w:rsid w:val="00DD341A"/>
    <w:rsid w:val="00DD4AEB"/>
    <w:rsid w:val="00DD7E2A"/>
    <w:rsid w:val="00E0234F"/>
    <w:rsid w:val="00E03F7C"/>
    <w:rsid w:val="00E07BDF"/>
    <w:rsid w:val="00E16072"/>
    <w:rsid w:val="00E22210"/>
    <w:rsid w:val="00E42FF4"/>
    <w:rsid w:val="00E448CD"/>
    <w:rsid w:val="00E54963"/>
    <w:rsid w:val="00E62250"/>
    <w:rsid w:val="00E65474"/>
    <w:rsid w:val="00E75C7F"/>
    <w:rsid w:val="00E83C6E"/>
    <w:rsid w:val="00EB43FD"/>
    <w:rsid w:val="00EF1E44"/>
    <w:rsid w:val="00F01332"/>
    <w:rsid w:val="00F24F15"/>
    <w:rsid w:val="00F3091C"/>
    <w:rsid w:val="00F313A1"/>
    <w:rsid w:val="00F34B9B"/>
    <w:rsid w:val="00F367C8"/>
    <w:rsid w:val="00F54F1F"/>
    <w:rsid w:val="00F6470C"/>
    <w:rsid w:val="00F651E4"/>
    <w:rsid w:val="00F70BCC"/>
    <w:rsid w:val="00F7754A"/>
    <w:rsid w:val="00FA1DAD"/>
    <w:rsid w:val="00FB622B"/>
    <w:rsid w:val="00FC70EA"/>
    <w:rsid w:val="00FD1D99"/>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3640"/>
    <w:pPr>
      <w:spacing w:after="200" w:line="276" w:lineRule="auto"/>
    </w:pPr>
    <w:rPr>
      <w:lang w:eastAsia="en-US"/>
    </w:rPr>
  </w:style>
  <w:style w:type="paragraph" w:styleId="Heading1">
    <w:name w:val="heading 1"/>
    <w:basedOn w:val="Normal"/>
    <w:next w:val="Normal"/>
    <w:link w:val="Heading1Char"/>
    <w:uiPriority w:val="99"/>
    <w:qFormat/>
    <w:rsid w:val="00F01332"/>
    <w:pPr>
      <w:keepNext/>
      <w:tabs>
        <w:tab w:val="right" w:pos="10206"/>
      </w:tabs>
      <w:spacing w:before="240" w:after="60" w:line="240" w:lineRule="auto"/>
      <w:outlineLvl w:val="0"/>
    </w:pPr>
    <w:rPr>
      <w:rFonts w:ascii="Arial Bold" w:eastAsia="Times New Roman" w:hAnsi="Arial Bold" w:cs="Arial"/>
      <w:b/>
      <w:bCs/>
      <w:spacing w:val="-4"/>
      <w:kern w:val="32"/>
      <w:sz w:val="32"/>
      <w:szCs w:val="32"/>
    </w:rPr>
  </w:style>
  <w:style w:type="paragraph" w:styleId="Heading2">
    <w:name w:val="heading 2"/>
    <w:aliases w:val="EBHeading1"/>
    <w:basedOn w:val="Normal"/>
    <w:next w:val="EBBodyPara"/>
    <w:link w:val="Heading2Char"/>
    <w:uiPriority w:val="99"/>
    <w:qFormat/>
    <w:rsid w:val="00F01332"/>
    <w:pPr>
      <w:keepNext/>
      <w:keepLines/>
      <w:spacing w:before="480" w:after="240" w:line="240" w:lineRule="auto"/>
      <w:outlineLvl w:val="1"/>
    </w:pPr>
    <w:rPr>
      <w:rFonts w:ascii="Arial" w:eastAsia="Times New Roman" w:hAnsi="Arial" w:cs="Arial"/>
      <w:bCs/>
      <w:color w:val="000000"/>
      <w:sz w:val="32"/>
      <w:lang w:eastAsia="en-GB"/>
    </w:rPr>
  </w:style>
  <w:style w:type="paragraph" w:styleId="Heading3">
    <w:name w:val="heading 3"/>
    <w:aliases w:val="EBHeading2"/>
    <w:basedOn w:val="Normal"/>
    <w:next w:val="EBBodyPara"/>
    <w:link w:val="Heading3Char"/>
    <w:uiPriority w:val="99"/>
    <w:qFormat/>
    <w:rsid w:val="00F01332"/>
    <w:pPr>
      <w:keepNext/>
      <w:keepLines/>
      <w:spacing w:before="360" w:after="240" w:line="240" w:lineRule="auto"/>
      <w:outlineLvl w:val="2"/>
    </w:pPr>
    <w:rPr>
      <w:rFonts w:ascii="Arial" w:eastAsia="Times New Roman" w:hAnsi="Arial" w:cs="Arial"/>
      <w:b/>
      <w:bCs/>
      <w:color w:val="000000"/>
      <w:sz w:val="24"/>
      <w:lang w:eastAsia="en-GB"/>
    </w:rPr>
  </w:style>
  <w:style w:type="paragraph" w:styleId="Heading4">
    <w:name w:val="heading 4"/>
    <w:aliases w:val="EBHeading3"/>
    <w:basedOn w:val="EBBodyPara"/>
    <w:next w:val="Normal"/>
    <w:link w:val="Heading4Char"/>
    <w:uiPriority w:val="99"/>
    <w:qFormat/>
    <w:rsid w:val="00F01332"/>
    <w:pPr>
      <w:spacing w:before="240"/>
      <w:outlineLvl w:val="3"/>
    </w:pPr>
    <w:rPr>
      <w:b/>
    </w:rPr>
  </w:style>
  <w:style w:type="paragraph" w:styleId="Heading5">
    <w:name w:val="heading 5"/>
    <w:aliases w:val="EBHeading4"/>
    <w:basedOn w:val="Normal"/>
    <w:next w:val="Normal"/>
    <w:link w:val="Heading5Char"/>
    <w:uiPriority w:val="99"/>
    <w:qFormat/>
    <w:rsid w:val="00F01332"/>
    <w:pPr>
      <w:spacing w:before="240" w:after="120" w:line="240" w:lineRule="auto"/>
      <w:outlineLvl w:val="4"/>
    </w:pPr>
    <w:rPr>
      <w:rFonts w:ascii="Arial" w:eastAsia="Times New Roman" w:hAnsi="Arial"/>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332"/>
    <w:rPr>
      <w:rFonts w:ascii="Arial Bold" w:hAnsi="Arial Bold" w:cs="Arial"/>
      <w:b/>
      <w:bCs/>
      <w:spacing w:val="-4"/>
      <w:kern w:val="32"/>
      <w:sz w:val="32"/>
      <w:szCs w:val="32"/>
    </w:rPr>
  </w:style>
  <w:style w:type="character" w:customStyle="1" w:styleId="Heading2Char">
    <w:name w:val="Heading 2 Char"/>
    <w:aliases w:val="EBHeading1 Char"/>
    <w:basedOn w:val="DefaultParagraphFont"/>
    <w:link w:val="Heading2"/>
    <w:uiPriority w:val="99"/>
    <w:locked/>
    <w:rsid w:val="00F01332"/>
    <w:rPr>
      <w:rFonts w:ascii="Arial" w:hAnsi="Arial" w:cs="Arial"/>
      <w:bCs/>
      <w:color w:val="000000"/>
      <w:sz w:val="32"/>
      <w:lang w:eastAsia="en-GB"/>
    </w:rPr>
  </w:style>
  <w:style w:type="character" w:customStyle="1" w:styleId="Heading3Char">
    <w:name w:val="Heading 3 Char"/>
    <w:aliases w:val="EBHeading2 Char"/>
    <w:basedOn w:val="DefaultParagraphFont"/>
    <w:link w:val="Heading3"/>
    <w:uiPriority w:val="99"/>
    <w:locked/>
    <w:rsid w:val="00F01332"/>
    <w:rPr>
      <w:rFonts w:ascii="Arial" w:hAnsi="Arial" w:cs="Arial"/>
      <w:b/>
      <w:bCs/>
      <w:color w:val="000000"/>
      <w:sz w:val="24"/>
      <w:lang w:eastAsia="en-GB"/>
    </w:rPr>
  </w:style>
  <w:style w:type="character" w:customStyle="1" w:styleId="Heading4Char">
    <w:name w:val="Heading 4 Char"/>
    <w:aliases w:val="EBHeading3 Char"/>
    <w:basedOn w:val="DefaultParagraphFont"/>
    <w:link w:val="Heading4"/>
    <w:uiPriority w:val="99"/>
    <w:locked/>
    <w:rsid w:val="00F01332"/>
    <w:rPr>
      <w:rFonts w:ascii="Arial" w:hAnsi="Arial" w:cs="Arial"/>
      <w:b/>
      <w:bCs/>
      <w:color w:val="000000"/>
      <w:lang w:eastAsia="en-GB"/>
    </w:rPr>
  </w:style>
  <w:style w:type="character" w:customStyle="1" w:styleId="Heading5Char">
    <w:name w:val="Heading 5 Char"/>
    <w:aliases w:val="EBHeading4 Char"/>
    <w:basedOn w:val="DefaultParagraphFont"/>
    <w:link w:val="Heading5"/>
    <w:uiPriority w:val="99"/>
    <w:locked/>
    <w:rsid w:val="00F01332"/>
    <w:rPr>
      <w:rFonts w:ascii="Arial" w:hAnsi="Arial" w:cs="Times New Roman"/>
      <w:bCs/>
      <w:i/>
      <w:iCs/>
      <w:sz w:val="26"/>
      <w:szCs w:val="26"/>
    </w:rPr>
  </w:style>
  <w:style w:type="paragraph" w:customStyle="1" w:styleId="IATableLabel">
    <w:name w:val="IATableLabel"/>
    <w:basedOn w:val="Normal"/>
    <w:link w:val="IATableLabelCharChar"/>
    <w:uiPriority w:val="99"/>
    <w:rsid w:val="00F01332"/>
    <w:pPr>
      <w:spacing w:before="50" w:after="50" w:line="240" w:lineRule="auto"/>
      <w:ind w:left="113" w:right="113"/>
    </w:pPr>
    <w:rPr>
      <w:rFonts w:ascii="Arial" w:eastAsia="SimSun" w:hAnsi="Arial"/>
      <w:b/>
      <w:color w:val="000000"/>
      <w:spacing w:val="-5"/>
      <w:sz w:val="20"/>
      <w:szCs w:val="20"/>
      <w:lang w:eastAsia="zh-CN"/>
    </w:rPr>
  </w:style>
  <w:style w:type="character" w:customStyle="1" w:styleId="IATableLabelCharChar">
    <w:name w:val="IATableLabel Char Char"/>
    <w:link w:val="IATableLabel"/>
    <w:uiPriority w:val="99"/>
    <w:locked/>
    <w:rsid w:val="00F01332"/>
    <w:rPr>
      <w:rFonts w:ascii="Arial" w:eastAsia="SimSun" w:hAnsi="Arial"/>
      <w:b/>
      <w:color w:val="000000"/>
      <w:spacing w:val="-5"/>
      <w:sz w:val="20"/>
      <w:lang w:eastAsia="zh-CN"/>
    </w:rPr>
  </w:style>
  <w:style w:type="paragraph" w:customStyle="1" w:styleId="IASpacer">
    <w:name w:val="IASpacer"/>
    <w:basedOn w:val="Normal"/>
    <w:uiPriority w:val="99"/>
    <w:rsid w:val="00F01332"/>
    <w:pPr>
      <w:spacing w:after="0" w:line="80" w:lineRule="exact"/>
    </w:pPr>
    <w:rPr>
      <w:rFonts w:ascii="Arial" w:eastAsia="SimSun" w:hAnsi="Arial"/>
      <w:szCs w:val="24"/>
      <w:lang w:eastAsia="zh-CN"/>
    </w:rPr>
  </w:style>
  <w:style w:type="paragraph" w:customStyle="1" w:styleId="IATableText">
    <w:name w:val="IATableText"/>
    <w:basedOn w:val="IATableLabel"/>
    <w:link w:val="IATableTextChar"/>
    <w:uiPriority w:val="99"/>
    <w:rsid w:val="00F01332"/>
    <w:rPr>
      <w:b w:val="0"/>
      <w:color w:val="auto"/>
    </w:rPr>
  </w:style>
  <w:style w:type="character" w:customStyle="1" w:styleId="IATableTextChar">
    <w:name w:val="IATableText Char"/>
    <w:link w:val="IATableText"/>
    <w:uiPriority w:val="99"/>
    <w:locked/>
    <w:rsid w:val="00F01332"/>
    <w:rPr>
      <w:rFonts w:ascii="Arial" w:eastAsia="SimSun" w:hAnsi="Arial"/>
      <w:spacing w:val="-5"/>
      <w:sz w:val="20"/>
      <w:lang w:eastAsia="zh-CN"/>
    </w:rPr>
  </w:style>
  <w:style w:type="paragraph" w:styleId="BodyText">
    <w:name w:val="Body Text"/>
    <w:basedOn w:val="Normal"/>
    <w:link w:val="BodyTextChar"/>
    <w:uiPriority w:val="99"/>
    <w:rsid w:val="00F01332"/>
    <w:pPr>
      <w:spacing w:after="120" w:line="240" w:lineRule="auto"/>
    </w:pPr>
    <w:rPr>
      <w:rFonts w:ascii="Arial" w:eastAsia="Times New Roman" w:hAnsi="Arial" w:cs="Arial"/>
      <w:bCs/>
      <w:color w:val="000000"/>
      <w:lang w:eastAsia="en-GB"/>
    </w:rPr>
  </w:style>
  <w:style w:type="character" w:customStyle="1" w:styleId="BodyTextChar">
    <w:name w:val="Body Text Char"/>
    <w:basedOn w:val="DefaultParagraphFont"/>
    <w:link w:val="BodyText"/>
    <w:uiPriority w:val="99"/>
    <w:locked/>
    <w:rsid w:val="00F01332"/>
    <w:rPr>
      <w:rFonts w:ascii="Arial" w:hAnsi="Arial" w:cs="Arial"/>
      <w:bCs/>
      <w:color w:val="000000"/>
      <w:lang w:eastAsia="en-GB"/>
    </w:rPr>
  </w:style>
  <w:style w:type="table" w:styleId="TableGrid">
    <w:name w:val="Table Grid"/>
    <w:basedOn w:val="TableNormal"/>
    <w:uiPriority w:val="99"/>
    <w:rsid w:val="00F013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F01332"/>
    <w:pPr>
      <w:spacing w:after="0" w:line="240" w:lineRule="auto"/>
      <w:ind w:left="113"/>
      <w:outlineLvl w:val="0"/>
    </w:pPr>
    <w:rPr>
      <w:rFonts w:ascii="Arial" w:eastAsia="Times New Roman" w:hAnsi="Arial" w:cs="Arial"/>
      <w:bCs/>
      <w:color w:val="FFFFFF"/>
      <w:kern w:val="28"/>
      <w:sz w:val="32"/>
      <w:szCs w:val="32"/>
    </w:rPr>
  </w:style>
  <w:style w:type="character" w:customStyle="1" w:styleId="TitleChar">
    <w:name w:val="Title Char"/>
    <w:basedOn w:val="DefaultParagraphFont"/>
    <w:link w:val="Title"/>
    <w:uiPriority w:val="99"/>
    <w:locked/>
    <w:rsid w:val="00F01332"/>
    <w:rPr>
      <w:rFonts w:ascii="Arial" w:hAnsi="Arial" w:cs="Arial"/>
      <w:bCs/>
      <w:color w:val="FFFFFF"/>
      <w:kern w:val="28"/>
      <w:sz w:val="32"/>
      <w:szCs w:val="32"/>
    </w:rPr>
  </w:style>
  <w:style w:type="paragraph" w:customStyle="1" w:styleId="IAHeadDept">
    <w:name w:val="IAHeadDept"/>
    <w:basedOn w:val="IATableText"/>
    <w:link w:val="IAHeadDeptChar"/>
    <w:uiPriority w:val="99"/>
    <w:rsid w:val="00F01332"/>
    <w:pPr>
      <w:spacing w:after="120"/>
      <w:ind w:left="0" w:right="57"/>
    </w:pPr>
    <w:rPr>
      <w:spacing w:val="-6"/>
    </w:rPr>
  </w:style>
  <w:style w:type="paragraph" w:customStyle="1" w:styleId="IAHeadLabel">
    <w:name w:val="IAHeadLabel"/>
    <w:basedOn w:val="IATableLabel"/>
    <w:link w:val="IAHeadLabelChar"/>
    <w:uiPriority w:val="99"/>
    <w:rsid w:val="00F01332"/>
    <w:pPr>
      <w:spacing w:before="110"/>
      <w:ind w:left="0" w:right="0"/>
    </w:pPr>
  </w:style>
  <w:style w:type="character" w:customStyle="1" w:styleId="IAHeadLabelChar">
    <w:name w:val="IAHeadLabel Char"/>
    <w:basedOn w:val="IATableLabelCharChar"/>
    <w:link w:val="IAHeadLabel"/>
    <w:uiPriority w:val="99"/>
    <w:locked/>
    <w:rsid w:val="00F01332"/>
    <w:rPr>
      <w:rFonts w:ascii="Arial" w:eastAsia="SimSun" w:hAnsi="Arial" w:cs="Times New Roman"/>
      <w:b/>
      <w:color w:val="000000"/>
      <w:spacing w:val="-5"/>
      <w:sz w:val="20"/>
      <w:szCs w:val="20"/>
      <w:lang w:eastAsia="zh-CN"/>
    </w:rPr>
  </w:style>
  <w:style w:type="table" w:customStyle="1" w:styleId="TableIAHeading">
    <w:name w:val="Table_IAHeading"/>
    <w:uiPriority w:val="99"/>
    <w:semiHidden/>
    <w:rsid w:val="00F01332"/>
    <w:rPr>
      <w:rFonts w:ascii="Times New Roman" w:eastAsia="SimSu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uiPriority w:val="99"/>
    <w:rsid w:val="00F01332"/>
    <w:pPr>
      <w:spacing w:before="60" w:after="60" w:line="240" w:lineRule="auto"/>
      <w:ind w:left="113" w:right="113"/>
    </w:pPr>
    <w:rPr>
      <w:rFonts w:ascii="Arial" w:eastAsia="SimSun" w:hAnsi="Arial"/>
      <w:sz w:val="20"/>
      <w:szCs w:val="20"/>
      <w:lang w:eastAsia="zh-CN"/>
    </w:rPr>
  </w:style>
  <w:style w:type="character" w:customStyle="1" w:styleId="IATableNotesChar">
    <w:name w:val="IATableNotes Char"/>
    <w:link w:val="IATableNotes"/>
    <w:uiPriority w:val="99"/>
    <w:locked/>
    <w:rsid w:val="00F01332"/>
    <w:rPr>
      <w:rFonts w:ascii="Arial" w:eastAsia="SimSun" w:hAnsi="Arial"/>
      <w:sz w:val="20"/>
      <w:lang w:eastAsia="zh-CN"/>
    </w:rPr>
  </w:style>
  <w:style w:type="paragraph" w:customStyle="1" w:styleId="IASignOff">
    <w:name w:val="IASignOff"/>
    <w:basedOn w:val="IATableNotes"/>
    <w:next w:val="IATableNotes"/>
    <w:link w:val="IASignOffChar"/>
    <w:uiPriority w:val="99"/>
    <w:semiHidden/>
    <w:rsid w:val="00F01332"/>
    <w:pPr>
      <w:spacing w:before="120" w:after="120"/>
      <w:ind w:left="567" w:right="567"/>
    </w:pPr>
    <w:rPr>
      <w:b/>
      <w:i/>
    </w:rPr>
  </w:style>
  <w:style w:type="character" w:customStyle="1" w:styleId="IASignOffChar">
    <w:name w:val="IASignOff Char"/>
    <w:link w:val="IASignOff"/>
    <w:uiPriority w:val="99"/>
    <w:semiHidden/>
    <w:locked/>
    <w:rsid w:val="00F01332"/>
    <w:rPr>
      <w:rFonts w:ascii="Arial" w:eastAsia="SimSun" w:hAnsi="Arial"/>
      <w:b/>
      <w:i/>
      <w:sz w:val="20"/>
      <w:lang w:eastAsia="zh-CN"/>
    </w:rPr>
  </w:style>
  <w:style w:type="paragraph" w:customStyle="1" w:styleId="IAHeadTitle">
    <w:name w:val="IAHeadTitle"/>
    <w:basedOn w:val="IAHeadDept"/>
    <w:link w:val="IAHeadTitleChar"/>
    <w:uiPriority w:val="99"/>
    <w:rsid w:val="00F01332"/>
    <w:pPr>
      <w:spacing w:before="0" w:after="0"/>
    </w:pPr>
    <w:rPr>
      <w:b/>
      <w:sz w:val="28"/>
    </w:rPr>
  </w:style>
  <w:style w:type="paragraph" w:customStyle="1" w:styleId="IASignature">
    <w:name w:val="IA Signature"/>
    <w:basedOn w:val="IATableText"/>
    <w:uiPriority w:val="99"/>
    <w:rsid w:val="00F01332"/>
    <w:pPr>
      <w:tabs>
        <w:tab w:val="left" w:leader="dot" w:pos="6804"/>
        <w:tab w:val="right" w:leader="dot" w:pos="10206"/>
      </w:tabs>
      <w:spacing w:before="0" w:after="0"/>
      <w:ind w:left="0"/>
    </w:pPr>
  </w:style>
  <w:style w:type="paragraph" w:customStyle="1" w:styleId="IASign-offlabel">
    <w:name w:val="IA Sign-off label"/>
    <w:basedOn w:val="IAHeadLabel"/>
    <w:link w:val="IASign-offlabelChar"/>
    <w:uiPriority w:val="99"/>
    <w:rsid w:val="00F01332"/>
    <w:pPr>
      <w:spacing w:after="120"/>
    </w:pPr>
    <w:rPr>
      <w:u w:val="single"/>
    </w:rPr>
  </w:style>
  <w:style w:type="character" w:customStyle="1" w:styleId="IASign-offlabelChar">
    <w:name w:val="IA Sign-off label Char"/>
    <w:link w:val="IASign-offlabel"/>
    <w:uiPriority w:val="99"/>
    <w:locked/>
    <w:rsid w:val="00F01332"/>
    <w:rPr>
      <w:rFonts w:ascii="Arial" w:eastAsia="SimSun" w:hAnsi="Arial"/>
      <w:b/>
      <w:color w:val="000000"/>
      <w:spacing w:val="-5"/>
      <w:sz w:val="20"/>
      <w:u w:val="single"/>
      <w:lang w:eastAsia="zh-CN"/>
    </w:rPr>
  </w:style>
  <w:style w:type="paragraph" w:customStyle="1" w:styleId="IASign-off">
    <w:name w:val="IA Sign-off"/>
    <w:basedOn w:val="IATableText"/>
    <w:uiPriority w:val="99"/>
    <w:rsid w:val="00F01332"/>
    <w:pPr>
      <w:spacing w:before="0" w:after="0"/>
      <w:ind w:left="0" w:right="284"/>
    </w:pPr>
    <w:rPr>
      <w:b/>
      <w:i/>
    </w:rPr>
  </w:style>
  <w:style w:type="paragraph" w:customStyle="1" w:styleId="IAHeading2">
    <w:name w:val="IAHeading2"/>
    <w:basedOn w:val="Normal"/>
    <w:uiPriority w:val="99"/>
    <w:semiHidden/>
    <w:rsid w:val="00F01332"/>
    <w:pPr>
      <w:keepNext/>
      <w:keepLines/>
      <w:spacing w:before="60" w:after="60" w:line="240" w:lineRule="auto"/>
      <w:ind w:left="113" w:right="113"/>
    </w:pPr>
    <w:rPr>
      <w:rFonts w:ascii="Arial" w:eastAsia="SimSun" w:hAnsi="Arial"/>
      <w:b/>
      <w:sz w:val="20"/>
      <w:szCs w:val="24"/>
      <w:lang w:eastAsia="zh-CN"/>
    </w:rPr>
  </w:style>
  <w:style w:type="table" w:customStyle="1" w:styleId="TableIABox">
    <w:name w:val="Table_IABox"/>
    <w:uiPriority w:val="99"/>
    <w:rsid w:val="00F01332"/>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F01332"/>
    <w:pPr>
      <w:spacing w:after="0" w:line="240" w:lineRule="auto"/>
      <w:jc w:val="center"/>
    </w:pPr>
    <w:rPr>
      <w:rFonts w:ascii="Arial" w:eastAsia="Times New Roman" w:hAnsi="Arial"/>
      <w:caps/>
      <w:sz w:val="24"/>
      <w:szCs w:val="24"/>
    </w:rPr>
  </w:style>
  <w:style w:type="character" w:customStyle="1" w:styleId="HeaderChar">
    <w:name w:val="Header Char"/>
    <w:basedOn w:val="DefaultParagraphFont"/>
    <w:link w:val="Header"/>
    <w:uiPriority w:val="99"/>
    <w:locked/>
    <w:rsid w:val="00F01332"/>
    <w:rPr>
      <w:rFonts w:ascii="Arial" w:hAnsi="Arial" w:cs="Times New Roman"/>
      <w:caps/>
      <w:sz w:val="24"/>
      <w:szCs w:val="24"/>
    </w:rPr>
  </w:style>
  <w:style w:type="paragraph" w:styleId="Footer">
    <w:name w:val="footer"/>
    <w:basedOn w:val="Normal"/>
    <w:link w:val="FooterChar"/>
    <w:uiPriority w:val="99"/>
    <w:rsid w:val="00F01332"/>
    <w:pPr>
      <w:tabs>
        <w:tab w:val="center" w:pos="5132"/>
        <w:tab w:val="right" w:pos="10260"/>
      </w:tabs>
      <w:spacing w:after="0" w:line="240" w:lineRule="auto"/>
      <w:jc w:val="center"/>
    </w:pPr>
    <w:rPr>
      <w:rFonts w:ascii="Arial" w:eastAsia="Times New Roman" w:hAnsi="Arial"/>
      <w:b/>
      <w:sz w:val="18"/>
      <w:szCs w:val="24"/>
    </w:rPr>
  </w:style>
  <w:style w:type="character" w:customStyle="1" w:styleId="FooterChar">
    <w:name w:val="Footer Char"/>
    <w:basedOn w:val="DefaultParagraphFont"/>
    <w:link w:val="Footer"/>
    <w:uiPriority w:val="99"/>
    <w:locked/>
    <w:rsid w:val="00F01332"/>
    <w:rPr>
      <w:rFonts w:ascii="Arial" w:hAnsi="Arial" w:cs="Times New Roman"/>
      <w:b/>
      <w:sz w:val="24"/>
      <w:szCs w:val="24"/>
    </w:rPr>
  </w:style>
  <w:style w:type="character" w:styleId="PageNumber">
    <w:name w:val="page number"/>
    <w:basedOn w:val="DefaultParagraphFont"/>
    <w:uiPriority w:val="99"/>
    <w:rsid w:val="00F01332"/>
    <w:rPr>
      <w:rFonts w:cs="Times New Roman"/>
    </w:rPr>
  </w:style>
  <w:style w:type="paragraph" w:customStyle="1" w:styleId="IANotes">
    <w:name w:val="IANotes"/>
    <w:basedOn w:val="Normal"/>
    <w:uiPriority w:val="99"/>
    <w:semiHidden/>
    <w:rsid w:val="00F01332"/>
    <w:pPr>
      <w:spacing w:after="0" w:line="240" w:lineRule="auto"/>
    </w:pPr>
    <w:rPr>
      <w:rFonts w:ascii="Arial" w:eastAsia="SimSun" w:hAnsi="Arial"/>
      <w:color w:val="008080"/>
      <w:szCs w:val="24"/>
      <w:lang w:eastAsia="zh-CN"/>
    </w:rPr>
  </w:style>
  <w:style w:type="paragraph" w:customStyle="1" w:styleId="IATableHeading">
    <w:name w:val="IATableHeading"/>
    <w:basedOn w:val="IATableLabel"/>
    <w:uiPriority w:val="99"/>
    <w:rsid w:val="00F01332"/>
    <w:rPr>
      <w:sz w:val="22"/>
      <w:szCs w:val="24"/>
    </w:rPr>
  </w:style>
  <w:style w:type="paragraph" w:styleId="FootnoteText">
    <w:name w:val="footnote text"/>
    <w:basedOn w:val="Normal"/>
    <w:link w:val="FootnoteTextChar"/>
    <w:uiPriority w:val="99"/>
    <w:semiHidden/>
    <w:rsid w:val="00F01332"/>
    <w:pPr>
      <w:spacing w:after="0" w:line="240" w:lineRule="auto"/>
    </w:pPr>
    <w:rPr>
      <w:rFonts w:ascii="Arial" w:eastAsia="SimSun" w:hAnsi="Arial"/>
      <w:sz w:val="16"/>
      <w:szCs w:val="20"/>
      <w:lang w:eastAsia="zh-CN"/>
    </w:rPr>
  </w:style>
  <w:style w:type="character" w:customStyle="1" w:styleId="FootnoteTextChar">
    <w:name w:val="Footnote Text Char"/>
    <w:basedOn w:val="DefaultParagraphFont"/>
    <w:link w:val="FootnoteText"/>
    <w:uiPriority w:val="99"/>
    <w:semiHidden/>
    <w:locked/>
    <w:rsid w:val="00F01332"/>
    <w:rPr>
      <w:rFonts w:ascii="Arial" w:eastAsia="SimSun" w:hAnsi="Arial" w:cs="Times New Roman"/>
      <w:sz w:val="20"/>
      <w:szCs w:val="20"/>
      <w:lang w:eastAsia="zh-CN"/>
    </w:rPr>
  </w:style>
  <w:style w:type="character" w:styleId="FootnoteReference">
    <w:name w:val="footnote reference"/>
    <w:basedOn w:val="DefaultParagraphFont"/>
    <w:uiPriority w:val="99"/>
    <w:rsid w:val="00F01332"/>
    <w:rPr>
      <w:rFonts w:cs="Times New Roman"/>
      <w:sz w:val="22"/>
      <w:vertAlign w:val="superscript"/>
    </w:rPr>
  </w:style>
  <w:style w:type="paragraph" w:customStyle="1" w:styleId="EBBodyPara">
    <w:name w:val="EBBodyPara"/>
    <w:basedOn w:val="BodyText"/>
    <w:rsid w:val="00F01332"/>
  </w:style>
  <w:style w:type="paragraph" w:styleId="BalloonText">
    <w:name w:val="Balloon Text"/>
    <w:basedOn w:val="Normal"/>
    <w:link w:val="BalloonTextChar"/>
    <w:uiPriority w:val="99"/>
    <w:semiHidden/>
    <w:rsid w:val="00F0133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F01332"/>
    <w:rPr>
      <w:rFonts w:ascii="Tahoma" w:hAnsi="Tahoma" w:cs="Tahoma"/>
      <w:sz w:val="16"/>
      <w:szCs w:val="16"/>
    </w:rPr>
  </w:style>
  <w:style w:type="paragraph" w:customStyle="1" w:styleId="EBNumber">
    <w:name w:val="EBNumber"/>
    <w:basedOn w:val="BodyText"/>
    <w:uiPriority w:val="99"/>
    <w:rsid w:val="00F01332"/>
    <w:pPr>
      <w:numPr>
        <w:ilvl w:val="1"/>
        <w:numId w:val="1"/>
      </w:numPr>
    </w:pPr>
  </w:style>
  <w:style w:type="paragraph" w:customStyle="1" w:styleId="EBNumberRestart">
    <w:name w:val="EBNumberRestart"/>
    <w:basedOn w:val="BodyText"/>
    <w:next w:val="EBNumber"/>
    <w:uiPriority w:val="99"/>
    <w:rsid w:val="00F01332"/>
    <w:pPr>
      <w:numPr>
        <w:numId w:val="1"/>
      </w:numPr>
    </w:pPr>
  </w:style>
  <w:style w:type="paragraph" w:customStyle="1" w:styleId="StyleIATableText10ptRight">
    <w:name w:val="Style IATableText + 10 pt Right"/>
    <w:basedOn w:val="IATableText"/>
    <w:uiPriority w:val="99"/>
    <w:rsid w:val="00F01332"/>
    <w:pPr>
      <w:ind w:left="0" w:right="57"/>
      <w:jc w:val="right"/>
    </w:pPr>
    <w:rPr>
      <w:rFonts w:eastAsia="Times New Roman"/>
    </w:rPr>
  </w:style>
  <w:style w:type="paragraph" w:customStyle="1" w:styleId="SecurityClass">
    <w:name w:val="SecurityClass"/>
    <w:basedOn w:val="Header"/>
    <w:uiPriority w:val="99"/>
    <w:rsid w:val="00F01332"/>
  </w:style>
  <w:style w:type="paragraph" w:customStyle="1" w:styleId="IARefNumber">
    <w:name w:val="IARefNumber"/>
    <w:basedOn w:val="IATableText"/>
    <w:uiPriority w:val="99"/>
    <w:rsid w:val="00F01332"/>
    <w:pPr>
      <w:numPr>
        <w:numId w:val="2"/>
      </w:numPr>
      <w:ind w:left="0"/>
    </w:pPr>
  </w:style>
  <w:style w:type="character" w:styleId="Hyperlink">
    <w:name w:val="Hyperlink"/>
    <w:basedOn w:val="DefaultParagraphFont"/>
    <w:uiPriority w:val="99"/>
    <w:rsid w:val="00F01332"/>
    <w:rPr>
      <w:rFonts w:cs="Times New Roman"/>
      <w:color w:val="auto"/>
      <w:u w:val="single"/>
    </w:rPr>
  </w:style>
  <w:style w:type="paragraph" w:customStyle="1" w:styleId="POPBY">
    <w:name w:val="POPBY"/>
    <w:basedOn w:val="IATableLabel"/>
    <w:uiPriority w:val="99"/>
    <w:rsid w:val="00F01332"/>
  </w:style>
  <w:style w:type="paragraph" w:customStyle="1" w:styleId="EBBullet">
    <w:name w:val="EBBullet"/>
    <w:basedOn w:val="BodyText"/>
    <w:uiPriority w:val="99"/>
    <w:rsid w:val="00F01332"/>
    <w:pPr>
      <w:numPr>
        <w:numId w:val="3"/>
      </w:numPr>
    </w:pPr>
  </w:style>
  <w:style w:type="paragraph" w:customStyle="1" w:styleId="IAHeadText">
    <w:name w:val="IAHeadText"/>
    <w:basedOn w:val="IATableText"/>
    <w:uiPriority w:val="99"/>
    <w:rsid w:val="00F01332"/>
    <w:pPr>
      <w:spacing w:before="0" w:after="0"/>
      <w:ind w:left="0" w:right="57"/>
    </w:pPr>
    <w:rPr>
      <w:spacing w:val="-6"/>
    </w:rPr>
  </w:style>
  <w:style w:type="paragraph" w:customStyle="1" w:styleId="IAHeadLabel0">
    <w:name w:val="IAHeadLabel0"/>
    <w:basedOn w:val="IAHeadLabel"/>
    <w:next w:val="IAHeadTitle"/>
    <w:uiPriority w:val="99"/>
    <w:rsid w:val="00F01332"/>
    <w:pPr>
      <w:spacing w:before="0"/>
    </w:pPr>
  </w:style>
  <w:style w:type="paragraph" w:customStyle="1" w:styleId="IATableLines">
    <w:name w:val="IATableLines"/>
    <w:basedOn w:val="IATableText"/>
    <w:link w:val="IATableLinesChar"/>
    <w:uiPriority w:val="99"/>
    <w:rsid w:val="00F01332"/>
    <w:pPr>
      <w:spacing w:before="0" w:after="0"/>
    </w:pPr>
  </w:style>
  <w:style w:type="paragraph" w:customStyle="1" w:styleId="EvidenceHeadPIR">
    <w:name w:val="EvidenceHeadPIR"/>
    <w:uiPriority w:val="99"/>
    <w:rsid w:val="00F01332"/>
    <w:pPr>
      <w:spacing w:after="120"/>
    </w:pPr>
    <w:rPr>
      <w:rFonts w:ascii="Arial" w:eastAsia="Times New Roman" w:hAnsi="Arial" w:cs="Arial"/>
      <w:bCs/>
      <w:color w:val="000000"/>
    </w:rPr>
  </w:style>
  <w:style w:type="character" w:styleId="FollowedHyperlink">
    <w:name w:val="FollowedHyperlink"/>
    <w:basedOn w:val="DefaultParagraphFont"/>
    <w:uiPriority w:val="99"/>
    <w:rsid w:val="00F01332"/>
    <w:rPr>
      <w:rFonts w:cs="Times New Roman"/>
      <w:color w:val="auto"/>
      <w:u w:val="single"/>
    </w:rPr>
  </w:style>
  <w:style w:type="paragraph" w:customStyle="1" w:styleId="IASpacer2">
    <w:name w:val="IASpacer2"/>
    <w:basedOn w:val="IASpacer"/>
    <w:uiPriority w:val="99"/>
    <w:rsid w:val="00F01332"/>
    <w:pPr>
      <w:spacing w:line="40" w:lineRule="exact"/>
    </w:pPr>
  </w:style>
  <w:style w:type="paragraph" w:customStyle="1" w:styleId="POPVBY">
    <w:name w:val="POPVBY"/>
    <w:basedOn w:val="IATableLabel"/>
    <w:uiPriority w:val="99"/>
    <w:rsid w:val="00F01332"/>
  </w:style>
  <w:style w:type="paragraph" w:customStyle="1" w:styleId="POTPY">
    <w:name w:val="POTPY"/>
    <w:basedOn w:val="IATableLabel"/>
    <w:uiPriority w:val="99"/>
    <w:rsid w:val="00F01332"/>
  </w:style>
  <w:style w:type="paragraph" w:customStyle="1" w:styleId="PONBLow">
    <w:name w:val="PONBLow"/>
    <w:basedOn w:val="IATableLabel"/>
    <w:link w:val="PONBLowCharChar"/>
    <w:uiPriority w:val="99"/>
    <w:rsid w:val="00F01332"/>
    <w:rPr>
      <w:b w:val="0"/>
    </w:rPr>
  </w:style>
  <w:style w:type="character" w:customStyle="1" w:styleId="PONBLowCharChar">
    <w:name w:val="PONBLow Char Char"/>
    <w:link w:val="PONBLow"/>
    <w:uiPriority w:val="99"/>
    <w:locked/>
    <w:rsid w:val="00F01332"/>
    <w:rPr>
      <w:rFonts w:ascii="Arial" w:eastAsia="SimSun" w:hAnsi="Arial"/>
      <w:color w:val="000000"/>
      <w:spacing w:val="-5"/>
      <w:sz w:val="20"/>
      <w:lang w:eastAsia="zh-CN"/>
    </w:rPr>
  </w:style>
  <w:style w:type="paragraph" w:customStyle="1" w:styleId="PONBHigh">
    <w:name w:val="PONBHigh"/>
    <w:basedOn w:val="IATableLabel"/>
    <w:link w:val="PONBHighChar"/>
    <w:uiPriority w:val="99"/>
    <w:rsid w:val="00F01332"/>
    <w:rPr>
      <w:b w:val="0"/>
    </w:rPr>
  </w:style>
  <w:style w:type="character" w:customStyle="1" w:styleId="PONBHighChar">
    <w:name w:val="PONBHigh Char"/>
    <w:link w:val="PONBHigh"/>
    <w:uiPriority w:val="99"/>
    <w:locked/>
    <w:rsid w:val="00F01332"/>
    <w:rPr>
      <w:rFonts w:ascii="Arial" w:eastAsia="SimSun" w:hAnsi="Arial"/>
      <w:color w:val="000000"/>
      <w:spacing w:val="-5"/>
      <w:sz w:val="20"/>
      <w:lang w:eastAsia="zh-CN"/>
    </w:rPr>
  </w:style>
  <w:style w:type="paragraph" w:customStyle="1" w:styleId="PONBBestEst">
    <w:name w:val="PONBBestEst"/>
    <w:basedOn w:val="IATableLabel"/>
    <w:link w:val="PONBBestEstChar"/>
    <w:uiPriority w:val="99"/>
    <w:rsid w:val="00F01332"/>
    <w:rPr>
      <w:b w:val="0"/>
    </w:rPr>
  </w:style>
  <w:style w:type="character" w:customStyle="1" w:styleId="PONBBestEstChar">
    <w:name w:val="PONBBestEst Char"/>
    <w:link w:val="PONBBestEst"/>
    <w:uiPriority w:val="99"/>
    <w:locked/>
    <w:rsid w:val="00F01332"/>
    <w:rPr>
      <w:rFonts w:ascii="Arial" w:eastAsia="SimSun" w:hAnsi="Arial"/>
      <w:color w:val="000000"/>
      <w:spacing w:val="-5"/>
      <w:sz w:val="20"/>
      <w:lang w:eastAsia="zh-CN"/>
    </w:rPr>
  </w:style>
  <w:style w:type="paragraph" w:customStyle="1" w:styleId="POTTCostsHigh">
    <w:name w:val="POTTCostsHigh"/>
    <w:basedOn w:val="IATableText"/>
    <w:uiPriority w:val="99"/>
    <w:rsid w:val="00F01332"/>
    <w:pPr>
      <w:jc w:val="right"/>
    </w:pPr>
  </w:style>
  <w:style w:type="paragraph" w:customStyle="1" w:styleId="POTTCostsLow">
    <w:name w:val="POTTCostsLow"/>
    <w:basedOn w:val="POTTCostsHigh"/>
    <w:uiPriority w:val="99"/>
    <w:rsid w:val="00F01332"/>
  </w:style>
  <w:style w:type="paragraph" w:customStyle="1" w:styleId="POTTCostsBest">
    <w:name w:val="POTTCostsBest"/>
    <w:basedOn w:val="IATableText"/>
    <w:uiPriority w:val="99"/>
    <w:rsid w:val="00F01332"/>
    <w:pPr>
      <w:jc w:val="right"/>
    </w:pPr>
  </w:style>
  <w:style w:type="paragraph" w:customStyle="1" w:styleId="POTTCostsYear">
    <w:name w:val="POTTCostsYear"/>
    <w:basedOn w:val="IATableText"/>
    <w:uiPriority w:val="99"/>
    <w:rsid w:val="00F01332"/>
    <w:pPr>
      <w:jc w:val="center"/>
    </w:pPr>
    <w:rPr>
      <w:szCs w:val="18"/>
    </w:rPr>
  </w:style>
  <w:style w:type="paragraph" w:customStyle="1" w:styleId="POAACostsLow">
    <w:name w:val="POAACostsLow"/>
    <w:basedOn w:val="IATableText"/>
    <w:uiPriority w:val="99"/>
    <w:rsid w:val="00F01332"/>
    <w:pPr>
      <w:jc w:val="right"/>
    </w:pPr>
  </w:style>
  <w:style w:type="paragraph" w:customStyle="1" w:styleId="POAACostsHigh">
    <w:name w:val="POAACostsHigh"/>
    <w:basedOn w:val="POAACostsLow"/>
    <w:uiPriority w:val="99"/>
    <w:rsid w:val="00F01332"/>
  </w:style>
  <w:style w:type="paragraph" w:customStyle="1" w:styleId="POAACostsBest">
    <w:name w:val="POAACostsBest"/>
    <w:basedOn w:val="IATableText"/>
    <w:uiPriority w:val="99"/>
    <w:rsid w:val="00F01332"/>
    <w:pPr>
      <w:jc w:val="right"/>
    </w:pPr>
  </w:style>
  <w:style w:type="paragraph" w:customStyle="1" w:styleId="POTCCostsLow">
    <w:name w:val="POTCCostsLow"/>
    <w:basedOn w:val="IATableText"/>
    <w:uiPriority w:val="99"/>
    <w:rsid w:val="00F01332"/>
    <w:pPr>
      <w:jc w:val="right"/>
    </w:pPr>
    <w:rPr>
      <w:b/>
    </w:rPr>
  </w:style>
  <w:style w:type="paragraph" w:customStyle="1" w:styleId="POTCCostsHigh">
    <w:name w:val="POTCCostsHigh"/>
    <w:basedOn w:val="IATableText"/>
    <w:uiPriority w:val="99"/>
    <w:rsid w:val="00F01332"/>
    <w:pPr>
      <w:jc w:val="right"/>
    </w:pPr>
    <w:rPr>
      <w:b/>
    </w:rPr>
  </w:style>
  <w:style w:type="paragraph" w:customStyle="1" w:styleId="POTCCostsBest">
    <w:name w:val="POTCCostsBest"/>
    <w:basedOn w:val="IATableText"/>
    <w:uiPriority w:val="99"/>
    <w:rsid w:val="00F01332"/>
    <w:pPr>
      <w:jc w:val="right"/>
    </w:pPr>
    <w:rPr>
      <w:b/>
    </w:rPr>
  </w:style>
  <w:style w:type="paragraph" w:customStyle="1" w:styleId="IAPOQ1">
    <w:name w:val="IAPOQ1"/>
    <w:basedOn w:val="IATableLabel"/>
    <w:uiPriority w:val="99"/>
    <w:rsid w:val="00F01332"/>
  </w:style>
  <w:style w:type="paragraph" w:customStyle="1" w:styleId="IAPOA1">
    <w:name w:val="IAPOA1"/>
    <w:basedOn w:val="IATableLines"/>
    <w:uiPriority w:val="99"/>
    <w:rsid w:val="00F01332"/>
  </w:style>
  <w:style w:type="paragraph" w:customStyle="1" w:styleId="IAPOQ2">
    <w:name w:val="IAPOQ2"/>
    <w:basedOn w:val="IATableLabel"/>
    <w:link w:val="IAPOQ2Char"/>
    <w:uiPriority w:val="99"/>
    <w:rsid w:val="00F01332"/>
  </w:style>
  <w:style w:type="paragraph" w:customStyle="1" w:styleId="IAPOA2">
    <w:name w:val="IAPOA2"/>
    <w:basedOn w:val="IATableLines"/>
    <w:uiPriority w:val="99"/>
    <w:rsid w:val="00F01332"/>
  </w:style>
  <w:style w:type="paragraph" w:customStyle="1" w:styleId="POTTBenLow">
    <w:name w:val="POTTBenLow"/>
    <w:basedOn w:val="POTTCostsLow"/>
    <w:uiPriority w:val="99"/>
    <w:rsid w:val="00F01332"/>
  </w:style>
  <w:style w:type="paragraph" w:customStyle="1" w:styleId="POTTBenHigh">
    <w:name w:val="POTTBenHigh"/>
    <w:basedOn w:val="POTTCostsHigh"/>
    <w:uiPriority w:val="99"/>
    <w:rsid w:val="00F01332"/>
  </w:style>
  <w:style w:type="paragraph" w:customStyle="1" w:styleId="POTTBenBest">
    <w:name w:val="POTTBenBest"/>
    <w:basedOn w:val="POTTCostsBest"/>
    <w:uiPriority w:val="99"/>
    <w:rsid w:val="00F01332"/>
  </w:style>
  <w:style w:type="paragraph" w:customStyle="1" w:styleId="POAABenLow">
    <w:name w:val="POAABenLow"/>
    <w:basedOn w:val="POAACostsLow"/>
    <w:uiPriority w:val="99"/>
    <w:rsid w:val="00F01332"/>
  </w:style>
  <w:style w:type="paragraph" w:customStyle="1" w:styleId="POAABenHigh">
    <w:name w:val="POAABenHigh"/>
    <w:basedOn w:val="POAABenLow"/>
    <w:uiPriority w:val="99"/>
    <w:rsid w:val="00F01332"/>
  </w:style>
  <w:style w:type="paragraph" w:customStyle="1" w:styleId="POAABenBest">
    <w:name w:val="POAABenBest"/>
    <w:basedOn w:val="POAABenHigh"/>
    <w:uiPriority w:val="99"/>
    <w:rsid w:val="00F01332"/>
  </w:style>
  <w:style w:type="paragraph" w:customStyle="1" w:styleId="POTBBenLow">
    <w:name w:val="POTBBenLow"/>
    <w:basedOn w:val="POTCCostsLow"/>
    <w:uiPriority w:val="99"/>
    <w:rsid w:val="00F01332"/>
  </w:style>
  <w:style w:type="paragraph" w:customStyle="1" w:styleId="POTBBenHigh">
    <w:name w:val="POTBBenHigh"/>
    <w:basedOn w:val="POTBBenLow"/>
    <w:uiPriority w:val="99"/>
    <w:rsid w:val="00F01332"/>
  </w:style>
  <w:style w:type="paragraph" w:customStyle="1" w:styleId="POTBBenBest">
    <w:name w:val="POTBBenBest"/>
    <w:basedOn w:val="POTBBenHigh"/>
    <w:uiPriority w:val="99"/>
    <w:rsid w:val="00F01332"/>
  </w:style>
  <w:style w:type="paragraph" w:customStyle="1" w:styleId="IPPOQ3">
    <w:name w:val="IPPOQ3"/>
    <w:basedOn w:val="IAPOQ2"/>
    <w:link w:val="IPPOQ3Char"/>
    <w:uiPriority w:val="99"/>
    <w:rsid w:val="00F01332"/>
  </w:style>
  <w:style w:type="paragraph" w:customStyle="1" w:styleId="IAPOQ4">
    <w:name w:val="IAPOQ4"/>
    <w:basedOn w:val="IPPOQ3"/>
    <w:link w:val="IAPOQ4Char"/>
    <w:uiPriority w:val="99"/>
    <w:rsid w:val="00F01332"/>
  </w:style>
  <w:style w:type="paragraph" w:customStyle="1" w:styleId="IAPOA3">
    <w:name w:val="IAPOA3"/>
    <w:basedOn w:val="IAPOA2"/>
    <w:uiPriority w:val="99"/>
    <w:rsid w:val="00F01332"/>
  </w:style>
  <w:style w:type="paragraph" w:customStyle="1" w:styleId="IAPOA4">
    <w:name w:val="IAPOA4"/>
    <w:basedOn w:val="IAPOA3"/>
    <w:uiPriority w:val="99"/>
    <w:rsid w:val="00F01332"/>
  </w:style>
  <w:style w:type="paragraph" w:customStyle="1" w:styleId="IAPOA5">
    <w:name w:val="IAPOA5"/>
    <w:basedOn w:val="IAPOA4"/>
    <w:uiPriority w:val="99"/>
    <w:rsid w:val="00F01332"/>
  </w:style>
  <w:style w:type="paragraph" w:customStyle="1" w:styleId="IAPOQ5">
    <w:name w:val="IAPOQ5"/>
    <w:basedOn w:val="IAPOQ4"/>
    <w:link w:val="IAPOQ5Char"/>
    <w:uiPriority w:val="99"/>
    <w:rsid w:val="00F01332"/>
  </w:style>
  <w:style w:type="character" w:customStyle="1" w:styleId="IAPOQ2Char">
    <w:name w:val="IAPOQ2 Char"/>
    <w:basedOn w:val="IATableLabelCharChar"/>
    <w:link w:val="IAPOQ2"/>
    <w:uiPriority w:val="99"/>
    <w:locked/>
    <w:rsid w:val="00F01332"/>
    <w:rPr>
      <w:rFonts w:ascii="Arial" w:eastAsia="SimSun" w:hAnsi="Arial" w:cs="Times New Roman"/>
      <w:b/>
      <w:color w:val="000000"/>
      <w:spacing w:val="-5"/>
      <w:sz w:val="20"/>
      <w:szCs w:val="20"/>
      <w:lang w:eastAsia="zh-CN"/>
    </w:rPr>
  </w:style>
  <w:style w:type="character" w:customStyle="1" w:styleId="IPPOQ3Char">
    <w:name w:val="IPPOQ3 Char"/>
    <w:basedOn w:val="IAPOQ2Char"/>
    <w:link w:val="IPPOQ3"/>
    <w:uiPriority w:val="99"/>
    <w:locked/>
    <w:rsid w:val="00F01332"/>
    <w:rPr>
      <w:rFonts w:ascii="Arial" w:eastAsia="SimSun" w:hAnsi="Arial" w:cs="Times New Roman"/>
      <w:b/>
      <w:color w:val="000000"/>
      <w:spacing w:val="-5"/>
      <w:sz w:val="20"/>
      <w:szCs w:val="20"/>
      <w:lang w:eastAsia="zh-CN"/>
    </w:rPr>
  </w:style>
  <w:style w:type="character" w:customStyle="1" w:styleId="IAPOQ4Char">
    <w:name w:val="IAPOQ4 Char"/>
    <w:basedOn w:val="IPPOQ3Char"/>
    <w:link w:val="IAPOQ4"/>
    <w:uiPriority w:val="99"/>
    <w:locked/>
    <w:rsid w:val="00F01332"/>
    <w:rPr>
      <w:rFonts w:ascii="Arial" w:eastAsia="SimSun" w:hAnsi="Arial" w:cs="Times New Roman"/>
      <w:b/>
      <w:color w:val="000000"/>
      <w:spacing w:val="-5"/>
      <w:sz w:val="20"/>
      <w:szCs w:val="20"/>
      <w:lang w:eastAsia="zh-CN"/>
    </w:rPr>
  </w:style>
  <w:style w:type="character" w:customStyle="1" w:styleId="IAPOQ5Char">
    <w:name w:val="IAPOQ5 Char"/>
    <w:basedOn w:val="IAPOQ4Char"/>
    <w:link w:val="IAPOQ5"/>
    <w:uiPriority w:val="99"/>
    <w:locked/>
    <w:rsid w:val="00F01332"/>
    <w:rPr>
      <w:rFonts w:ascii="Arial" w:eastAsia="SimSun" w:hAnsi="Arial" w:cs="Times New Roman"/>
      <w:b/>
      <w:color w:val="000000"/>
      <w:spacing w:val="-5"/>
      <w:sz w:val="20"/>
      <w:szCs w:val="20"/>
      <w:lang w:eastAsia="zh-CN"/>
    </w:rPr>
  </w:style>
  <w:style w:type="paragraph" w:customStyle="1" w:styleId="IAPODisRate">
    <w:name w:val="IAPODisRate"/>
    <w:basedOn w:val="IATableLabel"/>
    <w:uiPriority w:val="99"/>
    <w:rsid w:val="00F01332"/>
    <w:pPr>
      <w:ind w:left="0"/>
      <w:jc w:val="center"/>
    </w:pPr>
    <w:rPr>
      <w:b w:val="0"/>
    </w:rPr>
  </w:style>
  <w:style w:type="paragraph" w:customStyle="1" w:styleId="IAPODICost">
    <w:name w:val="IAPODICost"/>
    <w:basedOn w:val="IATableLabel"/>
    <w:link w:val="IAPODICostChar"/>
    <w:uiPriority w:val="99"/>
    <w:rsid w:val="00F01332"/>
    <w:rPr>
      <w:b w:val="0"/>
    </w:rPr>
  </w:style>
  <w:style w:type="character" w:customStyle="1" w:styleId="IAPODICostChar">
    <w:name w:val="IAPODICost Char"/>
    <w:link w:val="IAPODICost"/>
    <w:uiPriority w:val="99"/>
    <w:locked/>
    <w:rsid w:val="00F01332"/>
    <w:rPr>
      <w:rFonts w:ascii="Arial" w:eastAsia="SimSun" w:hAnsi="Arial"/>
      <w:color w:val="000000"/>
      <w:spacing w:val="-5"/>
      <w:lang w:eastAsia="zh-CN"/>
    </w:rPr>
  </w:style>
  <w:style w:type="paragraph" w:customStyle="1" w:styleId="IAPODIBen">
    <w:name w:val="IAPODIBen"/>
    <w:basedOn w:val="IATableLabel"/>
    <w:link w:val="IAPODIBenChar"/>
    <w:uiPriority w:val="99"/>
    <w:rsid w:val="00F01332"/>
    <w:rPr>
      <w:b w:val="0"/>
    </w:rPr>
  </w:style>
  <w:style w:type="paragraph" w:customStyle="1" w:styleId="IAPODINet">
    <w:name w:val="IAPODINet"/>
    <w:basedOn w:val="IATableLabel"/>
    <w:link w:val="IAPODINetChar"/>
    <w:uiPriority w:val="99"/>
    <w:rsid w:val="00F01332"/>
    <w:rPr>
      <w:b w:val="0"/>
    </w:rPr>
  </w:style>
  <w:style w:type="paragraph" w:customStyle="1" w:styleId="IAPODIOIOO">
    <w:name w:val="IAPODIOIOO"/>
    <w:basedOn w:val="IATableLabel"/>
    <w:uiPriority w:val="99"/>
    <w:rsid w:val="00F01332"/>
    <w:rPr>
      <w:b w:val="0"/>
      <w:sz w:val="22"/>
      <w:szCs w:val="22"/>
    </w:rPr>
  </w:style>
  <w:style w:type="character" w:customStyle="1" w:styleId="IAPODINetChar">
    <w:name w:val="IAPODINet Char"/>
    <w:link w:val="IAPODINet"/>
    <w:uiPriority w:val="99"/>
    <w:locked/>
    <w:rsid w:val="00F01332"/>
    <w:rPr>
      <w:rFonts w:ascii="Arial" w:eastAsia="SimSun" w:hAnsi="Arial"/>
      <w:color w:val="000000"/>
      <w:spacing w:val="-5"/>
      <w:lang w:eastAsia="zh-CN"/>
    </w:rPr>
  </w:style>
  <w:style w:type="character" w:customStyle="1" w:styleId="IAPODIBenChar">
    <w:name w:val="IAPODIBen Char"/>
    <w:link w:val="IAPODIBen"/>
    <w:uiPriority w:val="99"/>
    <w:locked/>
    <w:rsid w:val="00F01332"/>
    <w:rPr>
      <w:rFonts w:ascii="Arial" w:eastAsia="SimSun" w:hAnsi="Arial"/>
      <w:color w:val="000000"/>
      <w:spacing w:val="-5"/>
      <w:lang w:eastAsia="zh-CN"/>
    </w:rPr>
  </w:style>
  <w:style w:type="paragraph" w:customStyle="1" w:styleId="IAPODIMQ">
    <w:name w:val="IAPODIMQ"/>
    <w:basedOn w:val="IATableText"/>
    <w:uiPriority w:val="99"/>
    <w:rsid w:val="00F01332"/>
    <w:rPr>
      <w:color w:val="000000"/>
    </w:rPr>
  </w:style>
  <w:style w:type="paragraph" w:customStyle="1" w:styleId="ebbullet0">
    <w:name w:val="ebbullet"/>
    <w:basedOn w:val="Normal"/>
    <w:uiPriority w:val="99"/>
    <w:rsid w:val="00F01332"/>
    <w:pPr>
      <w:spacing w:before="100" w:beforeAutospacing="1" w:after="100" w:afterAutospacing="1" w:line="240" w:lineRule="auto"/>
    </w:pPr>
    <w:rPr>
      <w:rFonts w:ascii="Times New Roman" w:hAnsi="Times New Roman"/>
      <w:sz w:val="24"/>
      <w:szCs w:val="24"/>
      <w:lang w:eastAsia="en-GB"/>
    </w:rPr>
  </w:style>
  <w:style w:type="paragraph" w:customStyle="1" w:styleId="IATitle">
    <w:name w:val="IATitle"/>
    <w:basedOn w:val="Normal"/>
    <w:uiPriority w:val="99"/>
    <w:rsid w:val="00F01332"/>
    <w:pPr>
      <w:spacing w:after="0" w:line="240" w:lineRule="auto"/>
      <w:ind w:left="113"/>
    </w:pPr>
    <w:rPr>
      <w:rFonts w:ascii="Arial" w:eastAsia="SimSun" w:hAnsi="Arial" w:cs="Arial"/>
      <w:sz w:val="20"/>
      <w:szCs w:val="24"/>
    </w:rPr>
  </w:style>
  <w:style w:type="paragraph" w:customStyle="1" w:styleId="IANo">
    <w:name w:val="IANo"/>
    <w:basedOn w:val="Normal"/>
    <w:link w:val="IANoChar"/>
    <w:uiPriority w:val="99"/>
    <w:rsid w:val="00F01332"/>
    <w:pPr>
      <w:spacing w:after="0" w:line="240" w:lineRule="auto"/>
      <w:ind w:left="113"/>
    </w:pPr>
    <w:rPr>
      <w:rFonts w:ascii="Arial" w:hAnsi="Arial"/>
      <w:sz w:val="20"/>
      <w:szCs w:val="20"/>
      <w:lang w:eastAsia="en-GB"/>
    </w:rPr>
  </w:style>
  <w:style w:type="character" w:customStyle="1" w:styleId="IAHeadDeptChar">
    <w:name w:val="IAHeadDept Char"/>
    <w:link w:val="IAHeadDept"/>
    <w:uiPriority w:val="99"/>
    <w:locked/>
    <w:rsid w:val="00F01332"/>
    <w:rPr>
      <w:rFonts w:ascii="Arial" w:eastAsia="SimSun" w:hAnsi="Arial"/>
      <w:spacing w:val="-6"/>
      <w:lang w:eastAsia="zh-CN"/>
    </w:rPr>
  </w:style>
  <w:style w:type="character" w:customStyle="1" w:styleId="IAHeadTitleChar">
    <w:name w:val="IAHeadTitle Char"/>
    <w:link w:val="IAHeadTitle"/>
    <w:uiPriority w:val="99"/>
    <w:locked/>
    <w:rsid w:val="00F01332"/>
    <w:rPr>
      <w:rFonts w:ascii="Arial" w:eastAsia="SimSun" w:hAnsi="Arial"/>
      <w:b/>
      <w:spacing w:val="-6"/>
      <w:sz w:val="28"/>
      <w:lang w:eastAsia="zh-CN"/>
    </w:rPr>
  </w:style>
  <w:style w:type="character" w:customStyle="1" w:styleId="IANoChar">
    <w:name w:val="IANo Char"/>
    <w:link w:val="IANo"/>
    <w:uiPriority w:val="99"/>
    <w:locked/>
    <w:rsid w:val="00F01332"/>
    <w:rPr>
      <w:rFonts w:ascii="Arial" w:hAnsi="Arial"/>
      <w:sz w:val="20"/>
    </w:rPr>
  </w:style>
  <w:style w:type="paragraph" w:customStyle="1" w:styleId="IALeadDept">
    <w:name w:val="IALeadDept"/>
    <w:basedOn w:val="Normal"/>
    <w:uiPriority w:val="99"/>
    <w:rsid w:val="00F01332"/>
    <w:pPr>
      <w:spacing w:after="0" w:line="240" w:lineRule="auto"/>
      <w:ind w:left="113"/>
    </w:pPr>
    <w:rPr>
      <w:rFonts w:ascii="Arial" w:eastAsia="Arial Unicode MS" w:hAnsi="Arial" w:cs="Arial"/>
      <w:noProof/>
      <w:sz w:val="20"/>
      <w:szCs w:val="24"/>
    </w:rPr>
  </w:style>
  <w:style w:type="paragraph" w:customStyle="1" w:styleId="IAOtherDepts">
    <w:name w:val="IAOtherDepts"/>
    <w:basedOn w:val="IATableLabel"/>
    <w:uiPriority w:val="99"/>
    <w:rsid w:val="00F01332"/>
    <w:pPr>
      <w:spacing w:after="0"/>
    </w:pPr>
    <w:rPr>
      <w:b w:val="0"/>
    </w:rPr>
  </w:style>
  <w:style w:type="paragraph" w:customStyle="1" w:styleId="IADate">
    <w:name w:val="IADate"/>
    <w:basedOn w:val="IATableLabel"/>
    <w:link w:val="IADateChar"/>
    <w:uiPriority w:val="99"/>
    <w:rsid w:val="00F01332"/>
    <w:rPr>
      <w:b w:val="0"/>
    </w:rPr>
  </w:style>
  <w:style w:type="paragraph" w:customStyle="1" w:styleId="IAStage">
    <w:name w:val="IAStage"/>
    <w:basedOn w:val="IATableLabel"/>
    <w:link w:val="IAStageChar"/>
    <w:uiPriority w:val="99"/>
    <w:rsid w:val="00F01332"/>
    <w:rPr>
      <w:b w:val="0"/>
    </w:rPr>
  </w:style>
  <w:style w:type="paragraph" w:customStyle="1" w:styleId="IASOI">
    <w:name w:val="IASOI"/>
    <w:basedOn w:val="IATableLabel"/>
    <w:link w:val="IASOIChar"/>
    <w:uiPriority w:val="99"/>
    <w:rsid w:val="00F01332"/>
    <w:rPr>
      <w:b w:val="0"/>
    </w:rPr>
  </w:style>
  <w:style w:type="paragraph" w:customStyle="1" w:styleId="IATOM">
    <w:name w:val="IATOM"/>
    <w:basedOn w:val="IATableLabel"/>
    <w:link w:val="IATOMChar"/>
    <w:uiPriority w:val="99"/>
    <w:rsid w:val="00F01332"/>
    <w:rPr>
      <w:b w:val="0"/>
    </w:rPr>
  </w:style>
  <w:style w:type="paragraph" w:customStyle="1" w:styleId="IACOE">
    <w:name w:val="IACOE"/>
    <w:basedOn w:val="Normal"/>
    <w:link w:val="IACOEChar"/>
    <w:autoRedefine/>
    <w:uiPriority w:val="99"/>
    <w:rsid w:val="00F01332"/>
    <w:pPr>
      <w:spacing w:after="0" w:line="240" w:lineRule="auto"/>
    </w:pPr>
    <w:rPr>
      <w:rFonts w:ascii="Arial" w:eastAsia="SimSun" w:hAnsi="Arial"/>
      <w:spacing w:val="-5"/>
      <w:sz w:val="24"/>
      <w:szCs w:val="20"/>
      <w:lang w:eastAsia="zh-CN"/>
    </w:rPr>
  </w:style>
  <w:style w:type="paragraph" w:customStyle="1" w:styleId="IARPC">
    <w:name w:val="IARPC"/>
    <w:basedOn w:val="Title"/>
    <w:link w:val="IARPCChar"/>
    <w:uiPriority w:val="99"/>
    <w:rsid w:val="00F01332"/>
    <w:rPr>
      <w:rFonts w:eastAsia="SimSun" w:cs="Times New Roman"/>
      <w:bCs w:val="0"/>
      <w:color w:val="000000"/>
      <w:sz w:val="24"/>
      <w:szCs w:val="20"/>
      <w:lang w:eastAsia="en-GB"/>
    </w:rPr>
  </w:style>
  <w:style w:type="paragraph" w:customStyle="1" w:styleId="IAIIOTNPV">
    <w:name w:val="IAIIOTNPV"/>
    <w:basedOn w:val="IATableLabel"/>
    <w:uiPriority w:val="99"/>
    <w:rsid w:val="00F01332"/>
    <w:pPr>
      <w:spacing w:before="0" w:after="0"/>
      <w:jc w:val="both"/>
    </w:pPr>
    <w:rPr>
      <w:b w:val="0"/>
      <w:sz w:val="22"/>
      <w:szCs w:val="22"/>
    </w:rPr>
  </w:style>
  <w:style w:type="paragraph" w:customStyle="1" w:styleId="IAIOBNPV">
    <w:name w:val="IAIOBNPV"/>
    <w:basedOn w:val="IATableLabel"/>
    <w:uiPriority w:val="99"/>
    <w:rsid w:val="00F01332"/>
    <w:pPr>
      <w:spacing w:before="0" w:after="0"/>
    </w:pPr>
    <w:rPr>
      <w:b w:val="0"/>
      <w:sz w:val="22"/>
      <w:szCs w:val="22"/>
    </w:rPr>
  </w:style>
  <w:style w:type="paragraph" w:customStyle="1" w:styleId="IAIONCTBPY">
    <w:name w:val="IAIONCTBPY"/>
    <w:basedOn w:val="IATableLabel"/>
    <w:uiPriority w:val="99"/>
    <w:rsid w:val="00F01332"/>
    <w:pPr>
      <w:spacing w:before="0" w:after="0"/>
    </w:pPr>
    <w:rPr>
      <w:b w:val="0"/>
      <w:sz w:val="22"/>
      <w:szCs w:val="22"/>
    </w:rPr>
  </w:style>
  <w:style w:type="paragraph" w:customStyle="1" w:styleId="IAIOInScopeInOut">
    <w:name w:val="IAIOInScopeInOut"/>
    <w:basedOn w:val="IATableLabel"/>
    <w:uiPriority w:val="99"/>
    <w:rsid w:val="00F01332"/>
    <w:pPr>
      <w:spacing w:before="0" w:after="0"/>
    </w:pPr>
    <w:rPr>
      <w:b w:val="0"/>
      <w:sz w:val="22"/>
      <w:szCs w:val="22"/>
    </w:rPr>
  </w:style>
  <w:style w:type="paragraph" w:customStyle="1" w:styleId="IAIOPrefMQ">
    <w:name w:val="IAIOPrefMQ"/>
    <w:basedOn w:val="IATableText"/>
    <w:uiPriority w:val="99"/>
    <w:rsid w:val="00F01332"/>
    <w:pPr>
      <w:spacing w:before="0" w:after="0"/>
    </w:pPr>
    <w:rPr>
      <w:color w:val="000000"/>
      <w:szCs w:val="22"/>
    </w:rPr>
  </w:style>
  <w:style w:type="paragraph" w:customStyle="1" w:styleId="IAIOQ1">
    <w:name w:val="IAIOQ1"/>
    <w:basedOn w:val="IATableLabel"/>
    <w:uiPriority w:val="99"/>
    <w:rsid w:val="00F01332"/>
  </w:style>
  <w:style w:type="paragraph" w:customStyle="1" w:styleId="IAIOA1">
    <w:name w:val="IAIOA1"/>
    <w:basedOn w:val="IATableLines"/>
    <w:uiPriority w:val="99"/>
    <w:rsid w:val="00F01332"/>
  </w:style>
  <w:style w:type="paragraph" w:customStyle="1" w:styleId="IAIOQ2">
    <w:name w:val="IAIOQ2"/>
    <w:basedOn w:val="IATableLabel"/>
    <w:uiPriority w:val="99"/>
    <w:rsid w:val="00F01332"/>
  </w:style>
  <w:style w:type="paragraph" w:customStyle="1" w:styleId="IAIOA2">
    <w:name w:val="IAIOA2"/>
    <w:basedOn w:val="IATableLines"/>
    <w:uiPriority w:val="99"/>
    <w:rsid w:val="00F01332"/>
  </w:style>
  <w:style w:type="paragraph" w:customStyle="1" w:styleId="IAIOQ3">
    <w:name w:val="IAIOQ3"/>
    <w:basedOn w:val="IATableLabel"/>
    <w:uiPriority w:val="99"/>
    <w:rsid w:val="00F01332"/>
  </w:style>
  <w:style w:type="paragraph" w:customStyle="1" w:styleId="IAIOA3">
    <w:name w:val="IAIOA3"/>
    <w:basedOn w:val="IATableLines"/>
    <w:uiPriority w:val="99"/>
    <w:rsid w:val="00F01332"/>
  </w:style>
  <w:style w:type="paragraph" w:customStyle="1" w:styleId="IAIOPolicyReview">
    <w:name w:val="IAIOPolicyReview"/>
    <w:basedOn w:val="IATableLabel"/>
    <w:link w:val="IAIOPolicyReviewChar"/>
    <w:uiPriority w:val="99"/>
    <w:rsid w:val="00F01332"/>
    <w:rPr>
      <w:b w:val="0"/>
    </w:rPr>
  </w:style>
  <w:style w:type="character" w:customStyle="1" w:styleId="IAIOPolicyReviewChar">
    <w:name w:val="IAIOPolicyReview Char"/>
    <w:link w:val="IAIOPolicyReview"/>
    <w:uiPriority w:val="99"/>
    <w:locked/>
    <w:rsid w:val="00F01332"/>
    <w:rPr>
      <w:rFonts w:ascii="Arial" w:eastAsia="SimSun" w:hAnsi="Arial"/>
      <w:color w:val="000000"/>
      <w:spacing w:val="-5"/>
      <w:lang w:eastAsia="zh-CN"/>
    </w:rPr>
  </w:style>
  <w:style w:type="paragraph" w:customStyle="1" w:styleId="IAIOReviewMonth">
    <w:name w:val="IAIOReviewMonth"/>
    <w:basedOn w:val="IATableLabel"/>
    <w:link w:val="IAIOReviewMonthChar"/>
    <w:uiPriority w:val="99"/>
    <w:rsid w:val="00F01332"/>
    <w:rPr>
      <w:b w:val="0"/>
    </w:rPr>
  </w:style>
  <w:style w:type="paragraph" w:customStyle="1" w:styleId="IAIOReviewYear">
    <w:name w:val="IAIOReviewYear"/>
    <w:basedOn w:val="IATableLabel"/>
    <w:link w:val="IAIOReviewYearChar"/>
    <w:uiPriority w:val="99"/>
    <w:rsid w:val="00F01332"/>
    <w:rPr>
      <w:b w:val="0"/>
    </w:rPr>
  </w:style>
  <w:style w:type="paragraph" w:customStyle="1" w:styleId="IAIOCheckEU">
    <w:name w:val="IAIOCheckEU"/>
    <w:basedOn w:val="IATableText"/>
    <w:uiPriority w:val="99"/>
    <w:rsid w:val="00F01332"/>
    <w:pPr>
      <w:spacing w:before="0" w:after="0"/>
    </w:pPr>
  </w:style>
  <w:style w:type="character" w:customStyle="1" w:styleId="IAIOReviewYearChar">
    <w:name w:val="IAIOReviewYear Char"/>
    <w:link w:val="IAIOReviewYear"/>
    <w:uiPriority w:val="99"/>
    <w:locked/>
    <w:rsid w:val="00F01332"/>
    <w:rPr>
      <w:rFonts w:ascii="Arial" w:eastAsia="SimSun" w:hAnsi="Arial"/>
      <w:color w:val="000000"/>
      <w:spacing w:val="-5"/>
      <w:lang w:eastAsia="zh-CN"/>
    </w:rPr>
  </w:style>
  <w:style w:type="character" w:customStyle="1" w:styleId="IAIOReviewMonthChar">
    <w:name w:val="IAIOReviewMonth Char"/>
    <w:link w:val="IAIOReviewMonth"/>
    <w:uiPriority w:val="99"/>
    <w:locked/>
    <w:rsid w:val="00F01332"/>
    <w:rPr>
      <w:rFonts w:ascii="Arial" w:eastAsia="SimSun" w:hAnsi="Arial"/>
      <w:color w:val="000000"/>
      <w:spacing w:val="-5"/>
      <w:lang w:eastAsia="zh-CN"/>
    </w:rPr>
  </w:style>
  <w:style w:type="paragraph" w:customStyle="1" w:styleId="IAIOCheckMicro">
    <w:name w:val="IAIOCheckMicro"/>
    <w:basedOn w:val="IATableLines"/>
    <w:link w:val="IAIOCheckMicroChar"/>
    <w:uiPriority w:val="99"/>
    <w:rsid w:val="00F01332"/>
  </w:style>
  <w:style w:type="paragraph" w:customStyle="1" w:styleId="IAIOCheck20">
    <w:name w:val="IAIOCheck20"/>
    <w:basedOn w:val="IATableLines"/>
    <w:uiPriority w:val="99"/>
    <w:rsid w:val="00F01332"/>
  </w:style>
  <w:style w:type="paragraph" w:customStyle="1" w:styleId="IAIOCheckSmall">
    <w:name w:val="IAIOCheckSmall"/>
    <w:basedOn w:val="IATableLines"/>
    <w:link w:val="IAIOCheckSmallChar"/>
    <w:uiPriority w:val="99"/>
    <w:rsid w:val="00F01332"/>
  </w:style>
  <w:style w:type="paragraph" w:customStyle="1" w:styleId="IAIOCheckMedium">
    <w:name w:val="IAIOCheckMedium"/>
    <w:basedOn w:val="IATableLines"/>
    <w:link w:val="IAIOCheckMediumChar"/>
    <w:uiPriority w:val="99"/>
    <w:rsid w:val="00F01332"/>
  </w:style>
  <w:style w:type="paragraph" w:customStyle="1" w:styleId="IAIOCheckLarge">
    <w:name w:val="IAIOCheckLarge"/>
    <w:basedOn w:val="IATableLines"/>
    <w:link w:val="IAIOCheckLargeChar"/>
    <w:uiPriority w:val="99"/>
    <w:rsid w:val="00F01332"/>
  </w:style>
  <w:style w:type="paragraph" w:customStyle="1" w:styleId="IAIOCO2Traded">
    <w:name w:val="IAIOCO2Traded"/>
    <w:basedOn w:val="IATableLabel"/>
    <w:link w:val="IAIOCO2TradedChar"/>
    <w:uiPriority w:val="99"/>
    <w:rsid w:val="00F01332"/>
    <w:rPr>
      <w:b w:val="0"/>
    </w:rPr>
  </w:style>
  <w:style w:type="paragraph" w:customStyle="1" w:styleId="IAIOCO2NonTraded">
    <w:name w:val="IAIOCO2NonTraded"/>
    <w:basedOn w:val="IAIOCO2Traded"/>
    <w:uiPriority w:val="99"/>
    <w:rsid w:val="00F01332"/>
  </w:style>
  <w:style w:type="paragraph" w:customStyle="1" w:styleId="IAIOtextSign">
    <w:name w:val="IAIOtextSign"/>
    <w:basedOn w:val="Normal"/>
    <w:uiPriority w:val="99"/>
    <w:rsid w:val="00F01332"/>
    <w:pPr>
      <w:spacing w:after="0" w:line="240" w:lineRule="auto"/>
      <w:jc w:val="center"/>
    </w:pPr>
    <w:rPr>
      <w:rFonts w:ascii="Arial" w:eastAsia="Times New Roman" w:hAnsi="Arial"/>
      <w:sz w:val="24"/>
      <w:szCs w:val="24"/>
    </w:rPr>
  </w:style>
  <w:style w:type="paragraph" w:customStyle="1" w:styleId="IAIOSigDate">
    <w:name w:val="IAIOSigDate"/>
    <w:basedOn w:val="Normal"/>
    <w:uiPriority w:val="99"/>
    <w:rsid w:val="00F01332"/>
    <w:pPr>
      <w:spacing w:after="0" w:line="240" w:lineRule="auto"/>
      <w:jc w:val="center"/>
    </w:pPr>
    <w:rPr>
      <w:rFonts w:ascii="Arial" w:eastAsia="Times New Roman" w:hAnsi="Arial"/>
    </w:rPr>
  </w:style>
  <w:style w:type="paragraph" w:customStyle="1" w:styleId="IAPODescription">
    <w:name w:val="IAPODescription"/>
    <w:basedOn w:val="IAHeadLabel"/>
    <w:link w:val="IAPODescriptionCharChar"/>
    <w:uiPriority w:val="99"/>
    <w:rsid w:val="00F01332"/>
    <w:pPr>
      <w:spacing w:before="50"/>
    </w:pPr>
    <w:rPr>
      <w:b w:val="0"/>
    </w:rPr>
  </w:style>
  <w:style w:type="character" w:customStyle="1" w:styleId="IAPODescriptionCharChar">
    <w:name w:val="IAPODescription Char Char"/>
    <w:basedOn w:val="IAHeadLabelChar"/>
    <w:link w:val="IAPODescription"/>
    <w:uiPriority w:val="99"/>
    <w:locked/>
    <w:rsid w:val="00F01332"/>
    <w:rPr>
      <w:rFonts w:ascii="Arial" w:eastAsia="SimSun" w:hAnsi="Arial" w:cs="Times New Roman"/>
      <w:b/>
      <w:color w:val="000000"/>
      <w:spacing w:val="-5"/>
      <w:sz w:val="20"/>
      <w:szCs w:val="20"/>
      <w:lang w:eastAsia="zh-CN"/>
    </w:rPr>
  </w:style>
  <w:style w:type="character" w:customStyle="1" w:styleId="IADateChar">
    <w:name w:val="IADate Char"/>
    <w:link w:val="IADate"/>
    <w:uiPriority w:val="99"/>
    <w:locked/>
    <w:rsid w:val="00F01332"/>
    <w:rPr>
      <w:rFonts w:ascii="Arial" w:eastAsia="SimSun" w:hAnsi="Arial"/>
      <w:color w:val="000000"/>
      <w:spacing w:val="-5"/>
      <w:lang w:eastAsia="zh-CN"/>
    </w:rPr>
  </w:style>
  <w:style w:type="character" w:customStyle="1" w:styleId="IATableLinesChar">
    <w:name w:val="IATableLines Char"/>
    <w:basedOn w:val="IATableTextChar"/>
    <w:link w:val="IATableLines"/>
    <w:uiPriority w:val="99"/>
    <w:locked/>
    <w:rsid w:val="00F01332"/>
    <w:rPr>
      <w:rFonts w:ascii="Arial" w:eastAsia="SimSun" w:hAnsi="Arial" w:cs="Times New Roman"/>
      <w:spacing w:val="-5"/>
      <w:sz w:val="20"/>
      <w:szCs w:val="20"/>
      <w:lang w:eastAsia="zh-CN"/>
    </w:rPr>
  </w:style>
  <w:style w:type="character" w:customStyle="1" w:styleId="IACOEChar">
    <w:name w:val="IACOE Char"/>
    <w:link w:val="IACOE"/>
    <w:uiPriority w:val="99"/>
    <w:locked/>
    <w:rsid w:val="00F01332"/>
    <w:rPr>
      <w:rFonts w:ascii="Arial" w:eastAsia="SimSun" w:hAnsi="Arial"/>
      <w:spacing w:val="-5"/>
      <w:sz w:val="24"/>
      <w:lang w:eastAsia="zh-CN"/>
    </w:rPr>
  </w:style>
  <w:style w:type="character" w:customStyle="1" w:styleId="IAStageChar">
    <w:name w:val="IAStage Char"/>
    <w:link w:val="IAStage"/>
    <w:uiPriority w:val="99"/>
    <w:locked/>
    <w:rsid w:val="00F01332"/>
    <w:rPr>
      <w:rFonts w:ascii="Arial" w:eastAsia="SimSun" w:hAnsi="Arial"/>
      <w:color w:val="000000"/>
      <w:spacing w:val="-5"/>
      <w:sz w:val="20"/>
      <w:lang w:eastAsia="zh-CN"/>
    </w:rPr>
  </w:style>
  <w:style w:type="character" w:customStyle="1" w:styleId="IASOIChar">
    <w:name w:val="IASOI Char"/>
    <w:link w:val="IASOI"/>
    <w:uiPriority w:val="99"/>
    <w:locked/>
    <w:rsid w:val="00F01332"/>
    <w:rPr>
      <w:rFonts w:ascii="Arial" w:eastAsia="SimSun" w:hAnsi="Arial"/>
      <w:color w:val="000000"/>
      <w:spacing w:val="-5"/>
      <w:sz w:val="20"/>
      <w:lang w:eastAsia="zh-CN"/>
    </w:rPr>
  </w:style>
  <w:style w:type="character" w:customStyle="1" w:styleId="IATOMChar">
    <w:name w:val="IATOM Char"/>
    <w:link w:val="IATOM"/>
    <w:uiPriority w:val="99"/>
    <w:locked/>
    <w:rsid w:val="00F01332"/>
    <w:rPr>
      <w:rFonts w:ascii="Arial" w:eastAsia="SimSun" w:hAnsi="Arial"/>
      <w:color w:val="000000"/>
      <w:spacing w:val="-5"/>
      <w:sz w:val="20"/>
      <w:lang w:eastAsia="zh-CN"/>
    </w:rPr>
  </w:style>
  <w:style w:type="character" w:customStyle="1" w:styleId="IARPCChar">
    <w:name w:val="IARPC Char"/>
    <w:link w:val="IARPC"/>
    <w:uiPriority w:val="99"/>
    <w:locked/>
    <w:rsid w:val="00F01332"/>
    <w:rPr>
      <w:rFonts w:ascii="Arial" w:eastAsia="SimSun" w:hAnsi="Arial"/>
      <w:color w:val="000000"/>
      <w:kern w:val="28"/>
      <w:sz w:val="24"/>
    </w:rPr>
  </w:style>
  <w:style w:type="character" w:customStyle="1" w:styleId="IAIOCheckMicroChar">
    <w:name w:val="IAIOCheckMicro Char"/>
    <w:basedOn w:val="IATableLinesChar"/>
    <w:link w:val="IAIOCheckMicro"/>
    <w:uiPriority w:val="99"/>
    <w:locked/>
    <w:rsid w:val="00F01332"/>
    <w:rPr>
      <w:rFonts w:ascii="Arial" w:eastAsia="SimSun" w:hAnsi="Arial" w:cs="Times New Roman"/>
      <w:spacing w:val="-5"/>
      <w:sz w:val="20"/>
      <w:szCs w:val="20"/>
      <w:lang w:eastAsia="zh-CN"/>
    </w:rPr>
  </w:style>
  <w:style w:type="character" w:customStyle="1" w:styleId="IAIOCheckSmallChar">
    <w:name w:val="IAIOCheckSmall Char"/>
    <w:basedOn w:val="IATableLinesChar"/>
    <w:link w:val="IAIOCheckSmall"/>
    <w:uiPriority w:val="99"/>
    <w:locked/>
    <w:rsid w:val="00F01332"/>
    <w:rPr>
      <w:rFonts w:ascii="Arial" w:eastAsia="SimSun" w:hAnsi="Arial" w:cs="Times New Roman"/>
      <w:spacing w:val="-5"/>
      <w:sz w:val="20"/>
      <w:szCs w:val="20"/>
      <w:lang w:eastAsia="zh-CN"/>
    </w:rPr>
  </w:style>
  <w:style w:type="character" w:customStyle="1" w:styleId="IAIOCheckMediumChar">
    <w:name w:val="IAIOCheckMedium Char"/>
    <w:basedOn w:val="IATableLinesChar"/>
    <w:link w:val="IAIOCheckMedium"/>
    <w:uiPriority w:val="99"/>
    <w:locked/>
    <w:rsid w:val="00F01332"/>
    <w:rPr>
      <w:rFonts w:ascii="Arial" w:eastAsia="SimSun" w:hAnsi="Arial" w:cs="Times New Roman"/>
      <w:spacing w:val="-5"/>
      <w:sz w:val="20"/>
      <w:szCs w:val="20"/>
      <w:lang w:eastAsia="zh-CN"/>
    </w:rPr>
  </w:style>
  <w:style w:type="character" w:customStyle="1" w:styleId="IAIOCheckLargeChar">
    <w:name w:val="IAIOCheckLarge Char"/>
    <w:basedOn w:val="IATableLinesChar"/>
    <w:link w:val="IAIOCheckLarge"/>
    <w:uiPriority w:val="99"/>
    <w:locked/>
    <w:rsid w:val="00F01332"/>
    <w:rPr>
      <w:rFonts w:ascii="Arial" w:eastAsia="SimSun" w:hAnsi="Arial" w:cs="Times New Roman"/>
      <w:spacing w:val="-5"/>
      <w:sz w:val="20"/>
      <w:szCs w:val="20"/>
      <w:lang w:eastAsia="zh-CN"/>
    </w:rPr>
  </w:style>
  <w:style w:type="character" w:customStyle="1" w:styleId="IAIOCO2TradedChar">
    <w:name w:val="IAIOCO2Traded Char"/>
    <w:link w:val="IAIOCO2Traded"/>
    <w:uiPriority w:val="99"/>
    <w:locked/>
    <w:rsid w:val="00F01332"/>
    <w:rPr>
      <w:rFonts w:ascii="Arial" w:eastAsia="SimSun" w:hAnsi="Arial"/>
      <w:color w:val="000000"/>
      <w:spacing w:val="-5"/>
      <w:sz w:val="20"/>
      <w:lang w:eastAsia="zh-CN"/>
    </w:rPr>
  </w:style>
  <w:style w:type="character" w:styleId="Strong">
    <w:name w:val="Strong"/>
    <w:basedOn w:val="DefaultParagraphFont"/>
    <w:uiPriority w:val="99"/>
    <w:qFormat/>
    <w:rsid w:val="00F01332"/>
    <w:rPr>
      <w:rFonts w:cs="Times New Roman"/>
      <w:b/>
    </w:rPr>
  </w:style>
  <w:style w:type="character" w:customStyle="1" w:styleId="IALabel">
    <w:name w:val="IALabel"/>
    <w:uiPriority w:val="99"/>
    <w:rsid w:val="00F01332"/>
    <w:rPr>
      <w:color w:val="000000"/>
      <w:sz w:val="20"/>
    </w:rPr>
  </w:style>
  <w:style w:type="paragraph" w:styleId="DocumentMap">
    <w:name w:val="Document Map"/>
    <w:basedOn w:val="Normal"/>
    <w:link w:val="DocumentMapChar"/>
    <w:uiPriority w:val="99"/>
    <w:semiHidden/>
    <w:rsid w:val="00F0133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F01332"/>
    <w:rPr>
      <w:rFonts w:ascii="Tahoma" w:hAnsi="Tahoma" w:cs="Tahoma"/>
      <w:sz w:val="20"/>
      <w:szCs w:val="20"/>
      <w:shd w:val="clear" w:color="auto" w:fill="000080"/>
    </w:rPr>
  </w:style>
  <w:style w:type="character" w:styleId="CommentReference">
    <w:name w:val="annotation reference"/>
    <w:basedOn w:val="DefaultParagraphFont"/>
    <w:uiPriority w:val="99"/>
    <w:semiHidden/>
    <w:rsid w:val="00F01332"/>
    <w:rPr>
      <w:rFonts w:cs="Times New Roman"/>
      <w:sz w:val="16"/>
    </w:rPr>
  </w:style>
  <w:style w:type="paragraph" w:styleId="CommentText">
    <w:name w:val="annotation text"/>
    <w:basedOn w:val="Normal"/>
    <w:link w:val="CommentTextChar"/>
    <w:uiPriority w:val="99"/>
    <w:semiHidden/>
    <w:rsid w:val="00F01332"/>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F0133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01332"/>
    <w:rPr>
      <w:b/>
      <w:bCs/>
    </w:rPr>
  </w:style>
  <w:style w:type="character" w:customStyle="1" w:styleId="CommentSubjectChar">
    <w:name w:val="Comment Subject Char"/>
    <w:basedOn w:val="CommentTextChar"/>
    <w:link w:val="CommentSubject"/>
    <w:uiPriority w:val="99"/>
    <w:semiHidden/>
    <w:locked/>
    <w:rsid w:val="00F01332"/>
    <w:rPr>
      <w:rFonts w:ascii="Arial" w:hAnsi="Arial" w:cs="Times New Roman"/>
      <w:b/>
      <w:bCs/>
      <w:sz w:val="20"/>
      <w:szCs w:val="20"/>
    </w:rPr>
  </w:style>
  <w:style w:type="paragraph" w:styleId="ListParagraph">
    <w:name w:val="List Paragraph"/>
    <w:basedOn w:val="Normal"/>
    <w:uiPriority w:val="99"/>
    <w:qFormat/>
    <w:rsid w:val="00F01332"/>
    <w:pPr>
      <w:spacing w:after="0" w:line="240" w:lineRule="auto"/>
      <w:ind w:left="720"/>
    </w:pPr>
    <w:rPr>
      <w:rFonts w:ascii="Arial" w:eastAsia="Times New Roman" w:hAnsi="Arial"/>
      <w:sz w:val="24"/>
      <w:szCs w:val="24"/>
    </w:rPr>
  </w:style>
  <w:style w:type="paragraph" w:styleId="EndnoteText">
    <w:name w:val="endnote text"/>
    <w:basedOn w:val="Normal"/>
    <w:link w:val="EndnoteTextChar"/>
    <w:uiPriority w:val="99"/>
    <w:semiHidden/>
    <w:rsid w:val="006E6DE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E6DE6"/>
    <w:rPr>
      <w:rFonts w:cs="Times New Roman"/>
      <w:sz w:val="20"/>
      <w:szCs w:val="20"/>
      <w:lang w:eastAsia="en-US"/>
    </w:rPr>
  </w:style>
  <w:style w:type="character" w:styleId="EndnoteReference">
    <w:name w:val="endnote reference"/>
    <w:basedOn w:val="DefaultParagraphFont"/>
    <w:uiPriority w:val="99"/>
    <w:semiHidden/>
    <w:rsid w:val="006E6DE6"/>
    <w:rPr>
      <w:rFonts w:cs="Times New Roman"/>
      <w:vertAlign w:val="superscript"/>
    </w:rPr>
  </w:style>
  <w:style w:type="paragraph" w:customStyle="1" w:styleId="Default">
    <w:name w:val="Default"/>
    <w:rsid w:val="008114A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23C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3640"/>
    <w:pPr>
      <w:spacing w:after="200" w:line="276" w:lineRule="auto"/>
    </w:pPr>
    <w:rPr>
      <w:lang w:eastAsia="en-US"/>
    </w:rPr>
  </w:style>
  <w:style w:type="paragraph" w:styleId="Heading1">
    <w:name w:val="heading 1"/>
    <w:basedOn w:val="Normal"/>
    <w:next w:val="Normal"/>
    <w:link w:val="Heading1Char"/>
    <w:uiPriority w:val="99"/>
    <w:qFormat/>
    <w:rsid w:val="00F01332"/>
    <w:pPr>
      <w:keepNext/>
      <w:tabs>
        <w:tab w:val="right" w:pos="10206"/>
      </w:tabs>
      <w:spacing w:before="240" w:after="60" w:line="240" w:lineRule="auto"/>
      <w:outlineLvl w:val="0"/>
    </w:pPr>
    <w:rPr>
      <w:rFonts w:ascii="Arial Bold" w:eastAsia="Times New Roman" w:hAnsi="Arial Bold" w:cs="Arial"/>
      <w:b/>
      <w:bCs/>
      <w:spacing w:val="-4"/>
      <w:kern w:val="32"/>
      <w:sz w:val="32"/>
      <w:szCs w:val="32"/>
    </w:rPr>
  </w:style>
  <w:style w:type="paragraph" w:styleId="Heading2">
    <w:name w:val="heading 2"/>
    <w:aliases w:val="EBHeading1"/>
    <w:basedOn w:val="Normal"/>
    <w:next w:val="EBBodyPara"/>
    <w:link w:val="Heading2Char"/>
    <w:uiPriority w:val="99"/>
    <w:qFormat/>
    <w:rsid w:val="00F01332"/>
    <w:pPr>
      <w:keepNext/>
      <w:keepLines/>
      <w:spacing w:before="480" w:after="240" w:line="240" w:lineRule="auto"/>
      <w:outlineLvl w:val="1"/>
    </w:pPr>
    <w:rPr>
      <w:rFonts w:ascii="Arial" w:eastAsia="Times New Roman" w:hAnsi="Arial" w:cs="Arial"/>
      <w:bCs/>
      <w:color w:val="000000"/>
      <w:sz w:val="32"/>
      <w:lang w:eastAsia="en-GB"/>
    </w:rPr>
  </w:style>
  <w:style w:type="paragraph" w:styleId="Heading3">
    <w:name w:val="heading 3"/>
    <w:aliases w:val="EBHeading2"/>
    <w:basedOn w:val="Normal"/>
    <w:next w:val="EBBodyPara"/>
    <w:link w:val="Heading3Char"/>
    <w:uiPriority w:val="99"/>
    <w:qFormat/>
    <w:rsid w:val="00F01332"/>
    <w:pPr>
      <w:keepNext/>
      <w:keepLines/>
      <w:spacing w:before="360" w:after="240" w:line="240" w:lineRule="auto"/>
      <w:outlineLvl w:val="2"/>
    </w:pPr>
    <w:rPr>
      <w:rFonts w:ascii="Arial" w:eastAsia="Times New Roman" w:hAnsi="Arial" w:cs="Arial"/>
      <w:b/>
      <w:bCs/>
      <w:color w:val="000000"/>
      <w:sz w:val="24"/>
      <w:lang w:eastAsia="en-GB"/>
    </w:rPr>
  </w:style>
  <w:style w:type="paragraph" w:styleId="Heading4">
    <w:name w:val="heading 4"/>
    <w:aliases w:val="EBHeading3"/>
    <w:basedOn w:val="EBBodyPara"/>
    <w:next w:val="Normal"/>
    <w:link w:val="Heading4Char"/>
    <w:uiPriority w:val="99"/>
    <w:qFormat/>
    <w:rsid w:val="00F01332"/>
    <w:pPr>
      <w:spacing w:before="240"/>
      <w:outlineLvl w:val="3"/>
    </w:pPr>
    <w:rPr>
      <w:b/>
    </w:rPr>
  </w:style>
  <w:style w:type="paragraph" w:styleId="Heading5">
    <w:name w:val="heading 5"/>
    <w:aliases w:val="EBHeading4"/>
    <w:basedOn w:val="Normal"/>
    <w:next w:val="Normal"/>
    <w:link w:val="Heading5Char"/>
    <w:uiPriority w:val="99"/>
    <w:qFormat/>
    <w:rsid w:val="00F01332"/>
    <w:pPr>
      <w:spacing w:before="240" w:after="120" w:line="240" w:lineRule="auto"/>
      <w:outlineLvl w:val="4"/>
    </w:pPr>
    <w:rPr>
      <w:rFonts w:ascii="Arial" w:eastAsia="Times New Roman" w:hAnsi="Arial"/>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332"/>
    <w:rPr>
      <w:rFonts w:ascii="Arial Bold" w:hAnsi="Arial Bold" w:cs="Arial"/>
      <w:b/>
      <w:bCs/>
      <w:spacing w:val="-4"/>
      <w:kern w:val="32"/>
      <w:sz w:val="32"/>
      <w:szCs w:val="32"/>
    </w:rPr>
  </w:style>
  <w:style w:type="character" w:customStyle="1" w:styleId="Heading2Char">
    <w:name w:val="Heading 2 Char"/>
    <w:aliases w:val="EBHeading1 Char"/>
    <w:basedOn w:val="DefaultParagraphFont"/>
    <w:link w:val="Heading2"/>
    <w:uiPriority w:val="99"/>
    <w:locked/>
    <w:rsid w:val="00F01332"/>
    <w:rPr>
      <w:rFonts w:ascii="Arial" w:hAnsi="Arial" w:cs="Arial"/>
      <w:bCs/>
      <w:color w:val="000000"/>
      <w:sz w:val="32"/>
      <w:lang w:eastAsia="en-GB"/>
    </w:rPr>
  </w:style>
  <w:style w:type="character" w:customStyle="1" w:styleId="Heading3Char">
    <w:name w:val="Heading 3 Char"/>
    <w:aliases w:val="EBHeading2 Char"/>
    <w:basedOn w:val="DefaultParagraphFont"/>
    <w:link w:val="Heading3"/>
    <w:uiPriority w:val="99"/>
    <w:locked/>
    <w:rsid w:val="00F01332"/>
    <w:rPr>
      <w:rFonts w:ascii="Arial" w:hAnsi="Arial" w:cs="Arial"/>
      <w:b/>
      <w:bCs/>
      <w:color w:val="000000"/>
      <w:sz w:val="24"/>
      <w:lang w:eastAsia="en-GB"/>
    </w:rPr>
  </w:style>
  <w:style w:type="character" w:customStyle="1" w:styleId="Heading4Char">
    <w:name w:val="Heading 4 Char"/>
    <w:aliases w:val="EBHeading3 Char"/>
    <w:basedOn w:val="DefaultParagraphFont"/>
    <w:link w:val="Heading4"/>
    <w:uiPriority w:val="99"/>
    <w:locked/>
    <w:rsid w:val="00F01332"/>
    <w:rPr>
      <w:rFonts w:ascii="Arial" w:hAnsi="Arial" w:cs="Arial"/>
      <w:b/>
      <w:bCs/>
      <w:color w:val="000000"/>
      <w:lang w:eastAsia="en-GB"/>
    </w:rPr>
  </w:style>
  <w:style w:type="character" w:customStyle="1" w:styleId="Heading5Char">
    <w:name w:val="Heading 5 Char"/>
    <w:aliases w:val="EBHeading4 Char"/>
    <w:basedOn w:val="DefaultParagraphFont"/>
    <w:link w:val="Heading5"/>
    <w:uiPriority w:val="99"/>
    <w:locked/>
    <w:rsid w:val="00F01332"/>
    <w:rPr>
      <w:rFonts w:ascii="Arial" w:hAnsi="Arial" w:cs="Times New Roman"/>
      <w:bCs/>
      <w:i/>
      <w:iCs/>
      <w:sz w:val="26"/>
      <w:szCs w:val="26"/>
    </w:rPr>
  </w:style>
  <w:style w:type="paragraph" w:customStyle="1" w:styleId="IATableLabel">
    <w:name w:val="IATableLabel"/>
    <w:basedOn w:val="Normal"/>
    <w:link w:val="IATableLabelCharChar"/>
    <w:uiPriority w:val="99"/>
    <w:rsid w:val="00F01332"/>
    <w:pPr>
      <w:spacing w:before="50" w:after="50" w:line="240" w:lineRule="auto"/>
      <w:ind w:left="113" w:right="113"/>
    </w:pPr>
    <w:rPr>
      <w:rFonts w:ascii="Arial" w:eastAsia="SimSun" w:hAnsi="Arial"/>
      <w:b/>
      <w:color w:val="000000"/>
      <w:spacing w:val="-5"/>
      <w:sz w:val="20"/>
      <w:szCs w:val="20"/>
      <w:lang w:eastAsia="zh-CN"/>
    </w:rPr>
  </w:style>
  <w:style w:type="character" w:customStyle="1" w:styleId="IATableLabelCharChar">
    <w:name w:val="IATableLabel Char Char"/>
    <w:link w:val="IATableLabel"/>
    <w:uiPriority w:val="99"/>
    <w:locked/>
    <w:rsid w:val="00F01332"/>
    <w:rPr>
      <w:rFonts w:ascii="Arial" w:eastAsia="SimSun" w:hAnsi="Arial"/>
      <w:b/>
      <w:color w:val="000000"/>
      <w:spacing w:val="-5"/>
      <w:sz w:val="20"/>
      <w:lang w:eastAsia="zh-CN"/>
    </w:rPr>
  </w:style>
  <w:style w:type="paragraph" w:customStyle="1" w:styleId="IASpacer">
    <w:name w:val="IASpacer"/>
    <w:basedOn w:val="Normal"/>
    <w:uiPriority w:val="99"/>
    <w:rsid w:val="00F01332"/>
    <w:pPr>
      <w:spacing w:after="0" w:line="80" w:lineRule="exact"/>
    </w:pPr>
    <w:rPr>
      <w:rFonts w:ascii="Arial" w:eastAsia="SimSun" w:hAnsi="Arial"/>
      <w:szCs w:val="24"/>
      <w:lang w:eastAsia="zh-CN"/>
    </w:rPr>
  </w:style>
  <w:style w:type="paragraph" w:customStyle="1" w:styleId="IATableText">
    <w:name w:val="IATableText"/>
    <w:basedOn w:val="IATableLabel"/>
    <w:link w:val="IATableTextChar"/>
    <w:uiPriority w:val="99"/>
    <w:rsid w:val="00F01332"/>
    <w:rPr>
      <w:b w:val="0"/>
      <w:color w:val="auto"/>
    </w:rPr>
  </w:style>
  <w:style w:type="character" w:customStyle="1" w:styleId="IATableTextChar">
    <w:name w:val="IATableText Char"/>
    <w:link w:val="IATableText"/>
    <w:uiPriority w:val="99"/>
    <w:locked/>
    <w:rsid w:val="00F01332"/>
    <w:rPr>
      <w:rFonts w:ascii="Arial" w:eastAsia="SimSun" w:hAnsi="Arial"/>
      <w:spacing w:val="-5"/>
      <w:sz w:val="20"/>
      <w:lang w:eastAsia="zh-CN"/>
    </w:rPr>
  </w:style>
  <w:style w:type="paragraph" w:styleId="BodyText">
    <w:name w:val="Body Text"/>
    <w:basedOn w:val="Normal"/>
    <w:link w:val="BodyTextChar"/>
    <w:uiPriority w:val="99"/>
    <w:rsid w:val="00F01332"/>
    <w:pPr>
      <w:spacing w:after="120" w:line="240" w:lineRule="auto"/>
    </w:pPr>
    <w:rPr>
      <w:rFonts w:ascii="Arial" w:eastAsia="Times New Roman" w:hAnsi="Arial" w:cs="Arial"/>
      <w:bCs/>
      <w:color w:val="000000"/>
      <w:lang w:eastAsia="en-GB"/>
    </w:rPr>
  </w:style>
  <w:style w:type="character" w:customStyle="1" w:styleId="BodyTextChar">
    <w:name w:val="Body Text Char"/>
    <w:basedOn w:val="DefaultParagraphFont"/>
    <w:link w:val="BodyText"/>
    <w:uiPriority w:val="99"/>
    <w:locked/>
    <w:rsid w:val="00F01332"/>
    <w:rPr>
      <w:rFonts w:ascii="Arial" w:hAnsi="Arial" w:cs="Arial"/>
      <w:bCs/>
      <w:color w:val="000000"/>
      <w:lang w:eastAsia="en-GB"/>
    </w:rPr>
  </w:style>
  <w:style w:type="table" w:styleId="TableGrid">
    <w:name w:val="Table Grid"/>
    <w:basedOn w:val="TableNormal"/>
    <w:uiPriority w:val="99"/>
    <w:rsid w:val="00F013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F01332"/>
    <w:pPr>
      <w:spacing w:after="0" w:line="240" w:lineRule="auto"/>
      <w:ind w:left="113"/>
      <w:outlineLvl w:val="0"/>
    </w:pPr>
    <w:rPr>
      <w:rFonts w:ascii="Arial" w:eastAsia="Times New Roman" w:hAnsi="Arial" w:cs="Arial"/>
      <w:bCs/>
      <w:color w:val="FFFFFF"/>
      <w:kern w:val="28"/>
      <w:sz w:val="32"/>
      <w:szCs w:val="32"/>
    </w:rPr>
  </w:style>
  <w:style w:type="character" w:customStyle="1" w:styleId="TitleChar">
    <w:name w:val="Title Char"/>
    <w:basedOn w:val="DefaultParagraphFont"/>
    <w:link w:val="Title"/>
    <w:uiPriority w:val="99"/>
    <w:locked/>
    <w:rsid w:val="00F01332"/>
    <w:rPr>
      <w:rFonts w:ascii="Arial" w:hAnsi="Arial" w:cs="Arial"/>
      <w:bCs/>
      <w:color w:val="FFFFFF"/>
      <w:kern w:val="28"/>
      <w:sz w:val="32"/>
      <w:szCs w:val="32"/>
    </w:rPr>
  </w:style>
  <w:style w:type="paragraph" w:customStyle="1" w:styleId="IAHeadDept">
    <w:name w:val="IAHeadDept"/>
    <w:basedOn w:val="IATableText"/>
    <w:link w:val="IAHeadDeptChar"/>
    <w:uiPriority w:val="99"/>
    <w:rsid w:val="00F01332"/>
    <w:pPr>
      <w:spacing w:after="120"/>
      <w:ind w:left="0" w:right="57"/>
    </w:pPr>
    <w:rPr>
      <w:spacing w:val="-6"/>
    </w:rPr>
  </w:style>
  <w:style w:type="paragraph" w:customStyle="1" w:styleId="IAHeadLabel">
    <w:name w:val="IAHeadLabel"/>
    <w:basedOn w:val="IATableLabel"/>
    <w:link w:val="IAHeadLabelChar"/>
    <w:uiPriority w:val="99"/>
    <w:rsid w:val="00F01332"/>
    <w:pPr>
      <w:spacing w:before="110"/>
      <w:ind w:left="0" w:right="0"/>
    </w:pPr>
  </w:style>
  <w:style w:type="character" w:customStyle="1" w:styleId="IAHeadLabelChar">
    <w:name w:val="IAHeadLabel Char"/>
    <w:basedOn w:val="IATableLabelCharChar"/>
    <w:link w:val="IAHeadLabel"/>
    <w:uiPriority w:val="99"/>
    <w:locked/>
    <w:rsid w:val="00F01332"/>
    <w:rPr>
      <w:rFonts w:ascii="Arial" w:eastAsia="SimSun" w:hAnsi="Arial" w:cs="Times New Roman"/>
      <w:b/>
      <w:color w:val="000000"/>
      <w:spacing w:val="-5"/>
      <w:sz w:val="20"/>
      <w:szCs w:val="20"/>
      <w:lang w:eastAsia="zh-CN"/>
    </w:rPr>
  </w:style>
  <w:style w:type="table" w:customStyle="1" w:styleId="TableIAHeading">
    <w:name w:val="Table_IAHeading"/>
    <w:uiPriority w:val="99"/>
    <w:semiHidden/>
    <w:rsid w:val="00F01332"/>
    <w:rPr>
      <w:rFonts w:ascii="Times New Roman" w:eastAsia="SimSu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uiPriority w:val="99"/>
    <w:rsid w:val="00F01332"/>
    <w:pPr>
      <w:spacing w:before="60" w:after="60" w:line="240" w:lineRule="auto"/>
      <w:ind w:left="113" w:right="113"/>
    </w:pPr>
    <w:rPr>
      <w:rFonts w:ascii="Arial" w:eastAsia="SimSun" w:hAnsi="Arial"/>
      <w:sz w:val="20"/>
      <w:szCs w:val="20"/>
      <w:lang w:eastAsia="zh-CN"/>
    </w:rPr>
  </w:style>
  <w:style w:type="character" w:customStyle="1" w:styleId="IATableNotesChar">
    <w:name w:val="IATableNotes Char"/>
    <w:link w:val="IATableNotes"/>
    <w:uiPriority w:val="99"/>
    <w:locked/>
    <w:rsid w:val="00F01332"/>
    <w:rPr>
      <w:rFonts w:ascii="Arial" w:eastAsia="SimSun" w:hAnsi="Arial"/>
      <w:sz w:val="20"/>
      <w:lang w:eastAsia="zh-CN"/>
    </w:rPr>
  </w:style>
  <w:style w:type="paragraph" w:customStyle="1" w:styleId="IASignOff">
    <w:name w:val="IASignOff"/>
    <w:basedOn w:val="IATableNotes"/>
    <w:next w:val="IATableNotes"/>
    <w:link w:val="IASignOffChar"/>
    <w:uiPriority w:val="99"/>
    <w:semiHidden/>
    <w:rsid w:val="00F01332"/>
    <w:pPr>
      <w:spacing w:before="120" w:after="120"/>
      <w:ind w:left="567" w:right="567"/>
    </w:pPr>
    <w:rPr>
      <w:b/>
      <w:i/>
    </w:rPr>
  </w:style>
  <w:style w:type="character" w:customStyle="1" w:styleId="IASignOffChar">
    <w:name w:val="IASignOff Char"/>
    <w:link w:val="IASignOff"/>
    <w:uiPriority w:val="99"/>
    <w:semiHidden/>
    <w:locked/>
    <w:rsid w:val="00F01332"/>
    <w:rPr>
      <w:rFonts w:ascii="Arial" w:eastAsia="SimSun" w:hAnsi="Arial"/>
      <w:b/>
      <w:i/>
      <w:sz w:val="20"/>
      <w:lang w:eastAsia="zh-CN"/>
    </w:rPr>
  </w:style>
  <w:style w:type="paragraph" w:customStyle="1" w:styleId="IAHeadTitle">
    <w:name w:val="IAHeadTitle"/>
    <w:basedOn w:val="IAHeadDept"/>
    <w:link w:val="IAHeadTitleChar"/>
    <w:uiPriority w:val="99"/>
    <w:rsid w:val="00F01332"/>
    <w:pPr>
      <w:spacing w:before="0" w:after="0"/>
    </w:pPr>
    <w:rPr>
      <w:b/>
      <w:sz w:val="28"/>
    </w:rPr>
  </w:style>
  <w:style w:type="paragraph" w:customStyle="1" w:styleId="IASignature">
    <w:name w:val="IA Signature"/>
    <w:basedOn w:val="IATableText"/>
    <w:uiPriority w:val="99"/>
    <w:rsid w:val="00F01332"/>
    <w:pPr>
      <w:tabs>
        <w:tab w:val="left" w:leader="dot" w:pos="6804"/>
        <w:tab w:val="right" w:leader="dot" w:pos="10206"/>
      </w:tabs>
      <w:spacing w:before="0" w:after="0"/>
      <w:ind w:left="0"/>
    </w:pPr>
  </w:style>
  <w:style w:type="paragraph" w:customStyle="1" w:styleId="IASign-offlabel">
    <w:name w:val="IA Sign-off label"/>
    <w:basedOn w:val="IAHeadLabel"/>
    <w:link w:val="IASign-offlabelChar"/>
    <w:uiPriority w:val="99"/>
    <w:rsid w:val="00F01332"/>
    <w:pPr>
      <w:spacing w:after="120"/>
    </w:pPr>
    <w:rPr>
      <w:u w:val="single"/>
    </w:rPr>
  </w:style>
  <w:style w:type="character" w:customStyle="1" w:styleId="IASign-offlabelChar">
    <w:name w:val="IA Sign-off label Char"/>
    <w:link w:val="IASign-offlabel"/>
    <w:uiPriority w:val="99"/>
    <w:locked/>
    <w:rsid w:val="00F01332"/>
    <w:rPr>
      <w:rFonts w:ascii="Arial" w:eastAsia="SimSun" w:hAnsi="Arial"/>
      <w:b/>
      <w:color w:val="000000"/>
      <w:spacing w:val="-5"/>
      <w:sz w:val="20"/>
      <w:u w:val="single"/>
      <w:lang w:eastAsia="zh-CN"/>
    </w:rPr>
  </w:style>
  <w:style w:type="paragraph" w:customStyle="1" w:styleId="IASign-off">
    <w:name w:val="IA Sign-off"/>
    <w:basedOn w:val="IATableText"/>
    <w:uiPriority w:val="99"/>
    <w:rsid w:val="00F01332"/>
    <w:pPr>
      <w:spacing w:before="0" w:after="0"/>
      <w:ind w:left="0" w:right="284"/>
    </w:pPr>
    <w:rPr>
      <w:b/>
      <w:i/>
    </w:rPr>
  </w:style>
  <w:style w:type="paragraph" w:customStyle="1" w:styleId="IAHeading2">
    <w:name w:val="IAHeading2"/>
    <w:basedOn w:val="Normal"/>
    <w:uiPriority w:val="99"/>
    <w:semiHidden/>
    <w:rsid w:val="00F01332"/>
    <w:pPr>
      <w:keepNext/>
      <w:keepLines/>
      <w:spacing w:before="60" w:after="60" w:line="240" w:lineRule="auto"/>
      <w:ind w:left="113" w:right="113"/>
    </w:pPr>
    <w:rPr>
      <w:rFonts w:ascii="Arial" w:eastAsia="SimSun" w:hAnsi="Arial"/>
      <w:b/>
      <w:sz w:val="20"/>
      <w:szCs w:val="24"/>
      <w:lang w:eastAsia="zh-CN"/>
    </w:rPr>
  </w:style>
  <w:style w:type="table" w:customStyle="1" w:styleId="TableIABox">
    <w:name w:val="Table_IABox"/>
    <w:uiPriority w:val="99"/>
    <w:rsid w:val="00F01332"/>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F01332"/>
    <w:pPr>
      <w:spacing w:after="0" w:line="240" w:lineRule="auto"/>
      <w:jc w:val="center"/>
    </w:pPr>
    <w:rPr>
      <w:rFonts w:ascii="Arial" w:eastAsia="Times New Roman" w:hAnsi="Arial"/>
      <w:caps/>
      <w:sz w:val="24"/>
      <w:szCs w:val="24"/>
    </w:rPr>
  </w:style>
  <w:style w:type="character" w:customStyle="1" w:styleId="HeaderChar">
    <w:name w:val="Header Char"/>
    <w:basedOn w:val="DefaultParagraphFont"/>
    <w:link w:val="Header"/>
    <w:uiPriority w:val="99"/>
    <w:locked/>
    <w:rsid w:val="00F01332"/>
    <w:rPr>
      <w:rFonts w:ascii="Arial" w:hAnsi="Arial" w:cs="Times New Roman"/>
      <w:caps/>
      <w:sz w:val="24"/>
      <w:szCs w:val="24"/>
    </w:rPr>
  </w:style>
  <w:style w:type="paragraph" w:styleId="Footer">
    <w:name w:val="footer"/>
    <w:basedOn w:val="Normal"/>
    <w:link w:val="FooterChar"/>
    <w:uiPriority w:val="99"/>
    <w:rsid w:val="00F01332"/>
    <w:pPr>
      <w:tabs>
        <w:tab w:val="center" w:pos="5132"/>
        <w:tab w:val="right" w:pos="10260"/>
      </w:tabs>
      <w:spacing w:after="0" w:line="240" w:lineRule="auto"/>
      <w:jc w:val="center"/>
    </w:pPr>
    <w:rPr>
      <w:rFonts w:ascii="Arial" w:eastAsia="Times New Roman" w:hAnsi="Arial"/>
      <w:b/>
      <w:sz w:val="18"/>
      <w:szCs w:val="24"/>
    </w:rPr>
  </w:style>
  <w:style w:type="character" w:customStyle="1" w:styleId="FooterChar">
    <w:name w:val="Footer Char"/>
    <w:basedOn w:val="DefaultParagraphFont"/>
    <w:link w:val="Footer"/>
    <w:uiPriority w:val="99"/>
    <w:locked/>
    <w:rsid w:val="00F01332"/>
    <w:rPr>
      <w:rFonts w:ascii="Arial" w:hAnsi="Arial" w:cs="Times New Roman"/>
      <w:b/>
      <w:sz w:val="24"/>
      <w:szCs w:val="24"/>
    </w:rPr>
  </w:style>
  <w:style w:type="character" w:styleId="PageNumber">
    <w:name w:val="page number"/>
    <w:basedOn w:val="DefaultParagraphFont"/>
    <w:uiPriority w:val="99"/>
    <w:rsid w:val="00F01332"/>
    <w:rPr>
      <w:rFonts w:cs="Times New Roman"/>
    </w:rPr>
  </w:style>
  <w:style w:type="paragraph" w:customStyle="1" w:styleId="IANotes">
    <w:name w:val="IANotes"/>
    <w:basedOn w:val="Normal"/>
    <w:uiPriority w:val="99"/>
    <w:semiHidden/>
    <w:rsid w:val="00F01332"/>
    <w:pPr>
      <w:spacing w:after="0" w:line="240" w:lineRule="auto"/>
    </w:pPr>
    <w:rPr>
      <w:rFonts w:ascii="Arial" w:eastAsia="SimSun" w:hAnsi="Arial"/>
      <w:color w:val="008080"/>
      <w:szCs w:val="24"/>
      <w:lang w:eastAsia="zh-CN"/>
    </w:rPr>
  </w:style>
  <w:style w:type="paragraph" w:customStyle="1" w:styleId="IATableHeading">
    <w:name w:val="IATableHeading"/>
    <w:basedOn w:val="IATableLabel"/>
    <w:uiPriority w:val="99"/>
    <w:rsid w:val="00F01332"/>
    <w:rPr>
      <w:sz w:val="22"/>
      <w:szCs w:val="24"/>
    </w:rPr>
  </w:style>
  <w:style w:type="paragraph" w:styleId="FootnoteText">
    <w:name w:val="footnote text"/>
    <w:basedOn w:val="Normal"/>
    <w:link w:val="FootnoteTextChar"/>
    <w:uiPriority w:val="99"/>
    <w:semiHidden/>
    <w:rsid w:val="00F01332"/>
    <w:pPr>
      <w:spacing w:after="0" w:line="240" w:lineRule="auto"/>
    </w:pPr>
    <w:rPr>
      <w:rFonts w:ascii="Arial" w:eastAsia="SimSun" w:hAnsi="Arial"/>
      <w:sz w:val="16"/>
      <w:szCs w:val="20"/>
      <w:lang w:eastAsia="zh-CN"/>
    </w:rPr>
  </w:style>
  <w:style w:type="character" w:customStyle="1" w:styleId="FootnoteTextChar">
    <w:name w:val="Footnote Text Char"/>
    <w:basedOn w:val="DefaultParagraphFont"/>
    <w:link w:val="FootnoteText"/>
    <w:uiPriority w:val="99"/>
    <w:semiHidden/>
    <w:locked/>
    <w:rsid w:val="00F01332"/>
    <w:rPr>
      <w:rFonts w:ascii="Arial" w:eastAsia="SimSun" w:hAnsi="Arial" w:cs="Times New Roman"/>
      <w:sz w:val="20"/>
      <w:szCs w:val="20"/>
      <w:lang w:eastAsia="zh-CN"/>
    </w:rPr>
  </w:style>
  <w:style w:type="character" w:styleId="FootnoteReference">
    <w:name w:val="footnote reference"/>
    <w:basedOn w:val="DefaultParagraphFont"/>
    <w:uiPriority w:val="99"/>
    <w:rsid w:val="00F01332"/>
    <w:rPr>
      <w:rFonts w:cs="Times New Roman"/>
      <w:sz w:val="22"/>
      <w:vertAlign w:val="superscript"/>
    </w:rPr>
  </w:style>
  <w:style w:type="paragraph" w:customStyle="1" w:styleId="EBBodyPara">
    <w:name w:val="EBBodyPara"/>
    <w:basedOn w:val="BodyText"/>
    <w:rsid w:val="00F01332"/>
  </w:style>
  <w:style w:type="paragraph" w:styleId="BalloonText">
    <w:name w:val="Balloon Text"/>
    <w:basedOn w:val="Normal"/>
    <w:link w:val="BalloonTextChar"/>
    <w:uiPriority w:val="99"/>
    <w:semiHidden/>
    <w:rsid w:val="00F0133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F01332"/>
    <w:rPr>
      <w:rFonts w:ascii="Tahoma" w:hAnsi="Tahoma" w:cs="Tahoma"/>
      <w:sz w:val="16"/>
      <w:szCs w:val="16"/>
    </w:rPr>
  </w:style>
  <w:style w:type="paragraph" w:customStyle="1" w:styleId="EBNumber">
    <w:name w:val="EBNumber"/>
    <w:basedOn w:val="BodyText"/>
    <w:uiPriority w:val="99"/>
    <w:rsid w:val="00F01332"/>
    <w:pPr>
      <w:numPr>
        <w:ilvl w:val="1"/>
        <w:numId w:val="1"/>
      </w:numPr>
    </w:pPr>
  </w:style>
  <w:style w:type="paragraph" w:customStyle="1" w:styleId="EBNumberRestart">
    <w:name w:val="EBNumberRestart"/>
    <w:basedOn w:val="BodyText"/>
    <w:next w:val="EBNumber"/>
    <w:uiPriority w:val="99"/>
    <w:rsid w:val="00F01332"/>
    <w:pPr>
      <w:numPr>
        <w:numId w:val="1"/>
      </w:numPr>
    </w:pPr>
  </w:style>
  <w:style w:type="paragraph" w:customStyle="1" w:styleId="StyleIATableText10ptRight">
    <w:name w:val="Style IATableText + 10 pt Right"/>
    <w:basedOn w:val="IATableText"/>
    <w:uiPriority w:val="99"/>
    <w:rsid w:val="00F01332"/>
    <w:pPr>
      <w:ind w:left="0" w:right="57"/>
      <w:jc w:val="right"/>
    </w:pPr>
    <w:rPr>
      <w:rFonts w:eastAsia="Times New Roman"/>
    </w:rPr>
  </w:style>
  <w:style w:type="paragraph" w:customStyle="1" w:styleId="SecurityClass">
    <w:name w:val="SecurityClass"/>
    <w:basedOn w:val="Header"/>
    <w:uiPriority w:val="99"/>
    <w:rsid w:val="00F01332"/>
  </w:style>
  <w:style w:type="paragraph" w:customStyle="1" w:styleId="IARefNumber">
    <w:name w:val="IARefNumber"/>
    <w:basedOn w:val="IATableText"/>
    <w:uiPriority w:val="99"/>
    <w:rsid w:val="00F01332"/>
    <w:pPr>
      <w:numPr>
        <w:numId w:val="2"/>
      </w:numPr>
      <w:ind w:left="0"/>
    </w:pPr>
  </w:style>
  <w:style w:type="character" w:styleId="Hyperlink">
    <w:name w:val="Hyperlink"/>
    <w:basedOn w:val="DefaultParagraphFont"/>
    <w:uiPriority w:val="99"/>
    <w:rsid w:val="00F01332"/>
    <w:rPr>
      <w:rFonts w:cs="Times New Roman"/>
      <w:color w:val="auto"/>
      <w:u w:val="single"/>
    </w:rPr>
  </w:style>
  <w:style w:type="paragraph" w:customStyle="1" w:styleId="POPBY">
    <w:name w:val="POPBY"/>
    <w:basedOn w:val="IATableLabel"/>
    <w:uiPriority w:val="99"/>
    <w:rsid w:val="00F01332"/>
  </w:style>
  <w:style w:type="paragraph" w:customStyle="1" w:styleId="EBBullet">
    <w:name w:val="EBBullet"/>
    <w:basedOn w:val="BodyText"/>
    <w:uiPriority w:val="99"/>
    <w:rsid w:val="00F01332"/>
    <w:pPr>
      <w:numPr>
        <w:numId w:val="3"/>
      </w:numPr>
    </w:pPr>
  </w:style>
  <w:style w:type="paragraph" w:customStyle="1" w:styleId="IAHeadText">
    <w:name w:val="IAHeadText"/>
    <w:basedOn w:val="IATableText"/>
    <w:uiPriority w:val="99"/>
    <w:rsid w:val="00F01332"/>
    <w:pPr>
      <w:spacing w:before="0" w:after="0"/>
      <w:ind w:left="0" w:right="57"/>
    </w:pPr>
    <w:rPr>
      <w:spacing w:val="-6"/>
    </w:rPr>
  </w:style>
  <w:style w:type="paragraph" w:customStyle="1" w:styleId="IAHeadLabel0">
    <w:name w:val="IAHeadLabel0"/>
    <w:basedOn w:val="IAHeadLabel"/>
    <w:next w:val="IAHeadTitle"/>
    <w:uiPriority w:val="99"/>
    <w:rsid w:val="00F01332"/>
    <w:pPr>
      <w:spacing w:before="0"/>
    </w:pPr>
  </w:style>
  <w:style w:type="paragraph" w:customStyle="1" w:styleId="IATableLines">
    <w:name w:val="IATableLines"/>
    <w:basedOn w:val="IATableText"/>
    <w:link w:val="IATableLinesChar"/>
    <w:uiPriority w:val="99"/>
    <w:rsid w:val="00F01332"/>
    <w:pPr>
      <w:spacing w:before="0" w:after="0"/>
    </w:pPr>
  </w:style>
  <w:style w:type="paragraph" w:customStyle="1" w:styleId="EvidenceHeadPIR">
    <w:name w:val="EvidenceHeadPIR"/>
    <w:uiPriority w:val="99"/>
    <w:rsid w:val="00F01332"/>
    <w:pPr>
      <w:spacing w:after="120"/>
    </w:pPr>
    <w:rPr>
      <w:rFonts w:ascii="Arial" w:eastAsia="Times New Roman" w:hAnsi="Arial" w:cs="Arial"/>
      <w:bCs/>
      <w:color w:val="000000"/>
    </w:rPr>
  </w:style>
  <w:style w:type="character" w:styleId="FollowedHyperlink">
    <w:name w:val="FollowedHyperlink"/>
    <w:basedOn w:val="DefaultParagraphFont"/>
    <w:uiPriority w:val="99"/>
    <w:rsid w:val="00F01332"/>
    <w:rPr>
      <w:rFonts w:cs="Times New Roman"/>
      <w:color w:val="auto"/>
      <w:u w:val="single"/>
    </w:rPr>
  </w:style>
  <w:style w:type="paragraph" w:customStyle="1" w:styleId="IASpacer2">
    <w:name w:val="IASpacer2"/>
    <w:basedOn w:val="IASpacer"/>
    <w:uiPriority w:val="99"/>
    <w:rsid w:val="00F01332"/>
    <w:pPr>
      <w:spacing w:line="40" w:lineRule="exact"/>
    </w:pPr>
  </w:style>
  <w:style w:type="paragraph" w:customStyle="1" w:styleId="POPVBY">
    <w:name w:val="POPVBY"/>
    <w:basedOn w:val="IATableLabel"/>
    <w:uiPriority w:val="99"/>
    <w:rsid w:val="00F01332"/>
  </w:style>
  <w:style w:type="paragraph" w:customStyle="1" w:styleId="POTPY">
    <w:name w:val="POTPY"/>
    <w:basedOn w:val="IATableLabel"/>
    <w:uiPriority w:val="99"/>
    <w:rsid w:val="00F01332"/>
  </w:style>
  <w:style w:type="paragraph" w:customStyle="1" w:styleId="PONBLow">
    <w:name w:val="PONBLow"/>
    <w:basedOn w:val="IATableLabel"/>
    <w:link w:val="PONBLowCharChar"/>
    <w:uiPriority w:val="99"/>
    <w:rsid w:val="00F01332"/>
    <w:rPr>
      <w:b w:val="0"/>
    </w:rPr>
  </w:style>
  <w:style w:type="character" w:customStyle="1" w:styleId="PONBLowCharChar">
    <w:name w:val="PONBLow Char Char"/>
    <w:link w:val="PONBLow"/>
    <w:uiPriority w:val="99"/>
    <w:locked/>
    <w:rsid w:val="00F01332"/>
    <w:rPr>
      <w:rFonts w:ascii="Arial" w:eastAsia="SimSun" w:hAnsi="Arial"/>
      <w:color w:val="000000"/>
      <w:spacing w:val="-5"/>
      <w:sz w:val="20"/>
      <w:lang w:eastAsia="zh-CN"/>
    </w:rPr>
  </w:style>
  <w:style w:type="paragraph" w:customStyle="1" w:styleId="PONBHigh">
    <w:name w:val="PONBHigh"/>
    <w:basedOn w:val="IATableLabel"/>
    <w:link w:val="PONBHighChar"/>
    <w:uiPriority w:val="99"/>
    <w:rsid w:val="00F01332"/>
    <w:rPr>
      <w:b w:val="0"/>
    </w:rPr>
  </w:style>
  <w:style w:type="character" w:customStyle="1" w:styleId="PONBHighChar">
    <w:name w:val="PONBHigh Char"/>
    <w:link w:val="PONBHigh"/>
    <w:uiPriority w:val="99"/>
    <w:locked/>
    <w:rsid w:val="00F01332"/>
    <w:rPr>
      <w:rFonts w:ascii="Arial" w:eastAsia="SimSun" w:hAnsi="Arial"/>
      <w:color w:val="000000"/>
      <w:spacing w:val="-5"/>
      <w:sz w:val="20"/>
      <w:lang w:eastAsia="zh-CN"/>
    </w:rPr>
  </w:style>
  <w:style w:type="paragraph" w:customStyle="1" w:styleId="PONBBestEst">
    <w:name w:val="PONBBestEst"/>
    <w:basedOn w:val="IATableLabel"/>
    <w:link w:val="PONBBestEstChar"/>
    <w:uiPriority w:val="99"/>
    <w:rsid w:val="00F01332"/>
    <w:rPr>
      <w:b w:val="0"/>
    </w:rPr>
  </w:style>
  <w:style w:type="character" w:customStyle="1" w:styleId="PONBBestEstChar">
    <w:name w:val="PONBBestEst Char"/>
    <w:link w:val="PONBBestEst"/>
    <w:uiPriority w:val="99"/>
    <w:locked/>
    <w:rsid w:val="00F01332"/>
    <w:rPr>
      <w:rFonts w:ascii="Arial" w:eastAsia="SimSun" w:hAnsi="Arial"/>
      <w:color w:val="000000"/>
      <w:spacing w:val="-5"/>
      <w:sz w:val="20"/>
      <w:lang w:eastAsia="zh-CN"/>
    </w:rPr>
  </w:style>
  <w:style w:type="paragraph" w:customStyle="1" w:styleId="POTTCostsHigh">
    <w:name w:val="POTTCostsHigh"/>
    <w:basedOn w:val="IATableText"/>
    <w:uiPriority w:val="99"/>
    <w:rsid w:val="00F01332"/>
    <w:pPr>
      <w:jc w:val="right"/>
    </w:pPr>
  </w:style>
  <w:style w:type="paragraph" w:customStyle="1" w:styleId="POTTCostsLow">
    <w:name w:val="POTTCostsLow"/>
    <w:basedOn w:val="POTTCostsHigh"/>
    <w:uiPriority w:val="99"/>
    <w:rsid w:val="00F01332"/>
  </w:style>
  <w:style w:type="paragraph" w:customStyle="1" w:styleId="POTTCostsBest">
    <w:name w:val="POTTCostsBest"/>
    <w:basedOn w:val="IATableText"/>
    <w:uiPriority w:val="99"/>
    <w:rsid w:val="00F01332"/>
    <w:pPr>
      <w:jc w:val="right"/>
    </w:pPr>
  </w:style>
  <w:style w:type="paragraph" w:customStyle="1" w:styleId="POTTCostsYear">
    <w:name w:val="POTTCostsYear"/>
    <w:basedOn w:val="IATableText"/>
    <w:uiPriority w:val="99"/>
    <w:rsid w:val="00F01332"/>
    <w:pPr>
      <w:jc w:val="center"/>
    </w:pPr>
    <w:rPr>
      <w:szCs w:val="18"/>
    </w:rPr>
  </w:style>
  <w:style w:type="paragraph" w:customStyle="1" w:styleId="POAACostsLow">
    <w:name w:val="POAACostsLow"/>
    <w:basedOn w:val="IATableText"/>
    <w:uiPriority w:val="99"/>
    <w:rsid w:val="00F01332"/>
    <w:pPr>
      <w:jc w:val="right"/>
    </w:pPr>
  </w:style>
  <w:style w:type="paragraph" w:customStyle="1" w:styleId="POAACostsHigh">
    <w:name w:val="POAACostsHigh"/>
    <w:basedOn w:val="POAACostsLow"/>
    <w:uiPriority w:val="99"/>
    <w:rsid w:val="00F01332"/>
  </w:style>
  <w:style w:type="paragraph" w:customStyle="1" w:styleId="POAACostsBest">
    <w:name w:val="POAACostsBest"/>
    <w:basedOn w:val="IATableText"/>
    <w:uiPriority w:val="99"/>
    <w:rsid w:val="00F01332"/>
    <w:pPr>
      <w:jc w:val="right"/>
    </w:pPr>
  </w:style>
  <w:style w:type="paragraph" w:customStyle="1" w:styleId="POTCCostsLow">
    <w:name w:val="POTCCostsLow"/>
    <w:basedOn w:val="IATableText"/>
    <w:uiPriority w:val="99"/>
    <w:rsid w:val="00F01332"/>
    <w:pPr>
      <w:jc w:val="right"/>
    </w:pPr>
    <w:rPr>
      <w:b/>
    </w:rPr>
  </w:style>
  <w:style w:type="paragraph" w:customStyle="1" w:styleId="POTCCostsHigh">
    <w:name w:val="POTCCostsHigh"/>
    <w:basedOn w:val="IATableText"/>
    <w:uiPriority w:val="99"/>
    <w:rsid w:val="00F01332"/>
    <w:pPr>
      <w:jc w:val="right"/>
    </w:pPr>
    <w:rPr>
      <w:b/>
    </w:rPr>
  </w:style>
  <w:style w:type="paragraph" w:customStyle="1" w:styleId="POTCCostsBest">
    <w:name w:val="POTCCostsBest"/>
    <w:basedOn w:val="IATableText"/>
    <w:uiPriority w:val="99"/>
    <w:rsid w:val="00F01332"/>
    <w:pPr>
      <w:jc w:val="right"/>
    </w:pPr>
    <w:rPr>
      <w:b/>
    </w:rPr>
  </w:style>
  <w:style w:type="paragraph" w:customStyle="1" w:styleId="IAPOQ1">
    <w:name w:val="IAPOQ1"/>
    <w:basedOn w:val="IATableLabel"/>
    <w:uiPriority w:val="99"/>
    <w:rsid w:val="00F01332"/>
  </w:style>
  <w:style w:type="paragraph" w:customStyle="1" w:styleId="IAPOA1">
    <w:name w:val="IAPOA1"/>
    <w:basedOn w:val="IATableLines"/>
    <w:uiPriority w:val="99"/>
    <w:rsid w:val="00F01332"/>
  </w:style>
  <w:style w:type="paragraph" w:customStyle="1" w:styleId="IAPOQ2">
    <w:name w:val="IAPOQ2"/>
    <w:basedOn w:val="IATableLabel"/>
    <w:link w:val="IAPOQ2Char"/>
    <w:uiPriority w:val="99"/>
    <w:rsid w:val="00F01332"/>
  </w:style>
  <w:style w:type="paragraph" w:customStyle="1" w:styleId="IAPOA2">
    <w:name w:val="IAPOA2"/>
    <w:basedOn w:val="IATableLines"/>
    <w:uiPriority w:val="99"/>
    <w:rsid w:val="00F01332"/>
  </w:style>
  <w:style w:type="paragraph" w:customStyle="1" w:styleId="POTTBenLow">
    <w:name w:val="POTTBenLow"/>
    <w:basedOn w:val="POTTCostsLow"/>
    <w:uiPriority w:val="99"/>
    <w:rsid w:val="00F01332"/>
  </w:style>
  <w:style w:type="paragraph" w:customStyle="1" w:styleId="POTTBenHigh">
    <w:name w:val="POTTBenHigh"/>
    <w:basedOn w:val="POTTCostsHigh"/>
    <w:uiPriority w:val="99"/>
    <w:rsid w:val="00F01332"/>
  </w:style>
  <w:style w:type="paragraph" w:customStyle="1" w:styleId="POTTBenBest">
    <w:name w:val="POTTBenBest"/>
    <w:basedOn w:val="POTTCostsBest"/>
    <w:uiPriority w:val="99"/>
    <w:rsid w:val="00F01332"/>
  </w:style>
  <w:style w:type="paragraph" w:customStyle="1" w:styleId="POAABenLow">
    <w:name w:val="POAABenLow"/>
    <w:basedOn w:val="POAACostsLow"/>
    <w:uiPriority w:val="99"/>
    <w:rsid w:val="00F01332"/>
  </w:style>
  <w:style w:type="paragraph" w:customStyle="1" w:styleId="POAABenHigh">
    <w:name w:val="POAABenHigh"/>
    <w:basedOn w:val="POAABenLow"/>
    <w:uiPriority w:val="99"/>
    <w:rsid w:val="00F01332"/>
  </w:style>
  <w:style w:type="paragraph" w:customStyle="1" w:styleId="POAABenBest">
    <w:name w:val="POAABenBest"/>
    <w:basedOn w:val="POAABenHigh"/>
    <w:uiPriority w:val="99"/>
    <w:rsid w:val="00F01332"/>
  </w:style>
  <w:style w:type="paragraph" w:customStyle="1" w:styleId="POTBBenLow">
    <w:name w:val="POTBBenLow"/>
    <w:basedOn w:val="POTCCostsLow"/>
    <w:uiPriority w:val="99"/>
    <w:rsid w:val="00F01332"/>
  </w:style>
  <w:style w:type="paragraph" w:customStyle="1" w:styleId="POTBBenHigh">
    <w:name w:val="POTBBenHigh"/>
    <w:basedOn w:val="POTBBenLow"/>
    <w:uiPriority w:val="99"/>
    <w:rsid w:val="00F01332"/>
  </w:style>
  <w:style w:type="paragraph" w:customStyle="1" w:styleId="POTBBenBest">
    <w:name w:val="POTBBenBest"/>
    <w:basedOn w:val="POTBBenHigh"/>
    <w:uiPriority w:val="99"/>
    <w:rsid w:val="00F01332"/>
  </w:style>
  <w:style w:type="paragraph" w:customStyle="1" w:styleId="IPPOQ3">
    <w:name w:val="IPPOQ3"/>
    <w:basedOn w:val="IAPOQ2"/>
    <w:link w:val="IPPOQ3Char"/>
    <w:uiPriority w:val="99"/>
    <w:rsid w:val="00F01332"/>
  </w:style>
  <w:style w:type="paragraph" w:customStyle="1" w:styleId="IAPOQ4">
    <w:name w:val="IAPOQ4"/>
    <w:basedOn w:val="IPPOQ3"/>
    <w:link w:val="IAPOQ4Char"/>
    <w:uiPriority w:val="99"/>
    <w:rsid w:val="00F01332"/>
  </w:style>
  <w:style w:type="paragraph" w:customStyle="1" w:styleId="IAPOA3">
    <w:name w:val="IAPOA3"/>
    <w:basedOn w:val="IAPOA2"/>
    <w:uiPriority w:val="99"/>
    <w:rsid w:val="00F01332"/>
  </w:style>
  <w:style w:type="paragraph" w:customStyle="1" w:styleId="IAPOA4">
    <w:name w:val="IAPOA4"/>
    <w:basedOn w:val="IAPOA3"/>
    <w:uiPriority w:val="99"/>
    <w:rsid w:val="00F01332"/>
  </w:style>
  <w:style w:type="paragraph" w:customStyle="1" w:styleId="IAPOA5">
    <w:name w:val="IAPOA5"/>
    <w:basedOn w:val="IAPOA4"/>
    <w:uiPriority w:val="99"/>
    <w:rsid w:val="00F01332"/>
  </w:style>
  <w:style w:type="paragraph" w:customStyle="1" w:styleId="IAPOQ5">
    <w:name w:val="IAPOQ5"/>
    <w:basedOn w:val="IAPOQ4"/>
    <w:link w:val="IAPOQ5Char"/>
    <w:uiPriority w:val="99"/>
    <w:rsid w:val="00F01332"/>
  </w:style>
  <w:style w:type="character" w:customStyle="1" w:styleId="IAPOQ2Char">
    <w:name w:val="IAPOQ2 Char"/>
    <w:basedOn w:val="IATableLabelCharChar"/>
    <w:link w:val="IAPOQ2"/>
    <w:uiPriority w:val="99"/>
    <w:locked/>
    <w:rsid w:val="00F01332"/>
    <w:rPr>
      <w:rFonts w:ascii="Arial" w:eastAsia="SimSun" w:hAnsi="Arial" w:cs="Times New Roman"/>
      <w:b/>
      <w:color w:val="000000"/>
      <w:spacing w:val="-5"/>
      <w:sz w:val="20"/>
      <w:szCs w:val="20"/>
      <w:lang w:eastAsia="zh-CN"/>
    </w:rPr>
  </w:style>
  <w:style w:type="character" w:customStyle="1" w:styleId="IPPOQ3Char">
    <w:name w:val="IPPOQ3 Char"/>
    <w:basedOn w:val="IAPOQ2Char"/>
    <w:link w:val="IPPOQ3"/>
    <w:uiPriority w:val="99"/>
    <w:locked/>
    <w:rsid w:val="00F01332"/>
    <w:rPr>
      <w:rFonts w:ascii="Arial" w:eastAsia="SimSun" w:hAnsi="Arial" w:cs="Times New Roman"/>
      <w:b/>
      <w:color w:val="000000"/>
      <w:spacing w:val="-5"/>
      <w:sz w:val="20"/>
      <w:szCs w:val="20"/>
      <w:lang w:eastAsia="zh-CN"/>
    </w:rPr>
  </w:style>
  <w:style w:type="character" w:customStyle="1" w:styleId="IAPOQ4Char">
    <w:name w:val="IAPOQ4 Char"/>
    <w:basedOn w:val="IPPOQ3Char"/>
    <w:link w:val="IAPOQ4"/>
    <w:uiPriority w:val="99"/>
    <w:locked/>
    <w:rsid w:val="00F01332"/>
    <w:rPr>
      <w:rFonts w:ascii="Arial" w:eastAsia="SimSun" w:hAnsi="Arial" w:cs="Times New Roman"/>
      <w:b/>
      <w:color w:val="000000"/>
      <w:spacing w:val="-5"/>
      <w:sz w:val="20"/>
      <w:szCs w:val="20"/>
      <w:lang w:eastAsia="zh-CN"/>
    </w:rPr>
  </w:style>
  <w:style w:type="character" w:customStyle="1" w:styleId="IAPOQ5Char">
    <w:name w:val="IAPOQ5 Char"/>
    <w:basedOn w:val="IAPOQ4Char"/>
    <w:link w:val="IAPOQ5"/>
    <w:uiPriority w:val="99"/>
    <w:locked/>
    <w:rsid w:val="00F01332"/>
    <w:rPr>
      <w:rFonts w:ascii="Arial" w:eastAsia="SimSun" w:hAnsi="Arial" w:cs="Times New Roman"/>
      <w:b/>
      <w:color w:val="000000"/>
      <w:spacing w:val="-5"/>
      <w:sz w:val="20"/>
      <w:szCs w:val="20"/>
      <w:lang w:eastAsia="zh-CN"/>
    </w:rPr>
  </w:style>
  <w:style w:type="paragraph" w:customStyle="1" w:styleId="IAPODisRate">
    <w:name w:val="IAPODisRate"/>
    <w:basedOn w:val="IATableLabel"/>
    <w:uiPriority w:val="99"/>
    <w:rsid w:val="00F01332"/>
    <w:pPr>
      <w:ind w:left="0"/>
      <w:jc w:val="center"/>
    </w:pPr>
    <w:rPr>
      <w:b w:val="0"/>
    </w:rPr>
  </w:style>
  <w:style w:type="paragraph" w:customStyle="1" w:styleId="IAPODICost">
    <w:name w:val="IAPODICost"/>
    <w:basedOn w:val="IATableLabel"/>
    <w:link w:val="IAPODICostChar"/>
    <w:uiPriority w:val="99"/>
    <w:rsid w:val="00F01332"/>
    <w:rPr>
      <w:b w:val="0"/>
    </w:rPr>
  </w:style>
  <w:style w:type="character" w:customStyle="1" w:styleId="IAPODICostChar">
    <w:name w:val="IAPODICost Char"/>
    <w:link w:val="IAPODICost"/>
    <w:uiPriority w:val="99"/>
    <w:locked/>
    <w:rsid w:val="00F01332"/>
    <w:rPr>
      <w:rFonts w:ascii="Arial" w:eastAsia="SimSun" w:hAnsi="Arial"/>
      <w:color w:val="000000"/>
      <w:spacing w:val="-5"/>
      <w:lang w:eastAsia="zh-CN"/>
    </w:rPr>
  </w:style>
  <w:style w:type="paragraph" w:customStyle="1" w:styleId="IAPODIBen">
    <w:name w:val="IAPODIBen"/>
    <w:basedOn w:val="IATableLabel"/>
    <w:link w:val="IAPODIBenChar"/>
    <w:uiPriority w:val="99"/>
    <w:rsid w:val="00F01332"/>
    <w:rPr>
      <w:b w:val="0"/>
    </w:rPr>
  </w:style>
  <w:style w:type="paragraph" w:customStyle="1" w:styleId="IAPODINet">
    <w:name w:val="IAPODINet"/>
    <w:basedOn w:val="IATableLabel"/>
    <w:link w:val="IAPODINetChar"/>
    <w:uiPriority w:val="99"/>
    <w:rsid w:val="00F01332"/>
    <w:rPr>
      <w:b w:val="0"/>
    </w:rPr>
  </w:style>
  <w:style w:type="paragraph" w:customStyle="1" w:styleId="IAPODIOIOO">
    <w:name w:val="IAPODIOIOO"/>
    <w:basedOn w:val="IATableLabel"/>
    <w:uiPriority w:val="99"/>
    <w:rsid w:val="00F01332"/>
    <w:rPr>
      <w:b w:val="0"/>
      <w:sz w:val="22"/>
      <w:szCs w:val="22"/>
    </w:rPr>
  </w:style>
  <w:style w:type="character" w:customStyle="1" w:styleId="IAPODINetChar">
    <w:name w:val="IAPODINet Char"/>
    <w:link w:val="IAPODINet"/>
    <w:uiPriority w:val="99"/>
    <w:locked/>
    <w:rsid w:val="00F01332"/>
    <w:rPr>
      <w:rFonts w:ascii="Arial" w:eastAsia="SimSun" w:hAnsi="Arial"/>
      <w:color w:val="000000"/>
      <w:spacing w:val="-5"/>
      <w:lang w:eastAsia="zh-CN"/>
    </w:rPr>
  </w:style>
  <w:style w:type="character" w:customStyle="1" w:styleId="IAPODIBenChar">
    <w:name w:val="IAPODIBen Char"/>
    <w:link w:val="IAPODIBen"/>
    <w:uiPriority w:val="99"/>
    <w:locked/>
    <w:rsid w:val="00F01332"/>
    <w:rPr>
      <w:rFonts w:ascii="Arial" w:eastAsia="SimSun" w:hAnsi="Arial"/>
      <w:color w:val="000000"/>
      <w:spacing w:val="-5"/>
      <w:lang w:eastAsia="zh-CN"/>
    </w:rPr>
  </w:style>
  <w:style w:type="paragraph" w:customStyle="1" w:styleId="IAPODIMQ">
    <w:name w:val="IAPODIMQ"/>
    <w:basedOn w:val="IATableText"/>
    <w:uiPriority w:val="99"/>
    <w:rsid w:val="00F01332"/>
    <w:rPr>
      <w:color w:val="000000"/>
    </w:rPr>
  </w:style>
  <w:style w:type="paragraph" w:customStyle="1" w:styleId="ebbullet0">
    <w:name w:val="ebbullet"/>
    <w:basedOn w:val="Normal"/>
    <w:uiPriority w:val="99"/>
    <w:rsid w:val="00F01332"/>
    <w:pPr>
      <w:spacing w:before="100" w:beforeAutospacing="1" w:after="100" w:afterAutospacing="1" w:line="240" w:lineRule="auto"/>
    </w:pPr>
    <w:rPr>
      <w:rFonts w:ascii="Times New Roman" w:hAnsi="Times New Roman"/>
      <w:sz w:val="24"/>
      <w:szCs w:val="24"/>
      <w:lang w:eastAsia="en-GB"/>
    </w:rPr>
  </w:style>
  <w:style w:type="paragraph" w:customStyle="1" w:styleId="IATitle">
    <w:name w:val="IATitle"/>
    <w:basedOn w:val="Normal"/>
    <w:uiPriority w:val="99"/>
    <w:rsid w:val="00F01332"/>
    <w:pPr>
      <w:spacing w:after="0" w:line="240" w:lineRule="auto"/>
      <w:ind w:left="113"/>
    </w:pPr>
    <w:rPr>
      <w:rFonts w:ascii="Arial" w:eastAsia="SimSun" w:hAnsi="Arial" w:cs="Arial"/>
      <w:sz w:val="20"/>
      <w:szCs w:val="24"/>
    </w:rPr>
  </w:style>
  <w:style w:type="paragraph" w:customStyle="1" w:styleId="IANo">
    <w:name w:val="IANo"/>
    <w:basedOn w:val="Normal"/>
    <w:link w:val="IANoChar"/>
    <w:uiPriority w:val="99"/>
    <w:rsid w:val="00F01332"/>
    <w:pPr>
      <w:spacing w:after="0" w:line="240" w:lineRule="auto"/>
      <w:ind w:left="113"/>
    </w:pPr>
    <w:rPr>
      <w:rFonts w:ascii="Arial" w:hAnsi="Arial"/>
      <w:sz w:val="20"/>
      <w:szCs w:val="20"/>
      <w:lang w:eastAsia="en-GB"/>
    </w:rPr>
  </w:style>
  <w:style w:type="character" w:customStyle="1" w:styleId="IAHeadDeptChar">
    <w:name w:val="IAHeadDept Char"/>
    <w:link w:val="IAHeadDept"/>
    <w:uiPriority w:val="99"/>
    <w:locked/>
    <w:rsid w:val="00F01332"/>
    <w:rPr>
      <w:rFonts w:ascii="Arial" w:eastAsia="SimSun" w:hAnsi="Arial"/>
      <w:spacing w:val="-6"/>
      <w:lang w:eastAsia="zh-CN"/>
    </w:rPr>
  </w:style>
  <w:style w:type="character" w:customStyle="1" w:styleId="IAHeadTitleChar">
    <w:name w:val="IAHeadTitle Char"/>
    <w:link w:val="IAHeadTitle"/>
    <w:uiPriority w:val="99"/>
    <w:locked/>
    <w:rsid w:val="00F01332"/>
    <w:rPr>
      <w:rFonts w:ascii="Arial" w:eastAsia="SimSun" w:hAnsi="Arial"/>
      <w:b/>
      <w:spacing w:val="-6"/>
      <w:sz w:val="28"/>
      <w:lang w:eastAsia="zh-CN"/>
    </w:rPr>
  </w:style>
  <w:style w:type="character" w:customStyle="1" w:styleId="IANoChar">
    <w:name w:val="IANo Char"/>
    <w:link w:val="IANo"/>
    <w:uiPriority w:val="99"/>
    <w:locked/>
    <w:rsid w:val="00F01332"/>
    <w:rPr>
      <w:rFonts w:ascii="Arial" w:hAnsi="Arial"/>
      <w:sz w:val="20"/>
    </w:rPr>
  </w:style>
  <w:style w:type="paragraph" w:customStyle="1" w:styleId="IALeadDept">
    <w:name w:val="IALeadDept"/>
    <w:basedOn w:val="Normal"/>
    <w:uiPriority w:val="99"/>
    <w:rsid w:val="00F01332"/>
    <w:pPr>
      <w:spacing w:after="0" w:line="240" w:lineRule="auto"/>
      <w:ind w:left="113"/>
    </w:pPr>
    <w:rPr>
      <w:rFonts w:ascii="Arial" w:eastAsia="Arial Unicode MS" w:hAnsi="Arial" w:cs="Arial"/>
      <w:noProof/>
      <w:sz w:val="20"/>
      <w:szCs w:val="24"/>
    </w:rPr>
  </w:style>
  <w:style w:type="paragraph" w:customStyle="1" w:styleId="IAOtherDepts">
    <w:name w:val="IAOtherDepts"/>
    <w:basedOn w:val="IATableLabel"/>
    <w:uiPriority w:val="99"/>
    <w:rsid w:val="00F01332"/>
    <w:pPr>
      <w:spacing w:after="0"/>
    </w:pPr>
    <w:rPr>
      <w:b w:val="0"/>
    </w:rPr>
  </w:style>
  <w:style w:type="paragraph" w:customStyle="1" w:styleId="IADate">
    <w:name w:val="IADate"/>
    <w:basedOn w:val="IATableLabel"/>
    <w:link w:val="IADateChar"/>
    <w:uiPriority w:val="99"/>
    <w:rsid w:val="00F01332"/>
    <w:rPr>
      <w:b w:val="0"/>
    </w:rPr>
  </w:style>
  <w:style w:type="paragraph" w:customStyle="1" w:styleId="IAStage">
    <w:name w:val="IAStage"/>
    <w:basedOn w:val="IATableLabel"/>
    <w:link w:val="IAStageChar"/>
    <w:uiPriority w:val="99"/>
    <w:rsid w:val="00F01332"/>
    <w:rPr>
      <w:b w:val="0"/>
    </w:rPr>
  </w:style>
  <w:style w:type="paragraph" w:customStyle="1" w:styleId="IASOI">
    <w:name w:val="IASOI"/>
    <w:basedOn w:val="IATableLabel"/>
    <w:link w:val="IASOIChar"/>
    <w:uiPriority w:val="99"/>
    <w:rsid w:val="00F01332"/>
    <w:rPr>
      <w:b w:val="0"/>
    </w:rPr>
  </w:style>
  <w:style w:type="paragraph" w:customStyle="1" w:styleId="IATOM">
    <w:name w:val="IATOM"/>
    <w:basedOn w:val="IATableLabel"/>
    <w:link w:val="IATOMChar"/>
    <w:uiPriority w:val="99"/>
    <w:rsid w:val="00F01332"/>
    <w:rPr>
      <w:b w:val="0"/>
    </w:rPr>
  </w:style>
  <w:style w:type="paragraph" w:customStyle="1" w:styleId="IACOE">
    <w:name w:val="IACOE"/>
    <w:basedOn w:val="Normal"/>
    <w:link w:val="IACOEChar"/>
    <w:autoRedefine/>
    <w:uiPriority w:val="99"/>
    <w:rsid w:val="00F01332"/>
    <w:pPr>
      <w:spacing w:after="0" w:line="240" w:lineRule="auto"/>
    </w:pPr>
    <w:rPr>
      <w:rFonts w:ascii="Arial" w:eastAsia="SimSun" w:hAnsi="Arial"/>
      <w:spacing w:val="-5"/>
      <w:sz w:val="24"/>
      <w:szCs w:val="20"/>
      <w:lang w:eastAsia="zh-CN"/>
    </w:rPr>
  </w:style>
  <w:style w:type="paragraph" w:customStyle="1" w:styleId="IARPC">
    <w:name w:val="IARPC"/>
    <w:basedOn w:val="Title"/>
    <w:link w:val="IARPCChar"/>
    <w:uiPriority w:val="99"/>
    <w:rsid w:val="00F01332"/>
    <w:rPr>
      <w:rFonts w:eastAsia="SimSun" w:cs="Times New Roman"/>
      <w:bCs w:val="0"/>
      <w:color w:val="000000"/>
      <w:sz w:val="24"/>
      <w:szCs w:val="20"/>
      <w:lang w:eastAsia="en-GB"/>
    </w:rPr>
  </w:style>
  <w:style w:type="paragraph" w:customStyle="1" w:styleId="IAIIOTNPV">
    <w:name w:val="IAIIOTNPV"/>
    <w:basedOn w:val="IATableLabel"/>
    <w:uiPriority w:val="99"/>
    <w:rsid w:val="00F01332"/>
    <w:pPr>
      <w:spacing w:before="0" w:after="0"/>
      <w:jc w:val="both"/>
    </w:pPr>
    <w:rPr>
      <w:b w:val="0"/>
      <w:sz w:val="22"/>
      <w:szCs w:val="22"/>
    </w:rPr>
  </w:style>
  <w:style w:type="paragraph" w:customStyle="1" w:styleId="IAIOBNPV">
    <w:name w:val="IAIOBNPV"/>
    <w:basedOn w:val="IATableLabel"/>
    <w:uiPriority w:val="99"/>
    <w:rsid w:val="00F01332"/>
    <w:pPr>
      <w:spacing w:before="0" w:after="0"/>
    </w:pPr>
    <w:rPr>
      <w:b w:val="0"/>
      <w:sz w:val="22"/>
      <w:szCs w:val="22"/>
    </w:rPr>
  </w:style>
  <w:style w:type="paragraph" w:customStyle="1" w:styleId="IAIONCTBPY">
    <w:name w:val="IAIONCTBPY"/>
    <w:basedOn w:val="IATableLabel"/>
    <w:uiPriority w:val="99"/>
    <w:rsid w:val="00F01332"/>
    <w:pPr>
      <w:spacing w:before="0" w:after="0"/>
    </w:pPr>
    <w:rPr>
      <w:b w:val="0"/>
      <w:sz w:val="22"/>
      <w:szCs w:val="22"/>
    </w:rPr>
  </w:style>
  <w:style w:type="paragraph" w:customStyle="1" w:styleId="IAIOInScopeInOut">
    <w:name w:val="IAIOInScopeInOut"/>
    <w:basedOn w:val="IATableLabel"/>
    <w:uiPriority w:val="99"/>
    <w:rsid w:val="00F01332"/>
    <w:pPr>
      <w:spacing w:before="0" w:after="0"/>
    </w:pPr>
    <w:rPr>
      <w:b w:val="0"/>
      <w:sz w:val="22"/>
      <w:szCs w:val="22"/>
    </w:rPr>
  </w:style>
  <w:style w:type="paragraph" w:customStyle="1" w:styleId="IAIOPrefMQ">
    <w:name w:val="IAIOPrefMQ"/>
    <w:basedOn w:val="IATableText"/>
    <w:uiPriority w:val="99"/>
    <w:rsid w:val="00F01332"/>
    <w:pPr>
      <w:spacing w:before="0" w:after="0"/>
    </w:pPr>
    <w:rPr>
      <w:color w:val="000000"/>
      <w:szCs w:val="22"/>
    </w:rPr>
  </w:style>
  <w:style w:type="paragraph" w:customStyle="1" w:styleId="IAIOQ1">
    <w:name w:val="IAIOQ1"/>
    <w:basedOn w:val="IATableLabel"/>
    <w:uiPriority w:val="99"/>
    <w:rsid w:val="00F01332"/>
  </w:style>
  <w:style w:type="paragraph" w:customStyle="1" w:styleId="IAIOA1">
    <w:name w:val="IAIOA1"/>
    <w:basedOn w:val="IATableLines"/>
    <w:uiPriority w:val="99"/>
    <w:rsid w:val="00F01332"/>
  </w:style>
  <w:style w:type="paragraph" w:customStyle="1" w:styleId="IAIOQ2">
    <w:name w:val="IAIOQ2"/>
    <w:basedOn w:val="IATableLabel"/>
    <w:uiPriority w:val="99"/>
    <w:rsid w:val="00F01332"/>
  </w:style>
  <w:style w:type="paragraph" w:customStyle="1" w:styleId="IAIOA2">
    <w:name w:val="IAIOA2"/>
    <w:basedOn w:val="IATableLines"/>
    <w:uiPriority w:val="99"/>
    <w:rsid w:val="00F01332"/>
  </w:style>
  <w:style w:type="paragraph" w:customStyle="1" w:styleId="IAIOQ3">
    <w:name w:val="IAIOQ3"/>
    <w:basedOn w:val="IATableLabel"/>
    <w:uiPriority w:val="99"/>
    <w:rsid w:val="00F01332"/>
  </w:style>
  <w:style w:type="paragraph" w:customStyle="1" w:styleId="IAIOA3">
    <w:name w:val="IAIOA3"/>
    <w:basedOn w:val="IATableLines"/>
    <w:uiPriority w:val="99"/>
    <w:rsid w:val="00F01332"/>
  </w:style>
  <w:style w:type="paragraph" w:customStyle="1" w:styleId="IAIOPolicyReview">
    <w:name w:val="IAIOPolicyReview"/>
    <w:basedOn w:val="IATableLabel"/>
    <w:link w:val="IAIOPolicyReviewChar"/>
    <w:uiPriority w:val="99"/>
    <w:rsid w:val="00F01332"/>
    <w:rPr>
      <w:b w:val="0"/>
    </w:rPr>
  </w:style>
  <w:style w:type="character" w:customStyle="1" w:styleId="IAIOPolicyReviewChar">
    <w:name w:val="IAIOPolicyReview Char"/>
    <w:link w:val="IAIOPolicyReview"/>
    <w:uiPriority w:val="99"/>
    <w:locked/>
    <w:rsid w:val="00F01332"/>
    <w:rPr>
      <w:rFonts w:ascii="Arial" w:eastAsia="SimSun" w:hAnsi="Arial"/>
      <w:color w:val="000000"/>
      <w:spacing w:val="-5"/>
      <w:lang w:eastAsia="zh-CN"/>
    </w:rPr>
  </w:style>
  <w:style w:type="paragraph" w:customStyle="1" w:styleId="IAIOReviewMonth">
    <w:name w:val="IAIOReviewMonth"/>
    <w:basedOn w:val="IATableLabel"/>
    <w:link w:val="IAIOReviewMonthChar"/>
    <w:uiPriority w:val="99"/>
    <w:rsid w:val="00F01332"/>
    <w:rPr>
      <w:b w:val="0"/>
    </w:rPr>
  </w:style>
  <w:style w:type="paragraph" w:customStyle="1" w:styleId="IAIOReviewYear">
    <w:name w:val="IAIOReviewYear"/>
    <w:basedOn w:val="IATableLabel"/>
    <w:link w:val="IAIOReviewYearChar"/>
    <w:uiPriority w:val="99"/>
    <w:rsid w:val="00F01332"/>
    <w:rPr>
      <w:b w:val="0"/>
    </w:rPr>
  </w:style>
  <w:style w:type="paragraph" w:customStyle="1" w:styleId="IAIOCheckEU">
    <w:name w:val="IAIOCheckEU"/>
    <w:basedOn w:val="IATableText"/>
    <w:uiPriority w:val="99"/>
    <w:rsid w:val="00F01332"/>
    <w:pPr>
      <w:spacing w:before="0" w:after="0"/>
    </w:pPr>
  </w:style>
  <w:style w:type="character" w:customStyle="1" w:styleId="IAIOReviewYearChar">
    <w:name w:val="IAIOReviewYear Char"/>
    <w:link w:val="IAIOReviewYear"/>
    <w:uiPriority w:val="99"/>
    <w:locked/>
    <w:rsid w:val="00F01332"/>
    <w:rPr>
      <w:rFonts w:ascii="Arial" w:eastAsia="SimSun" w:hAnsi="Arial"/>
      <w:color w:val="000000"/>
      <w:spacing w:val="-5"/>
      <w:lang w:eastAsia="zh-CN"/>
    </w:rPr>
  </w:style>
  <w:style w:type="character" w:customStyle="1" w:styleId="IAIOReviewMonthChar">
    <w:name w:val="IAIOReviewMonth Char"/>
    <w:link w:val="IAIOReviewMonth"/>
    <w:uiPriority w:val="99"/>
    <w:locked/>
    <w:rsid w:val="00F01332"/>
    <w:rPr>
      <w:rFonts w:ascii="Arial" w:eastAsia="SimSun" w:hAnsi="Arial"/>
      <w:color w:val="000000"/>
      <w:spacing w:val="-5"/>
      <w:lang w:eastAsia="zh-CN"/>
    </w:rPr>
  </w:style>
  <w:style w:type="paragraph" w:customStyle="1" w:styleId="IAIOCheckMicro">
    <w:name w:val="IAIOCheckMicro"/>
    <w:basedOn w:val="IATableLines"/>
    <w:link w:val="IAIOCheckMicroChar"/>
    <w:uiPriority w:val="99"/>
    <w:rsid w:val="00F01332"/>
  </w:style>
  <w:style w:type="paragraph" w:customStyle="1" w:styleId="IAIOCheck20">
    <w:name w:val="IAIOCheck20"/>
    <w:basedOn w:val="IATableLines"/>
    <w:uiPriority w:val="99"/>
    <w:rsid w:val="00F01332"/>
  </w:style>
  <w:style w:type="paragraph" w:customStyle="1" w:styleId="IAIOCheckSmall">
    <w:name w:val="IAIOCheckSmall"/>
    <w:basedOn w:val="IATableLines"/>
    <w:link w:val="IAIOCheckSmallChar"/>
    <w:uiPriority w:val="99"/>
    <w:rsid w:val="00F01332"/>
  </w:style>
  <w:style w:type="paragraph" w:customStyle="1" w:styleId="IAIOCheckMedium">
    <w:name w:val="IAIOCheckMedium"/>
    <w:basedOn w:val="IATableLines"/>
    <w:link w:val="IAIOCheckMediumChar"/>
    <w:uiPriority w:val="99"/>
    <w:rsid w:val="00F01332"/>
  </w:style>
  <w:style w:type="paragraph" w:customStyle="1" w:styleId="IAIOCheckLarge">
    <w:name w:val="IAIOCheckLarge"/>
    <w:basedOn w:val="IATableLines"/>
    <w:link w:val="IAIOCheckLargeChar"/>
    <w:uiPriority w:val="99"/>
    <w:rsid w:val="00F01332"/>
  </w:style>
  <w:style w:type="paragraph" w:customStyle="1" w:styleId="IAIOCO2Traded">
    <w:name w:val="IAIOCO2Traded"/>
    <w:basedOn w:val="IATableLabel"/>
    <w:link w:val="IAIOCO2TradedChar"/>
    <w:uiPriority w:val="99"/>
    <w:rsid w:val="00F01332"/>
    <w:rPr>
      <w:b w:val="0"/>
    </w:rPr>
  </w:style>
  <w:style w:type="paragraph" w:customStyle="1" w:styleId="IAIOCO2NonTraded">
    <w:name w:val="IAIOCO2NonTraded"/>
    <w:basedOn w:val="IAIOCO2Traded"/>
    <w:uiPriority w:val="99"/>
    <w:rsid w:val="00F01332"/>
  </w:style>
  <w:style w:type="paragraph" w:customStyle="1" w:styleId="IAIOtextSign">
    <w:name w:val="IAIOtextSign"/>
    <w:basedOn w:val="Normal"/>
    <w:uiPriority w:val="99"/>
    <w:rsid w:val="00F01332"/>
    <w:pPr>
      <w:spacing w:after="0" w:line="240" w:lineRule="auto"/>
      <w:jc w:val="center"/>
    </w:pPr>
    <w:rPr>
      <w:rFonts w:ascii="Arial" w:eastAsia="Times New Roman" w:hAnsi="Arial"/>
      <w:sz w:val="24"/>
      <w:szCs w:val="24"/>
    </w:rPr>
  </w:style>
  <w:style w:type="paragraph" w:customStyle="1" w:styleId="IAIOSigDate">
    <w:name w:val="IAIOSigDate"/>
    <w:basedOn w:val="Normal"/>
    <w:uiPriority w:val="99"/>
    <w:rsid w:val="00F01332"/>
    <w:pPr>
      <w:spacing w:after="0" w:line="240" w:lineRule="auto"/>
      <w:jc w:val="center"/>
    </w:pPr>
    <w:rPr>
      <w:rFonts w:ascii="Arial" w:eastAsia="Times New Roman" w:hAnsi="Arial"/>
    </w:rPr>
  </w:style>
  <w:style w:type="paragraph" w:customStyle="1" w:styleId="IAPODescription">
    <w:name w:val="IAPODescription"/>
    <w:basedOn w:val="IAHeadLabel"/>
    <w:link w:val="IAPODescriptionCharChar"/>
    <w:uiPriority w:val="99"/>
    <w:rsid w:val="00F01332"/>
    <w:pPr>
      <w:spacing w:before="50"/>
    </w:pPr>
    <w:rPr>
      <w:b w:val="0"/>
    </w:rPr>
  </w:style>
  <w:style w:type="character" w:customStyle="1" w:styleId="IAPODescriptionCharChar">
    <w:name w:val="IAPODescription Char Char"/>
    <w:basedOn w:val="IAHeadLabelChar"/>
    <w:link w:val="IAPODescription"/>
    <w:uiPriority w:val="99"/>
    <w:locked/>
    <w:rsid w:val="00F01332"/>
    <w:rPr>
      <w:rFonts w:ascii="Arial" w:eastAsia="SimSun" w:hAnsi="Arial" w:cs="Times New Roman"/>
      <w:b/>
      <w:color w:val="000000"/>
      <w:spacing w:val="-5"/>
      <w:sz w:val="20"/>
      <w:szCs w:val="20"/>
      <w:lang w:eastAsia="zh-CN"/>
    </w:rPr>
  </w:style>
  <w:style w:type="character" w:customStyle="1" w:styleId="IADateChar">
    <w:name w:val="IADate Char"/>
    <w:link w:val="IADate"/>
    <w:uiPriority w:val="99"/>
    <w:locked/>
    <w:rsid w:val="00F01332"/>
    <w:rPr>
      <w:rFonts w:ascii="Arial" w:eastAsia="SimSun" w:hAnsi="Arial"/>
      <w:color w:val="000000"/>
      <w:spacing w:val="-5"/>
      <w:lang w:eastAsia="zh-CN"/>
    </w:rPr>
  </w:style>
  <w:style w:type="character" w:customStyle="1" w:styleId="IATableLinesChar">
    <w:name w:val="IATableLines Char"/>
    <w:basedOn w:val="IATableTextChar"/>
    <w:link w:val="IATableLines"/>
    <w:uiPriority w:val="99"/>
    <w:locked/>
    <w:rsid w:val="00F01332"/>
    <w:rPr>
      <w:rFonts w:ascii="Arial" w:eastAsia="SimSun" w:hAnsi="Arial" w:cs="Times New Roman"/>
      <w:spacing w:val="-5"/>
      <w:sz w:val="20"/>
      <w:szCs w:val="20"/>
      <w:lang w:eastAsia="zh-CN"/>
    </w:rPr>
  </w:style>
  <w:style w:type="character" w:customStyle="1" w:styleId="IACOEChar">
    <w:name w:val="IACOE Char"/>
    <w:link w:val="IACOE"/>
    <w:uiPriority w:val="99"/>
    <w:locked/>
    <w:rsid w:val="00F01332"/>
    <w:rPr>
      <w:rFonts w:ascii="Arial" w:eastAsia="SimSun" w:hAnsi="Arial"/>
      <w:spacing w:val="-5"/>
      <w:sz w:val="24"/>
      <w:lang w:eastAsia="zh-CN"/>
    </w:rPr>
  </w:style>
  <w:style w:type="character" w:customStyle="1" w:styleId="IAStageChar">
    <w:name w:val="IAStage Char"/>
    <w:link w:val="IAStage"/>
    <w:uiPriority w:val="99"/>
    <w:locked/>
    <w:rsid w:val="00F01332"/>
    <w:rPr>
      <w:rFonts w:ascii="Arial" w:eastAsia="SimSun" w:hAnsi="Arial"/>
      <w:color w:val="000000"/>
      <w:spacing w:val="-5"/>
      <w:sz w:val="20"/>
      <w:lang w:eastAsia="zh-CN"/>
    </w:rPr>
  </w:style>
  <w:style w:type="character" w:customStyle="1" w:styleId="IASOIChar">
    <w:name w:val="IASOI Char"/>
    <w:link w:val="IASOI"/>
    <w:uiPriority w:val="99"/>
    <w:locked/>
    <w:rsid w:val="00F01332"/>
    <w:rPr>
      <w:rFonts w:ascii="Arial" w:eastAsia="SimSun" w:hAnsi="Arial"/>
      <w:color w:val="000000"/>
      <w:spacing w:val="-5"/>
      <w:sz w:val="20"/>
      <w:lang w:eastAsia="zh-CN"/>
    </w:rPr>
  </w:style>
  <w:style w:type="character" w:customStyle="1" w:styleId="IATOMChar">
    <w:name w:val="IATOM Char"/>
    <w:link w:val="IATOM"/>
    <w:uiPriority w:val="99"/>
    <w:locked/>
    <w:rsid w:val="00F01332"/>
    <w:rPr>
      <w:rFonts w:ascii="Arial" w:eastAsia="SimSun" w:hAnsi="Arial"/>
      <w:color w:val="000000"/>
      <w:spacing w:val="-5"/>
      <w:sz w:val="20"/>
      <w:lang w:eastAsia="zh-CN"/>
    </w:rPr>
  </w:style>
  <w:style w:type="character" w:customStyle="1" w:styleId="IARPCChar">
    <w:name w:val="IARPC Char"/>
    <w:link w:val="IARPC"/>
    <w:uiPriority w:val="99"/>
    <w:locked/>
    <w:rsid w:val="00F01332"/>
    <w:rPr>
      <w:rFonts w:ascii="Arial" w:eastAsia="SimSun" w:hAnsi="Arial"/>
      <w:color w:val="000000"/>
      <w:kern w:val="28"/>
      <w:sz w:val="24"/>
    </w:rPr>
  </w:style>
  <w:style w:type="character" w:customStyle="1" w:styleId="IAIOCheckMicroChar">
    <w:name w:val="IAIOCheckMicro Char"/>
    <w:basedOn w:val="IATableLinesChar"/>
    <w:link w:val="IAIOCheckMicro"/>
    <w:uiPriority w:val="99"/>
    <w:locked/>
    <w:rsid w:val="00F01332"/>
    <w:rPr>
      <w:rFonts w:ascii="Arial" w:eastAsia="SimSun" w:hAnsi="Arial" w:cs="Times New Roman"/>
      <w:spacing w:val="-5"/>
      <w:sz w:val="20"/>
      <w:szCs w:val="20"/>
      <w:lang w:eastAsia="zh-CN"/>
    </w:rPr>
  </w:style>
  <w:style w:type="character" w:customStyle="1" w:styleId="IAIOCheckSmallChar">
    <w:name w:val="IAIOCheckSmall Char"/>
    <w:basedOn w:val="IATableLinesChar"/>
    <w:link w:val="IAIOCheckSmall"/>
    <w:uiPriority w:val="99"/>
    <w:locked/>
    <w:rsid w:val="00F01332"/>
    <w:rPr>
      <w:rFonts w:ascii="Arial" w:eastAsia="SimSun" w:hAnsi="Arial" w:cs="Times New Roman"/>
      <w:spacing w:val="-5"/>
      <w:sz w:val="20"/>
      <w:szCs w:val="20"/>
      <w:lang w:eastAsia="zh-CN"/>
    </w:rPr>
  </w:style>
  <w:style w:type="character" w:customStyle="1" w:styleId="IAIOCheckMediumChar">
    <w:name w:val="IAIOCheckMedium Char"/>
    <w:basedOn w:val="IATableLinesChar"/>
    <w:link w:val="IAIOCheckMedium"/>
    <w:uiPriority w:val="99"/>
    <w:locked/>
    <w:rsid w:val="00F01332"/>
    <w:rPr>
      <w:rFonts w:ascii="Arial" w:eastAsia="SimSun" w:hAnsi="Arial" w:cs="Times New Roman"/>
      <w:spacing w:val="-5"/>
      <w:sz w:val="20"/>
      <w:szCs w:val="20"/>
      <w:lang w:eastAsia="zh-CN"/>
    </w:rPr>
  </w:style>
  <w:style w:type="character" w:customStyle="1" w:styleId="IAIOCheckLargeChar">
    <w:name w:val="IAIOCheckLarge Char"/>
    <w:basedOn w:val="IATableLinesChar"/>
    <w:link w:val="IAIOCheckLarge"/>
    <w:uiPriority w:val="99"/>
    <w:locked/>
    <w:rsid w:val="00F01332"/>
    <w:rPr>
      <w:rFonts w:ascii="Arial" w:eastAsia="SimSun" w:hAnsi="Arial" w:cs="Times New Roman"/>
      <w:spacing w:val="-5"/>
      <w:sz w:val="20"/>
      <w:szCs w:val="20"/>
      <w:lang w:eastAsia="zh-CN"/>
    </w:rPr>
  </w:style>
  <w:style w:type="character" w:customStyle="1" w:styleId="IAIOCO2TradedChar">
    <w:name w:val="IAIOCO2Traded Char"/>
    <w:link w:val="IAIOCO2Traded"/>
    <w:uiPriority w:val="99"/>
    <w:locked/>
    <w:rsid w:val="00F01332"/>
    <w:rPr>
      <w:rFonts w:ascii="Arial" w:eastAsia="SimSun" w:hAnsi="Arial"/>
      <w:color w:val="000000"/>
      <w:spacing w:val="-5"/>
      <w:sz w:val="20"/>
      <w:lang w:eastAsia="zh-CN"/>
    </w:rPr>
  </w:style>
  <w:style w:type="character" w:styleId="Strong">
    <w:name w:val="Strong"/>
    <w:basedOn w:val="DefaultParagraphFont"/>
    <w:uiPriority w:val="99"/>
    <w:qFormat/>
    <w:rsid w:val="00F01332"/>
    <w:rPr>
      <w:rFonts w:cs="Times New Roman"/>
      <w:b/>
    </w:rPr>
  </w:style>
  <w:style w:type="character" w:customStyle="1" w:styleId="IALabel">
    <w:name w:val="IALabel"/>
    <w:uiPriority w:val="99"/>
    <w:rsid w:val="00F01332"/>
    <w:rPr>
      <w:color w:val="000000"/>
      <w:sz w:val="20"/>
    </w:rPr>
  </w:style>
  <w:style w:type="paragraph" w:styleId="DocumentMap">
    <w:name w:val="Document Map"/>
    <w:basedOn w:val="Normal"/>
    <w:link w:val="DocumentMapChar"/>
    <w:uiPriority w:val="99"/>
    <w:semiHidden/>
    <w:rsid w:val="00F0133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F01332"/>
    <w:rPr>
      <w:rFonts w:ascii="Tahoma" w:hAnsi="Tahoma" w:cs="Tahoma"/>
      <w:sz w:val="20"/>
      <w:szCs w:val="20"/>
      <w:shd w:val="clear" w:color="auto" w:fill="000080"/>
    </w:rPr>
  </w:style>
  <w:style w:type="character" w:styleId="CommentReference">
    <w:name w:val="annotation reference"/>
    <w:basedOn w:val="DefaultParagraphFont"/>
    <w:uiPriority w:val="99"/>
    <w:semiHidden/>
    <w:rsid w:val="00F01332"/>
    <w:rPr>
      <w:rFonts w:cs="Times New Roman"/>
      <w:sz w:val="16"/>
    </w:rPr>
  </w:style>
  <w:style w:type="paragraph" w:styleId="CommentText">
    <w:name w:val="annotation text"/>
    <w:basedOn w:val="Normal"/>
    <w:link w:val="CommentTextChar"/>
    <w:uiPriority w:val="99"/>
    <w:semiHidden/>
    <w:rsid w:val="00F01332"/>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F0133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01332"/>
    <w:rPr>
      <w:b/>
      <w:bCs/>
    </w:rPr>
  </w:style>
  <w:style w:type="character" w:customStyle="1" w:styleId="CommentSubjectChar">
    <w:name w:val="Comment Subject Char"/>
    <w:basedOn w:val="CommentTextChar"/>
    <w:link w:val="CommentSubject"/>
    <w:uiPriority w:val="99"/>
    <w:semiHidden/>
    <w:locked/>
    <w:rsid w:val="00F01332"/>
    <w:rPr>
      <w:rFonts w:ascii="Arial" w:hAnsi="Arial" w:cs="Times New Roman"/>
      <w:b/>
      <w:bCs/>
      <w:sz w:val="20"/>
      <w:szCs w:val="20"/>
    </w:rPr>
  </w:style>
  <w:style w:type="paragraph" w:styleId="ListParagraph">
    <w:name w:val="List Paragraph"/>
    <w:basedOn w:val="Normal"/>
    <w:uiPriority w:val="99"/>
    <w:qFormat/>
    <w:rsid w:val="00F01332"/>
    <w:pPr>
      <w:spacing w:after="0" w:line="240" w:lineRule="auto"/>
      <w:ind w:left="720"/>
    </w:pPr>
    <w:rPr>
      <w:rFonts w:ascii="Arial" w:eastAsia="Times New Roman" w:hAnsi="Arial"/>
      <w:sz w:val="24"/>
      <w:szCs w:val="24"/>
    </w:rPr>
  </w:style>
  <w:style w:type="paragraph" w:styleId="EndnoteText">
    <w:name w:val="endnote text"/>
    <w:basedOn w:val="Normal"/>
    <w:link w:val="EndnoteTextChar"/>
    <w:uiPriority w:val="99"/>
    <w:semiHidden/>
    <w:rsid w:val="006E6DE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E6DE6"/>
    <w:rPr>
      <w:rFonts w:cs="Times New Roman"/>
      <w:sz w:val="20"/>
      <w:szCs w:val="20"/>
      <w:lang w:eastAsia="en-US"/>
    </w:rPr>
  </w:style>
  <w:style w:type="character" w:styleId="EndnoteReference">
    <w:name w:val="endnote reference"/>
    <w:basedOn w:val="DefaultParagraphFont"/>
    <w:uiPriority w:val="99"/>
    <w:semiHidden/>
    <w:rsid w:val="006E6DE6"/>
    <w:rPr>
      <w:rFonts w:cs="Times New Roman"/>
      <w:vertAlign w:val="superscript"/>
    </w:rPr>
  </w:style>
  <w:style w:type="paragraph" w:customStyle="1" w:styleId="Default">
    <w:name w:val="Default"/>
    <w:rsid w:val="008114A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23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63366">
      <w:bodyDiv w:val="1"/>
      <w:marLeft w:val="0"/>
      <w:marRight w:val="0"/>
      <w:marTop w:val="0"/>
      <w:marBottom w:val="0"/>
      <w:divBdr>
        <w:top w:val="none" w:sz="0" w:space="0" w:color="auto"/>
        <w:left w:val="none" w:sz="0" w:space="0" w:color="auto"/>
        <w:bottom w:val="none" w:sz="0" w:space="0" w:color="auto"/>
        <w:right w:val="none" w:sz="0" w:space="0" w:color="auto"/>
      </w:divBdr>
    </w:div>
    <w:div w:id="1724139767">
      <w:bodyDiv w:val="1"/>
      <w:marLeft w:val="0"/>
      <w:marRight w:val="0"/>
      <w:marTop w:val="0"/>
      <w:marBottom w:val="0"/>
      <w:divBdr>
        <w:top w:val="none" w:sz="0" w:space="0" w:color="auto"/>
        <w:left w:val="none" w:sz="0" w:space="0" w:color="auto"/>
        <w:bottom w:val="none" w:sz="0" w:space="0" w:color="auto"/>
        <w:right w:val="none" w:sz="0" w:space="0" w:color="auto"/>
      </w:divBdr>
    </w:div>
    <w:div w:id="1769083057">
      <w:bodyDiv w:val="1"/>
      <w:marLeft w:val="0"/>
      <w:marRight w:val="0"/>
      <w:marTop w:val="0"/>
      <w:marBottom w:val="0"/>
      <w:divBdr>
        <w:top w:val="none" w:sz="0" w:space="0" w:color="auto"/>
        <w:left w:val="none" w:sz="0" w:space="0" w:color="auto"/>
        <w:bottom w:val="none" w:sz="0" w:space="0" w:color="auto"/>
        <w:right w:val="none" w:sz="0" w:space="0" w:color="auto"/>
      </w:divBdr>
    </w:div>
    <w:div w:id="1865703679">
      <w:marLeft w:val="0"/>
      <w:marRight w:val="0"/>
      <w:marTop w:val="0"/>
      <w:marBottom w:val="0"/>
      <w:divBdr>
        <w:top w:val="none" w:sz="0" w:space="0" w:color="auto"/>
        <w:left w:val="none" w:sz="0" w:space="0" w:color="auto"/>
        <w:bottom w:val="none" w:sz="0" w:space="0" w:color="auto"/>
        <w:right w:val="none" w:sz="0" w:space="0" w:color="auto"/>
      </w:divBdr>
    </w:div>
    <w:div w:id="1865703680">
      <w:marLeft w:val="0"/>
      <w:marRight w:val="0"/>
      <w:marTop w:val="0"/>
      <w:marBottom w:val="0"/>
      <w:divBdr>
        <w:top w:val="none" w:sz="0" w:space="0" w:color="auto"/>
        <w:left w:val="none" w:sz="0" w:space="0" w:color="auto"/>
        <w:bottom w:val="none" w:sz="0" w:space="0" w:color="auto"/>
        <w:right w:val="none" w:sz="0" w:space="0" w:color="auto"/>
      </w:divBdr>
    </w:div>
    <w:div w:id="1865703681">
      <w:marLeft w:val="0"/>
      <w:marRight w:val="0"/>
      <w:marTop w:val="0"/>
      <w:marBottom w:val="0"/>
      <w:divBdr>
        <w:top w:val="none" w:sz="0" w:space="0" w:color="auto"/>
        <w:left w:val="none" w:sz="0" w:space="0" w:color="auto"/>
        <w:bottom w:val="none" w:sz="0" w:space="0" w:color="auto"/>
        <w:right w:val="none" w:sz="0" w:space="0" w:color="auto"/>
      </w:divBdr>
    </w:div>
    <w:div w:id="1865703682">
      <w:marLeft w:val="0"/>
      <w:marRight w:val="0"/>
      <w:marTop w:val="0"/>
      <w:marBottom w:val="0"/>
      <w:divBdr>
        <w:top w:val="none" w:sz="0" w:space="0" w:color="auto"/>
        <w:left w:val="none" w:sz="0" w:space="0" w:color="auto"/>
        <w:bottom w:val="none" w:sz="0" w:space="0" w:color="auto"/>
        <w:right w:val="none" w:sz="0" w:space="0" w:color="auto"/>
      </w:divBdr>
    </w:div>
    <w:div w:id="1865703683">
      <w:marLeft w:val="0"/>
      <w:marRight w:val="0"/>
      <w:marTop w:val="0"/>
      <w:marBottom w:val="0"/>
      <w:divBdr>
        <w:top w:val="none" w:sz="0" w:space="0" w:color="auto"/>
        <w:left w:val="none" w:sz="0" w:space="0" w:color="auto"/>
        <w:bottom w:val="none" w:sz="0" w:space="0" w:color="auto"/>
        <w:right w:val="none" w:sz="0" w:space="0" w:color="auto"/>
      </w:divBdr>
    </w:div>
    <w:div w:id="1865703684">
      <w:marLeft w:val="0"/>
      <w:marRight w:val="0"/>
      <w:marTop w:val="0"/>
      <w:marBottom w:val="0"/>
      <w:divBdr>
        <w:top w:val="none" w:sz="0" w:space="0" w:color="auto"/>
        <w:left w:val="none" w:sz="0" w:space="0" w:color="auto"/>
        <w:bottom w:val="none" w:sz="0" w:space="0" w:color="auto"/>
        <w:right w:val="none" w:sz="0" w:space="0" w:color="auto"/>
      </w:divBdr>
    </w:div>
    <w:div w:id="1865703685">
      <w:marLeft w:val="0"/>
      <w:marRight w:val="0"/>
      <w:marTop w:val="0"/>
      <w:marBottom w:val="0"/>
      <w:divBdr>
        <w:top w:val="none" w:sz="0" w:space="0" w:color="auto"/>
        <w:left w:val="none" w:sz="0" w:space="0" w:color="auto"/>
        <w:bottom w:val="none" w:sz="0" w:space="0" w:color="auto"/>
        <w:right w:val="none" w:sz="0" w:space="0" w:color="auto"/>
      </w:divBdr>
    </w:div>
    <w:div w:id="1865703686">
      <w:marLeft w:val="0"/>
      <w:marRight w:val="0"/>
      <w:marTop w:val="0"/>
      <w:marBottom w:val="0"/>
      <w:divBdr>
        <w:top w:val="none" w:sz="0" w:space="0" w:color="auto"/>
        <w:left w:val="none" w:sz="0" w:space="0" w:color="auto"/>
        <w:bottom w:val="none" w:sz="0" w:space="0" w:color="auto"/>
        <w:right w:val="none" w:sz="0" w:space="0" w:color="auto"/>
      </w:divBdr>
    </w:div>
    <w:div w:id="1865703687">
      <w:marLeft w:val="0"/>
      <w:marRight w:val="0"/>
      <w:marTop w:val="0"/>
      <w:marBottom w:val="0"/>
      <w:divBdr>
        <w:top w:val="none" w:sz="0" w:space="0" w:color="auto"/>
        <w:left w:val="none" w:sz="0" w:space="0" w:color="auto"/>
        <w:bottom w:val="none" w:sz="0" w:space="0" w:color="auto"/>
        <w:right w:val="none" w:sz="0" w:space="0" w:color="auto"/>
      </w:divBdr>
    </w:div>
    <w:div w:id="186570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is.gov.uk/insolvency/Consultations/IPConsultation?cat=closedwithresponse" TargetMode="External"/><Relationship Id="rId2" Type="http://schemas.openxmlformats.org/officeDocument/2006/relationships/hyperlink" Target="http://www.oft.gov.uk/shared_oft/reports/Insolvency/oft1245" TargetMode="External"/><Relationship Id="rId1" Type="http://schemas.openxmlformats.org/officeDocument/2006/relationships/hyperlink" Target="http://www.bis.gov.uk/insolvency/insolvency-profession/review-of-ip-fees" TargetMode="External"/><Relationship Id="rId4" Type="http://schemas.openxmlformats.org/officeDocument/2006/relationships/hyperlink" Target="http://www.hm-treasury.gov.uk/data_greenbook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ED54-1F74-42E6-A9A8-9B1C7D5D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9250</Words>
  <Characters>52726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Title:</vt:lpstr>
    </vt:vector>
  </TitlesOfParts>
  <Company>INSS</Company>
  <LinksUpToDate>false</LinksUpToDate>
  <CharactersWithSpaces>61853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Sam.Roberts</dc:creator>
  <cp:lastModifiedBy>Alison Ireland</cp:lastModifiedBy>
  <cp:revision>6</cp:revision>
  <cp:lastPrinted>2014-02-11T16:07:00Z</cp:lastPrinted>
  <dcterms:created xsi:type="dcterms:W3CDTF">2014-02-07T14:57:00Z</dcterms:created>
  <dcterms:modified xsi:type="dcterms:W3CDTF">2014-02-11T16:18:00Z</dcterms:modified>
</cp:coreProperties>
</file>