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17" w:rsidRPr="00E435DC" w:rsidRDefault="002A0917" w:rsidP="002A0917">
      <w:pPr>
        <w:rPr>
          <w:rFonts w:cs="Arial"/>
          <w:b/>
          <w:bCs/>
        </w:rPr>
      </w:pPr>
      <w:bookmarkStart w:id="0" w:name="_GoBack"/>
      <w:bookmarkEnd w:id="0"/>
      <w:r w:rsidRPr="00E435DC">
        <w:rPr>
          <w:rFonts w:cs="Arial"/>
          <w:b/>
          <w:bCs/>
        </w:rPr>
        <w:t xml:space="preserve">FULL LIST OF DATA INCLUDED IN </w:t>
      </w:r>
      <w:r>
        <w:rPr>
          <w:rFonts w:cs="Arial"/>
          <w:b/>
          <w:bCs/>
        </w:rPr>
        <w:t>4 FEBRUARY</w:t>
      </w:r>
      <w:r w:rsidRPr="00E435DC">
        <w:rPr>
          <w:rFonts w:cs="Arial"/>
          <w:b/>
          <w:bCs/>
        </w:rPr>
        <w:t xml:space="preserve"> PUBLICATION</w:t>
      </w:r>
    </w:p>
    <w:p w:rsidR="002A0917" w:rsidRDefault="002A0917" w:rsidP="002A0917">
      <w:pPr>
        <w:rPr>
          <w:rFonts w:ascii="Times New Roman" w:hAnsi="Times New Roman"/>
          <w:bCs/>
          <w:sz w:val="28"/>
          <w:szCs w:val="28"/>
        </w:rPr>
      </w:pPr>
    </w:p>
    <w:p w:rsidR="002A0917" w:rsidRPr="00A57844" w:rsidRDefault="002A0917" w:rsidP="002A0917">
      <w:pPr>
        <w:rPr>
          <w:rStyle w:val="Hyperlink"/>
          <w:color w:val="000000"/>
          <w:sz w:val="22"/>
          <w:szCs w:val="22"/>
          <w:u w:val="none"/>
        </w:rPr>
      </w:pPr>
      <w:r w:rsidRPr="00AB4D4E">
        <w:rPr>
          <w:sz w:val="22"/>
          <w:szCs w:val="22"/>
        </w:rPr>
        <w:t xml:space="preserve">Data for the indicators listed below has been added to the PHOF data tool </w:t>
      </w:r>
      <w:r w:rsidRPr="00A57844">
        <w:rPr>
          <w:rStyle w:val="Hyperlink"/>
          <w:color w:val="000000"/>
          <w:sz w:val="22"/>
          <w:szCs w:val="22"/>
          <w:u w:val="none"/>
        </w:rPr>
        <w:t xml:space="preserve">as part of the February update </w:t>
      </w:r>
      <w:r w:rsidR="00A57844">
        <w:rPr>
          <w:rStyle w:val="Hyperlink"/>
          <w:color w:val="000000"/>
          <w:sz w:val="22"/>
          <w:szCs w:val="22"/>
          <w:u w:val="none"/>
        </w:rPr>
        <w:t>–</w:t>
      </w:r>
      <w:r w:rsidRPr="00A57844">
        <w:rPr>
          <w:rStyle w:val="Hyperlink"/>
          <w:color w:val="000000"/>
          <w:sz w:val="22"/>
          <w:szCs w:val="22"/>
          <w:u w:val="none"/>
        </w:rPr>
        <w:t xml:space="preserve"> see</w:t>
      </w:r>
      <w:r w:rsidR="00A57844">
        <w:rPr>
          <w:rStyle w:val="Hyperlink"/>
          <w:color w:val="000000"/>
          <w:sz w:val="22"/>
          <w:szCs w:val="22"/>
          <w:u w:val="none"/>
        </w:rPr>
        <w:t xml:space="preserve"> </w:t>
      </w:r>
      <w:hyperlink r:id="rId5" w:history="1">
        <w:r w:rsidR="00A57844" w:rsidRPr="002A768F">
          <w:rPr>
            <w:rStyle w:val="Hyperlink"/>
            <w:sz w:val="22"/>
            <w:szCs w:val="22"/>
          </w:rPr>
          <w:t>www.phoutcomes.info</w:t>
        </w:r>
      </w:hyperlink>
      <w:r w:rsidRPr="00A57844">
        <w:rPr>
          <w:rStyle w:val="Hyperlink"/>
          <w:color w:val="000000"/>
          <w:sz w:val="22"/>
          <w:szCs w:val="22"/>
          <w:u w:val="none"/>
        </w:rPr>
        <w:t xml:space="preserve">. All indicators are at England and Upper Tier Local Authority level unless otherwise stated. </w:t>
      </w:r>
    </w:p>
    <w:p w:rsidR="002A0917" w:rsidRPr="00A57844" w:rsidRDefault="002A0917" w:rsidP="002A0917">
      <w:pPr>
        <w:rPr>
          <w:rStyle w:val="Hyperlink"/>
          <w:color w:val="000000"/>
          <w:sz w:val="22"/>
          <w:szCs w:val="22"/>
          <w:u w:val="none"/>
        </w:rPr>
      </w:pPr>
    </w:p>
    <w:p w:rsidR="002A0917" w:rsidRPr="00A57844" w:rsidRDefault="002A0917" w:rsidP="002A0917">
      <w:pPr>
        <w:rPr>
          <w:rStyle w:val="Hyperlink"/>
          <w:i/>
          <w:iCs/>
          <w:color w:val="000000"/>
          <w:sz w:val="22"/>
          <w:szCs w:val="22"/>
          <w:u w:val="none"/>
        </w:rPr>
      </w:pPr>
      <w:r w:rsidRPr="00A57844">
        <w:rPr>
          <w:rStyle w:val="Hyperlink"/>
          <w:i/>
          <w:iCs/>
          <w:color w:val="000000"/>
          <w:sz w:val="22"/>
          <w:szCs w:val="22"/>
          <w:u w:val="none"/>
        </w:rPr>
        <w:t>Note: Data in this release is a mixture of baseline data and various updates to data as required (where baselines have already been published but more recent/updated data is available) - details are provided below.</w:t>
      </w:r>
    </w:p>
    <w:p w:rsidR="002A0917" w:rsidRPr="009168BD" w:rsidRDefault="002A0917" w:rsidP="002A0917">
      <w:pPr>
        <w:rPr>
          <w:i/>
          <w:iCs/>
          <w:color w:val="000000"/>
          <w:sz w:val="22"/>
          <w:szCs w:val="22"/>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260"/>
        <w:gridCol w:w="1134"/>
        <w:gridCol w:w="2268"/>
        <w:gridCol w:w="2410"/>
      </w:tblGrid>
      <w:tr w:rsidR="002A0917" w:rsidRPr="00CC55CC" w:rsidTr="009F22A0">
        <w:trPr>
          <w:tblHeader/>
        </w:trPr>
        <w:tc>
          <w:tcPr>
            <w:tcW w:w="1135" w:type="dxa"/>
          </w:tcPr>
          <w:p w:rsidR="002A0917" w:rsidRPr="00EA38EE" w:rsidRDefault="002A0917" w:rsidP="009F22A0">
            <w:pPr>
              <w:rPr>
                <w:rFonts w:ascii="Calibri" w:hAnsi="Calibri"/>
                <w:b/>
                <w:bCs/>
                <w:sz w:val="22"/>
                <w:szCs w:val="22"/>
              </w:rPr>
            </w:pPr>
          </w:p>
        </w:tc>
        <w:tc>
          <w:tcPr>
            <w:tcW w:w="3260" w:type="dxa"/>
          </w:tcPr>
          <w:p w:rsidR="002A0917" w:rsidRPr="00EA38EE" w:rsidRDefault="002A0917" w:rsidP="009F22A0">
            <w:pPr>
              <w:rPr>
                <w:rFonts w:ascii="Calibri" w:hAnsi="Calibri"/>
                <w:b/>
                <w:bCs/>
                <w:sz w:val="22"/>
                <w:szCs w:val="22"/>
              </w:rPr>
            </w:pPr>
            <w:r w:rsidRPr="00EA38EE">
              <w:rPr>
                <w:rFonts w:ascii="Calibri" w:hAnsi="Calibri"/>
                <w:b/>
                <w:bCs/>
                <w:sz w:val="22"/>
                <w:szCs w:val="22"/>
              </w:rPr>
              <w:t>Short title / sub-indicator descriptions</w:t>
            </w:r>
          </w:p>
        </w:tc>
        <w:tc>
          <w:tcPr>
            <w:tcW w:w="1134" w:type="dxa"/>
          </w:tcPr>
          <w:p w:rsidR="002A0917" w:rsidRPr="00EA38EE" w:rsidRDefault="002A0917" w:rsidP="009F22A0">
            <w:pPr>
              <w:rPr>
                <w:rFonts w:ascii="Calibri" w:hAnsi="Calibri"/>
                <w:b/>
                <w:bCs/>
                <w:sz w:val="22"/>
                <w:szCs w:val="22"/>
              </w:rPr>
            </w:pPr>
            <w:r w:rsidRPr="00EA38EE">
              <w:rPr>
                <w:rFonts w:ascii="Calibri" w:hAnsi="Calibri"/>
                <w:b/>
                <w:bCs/>
                <w:sz w:val="22"/>
                <w:szCs w:val="22"/>
              </w:rPr>
              <w:t>Time period</w:t>
            </w:r>
          </w:p>
        </w:tc>
        <w:tc>
          <w:tcPr>
            <w:tcW w:w="2268" w:type="dxa"/>
          </w:tcPr>
          <w:p w:rsidR="002A0917" w:rsidRPr="00EA38EE" w:rsidRDefault="002A0917" w:rsidP="009F22A0">
            <w:pPr>
              <w:rPr>
                <w:rFonts w:ascii="Calibri" w:hAnsi="Calibri"/>
                <w:b/>
                <w:bCs/>
                <w:sz w:val="22"/>
                <w:szCs w:val="22"/>
              </w:rPr>
            </w:pPr>
            <w:r w:rsidRPr="00EA38EE">
              <w:rPr>
                <w:rFonts w:ascii="Calibri" w:hAnsi="Calibri"/>
                <w:b/>
                <w:bCs/>
                <w:sz w:val="22"/>
                <w:szCs w:val="22"/>
              </w:rPr>
              <w:t>Baseline or updated data?</w:t>
            </w:r>
          </w:p>
        </w:tc>
        <w:tc>
          <w:tcPr>
            <w:tcW w:w="2410" w:type="dxa"/>
          </w:tcPr>
          <w:p w:rsidR="002A0917" w:rsidRPr="00EA38EE" w:rsidRDefault="002A0917" w:rsidP="009F22A0">
            <w:pPr>
              <w:rPr>
                <w:rFonts w:ascii="Calibri" w:hAnsi="Calibri"/>
                <w:b/>
                <w:bCs/>
                <w:sz w:val="22"/>
                <w:szCs w:val="22"/>
              </w:rPr>
            </w:pPr>
            <w:r w:rsidRPr="00EA38EE">
              <w:rPr>
                <w:rFonts w:ascii="Calibri" w:hAnsi="Calibri"/>
                <w:b/>
                <w:bCs/>
                <w:sz w:val="22"/>
                <w:szCs w:val="22"/>
              </w:rPr>
              <w:t>Already in public domain?</w:t>
            </w:r>
          </w:p>
        </w:tc>
      </w:tr>
      <w:tr w:rsidR="002A0917" w:rsidRPr="00CC55CC" w:rsidTr="009F22A0">
        <w:tc>
          <w:tcPr>
            <w:tcW w:w="1135" w:type="dxa"/>
          </w:tcPr>
          <w:p w:rsidR="002A0917" w:rsidRPr="00EA38EE" w:rsidRDefault="002A0917" w:rsidP="009F22A0">
            <w:pPr>
              <w:rPr>
                <w:rFonts w:ascii="Calibri" w:hAnsi="Calibri"/>
                <w:b/>
                <w:bCs/>
                <w:sz w:val="22"/>
                <w:szCs w:val="22"/>
              </w:rPr>
            </w:pPr>
            <w:r w:rsidRPr="00EA38EE">
              <w:rPr>
                <w:rFonts w:ascii="Calibri" w:hAnsi="Calibri"/>
                <w:b/>
                <w:bCs/>
                <w:sz w:val="22"/>
                <w:szCs w:val="22"/>
              </w:rPr>
              <w:t>0.1</w:t>
            </w:r>
          </w:p>
        </w:tc>
        <w:tc>
          <w:tcPr>
            <w:tcW w:w="9072" w:type="dxa"/>
            <w:gridSpan w:val="4"/>
          </w:tcPr>
          <w:p w:rsidR="002A0917" w:rsidRPr="00EA38EE" w:rsidRDefault="002A0917" w:rsidP="009F22A0">
            <w:pPr>
              <w:rPr>
                <w:rFonts w:ascii="Calibri" w:hAnsi="Calibri"/>
                <w:b/>
                <w:bCs/>
                <w:sz w:val="22"/>
                <w:szCs w:val="22"/>
              </w:rPr>
            </w:pPr>
            <w:r w:rsidRPr="00EA38EE">
              <w:rPr>
                <w:rFonts w:ascii="Calibri" w:hAnsi="Calibri"/>
                <w:b/>
                <w:bCs/>
                <w:sz w:val="22"/>
                <w:szCs w:val="22"/>
              </w:rPr>
              <w:t>Healthy Life Expectancy</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0.1ii(M)</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Life Expectancy at birth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Period 2009-11)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0.1ii(F)</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Life Expectancy at birth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Period 2009-11)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0.2</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Differences in life expectancy and healthy life expectancy between communities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0.2iv(M)</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Gap in life expectancy at birth between each local authority and  England as a whole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Period 2009-11)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0.2iv(F)</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Gap in life expectancy at birth between each local authority and  England as a whole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Period 2009-11)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1.01</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Children in poverty</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1.01ii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all dependent children under 20 in relative poverty (living in households where income is less than 60 per cent of median household income before housing costs)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2010, 2011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bCs/>
                <w:color w:val="000000"/>
                <w:sz w:val="22"/>
                <w:szCs w:val="22"/>
              </w:rPr>
              <w:t>New baseline and Updated data (baseline period – 2010)</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1.02</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School readiness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1.02i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School Readiness: All children achieving a good level of development at the end of reception as a percentage of all eligible children.</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bCs/>
                <w:color w:val="000000"/>
                <w:sz w:val="22"/>
                <w:szCs w:val="22"/>
              </w:rPr>
            </w:pPr>
            <w:r w:rsidRPr="00EA38EE">
              <w:rPr>
                <w:rFonts w:ascii="Calibri" w:hAnsi="Calibri"/>
                <w:bCs/>
                <w:color w:val="000000"/>
                <w:sz w:val="22"/>
                <w:szCs w:val="22"/>
              </w:rPr>
              <w:t>New baseline</w:t>
            </w:r>
          </w:p>
        </w:tc>
        <w:tc>
          <w:tcPr>
            <w:tcW w:w="2410" w:type="dxa"/>
          </w:tcPr>
          <w:p w:rsidR="002A0917" w:rsidRPr="00EA38EE" w:rsidRDefault="002A0917" w:rsidP="009F22A0">
            <w:pPr>
              <w:rPr>
                <w:rFonts w:ascii="Calibri" w:hAnsi="Calibri"/>
                <w:bCs/>
                <w:color w:val="000000"/>
                <w:sz w:val="22"/>
                <w:szCs w:val="22"/>
              </w:rPr>
            </w:pPr>
            <w:r w:rsidRPr="00EA38EE">
              <w:rPr>
                <w:rFonts w:ascii="Calibri" w:hAnsi="Calibri"/>
                <w:bCs/>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1.02i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School Readiness: All children achieving a good level of development at the end of reception as a percentage of all eligible children by free school meal status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1.02ii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School Readiness: Year 1 pupils achieving the expected level in the phonics screening check as a percentage of all eligible pupils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1.02ii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School Readiness: All children achieving a good level of </w:t>
            </w:r>
            <w:r w:rsidRPr="00EA38EE">
              <w:rPr>
                <w:rFonts w:ascii="Calibri" w:hAnsi="Calibri"/>
                <w:color w:val="000000"/>
                <w:sz w:val="22"/>
                <w:szCs w:val="22"/>
              </w:rPr>
              <w:lastRenderedPageBreak/>
              <w:t>development at the end of reception as a percentage of all eligible children by free school meal status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lastRenderedPageBreak/>
              <w:t>1.06</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Adults with a learning disability/in contact with secondary mental health services who live in stable and appropriate accommodation</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1.06ii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of adults (age 18-69) who are receiving secondary mental health services on the Care Programme Approach recorded as living independently, with or without support.</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1.08</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Employment for those with long-term health conditions including adults with a learning disability or who are in contact with secondary mental health services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1.08iii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cs="Lucida Grande"/>
                <w:color w:val="333333"/>
                <w:sz w:val="22"/>
                <w:szCs w:val="22"/>
              </w:rPr>
              <w:t>The percentage point gap between the percentage of working age adults who are receiving secondary mental health services and who are on the Care Programme Approach recorded as being employed (aged 18 to 69) and the percentage of all respondents in the Labour Force Survey classed as employed (aged 16 to 64)</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1.11</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Domestic abuse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1.11</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Rate of domestic abuse incidents reported to the police, per 1,000 population</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2010/11/, 2011/12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 and updated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000000" w:fill="FFFFFF"/>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1.12</w:t>
            </w:r>
          </w:p>
        </w:tc>
        <w:tc>
          <w:tcPr>
            <w:tcW w:w="9072" w:type="dxa"/>
            <w:gridSpan w:val="4"/>
            <w:shd w:val="clear" w:color="000000" w:fill="FFFFFF"/>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Violent crime (including sexual violence)</w:t>
            </w:r>
          </w:p>
        </w:tc>
      </w:tr>
      <w:tr w:rsidR="002A0917" w:rsidRPr="00CC55CC" w:rsidTr="009F22A0">
        <w:tblPrEx>
          <w:tblLook w:val="04A0" w:firstRow="1" w:lastRow="0" w:firstColumn="1" w:lastColumn="0" w:noHBand="0" w:noVBand="1"/>
        </w:tblPrEx>
        <w:trPr>
          <w:trHeight w:val="300"/>
        </w:trPr>
        <w:tc>
          <w:tcPr>
            <w:tcW w:w="1135" w:type="dxa"/>
            <w:shd w:val="clear" w:color="000000" w:fill="FFFFFF"/>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1.12i</w:t>
            </w:r>
          </w:p>
        </w:tc>
        <w:tc>
          <w:tcPr>
            <w:tcW w:w="3260" w:type="dxa"/>
            <w:shd w:val="clear" w:color="000000" w:fill="FFFFFF"/>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Age-standardised rate of emergency hospital admissions for violence per 100,000 population</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2010/11-2012/13</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period – 2009/10-2011/12) and revisions to existing data based upon revised population data from ONS and the new European Standard Population</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000000" w:fill="FFFFFF"/>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1.12iii</w:t>
            </w:r>
          </w:p>
        </w:tc>
        <w:tc>
          <w:tcPr>
            <w:tcW w:w="3260" w:type="dxa"/>
            <w:shd w:val="clear" w:color="000000" w:fill="FFFFFF"/>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Rate of sexual offences based on police recorded crime data per 1,000 population</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2010/11, 2011/12, 2012/13</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 and updated data</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281"/>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1.13</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Re-offending levels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1.13i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The percentage of offenders who re-offend from a rolling 12 month cohort</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 Lower tier local authority data added</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1.13ii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The average number of re-offences committed per offender from a rolling 12 month cohort</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 Lower tier local authority data added</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281"/>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1.18</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Loneliness and isolation</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1.18i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Loneliness and isolation in adult social care users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1.18ii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Loneliness and isolation in adult carers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85"/>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2.01</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Low birth weight of term babies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all live births at term with low birth weight</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Lower tier local authority data added for baseline year</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all live births at term with low birth weight</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2005-2009</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2.02</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Breastfeeding</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2.02i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Breastfeeding initiation</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 and updated numerator data from Department of Health</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2.02ii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Breastfeeding prevalence at 6-8 weeks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 and updated numerator data from Department of Health</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2.03</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Smoking status at time of delivery</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2.03</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Rate of smoking at time of delivery per 100 maternities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 and updated numerator data from Department of Health</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lastRenderedPageBreak/>
              <w:t>2.04</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Teenage conceptions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2.04</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Teenage conceptions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1998-2011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Lower tier local authority data added</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2.04</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Teenage conceptions (under 16)</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2009-2011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Additional inequality breakdown added</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71"/>
        </w:trPr>
        <w:tc>
          <w:tcPr>
            <w:tcW w:w="1135" w:type="dxa"/>
            <w:shd w:val="clear" w:color="000000" w:fill="FFFFFF"/>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2.06</w:t>
            </w:r>
          </w:p>
        </w:tc>
        <w:tc>
          <w:tcPr>
            <w:tcW w:w="9072" w:type="dxa"/>
            <w:gridSpan w:val="4"/>
            <w:shd w:val="clear" w:color="000000" w:fill="FFFFFF"/>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Excess weight in 4-5 and 10-11 year olds</w:t>
            </w:r>
          </w:p>
        </w:tc>
      </w:tr>
      <w:tr w:rsidR="002A0917" w:rsidRPr="00CC55CC" w:rsidTr="009F22A0">
        <w:tblPrEx>
          <w:tblLook w:val="04A0" w:firstRow="1" w:lastRow="0" w:firstColumn="1" w:lastColumn="0" w:noHBand="0" w:noVBand="1"/>
        </w:tblPrEx>
        <w:trPr>
          <w:trHeight w:val="600"/>
        </w:trPr>
        <w:tc>
          <w:tcPr>
            <w:tcW w:w="1135" w:type="dxa"/>
            <w:shd w:val="clear" w:color="000000" w:fill="FFFFFF"/>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2.06i</w:t>
            </w:r>
          </w:p>
        </w:tc>
        <w:tc>
          <w:tcPr>
            <w:tcW w:w="3260" w:type="dxa"/>
            <w:shd w:val="clear" w:color="000000" w:fill="FFFFFF"/>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children aged 4-5 classified as overweight or obese</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600"/>
        </w:trPr>
        <w:tc>
          <w:tcPr>
            <w:tcW w:w="1135" w:type="dxa"/>
            <w:shd w:val="clear" w:color="000000" w:fill="FFFFFF"/>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2.06ii</w:t>
            </w:r>
          </w:p>
        </w:tc>
        <w:tc>
          <w:tcPr>
            <w:tcW w:w="3260" w:type="dxa"/>
            <w:shd w:val="clear" w:color="000000" w:fill="FFFFFF"/>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children aged 10-11 classified as overweight or obese</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77"/>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2.07</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 xml:space="preserve">Hospital admissions caused by unintentional and deliberate injuries in children and young people aged 0-14 and 15-24 years </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2.07i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Rate of emergency admissions caused by unintentional and deliberate injuries in children aged 0-14 years</w:t>
            </w:r>
            <w:r w:rsidRPr="00EA38EE">
              <w:rPr>
                <w:rFonts w:ascii="Calibri" w:hAnsi="Calibri"/>
                <w:color w:val="000000"/>
                <w:sz w:val="22"/>
                <w:szCs w:val="22"/>
              </w:rPr>
              <w:tab/>
              <w:t>2012/13</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2.07ii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Rate of emergency admissions caused by unintentional and deliberate injuries in young people aged 15-24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2.12</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Excess weight in adults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2.12</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Excess weight in adults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37"/>
        </w:trPr>
        <w:tc>
          <w:tcPr>
            <w:tcW w:w="1135" w:type="dxa"/>
            <w:shd w:val="clear" w:color="000000" w:fill="FFFFFF"/>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2.14</w:t>
            </w:r>
          </w:p>
        </w:tc>
        <w:tc>
          <w:tcPr>
            <w:tcW w:w="9072" w:type="dxa"/>
            <w:gridSpan w:val="4"/>
            <w:shd w:val="clear" w:color="000000" w:fill="FFFFFF"/>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Smoking Prevalence (adults)</w:t>
            </w:r>
          </w:p>
        </w:tc>
      </w:tr>
      <w:tr w:rsidR="002A0917" w:rsidRPr="00CC55CC" w:rsidTr="009F22A0">
        <w:tblPrEx>
          <w:tblLook w:val="04A0" w:firstRow="1" w:lastRow="0" w:firstColumn="1" w:lastColumn="0" w:noHBand="0" w:noVBand="1"/>
        </w:tblPrEx>
        <w:trPr>
          <w:trHeight w:val="600"/>
        </w:trPr>
        <w:tc>
          <w:tcPr>
            <w:tcW w:w="1135" w:type="dxa"/>
            <w:shd w:val="clear" w:color="000000" w:fill="FFFFFF"/>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2.14</w:t>
            </w:r>
          </w:p>
        </w:tc>
        <w:tc>
          <w:tcPr>
            <w:tcW w:w="3260" w:type="dxa"/>
            <w:shd w:val="clear" w:color="000000" w:fill="FFFFFF"/>
            <w:vAlign w:val="center"/>
            <w:hideMark/>
          </w:tcPr>
          <w:p w:rsidR="002A0917" w:rsidRPr="00EA38EE" w:rsidRDefault="002A0917" w:rsidP="009F22A0">
            <w:pPr>
              <w:rPr>
                <w:rFonts w:ascii="Calibri" w:hAnsi="Calibri"/>
                <w:sz w:val="22"/>
                <w:szCs w:val="22"/>
              </w:rPr>
            </w:pPr>
            <w:r w:rsidRPr="00EA38EE">
              <w:rPr>
                <w:rFonts w:ascii="Calibri" w:hAnsi="Calibri"/>
                <w:color w:val="333333"/>
                <w:sz w:val="22"/>
                <w:szCs w:val="22"/>
              </w:rPr>
              <w:t>Smoking prevalence (adults)</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 Change of baseline year to calendar instead of financial year</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600"/>
        </w:trPr>
        <w:tc>
          <w:tcPr>
            <w:tcW w:w="1135" w:type="dxa"/>
            <w:shd w:val="clear" w:color="000000" w:fill="FFFFFF"/>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2.14</w:t>
            </w:r>
          </w:p>
        </w:tc>
        <w:tc>
          <w:tcPr>
            <w:tcW w:w="3260" w:type="dxa"/>
            <w:shd w:val="clear" w:color="000000" w:fill="FFFFFF"/>
            <w:vAlign w:val="center"/>
            <w:hideMark/>
          </w:tcPr>
          <w:p w:rsidR="002A0917" w:rsidRPr="00EA38EE" w:rsidRDefault="002A0917" w:rsidP="009F22A0">
            <w:pPr>
              <w:rPr>
                <w:rFonts w:ascii="Calibri" w:hAnsi="Calibri"/>
                <w:color w:val="000000"/>
                <w:sz w:val="22"/>
                <w:szCs w:val="22"/>
              </w:rPr>
            </w:pPr>
            <w:r w:rsidRPr="00EA38EE">
              <w:rPr>
                <w:rFonts w:ascii="Calibri" w:hAnsi="Calibri"/>
                <w:color w:val="333333"/>
                <w:sz w:val="22"/>
                <w:szCs w:val="22"/>
              </w:rPr>
              <w:t>Smoking prevalence (Adults – Routine and Manual workers)</w:t>
            </w:r>
          </w:p>
        </w:tc>
        <w:tc>
          <w:tcPr>
            <w:tcW w:w="1134"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2011/12, 2012</w:t>
            </w:r>
          </w:p>
        </w:tc>
        <w:tc>
          <w:tcPr>
            <w:tcW w:w="2268"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an inequalities breakdown</w:t>
            </w:r>
          </w:p>
        </w:tc>
        <w:tc>
          <w:tcPr>
            <w:tcW w:w="2410" w:type="dxa"/>
            <w:shd w:val="clear" w:color="000000" w:fill="FFFFFF"/>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0E559B" w:rsidRPr="00EA38EE" w:rsidTr="00E765DB">
        <w:tblPrEx>
          <w:tblLook w:val="04A0" w:firstRow="1" w:lastRow="0" w:firstColumn="1" w:lastColumn="0" w:noHBand="0" w:noVBand="1"/>
        </w:tblPrEx>
        <w:trPr>
          <w:trHeight w:val="300"/>
        </w:trPr>
        <w:tc>
          <w:tcPr>
            <w:tcW w:w="1135" w:type="dxa"/>
            <w:shd w:val="clear" w:color="auto" w:fill="auto"/>
            <w:noWrap/>
            <w:vAlign w:val="center"/>
          </w:tcPr>
          <w:p w:rsidR="000E559B" w:rsidRPr="00EA38EE" w:rsidRDefault="000E559B" w:rsidP="00E765DB">
            <w:pPr>
              <w:rPr>
                <w:rFonts w:ascii="Calibri" w:hAnsi="Calibri"/>
                <w:color w:val="000000"/>
                <w:sz w:val="22"/>
                <w:szCs w:val="22"/>
              </w:rPr>
            </w:pPr>
            <w:r w:rsidRPr="00EA38EE">
              <w:rPr>
                <w:rFonts w:ascii="Calibri" w:hAnsi="Calibri"/>
                <w:b/>
                <w:color w:val="000000"/>
                <w:sz w:val="22"/>
                <w:szCs w:val="22"/>
              </w:rPr>
              <w:t>2.17</w:t>
            </w:r>
          </w:p>
        </w:tc>
        <w:tc>
          <w:tcPr>
            <w:tcW w:w="9072" w:type="dxa"/>
            <w:gridSpan w:val="4"/>
            <w:shd w:val="clear" w:color="auto" w:fill="auto"/>
            <w:vAlign w:val="center"/>
          </w:tcPr>
          <w:p w:rsidR="000E559B" w:rsidRPr="00EA38EE" w:rsidRDefault="000E559B" w:rsidP="00E765DB">
            <w:pPr>
              <w:rPr>
                <w:rFonts w:ascii="Calibri" w:hAnsi="Calibri"/>
                <w:color w:val="000000"/>
                <w:sz w:val="22"/>
                <w:szCs w:val="22"/>
              </w:rPr>
            </w:pPr>
            <w:r w:rsidRPr="00EA38EE">
              <w:rPr>
                <w:rFonts w:ascii="Calibri" w:hAnsi="Calibri"/>
                <w:b/>
                <w:color w:val="000000"/>
                <w:sz w:val="22"/>
                <w:szCs w:val="22"/>
              </w:rPr>
              <w:t>Recorded diabetes</w:t>
            </w:r>
          </w:p>
        </w:tc>
      </w:tr>
      <w:tr w:rsidR="000E559B" w:rsidRPr="00EA38EE" w:rsidTr="00E765DB">
        <w:tblPrEx>
          <w:tblLook w:val="04A0" w:firstRow="1" w:lastRow="0" w:firstColumn="1" w:lastColumn="0" w:noHBand="0" w:noVBand="1"/>
        </w:tblPrEx>
        <w:trPr>
          <w:trHeight w:val="300"/>
        </w:trPr>
        <w:tc>
          <w:tcPr>
            <w:tcW w:w="1135" w:type="dxa"/>
            <w:shd w:val="clear" w:color="auto" w:fill="auto"/>
            <w:noWrap/>
            <w:vAlign w:val="center"/>
          </w:tcPr>
          <w:p w:rsidR="000E559B" w:rsidRPr="00EA38EE" w:rsidRDefault="000E559B" w:rsidP="00E765DB">
            <w:pPr>
              <w:rPr>
                <w:rFonts w:ascii="Calibri" w:hAnsi="Calibri"/>
                <w:color w:val="000000"/>
                <w:sz w:val="22"/>
                <w:szCs w:val="22"/>
              </w:rPr>
            </w:pPr>
            <w:r w:rsidRPr="00EA38EE">
              <w:rPr>
                <w:rFonts w:ascii="Calibri" w:hAnsi="Calibri"/>
                <w:color w:val="000000"/>
                <w:sz w:val="22"/>
                <w:szCs w:val="22"/>
              </w:rPr>
              <w:t>2.17</w:t>
            </w:r>
          </w:p>
        </w:tc>
        <w:tc>
          <w:tcPr>
            <w:tcW w:w="3260" w:type="dxa"/>
            <w:shd w:val="clear" w:color="auto" w:fill="auto"/>
            <w:vAlign w:val="center"/>
          </w:tcPr>
          <w:p w:rsidR="000E559B" w:rsidRPr="00EA38EE" w:rsidRDefault="000E559B" w:rsidP="00E765DB">
            <w:pPr>
              <w:rPr>
                <w:rFonts w:ascii="Calibri" w:hAnsi="Calibri"/>
                <w:color w:val="000000"/>
                <w:sz w:val="22"/>
                <w:szCs w:val="22"/>
              </w:rPr>
            </w:pPr>
            <w:r w:rsidRPr="00EA38EE">
              <w:rPr>
                <w:rFonts w:ascii="Calibri" w:hAnsi="Calibri"/>
                <w:color w:val="000000"/>
                <w:sz w:val="22"/>
                <w:szCs w:val="22"/>
              </w:rPr>
              <w:t>Recorded diabetes</w:t>
            </w:r>
          </w:p>
        </w:tc>
        <w:tc>
          <w:tcPr>
            <w:tcW w:w="1134" w:type="dxa"/>
          </w:tcPr>
          <w:p w:rsidR="000E559B" w:rsidRPr="00EA38EE" w:rsidRDefault="000E559B" w:rsidP="00E765DB">
            <w:pPr>
              <w:rPr>
                <w:rFonts w:ascii="Calibri" w:hAnsi="Calibri"/>
                <w:color w:val="000000"/>
                <w:sz w:val="22"/>
                <w:szCs w:val="22"/>
              </w:rPr>
            </w:pPr>
            <w:r w:rsidRPr="00EA38EE">
              <w:rPr>
                <w:rFonts w:ascii="Calibri" w:hAnsi="Calibri"/>
                <w:color w:val="000000"/>
                <w:sz w:val="22"/>
                <w:szCs w:val="22"/>
              </w:rPr>
              <w:t>2012/13</w:t>
            </w:r>
          </w:p>
        </w:tc>
        <w:tc>
          <w:tcPr>
            <w:tcW w:w="2268" w:type="dxa"/>
          </w:tcPr>
          <w:p w:rsidR="000E559B" w:rsidRPr="00EA38EE" w:rsidRDefault="000E559B" w:rsidP="00E765DB">
            <w:pPr>
              <w:rPr>
                <w:rFonts w:ascii="Calibri" w:hAnsi="Calibri"/>
                <w:color w:val="000000"/>
                <w:sz w:val="22"/>
                <w:szCs w:val="22"/>
              </w:rPr>
            </w:pPr>
            <w:r w:rsidRPr="00EA38EE">
              <w:rPr>
                <w:rFonts w:ascii="Calibri" w:hAnsi="Calibri"/>
                <w:color w:val="000000"/>
                <w:sz w:val="22"/>
                <w:szCs w:val="22"/>
              </w:rPr>
              <w:t>Updated data (baseline  2010/11)</w:t>
            </w:r>
          </w:p>
        </w:tc>
        <w:tc>
          <w:tcPr>
            <w:tcW w:w="2410" w:type="dxa"/>
          </w:tcPr>
          <w:p w:rsidR="000E559B" w:rsidRPr="00EA38EE" w:rsidRDefault="000E559B" w:rsidP="00E765DB">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2.23</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Self-reported well-being</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2.23i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respondents less satisfied with life</w:t>
            </w:r>
            <w:r w:rsidRPr="00EA38EE">
              <w:rPr>
                <w:rFonts w:ascii="Calibri" w:hAnsi="Calibri"/>
                <w:color w:val="000000"/>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2011/12, 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baseline and additional year of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2.23ii</w:t>
            </w:r>
          </w:p>
        </w:tc>
        <w:tc>
          <w:tcPr>
            <w:tcW w:w="3260" w:type="dxa"/>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Percentage of respondents feeling their life is less worthwhile</w:t>
            </w:r>
          </w:p>
        </w:tc>
        <w:tc>
          <w:tcPr>
            <w:tcW w:w="1134" w:type="dxa"/>
            <w:shd w:val="clear" w:color="auto" w:fill="auto"/>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2011/12, 2012/13</w:t>
            </w:r>
          </w:p>
        </w:tc>
        <w:tc>
          <w:tcPr>
            <w:tcW w:w="2268" w:type="dxa"/>
            <w:shd w:val="clear" w:color="auto" w:fill="auto"/>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Updated baseline and additional year of data</w:t>
            </w:r>
          </w:p>
        </w:tc>
        <w:tc>
          <w:tcPr>
            <w:tcW w:w="2410" w:type="dxa"/>
            <w:shd w:val="clear" w:color="auto" w:fill="auto"/>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2.23iii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respondents feeling less happy yesterday</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2011/12, 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baseline and additional year of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2.23iv</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Percentage of respondents feeling more anxious yesterday</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2011/12, 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baseline and additional year of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lastRenderedPageBreak/>
              <w:t>3.03</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Population Vaccination Coverage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hideMark/>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3.03i</w:t>
            </w:r>
          </w:p>
        </w:tc>
        <w:tc>
          <w:tcPr>
            <w:tcW w:w="3260" w:type="dxa"/>
            <w:shd w:val="clear" w:color="auto" w:fill="auto"/>
            <w:vAlign w:val="center"/>
            <w:hideMark/>
          </w:tcPr>
          <w:p w:rsidR="002A0917" w:rsidRPr="00EA38EE" w:rsidRDefault="002A0917" w:rsidP="009F22A0">
            <w:pPr>
              <w:rPr>
                <w:rFonts w:ascii="Calibri" w:hAnsi="Calibri"/>
                <w:color w:val="000000"/>
                <w:sz w:val="22"/>
                <w:szCs w:val="22"/>
              </w:rPr>
            </w:pPr>
            <w:r w:rsidRPr="00EA38EE">
              <w:rPr>
                <w:rFonts w:ascii="Calibri" w:hAnsi="Calibri"/>
                <w:sz w:val="22"/>
                <w:szCs w:val="22"/>
              </w:rPr>
              <w:t>Hepatitis B (12 Months)</w:t>
            </w:r>
            <w:r w:rsidRPr="00EA38EE">
              <w:rPr>
                <w:rFonts w:ascii="Calibri" w:hAnsi="Calibri"/>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3.03i</w:t>
            </w:r>
          </w:p>
        </w:tc>
        <w:tc>
          <w:tcPr>
            <w:tcW w:w="3260" w:type="dxa"/>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sz w:val="22"/>
                <w:szCs w:val="22"/>
              </w:rPr>
              <w:t>Hepatitis B (24 Months)</w:t>
            </w:r>
            <w:r w:rsidRPr="00EA38EE">
              <w:rPr>
                <w:rFonts w:ascii="Calibri" w:hAnsi="Calibri"/>
                <w:sz w:val="22"/>
                <w:szCs w:val="22"/>
              </w:rPr>
              <w:tab/>
            </w:r>
          </w:p>
        </w:tc>
        <w:tc>
          <w:tcPr>
            <w:tcW w:w="1134" w:type="dxa"/>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sz w:val="22"/>
                <w:szCs w:val="22"/>
              </w:rPr>
            </w:pPr>
            <w:r w:rsidRPr="00EA38EE">
              <w:rPr>
                <w:rFonts w:ascii="Calibri" w:hAnsi="Calibri"/>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3.03iii</w:t>
            </w:r>
          </w:p>
        </w:tc>
        <w:tc>
          <w:tcPr>
            <w:tcW w:w="3260" w:type="dxa"/>
            <w:shd w:val="clear" w:color="auto" w:fill="auto"/>
            <w:vAlign w:val="center"/>
          </w:tcPr>
          <w:p w:rsidR="002A0917" w:rsidRPr="00EA38EE" w:rsidRDefault="002A0917" w:rsidP="009F22A0">
            <w:pPr>
              <w:rPr>
                <w:rFonts w:ascii="Calibri" w:hAnsi="Calibri"/>
                <w:color w:val="000000"/>
                <w:sz w:val="22"/>
                <w:szCs w:val="22"/>
              </w:rPr>
            </w:pPr>
            <w:proofErr w:type="spellStart"/>
            <w:r w:rsidRPr="00EA38EE">
              <w:rPr>
                <w:rFonts w:ascii="Calibri" w:hAnsi="Calibri"/>
                <w:sz w:val="22"/>
                <w:szCs w:val="22"/>
              </w:rPr>
              <w:t>Dtap</w:t>
            </w:r>
            <w:proofErr w:type="spellEnd"/>
            <w:r w:rsidRPr="00EA38EE">
              <w:rPr>
                <w:rFonts w:ascii="Calibri" w:hAnsi="Calibri"/>
                <w:sz w:val="22"/>
                <w:szCs w:val="22"/>
              </w:rPr>
              <w:t>/IPV/</w:t>
            </w:r>
            <w:proofErr w:type="spellStart"/>
            <w:r w:rsidRPr="00EA38EE">
              <w:rPr>
                <w:rFonts w:ascii="Calibri" w:hAnsi="Calibri"/>
                <w:sz w:val="22"/>
                <w:szCs w:val="22"/>
              </w:rPr>
              <w:t>Hib</w:t>
            </w:r>
            <w:proofErr w:type="spellEnd"/>
            <w:r w:rsidRPr="00EA38EE">
              <w:rPr>
                <w:rFonts w:ascii="Calibri" w:hAnsi="Calibri"/>
                <w:sz w:val="22"/>
                <w:szCs w:val="22"/>
              </w:rPr>
              <w:t xml:space="preserve"> vaccination (12 Months)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3.03iii</w:t>
            </w:r>
          </w:p>
        </w:tc>
        <w:tc>
          <w:tcPr>
            <w:tcW w:w="3260" w:type="dxa"/>
            <w:shd w:val="clear" w:color="auto" w:fill="auto"/>
            <w:vAlign w:val="center"/>
          </w:tcPr>
          <w:p w:rsidR="002A0917" w:rsidRPr="00EA38EE" w:rsidRDefault="002A0917" w:rsidP="009F22A0">
            <w:pPr>
              <w:rPr>
                <w:rFonts w:ascii="Calibri" w:hAnsi="Calibri"/>
                <w:sz w:val="22"/>
                <w:szCs w:val="22"/>
              </w:rPr>
            </w:pPr>
            <w:proofErr w:type="spellStart"/>
            <w:r w:rsidRPr="00EA38EE">
              <w:rPr>
                <w:rFonts w:ascii="Calibri" w:hAnsi="Calibri"/>
                <w:sz w:val="22"/>
                <w:szCs w:val="22"/>
              </w:rPr>
              <w:t>Dtap</w:t>
            </w:r>
            <w:proofErr w:type="spellEnd"/>
            <w:r w:rsidRPr="00EA38EE">
              <w:rPr>
                <w:rFonts w:ascii="Calibri" w:hAnsi="Calibri"/>
                <w:sz w:val="22"/>
                <w:szCs w:val="22"/>
              </w:rPr>
              <w:t>/IPV/</w:t>
            </w:r>
            <w:proofErr w:type="spellStart"/>
            <w:r w:rsidRPr="00EA38EE">
              <w:rPr>
                <w:rFonts w:ascii="Calibri" w:hAnsi="Calibri"/>
                <w:sz w:val="22"/>
                <w:szCs w:val="22"/>
              </w:rPr>
              <w:t>Hib</w:t>
            </w:r>
            <w:proofErr w:type="spellEnd"/>
            <w:r w:rsidRPr="00EA38EE">
              <w:rPr>
                <w:rFonts w:ascii="Calibri" w:hAnsi="Calibri"/>
                <w:sz w:val="22"/>
                <w:szCs w:val="22"/>
              </w:rPr>
              <w:t xml:space="preserve"> vaccination (24 Months)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3.03iv</w:t>
            </w:r>
          </w:p>
        </w:tc>
        <w:tc>
          <w:tcPr>
            <w:tcW w:w="3260" w:type="dxa"/>
            <w:shd w:val="clear" w:color="auto" w:fill="auto"/>
            <w:vAlign w:val="center"/>
          </w:tcPr>
          <w:p w:rsidR="002A0917" w:rsidRPr="00EA38EE" w:rsidRDefault="002A0917" w:rsidP="009F22A0">
            <w:pPr>
              <w:rPr>
                <w:rFonts w:ascii="Calibri" w:hAnsi="Calibri"/>
                <w:sz w:val="22"/>
                <w:szCs w:val="22"/>
              </w:rPr>
            </w:pPr>
            <w:proofErr w:type="spellStart"/>
            <w:r w:rsidRPr="00EA38EE">
              <w:rPr>
                <w:rFonts w:ascii="Calibri" w:hAnsi="Calibri"/>
                <w:sz w:val="22"/>
                <w:szCs w:val="22"/>
              </w:rPr>
              <w:t>MenC</w:t>
            </w:r>
            <w:proofErr w:type="spellEnd"/>
            <w:r w:rsidRPr="00EA38EE">
              <w:rPr>
                <w:rFonts w:ascii="Calibri" w:hAnsi="Calibri"/>
                <w:sz w:val="22"/>
                <w:szCs w:val="22"/>
              </w:rPr>
              <w:t xml:space="preserve"> vaccination coverage</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3.03v</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PCV vaccination coverage</w:t>
            </w:r>
          </w:p>
          <w:p w:rsidR="002A0917" w:rsidRPr="00EA38EE" w:rsidRDefault="002A0917" w:rsidP="009F22A0">
            <w:pPr>
              <w:rPr>
                <w:rFonts w:ascii="Calibri" w:hAnsi="Calibri"/>
                <w:sz w:val="22"/>
                <w:szCs w:val="22"/>
              </w:rPr>
            </w:pP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3.03vi</w:t>
            </w:r>
          </w:p>
        </w:tc>
        <w:tc>
          <w:tcPr>
            <w:tcW w:w="3260" w:type="dxa"/>
            <w:shd w:val="clear" w:color="auto" w:fill="auto"/>
            <w:vAlign w:val="center"/>
          </w:tcPr>
          <w:p w:rsidR="002A0917" w:rsidRPr="00EA38EE" w:rsidRDefault="002A0917" w:rsidP="009F22A0">
            <w:pPr>
              <w:rPr>
                <w:rFonts w:ascii="Calibri" w:hAnsi="Calibri"/>
                <w:sz w:val="22"/>
                <w:szCs w:val="22"/>
              </w:rPr>
            </w:pPr>
            <w:proofErr w:type="spellStart"/>
            <w:r w:rsidRPr="00EA38EE">
              <w:rPr>
                <w:rFonts w:ascii="Calibri" w:hAnsi="Calibri"/>
                <w:sz w:val="22"/>
                <w:szCs w:val="22"/>
              </w:rPr>
              <w:t>Hib</w:t>
            </w:r>
            <w:proofErr w:type="spellEnd"/>
            <w:r w:rsidRPr="00EA38EE">
              <w:rPr>
                <w:rFonts w:ascii="Calibri" w:hAnsi="Calibri"/>
                <w:sz w:val="22"/>
                <w:szCs w:val="22"/>
              </w:rPr>
              <w:t>/</w:t>
            </w:r>
            <w:proofErr w:type="spellStart"/>
            <w:r w:rsidRPr="00EA38EE">
              <w:rPr>
                <w:rFonts w:ascii="Calibri" w:hAnsi="Calibri"/>
                <w:sz w:val="22"/>
                <w:szCs w:val="22"/>
              </w:rPr>
              <w:t>MenC</w:t>
            </w:r>
            <w:proofErr w:type="spellEnd"/>
            <w:r w:rsidRPr="00EA38EE">
              <w:rPr>
                <w:rFonts w:ascii="Calibri" w:hAnsi="Calibri"/>
                <w:sz w:val="22"/>
                <w:szCs w:val="22"/>
              </w:rPr>
              <w:t xml:space="preserve"> booster vaccination coverage (2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3.03vi</w:t>
            </w:r>
          </w:p>
        </w:tc>
        <w:tc>
          <w:tcPr>
            <w:tcW w:w="3260" w:type="dxa"/>
            <w:shd w:val="clear" w:color="auto" w:fill="auto"/>
            <w:vAlign w:val="center"/>
          </w:tcPr>
          <w:p w:rsidR="002A0917" w:rsidRPr="00EA38EE" w:rsidRDefault="002A0917" w:rsidP="009F22A0">
            <w:pPr>
              <w:rPr>
                <w:rFonts w:ascii="Calibri" w:hAnsi="Calibri"/>
                <w:color w:val="000000"/>
                <w:sz w:val="22"/>
                <w:szCs w:val="22"/>
              </w:rPr>
            </w:pPr>
            <w:proofErr w:type="spellStart"/>
            <w:r w:rsidRPr="00EA38EE">
              <w:rPr>
                <w:rFonts w:ascii="Calibri" w:hAnsi="Calibri"/>
                <w:sz w:val="22"/>
                <w:szCs w:val="22"/>
              </w:rPr>
              <w:t>Hib</w:t>
            </w:r>
            <w:proofErr w:type="spellEnd"/>
            <w:r w:rsidRPr="00EA38EE">
              <w:rPr>
                <w:rFonts w:ascii="Calibri" w:hAnsi="Calibri"/>
                <w:sz w:val="22"/>
                <w:szCs w:val="22"/>
              </w:rPr>
              <w:t>/</w:t>
            </w:r>
            <w:proofErr w:type="spellStart"/>
            <w:r w:rsidRPr="00EA38EE">
              <w:rPr>
                <w:rFonts w:ascii="Calibri" w:hAnsi="Calibri"/>
                <w:sz w:val="22"/>
                <w:szCs w:val="22"/>
              </w:rPr>
              <w:t>MenC</w:t>
            </w:r>
            <w:proofErr w:type="spellEnd"/>
            <w:r w:rsidRPr="00EA38EE">
              <w:rPr>
                <w:rFonts w:ascii="Calibri" w:hAnsi="Calibri"/>
                <w:sz w:val="22"/>
                <w:szCs w:val="22"/>
              </w:rPr>
              <w:t xml:space="preserve"> booster vaccination coverage (5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3.03vii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PCV booster vaccination coverage</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3.03viii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MMR vaccination coverage (2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3.03ix</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MMR vaccination coverage one dose (5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3.03x</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MMR vaccination coverage two doses (5 years)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3.03xii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HPV vaccination coverage</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3.03xiii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PPV vaccination coverage</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3.03xiv</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Flu vaccination coverage (over 65s)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3.03xv</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Flu vaccination coverage (at risk individuals)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2012/13</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revised data for 2010/11 and 2011/12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3.04</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People presenting with HIV at a late stage of infection</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3.04</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color w:val="000000"/>
                <w:sz w:val="22"/>
                <w:szCs w:val="22"/>
              </w:rPr>
              <w:t>People presenting with HIV at a late stage of infection</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2010/11) and breakdowns by age, ethnicity, deprivation and sexual orientation</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Yes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3.05</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Treatment completion for tuberculosis (TB)</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3.05ii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Incidence of TB</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2009-11</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Revised baseline data to take account of population revisions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4.03</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Mortality from causes considered preventable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t>4.03</w:t>
            </w:r>
          </w:p>
        </w:tc>
        <w:tc>
          <w:tcPr>
            <w:tcW w:w="3260" w:type="dxa"/>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sz w:val="22"/>
                <w:szCs w:val="22"/>
              </w:rPr>
              <w:t>Mortality rate from causes considered preventable - Persons</w:t>
            </w:r>
          </w:p>
        </w:tc>
        <w:tc>
          <w:tcPr>
            <w:tcW w:w="1134" w:type="dxa"/>
          </w:tcPr>
          <w:p w:rsidR="002A0917" w:rsidRPr="00EA38EE" w:rsidRDefault="002A0917" w:rsidP="009F22A0">
            <w:pPr>
              <w:rPr>
                <w:rFonts w:ascii="Calibri" w:hAnsi="Calibri"/>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sz w:val="22"/>
                <w:szCs w:val="22"/>
              </w:rPr>
            </w:pPr>
            <w:r w:rsidRPr="00EA38EE">
              <w:rPr>
                <w:rFonts w:ascii="Calibri" w:hAnsi="Calibri"/>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4.03</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Mortality rate from causes considered preventable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4.03</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Mortality rate from causes considered preventable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4.04</w:t>
            </w:r>
          </w:p>
        </w:tc>
        <w:tc>
          <w:tcPr>
            <w:tcW w:w="9072" w:type="dxa"/>
            <w:gridSpan w:val="4"/>
            <w:shd w:val="clear" w:color="auto" w:fill="auto"/>
            <w:vAlign w:val="center"/>
          </w:tcPr>
          <w:p w:rsidR="002A0917" w:rsidRPr="00EA38EE" w:rsidRDefault="002A0917" w:rsidP="009F22A0">
            <w:pPr>
              <w:rPr>
                <w:rFonts w:ascii="Calibri" w:hAnsi="Calibri"/>
                <w:b/>
                <w:color w:val="000000"/>
                <w:sz w:val="22"/>
                <w:szCs w:val="22"/>
              </w:rPr>
            </w:pPr>
            <w:r w:rsidRPr="00EA38EE">
              <w:rPr>
                <w:rFonts w:ascii="Calibri" w:hAnsi="Calibri"/>
                <w:b/>
                <w:color w:val="000000"/>
                <w:sz w:val="22"/>
                <w:szCs w:val="22"/>
              </w:rPr>
              <w:t>U-75 mortality from cardiovascular disease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4.04i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all cardiovascular disease - Persons</w:t>
            </w:r>
            <w:r w:rsidRPr="00EA38EE">
              <w:rPr>
                <w:rFonts w:ascii="Calibri" w:hAnsi="Calibri"/>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4.04i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all cardiovascular disease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4.04i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all cardiovascular disease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4.04ii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all cardiovascular disease considered preventable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Updated data (baseline 2009-11) and revised data for 2009-11 to take account of population revisions, </w:t>
            </w:r>
            <w:r w:rsidRPr="00EA38EE">
              <w:rPr>
                <w:rFonts w:ascii="Calibri" w:hAnsi="Calibri"/>
                <w:color w:val="000000"/>
                <w:sz w:val="22"/>
                <w:szCs w:val="22"/>
              </w:rPr>
              <w:lastRenderedPageBreak/>
              <w:t>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4.04ii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all cardiovascular disease considered preventable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4.04ii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U-75 mortality rate from all cardiovascular disease considered preventable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4.05</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U-75 mortality from cancer</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cancer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cancer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cancer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cancer considered preventable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cancer considered preventable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4.05ii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U-75 mortality rate from cancer considered preventable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4.06</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U-75 mortality from liver disease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4.06i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Updated data (baseline 2009-11) and revised data for 2009-11 to take account of </w:t>
            </w:r>
            <w:r w:rsidRPr="00EA38EE">
              <w:rPr>
                <w:rFonts w:ascii="Calibri" w:hAnsi="Calibri"/>
                <w:color w:val="000000"/>
                <w:sz w:val="22"/>
                <w:szCs w:val="22"/>
              </w:rPr>
              <w:lastRenderedPageBreak/>
              <w:t>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4.06i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4.06i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4.06ii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considered preventable - Persons</w:t>
            </w:r>
            <w:r w:rsidRPr="00EA38EE">
              <w:rPr>
                <w:rFonts w:ascii="Calibri" w:hAnsi="Calibri"/>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4.06ii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considered preventable - Males</w:t>
            </w:r>
            <w:r w:rsidRPr="00EA38EE">
              <w:rPr>
                <w:rFonts w:ascii="Calibri" w:hAnsi="Calibri"/>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4.06ii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liver disease considered preventable - Females</w:t>
            </w:r>
            <w:r w:rsidRPr="00EA38EE">
              <w:rPr>
                <w:rFonts w:ascii="Calibri" w:hAnsi="Calibri"/>
                <w:sz w:val="22"/>
                <w:szCs w:val="22"/>
              </w:rPr>
              <w:tab/>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4.07</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U-75 mortality from respiratory disease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4.07i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respiratory disease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4.07i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respiratory disease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4.07i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respiratory disease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4.07ii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respiratory disease considered preventable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Updated data (baseline 2009-11) and revised data for 2009-11 to take account of </w:t>
            </w:r>
            <w:r w:rsidRPr="00EA38EE">
              <w:rPr>
                <w:rFonts w:ascii="Calibri" w:hAnsi="Calibri"/>
                <w:color w:val="000000"/>
                <w:sz w:val="22"/>
                <w:szCs w:val="22"/>
              </w:rPr>
              <w:lastRenderedPageBreak/>
              <w:t>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4.07ii</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respiratory disease considered preventable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4.07ii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U-75 mortality rate from respiratory disease considered preventable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4.08</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U-75 mortality from communicable diseases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4.08</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communicable diseases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4.08</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U-75 mortality rate from communicable diseases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4.08</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U-75 mortality rate from communicable diseases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4.10</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Suicide rate</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4.10</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Suicide rate - Persons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Updated data (baseline 2009-11) and revised data for 2009-11 to take account of population revisions, ICD coding changes and the new European Standard Population; addition of pre-baseline trend data</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4.10</w:t>
            </w:r>
          </w:p>
        </w:tc>
        <w:tc>
          <w:tcPr>
            <w:tcW w:w="3260" w:type="dxa"/>
            <w:shd w:val="clear" w:color="auto" w:fill="auto"/>
            <w:vAlign w:val="center"/>
          </w:tcPr>
          <w:p w:rsidR="002A0917" w:rsidRPr="00EA38EE" w:rsidRDefault="002A0917" w:rsidP="009F22A0">
            <w:pPr>
              <w:rPr>
                <w:rFonts w:ascii="Calibri" w:hAnsi="Calibri"/>
                <w:sz w:val="22"/>
                <w:szCs w:val="22"/>
              </w:rPr>
            </w:pPr>
            <w:r w:rsidRPr="00EA38EE">
              <w:rPr>
                <w:rFonts w:ascii="Calibri" w:hAnsi="Calibri"/>
                <w:sz w:val="22"/>
                <w:szCs w:val="22"/>
              </w:rPr>
              <w:t>Suicide rate – 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4.10</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sz w:val="22"/>
                <w:szCs w:val="22"/>
              </w:rPr>
              <w:t>Suicide rate - Females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2001-03 – 2010-12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Addition of data for females to match the series for persons</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4.15</w:t>
            </w:r>
          </w:p>
        </w:tc>
        <w:tc>
          <w:tcPr>
            <w:tcW w:w="9072" w:type="dxa"/>
            <w:gridSpan w:val="4"/>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b/>
                <w:color w:val="000000"/>
                <w:sz w:val="22"/>
                <w:szCs w:val="22"/>
              </w:rPr>
              <w:t>Excess Winter Deaths</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4.15i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Excess Winter Deaths Index (single year, all ages)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2011/12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Updated data (baseline 2010/11) </w:t>
            </w:r>
            <w:r w:rsidRPr="00EA38EE">
              <w:rPr>
                <w:rFonts w:ascii="Calibri" w:hAnsi="Calibri"/>
                <w:color w:val="000000"/>
                <w:sz w:val="22"/>
                <w:szCs w:val="22"/>
              </w:rPr>
              <w:lastRenderedPageBreak/>
              <w:t>and pre-baseline trend data for 2006/7 to 2009/10</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lastRenderedPageBreak/>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b/>
                <w:color w:val="000000"/>
                <w:sz w:val="22"/>
                <w:szCs w:val="22"/>
              </w:rPr>
            </w:pPr>
            <w:r w:rsidRPr="00EA38EE">
              <w:rPr>
                <w:rFonts w:ascii="Calibri" w:hAnsi="Calibri"/>
                <w:color w:val="000000"/>
                <w:sz w:val="22"/>
                <w:szCs w:val="22"/>
              </w:rPr>
              <w:lastRenderedPageBreak/>
              <w:t>4.15ii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Excess Winter Deaths Index (single year, age 85+)</w:t>
            </w:r>
          </w:p>
        </w:tc>
        <w:tc>
          <w:tcPr>
            <w:tcW w:w="1134" w:type="dxa"/>
          </w:tcPr>
          <w:p w:rsidR="002A0917" w:rsidRPr="00EA38EE" w:rsidRDefault="002A0917" w:rsidP="009F22A0">
            <w:pPr>
              <w:rPr>
                <w:rFonts w:ascii="Calibri" w:hAnsi="Calibri"/>
                <w:sz w:val="22"/>
                <w:szCs w:val="22"/>
              </w:rPr>
            </w:pPr>
            <w:r w:rsidRPr="00EA38EE">
              <w:rPr>
                <w:rFonts w:ascii="Calibri" w:hAnsi="Calibri"/>
                <w:color w:val="000000"/>
                <w:sz w:val="22"/>
                <w:szCs w:val="22"/>
              </w:rPr>
              <w:t>2011/12</w:t>
            </w:r>
          </w:p>
        </w:tc>
        <w:tc>
          <w:tcPr>
            <w:tcW w:w="2268" w:type="dxa"/>
          </w:tcPr>
          <w:p w:rsidR="002A0917" w:rsidRPr="00EA38EE" w:rsidRDefault="002A0917" w:rsidP="009F22A0">
            <w:pPr>
              <w:rPr>
                <w:rFonts w:ascii="Calibri" w:hAnsi="Calibri"/>
                <w:sz w:val="22"/>
                <w:szCs w:val="22"/>
              </w:rPr>
            </w:pPr>
            <w:r w:rsidRPr="00EA38EE">
              <w:rPr>
                <w:rFonts w:ascii="Calibri" w:hAnsi="Calibri"/>
                <w:color w:val="000000"/>
                <w:sz w:val="22"/>
                <w:szCs w:val="22"/>
              </w:rPr>
              <w:t>Updated data (baseline 2010/11) and pre-baseline trend data for 2006/7 to 2009/10</w:t>
            </w:r>
          </w:p>
        </w:tc>
        <w:tc>
          <w:tcPr>
            <w:tcW w:w="2410" w:type="dxa"/>
          </w:tcPr>
          <w:p w:rsidR="002A0917" w:rsidRPr="00EA38EE" w:rsidRDefault="002A0917" w:rsidP="009F22A0">
            <w:pPr>
              <w:rPr>
                <w:rFonts w:ascii="Calibri" w:hAnsi="Calibri"/>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4.15iii</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Excess Winter Deaths Index (three years aggregated, all ages)</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2009-12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 xml:space="preserve">New Baseline and pre-baseline trend data for 2006-9 to 2008-11 </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r w:rsidR="002A0917" w:rsidRPr="00CC55CC" w:rsidTr="009F22A0">
        <w:tblPrEx>
          <w:tblLook w:val="04A0" w:firstRow="1" w:lastRow="0" w:firstColumn="1" w:lastColumn="0" w:noHBand="0" w:noVBand="1"/>
        </w:tblPrEx>
        <w:trPr>
          <w:trHeight w:val="300"/>
        </w:trPr>
        <w:tc>
          <w:tcPr>
            <w:tcW w:w="1135" w:type="dxa"/>
            <w:shd w:val="clear" w:color="auto" w:fill="auto"/>
            <w:noWrap/>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4.15iv</w:t>
            </w:r>
          </w:p>
        </w:tc>
        <w:tc>
          <w:tcPr>
            <w:tcW w:w="3260" w:type="dxa"/>
            <w:shd w:val="clear" w:color="auto" w:fill="auto"/>
            <w:vAlign w:val="center"/>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Excess Winter Deaths Index (three years aggregated, age 85+)</w:t>
            </w:r>
          </w:p>
        </w:tc>
        <w:tc>
          <w:tcPr>
            <w:tcW w:w="1134"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2009-12</w:t>
            </w:r>
          </w:p>
        </w:tc>
        <w:tc>
          <w:tcPr>
            <w:tcW w:w="2268"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New Baseline and pre-baseline trend data for 2006-9 to 2008-11</w:t>
            </w:r>
          </w:p>
        </w:tc>
        <w:tc>
          <w:tcPr>
            <w:tcW w:w="2410" w:type="dxa"/>
          </w:tcPr>
          <w:p w:rsidR="002A0917" w:rsidRPr="00EA38EE" w:rsidRDefault="002A0917" w:rsidP="009F22A0">
            <w:pPr>
              <w:rPr>
                <w:rFonts w:ascii="Calibri" w:hAnsi="Calibri"/>
                <w:color w:val="000000"/>
                <w:sz w:val="22"/>
                <w:szCs w:val="22"/>
              </w:rPr>
            </w:pPr>
            <w:r w:rsidRPr="00EA38EE">
              <w:rPr>
                <w:rFonts w:ascii="Calibri" w:hAnsi="Calibri"/>
                <w:color w:val="000000"/>
                <w:sz w:val="22"/>
                <w:szCs w:val="22"/>
              </w:rPr>
              <w:t>No</w:t>
            </w:r>
          </w:p>
        </w:tc>
      </w:tr>
    </w:tbl>
    <w:p w:rsidR="002A0917" w:rsidRDefault="002A0917" w:rsidP="002A0917">
      <w:pPr>
        <w:rPr>
          <w:sz w:val="22"/>
          <w:szCs w:val="22"/>
        </w:rPr>
      </w:pPr>
    </w:p>
    <w:p w:rsidR="002A0917" w:rsidRDefault="002A0917" w:rsidP="002A0917">
      <w:pPr>
        <w:rPr>
          <w:sz w:val="22"/>
          <w:szCs w:val="22"/>
        </w:rPr>
      </w:pPr>
    </w:p>
    <w:p w:rsidR="002A0917" w:rsidRDefault="002A0917" w:rsidP="002A0917">
      <w:pPr>
        <w:rPr>
          <w:sz w:val="22"/>
          <w:szCs w:val="22"/>
        </w:rPr>
      </w:pPr>
      <w:r>
        <w:rPr>
          <w:sz w:val="22"/>
          <w:szCs w:val="22"/>
        </w:rPr>
        <w:t xml:space="preserve">Note: Three interim policy updates have been published since the original </w:t>
      </w:r>
      <w:r w:rsidRPr="00054EBE">
        <w:rPr>
          <w:sz w:val="22"/>
          <w:szCs w:val="22"/>
        </w:rPr>
        <w:t>‘Summary technical specifications of Public Health indicators’ (Part 2)</w:t>
      </w:r>
      <w:r>
        <w:rPr>
          <w:sz w:val="22"/>
          <w:szCs w:val="22"/>
        </w:rPr>
        <w:t xml:space="preserve"> was produced in November 2012. The latest update, combining all changes to date, was published in November 2013. To view these policy changes please see the PHOF policy page:</w:t>
      </w:r>
    </w:p>
    <w:p w:rsidR="002A0917" w:rsidRDefault="002A0917" w:rsidP="002A0917">
      <w:pPr>
        <w:rPr>
          <w:sz w:val="22"/>
          <w:szCs w:val="22"/>
        </w:rPr>
      </w:pPr>
    </w:p>
    <w:p w:rsidR="002A0917" w:rsidRPr="00054EBE" w:rsidRDefault="00E21743" w:rsidP="002A0917">
      <w:pPr>
        <w:rPr>
          <w:sz w:val="22"/>
          <w:szCs w:val="22"/>
        </w:rPr>
      </w:pPr>
      <w:hyperlink r:id="rId6" w:history="1">
        <w:r w:rsidR="002A0917" w:rsidRPr="00054EBE">
          <w:rPr>
            <w:rStyle w:val="Hyperlink"/>
            <w:sz w:val="22"/>
            <w:szCs w:val="22"/>
          </w:rPr>
          <w:t>https://www.gov.uk/government/publications/healthy-lives-healthy-people-improving-outcomes-and-supporting-transparency</w:t>
        </w:r>
      </w:hyperlink>
    </w:p>
    <w:p w:rsidR="002A0917" w:rsidRDefault="002A0917" w:rsidP="002A0917">
      <w:pPr>
        <w:rPr>
          <w:sz w:val="22"/>
          <w:szCs w:val="22"/>
        </w:rPr>
      </w:pPr>
    </w:p>
    <w:p w:rsidR="002A0917" w:rsidRPr="00054EBE" w:rsidRDefault="002A0917" w:rsidP="002A0917">
      <w:pPr>
        <w:rPr>
          <w:sz w:val="22"/>
          <w:szCs w:val="22"/>
        </w:rPr>
      </w:pPr>
      <w:r>
        <w:rPr>
          <w:sz w:val="22"/>
          <w:szCs w:val="22"/>
        </w:rPr>
        <w:t>Note: More details on the indicators and their sources can be found in the definitions tab of each indicator in the Public Health Outcomes Framework data tool (</w:t>
      </w:r>
      <w:hyperlink r:id="rId7" w:history="1">
        <w:r w:rsidR="00045E50" w:rsidRPr="002A768F">
          <w:rPr>
            <w:rStyle w:val="Hyperlink"/>
            <w:sz w:val="22"/>
            <w:szCs w:val="22"/>
          </w:rPr>
          <w:t>www.phoutcomes.info</w:t>
        </w:r>
      </w:hyperlink>
      <w:r>
        <w:rPr>
          <w:sz w:val="22"/>
          <w:szCs w:val="22"/>
        </w:rPr>
        <w:t>).</w:t>
      </w:r>
    </w:p>
    <w:p w:rsidR="00464392" w:rsidRDefault="00E21743"/>
    <w:sectPr w:rsidR="00464392" w:rsidSect="00CD53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17"/>
    <w:rsid w:val="00045E50"/>
    <w:rsid w:val="000E559B"/>
    <w:rsid w:val="002A0917"/>
    <w:rsid w:val="00631DF9"/>
    <w:rsid w:val="00A57844"/>
    <w:rsid w:val="00B42068"/>
    <w:rsid w:val="00C9391E"/>
    <w:rsid w:val="00CD53AB"/>
    <w:rsid w:val="00E21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17"/>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17"/>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0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utcomes.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healthy-lives-healthy-people-improving-outcomes-and-supporting-transparency" TargetMode="External"/><Relationship Id="rId5" Type="http://schemas.openxmlformats.org/officeDocument/2006/relationships/hyperlink" Target="http://www.phoutcome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Public Health Outcomes Framework data update: indicators updated 4 February 2014 </vt:lpstr>
    </vt:vector>
  </TitlesOfParts>
  <Company>Public Health England</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Outcomes Framework data update: indicators updated 4 February 2014 </dc:title>
  <dc:subject>Public Health Outcomes Framework data</dc:subject>
  <dc:creator>Public Health England</dc:creator>
  <cp:lastModifiedBy>Sheila Nicdao</cp:lastModifiedBy>
  <cp:revision>3</cp:revision>
  <dcterms:created xsi:type="dcterms:W3CDTF">2014-02-03T11:22:00Z</dcterms:created>
  <dcterms:modified xsi:type="dcterms:W3CDTF">2014-02-03T11:28:00Z</dcterms:modified>
</cp:coreProperties>
</file>