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75" w:rsidRPr="000559DE" w:rsidRDefault="00EF20CC" w:rsidP="00861F75">
      <w:pPr>
        <w:pStyle w:val="Heading2"/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i w:val="0"/>
        </w:rPr>
        <w:t xml:space="preserve">                            </w:t>
      </w:r>
      <w:r w:rsidR="00861F75" w:rsidRPr="000559DE">
        <w:rPr>
          <w:rFonts w:asciiTheme="minorHAnsi" w:hAnsiTheme="minorHAnsi"/>
          <w:u w:val="single"/>
        </w:rPr>
        <w:t>H</w:t>
      </w:r>
      <w:r>
        <w:rPr>
          <w:rFonts w:asciiTheme="minorHAnsi" w:hAnsiTheme="minorHAnsi"/>
          <w:u w:val="single"/>
        </w:rPr>
        <w:t xml:space="preserve">uman </w:t>
      </w:r>
      <w:r w:rsidR="00861F75" w:rsidRPr="000559DE">
        <w:rPr>
          <w:rFonts w:asciiTheme="minorHAnsi" w:hAnsiTheme="minorHAnsi"/>
          <w:u w:val="single"/>
        </w:rPr>
        <w:t>R</w:t>
      </w:r>
      <w:r>
        <w:rPr>
          <w:rFonts w:asciiTheme="minorHAnsi" w:hAnsiTheme="minorHAnsi"/>
          <w:u w:val="single"/>
        </w:rPr>
        <w:t xml:space="preserve">ights and </w:t>
      </w:r>
      <w:r w:rsidR="00861F75" w:rsidRPr="000559DE">
        <w:rPr>
          <w:rFonts w:asciiTheme="minorHAnsi" w:hAnsiTheme="minorHAnsi"/>
          <w:u w:val="single"/>
        </w:rPr>
        <w:t>D</w:t>
      </w:r>
      <w:r>
        <w:rPr>
          <w:rFonts w:asciiTheme="minorHAnsi" w:hAnsiTheme="minorHAnsi"/>
          <w:u w:val="single"/>
        </w:rPr>
        <w:t>emocracy</w:t>
      </w:r>
      <w:r w:rsidR="00861F75" w:rsidRPr="000559DE">
        <w:rPr>
          <w:rFonts w:asciiTheme="minorHAnsi" w:hAnsiTheme="minorHAnsi"/>
          <w:u w:val="single"/>
        </w:rPr>
        <w:t xml:space="preserve"> Fund Priorities Guide</w:t>
      </w:r>
    </w:p>
    <w:p w:rsidR="00861F75" w:rsidRDefault="00861F75" w:rsidP="00861F75">
      <w:pPr>
        <w:pStyle w:val="Heading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EF20CC" w:rsidRPr="00EF20CC" w:rsidRDefault="00EF20CC" w:rsidP="00EF20CC">
      <w:pPr>
        <w:tabs>
          <w:tab w:val="left" w:pos="3690"/>
        </w:tabs>
        <w:rPr>
          <w:b/>
        </w:rPr>
      </w:pPr>
      <w:r>
        <w:tab/>
        <w:t xml:space="preserve">             </w:t>
      </w:r>
      <w:r w:rsidRPr="00EF20CC">
        <w:rPr>
          <w:b/>
        </w:rPr>
        <w:t xml:space="preserve">Mexico      </w:t>
      </w:r>
    </w:p>
    <w:p w:rsidR="00EF20CC" w:rsidRPr="00EF20CC" w:rsidRDefault="00EF20CC" w:rsidP="00EF20CC">
      <w:pPr>
        <w:tabs>
          <w:tab w:val="left" w:pos="3690"/>
        </w:tabs>
      </w:pPr>
      <w:r>
        <w:t xml:space="preserve">                                                                                     2014-1015</w:t>
      </w:r>
    </w:p>
    <w:p w:rsidR="00EF20CC" w:rsidRDefault="00EF20CC" w:rsidP="00861F75">
      <w:pPr>
        <w:pStyle w:val="Heading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EF20CC" w:rsidRPr="00EF20CC" w:rsidRDefault="00861F75" w:rsidP="00EF20CC">
      <w:pPr>
        <w:pStyle w:val="Heading2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559DE">
        <w:rPr>
          <w:rFonts w:asciiTheme="minorHAnsi" w:hAnsiTheme="minorHAnsi"/>
          <w:sz w:val="22"/>
          <w:szCs w:val="22"/>
        </w:rPr>
        <w:t xml:space="preserve">Freedom of Expression </w:t>
      </w:r>
    </w:p>
    <w:p w:rsidR="00861F75" w:rsidRPr="000559DE" w:rsidRDefault="00861F75" w:rsidP="00861F75">
      <w:pPr>
        <w:spacing w:after="0" w:line="240" w:lineRule="auto"/>
        <w:rPr>
          <w:rFonts w:asciiTheme="minorHAnsi" w:hAnsiTheme="minorHAnsi" w:cs="Arial"/>
        </w:rPr>
      </w:pPr>
    </w:p>
    <w:tbl>
      <w:tblPr>
        <w:tblW w:w="968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229"/>
        <w:gridCol w:w="6457"/>
      </w:tblGrid>
      <w:tr w:rsidR="00861F75" w:rsidRPr="000559DE" w:rsidTr="00EF20CC">
        <w:trPr>
          <w:cantSplit/>
          <w:trHeight w:val="260"/>
        </w:trPr>
        <w:tc>
          <w:tcPr>
            <w:tcW w:w="3229" w:type="dxa"/>
            <w:tcBorders>
              <w:bottom w:val="nil"/>
            </w:tcBorders>
          </w:tcPr>
          <w:p w:rsidR="00861F75" w:rsidRPr="000559DE" w:rsidRDefault="00861F75" w:rsidP="00CC410F">
            <w:pPr>
              <w:spacing w:after="0" w:line="240" w:lineRule="auto"/>
              <w:ind w:right="-72"/>
              <w:rPr>
                <w:rFonts w:asciiTheme="minorHAnsi" w:hAnsiTheme="minorHAnsi" w:cs="Arial"/>
                <w:b/>
              </w:rPr>
            </w:pPr>
            <w:r w:rsidRPr="000559DE">
              <w:rPr>
                <w:rFonts w:asciiTheme="minorHAnsi" w:hAnsiTheme="minorHAnsi" w:cs="Arial"/>
                <w:b/>
              </w:rPr>
              <w:t xml:space="preserve">Objective </w:t>
            </w:r>
          </w:p>
        </w:tc>
        <w:tc>
          <w:tcPr>
            <w:tcW w:w="6457" w:type="dxa"/>
            <w:tcBorders>
              <w:bottom w:val="single" w:sz="6" w:space="0" w:color="000000"/>
            </w:tcBorders>
          </w:tcPr>
          <w:p w:rsidR="00861F75" w:rsidRPr="000559DE" w:rsidRDefault="00861F75" w:rsidP="00CC410F">
            <w:pPr>
              <w:tabs>
                <w:tab w:val="right" w:pos="4693"/>
              </w:tabs>
              <w:spacing w:after="0" w:line="240" w:lineRule="auto"/>
              <w:ind w:left="19"/>
              <w:rPr>
                <w:rFonts w:asciiTheme="minorHAnsi" w:hAnsiTheme="minorHAnsi" w:cs="Arial"/>
                <w:b/>
              </w:rPr>
            </w:pPr>
            <w:r w:rsidRPr="000559DE">
              <w:rPr>
                <w:rFonts w:asciiTheme="minorHAnsi" w:hAnsiTheme="minorHAnsi" w:cs="Arial"/>
                <w:b/>
              </w:rPr>
              <w:t xml:space="preserve">Target Areas </w:t>
            </w:r>
          </w:p>
        </w:tc>
      </w:tr>
      <w:tr w:rsidR="00861F75" w:rsidRPr="000559DE" w:rsidTr="00EF20CC">
        <w:trPr>
          <w:cantSplit/>
          <w:trHeight w:val="260"/>
        </w:trPr>
        <w:tc>
          <w:tcPr>
            <w:tcW w:w="3229" w:type="dxa"/>
            <w:vMerge w:val="restart"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559DE">
              <w:rPr>
                <w:rFonts w:asciiTheme="minorHAnsi" w:hAnsiTheme="minorHAnsi" w:cs="Arial"/>
              </w:rPr>
              <w:t xml:space="preserve">To contribute to upholding </w:t>
            </w:r>
            <w:r w:rsidRPr="000559DE">
              <w:rPr>
                <w:rFonts w:asciiTheme="minorHAnsi" w:hAnsiTheme="minorHAnsi" w:cs="Arial"/>
                <w:b/>
              </w:rPr>
              <w:t>freedom of expression</w:t>
            </w:r>
            <w:r w:rsidRPr="000559DE">
              <w:rPr>
                <w:rFonts w:asciiTheme="minorHAnsi" w:hAnsiTheme="minorHAnsi" w:cs="Arial"/>
              </w:rPr>
              <w:t xml:space="preserve"> including on the internet; </w:t>
            </w:r>
          </w:p>
          <w:p w:rsidR="00861F75" w:rsidRPr="000559DE" w:rsidRDefault="00861F75" w:rsidP="00CC410F">
            <w:pPr>
              <w:widowControl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457" w:type="dxa"/>
            <w:tcBorders>
              <w:bottom w:val="single" w:sz="6" w:space="0" w:color="000000"/>
            </w:tcBorders>
          </w:tcPr>
          <w:p w:rsidR="00861F75" w:rsidRPr="000559DE" w:rsidRDefault="00861F75" w:rsidP="00CC410F">
            <w:pPr>
              <w:tabs>
                <w:tab w:val="right" w:pos="4693"/>
              </w:tabs>
              <w:spacing w:after="0" w:line="240" w:lineRule="auto"/>
              <w:ind w:left="19"/>
              <w:rPr>
                <w:rFonts w:asciiTheme="minorHAnsi" w:hAnsiTheme="minorHAnsi" w:cs="Arial"/>
              </w:rPr>
            </w:pPr>
            <w:r w:rsidRPr="000559DE">
              <w:rPr>
                <w:rFonts w:asciiTheme="minorHAnsi" w:hAnsiTheme="minorHAnsi" w:cs="Arial"/>
              </w:rPr>
              <w:t>Bringing</w:t>
            </w:r>
            <w:r w:rsidR="00EF20CC">
              <w:rPr>
                <w:rFonts w:asciiTheme="minorHAnsi" w:hAnsiTheme="minorHAnsi" w:cs="Arial"/>
              </w:rPr>
              <w:t xml:space="preserve"> in</w:t>
            </w:r>
            <w:r w:rsidRPr="000559DE">
              <w:rPr>
                <w:rFonts w:asciiTheme="minorHAnsi" w:hAnsiTheme="minorHAnsi" w:cs="Arial"/>
              </w:rPr>
              <w:t xml:space="preserve"> legislation regulating media and the Internet, which has an impact on freedom of expression, into line with international standards.</w:t>
            </w:r>
          </w:p>
        </w:tc>
      </w:tr>
      <w:tr w:rsidR="00861F75" w:rsidRPr="000559DE" w:rsidTr="00EF20CC">
        <w:trPr>
          <w:cantSplit/>
          <w:trHeight w:val="260"/>
        </w:trPr>
        <w:tc>
          <w:tcPr>
            <w:tcW w:w="3229" w:type="dxa"/>
            <w:vMerge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457" w:type="dxa"/>
            <w:tcBorders>
              <w:bottom w:val="single" w:sz="6" w:space="0" w:color="000000"/>
            </w:tcBorders>
          </w:tcPr>
          <w:p w:rsidR="00861F75" w:rsidRPr="00B16F49" w:rsidRDefault="00861F75" w:rsidP="00CC410F">
            <w:pPr>
              <w:spacing w:after="0" w:line="240" w:lineRule="auto"/>
            </w:pPr>
            <w:r>
              <w:t>Protection to Journalists</w:t>
            </w:r>
            <w:r w:rsidR="00EF20CC">
              <w:t xml:space="preserve"> and Human Rights Defenders at risk</w:t>
            </w:r>
          </w:p>
        </w:tc>
      </w:tr>
      <w:tr w:rsidR="00EF20CC" w:rsidRPr="000559DE" w:rsidTr="00EF20CC">
        <w:trPr>
          <w:cantSplit/>
          <w:trHeight w:val="260"/>
        </w:trPr>
        <w:tc>
          <w:tcPr>
            <w:tcW w:w="3229" w:type="dxa"/>
            <w:vMerge/>
          </w:tcPr>
          <w:p w:rsidR="00EF20CC" w:rsidRPr="000559DE" w:rsidRDefault="00EF20CC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457" w:type="dxa"/>
            <w:tcBorders>
              <w:bottom w:val="single" w:sz="6" w:space="0" w:color="000000"/>
            </w:tcBorders>
          </w:tcPr>
          <w:p w:rsidR="00EF20CC" w:rsidRPr="00EF20CC" w:rsidRDefault="00EF20CC" w:rsidP="00EF20CC">
            <w:pPr>
              <w:tabs>
                <w:tab w:val="right" w:pos="4336"/>
              </w:tabs>
              <w:spacing w:after="0" w:line="240" w:lineRule="auto"/>
              <w:ind w:right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*</w:t>
            </w:r>
            <w:r w:rsidRPr="00EF20CC">
              <w:rPr>
                <w:rFonts w:asciiTheme="minorHAnsi" w:hAnsiTheme="minorHAnsi" w:cs="Arial"/>
                <w:b/>
              </w:rPr>
              <w:t xml:space="preserve">Projects that promote freedom of expression including capacity building for bloggers, journalists and others, that result in, for example, safer operating environments; greater freedom of expression </w:t>
            </w:r>
            <w:r>
              <w:rPr>
                <w:rFonts w:asciiTheme="minorHAnsi" w:hAnsiTheme="minorHAnsi" w:cs="Arial"/>
                <w:b/>
              </w:rPr>
              <w:t xml:space="preserve">of </w:t>
            </w:r>
            <w:r w:rsidRPr="00EF20CC">
              <w:rPr>
                <w:rFonts w:asciiTheme="minorHAnsi" w:hAnsiTheme="minorHAnsi" w:cs="Arial"/>
                <w:b/>
              </w:rPr>
              <w:t>legitimate viewpoints, and</w:t>
            </w:r>
            <w:r>
              <w:rPr>
                <w:rFonts w:asciiTheme="minorHAnsi" w:hAnsiTheme="minorHAnsi" w:cs="Arial"/>
                <w:b/>
              </w:rPr>
              <w:t xml:space="preserve"> which</w:t>
            </w:r>
            <w:r w:rsidRPr="00EF20CC">
              <w:rPr>
                <w:rFonts w:asciiTheme="minorHAnsi" w:hAnsiTheme="minorHAnsi" w:cs="Arial"/>
                <w:b/>
              </w:rPr>
              <w:t xml:space="preserve"> produce better quality reporting</w:t>
            </w:r>
            <w:r>
              <w:rPr>
                <w:rFonts w:asciiTheme="minorHAnsi" w:hAnsiTheme="minorHAnsi" w:cs="Arial"/>
                <w:b/>
              </w:rPr>
              <w:t>,</w:t>
            </w:r>
            <w:r w:rsidRPr="00EF20CC">
              <w:rPr>
                <w:rFonts w:asciiTheme="minorHAnsi" w:hAnsiTheme="minorHAnsi" w:cs="Arial"/>
                <w:b/>
              </w:rPr>
              <w:t xml:space="preserve"> contributing to improved transparency and accountability and the promotion of </w:t>
            </w:r>
            <w:r>
              <w:rPr>
                <w:rFonts w:asciiTheme="minorHAnsi" w:hAnsiTheme="minorHAnsi" w:cs="Arial"/>
                <w:b/>
              </w:rPr>
              <w:t xml:space="preserve">better </w:t>
            </w:r>
            <w:r w:rsidRPr="00EF20CC">
              <w:rPr>
                <w:rFonts w:asciiTheme="minorHAnsi" w:hAnsiTheme="minorHAnsi" w:cs="Arial"/>
                <w:b/>
              </w:rPr>
              <w:t>standards.</w:t>
            </w:r>
          </w:p>
        </w:tc>
      </w:tr>
    </w:tbl>
    <w:p w:rsidR="00861F75" w:rsidRPr="000559DE" w:rsidRDefault="00861F75" w:rsidP="00861F75">
      <w:pPr>
        <w:spacing w:after="0" w:line="240" w:lineRule="auto"/>
        <w:rPr>
          <w:rFonts w:asciiTheme="minorHAnsi" w:hAnsiTheme="minorHAnsi" w:cs="Arial"/>
        </w:rPr>
      </w:pPr>
    </w:p>
    <w:p w:rsidR="00861F75" w:rsidRDefault="00861F75" w:rsidP="00861F75">
      <w:pPr>
        <w:pStyle w:val="Heading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861F75" w:rsidRPr="000559DE" w:rsidRDefault="00861F75" w:rsidP="00EF20CC">
      <w:pPr>
        <w:pStyle w:val="Heading2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559DE">
        <w:rPr>
          <w:rFonts w:asciiTheme="minorHAnsi" w:hAnsiTheme="minorHAnsi"/>
          <w:sz w:val="22"/>
          <w:szCs w:val="22"/>
        </w:rPr>
        <w:t>Torture Prevention</w:t>
      </w:r>
    </w:p>
    <w:p w:rsidR="00861F75" w:rsidRPr="000559DE" w:rsidRDefault="00861F75" w:rsidP="00861F7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127"/>
        <w:gridCol w:w="7371"/>
      </w:tblGrid>
      <w:tr w:rsidR="00861F75" w:rsidRPr="000559DE" w:rsidTr="00CC410F">
        <w:trPr>
          <w:cantSplit/>
          <w:trHeight w:val="259"/>
        </w:trPr>
        <w:tc>
          <w:tcPr>
            <w:tcW w:w="2127" w:type="dxa"/>
            <w:tcBorders>
              <w:bottom w:val="nil"/>
            </w:tcBorders>
          </w:tcPr>
          <w:p w:rsidR="00861F75" w:rsidRPr="000559DE" w:rsidRDefault="00861F75" w:rsidP="00CC410F">
            <w:pPr>
              <w:spacing w:after="0" w:line="240" w:lineRule="auto"/>
              <w:ind w:right="-72"/>
              <w:rPr>
                <w:rFonts w:asciiTheme="minorHAnsi" w:hAnsiTheme="minorHAnsi" w:cs="Arial"/>
                <w:b/>
              </w:rPr>
            </w:pPr>
            <w:r w:rsidRPr="000559DE">
              <w:rPr>
                <w:rFonts w:asciiTheme="minorHAnsi" w:hAnsiTheme="minorHAnsi" w:cs="Arial"/>
                <w:b/>
              </w:rPr>
              <w:t xml:space="preserve">Objective 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</w:tcPr>
          <w:p w:rsidR="00861F75" w:rsidRPr="000559DE" w:rsidRDefault="00861F75" w:rsidP="00CC410F">
            <w:pPr>
              <w:tabs>
                <w:tab w:val="right" w:pos="4693"/>
              </w:tabs>
              <w:spacing w:after="0" w:line="240" w:lineRule="auto"/>
              <w:ind w:left="19"/>
              <w:rPr>
                <w:rFonts w:asciiTheme="minorHAnsi" w:hAnsiTheme="minorHAnsi" w:cs="Arial"/>
                <w:b/>
              </w:rPr>
            </w:pPr>
            <w:r w:rsidRPr="000559DE">
              <w:rPr>
                <w:rFonts w:asciiTheme="minorHAnsi" w:hAnsiTheme="minorHAnsi" w:cs="Arial"/>
                <w:b/>
              </w:rPr>
              <w:t xml:space="preserve">Target Areas </w:t>
            </w:r>
          </w:p>
        </w:tc>
      </w:tr>
      <w:tr w:rsidR="00861F75" w:rsidRPr="000559DE" w:rsidTr="00CC410F">
        <w:trPr>
          <w:cantSplit/>
        </w:trPr>
        <w:tc>
          <w:tcPr>
            <w:tcW w:w="2127" w:type="dxa"/>
            <w:vMerge w:val="restart"/>
          </w:tcPr>
          <w:p w:rsidR="00861F75" w:rsidRPr="000559DE" w:rsidRDefault="00861F75" w:rsidP="00EF20CC">
            <w:pPr>
              <w:spacing w:after="0" w:line="240" w:lineRule="auto"/>
              <w:rPr>
                <w:rFonts w:asciiTheme="minorHAnsi" w:hAnsiTheme="minorHAnsi" w:cs="Arial"/>
                <w:iCs/>
              </w:rPr>
            </w:pPr>
            <w:r w:rsidRPr="000559DE">
              <w:rPr>
                <w:rFonts w:asciiTheme="minorHAnsi" w:hAnsiTheme="minorHAnsi" w:cs="Arial"/>
                <w:iCs/>
              </w:rPr>
              <w:t xml:space="preserve">To contribute to international efforts to </w:t>
            </w:r>
            <w:r w:rsidR="00EF20CC">
              <w:rPr>
                <w:rFonts w:asciiTheme="minorHAnsi" w:hAnsiTheme="minorHAnsi" w:cs="Arial"/>
                <w:b/>
                <w:iCs/>
              </w:rPr>
              <w:t xml:space="preserve">prevent enforced disappearances </w:t>
            </w:r>
          </w:p>
        </w:tc>
        <w:tc>
          <w:tcPr>
            <w:tcW w:w="7371" w:type="dxa"/>
          </w:tcPr>
          <w:p w:rsidR="00861F75" w:rsidRPr="000559DE" w:rsidRDefault="00861F75" w:rsidP="0016574E">
            <w:pPr>
              <w:spacing w:after="0" w:line="240" w:lineRule="auto"/>
              <w:rPr>
                <w:rFonts w:asciiTheme="minorHAnsi" w:hAnsiTheme="minorHAnsi" w:cs="Arial"/>
                <w:snapToGrid w:val="0"/>
              </w:rPr>
            </w:pPr>
            <w:r w:rsidRPr="000559DE">
              <w:rPr>
                <w:rFonts w:asciiTheme="minorHAnsi" w:hAnsiTheme="minorHAnsi" w:cs="Arial"/>
                <w:snapToGrid w:val="0"/>
              </w:rPr>
              <w:t>Grea</w:t>
            </w:r>
            <w:r w:rsidR="0016574E">
              <w:rPr>
                <w:rFonts w:asciiTheme="minorHAnsi" w:hAnsiTheme="minorHAnsi" w:cs="Arial"/>
                <w:snapToGrid w:val="0"/>
              </w:rPr>
              <w:t>ter adherence to international Human R</w:t>
            </w:r>
            <w:r w:rsidRPr="000559DE">
              <w:rPr>
                <w:rFonts w:asciiTheme="minorHAnsi" w:hAnsiTheme="minorHAnsi" w:cs="Arial"/>
                <w:snapToGrid w:val="0"/>
              </w:rPr>
              <w:t xml:space="preserve">ights standards in criminal justice systems.  </w:t>
            </w:r>
            <w:r w:rsidRPr="000559DE">
              <w:rPr>
                <w:rFonts w:asciiTheme="minorHAnsi" w:hAnsiTheme="minorHAnsi" w:cs="Arial"/>
                <w:iCs/>
              </w:rPr>
              <w:t xml:space="preserve">Legal frameworks to prevent and prohibit torture </w:t>
            </w:r>
            <w:r w:rsidR="0016574E">
              <w:rPr>
                <w:rFonts w:asciiTheme="minorHAnsi" w:hAnsiTheme="minorHAnsi" w:cs="Arial"/>
                <w:iCs/>
              </w:rPr>
              <w:t xml:space="preserve">are created </w:t>
            </w:r>
            <w:r w:rsidRPr="000559DE">
              <w:rPr>
                <w:rFonts w:asciiTheme="minorHAnsi" w:hAnsiTheme="minorHAnsi" w:cs="Arial"/>
                <w:iCs/>
              </w:rPr>
              <w:t xml:space="preserve">and are </w:t>
            </w:r>
            <w:r w:rsidR="000E3A9B">
              <w:rPr>
                <w:rFonts w:asciiTheme="minorHAnsi" w:hAnsiTheme="minorHAnsi" w:cs="Arial"/>
                <w:iCs/>
              </w:rPr>
              <w:t xml:space="preserve">well </w:t>
            </w:r>
            <w:r w:rsidRPr="000559DE">
              <w:rPr>
                <w:rFonts w:asciiTheme="minorHAnsi" w:hAnsiTheme="minorHAnsi" w:cs="Arial"/>
                <w:iCs/>
              </w:rPr>
              <w:t xml:space="preserve">enforced. </w:t>
            </w:r>
            <w:r w:rsidRPr="000559DE">
              <w:rPr>
                <w:rFonts w:asciiTheme="minorHAnsi" w:hAnsiTheme="minorHAnsi" w:cs="Arial"/>
                <w:snapToGrid w:val="0"/>
              </w:rPr>
              <w:t xml:space="preserve">For this bidding round, we will prioritise projects focusing on pre-trial detention or the police.  </w:t>
            </w:r>
          </w:p>
        </w:tc>
      </w:tr>
      <w:tr w:rsidR="00861F75" w:rsidRPr="000559DE" w:rsidTr="00CC410F">
        <w:trPr>
          <w:cantSplit/>
        </w:trPr>
        <w:tc>
          <w:tcPr>
            <w:tcW w:w="2127" w:type="dxa"/>
            <w:vMerge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</w:tc>
        <w:tc>
          <w:tcPr>
            <w:tcW w:w="7371" w:type="dxa"/>
          </w:tcPr>
          <w:p w:rsidR="00861F75" w:rsidRPr="00EF20CC" w:rsidRDefault="00EF20CC" w:rsidP="00CC410F">
            <w:pPr>
              <w:spacing w:after="0" w:line="240" w:lineRule="auto"/>
              <w:rPr>
                <w:rFonts w:asciiTheme="minorHAnsi" w:hAnsiTheme="minorHAnsi" w:cs="Arial"/>
                <w:b/>
                <w:snapToGrid w:val="0"/>
              </w:rPr>
            </w:pPr>
            <w:r>
              <w:rPr>
                <w:b/>
              </w:rPr>
              <w:t>*Enf</w:t>
            </w:r>
            <w:r w:rsidR="00861F75" w:rsidRPr="00EF20CC">
              <w:rPr>
                <w:b/>
              </w:rPr>
              <w:t>orced disappearances.</w:t>
            </w:r>
          </w:p>
        </w:tc>
      </w:tr>
    </w:tbl>
    <w:p w:rsidR="00861F75" w:rsidRPr="000559DE" w:rsidRDefault="00861F75" w:rsidP="00861F75">
      <w:pPr>
        <w:spacing w:after="0" w:line="240" w:lineRule="auto"/>
        <w:rPr>
          <w:rFonts w:asciiTheme="minorHAnsi" w:hAnsiTheme="minorHAnsi" w:cs="Arial"/>
        </w:rPr>
      </w:pPr>
    </w:p>
    <w:p w:rsidR="00861F75" w:rsidRPr="000559DE" w:rsidRDefault="00861F75" w:rsidP="00861F75">
      <w:pPr>
        <w:spacing w:after="0" w:line="240" w:lineRule="auto"/>
        <w:rPr>
          <w:rFonts w:asciiTheme="minorHAnsi" w:hAnsiTheme="minorHAnsi" w:cs="Arial"/>
        </w:rPr>
      </w:pPr>
    </w:p>
    <w:p w:rsidR="00861F75" w:rsidRPr="000559DE" w:rsidRDefault="00861F75" w:rsidP="00EF20CC">
      <w:pPr>
        <w:pStyle w:val="Heading2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color w:val="000000"/>
          <w:sz w:val="22"/>
          <w:szCs w:val="22"/>
          <w:lang w:eastAsia="en-GB"/>
        </w:rPr>
      </w:pPr>
      <w:r w:rsidRPr="000559DE">
        <w:rPr>
          <w:rFonts w:asciiTheme="minorHAnsi" w:hAnsiTheme="minorHAnsi"/>
          <w:sz w:val="22"/>
          <w:szCs w:val="22"/>
        </w:rPr>
        <w:t>Discrimination against Women</w:t>
      </w:r>
    </w:p>
    <w:p w:rsidR="00861F75" w:rsidRPr="000559DE" w:rsidRDefault="00861F75" w:rsidP="00861F75">
      <w:pPr>
        <w:tabs>
          <w:tab w:val="left" w:pos="1500"/>
        </w:tabs>
        <w:spacing w:after="0" w:line="240" w:lineRule="auto"/>
        <w:rPr>
          <w:rFonts w:asciiTheme="minorHAnsi" w:hAnsiTheme="minorHAnsi" w:cs="Arial"/>
          <w:color w:val="000000"/>
        </w:rPr>
      </w:pPr>
      <w:r w:rsidRPr="000559DE">
        <w:rPr>
          <w:rFonts w:asciiTheme="minorHAnsi" w:hAnsiTheme="minorHAnsi" w:cs="Arial"/>
          <w:color w:val="000000"/>
        </w:rPr>
        <w:tab/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828"/>
        <w:gridCol w:w="5811"/>
      </w:tblGrid>
      <w:tr w:rsidR="00861F75" w:rsidRPr="000559DE" w:rsidTr="00CC410F">
        <w:trPr>
          <w:cantSplit/>
          <w:trHeight w:val="4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F75" w:rsidRPr="000559DE" w:rsidRDefault="00861F75" w:rsidP="00CC410F">
            <w:pPr>
              <w:spacing w:after="0" w:line="240" w:lineRule="auto"/>
              <w:ind w:right="-72"/>
              <w:rPr>
                <w:rFonts w:asciiTheme="minorHAnsi" w:hAnsiTheme="minorHAnsi" w:cs="Arial"/>
                <w:b/>
              </w:rPr>
            </w:pPr>
            <w:r w:rsidRPr="000559DE">
              <w:rPr>
                <w:rFonts w:asciiTheme="minorHAnsi" w:hAnsiTheme="minorHAnsi" w:cs="Arial"/>
                <w:color w:val="000000"/>
              </w:rPr>
              <w:t xml:space="preserve">   </w:t>
            </w:r>
            <w:r w:rsidRPr="000559DE">
              <w:rPr>
                <w:rFonts w:asciiTheme="minorHAnsi" w:hAnsiTheme="minorHAnsi" w:cs="Arial"/>
                <w:b/>
              </w:rPr>
              <w:t xml:space="preserve">Objective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F75" w:rsidRPr="000559DE" w:rsidRDefault="00861F75" w:rsidP="00CC410F">
            <w:pPr>
              <w:tabs>
                <w:tab w:val="right" w:pos="4336"/>
              </w:tabs>
              <w:spacing w:after="0" w:line="240" w:lineRule="auto"/>
              <w:ind w:right="72"/>
              <w:rPr>
                <w:rFonts w:asciiTheme="minorHAnsi" w:hAnsiTheme="minorHAnsi" w:cs="Arial"/>
                <w:b/>
                <w:snapToGrid w:val="0"/>
              </w:rPr>
            </w:pPr>
            <w:r w:rsidRPr="000559DE">
              <w:rPr>
                <w:rFonts w:asciiTheme="minorHAnsi" w:hAnsiTheme="minorHAnsi" w:cs="Arial"/>
                <w:b/>
                <w:snapToGrid w:val="0"/>
              </w:rPr>
              <w:t xml:space="preserve">Target Areas </w:t>
            </w:r>
          </w:p>
        </w:tc>
      </w:tr>
      <w:tr w:rsidR="00861F75" w:rsidRPr="000559DE" w:rsidTr="00CC410F">
        <w:trPr>
          <w:cantSplit/>
          <w:trHeight w:val="1028"/>
        </w:trPr>
        <w:tc>
          <w:tcPr>
            <w:tcW w:w="3828" w:type="dxa"/>
            <w:vMerge w:val="restart"/>
          </w:tcPr>
          <w:p w:rsidR="00861F75" w:rsidRPr="000559DE" w:rsidRDefault="00861F75" w:rsidP="00CC410F">
            <w:pPr>
              <w:spacing w:after="0" w:line="240" w:lineRule="auto"/>
              <w:ind w:right="-72"/>
              <w:rPr>
                <w:rFonts w:asciiTheme="minorHAnsi" w:hAnsiTheme="minorHAnsi" w:cs="Arial"/>
              </w:rPr>
            </w:pPr>
            <w:r w:rsidRPr="000559DE">
              <w:rPr>
                <w:rFonts w:asciiTheme="minorHAnsi" w:hAnsiTheme="minorHAnsi" w:cs="Arial"/>
              </w:rPr>
              <w:t xml:space="preserve">To address the structural causes of </w:t>
            </w:r>
            <w:r w:rsidRPr="000559DE">
              <w:rPr>
                <w:rFonts w:asciiTheme="minorHAnsi" w:hAnsiTheme="minorHAnsi" w:cs="Arial"/>
                <w:b/>
              </w:rPr>
              <w:t>discrimination and violence against women</w:t>
            </w:r>
            <w:r w:rsidRPr="000559DE">
              <w:rPr>
                <w:rFonts w:asciiTheme="minorHAnsi" w:hAnsiTheme="minorHAnsi" w:cs="Arial"/>
              </w:rPr>
              <w:t xml:space="preserve"> and girls to ensure their equality before the law and their participation in political and public affairs in accordance with international standards.</w:t>
            </w:r>
          </w:p>
        </w:tc>
        <w:tc>
          <w:tcPr>
            <w:tcW w:w="5811" w:type="dxa"/>
          </w:tcPr>
          <w:p w:rsidR="00861F75" w:rsidRPr="00EF20CC" w:rsidRDefault="00861F75" w:rsidP="00CC410F">
            <w:pPr>
              <w:tabs>
                <w:tab w:val="right" w:pos="4336"/>
              </w:tabs>
              <w:spacing w:after="0" w:line="240" w:lineRule="auto"/>
              <w:ind w:right="72"/>
              <w:rPr>
                <w:rFonts w:asciiTheme="minorHAnsi" w:hAnsiTheme="minorHAnsi" w:cs="Arial"/>
                <w:snapToGrid w:val="0"/>
              </w:rPr>
            </w:pPr>
            <w:r w:rsidRPr="00EF20CC">
              <w:rPr>
                <w:rFonts w:asciiTheme="minorHAnsi" w:hAnsiTheme="minorHAnsi" w:cs="Arial"/>
                <w:snapToGrid w:val="0"/>
              </w:rPr>
              <w:t>Discriminatory laws and policies</w:t>
            </w:r>
            <w:r w:rsidR="00EF20CC" w:rsidRPr="00EF20CC">
              <w:rPr>
                <w:rFonts w:asciiTheme="minorHAnsi" w:hAnsiTheme="minorHAnsi" w:cs="Arial"/>
                <w:snapToGrid w:val="0"/>
              </w:rPr>
              <w:t xml:space="preserve"> are</w:t>
            </w:r>
            <w:r w:rsidRPr="00EF20CC">
              <w:rPr>
                <w:rFonts w:asciiTheme="minorHAnsi" w:hAnsiTheme="minorHAnsi" w:cs="Arial"/>
                <w:snapToGrid w:val="0"/>
              </w:rPr>
              <w:t xml:space="preserve"> reformed or removed.  Constitutions, legislation and policies tackling violence against women and girls</w:t>
            </w:r>
            <w:r w:rsidR="00EF20CC">
              <w:rPr>
                <w:rFonts w:asciiTheme="minorHAnsi" w:hAnsiTheme="minorHAnsi" w:cs="Arial"/>
                <w:snapToGrid w:val="0"/>
              </w:rPr>
              <w:t xml:space="preserve"> are</w:t>
            </w:r>
            <w:r w:rsidRPr="00EF20CC">
              <w:rPr>
                <w:rFonts w:asciiTheme="minorHAnsi" w:hAnsiTheme="minorHAnsi" w:cs="Arial"/>
                <w:snapToGrid w:val="0"/>
              </w:rPr>
              <w:t xml:space="preserve"> developed in line with regional and global commitments.  </w:t>
            </w:r>
          </w:p>
        </w:tc>
      </w:tr>
      <w:tr w:rsidR="00861F75" w:rsidRPr="000559DE" w:rsidTr="00CC410F">
        <w:trPr>
          <w:cantSplit/>
          <w:trHeight w:val="492"/>
        </w:trPr>
        <w:tc>
          <w:tcPr>
            <w:tcW w:w="3828" w:type="dxa"/>
            <w:vMerge/>
          </w:tcPr>
          <w:p w:rsidR="00861F75" w:rsidRPr="000559DE" w:rsidRDefault="00861F75" w:rsidP="00CC410F">
            <w:pPr>
              <w:spacing w:after="0" w:line="240" w:lineRule="auto"/>
              <w:ind w:right="-72"/>
              <w:rPr>
                <w:rFonts w:asciiTheme="minorHAnsi" w:hAnsiTheme="minorHAnsi" w:cs="Arial"/>
              </w:rPr>
            </w:pPr>
          </w:p>
        </w:tc>
        <w:tc>
          <w:tcPr>
            <w:tcW w:w="5811" w:type="dxa"/>
          </w:tcPr>
          <w:p w:rsidR="00861F75" w:rsidRPr="00EF20CC" w:rsidRDefault="00EF20CC" w:rsidP="00CC410F">
            <w:pPr>
              <w:tabs>
                <w:tab w:val="right" w:pos="4336"/>
              </w:tabs>
              <w:spacing w:after="0" w:line="240" w:lineRule="auto"/>
              <w:ind w:right="72"/>
              <w:rPr>
                <w:rFonts w:asciiTheme="minorHAnsi" w:hAnsiTheme="minorHAnsi" w:cs="Arial"/>
                <w:b/>
                <w:snapToGrid w:val="0"/>
              </w:rPr>
            </w:pPr>
            <w:r>
              <w:rPr>
                <w:rFonts w:asciiTheme="minorHAnsi" w:hAnsiTheme="minorHAnsi" w:cs="Arial"/>
                <w:b/>
              </w:rPr>
              <w:t>*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Initiatives that prevent violence against women and girls, particularly by challenging societal attitudes and behaviour. </w:t>
            </w:r>
          </w:p>
        </w:tc>
      </w:tr>
      <w:tr w:rsidR="00861F75" w:rsidRPr="000559DE" w:rsidTr="00CC410F">
        <w:trPr>
          <w:cantSplit/>
          <w:trHeight w:val="492"/>
        </w:trPr>
        <w:tc>
          <w:tcPr>
            <w:tcW w:w="3828" w:type="dxa"/>
            <w:vMerge/>
          </w:tcPr>
          <w:p w:rsidR="00861F75" w:rsidRPr="000559DE" w:rsidRDefault="00861F75" w:rsidP="00CC410F">
            <w:pPr>
              <w:spacing w:after="0" w:line="240" w:lineRule="auto"/>
              <w:ind w:right="-72"/>
              <w:rPr>
                <w:rFonts w:asciiTheme="minorHAnsi" w:hAnsiTheme="minorHAnsi" w:cs="Arial"/>
              </w:rPr>
            </w:pPr>
          </w:p>
        </w:tc>
        <w:tc>
          <w:tcPr>
            <w:tcW w:w="5811" w:type="dxa"/>
          </w:tcPr>
          <w:p w:rsidR="00861F75" w:rsidRPr="000559DE" w:rsidRDefault="00861F75" w:rsidP="00CC410F">
            <w:pPr>
              <w:tabs>
                <w:tab w:val="right" w:pos="4336"/>
              </w:tabs>
              <w:spacing w:after="0" w:line="240" w:lineRule="auto"/>
              <w:ind w:right="72"/>
              <w:rPr>
                <w:rFonts w:asciiTheme="minorHAnsi" w:hAnsiTheme="minorHAnsi" w:cs="Arial"/>
              </w:rPr>
            </w:pPr>
            <w:r w:rsidRPr="000559DE">
              <w:rPr>
                <w:rFonts w:asciiTheme="minorHAnsi" w:hAnsiTheme="minorHAnsi" w:cs="Arial"/>
              </w:rPr>
              <w:t xml:space="preserve">Increased participation of women in political and public affairs.   </w:t>
            </w:r>
          </w:p>
        </w:tc>
      </w:tr>
    </w:tbl>
    <w:p w:rsidR="00EF20CC" w:rsidRPr="000559DE" w:rsidRDefault="00EF20CC" w:rsidP="00861F75">
      <w:pPr>
        <w:spacing w:after="0" w:line="240" w:lineRule="auto"/>
        <w:rPr>
          <w:rFonts w:asciiTheme="minorHAnsi" w:hAnsiTheme="minorHAnsi" w:cs="Arial"/>
        </w:rPr>
      </w:pPr>
    </w:p>
    <w:p w:rsidR="00861F75" w:rsidRDefault="00861F75" w:rsidP="00861F75">
      <w:pPr>
        <w:pStyle w:val="Heading2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559DE">
        <w:rPr>
          <w:rFonts w:asciiTheme="minorHAnsi" w:hAnsiTheme="minorHAnsi"/>
          <w:sz w:val="22"/>
          <w:szCs w:val="22"/>
        </w:rPr>
        <w:t xml:space="preserve">Business &amp; Human Rights </w:t>
      </w:r>
    </w:p>
    <w:p w:rsidR="00EF20CC" w:rsidRPr="00EF20CC" w:rsidRDefault="00EF20CC" w:rsidP="00EF20CC"/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828"/>
        <w:gridCol w:w="5811"/>
      </w:tblGrid>
      <w:tr w:rsidR="00861F75" w:rsidRPr="000559DE" w:rsidTr="00CC410F">
        <w:tc>
          <w:tcPr>
            <w:tcW w:w="3828" w:type="dxa"/>
          </w:tcPr>
          <w:p w:rsidR="00861F75" w:rsidRPr="000559DE" w:rsidRDefault="00861F75" w:rsidP="00CC410F">
            <w:pPr>
              <w:pStyle w:val="Heading9"/>
              <w:jc w:val="left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0559DE">
              <w:rPr>
                <w:rFonts w:asciiTheme="minorHAnsi" w:hAnsiTheme="minorHAnsi" w:cs="Arial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5811" w:type="dxa"/>
          </w:tcPr>
          <w:p w:rsidR="00861F75" w:rsidRPr="000559DE" w:rsidRDefault="00861F75" w:rsidP="00CC410F">
            <w:pPr>
              <w:pStyle w:val="Heading5"/>
              <w:rPr>
                <w:rFonts w:asciiTheme="minorHAnsi" w:hAnsiTheme="minorHAnsi" w:cs="Arial"/>
                <w:caps/>
                <w:sz w:val="22"/>
                <w:szCs w:val="22"/>
              </w:rPr>
            </w:pPr>
            <w:r w:rsidRPr="000559DE">
              <w:rPr>
                <w:rFonts w:asciiTheme="minorHAnsi" w:hAnsiTheme="minorHAnsi" w:cs="Arial"/>
                <w:sz w:val="22"/>
                <w:szCs w:val="22"/>
              </w:rPr>
              <w:t>Target Areas</w:t>
            </w:r>
          </w:p>
        </w:tc>
      </w:tr>
      <w:tr w:rsidR="00861F75" w:rsidRPr="000559DE" w:rsidTr="00CC410F">
        <w:trPr>
          <w:cantSplit/>
          <w:trHeight w:val="65"/>
        </w:trPr>
        <w:tc>
          <w:tcPr>
            <w:tcW w:w="3828" w:type="dxa"/>
            <w:vMerge w:val="restart"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559DE">
              <w:rPr>
                <w:rFonts w:asciiTheme="minorHAnsi" w:hAnsiTheme="minorHAnsi" w:cs="Arial"/>
              </w:rPr>
              <w:t xml:space="preserve">Increased State and corporate understanding and implementation of the UN Guiding Principles on </w:t>
            </w:r>
            <w:r w:rsidRPr="000559DE">
              <w:rPr>
                <w:rFonts w:asciiTheme="minorHAnsi" w:hAnsiTheme="minorHAnsi" w:cs="Arial"/>
                <w:b/>
              </w:rPr>
              <w:t>Business and Human Rights</w:t>
            </w:r>
            <w:r w:rsidRPr="000559DE">
              <w:rPr>
                <w:rFonts w:asciiTheme="minorHAnsi" w:hAnsiTheme="minorHAnsi" w:cs="Arial"/>
              </w:rPr>
              <w:t xml:space="preserve"> (aka the “</w:t>
            </w:r>
            <w:proofErr w:type="spellStart"/>
            <w:r w:rsidRPr="000559DE">
              <w:rPr>
                <w:rFonts w:asciiTheme="minorHAnsi" w:hAnsiTheme="minorHAnsi" w:cs="Arial"/>
              </w:rPr>
              <w:t>Ruggie</w:t>
            </w:r>
            <w:proofErr w:type="spellEnd"/>
            <w:r w:rsidRPr="000559DE">
              <w:rPr>
                <w:rFonts w:asciiTheme="minorHAnsi" w:hAnsiTheme="minorHAnsi" w:cs="Arial"/>
              </w:rPr>
              <w:t xml:space="preserve"> principles” or the Protect, Respect, Remedy Framework)</w:t>
            </w:r>
          </w:p>
        </w:tc>
        <w:tc>
          <w:tcPr>
            <w:tcW w:w="5811" w:type="dxa"/>
          </w:tcPr>
          <w:p w:rsidR="00861F75" w:rsidRPr="000559DE" w:rsidRDefault="00861F75" w:rsidP="0016574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0559DE">
              <w:rPr>
                <w:rFonts w:asciiTheme="minorHAnsi" w:hAnsiTheme="minorHAnsi" w:cs="Arial"/>
              </w:rPr>
              <w:t xml:space="preserve">State duty to protect: </w:t>
            </w:r>
            <w:r w:rsidR="000E3A9B">
              <w:rPr>
                <w:rFonts w:asciiTheme="minorHAnsi" w:hAnsiTheme="minorHAnsi" w:cs="Arial"/>
              </w:rPr>
              <w:t>To p</w:t>
            </w:r>
            <w:r w:rsidRPr="000559DE">
              <w:rPr>
                <w:rFonts w:asciiTheme="minorHAnsi" w:hAnsiTheme="minorHAnsi" w:cs="Arial"/>
              </w:rPr>
              <w:t>romote international uptake and awareness of the U</w:t>
            </w:r>
            <w:r w:rsidR="0016574E">
              <w:rPr>
                <w:rFonts w:asciiTheme="minorHAnsi" w:hAnsiTheme="minorHAnsi" w:cs="Arial"/>
              </w:rPr>
              <w:t xml:space="preserve">nited </w:t>
            </w:r>
            <w:r w:rsidRPr="000559DE">
              <w:rPr>
                <w:rFonts w:asciiTheme="minorHAnsi" w:hAnsiTheme="minorHAnsi" w:cs="Arial"/>
              </w:rPr>
              <w:t>N</w:t>
            </w:r>
            <w:r w:rsidR="0016574E">
              <w:rPr>
                <w:rFonts w:asciiTheme="minorHAnsi" w:hAnsiTheme="minorHAnsi" w:cs="Arial"/>
              </w:rPr>
              <w:t xml:space="preserve">ations </w:t>
            </w:r>
            <w:r w:rsidRPr="000559DE">
              <w:rPr>
                <w:rFonts w:asciiTheme="minorHAnsi" w:hAnsiTheme="minorHAnsi" w:cs="Arial"/>
              </w:rPr>
              <w:t>G</w:t>
            </w:r>
            <w:r w:rsidR="0016574E">
              <w:rPr>
                <w:rFonts w:asciiTheme="minorHAnsi" w:hAnsiTheme="minorHAnsi" w:cs="Arial"/>
              </w:rPr>
              <w:t xml:space="preserve">uiding </w:t>
            </w:r>
            <w:r w:rsidRPr="000559DE">
              <w:rPr>
                <w:rFonts w:asciiTheme="minorHAnsi" w:hAnsiTheme="minorHAnsi" w:cs="Arial"/>
              </w:rPr>
              <w:t>P</w:t>
            </w:r>
            <w:r w:rsidR="0016574E">
              <w:rPr>
                <w:rFonts w:asciiTheme="minorHAnsi" w:hAnsiTheme="minorHAnsi" w:cs="Arial"/>
              </w:rPr>
              <w:t>rinciple</w:t>
            </w:r>
            <w:r w:rsidR="006D3CAF">
              <w:rPr>
                <w:rFonts w:asciiTheme="minorHAnsi" w:hAnsiTheme="minorHAnsi" w:cs="Arial"/>
              </w:rPr>
              <w:t>s and</w:t>
            </w:r>
            <w:r w:rsidRPr="000559DE">
              <w:rPr>
                <w:rFonts w:asciiTheme="minorHAnsi" w:hAnsiTheme="minorHAnsi" w:cs="Arial"/>
              </w:rPr>
              <w:t xml:space="preserve"> </w:t>
            </w:r>
            <w:r w:rsidR="006D3CAF">
              <w:rPr>
                <w:rFonts w:asciiTheme="minorHAnsi" w:hAnsiTheme="minorHAnsi" w:cs="Arial"/>
              </w:rPr>
              <w:t xml:space="preserve">the OECD guidelines. To </w:t>
            </w:r>
            <w:r w:rsidRPr="000559DE">
              <w:rPr>
                <w:rFonts w:asciiTheme="minorHAnsi" w:hAnsiTheme="minorHAnsi" w:cs="Arial"/>
              </w:rPr>
              <w:t xml:space="preserve">support the development of national implementation plans and </w:t>
            </w:r>
            <w:r w:rsidR="000E3A9B">
              <w:rPr>
                <w:rFonts w:asciiTheme="minorHAnsi" w:hAnsiTheme="minorHAnsi" w:cs="Arial"/>
              </w:rPr>
              <w:t xml:space="preserve">to </w:t>
            </w:r>
            <w:r w:rsidR="0016574E">
              <w:rPr>
                <w:rFonts w:asciiTheme="minorHAnsi" w:hAnsiTheme="minorHAnsi" w:cs="Arial"/>
              </w:rPr>
              <w:t xml:space="preserve">collaborate </w:t>
            </w:r>
            <w:r w:rsidRPr="000559DE">
              <w:rPr>
                <w:rFonts w:asciiTheme="minorHAnsi" w:hAnsiTheme="minorHAnsi" w:cs="Arial"/>
              </w:rPr>
              <w:t xml:space="preserve">with other </w:t>
            </w:r>
            <w:r w:rsidR="0016574E">
              <w:rPr>
                <w:rFonts w:asciiTheme="minorHAnsi" w:hAnsiTheme="minorHAnsi" w:cs="Arial"/>
              </w:rPr>
              <w:t>states to help them meet their H</w:t>
            </w:r>
            <w:r w:rsidRPr="000559DE">
              <w:rPr>
                <w:rFonts w:asciiTheme="minorHAnsi" w:hAnsiTheme="minorHAnsi" w:cs="Arial"/>
              </w:rPr>
              <w:t xml:space="preserve">uman </w:t>
            </w:r>
            <w:r w:rsidR="0016574E">
              <w:rPr>
                <w:rFonts w:asciiTheme="minorHAnsi" w:hAnsiTheme="minorHAnsi" w:cs="Arial"/>
              </w:rPr>
              <w:t>R</w:t>
            </w:r>
            <w:r w:rsidRPr="000559DE">
              <w:rPr>
                <w:rFonts w:asciiTheme="minorHAnsi" w:hAnsiTheme="minorHAnsi" w:cs="Arial"/>
              </w:rPr>
              <w:t>ights obligations.</w:t>
            </w:r>
          </w:p>
        </w:tc>
      </w:tr>
      <w:tr w:rsidR="00861F75" w:rsidRPr="000559DE" w:rsidTr="00CC410F">
        <w:trPr>
          <w:cantSplit/>
          <w:trHeight w:val="65"/>
        </w:trPr>
        <w:tc>
          <w:tcPr>
            <w:tcW w:w="3828" w:type="dxa"/>
            <w:vMerge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811" w:type="dxa"/>
          </w:tcPr>
          <w:p w:rsidR="00861F75" w:rsidRPr="000559DE" w:rsidRDefault="00861F75" w:rsidP="000E3A9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t>Strengthening institutions responsible for ensuring citizens security.</w:t>
            </w:r>
            <w:r w:rsidR="0016574E">
              <w:t xml:space="preserve"> </w:t>
            </w:r>
          </w:p>
        </w:tc>
      </w:tr>
      <w:tr w:rsidR="00861F75" w:rsidRPr="000559DE" w:rsidTr="00CC410F">
        <w:trPr>
          <w:cantSplit/>
          <w:trHeight w:val="65"/>
        </w:trPr>
        <w:tc>
          <w:tcPr>
            <w:tcW w:w="3828" w:type="dxa"/>
            <w:vMerge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811" w:type="dxa"/>
          </w:tcPr>
          <w:p w:rsidR="00861F75" w:rsidRPr="00EF20CC" w:rsidRDefault="00EF20CC" w:rsidP="00CC410F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*</w:t>
            </w:r>
            <w:r w:rsidR="0016574E">
              <w:rPr>
                <w:rFonts w:asciiTheme="minorHAnsi" w:hAnsiTheme="minorHAnsi" w:cs="Arial"/>
                <w:b/>
              </w:rPr>
              <w:t>Corporate respect for Human R</w:t>
            </w:r>
            <w:r w:rsidR="00861F75" w:rsidRPr="00EF20CC">
              <w:rPr>
                <w:rFonts w:asciiTheme="minorHAnsi" w:hAnsiTheme="minorHAnsi" w:cs="Arial"/>
                <w:b/>
              </w:rPr>
              <w:t>ights</w:t>
            </w:r>
            <w:r w:rsidRPr="00EF20CC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- To i</w:t>
            </w:r>
            <w:r w:rsidRPr="00EF20CC">
              <w:rPr>
                <w:rFonts w:asciiTheme="minorHAnsi" w:hAnsiTheme="minorHAnsi" w:cs="Arial"/>
                <w:b/>
              </w:rPr>
              <w:t>ncrease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 business awareness o</w:t>
            </w:r>
            <w:r>
              <w:rPr>
                <w:rFonts w:asciiTheme="minorHAnsi" w:hAnsiTheme="minorHAnsi" w:cs="Arial"/>
                <w:b/>
              </w:rPr>
              <w:t>f the importance of respecting Human R</w:t>
            </w:r>
            <w:r w:rsidR="00861F75" w:rsidRPr="00EF20CC">
              <w:rPr>
                <w:rFonts w:asciiTheme="minorHAnsi" w:hAnsiTheme="minorHAnsi" w:cs="Arial"/>
                <w:b/>
              </w:rPr>
              <w:t>ights throughout business operations.</w:t>
            </w:r>
            <w:r w:rsidR="000E3A9B">
              <w:rPr>
                <w:rFonts w:asciiTheme="minorHAnsi" w:hAnsiTheme="minorHAnsi" w:cs="Arial"/>
                <w:b/>
              </w:rPr>
              <w:t xml:space="preserve"> To d</w:t>
            </w:r>
            <w:r w:rsidR="00861F75" w:rsidRPr="00EF20CC">
              <w:rPr>
                <w:rFonts w:asciiTheme="minorHAnsi" w:hAnsiTheme="minorHAnsi" w:cs="Arial"/>
                <w:b/>
              </w:rPr>
              <w:t>evelop models and examples of best practice to demo</w:t>
            </w:r>
            <w:r>
              <w:rPr>
                <w:rFonts w:asciiTheme="minorHAnsi" w:hAnsiTheme="minorHAnsi" w:cs="Arial"/>
                <w:b/>
              </w:rPr>
              <w:t>nstrate benefit of respect for Human R</w:t>
            </w:r>
            <w:r w:rsidR="00861F75" w:rsidRPr="00EF20CC">
              <w:rPr>
                <w:rFonts w:asciiTheme="minorHAnsi" w:hAnsiTheme="minorHAnsi" w:cs="Arial"/>
                <w:b/>
              </w:rPr>
              <w:t>ights.</w:t>
            </w:r>
            <w:r w:rsidR="000E3A9B">
              <w:rPr>
                <w:rFonts w:asciiTheme="minorHAnsi" w:hAnsiTheme="minorHAnsi" w:cs="Arial"/>
                <w:b/>
              </w:rPr>
              <w:t xml:space="preserve"> To i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mprove business understanding of the importance of the </w:t>
            </w:r>
            <w:r>
              <w:rPr>
                <w:rFonts w:asciiTheme="minorHAnsi" w:hAnsiTheme="minorHAnsi" w:cs="Arial"/>
                <w:b/>
              </w:rPr>
              <w:t>“</w:t>
            </w:r>
            <w:proofErr w:type="spellStart"/>
            <w:r w:rsidR="00861F75" w:rsidRPr="00EF20CC">
              <w:rPr>
                <w:rFonts w:asciiTheme="minorHAnsi" w:hAnsiTheme="minorHAnsi" w:cs="Arial"/>
                <w:b/>
              </w:rPr>
              <w:t>Ruggie</w:t>
            </w:r>
            <w:proofErr w:type="spellEnd"/>
            <w:r w:rsidR="00861F75" w:rsidRPr="00EF20CC">
              <w:rPr>
                <w:rFonts w:asciiTheme="minorHAnsi" w:hAnsiTheme="minorHAnsi" w:cs="Arial"/>
                <w:b/>
              </w:rPr>
              <w:t xml:space="preserve"> Principles</w:t>
            </w:r>
            <w:r>
              <w:rPr>
                <w:rFonts w:asciiTheme="minorHAnsi" w:hAnsiTheme="minorHAnsi" w:cs="Arial"/>
                <w:b/>
              </w:rPr>
              <w:t>”</w:t>
            </w:r>
            <w:r w:rsidR="001C3C03">
              <w:rPr>
                <w:rFonts w:asciiTheme="minorHAnsi" w:hAnsiTheme="minorHAnsi" w:cs="Arial"/>
                <w:b/>
              </w:rPr>
              <w:t>,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 leading to better business practice</w:t>
            </w:r>
            <w:r w:rsidR="001C3C03">
              <w:rPr>
                <w:rFonts w:asciiTheme="minorHAnsi" w:hAnsiTheme="minorHAnsi" w:cs="Arial"/>
                <w:b/>
              </w:rPr>
              <w:t>s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 and new or improved relationships between business, governments and civil society.</w:t>
            </w:r>
          </w:p>
        </w:tc>
      </w:tr>
      <w:tr w:rsidR="00861F75" w:rsidRPr="000559DE" w:rsidTr="00CC410F">
        <w:trPr>
          <w:cantSplit/>
          <w:trHeight w:val="65"/>
        </w:trPr>
        <w:tc>
          <w:tcPr>
            <w:tcW w:w="3828" w:type="dxa"/>
            <w:vMerge/>
          </w:tcPr>
          <w:p w:rsidR="00861F75" w:rsidRPr="000559DE" w:rsidRDefault="00861F75" w:rsidP="00CC410F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811" w:type="dxa"/>
          </w:tcPr>
          <w:p w:rsidR="00861F75" w:rsidRPr="00EF20CC" w:rsidRDefault="00EF20CC" w:rsidP="000E3A9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*</w:t>
            </w:r>
            <w:r w:rsidR="00861F75" w:rsidRPr="00EF20CC">
              <w:rPr>
                <w:rFonts w:asciiTheme="minorHAnsi" w:hAnsiTheme="minorHAnsi" w:cs="Arial"/>
                <w:b/>
              </w:rPr>
              <w:t>Access to an effective remedy</w:t>
            </w:r>
            <w:r w:rsidRPr="00EF20CC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Pr="00EF20CC">
              <w:rPr>
                <w:rFonts w:asciiTheme="minorHAnsi" w:hAnsiTheme="minorHAnsi" w:cs="Arial"/>
                <w:b/>
              </w:rPr>
              <w:t>To</w:t>
            </w:r>
            <w:r>
              <w:rPr>
                <w:rFonts w:asciiTheme="minorHAnsi" w:hAnsiTheme="minorHAnsi" w:cs="Arial"/>
                <w:b/>
              </w:rPr>
              <w:t xml:space="preserve"> a</w:t>
            </w:r>
            <w:r w:rsidR="00861F75" w:rsidRPr="00EF20CC">
              <w:rPr>
                <w:rFonts w:asciiTheme="minorHAnsi" w:hAnsiTheme="minorHAnsi" w:cs="Arial"/>
                <w:b/>
              </w:rPr>
              <w:t>ssist s</w:t>
            </w:r>
            <w:r>
              <w:rPr>
                <w:rFonts w:asciiTheme="minorHAnsi" w:hAnsiTheme="minorHAnsi" w:cs="Arial"/>
                <w:b/>
              </w:rPr>
              <w:t>tates wishing to develop their Human R</w:t>
            </w:r>
            <w:r w:rsidR="00861F75" w:rsidRPr="00EF20CC">
              <w:rPr>
                <w:rFonts w:asciiTheme="minorHAnsi" w:hAnsiTheme="minorHAnsi" w:cs="Arial"/>
                <w:b/>
              </w:rPr>
              <w:t>ights protection mechanisms and reduce barriers to remedy within their jurisdiction.</w:t>
            </w:r>
            <w:r w:rsidR="000E3A9B">
              <w:rPr>
                <w:rFonts w:asciiTheme="minorHAnsi" w:hAnsiTheme="minorHAnsi" w:cs="Arial"/>
                <w:b/>
              </w:rPr>
              <w:t xml:space="preserve"> To support the access of 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civil society </w:t>
            </w:r>
            <w:r w:rsidR="000E3A9B">
              <w:rPr>
                <w:rFonts w:asciiTheme="minorHAnsi" w:hAnsiTheme="minorHAnsi" w:cs="Arial"/>
                <w:b/>
              </w:rPr>
              <w:t>in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 access</w:t>
            </w:r>
            <w:r w:rsidR="000E3A9B">
              <w:rPr>
                <w:rFonts w:asciiTheme="minorHAnsi" w:hAnsiTheme="minorHAnsi" w:cs="Arial"/>
                <w:b/>
              </w:rPr>
              <w:t>ing effective remedies</w:t>
            </w:r>
            <w:r w:rsidR="00861F75" w:rsidRPr="00EF20CC">
              <w:rPr>
                <w:rFonts w:asciiTheme="minorHAnsi" w:hAnsiTheme="minorHAnsi" w:cs="Arial"/>
                <w:b/>
              </w:rPr>
              <w:t xml:space="preserve"> and promote</w:t>
            </w:r>
            <w:r>
              <w:rPr>
                <w:rFonts w:asciiTheme="minorHAnsi" w:hAnsiTheme="minorHAnsi" w:cs="Arial"/>
                <w:b/>
              </w:rPr>
              <w:t xml:space="preserve"> the</w:t>
            </w:r>
            <w:r w:rsidR="000E3A9B">
              <w:rPr>
                <w:rFonts w:asciiTheme="minorHAnsi" w:hAnsiTheme="minorHAnsi" w:cs="Arial"/>
                <w:b/>
              </w:rPr>
              <w:t xml:space="preserve"> protection of Human R</w:t>
            </w:r>
            <w:r w:rsidR="00861F75" w:rsidRPr="00EF20CC">
              <w:rPr>
                <w:rFonts w:asciiTheme="minorHAnsi" w:hAnsiTheme="minorHAnsi" w:cs="Arial"/>
                <w:b/>
              </w:rPr>
              <w:t>ights defenders</w:t>
            </w:r>
            <w:r>
              <w:rPr>
                <w:rFonts w:asciiTheme="minorHAnsi" w:hAnsiTheme="minorHAnsi" w:cs="Arial"/>
                <w:b/>
              </w:rPr>
              <w:t xml:space="preserve"> who are active on business and Human R</w:t>
            </w:r>
            <w:r w:rsidR="00861F75" w:rsidRPr="00EF20CC">
              <w:rPr>
                <w:rFonts w:asciiTheme="minorHAnsi" w:hAnsiTheme="minorHAnsi" w:cs="Arial"/>
                <w:b/>
              </w:rPr>
              <w:t>ights.</w:t>
            </w:r>
            <w:r w:rsidR="00861F75" w:rsidRPr="00EF20CC">
              <w:rPr>
                <w:rFonts w:asciiTheme="minorHAnsi" w:hAnsiTheme="minorHAnsi"/>
                <w:b/>
                <w:bCs/>
              </w:rPr>
              <w:t xml:space="preserve"> </w:t>
            </w:r>
            <w:r w:rsidR="000E3A9B">
              <w:rPr>
                <w:rFonts w:asciiTheme="minorHAnsi" w:hAnsiTheme="minorHAnsi"/>
                <w:b/>
                <w:bCs/>
              </w:rPr>
              <w:t xml:space="preserve">To </w:t>
            </w:r>
            <w:r w:rsidR="000E3A9B">
              <w:rPr>
                <w:rFonts w:asciiTheme="minorHAnsi" w:hAnsiTheme="minorHAnsi" w:cs="Arial"/>
                <w:b/>
              </w:rPr>
              <w:t>s</w:t>
            </w:r>
            <w:r w:rsidR="00861F75" w:rsidRPr="00EF20CC">
              <w:rPr>
                <w:rFonts w:asciiTheme="minorHAnsi" w:hAnsiTheme="minorHAnsi" w:cs="Arial"/>
                <w:b/>
              </w:rPr>
              <w:t>upport business efforts to provide, adopt or participate in effective grievance mechanisms.</w:t>
            </w:r>
          </w:p>
        </w:tc>
      </w:tr>
    </w:tbl>
    <w:p w:rsidR="00861F75" w:rsidRPr="000559DE" w:rsidRDefault="00861F75" w:rsidP="00861F75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861F75" w:rsidRDefault="00861F75" w:rsidP="00861F75">
      <w:pPr>
        <w:pStyle w:val="Heading2"/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063D7C" w:rsidRPr="00EF20CC" w:rsidRDefault="00EF20CC">
      <w:pPr>
        <w:rPr>
          <w:b/>
        </w:rPr>
      </w:pPr>
      <w:r w:rsidRPr="00EF20CC">
        <w:rPr>
          <w:b/>
        </w:rPr>
        <w:t>*No</w:t>
      </w:r>
      <w:r>
        <w:rPr>
          <w:b/>
        </w:rPr>
        <w:t xml:space="preserve">te to readers: - The target areas starred (*) are areas in which the British Embassy Mexico City would be particularly interested in receiving concept bids. </w:t>
      </w:r>
    </w:p>
    <w:sectPr w:rsidR="00063D7C" w:rsidRPr="00EF20CC" w:rsidSect="009D4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CC" w:rsidRDefault="00EF20CC" w:rsidP="00EF20CC">
      <w:pPr>
        <w:spacing w:after="0" w:line="240" w:lineRule="auto"/>
      </w:pPr>
      <w:r>
        <w:separator/>
      </w:r>
    </w:p>
  </w:endnote>
  <w:endnote w:type="continuationSeparator" w:id="0">
    <w:p w:rsidR="00EF20CC" w:rsidRDefault="00EF20CC" w:rsidP="00E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C" w:rsidRDefault="00EF20CC">
    <w:pPr>
      <w:pStyle w:val="Footer"/>
    </w:pPr>
  </w:p>
  <w:p w:rsidR="00EF20CC" w:rsidRDefault="00C75F3B" w:rsidP="00EF20CC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B5B6F" w:rsidRPr="002B5B6F">
        <w:rPr>
          <w:rFonts w:ascii="Arial" w:hAnsi="Arial" w:cs="Arial"/>
          <w:b/>
          <w:sz w:val="20"/>
        </w:rPr>
        <w:t>UNCLASSIFIED</w:t>
      </w:r>
    </w:fldSimple>
    <w:r w:rsidR="00EF20CC" w:rsidRPr="00EF20CC">
      <w:rPr>
        <w:rFonts w:ascii="Arial" w:hAnsi="Arial" w:cs="Arial"/>
        <w:b/>
        <w:sz w:val="20"/>
      </w:rPr>
      <w:t xml:space="preserve"> </w:t>
    </w:r>
  </w:p>
  <w:p w:rsidR="00EF20CC" w:rsidRPr="00EF20CC" w:rsidRDefault="00C75F3B" w:rsidP="00EF20C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B5B6F" w:rsidRPr="002B5B6F">
        <w:rPr>
          <w:rFonts w:ascii="Arial" w:hAnsi="Arial" w:cs="Arial"/>
          <w:noProof/>
          <w:sz w:val="12"/>
        </w:rPr>
        <w:t>S:\CCEP\PROGRAMME WORK\HUMAN RIGHTS\2014-2015\Call For Bids\Mexico HRD Fund</w:t>
      </w:r>
      <w:r w:rsidR="002B5B6F">
        <w:rPr>
          <w:noProof/>
        </w:rPr>
        <w:t xml:space="preserve"> Priorities Guide 2014-2015.docx</w:t>
      </w:r>
    </w:fldSimple>
    <w:r w:rsidRPr="00EF20CC">
      <w:rPr>
        <w:rFonts w:ascii="Arial" w:hAnsi="Arial" w:cs="Arial"/>
        <w:sz w:val="12"/>
      </w:rPr>
      <w:fldChar w:fldCharType="begin"/>
    </w:r>
    <w:r w:rsidR="00EF20CC" w:rsidRPr="00EF20CC">
      <w:rPr>
        <w:rFonts w:ascii="Arial" w:hAnsi="Arial" w:cs="Arial"/>
        <w:sz w:val="12"/>
      </w:rPr>
      <w:instrText xml:space="preserve"> DOCPROPERTY PRIVACY  \* MERGEFORMAT </w:instrText>
    </w:r>
    <w:r w:rsidRPr="00EF20CC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C" w:rsidRDefault="00EF20CC">
    <w:pPr>
      <w:pStyle w:val="Footer"/>
    </w:pPr>
  </w:p>
  <w:p w:rsidR="00EF20CC" w:rsidRDefault="00C75F3B" w:rsidP="00EF20CC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B5B6F" w:rsidRPr="002B5B6F">
        <w:rPr>
          <w:rFonts w:ascii="Arial" w:hAnsi="Arial" w:cs="Arial"/>
          <w:b/>
          <w:sz w:val="20"/>
        </w:rPr>
        <w:t>UNCLASSIFIED</w:t>
      </w:r>
    </w:fldSimple>
    <w:r w:rsidR="00EF20CC" w:rsidRPr="00EF20CC">
      <w:rPr>
        <w:rFonts w:ascii="Arial" w:hAnsi="Arial" w:cs="Arial"/>
        <w:b/>
        <w:sz w:val="20"/>
      </w:rPr>
      <w:t xml:space="preserve"> </w:t>
    </w:r>
  </w:p>
  <w:p w:rsidR="00EF20CC" w:rsidRPr="00EF20CC" w:rsidRDefault="00C75F3B" w:rsidP="00EF20C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B5B6F" w:rsidRPr="002B5B6F">
        <w:rPr>
          <w:rFonts w:ascii="Arial" w:hAnsi="Arial" w:cs="Arial"/>
          <w:noProof/>
          <w:sz w:val="12"/>
        </w:rPr>
        <w:t>S:\CCEP\PROGRAMME WORK\HUMAN RIGHTS\2014-2015\Call For Bids\Mexico HRD Fund</w:t>
      </w:r>
      <w:r w:rsidR="002B5B6F">
        <w:rPr>
          <w:noProof/>
        </w:rPr>
        <w:t xml:space="preserve"> Priorities Guide 2014-2015.docx</w:t>
      </w:r>
    </w:fldSimple>
    <w:r w:rsidRPr="00EF20CC">
      <w:rPr>
        <w:rFonts w:ascii="Arial" w:hAnsi="Arial" w:cs="Arial"/>
        <w:sz w:val="12"/>
      </w:rPr>
      <w:fldChar w:fldCharType="begin"/>
    </w:r>
    <w:r w:rsidR="00EF20CC" w:rsidRPr="00EF20CC">
      <w:rPr>
        <w:rFonts w:ascii="Arial" w:hAnsi="Arial" w:cs="Arial"/>
        <w:sz w:val="12"/>
      </w:rPr>
      <w:instrText xml:space="preserve"> DOCPROPERTY PRIVACY  \* MERGEFORMAT </w:instrText>
    </w:r>
    <w:r w:rsidRPr="00EF20CC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C" w:rsidRDefault="00EF20CC">
    <w:pPr>
      <w:pStyle w:val="Footer"/>
    </w:pPr>
  </w:p>
  <w:p w:rsidR="00EF20CC" w:rsidRDefault="00C75F3B" w:rsidP="00EF20CC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2B5B6F" w:rsidRPr="002B5B6F">
        <w:rPr>
          <w:rFonts w:ascii="Arial" w:hAnsi="Arial" w:cs="Arial"/>
          <w:b/>
          <w:sz w:val="20"/>
        </w:rPr>
        <w:t>UNCLASSIFIED</w:t>
      </w:r>
    </w:fldSimple>
    <w:r w:rsidR="00EF20CC" w:rsidRPr="00EF20CC">
      <w:rPr>
        <w:rFonts w:ascii="Arial" w:hAnsi="Arial" w:cs="Arial"/>
        <w:b/>
        <w:sz w:val="20"/>
      </w:rPr>
      <w:t xml:space="preserve"> </w:t>
    </w:r>
  </w:p>
  <w:p w:rsidR="00EF20CC" w:rsidRPr="00EF20CC" w:rsidRDefault="00C75F3B" w:rsidP="00EF20C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2B5B6F" w:rsidRPr="002B5B6F">
        <w:rPr>
          <w:rFonts w:ascii="Arial" w:hAnsi="Arial" w:cs="Arial"/>
          <w:noProof/>
          <w:sz w:val="12"/>
        </w:rPr>
        <w:t>S:\CCEP\PROGRAMME WORK\HUMAN RIGHTS\2014-2015\Call For Bids\Mexico HRD Fund</w:t>
      </w:r>
      <w:r w:rsidR="002B5B6F">
        <w:rPr>
          <w:noProof/>
        </w:rPr>
        <w:t xml:space="preserve"> Priorities Guide 2014-2015.docx</w:t>
      </w:r>
    </w:fldSimple>
    <w:r w:rsidRPr="00EF20CC">
      <w:rPr>
        <w:rFonts w:ascii="Arial" w:hAnsi="Arial" w:cs="Arial"/>
        <w:sz w:val="12"/>
      </w:rPr>
      <w:fldChar w:fldCharType="begin"/>
    </w:r>
    <w:r w:rsidR="00EF20CC" w:rsidRPr="00EF20CC">
      <w:rPr>
        <w:rFonts w:ascii="Arial" w:hAnsi="Arial" w:cs="Arial"/>
        <w:sz w:val="12"/>
      </w:rPr>
      <w:instrText xml:space="preserve"> DOCPROPERTY PRIVACY  \* MERGEFORMAT </w:instrText>
    </w:r>
    <w:r w:rsidRPr="00EF20CC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CC" w:rsidRDefault="00EF20CC" w:rsidP="00EF20CC">
      <w:pPr>
        <w:spacing w:after="0" w:line="240" w:lineRule="auto"/>
      </w:pPr>
      <w:r>
        <w:separator/>
      </w:r>
    </w:p>
  </w:footnote>
  <w:footnote w:type="continuationSeparator" w:id="0">
    <w:p w:rsidR="00EF20CC" w:rsidRDefault="00EF20CC" w:rsidP="00EF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C" w:rsidRPr="00EF20CC" w:rsidRDefault="00C75F3B" w:rsidP="00EF20CC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B5B6F" w:rsidRPr="002B5B6F">
        <w:rPr>
          <w:rFonts w:ascii="Arial" w:hAnsi="Arial" w:cs="Arial"/>
          <w:b/>
          <w:sz w:val="20"/>
        </w:rPr>
        <w:t>UNCLASSIFIED</w:t>
      </w:r>
    </w:fldSimple>
    <w:r w:rsidR="00EF20CC" w:rsidRPr="00EF20CC">
      <w:rPr>
        <w:rFonts w:ascii="Arial" w:hAnsi="Arial" w:cs="Arial"/>
        <w:b/>
        <w:sz w:val="20"/>
      </w:rPr>
      <w:t xml:space="preserve"> </w:t>
    </w:r>
    <w:r w:rsidRPr="00EF20CC">
      <w:rPr>
        <w:rFonts w:ascii="Arial" w:hAnsi="Arial" w:cs="Arial"/>
        <w:b/>
        <w:sz w:val="20"/>
      </w:rPr>
      <w:fldChar w:fldCharType="begin"/>
    </w:r>
    <w:r w:rsidR="00EF20CC" w:rsidRPr="00EF20CC">
      <w:rPr>
        <w:rFonts w:ascii="Arial" w:hAnsi="Arial" w:cs="Arial"/>
        <w:b/>
        <w:sz w:val="20"/>
      </w:rPr>
      <w:instrText xml:space="preserve"> DOCPROPERTY PRIVACY  \* MERGEFORMAT </w:instrText>
    </w:r>
    <w:r w:rsidRPr="00EF20CC">
      <w:rPr>
        <w:rFonts w:ascii="Arial" w:hAnsi="Arial" w:cs="Arial"/>
        <w:b/>
        <w:sz w:val="20"/>
      </w:rPr>
      <w:fldChar w:fldCharType="end"/>
    </w:r>
  </w:p>
  <w:p w:rsidR="00EF20CC" w:rsidRDefault="00EF2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C" w:rsidRPr="00EF20CC" w:rsidRDefault="00C75F3B" w:rsidP="00EF20CC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B5B6F" w:rsidRPr="002B5B6F">
        <w:rPr>
          <w:rFonts w:ascii="Arial" w:hAnsi="Arial" w:cs="Arial"/>
          <w:b/>
          <w:sz w:val="20"/>
        </w:rPr>
        <w:t>UNCLASSIFIED</w:t>
      </w:r>
    </w:fldSimple>
    <w:r w:rsidR="00EF20CC" w:rsidRPr="00EF20CC">
      <w:rPr>
        <w:rFonts w:ascii="Arial" w:hAnsi="Arial" w:cs="Arial"/>
        <w:b/>
        <w:sz w:val="20"/>
      </w:rPr>
      <w:t xml:space="preserve"> </w:t>
    </w:r>
    <w:r w:rsidRPr="00EF20CC">
      <w:rPr>
        <w:rFonts w:ascii="Arial" w:hAnsi="Arial" w:cs="Arial"/>
        <w:b/>
        <w:sz w:val="20"/>
      </w:rPr>
      <w:fldChar w:fldCharType="begin"/>
    </w:r>
    <w:r w:rsidR="00EF20CC" w:rsidRPr="00EF20CC">
      <w:rPr>
        <w:rFonts w:ascii="Arial" w:hAnsi="Arial" w:cs="Arial"/>
        <w:b/>
        <w:sz w:val="20"/>
      </w:rPr>
      <w:instrText xml:space="preserve"> DOCPROPERTY PRIVACY  \* MERGEFORMAT </w:instrText>
    </w:r>
    <w:r w:rsidRPr="00EF20CC">
      <w:rPr>
        <w:rFonts w:ascii="Arial" w:hAnsi="Arial" w:cs="Arial"/>
        <w:b/>
        <w:sz w:val="20"/>
      </w:rPr>
      <w:fldChar w:fldCharType="end"/>
    </w:r>
  </w:p>
  <w:p w:rsidR="00EF20CC" w:rsidRDefault="00EF20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CC" w:rsidRPr="00EF20CC" w:rsidRDefault="00C75F3B" w:rsidP="00EF20CC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2B5B6F" w:rsidRPr="002B5B6F">
        <w:rPr>
          <w:rFonts w:ascii="Arial" w:hAnsi="Arial" w:cs="Arial"/>
          <w:b/>
          <w:sz w:val="20"/>
        </w:rPr>
        <w:t>UNCLASSIFIED</w:t>
      </w:r>
    </w:fldSimple>
    <w:r w:rsidR="00EF20CC" w:rsidRPr="00EF20CC">
      <w:rPr>
        <w:rFonts w:ascii="Arial" w:hAnsi="Arial" w:cs="Arial"/>
        <w:b/>
        <w:sz w:val="20"/>
      </w:rPr>
      <w:t xml:space="preserve"> </w:t>
    </w:r>
    <w:r w:rsidRPr="00EF20CC">
      <w:rPr>
        <w:rFonts w:ascii="Arial" w:hAnsi="Arial" w:cs="Arial"/>
        <w:b/>
        <w:sz w:val="20"/>
      </w:rPr>
      <w:fldChar w:fldCharType="begin"/>
    </w:r>
    <w:r w:rsidR="00EF20CC" w:rsidRPr="00EF20CC">
      <w:rPr>
        <w:rFonts w:ascii="Arial" w:hAnsi="Arial" w:cs="Arial"/>
        <w:b/>
        <w:sz w:val="20"/>
      </w:rPr>
      <w:instrText xml:space="preserve"> DOCPROPERTY PRIVACY  \* MERGEFORMAT </w:instrText>
    </w:r>
    <w:r w:rsidRPr="00EF20CC">
      <w:rPr>
        <w:rFonts w:ascii="Arial" w:hAnsi="Arial" w:cs="Arial"/>
        <w:b/>
        <w:sz w:val="20"/>
      </w:rPr>
      <w:fldChar w:fldCharType="end"/>
    </w:r>
  </w:p>
  <w:p w:rsidR="00EF20CC" w:rsidRDefault="00EF2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1059"/>
    <w:multiLevelType w:val="hybridMultilevel"/>
    <w:tmpl w:val="BF20D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861F75"/>
    <w:rsid w:val="00013CB5"/>
    <w:rsid w:val="000468DB"/>
    <w:rsid w:val="00053428"/>
    <w:rsid w:val="0007109B"/>
    <w:rsid w:val="00090C98"/>
    <w:rsid w:val="00095EE4"/>
    <w:rsid w:val="000B31D1"/>
    <w:rsid w:val="000E3A9B"/>
    <w:rsid w:val="000F10D5"/>
    <w:rsid w:val="00106EB5"/>
    <w:rsid w:val="00113484"/>
    <w:rsid w:val="001419E6"/>
    <w:rsid w:val="0016574E"/>
    <w:rsid w:val="001C3C03"/>
    <w:rsid w:val="001D21A1"/>
    <w:rsid w:val="001D7979"/>
    <w:rsid w:val="002B5B6F"/>
    <w:rsid w:val="002C59EB"/>
    <w:rsid w:val="002F06FF"/>
    <w:rsid w:val="003364BA"/>
    <w:rsid w:val="003871AC"/>
    <w:rsid w:val="003F6BEA"/>
    <w:rsid w:val="003F768D"/>
    <w:rsid w:val="004522F6"/>
    <w:rsid w:val="00461CA7"/>
    <w:rsid w:val="00462BED"/>
    <w:rsid w:val="004C091C"/>
    <w:rsid w:val="004F669B"/>
    <w:rsid w:val="00546E06"/>
    <w:rsid w:val="005679BA"/>
    <w:rsid w:val="00582400"/>
    <w:rsid w:val="005F18D6"/>
    <w:rsid w:val="0062508C"/>
    <w:rsid w:val="00682166"/>
    <w:rsid w:val="006A6F25"/>
    <w:rsid w:val="006B5E1F"/>
    <w:rsid w:val="006D3CAF"/>
    <w:rsid w:val="0076004E"/>
    <w:rsid w:val="007A1A18"/>
    <w:rsid w:val="007B5D65"/>
    <w:rsid w:val="007C1A7F"/>
    <w:rsid w:val="007F263A"/>
    <w:rsid w:val="00830EDA"/>
    <w:rsid w:val="0083571C"/>
    <w:rsid w:val="008558EB"/>
    <w:rsid w:val="00861F75"/>
    <w:rsid w:val="008827C4"/>
    <w:rsid w:val="008A1303"/>
    <w:rsid w:val="008C0025"/>
    <w:rsid w:val="008D3156"/>
    <w:rsid w:val="008D36E3"/>
    <w:rsid w:val="009563A2"/>
    <w:rsid w:val="009717E5"/>
    <w:rsid w:val="009E7300"/>
    <w:rsid w:val="009F45E8"/>
    <w:rsid w:val="00A06B30"/>
    <w:rsid w:val="00A4417A"/>
    <w:rsid w:val="00A8633B"/>
    <w:rsid w:val="00A9259C"/>
    <w:rsid w:val="00AA2960"/>
    <w:rsid w:val="00AA425A"/>
    <w:rsid w:val="00B06228"/>
    <w:rsid w:val="00B1704A"/>
    <w:rsid w:val="00B532F8"/>
    <w:rsid w:val="00B81153"/>
    <w:rsid w:val="00BB6E33"/>
    <w:rsid w:val="00C75F3B"/>
    <w:rsid w:val="00C85203"/>
    <w:rsid w:val="00CF58D2"/>
    <w:rsid w:val="00D000DA"/>
    <w:rsid w:val="00D9158C"/>
    <w:rsid w:val="00E302B9"/>
    <w:rsid w:val="00E36B3D"/>
    <w:rsid w:val="00E71281"/>
    <w:rsid w:val="00E9024D"/>
    <w:rsid w:val="00ED6EA2"/>
    <w:rsid w:val="00EF1504"/>
    <w:rsid w:val="00EF20CC"/>
    <w:rsid w:val="00F07E6D"/>
    <w:rsid w:val="00F65EAC"/>
    <w:rsid w:val="00F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7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1F7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61F75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1F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61F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1F75"/>
    <w:rPr>
      <w:rFonts w:ascii="Arial" w:eastAsia="Times New Roman" w:hAnsi="Arial" w:cs="Times New Roman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861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1F7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F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F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0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>FCO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HRD Fund Priorities Guide 2014-2015 </dc:title>
  <dc:subject/>
  <dc:creator>mcortina</dc:creator>
  <cp:keywords/>
  <dc:description/>
  <cp:lastModifiedBy>anewell</cp:lastModifiedBy>
  <cp:revision>3</cp:revision>
  <cp:lastPrinted>2014-01-23T21:25:00Z</cp:lastPrinted>
  <dcterms:created xsi:type="dcterms:W3CDTF">2014-01-30T20:45:00Z</dcterms:created>
  <dcterms:modified xsi:type="dcterms:W3CDTF">2014-01-30T20:45:00Z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2013-01-10T06:00:00Z</vt:filetime>
  </property>
</Properties>
</file>