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840BE" w14:textId="5DBBAD72" w:rsidR="00C40DDF" w:rsidRDefault="0040058D" w:rsidP="00C526F2">
      <w:pPr>
        <w:tabs>
          <w:tab w:val="right" w:pos="9498"/>
        </w:tabs>
        <w:spacing w:after="60"/>
        <w:ind w:right="108"/>
        <w:rPr>
          <w:b/>
          <w:color w:val="104F75"/>
          <w:sz w:val="36"/>
        </w:rPr>
      </w:pPr>
      <w:r>
        <w:rPr>
          <w:noProof/>
          <w:lang w:eastAsia="en-GB"/>
        </w:rPr>
        <w:drawing>
          <wp:anchor distT="0" distB="0" distL="114300" distR="114300" simplePos="0" relativeHeight="251658240" behindDoc="1" locked="0" layoutInCell="1" allowOverlap="1" wp14:anchorId="5218412A" wp14:editId="4FBB410F">
            <wp:simplePos x="0" y="0"/>
            <wp:positionH relativeFrom="column">
              <wp:posOffset>-143510</wp:posOffset>
            </wp:positionH>
            <wp:positionV relativeFrom="paragraph">
              <wp:posOffset>-71755</wp:posOffset>
            </wp:positionV>
            <wp:extent cx="878840" cy="916940"/>
            <wp:effectExtent l="0" t="0" r="0" b="0"/>
            <wp:wrapNone/>
            <wp:docPr id="2" name="Picture 2"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C40DDF">
        <w:rPr>
          <w:b/>
          <w:color w:val="104F75"/>
          <w:sz w:val="36"/>
        </w:rPr>
        <w:tab/>
        <w:t>Academies Property</w:t>
      </w:r>
    </w:p>
    <w:p w14:paraId="521840BF" w14:textId="77777777" w:rsidR="00C40DDF" w:rsidRDefault="00C40DDF" w:rsidP="00C526F2">
      <w:pPr>
        <w:tabs>
          <w:tab w:val="right" w:pos="9498"/>
        </w:tabs>
        <w:spacing w:after="60"/>
        <w:ind w:right="108"/>
        <w:rPr>
          <w:b/>
          <w:color w:val="104F75"/>
          <w:sz w:val="36"/>
        </w:rPr>
      </w:pPr>
      <w:r>
        <w:rPr>
          <w:b/>
          <w:color w:val="104F75"/>
          <w:sz w:val="36"/>
        </w:rPr>
        <w:tab/>
        <w:t>Information</w:t>
      </w:r>
    </w:p>
    <w:p w14:paraId="521840C0" w14:textId="77777777" w:rsidR="00C40DDF" w:rsidRDefault="00C40DDF" w:rsidP="00C526F2">
      <w:pPr>
        <w:tabs>
          <w:tab w:val="right" w:pos="9498"/>
        </w:tabs>
        <w:spacing w:after="60"/>
        <w:ind w:right="108"/>
        <w:rPr>
          <w:b/>
          <w:color w:val="104F75"/>
          <w:sz w:val="36"/>
        </w:rPr>
      </w:pPr>
      <w:r>
        <w:rPr>
          <w:b/>
          <w:color w:val="104F75"/>
          <w:sz w:val="36"/>
        </w:rPr>
        <w:tab/>
        <w:t>Note D</w:t>
      </w:r>
    </w:p>
    <w:p w14:paraId="521840C1" w14:textId="77777777" w:rsidR="00C40DDF" w:rsidRPr="00C526F2" w:rsidRDefault="00C40DDF" w:rsidP="00C526F2">
      <w:pPr>
        <w:pStyle w:val="Heading2"/>
      </w:pPr>
      <w:bookmarkStart w:id="0" w:name="GuideD"/>
      <w:r w:rsidRPr="00C526F2">
        <w:t xml:space="preserve">Acquiring </w:t>
      </w:r>
      <w:r>
        <w:t>b</w:t>
      </w:r>
      <w:r w:rsidRPr="00C526F2">
        <w:t xml:space="preserve">iomass </w:t>
      </w:r>
      <w:r>
        <w:t>s</w:t>
      </w:r>
      <w:r w:rsidRPr="00C526F2">
        <w:t>ystems</w:t>
      </w:r>
    </w:p>
    <w:p w14:paraId="521840C2" w14:textId="77777777" w:rsidR="00C40DDF" w:rsidRDefault="00C40DDF" w:rsidP="00EB17E0">
      <w:pPr>
        <w:spacing w:after="160" w:line="288" w:lineRule="auto"/>
        <w:rPr>
          <w:rFonts w:ascii="Arial" w:hAnsi="Arial" w:cs="Arial"/>
          <w:color w:val="002060"/>
        </w:rPr>
      </w:pPr>
      <w:r w:rsidRPr="00C526F2">
        <w:rPr>
          <w:rFonts w:ascii="Arial" w:hAnsi="Arial" w:cs="Arial"/>
          <w:color w:val="000000"/>
        </w:rPr>
        <w:t xml:space="preserve">You do not need to complete a form but you will need to supply a business case as explained </w:t>
      </w:r>
      <w:hyperlink w:anchor="BusCaseQs" w:history="1">
        <w:r w:rsidRPr="00C526F2">
          <w:rPr>
            <w:rStyle w:val="Hyperlink"/>
            <w:rFonts w:ascii="Arial" w:hAnsi="Arial" w:cs="Arial"/>
          </w:rPr>
          <w:t>below</w:t>
        </w:r>
      </w:hyperlink>
      <w:r>
        <w:rPr>
          <w:rFonts w:ascii="Arial" w:hAnsi="Arial" w:cs="Arial"/>
          <w:color w:val="002060"/>
        </w:rPr>
        <w:t>;</w:t>
      </w:r>
      <w:r w:rsidRPr="00C526F2">
        <w:rPr>
          <w:rFonts w:ascii="Arial" w:hAnsi="Arial" w:cs="Arial"/>
          <w:color w:val="000000"/>
        </w:rPr>
        <w:t xml:space="preserve"> the acquisition of biomass systems is “novel” within the terms of the </w:t>
      </w:r>
      <w:hyperlink r:id="rId14" w:history="1">
        <w:r w:rsidRPr="00C526F2">
          <w:rPr>
            <w:rStyle w:val="Hyperlink"/>
            <w:rFonts w:ascii="Arial" w:hAnsi="Arial" w:cs="Arial"/>
          </w:rPr>
          <w:t>Academies Financial Handbook</w:t>
        </w:r>
      </w:hyperlink>
      <w:r>
        <w:rPr>
          <w:rFonts w:ascii="Arial" w:hAnsi="Arial" w:cs="Arial"/>
          <w:color w:val="002060"/>
        </w:rPr>
        <w:t>.</w:t>
      </w:r>
    </w:p>
    <w:p w14:paraId="521840C3" w14:textId="77777777" w:rsidR="00C40DDF" w:rsidRPr="009978D5" w:rsidRDefault="00C40DDF" w:rsidP="009978D5">
      <w:pPr>
        <w:spacing w:after="160" w:line="288" w:lineRule="auto"/>
        <w:rPr>
          <w:rFonts w:ascii="Arial" w:hAnsi="Arial" w:cs="Arial"/>
          <w:color w:val="000000"/>
        </w:rPr>
      </w:pPr>
      <w:r w:rsidRPr="009978D5">
        <w:rPr>
          <w:rFonts w:ascii="Arial" w:hAnsi="Arial" w:cs="Arial"/>
          <w:color w:val="000000"/>
        </w:rPr>
        <w:t>To ensure you use the right information and form, please also refer to:</w:t>
      </w:r>
    </w:p>
    <w:p w14:paraId="521840C4" w14:textId="77777777" w:rsidR="00C40DDF" w:rsidRPr="005C29F4" w:rsidRDefault="00C40DDF" w:rsidP="009978D5">
      <w:pPr>
        <w:pStyle w:val="ListBullet1"/>
        <w:numPr>
          <w:ilvl w:val="0"/>
          <w:numId w:val="23"/>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521840C5" w14:textId="77777777" w:rsidR="00C40DDF" w:rsidRPr="005C29F4" w:rsidRDefault="00C40DDF" w:rsidP="009978D5">
      <w:pPr>
        <w:pStyle w:val="ListBullet1"/>
        <w:numPr>
          <w:ilvl w:val="0"/>
          <w:numId w:val="23"/>
        </w:numPr>
        <w:spacing w:after="0"/>
        <w:ind w:left="709" w:hanging="357"/>
        <w:rPr>
          <w:rStyle w:val="Hyperlink"/>
        </w:rPr>
      </w:pPr>
      <w:r w:rsidRPr="005C29F4">
        <w:rPr>
          <w:rStyle w:val="Hyperlink"/>
        </w:rPr>
        <w:t>Which Form</w:t>
      </w:r>
      <w:r>
        <w:rPr>
          <w:rStyle w:val="Hyperlink"/>
        </w:rPr>
        <w:t xml:space="preserve"> </w:t>
      </w:r>
    </w:p>
    <w:p w14:paraId="521840C6" w14:textId="77777777" w:rsidR="00C40DDF" w:rsidRPr="000142DD" w:rsidRDefault="00C40DDF" w:rsidP="009978D5">
      <w:pPr>
        <w:pStyle w:val="ListBullet1"/>
        <w:numPr>
          <w:ilvl w:val="0"/>
          <w:numId w:val="23"/>
        </w:numPr>
        <w:ind w:left="709" w:hanging="357"/>
      </w:pPr>
      <w:r>
        <w:rPr>
          <w:rStyle w:val="Hyperlink"/>
        </w:rPr>
        <w:t>T</w:t>
      </w:r>
      <w:r w:rsidRPr="005C29F4">
        <w:rPr>
          <w:rStyle w:val="Hyperlink"/>
        </w:rPr>
        <w:t>he Glossary</w:t>
      </w:r>
      <w:r>
        <w:fldChar w:fldCharType="end"/>
      </w:r>
      <w:r w:rsidRPr="000142DD">
        <w:t>.</w:t>
      </w:r>
    </w:p>
    <w:p w14:paraId="521840C7" w14:textId="77777777" w:rsidR="00C40DDF" w:rsidRPr="00C526F2" w:rsidRDefault="00C40DDF" w:rsidP="00EB17E0">
      <w:pPr>
        <w:spacing w:after="160" w:line="288" w:lineRule="auto"/>
        <w:rPr>
          <w:rFonts w:ascii="Arial" w:hAnsi="Arial" w:cs="Arial"/>
          <w:color w:val="000000"/>
        </w:rPr>
      </w:pPr>
      <w:r w:rsidRPr="00C526F2">
        <w:rPr>
          <w:rFonts w:ascii="Arial" w:hAnsi="Arial" w:cs="Arial"/>
          <w:color w:val="000000"/>
        </w:rPr>
        <w:t>If the proposal involves disposals, including playing fields, you will need to complete the relevant form (see Which Form).</w:t>
      </w:r>
    </w:p>
    <w:bookmarkEnd w:id="0"/>
    <w:p w14:paraId="521840C8" w14:textId="77777777" w:rsidR="00C40DDF" w:rsidRPr="009978D5" w:rsidRDefault="00C40DDF" w:rsidP="00C526F2">
      <w:pPr>
        <w:pStyle w:val="Heading4"/>
        <w:spacing w:before="0" w:after="160"/>
        <w:rPr>
          <w:color w:val="104F75"/>
          <w:sz w:val="22"/>
          <w:szCs w:val="22"/>
        </w:rPr>
      </w:pPr>
      <w:r w:rsidRPr="009978D5">
        <w:rPr>
          <w:color w:val="104F75"/>
          <w:sz w:val="22"/>
          <w:szCs w:val="22"/>
        </w:rPr>
        <w:t>Step 1</w:t>
      </w:r>
      <w:r w:rsidRPr="009978D5">
        <w:rPr>
          <w:color w:val="104F75"/>
          <w:sz w:val="22"/>
          <w:szCs w:val="22"/>
        </w:rPr>
        <w:tab/>
      </w:r>
      <w:r w:rsidRPr="009978D5">
        <w:rPr>
          <w:color w:val="104F75"/>
          <w:sz w:val="22"/>
          <w:szCs w:val="22"/>
        </w:rPr>
        <w:tab/>
        <w:t xml:space="preserve">Evaluate the options </w:t>
      </w:r>
    </w:p>
    <w:p w14:paraId="521840C9" w14:textId="77777777" w:rsidR="00C40DDF" w:rsidRPr="00C526F2" w:rsidRDefault="00C40DDF" w:rsidP="00EB17E0">
      <w:pPr>
        <w:spacing w:after="160" w:line="288" w:lineRule="auto"/>
        <w:ind w:left="1440"/>
        <w:rPr>
          <w:rFonts w:ascii="Arial" w:hAnsi="Arial" w:cs="Arial"/>
        </w:rPr>
      </w:pPr>
      <w:r w:rsidRPr="00C526F2">
        <w:rPr>
          <w:rStyle w:val="Hyperlink"/>
          <w:rFonts w:ascii="Arial" w:hAnsi="Arial" w:cs="Arial"/>
          <w:color w:val="auto"/>
          <w:u w:val="none"/>
        </w:rPr>
        <w:t>Your application for consent will normally follow an options appraisal as set out in the</w:t>
      </w:r>
      <w:r w:rsidRPr="00C526F2">
        <w:rPr>
          <w:rStyle w:val="Hyperlink"/>
          <w:rFonts w:ascii="Arial" w:hAnsi="Arial" w:cs="Arial"/>
          <w:color w:val="auto"/>
        </w:rPr>
        <w:t xml:space="preserve"> </w:t>
      </w:r>
      <w:hyperlink r:id="rId15" w:history="1">
        <w:r w:rsidRPr="00C526F2">
          <w:rPr>
            <w:rStyle w:val="Hyperlink"/>
            <w:rFonts w:ascii="Arial" w:hAnsi="Arial" w:cs="Arial"/>
          </w:rPr>
          <w:t>Academies Financial Handbook</w:t>
        </w:r>
      </w:hyperlink>
      <w:r w:rsidRPr="00C526F2">
        <w:rPr>
          <w:rStyle w:val="Hyperlink"/>
          <w:rFonts w:ascii="Arial" w:hAnsi="Arial" w:cs="Arial"/>
        </w:rPr>
        <w:t xml:space="preserve"> .</w:t>
      </w:r>
      <w:r w:rsidRPr="00C526F2">
        <w:rPr>
          <w:rFonts w:ascii="Arial" w:hAnsi="Arial" w:cs="Arial"/>
        </w:rPr>
        <w:t>This will consider all reasonable options and articulate why a biomass system is your preferred option. The business case questions below set out the main technical</w:t>
      </w:r>
      <w:r>
        <w:rPr>
          <w:rFonts w:ascii="Arial" w:hAnsi="Arial" w:cs="Arial"/>
        </w:rPr>
        <w:t xml:space="preserve"> questions you need to answer. </w:t>
      </w:r>
      <w:r w:rsidRPr="00C526F2">
        <w:rPr>
          <w:rFonts w:ascii="Arial" w:hAnsi="Arial" w:cs="Arial"/>
        </w:rPr>
        <w:t>The main issues your appraisal needs to address are:</w:t>
      </w:r>
    </w:p>
    <w:p w14:paraId="521840CA" w14:textId="77777777" w:rsidR="00C40DDF" w:rsidRPr="00C526F2" w:rsidRDefault="00C40DDF" w:rsidP="00EB17E0">
      <w:pPr>
        <w:spacing w:after="160" w:line="288" w:lineRule="auto"/>
        <w:ind w:left="1440"/>
        <w:rPr>
          <w:rFonts w:ascii="Arial" w:hAnsi="Arial" w:cs="Arial"/>
        </w:rPr>
      </w:pPr>
      <w:r w:rsidRPr="00C526F2">
        <w:rPr>
          <w:rFonts w:ascii="Arial" w:hAnsi="Arial" w:cs="Arial"/>
        </w:rPr>
        <w:t>Value for money:</w:t>
      </w:r>
      <w:r>
        <w:rPr>
          <w:rFonts w:ascii="Arial" w:hAnsi="Arial" w:cs="Arial"/>
        </w:rPr>
        <w:t xml:space="preserve"> </w:t>
      </w:r>
      <w:r w:rsidRPr="00C526F2">
        <w:rPr>
          <w:rFonts w:ascii="Arial" w:hAnsi="Arial" w:cs="Arial"/>
        </w:rPr>
        <w:t xml:space="preserve">comparing the costs and benefits of other types of systems; challenging the terms being proposed by suppliers, including market testing other suppliers, </w:t>
      </w:r>
    </w:p>
    <w:p w14:paraId="521840CB" w14:textId="77777777" w:rsidR="00C40DDF" w:rsidRPr="00C526F2" w:rsidRDefault="00C40DDF" w:rsidP="00EB17E0">
      <w:pPr>
        <w:spacing w:after="160" w:line="288" w:lineRule="auto"/>
        <w:ind w:left="1440"/>
        <w:rPr>
          <w:rFonts w:ascii="Arial" w:hAnsi="Arial" w:cs="Arial"/>
        </w:rPr>
      </w:pPr>
      <w:r w:rsidRPr="00C526F2">
        <w:rPr>
          <w:rFonts w:ascii="Arial" w:hAnsi="Arial" w:cs="Arial"/>
        </w:rPr>
        <w:t xml:space="preserve">How the project will be financed. </w:t>
      </w:r>
    </w:p>
    <w:p w14:paraId="521840CC" w14:textId="77777777" w:rsidR="00C40DDF" w:rsidRPr="00C526F2" w:rsidRDefault="00C40DDF" w:rsidP="00EB17E0">
      <w:pPr>
        <w:spacing w:after="160" w:line="288" w:lineRule="auto"/>
        <w:ind w:left="1440"/>
        <w:rPr>
          <w:rFonts w:ascii="Arial" w:hAnsi="Arial" w:cs="Arial"/>
        </w:rPr>
      </w:pPr>
      <w:r w:rsidRPr="00C526F2">
        <w:rPr>
          <w:rFonts w:ascii="Arial" w:hAnsi="Arial" w:cs="Arial"/>
        </w:rPr>
        <w:t>In most cases the financing of biomass systems requires long-term lease arrangements that usually involve</w:t>
      </w:r>
      <w:r>
        <w:rPr>
          <w:rFonts w:ascii="Arial" w:hAnsi="Arial" w:cs="Arial"/>
        </w:rPr>
        <w:t xml:space="preserve"> loans. </w:t>
      </w:r>
      <w:r w:rsidRPr="00C526F2">
        <w:rPr>
          <w:rFonts w:ascii="Arial" w:hAnsi="Arial" w:cs="Arial"/>
        </w:rPr>
        <w:t xml:space="preserve">The standard policy is that academies are not permitted to take out loans at a rate above the bank rate, as explained in the </w:t>
      </w:r>
      <w:hyperlink r:id="rId16" w:history="1">
        <w:r w:rsidRPr="00C526F2">
          <w:rPr>
            <w:rStyle w:val="Hyperlink"/>
            <w:rFonts w:ascii="Arial" w:hAnsi="Arial" w:cs="Arial"/>
          </w:rPr>
          <w:t>Academies Financial Handbook</w:t>
        </w:r>
      </w:hyperlink>
      <w:r w:rsidRPr="00C526F2">
        <w:rPr>
          <w:rStyle w:val="Hyperlink"/>
          <w:rFonts w:ascii="Arial" w:hAnsi="Arial" w:cs="Arial"/>
          <w:u w:val="none"/>
        </w:rPr>
        <w:t xml:space="preserve">. </w:t>
      </w:r>
      <w:r w:rsidRPr="00C526F2">
        <w:rPr>
          <w:rStyle w:val="Hyperlink"/>
          <w:rFonts w:ascii="Arial" w:hAnsi="Arial" w:cs="Arial"/>
          <w:color w:val="auto"/>
          <w:u w:val="none"/>
        </w:rPr>
        <w:t>If your project requires a loan at above the bank rate, then it will not recei</w:t>
      </w:r>
      <w:r>
        <w:rPr>
          <w:rStyle w:val="Hyperlink"/>
          <w:rFonts w:ascii="Arial" w:hAnsi="Arial" w:cs="Arial"/>
          <w:color w:val="auto"/>
          <w:u w:val="none"/>
        </w:rPr>
        <w:t xml:space="preserve">ve Secretary of State consent. </w:t>
      </w:r>
      <w:r w:rsidRPr="00C526F2">
        <w:rPr>
          <w:rStyle w:val="Hyperlink"/>
          <w:rFonts w:ascii="Arial" w:hAnsi="Arial" w:cs="Arial"/>
          <w:color w:val="auto"/>
          <w:u w:val="none"/>
        </w:rPr>
        <w:t>The reason for this policy is that it is not possible for the academy to guarantee its ability to repay the loan over such a long period.</w:t>
      </w:r>
    </w:p>
    <w:p w14:paraId="521840CD" w14:textId="77777777" w:rsidR="00C40DDF" w:rsidRPr="00C526F2" w:rsidRDefault="00C40DDF" w:rsidP="00EB17E0">
      <w:pPr>
        <w:spacing w:after="160" w:line="288" w:lineRule="auto"/>
        <w:ind w:left="1440"/>
        <w:rPr>
          <w:rFonts w:ascii="Arial" w:hAnsi="Arial" w:cs="Arial"/>
        </w:rPr>
      </w:pPr>
      <w:r w:rsidRPr="00C526F2">
        <w:rPr>
          <w:rFonts w:ascii="Arial" w:hAnsi="Arial" w:cs="Arial"/>
        </w:rPr>
        <w:t xml:space="preserve">If the proposal can be financed, you need to follow public procurement practices set out in </w:t>
      </w:r>
      <w:hyperlink r:id="rId17" w:history="1">
        <w:r w:rsidRPr="00C526F2">
          <w:rPr>
            <w:rStyle w:val="Hyperlink"/>
            <w:rFonts w:ascii="Arial" w:hAnsi="Arial" w:cs="Arial"/>
          </w:rPr>
          <w:t>Managing Public Money</w:t>
        </w:r>
      </w:hyperlink>
      <w:r w:rsidRPr="00C526F2">
        <w:rPr>
          <w:rFonts w:ascii="Arial" w:hAnsi="Arial" w:cs="Arial"/>
        </w:rPr>
        <w:t>.</w:t>
      </w:r>
      <w:r>
        <w:rPr>
          <w:rFonts w:ascii="Arial" w:hAnsi="Arial" w:cs="Arial"/>
        </w:rPr>
        <w:t xml:space="preserve"> </w:t>
      </w:r>
    </w:p>
    <w:p w14:paraId="521840CE" w14:textId="77777777" w:rsidR="00C40DDF" w:rsidRPr="00C526F2" w:rsidRDefault="00C40DDF" w:rsidP="00EB17E0">
      <w:pPr>
        <w:spacing w:after="160" w:line="288" w:lineRule="auto"/>
        <w:ind w:left="1440"/>
        <w:rPr>
          <w:rFonts w:ascii="Arial" w:hAnsi="Arial" w:cs="Arial"/>
        </w:rPr>
      </w:pPr>
      <w:r w:rsidRPr="00C526F2">
        <w:rPr>
          <w:rFonts w:ascii="Arial" w:hAnsi="Arial" w:cs="Arial"/>
        </w:rPr>
        <w:t>Conducting an environmental impact analysis (including liabilities of storage of fuel) and satisfy the space requirements for access and egress of large delivery trucks and for chimney height (all of which will be material to obtaining planning consent).</w:t>
      </w:r>
      <w:r>
        <w:rPr>
          <w:rFonts w:ascii="Arial" w:hAnsi="Arial" w:cs="Arial"/>
        </w:rPr>
        <w:t xml:space="preserve"> </w:t>
      </w:r>
      <w:r w:rsidRPr="00C526F2">
        <w:rPr>
          <w:rFonts w:ascii="Arial" w:hAnsi="Arial" w:cs="Arial"/>
        </w:rPr>
        <w:t xml:space="preserve">You should have discussions with the local </w:t>
      </w:r>
      <w:r w:rsidRPr="00C526F2">
        <w:rPr>
          <w:rFonts w:ascii="Arial" w:hAnsi="Arial" w:cs="Arial"/>
        </w:rPr>
        <w:lastRenderedPageBreak/>
        <w:t>planning authority as early as possible on the feasibility and acceptability of your preferred option.</w:t>
      </w:r>
    </w:p>
    <w:p w14:paraId="521840CF" w14:textId="77777777" w:rsidR="00C40DDF" w:rsidRPr="00C526F2" w:rsidRDefault="00C40DDF" w:rsidP="00EB17E0">
      <w:pPr>
        <w:spacing w:after="160" w:line="288" w:lineRule="auto"/>
        <w:ind w:left="1440"/>
        <w:rPr>
          <w:rStyle w:val="Hyperlink"/>
          <w:rFonts w:ascii="Arial" w:hAnsi="Arial" w:cs="Arial"/>
          <w:color w:val="auto"/>
          <w:u w:val="none"/>
        </w:rPr>
      </w:pPr>
      <w:r w:rsidRPr="00C526F2">
        <w:rPr>
          <w:rStyle w:val="Hyperlink"/>
          <w:rFonts w:ascii="Arial" w:hAnsi="Arial" w:cs="Arial"/>
          <w:color w:val="auto"/>
          <w:u w:val="none"/>
        </w:rPr>
        <w:t xml:space="preserve">Depending on the level of complexity of the decision and the range of expertise you have within the Trust, you may need external independent legal, financial, technical and property advice to </w:t>
      </w:r>
      <w:r w:rsidRPr="00EB17E0">
        <w:t>support</w:t>
      </w:r>
      <w:r w:rsidRPr="00C526F2">
        <w:rPr>
          <w:rStyle w:val="Hyperlink"/>
          <w:rFonts w:ascii="Arial" w:hAnsi="Arial" w:cs="Arial"/>
          <w:color w:val="auto"/>
          <w:u w:val="none"/>
        </w:rPr>
        <w:t xml:space="preserve"> the appraisal process.</w:t>
      </w:r>
    </w:p>
    <w:p w14:paraId="521840D0" w14:textId="77777777" w:rsidR="00C40DDF" w:rsidRPr="00C526F2" w:rsidRDefault="00C40DDF" w:rsidP="00EB17E0">
      <w:pPr>
        <w:spacing w:after="160" w:line="288" w:lineRule="auto"/>
        <w:ind w:left="1440"/>
        <w:rPr>
          <w:rFonts w:ascii="Arial" w:hAnsi="Arial" w:cs="Arial"/>
        </w:rPr>
      </w:pPr>
      <w:r w:rsidRPr="00C526F2">
        <w:rPr>
          <w:rFonts w:ascii="Arial" w:hAnsi="Arial" w:cs="Arial"/>
        </w:rPr>
        <w:t>Be sure to allow for the time to collect all information, to appraise all options and for the E</w:t>
      </w:r>
      <w:r>
        <w:rPr>
          <w:rFonts w:ascii="Arial" w:hAnsi="Arial" w:cs="Arial"/>
        </w:rPr>
        <w:t xml:space="preserve">ducation </w:t>
      </w:r>
      <w:r w:rsidRPr="00C526F2">
        <w:rPr>
          <w:rFonts w:ascii="Arial" w:hAnsi="Arial" w:cs="Arial"/>
        </w:rPr>
        <w:t>F</w:t>
      </w:r>
      <w:r>
        <w:rPr>
          <w:rFonts w:ascii="Arial" w:hAnsi="Arial" w:cs="Arial"/>
        </w:rPr>
        <w:t xml:space="preserve">unding </w:t>
      </w:r>
      <w:r w:rsidRPr="00C526F2">
        <w:rPr>
          <w:rFonts w:ascii="Arial" w:hAnsi="Arial" w:cs="Arial"/>
        </w:rPr>
        <w:t>A</w:t>
      </w:r>
      <w:r>
        <w:rPr>
          <w:rFonts w:ascii="Arial" w:hAnsi="Arial" w:cs="Arial"/>
        </w:rPr>
        <w:t>gency</w:t>
      </w:r>
      <w:r w:rsidRPr="00C526F2">
        <w:rPr>
          <w:rFonts w:ascii="Arial" w:hAnsi="Arial" w:cs="Arial"/>
        </w:rPr>
        <w:t xml:space="preserve">’s </w:t>
      </w:r>
      <w:r>
        <w:rPr>
          <w:rFonts w:ascii="Arial" w:hAnsi="Arial" w:cs="Arial"/>
        </w:rPr>
        <w:t xml:space="preserve">(EFA) </w:t>
      </w:r>
      <w:r w:rsidRPr="00C526F2">
        <w:rPr>
          <w:rFonts w:ascii="Arial" w:hAnsi="Arial" w:cs="Arial"/>
        </w:rPr>
        <w:t>assessment process.</w:t>
      </w:r>
      <w:r>
        <w:rPr>
          <w:rFonts w:ascii="Arial" w:hAnsi="Arial" w:cs="Arial"/>
        </w:rPr>
        <w:t xml:space="preserve"> </w:t>
      </w:r>
      <w:r w:rsidRPr="00C526F2">
        <w:rPr>
          <w:rFonts w:ascii="Arial" w:hAnsi="Arial" w:cs="Arial"/>
        </w:rPr>
        <w:t>Do not enter into any agreement, options or conditional contracts until you have received written notification of the Secretary of State’s decision.</w:t>
      </w:r>
    </w:p>
    <w:p w14:paraId="521840D1" w14:textId="77777777" w:rsidR="00C40DDF" w:rsidRPr="009978D5" w:rsidRDefault="00C40DDF" w:rsidP="00C526F2">
      <w:pPr>
        <w:pStyle w:val="Heading4"/>
        <w:spacing w:before="0" w:after="160"/>
        <w:rPr>
          <w:color w:val="104F75"/>
          <w:sz w:val="22"/>
          <w:szCs w:val="22"/>
        </w:rPr>
      </w:pPr>
      <w:r w:rsidRPr="009978D5">
        <w:rPr>
          <w:color w:val="104F75"/>
          <w:sz w:val="22"/>
          <w:szCs w:val="22"/>
        </w:rPr>
        <w:t>Step 2</w:t>
      </w:r>
      <w:r w:rsidRPr="009978D5">
        <w:rPr>
          <w:color w:val="104F75"/>
          <w:sz w:val="22"/>
          <w:szCs w:val="22"/>
        </w:rPr>
        <w:tab/>
      </w:r>
      <w:r w:rsidRPr="009978D5">
        <w:rPr>
          <w:color w:val="104F75"/>
          <w:sz w:val="22"/>
          <w:szCs w:val="22"/>
        </w:rPr>
        <w:tab/>
        <w:t>Submit the business plan</w:t>
      </w:r>
    </w:p>
    <w:p w14:paraId="521840D2" w14:textId="77777777" w:rsidR="00C40DDF" w:rsidRPr="00C526F2" w:rsidRDefault="00C40DDF" w:rsidP="00EB17E0">
      <w:pPr>
        <w:spacing w:after="160" w:line="288" w:lineRule="auto"/>
        <w:ind w:left="1440"/>
        <w:rPr>
          <w:rFonts w:ascii="Arial" w:hAnsi="Arial" w:cs="Arial"/>
        </w:rPr>
      </w:pPr>
      <w:r w:rsidRPr="00C526F2">
        <w:rPr>
          <w:rFonts w:ascii="Arial" w:hAnsi="Arial" w:cs="Arial"/>
        </w:rPr>
        <w:t>Write a business plan that contains the information that answers the business plan questions below.</w:t>
      </w:r>
    </w:p>
    <w:p w14:paraId="521840D3" w14:textId="77777777" w:rsidR="00C40DDF" w:rsidRPr="00C526F2" w:rsidRDefault="00C40DDF" w:rsidP="00C526F2">
      <w:pPr>
        <w:spacing w:after="160"/>
        <w:ind w:left="993" w:firstLine="447"/>
        <w:rPr>
          <w:rFonts w:ascii="Arial" w:hAnsi="Arial" w:cs="Arial"/>
        </w:rPr>
      </w:pPr>
      <w:r w:rsidRPr="00C526F2">
        <w:rPr>
          <w:rFonts w:ascii="Arial" w:hAnsi="Arial" w:cs="Arial"/>
        </w:rPr>
        <w:t>Submit your application when:</w:t>
      </w:r>
    </w:p>
    <w:p w14:paraId="521840D4" w14:textId="77777777" w:rsidR="00C40DDF" w:rsidRPr="00C526F2" w:rsidRDefault="00C40DDF" w:rsidP="00C526F2">
      <w:pPr>
        <w:pStyle w:val="ListBullet1"/>
        <w:numPr>
          <w:ilvl w:val="0"/>
          <w:numId w:val="15"/>
        </w:numPr>
        <w:spacing w:after="0"/>
        <w:rPr>
          <w:rFonts w:cs="Arial"/>
          <w:szCs w:val="22"/>
        </w:rPr>
      </w:pPr>
      <w:r w:rsidRPr="00C526F2">
        <w:t>you</w:t>
      </w:r>
      <w:r w:rsidRPr="00C526F2">
        <w:rPr>
          <w:rFonts w:cs="Arial"/>
          <w:szCs w:val="22"/>
        </w:rPr>
        <w:t xml:space="preserve"> are sure you have answered the business plan questions and </w:t>
      </w:r>
    </w:p>
    <w:p w14:paraId="521840D5" w14:textId="77777777" w:rsidR="00C40DDF" w:rsidRPr="00C526F2" w:rsidRDefault="00C40DDF" w:rsidP="00C526F2">
      <w:pPr>
        <w:pStyle w:val="ListBullet1"/>
        <w:numPr>
          <w:ilvl w:val="0"/>
          <w:numId w:val="15"/>
        </w:numPr>
        <w:rPr>
          <w:rFonts w:cs="Arial"/>
          <w:szCs w:val="22"/>
        </w:rPr>
      </w:pPr>
      <w:r w:rsidRPr="00C526F2">
        <w:rPr>
          <w:rFonts w:cs="Arial"/>
          <w:szCs w:val="22"/>
        </w:rPr>
        <w:t>your Accounting Officer has signed the plan.</w:t>
      </w:r>
      <w:r>
        <w:rPr>
          <w:rFonts w:cs="Arial"/>
          <w:szCs w:val="22"/>
        </w:rPr>
        <w:t xml:space="preserve"> </w:t>
      </w:r>
      <w:r w:rsidRPr="00C526F2">
        <w:rPr>
          <w:rFonts w:cs="Arial"/>
          <w:szCs w:val="22"/>
        </w:rPr>
        <w:t>We cannot consider applications submitted without this signature.</w:t>
      </w:r>
    </w:p>
    <w:p w14:paraId="521840D6" w14:textId="77777777" w:rsidR="00C40DDF" w:rsidRPr="009978D5" w:rsidRDefault="00C40DDF" w:rsidP="00C526F2">
      <w:pPr>
        <w:pStyle w:val="Heading4"/>
        <w:spacing w:before="0" w:after="160"/>
        <w:rPr>
          <w:color w:val="104F75"/>
          <w:sz w:val="22"/>
          <w:szCs w:val="22"/>
        </w:rPr>
      </w:pPr>
      <w:r w:rsidRPr="009978D5">
        <w:rPr>
          <w:color w:val="104F75"/>
          <w:sz w:val="22"/>
          <w:szCs w:val="22"/>
        </w:rPr>
        <w:t>Step 3</w:t>
      </w:r>
      <w:r w:rsidRPr="009978D5">
        <w:rPr>
          <w:color w:val="104F75"/>
          <w:sz w:val="22"/>
          <w:szCs w:val="22"/>
        </w:rPr>
        <w:tab/>
      </w:r>
      <w:r w:rsidRPr="009978D5">
        <w:rPr>
          <w:color w:val="104F75"/>
          <w:sz w:val="22"/>
          <w:szCs w:val="22"/>
        </w:rPr>
        <w:tab/>
        <w:t>Clarify any points in the application</w:t>
      </w:r>
    </w:p>
    <w:p w14:paraId="521840D7" w14:textId="77777777" w:rsidR="00C40DDF" w:rsidRPr="00C526F2" w:rsidRDefault="00C40DDF" w:rsidP="00EB17E0">
      <w:pPr>
        <w:spacing w:after="160" w:line="288" w:lineRule="auto"/>
        <w:ind w:left="1440"/>
        <w:rPr>
          <w:rFonts w:ascii="Arial" w:hAnsi="Arial" w:cs="Arial"/>
        </w:rPr>
      </w:pPr>
      <w:r w:rsidRPr="00C526F2">
        <w:rPr>
          <w:rFonts w:ascii="Arial" w:hAnsi="Arial" w:cs="Arial"/>
        </w:rPr>
        <w:t>Provide any further information we might request to clarify your application, so we can assess it as speedily as possible.</w:t>
      </w:r>
    </w:p>
    <w:p w14:paraId="521840D8" w14:textId="36419544" w:rsidR="00C40DDF" w:rsidRDefault="00C40DDF" w:rsidP="0040058D">
      <w:pPr>
        <w:rPr>
          <w:rFonts w:ascii="Arial" w:hAnsi="Arial" w:cs="Arial"/>
          <w:b/>
          <w:bCs/>
          <w:i/>
          <w:iCs/>
          <w:lang w:eastAsia="en-GB"/>
        </w:rPr>
      </w:pPr>
      <w:r w:rsidRPr="00C526F2">
        <w:rPr>
          <w:rFonts w:ascii="Arial" w:hAnsi="Arial" w:cs="Arial"/>
        </w:rPr>
        <w:t xml:space="preserve">Please email your business </w:t>
      </w:r>
      <w:r w:rsidRPr="00EB17E0">
        <w:rPr>
          <w:rFonts w:ascii="Arial" w:hAnsi="Arial" w:cs="Arial"/>
          <w:color w:val="000000"/>
        </w:rPr>
        <w:t>case</w:t>
      </w:r>
      <w:r w:rsidRPr="00C526F2">
        <w:rPr>
          <w:rFonts w:ascii="Arial" w:hAnsi="Arial" w:cs="Arial"/>
        </w:rPr>
        <w:t xml:space="preserve"> with all attachments to:</w:t>
      </w:r>
      <w:r>
        <w:rPr>
          <w:rFonts w:ascii="Arial" w:hAnsi="Arial" w:cs="Arial"/>
        </w:rPr>
        <w:t xml:space="preserve"> </w:t>
      </w:r>
      <w:hyperlink r:id="rId18" w:history="1">
        <w:r w:rsidR="0040058D">
          <w:rPr>
            <w:rStyle w:val="Hyperlink"/>
            <w:rFonts w:cs="Arial"/>
            <w:b/>
            <w:bCs/>
            <w:i/>
            <w:iCs/>
          </w:rPr>
          <w:t>academy.questions@education.gsi.gov.uk</w:t>
        </w:r>
      </w:hyperlink>
    </w:p>
    <w:p w14:paraId="0D08245A" w14:textId="77777777" w:rsidR="0040058D" w:rsidRPr="00C526F2" w:rsidRDefault="0040058D" w:rsidP="0040058D">
      <w:pPr>
        <w:rPr>
          <w:rFonts w:ascii="Arial" w:hAnsi="Arial" w:cs="Arial"/>
        </w:rPr>
      </w:pPr>
      <w:bookmarkStart w:id="1" w:name="_GoBack"/>
      <w:bookmarkEnd w:id="1"/>
    </w:p>
    <w:p w14:paraId="521840D9" w14:textId="77777777" w:rsidR="00C40DDF" w:rsidRPr="00C526F2" w:rsidRDefault="00C40DDF" w:rsidP="00EB17E0">
      <w:pPr>
        <w:spacing w:after="160" w:line="288" w:lineRule="auto"/>
        <w:rPr>
          <w:rFonts w:ascii="Arial" w:hAnsi="Arial" w:cs="Arial"/>
        </w:rPr>
      </w:pPr>
      <w:r w:rsidRPr="00C526F2">
        <w:rPr>
          <w:rFonts w:ascii="Arial" w:hAnsi="Arial" w:cs="Arial"/>
        </w:rPr>
        <w:t>You will receive an ac</w:t>
      </w:r>
      <w:r>
        <w:rPr>
          <w:rFonts w:ascii="Arial" w:hAnsi="Arial" w:cs="Arial"/>
        </w:rPr>
        <w:t xml:space="preserve">knowledgement within 3 working </w:t>
      </w:r>
      <w:r w:rsidRPr="00C526F2">
        <w:rPr>
          <w:rFonts w:ascii="Arial" w:hAnsi="Arial" w:cs="Arial"/>
        </w:rPr>
        <w:t>days of receipt of your business case providing a unique reference number.</w:t>
      </w:r>
      <w:r>
        <w:rPr>
          <w:rFonts w:ascii="Arial" w:hAnsi="Arial" w:cs="Arial"/>
        </w:rPr>
        <w:t xml:space="preserve"> </w:t>
      </w:r>
      <w:r w:rsidRPr="00C526F2">
        <w:rPr>
          <w:rFonts w:ascii="Arial" w:hAnsi="Arial" w:cs="Arial"/>
        </w:rPr>
        <w:t>We will then determine if you have provided all of the information that we need to make a decision.</w:t>
      </w:r>
      <w:r>
        <w:rPr>
          <w:rFonts w:ascii="Arial" w:hAnsi="Arial" w:cs="Arial"/>
        </w:rPr>
        <w:t xml:space="preserve"> </w:t>
      </w:r>
      <w:r w:rsidRPr="00C526F2">
        <w:rPr>
          <w:rFonts w:ascii="Arial" w:hAnsi="Arial" w:cs="Arial"/>
        </w:rPr>
        <w:t xml:space="preserve">We will only be able to consider your case after you have provided all necessary information. Once the information is complete, we aim to provide you with a decision in 10 to 30 working days, depending on the complexity of the proposal. </w:t>
      </w:r>
    </w:p>
    <w:p w14:paraId="521840DA" w14:textId="77777777" w:rsidR="00C40DDF" w:rsidRDefault="00C40DDF" w:rsidP="004D36C8">
      <w:pPr>
        <w:pStyle w:val="DeptBullets"/>
        <w:numPr>
          <w:ilvl w:val="0"/>
          <w:numId w:val="0"/>
        </w:numPr>
        <w:spacing w:after="160"/>
        <w:rPr>
          <w:rFonts w:cs="Arial"/>
          <w:sz w:val="22"/>
          <w:szCs w:val="22"/>
        </w:rPr>
      </w:pPr>
      <w:r>
        <w:rPr>
          <w:b/>
          <w:color w:val="002060"/>
          <w:sz w:val="36"/>
          <w:szCs w:val="36"/>
        </w:rPr>
        <w:br w:type="page"/>
      </w:r>
    </w:p>
    <w:p w14:paraId="521840DB" w14:textId="53AACC30" w:rsidR="00C40DDF" w:rsidRDefault="0040058D" w:rsidP="004D36C8">
      <w:pPr>
        <w:pStyle w:val="DeptBullets"/>
        <w:numPr>
          <w:ilvl w:val="0"/>
          <w:numId w:val="0"/>
        </w:numPr>
        <w:spacing w:after="160"/>
        <w:rPr>
          <w:rFonts w:cs="Arial"/>
          <w:sz w:val="22"/>
          <w:szCs w:val="22"/>
        </w:rPr>
      </w:pPr>
      <w:r>
        <w:rPr>
          <w:noProof/>
          <w:lang w:eastAsia="en-GB"/>
        </w:rPr>
        <w:drawing>
          <wp:anchor distT="0" distB="0" distL="114300" distR="114300" simplePos="0" relativeHeight="251657216" behindDoc="1" locked="0" layoutInCell="1" allowOverlap="1" wp14:anchorId="5218412B" wp14:editId="506F29FE">
            <wp:simplePos x="0" y="0"/>
            <wp:positionH relativeFrom="column">
              <wp:posOffset>3175</wp:posOffset>
            </wp:positionH>
            <wp:positionV relativeFrom="paragraph">
              <wp:posOffset>-262255</wp:posOffset>
            </wp:positionV>
            <wp:extent cx="878840" cy="916940"/>
            <wp:effectExtent l="0" t="0" r="0" b="0"/>
            <wp:wrapNone/>
            <wp:docPr id="3"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p>
    <w:p w14:paraId="521840DC" w14:textId="77777777" w:rsidR="00C40DDF" w:rsidRDefault="00C40DDF" w:rsidP="004D36C8">
      <w:pPr>
        <w:pStyle w:val="DeptBullets"/>
        <w:numPr>
          <w:ilvl w:val="0"/>
          <w:numId w:val="0"/>
        </w:numPr>
        <w:spacing w:after="160"/>
        <w:rPr>
          <w:rFonts w:cs="Arial"/>
          <w:sz w:val="22"/>
          <w:szCs w:val="22"/>
        </w:rPr>
      </w:pPr>
    </w:p>
    <w:p w14:paraId="521840DD" w14:textId="77777777" w:rsidR="00C40DDF" w:rsidRDefault="00C40DDF" w:rsidP="004D36C8">
      <w:pPr>
        <w:pStyle w:val="DeptBullets"/>
        <w:numPr>
          <w:ilvl w:val="0"/>
          <w:numId w:val="0"/>
        </w:numPr>
        <w:spacing w:after="160"/>
        <w:rPr>
          <w:rFonts w:cs="Arial"/>
          <w:sz w:val="22"/>
          <w:szCs w:val="22"/>
        </w:rPr>
      </w:pPr>
    </w:p>
    <w:p w14:paraId="521840DE" w14:textId="77777777" w:rsidR="00C40DDF" w:rsidRDefault="00C40DDF" w:rsidP="004D36C8">
      <w:pPr>
        <w:pStyle w:val="DeptBullets"/>
        <w:numPr>
          <w:ilvl w:val="0"/>
          <w:numId w:val="0"/>
        </w:numPr>
        <w:spacing w:after="160"/>
        <w:rPr>
          <w:rFonts w:cs="Arial"/>
          <w:sz w:val="22"/>
          <w:szCs w:val="22"/>
        </w:rPr>
      </w:pPr>
    </w:p>
    <w:p w14:paraId="521840DF" w14:textId="77777777" w:rsidR="00C40DDF" w:rsidRDefault="00C40DDF" w:rsidP="00B009B4">
      <w:pPr>
        <w:spacing w:after="120"/>
        <w:rPr>
          <w:rFonts w:ascii="Arial" w:hAnsi="Arial" w:cs="Arial"/>
          <w:b/>
          <w:color w:val="002060"/>
          <w:sz w:val="36"/>
          <w:szCs w:val="36"/>
        </w:rPr>
      </w:pPr>
      <w:r>
        <w:rPr>
          <w:rFonts w:ascii="Arial" w:hAnsi="Arial" w:cs="Arial"/>
          <w:b/>
          <w:color w:val="002060"/>
          <w:sz w:val="36"/>
          <w:szCs w:val="36"/>
        </w:rPr>
        <w:t>Biomass project business case questions</w:t>
      </w:r>
    </w:p>
    <w:p w14:paraId="521840E0" w14:textId="77777777" w:rsidR="00C40DDF" w:rsidRPr="00C526F2" w:rsidRDefault="00C40DDF" w:rsidP="00C526F2">
      <w:pPr>
        <w:pStyle w:val="DeptBullets"/>
        <w:numPr>
          <w:ilvl w:val="0"/>
          <w:numId w:val="0"/>
        </w:numPr>
        <w:spacing w:after="160"/>
        <w:rPr>
          <w:rFonts w:cs="Arial"/>
          <w:sz w:val="22"/>
          <w:szCs w:val="22"/>
        </w:rPr>
      </w:pPr>
      <w:r w:rsidRPr="00C526F2">
        <w:rPr>
          <w:rFonts w:cs="Arial"/>
          <w:sz w:val="22"/>
          <w:szCs w:val="22"/>
        </w:rPr>
        <w:t>The questions below ask for the physical and technical information and risk analysis when considering acquiring biomass systems.</w:t>
      </w:r>
      <w:r>
        <w:rPr>
          <w:rFonts w:cs="Arial"/>
          <w:sz w:val="22"/>
          <w:szCs w:val="22"/>
        </w:rPr>
        <w:t xml:space="preserve"> </w:t>
      </w:r>
      <w:r w:rsidRPr="00C526F2">
        <w:rPr>
          <w:rFonts w:cs="Arial"/>
          <w:sz w:val="22"/>
          <w:szCs w:val="22"/>
        </w:rPr>
        <w:t xml:space="preserve">The term biomass “systems” is used rather than “boilers” in order to include the potential range of biomass units and control mechanisms that could be used. </w:t>
      </w:r>
    </w:p>
    <w:p w14:paraId="521840E1" w14:textId="77777777" w:rsidR="00C40DDF" w:rsidRPr="009978D5" w:rsidRDefault="00C40DDF" w:rsidP="006561F3">
      <w:pPr>
        <w:pStyle w:val="Heading4"/>
        <w:spacing w:before="0" w:after="160"/>
        <w:rPr>
          <w:rFonts w:cs="Arial"/>
          <w:b w:val="0"/>
          <w:color w:val="104F75"/>
          <w:sz w:val="22"/>
          <w:szCs w:val="22"/>
        </w:rPr>
      </w:pPr>
      <w:r w:rsidRPr="009978D5">
        <w:rPr>
          <w:rFonts w:cs="Arial"/>
          <w:color w:val="104F75"/>
          <w:sz w:val="22"/>
          <w:szCs w:val="22"/>
        </w:rPr>
        <w:t xml:space="preserve">Estate </w:t>
      </w:r>
      <w:r w:rsidRPr="009978D5">
        <w:rPr>
          <w:color w:val="104F75"/>
          <w:sz w:val="22"/>
          <w:szCs w:val="22"/>
        </w:rPr>
        <w:t>Energy</w:t>
      </w:r>
      <w:r w:rsidRPr="009978D5">
        <w:rPr>
          <w:rFonts w:cs="Arial"/>
          <w:color w:val="104F75"/>
          <w:sz w:val="22"/>
          <w:szCs w:val="22"/>
        </w:rPr>
        <w:t xml:space="preserve"> Strategy</w:t>
      </w:r>
    </w:p>
    <w:p w14:paraId="521840E2" w14:textId="77777777" w:rsidR="00C40DDF" w:rsidRPr="00C526F2" w:rsidRDefault="00C40DDF" w:rsidP="00C526F2">
      <w:pPr>
        <w:pStyle w:val="DeptBullets"/>
        <w:numPr>
          <w:ilvl w:val="0"/>
          <w:numId w:val="7"/>
        </w:numPr>
        <w:spacing w:after="0"/>
        <w:rPr>
          <w:rFonts w:cs="Arial"/>
          <w:b/>
          <w:sz w:val="22"/>
          <w:szCs w:val="22"/>
        </w:rPr>
      </w:pPr>
      <w:r w:rsidRPr="00C526F2">
        <w:rPr>
          <w:rFonts w:cs="Arial"/>
          <w:sz w:val="22"/>
          <w:szCs w:val="22"/>
        </w:rPr>
        <w:t>What is our estate energy strategy?</w:t>
      </w:r>
      <w:r>
        <w:rPr>
          <w:rFonts w:cs="Arial"/>
          <w:sz w:val="22"/>
          <w:szCs w:val="22"/>
        </w:rPr>
        <w:t xml:space="preserve"> </w:t>
      </w:r>
    </w:p>
    <w:p w14:paraId="521840E3" w14:textId="77777777" w:rsidR="00C40DDF" w:rsidRPr="00C526F2" w:rsidRDefault="00C40DDF" w:rsidP="00C526F2">
      <w:pPr>
        <w:pStyle w:val="DeptBullets"/>
        <w:numPr>
          <w:ilvl w:val="0"/>
          <w:numId w:val="7"/>
        </w:numPr>
        <w:spacing w:after="0"/>
        <w:rPr>
          <w:rFonts w:cs="Arial"/>
          <w:b/>
          <w:sz w:val="22"/>
          <w:szCs w:val="22"/>
        </w:rPr>
      </w:pPr>
      <w:r w:rsidRPr="00C526F2">
        <w:rPr>
          <w:rFonts w:cs="Arial"/>
          <w:sz w:val="22"/>
          <w:szCs w:val="22"/>
        </w:rPr>
        <w:t>What are our needs, priorities and constraints – i.e. what options have we considered in terms of needs (heat, light, electricity), types of fuel, cost, characteristics of the estate, carbon emissions and educational impact?</w:t>
      </w:r>
    </w:p>
    <w:p w14:paraId="521840E4" w14:textId="77777777" w:rsidR="00C40DDF" w:rsidRPr="00C526F2" w:rsidRDefault="00C40DDF" w:rsidP="00C526F2">
      <w:pPr>
        <w:pStyle w:val="DeptBullets"/>
        <w:numPr>
          <w:ilvl w:val="0"/>
          <w:numId w:val="7"/>
        </w:numPr>
        <w:spacing w:after="0"/>
        <w:rPr>
          <w:rFonts w:cs="Arial"/>
          <w:b/>
          <w:sz w:val="22"/>
          <w:szCs w:val="22"/>
        </w:rPr>
      </w:pPr>
      <w:r w:rsidRPr="00C526F2">
        <w:rPr>
          <w:rFonts w:cs="Arial"/>
          <w:sz w:val="22"/>
          <w:szCs w:val="22"/>
        </w:rPr>
        <w:t>What combined heat and power (CHP) options have we considered?</w:t>
      </w:r>
    </w:p>
    <w:p w14:paraId="521840E5" w14:textId="77777777" w:rsidR="00C40DDF" w:rsidRPr="00C526F2" w:rsidRDefault="00C40DDF" w:rsidP="00C526F2">
      <w:pPr>
        <w:pStyle w:val="DeptBullets"/>
        <w:numPr>
          <w:ilvl w:val="0"/>
          <w:numId w:val="7"/>
        </w:numPr>
        <w:spacing w:after="0"/>
        <w:rPr>
          <w:rFonts w:cs="Arial"/>
          <w:b/>
          <w:sz w:val="22"/>
          <w:szCs w:val="22"/>
        </w:rPr>
      </w:pPr>
      <w:r w:rsidRPr="00C526F2">
        <w:rPr>
          <w:rFonts w:cs="Arial"/>
          <w:sz w:val="22"/>
          <w:szCs w:val="22"/>
        </w:rPr>
        <w:t>What other options have we considered – e.g. gas absorption heat pump, heat exchange unit?</w:t>
      </w:r>
    </w:p>
    <w:p w14:paraId="521840E6" w14:textId="77777777" w:rsidR="00C40DDF" w:rsidRPr="00C526F2" w:rsidRDefault="00C40DDF" w:rsidP="00C526F2">
      <w:pPr>
        <w:pStyle w:val="DeptBullets"/>
        <w:numPr>
          <w:ilvl w:val="0"/>
          <w:numId w:val="7"/>
        </w:numPr>
        <w:spacing w:after="160"/>
        <w:rPr>
          <w:rFonts w:cs="Arial"/>
          <w:b/>
          <w:sz w:val="22"/>
          <w:szCs w:val="22"/>
        </w:rPr>
      </w:pPr>
      <w:r w:rsidRPr="00C526F2">
        <w:rPr>
          <w:rFonts w:cs="Arial"/>
          <w:sz w:val="22"/>
          <w:szCs w:val="22"/>
        </w:rPr>
        <w:t>Is electricity-production by a biomass system realistic?</w:t>
      </w:r>
    </w:p>
    <w:p w14:paraId="521840E7"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Efficiency</w:t>
      </w:r>
    </w:p>
    <w:p w14:paraId="521840E8" w14:textId="77777777" w:rsidR="00C40DDF" w:rsidRPr="00C526F2" w:rsidRDefault="00C40DDF" w:rsidP="00C526F2">
      <w:pPr>
        <w:pStyle w:val="DeptBullets"/>
        <w:numPr>
          <w:ilvl w:val="0"/>
          <w:numId w:val="7"/>
        </w:numPr>
        <w:spacing w:after="0"/>
        <w:rPr>
          <w:rFonts w:cs="Arial"/>
          <w:sz w:val="22"/>
          <w:szCs w:val="22"/>
        </w:rPr>
      </w:pPr>
      <w:r w:rsidRPr="00C526F2">
        <w:rPr>
          <w:rFonts w:cs="Arial"/>
          <w:sz w:val="22"/>
          <w:szCs w:val="22"/>
        </w:rPr>
        <w:t>How efficient (in kwh/m2) would a biomass system be for my estate re. energy use per day / term / year, as compared to fossil fuel systems?</w:t>
      </w:r>
    </w:p>
    <w:p w14:paraId="521840E9" w14:textId="77777777" w:rsidR="00C40DDF" w:rsidRPr="00C526F2" w:rsidRDefault="00C40DDF" w:rsidP="00C526F2">
      <w:pPr>
        <w:pStyle w:val="DeptBullets"/>
        <w:numPr>
          <w:ilvl w:val="0"/>
          <w:numId w:val="7"/>
        </w:numPr>
        <w:spacing w:after="0"/>
        <w:rPr>
          <w:rFonts w:cs="Arial"/>
          <w:sz w:val="22"/>
          <w:szCs w:val="22"/>
        </w:rPr>
      </w:pPr>
      <w:r w:rsidRPr="00C526F2">
        <w:rPr>
          <w:rFonts w:cs="Arial"/>
          <w:sz w:val="22"/>
          <w:szCs w:val="22"/>
        </w:rPr>
        <w:t>How do my institution’s operating hours and building loads fit with the continuous operation of biomass systems?</w:t>
      </w:r>
    </w:p>
    <w:p w14:paraId="521840EA" w14:textId="77777777" w:rsidR="00C40DDF" w:rsidRPr="00C526F2" w:rsidRDefault="00C40DDF" w:rsidP="00C526F2">
      <w:pPr>
        <w:pStyle w:val="DeptBullets"/>
        <w:numPr>
          <w:ilvl w:val="0"/>
          <w:numId w:val="7"/>
        </w:numPr>
        <w:spacing w:after="160"/>
        <w:rPr>
          <w:rFonts w:cs="Arial"/>
          <w:sz w:val="22"/>
          <w:szCs w:val="22"/>
        </w:rPr>
      </w:pPr>
      <w:r w:rsidRPr="00C526F2">
        <w:rPr>
          <w:rFonts w:cs="Arial"/>
          <w:sz w:val="22"/>
          <w:szCs w:val="22"/>
        </w:rPr>
        <w:t>What is the optimum array of biomass, renewables, fossil fuel and electrical systems that would meet the heating needs of our estate?</w:t>
      </w:r>
    </w:p>
    <w:p w14:paraId="521840EB"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Fuel</w:t>
      </w:r>
    </w:p>
    <w:p w14:paraId="521840EC" w14:textId="77777777" w:rsidR="00C40DDF" w:rsidRPr="00C526F2" w:rsidRDefault="00C40DDF" w:rsidP="00C526F2">
      <w:pPr>
        <w:pStyle w:val="DeptBullets"/>
        <w:numPr>
          <w:ilvl w:val="0"/>
          <w:numId w:val="7"/>
        </w:numPr>
        <w:spacing w:after="0"/>
        <w:rPr>
          <w:rFonts w:cs="Arial"/>
          <w:sz w:val="22"/>
          <w:szCs w:val="22"/>
        </w:rPr>
      </w:pPr>
      <w:r w:rsidRPr="00C526F2">
        <w:rPr>
          <w:rFonts w:cs="Arial"/>
          <w:sz w:val="22"/>
          <w:szCs w:val="22"/>
        </w:rPr>
        <w:t>Wood chips or pellets:</w:t>
      </w:r>
      <w:r>
        <w:rPr>
          <w:rFonts w:cs="Arial"/>
          <w:sz w:val="22"/>
          <w:szCs w:val="22"/>
        </w:rPr>
        <w:t xml:space="preserve"> </w:t>
      </w:r>
      <w:r w:rsidRPr="00C526F2">
        <w:rPr>
          <w:rFonts w:cs="Arial"/>
          <w:sz w:val="22"/>
          <w:szCs w:val="22"/>
        </w:rPr>
        <w:t>how have we ensured availability and can we mitigate against risks of increasing cost and reducing supply?</w:t>
      </w:r>
    </w:p>
    <w:p w14:paraId="521840ED" w14:textId="77777777" w:rsidR="00C40DDF" w:rsidRPr="00C526F2" w:rsidRDefault="00C40DDF" w:rsidP="00C526F2">
      <w:pPr>
        <w:pStyle w:val="DeptBullets"/>
        <w:numPr>
          <w:ilvl w:val="0"/>
          <w:numId w:val="7"/>
        </w:numPr>
        <w:spacing w:after="0"/>
        <w:rPr>
          <w:rFonts w:cs="Arial"/>
          <w:sz w:val="22"/>
          <w:szCs w:val="22"/>
        </w:rPr>
      </w:pPr>
      <w:r w:rsidRPr="00C526F2">
        <w:rPr>
          <w:rFonts w:cs="Arial"/>
          <w:sz w:val="22"/>
          <w:szCs w:val="22"/>
        </w:rPr>
        <w:t>Where will the fuel be stored? Can it be kept dry?</w:t>
      </w:r>
    </w:p>
    <w:p w14:paraId="521840EE" w14:textId="77777777" w:rsidR="00C40DDF" w:rsidRPr="00C526F2" w:rsidRDefault="00C40DDF" w:rsidP="00C526F2">
      <w:pPr>
        <w:pStyle w:val="DeptBullets"/>
        <w:numPr>
          <w:ilvl w:val="0"/>
          <w:numId w:val="7"/>
        </w:numPr>
        <w:spacing w:after="0"/>
        <w:rPr>
          <w:rFonts w:cs="Arial"/>
          <w:sz w:val="22"/>
          <w:szCs w:val="22"/>
        </w:rPr>
      </w:pPr>
      <w:r w:rsidRPr="00C526F2">
        <w:rPr>
          <w:rFonts w:cs="Arial"/>
          <w:sz w:val="22"/>
          <w:szCs w:val="22"/>
        </w:rPr>
        <w:t>Can fuel be delivered without disturbing pupils, students and neighbours (pneumatic delivery is very noisy)?</w:t>
      </w:r>
    </w:p>
    <w:p w14:paraId="521840EF" w14:textId="77777777" w:rsidR="00C40DDF" w:rsidRPr="00C526F2" w:rsidRDefault="00C40DDF" w:rsidP="00C526F2">
      <w:pPr>
        <w:pStyle w:val="DeptBullets"/>
        <w:numPr>
          <w:ilvl w:val="0"/>
          <w:numId w:val="9"/>
        </w:numPr>
        <w:spacing w:after="160"/>
        <w:rPr>
          <w:rFonts w:cs="Arial"/>
          <w:b/>
          <w:sz w:val="22"/>
          <w:szCs w:val="22"/>
        </w:rPr>
      </w:pPr>
      <w:r w:rsidRPr="00C526F2">
        <w:rPr>
          <w:rFonts w:cs="Arial"/>
          <w:sz w:val="22"/>
          <w:szCs w:val="22"/>
        </w:rPr>
        <w:t>How will we manage the risks of fuel storage – space, lorry turning circle; spontaneous combustion, gas poisoning, industrial disease (there have been fatalities attributed to bio-fuel storage)?</w:t>
      </w:r>
    </w:p>
    <w:p w14:paraId="521840F0"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Safety</w:t>
      </w:r>
    </w:p>
    <w:p w14:paraId="521840F1" w14:textId="77777777" w:rsidR="00C40DDF" w:rsidRPr="00C526F2" w:rsidRDefault="00C40DDF" w:rsidP="00C526F2">
      <w:pPr>
        <w:pStyle w:val="DeptBullets"/>
        <w:numPr>
          <w:ilvl w:val="0"/>
          <w:numId w:val="10"/>
        </w:numPr>
        <w:spacing w:after="160"/>
        <w:rPr>
          <w:rFonts w:cs="Arial"/>
          <w:b/>
          <w:sz w:val="22"/>
          <w:szCs w:val="22"/>
        </w:rPr>
      </w:pPr>
      <w:r w:rsidRPr="00C526F2">
        <w:rPr>
          <w:rFonts w:cs="Arial"/>
          <w:sz w:val="22"/>
          <w:szCs w:val="22"/>
        </w:rPr>
        <w:t>How would the system deal with the risks of continuing combustion in the event of power failure?</w:t>
      </w:r>
    </w:p>
    <w:p w14:paraId="521840F2"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Design</w:t>
      </w:r>
    </w:p>
    <w:p w14:paraId="521840F3" w14:textId="77777777" w:rsidR="00C40DDF" w:rsidRPr="006561F3" w:rsidRDefault="00C40DDF" w:rsidP="006561F3">
      <w:pPr>
        <w:pStyle w:val="DeptBullets"/>
        <w:numPr>
          <w:ilvl w:val="0"/>
          <w:numId w:val="7"/>
        </w:numPr>
        <w:spacing w:after="0"/>
        <w:rPr>
          <w:rFonts w:cs="Arial"/>
          <w:sz w:val="22"/>
          <w:szCs w:val="22"/>
        </w:rPr>
      </w:pPr>
      <w:r w:rsidRPr="00C526F2">
        <w:rPr>
          <w:rFonts w:cs="Arial"/>
          <w:sz w:val="22"/>
          <w:szCs w:val="22"/>
        </w:rPr>
        <w:t>Does the system deal with the complexities of flue / chimney design?</w:t>
      </w:r>
    </w:p>
    <w:p w14:paraId="521840F4" w14:textId="77777777" w:rsidR="00C40DDF" w:rsidRPr="006561F3" w:rsidRDefault="00C40DDF" w:rsidP="006561F3">
      <w:pPr>
        <w:pStyle w:val="DeptBullets"/>
        <w:numPr>
          <w:ilvl w:val="0"/>
          <w:numId w:val="7"/>
        </w:numPr>
        <w:spacing w:after="0"/>
        <w:rPr>
          <w:rFonts w:cs="Arial"/>
          <w:sz w:val="22"/>
          <w:szCs w:val="22"/>
        </w:rPr>
      </w:pPr>
      <w:r w:rsidRPr="00C526F2">
        <w:rPr>
          <w:rFonts w:cs="Arial"/>
          <w:sz w:val="22"/>
          <w:szCs w:val="22"/>
        </w:rPr>
        <w:t>Have we considered options for the mix of biomass and fossil fuel units?</w:t>
      </w:r>
    </w:p>
    <w:p w14:paraId="521840F5" w14:textId="77777777" w:rsidR="00C40DDF" w:rsidRPr="006561F3" w:rsidRDefault="00C40DDF" w:rsidP="00C526F2">
      <w:pPr>
        <w:pStyle w:val="DeptBullets"/>
        <w:numPr>
          <w:ilvl w:val="0"/>
          <w:numId w:val="9"/>
        </w:numPr>
        <w:spacing w:after="160"/>
        <w:rPr>
          <w:rFonts w:cs="Arial"/>
          <w:sz w:val="22"/>
          <w:szCs w:val="22"/>
        </w:rPr>
      </w:pPr>
      <w:r w:rsidRPr="00C526F2">
        <w:rPr>
          <w:rFonts w:cs="Arial"/>
          <w:sz w:val="22"/>
          <w:szCs w:val="22"/>
        </w:rPr>
        <w:t>Are the control mechanisms able to manage the whole estate environment?</w:t>
      </w:r>
    </w:p>
    <w:p w14:paraId="521840F6"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lastRenderedPageBreak/>
        <w:t>Suppliers</w:t>
      </w:r>
    </w:p>
    <w:p w14:paraId="521840F7" w14:textId="77777777" w:rsidR="00C40DDF" w:rsidRPr="006561F3" w:rsidRDefault="00C40DDF" w:rsidP="006561F3">
      <w:pPr>
        <w:pStyle w:val="DeptBullets"/>
        <w:numPr>
          <w:ilvl w:val="0"/>
          <w:numId w:val="7"/>
        </w:numPr>
        <w:spacing w:after="0"/>
        <w:rPr>
          <w:rFonts w:cs="Arial"/>
          <w:sz w:val="22"/>
          <w:szCs w:val="22"/>
        </w:rPr>
      </w:pPr>
      <w:r w:rsidRPr="00C526F2">
        <w:rPr>
          <w:rFonts w:cs="Arial"/>
          <w:sz w:val="22"/>
          <w:szCs w:val="22"/>
        </w:rPr>
        <w:t>Is an Energy Performance Contract (EPC)</w:t>
      </w:r>
      <w:r w:rsidRPr="006561F3">
        <w:footnoteReference w:id="1"/>
      </w:r>
      <w:r w:rsidRPr="00C526F2">
        <w:rPr>
          <w:rFonts w:cs="Arial"/>
          <w:sz w:val="22"/>
          <w:szCs w:val="22"/>
        </w:rPr>
        <w:t xml:space="preserve"> a feasible option (taking into account risks, unknowns, initial investment)?</w:t>
      </w:r>
      <w:r w:rsidRPr="006561F3">
        <w:footnoteReference w:id="2"/>
      </w:r>
    </w:p>
    <w:p w14:paraId="521840F8" w14:textId="77777777" w:rsidR="00C40DDF" w:rsidRPr="00C526F2" w:rsidRDefault="00C40DDF" w:rsidP="00C526F2">
      <w:pPr>
        <w:pStyle w:val="DeptBullets"/>
        <w:numPr>
          <w:ilvl w:val="0"/>
          <w:numId w:val="8"/>
        </w:numPr>
        <w:spacing w:after="160"/>
        <w:rPr>
          <w:rFonts w:cs="Arial"/>
          <w:b/>
          <w:sz w:val="22"/>
          <w:szCs w:val="22"/>
        </w:rPr>
      </w:pPr>
      <w:r w:rsidRPr="00C526F2">
        <w:rPr>
          <w:rFonts w:cs="Arial"/>
          <w:sz w:val="22"/>
          <w:szCs w:val="22"/>
        </w:rPr>
        <w:t>Have we considered all options, including:</w:t>
      </w:r>
    </w:p>
    <w:p w14:paraId="521840F9" w14:textId="77777777" w:rsidR="00C40DDF" w:rsidRPr="00C526F2" w:rsidRDefault="00C40DDF" w:rsidP="006561F3">
      <w:pPr>
        <w:pStyle w:val="DeptBullets"/>
        <w:numPr>
          <w:ilvl w:val="1"/>
          <w:numId w:val="8"/>
        </w:numPr>
        <w:spacing w:after="0"/>
        <w:rPr>
          <w:rFonts w:cs="Arial"/>
          <w:sz w:val="22"/>
          <w:szCs w:val="22"/>
        </w:rPr>
      </w:pPr>
      <w:r w:rsidRPr="00C526F2">
        <w:rPr>
          <w:rFonts w:cs="Arial"/>
          <w:sz w:val="22"/>
          <w:szCs w:val="22"/>
        </w:rPr>
        <w:t>Supply and install system only;</w:t>
      </w:r>
    </w:p>
    <w:p w14:paraId="521840FA" w14:textId="77777777" w:rsidR="00C40DDF" w:rsidRPr="00C526F2" w:rsidRDefault="00C40DDF" w:rsidP="006561F3">
      <w:pPr>
        <w:pStyle w:val="DeptBullets"/>
        <w:numPr>
          <w:ilvl w:val="1"/>
          <w:numId w:val="8"/>
        </w:numPr>
        <w:spacing w:after="0"/>
        <w:rPr>
          <w:rFonts w:cs="Arial"/>
          <w:sz w:val="22"/>
          <w:szCs w:val="22"/>
        </w:rPr>
      </w:pPr>
      <w:r w:rsidRPr="00C526F2">
        <w:rPr>
          <w:rFonts w:cs="Arial"/>
          <w:sz w:val="22"/>
          <w:szCs w:val="22"/>
        </w:rPr>
        <w:t xml:space="preserve">1 + maintenance </w:t>
      </w:r>
    </w:p>
    <w:p w14:paraId="521840FB" w14:textId="77777777" w:rsidR="00C40DDF" w:rsidRPr="00C526F2" w:rsidRDefault="00C40DDF" w:rsidP="006561F3">
      <w:pPr>
        <w:pStyle w:val="DeptBullets"/>
        <w:numPr>
          <w:ilvl w:val="1"/>
          <w:numId w:val="8"/>
        </w:numPr>
        <w:spacing w:after="0"/>
        <w:rPr>
          <w:rFonts w:cs="Arial"/>
          <w:sz w:val="22"/>
          <w:szCs w:val="22"/>
        </w:rPr>
      </w:pPr>
      <w:r w:rsidRPr="00C526F2">
        <w:rPr>
          <w:rFonts w:cs="Arial"/>
          <w:sz w:val="22"/>
          <w:szCs w:val="22"/>
        </w:rPr>
        <w:t>2 + operating</w:t>
      </w:r>
    </w:p>
    <w:p w14:paraId="521840FC" w14:textId="77777777" w:rsidR="00C40DDF" w:rsidRPr="00C526F2" w:rsidRDefault="00C40DDF" w:rsidP="006561F3">
      <w:pPr>
        <w:pStyle w:val="DeptBullets"/>
        <w:numPr>
          <w:ilvl w:val="1"/>
          <w:numId w:val="8"/>
        </w:numPr>
        <w:spacing w:after="0"/>
        <w:rPr>
          <w:rFonts w:cs="Arial"/>
          <w:sz w:val="22"/>
          <w:szCs w:val="22"/>
        </w:rPr>
      </w:pPr>
      <w:r w:rsidRPr="00C526F2">
        <w:rPr>
          <w:rFonts w:cs="Arial"/>
          <w:sz w:val="22"/>
          <w:szCs w:val="22"/>
        </w:rPr>
        <w:t>3 + fuel supply</w:t>
      </w:r>
    </w:p>
    <w:p w14:paraId="521840FD" w14:textId="77777777" w:rsidR="00C40DDF" w:rsidRPr="00C526F2" w:rsidRDefault="00C40DDF" w:rsidP="00C526F2">
      <w:pPr>
        <w:pStyle w:val="DeptBullets"/>
        <w:numPr>
          <w:ilvl w:val="1"/>
          <w:numId w:val="8"/>
        </w:numPr>
        <w:spacing w:after="160"/>
        <w:rPr>
          <w:rFonts w:cs="Arial"/>
          <w:sz w:val="22"/>
          <w:szCs w:val="22"/>
        </w:rPr>
      </w:pPr>
      <w:r w:rsidRPr="00C526F2">
        <w:rPr>
          <w:rFonts w:cs="Arial"/>
          <w:sz w:val="22"/>
          <w:szCs w:val="22"/>
        </w:rPr>
        <w:t>4 + charge for energy delivered</w:t>
      </w:r>
    </w:p>
    <w:p w14:paraId="521840FE"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Procurement</w:t>
      </w:r>
    </w:p>
    <w:p w14:paraId="521840FF" w14:textId="77777777" w:rsidR="00C40DDF" w:rsidRPr="00C526F2" w:rsidRDefault="00C40DDF" w:rsidP="00C526F2">
      <w:pPr>
        <w:pStyle w:val="DeptBullets"/>
        <w:numPr>
          <w:ilvl w:val="0"/>
          <w:numId w:val="13"/>
        </w:numPr>
        <w:spacing w:after="160"/>
        <w:rPr>
          <w:rFonts w:cs="Arial"/>
          <w:sz w:val="22"/>
          <w:szCs w:val="22"/>
        </w:rPr>
      </w:pPr>
      <w:r w:rsidRPr="00C526F2">
        <w:rPr>
          <w:rFonts w:cs="Arial"/>
          <w:sz w:val="22"/>
          <w:szCs w:val="22"/>
        </w:rPr>
        <w:t>How have we ensured that we have followed the correct public (and EU if above thresholds) procurement practices in determining potential suppliers and to achieve best value?</w:t>
      </w:r>
    </w:p>
    <w:p w14:paraId="52184100"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Funding</w:t>
      </w:r>
    </w:p>
    <w:p w14:paraId="52184101" w14:textId="77777777" w:rsidR="00C40DDF" w:rsidRPr="00C526F2" w:rsidRDefault="00C40DDF" w:rsidP="006561F3">
      <w:pPr>
        <w:pStyle w:val="DeptBullets"/>
        <w:numPr>
          <w:ilvl w:val="0"/>
          <w:numId w:val="8"/>
        </w:numPr>
        <w:spacing w:after="0"/>
        <w:rPr>
          <w:rFonts w:cs="Arial"/>
          <w:b/>
          <w:sz w:val="22"/>
          <w:szCs w:val="22"/>
        </w:rPr>
      </w:pPr>
      <w:r w:rsidRPr="00C526F2">
        <w:rPr>
          <w:rFonts w:cs="Arial"/>
          <w:sz w:val="22"/>
          <w:szCs w:val="22"/>
        </w:rPr>
        <w:t>Have we considered the Renewable Heat Incentive (RHI), Enhanced Capital Allowance, Feed-In Tariffs, Enterprise Investment Scheme and Salix?</w:t>
      </w:r>
    </w:p>
    <w:p w14:paraId="52184102" w14:textId="77777777" w:rsidR="00C40DDF" w:rsidRPr="00C526F2" w:rsidRDefault="00C40DDF" w:rsidP="006561F3">
      <w:pPr>
        <w:pStyle w:val="DeptBullets"/>
        <w:numPr>
          <w:ilvl w:val="0"/>
          <w:numId w:val="8"/>
        </w:numPr>
        <w:spacing w:after="0"/>
        <w:rPr>
          <w:rFonts w:cs="Arial"/>
          <w:b/>
          <w:sz w:val="22"/>
          <w:szCs w:val="22"/>
        </w:rPr>
      </w:pPr>
      <w:r w:rsidRPr="00C526F2">
        <w:rPr>
          <w:rFonts w:cs="Arial"/>
          <w:sz w:val="22"/>
          <w:szCs w:val="22"/>
        </w:rPr>
        <w:t>Have we maximised RHI?</w:t>
      </w:r>
    </w:p>
    <w:p w14:paraId="52184103" w14:textId="77777777" w:rsidR="00C40DDF" w:rsidRPr="00C526F2" w:rsidRDefault="00C40DDF" w:rsidP="00C526F2">
      <w:pPr>
        <w:pStyle w:val="DeptBullets"/>
        <w:numPr>
          <w:ilvl w:val="0"/>
          <w:numId w:val="8"/>
        </w:numPr>
        <w:spacing w:after="160"/>
        <w:rPr>
          <w:rFonts w:cs="Arial"/>
          <w:b/>
          <w:sz w:val="22"/>
          <w:szCs w:val="22"/>
        </w:rPr>
      </w:pPr>
      <w:r w:rsidRPr="00C526F2">
        <w:rPr>
          <w:rFonts w:cs="Arial"/>
          <w:sz w:val="22"/>
          <w:szCs w:val="22"/>
        </w:rPr>
        <w:t>What financing, leasing and supply options have we considered?</w:t>
      </w:r>
    </w:p>
    <w:p w14:paraId="52184104" w14:textId="77777777" w:rsidR="00C40DDF" w:rsidRPr="009978D5" w:rsidRDefault="00C40DDF" w:rsidP="006561F3">
      <w:pPr>
        <w:pStyle w:val="Heading4"/>
        <w:spacing w:before="0" w:after="160"/>
        <w:rPr>
          <w:rFonts w:cs="Arial"/>
          <w:b w:val="0"/>
          <w:color w:val="104F75"/>
          <w:sz w:val="22"/>
          <w:szCs w:val="22"/>
        </w:rPr>
      </w:pPr>
      <w:r w:rsidRPr="009978D5">
        <w:rPr>
          <w:rFonts w:cs="Arial"/>
          <w:color w:val="104F75"/>
          <w:sz w:val="22"/>
          <w:szCs w:val="22"/>
        </w:rPr>
        <w:t xml:space="preserve">Case </w:t>
      </w:r>
      <w:r w:rsidRPr="009978D5">
        <w:rPr>
          <w:color w:val="104F75"/>
          <w:sz w:val="22"/>
          <w:szCs w:val="22"/>
        </w:rPr>
        <w:t>Studies</w:t>
      </w:r>
    </w:p>
    <w:p w14:paraId="52184105" w14:textId="77777777" w:rsidR="00C40DDF" w:rsidRPr="00C526F2" w:rsidRDefault="00C40DDF" w:rsidP="00C526F2">
      <w:pPr>
        <w:pStyle w:val="DeptBullets"/>
        <w:numPr>
          <w:ilvl w:val="0"/>
          <w:numId w:val="11"/>
        </w:numPr>
        <w:spacing w:after="160"/>
        <w:rPr>
          <w:rFonts w:cs="Arial"/>
          <w:b/>
          <w:sz w:val="22"/>
          <w:szCs w:val="22"/>
        </w:rPr>
      </w:pPr>
      <w:r w:rsidRPr="00C526F2">
        <w:rPr>
          <w:rFonts w:cs="Arial"/>
          <w:sz w:val="22"/>
          <w:szCs w:val="22"/>
        </w:rPr>
        <w:t>Are there existing installations in comparable institutions from which we can learn?</w:t>
      </w:r>
    </w:p>
    <w:p w14:paraId="52184106"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Further</w:t>
      </w:r>
      <w:r w:rsidRPr="009978D5">
        <w:rPr>
          <w:rFonts w:cs="Arial"/>
          <w:color w:val="104F75"/>
          <w:sz w:val="22"/>
          <w:szCs w:val="22"/>
        </w:rPr>
        <w:t xml:space="preserve"> Information from DfE:</w:t>
      </w:r>
    </w:p>
    <w:p w14:paraId="52184107" w14:textId="77777777" w:rsidR="00C40DDF" w:rsidRPr="00C526F2" w:rsidRDefault="00C40DDF" w:rsidP="00C526F2">
      <w:pPr>
        <w:pStyle w:val="DeptBullets"/>
        <w:numPr>
          <w:ilvl w:val="0"/>
          <w:numId w:val="11"/>
        </w:numPr>
        <w:spacing w:after="160"/>
        <w:rPr>
          <w:rFonts w:cs="Arial"/>
          <w:sz w:val="22"/>
          <w:szCs w:val="22"/>
        </w:rPr>
      </w:pPr>
      <w:smartTag w:uri="urn:schemas-microsoft-com:office:smarttags" w:element="place">
        <w:smartTag w:uri="urn:schemas-microsoft-com:office:smarttags" w:element="PlaceName">
          <w:r w:rsidRPr="00C526F2">
            <w:rPr>
              <w:rFonts w:cs="Arial"/>
              <w:sz w:val="22"/>
              <w:szCs w:val="22"/>
            </w:rPr>
            <w:t>Priority</w:t>
          </w:r>
        </w:smartTag>
        <w:r w:rsidRPr="00C526F2">
          <w:rPr>
            <w:rFonts w:cs="Arial"/>
            <w:sz w:val="22"/>
            <w:szCs w:val="22"/>
          </w:rPr>
          <w:t xml:space="preserve"> </w:t>
        </w:r>
        <w:smartTag w:uri="urn:schemas-microsoft-com:office:smarttags" w:element="PlaceType">
          <w:r w:rsidRPr="00C526F2">
            <w:rPr>
              <w:rFonts w:cs="Arial"/>
              <w:sz w:val="22"/>
              <w:szCs w:val="22"/>
            </w:rPr>
            <w:t>Schools</w:t>
          </w:r>
        </w:smartTag>
        <w:r w:rsidRPr="00C526F2">
          <w:rPr>
            <w:rFonts w:cs="Arial"/>
            <w:sz w:val="22"/>
            <w:szCs w:val="22"/>
          </w:rPr>
          <w:t xml:space="preserve"> </w:t>
        </w:r>
        <w:smartTag w:uri="urn:schemas-microsoft-com:office:smarttags" w:element="PlaceType">
          <w:r w:rsidRPr="00C526F2">
            <w:rPr>
              <w:rFonts w:cs="Arial"/>
              <w:sz w:val="22"/>
              <w:szCs w:val="22"/>
            </w:rPr>
            <w:t>Building</w:t>
          </w:r>
        </w:smartTag>
      </w:smartTag>
      <w:r w:rsidRPr="00C526F2">
        <w:rPr>
          <w:rFonts w:cs="Arial"/>
          <w:sz w:val="22"/>
          <w:szCs w:val="22"/>
        </w:rPr>
        <w:t xml:space="preserve"> Programme </w:t>
      </w:r>
      <w:hyperlink r:id="rId19" w:history="1">
        <w:r w:rsidRPr="00C526F2">
          <w:rPr>
            <w:rStyle w:val="Hyperlink"/>
            <w:rFonts w:cs="Arial"/>
            <w:sz w:val="22"/>
            <w:szCs w:val="22"/>
          </w:rPr>
          <w:t>Facilities Output Specification</w:t>
        </w:r>
      </w:hyperlink>
    </w:p>
    <w:p w14:paraId="52184108" w14:textId="77777777" w:rsidR="00C40DDF" w:rsidRPr="009978D5" w:rsidRDefault="00C40DDF" w:rsidP="006561F3">
      <w:pPr>
        <w:pStyle w:val="Heading4"/>
        <w:spacing w:before="0" w:after="160"/>
        <w:rPr>
          <w:rFonts w:cs="Arial"/>
          <w:b w:val="0"/>
          <w:color w:val="104F75"/>
          <w:sz w:val="22"/>
          <w:szCs w:val="22"/>
        </w:rPr>
      </w:pPr>
      <w:r w:rsidRPr="009978D5">
        <w:rPr>
          <w:color w:val="104F75"/>
          <w:sz w:val="22"/>
          <w:szCs w:val="22"/>
        </w:rPr>
        <w:t>Further</w:t>
      </w:r>
      <w:r w:rsidRPr="009978D5">
        <w:rPr>
          <w:rFonts w:cs="Arial"/>
          <w:color w:val="104F75"/>
          <w:sz w:val="22"/>
          <w:szCs w:val="22"/>
        </w:rPr>
        <w:t xml:space="preserve"> information from other organisations:</w:t>
      </w:r>
    </w:p>
    <w:p w14:paraId="52184109" w14:textId="77777777" w:rsidR="00C40DDF" w:rsidRPr="00C526F2" w:rsidRDefault="0040058D" w:rsidP="006561F3">
      <w:pPr>
        <w:pStyle w:val="DeptBullets"/>
        <w:numPr>
          <w:ilvl w:val="0"/>
          <w:numId w:val="11"/>
        </w:numPr>
        <w:spacing w:after="0"/>
        <w:rPr>
          <w:rFonts w:cs="Arial"/>
          <w:sz w:val="22"/>
          <w:szCs w:val="22"/>
        </w:rPr>
      </w:pPr>
      <w:hyperlink r:id="rId20" w:history="1">
        <w:r w:rsidR="00C40DDF" w:rsidRPr="00C526F2">
          <w:rPr>
            <w:rStyle w:val="Hyperlink"/>
            <w:rFonts w:cs="Arial"/>
            <w:sz w:val="22"/>
            <w:szCs w:val="22"/>
          </w:rPr>
          <w:t>The Carbon Trust</w:t>
        </w:r>
      </w:hyperlink>
      <w:r w:rsidR="00C40DDF" w:rsidRPr="00C526F2">
        <w:rPr>
          <w:rFonts w:cs="Arial"/>
          <w:sz w:val="22"/>
          <w:szCs w:val="22"/>
        </w:rPr>
        <w:t xml:space="preserve"> </w:t>
      </w:r>
    </w:p>
    <w:p w14:paraId="5218410A" w14:textId="77777777" w:rsidR="00C40DDF" w:rsidRPr="00C526F2" w:rsidRDefault="0040058D" w:rsidP="006561F3">
      <w:pPr>
        <w:pStyle w:val="DeptBullets"/>
        <w:numPr>
          <w:ilvl w:val="0"/>
          <w:numId w:val="11"/>
        </w:numPr>
        <w:spacing w:after="0"/>
        <w:rPr>
          <w:rFonts w:cs="Arial"/>
          <w:sz w:val="22"/>
          <w:szCs w:val="22"/>
        </w:rPr>
      </w:pPr>
      <w:hyperlink r:id="rId21" w:history="1">
        <w:r w:rsidR="00C40DDF" w:rsidRPr="00C526F2">
          <w:rPr>
            <w:rStyle w:val="Hyperlink"/>
            <w:rFonts w:cs="Arial"/>
            <w:sz w:val="22"/>
            <w:szCs w:val="22"/>
          </w:rPr>
          <w:t>Chartered Institution of Chartered Building Services Engineers</w:t>
        </w:r>
      </w:hyperlink>
      <w:r w:rsidR="00C40DDF" w:rsidRPr="00C526F2">
        <w:rPr>
          <w:rFonts w:cs="Arial"/>
          <w:sz w:val="22"/>
          <w:szCs w:val="22"/>
        </w:rPr>
        <w:t>:</w:t>
      </w:r>
      <w:r w:rsidR="00C40DDF">
        <w:rPr>
          <w:rFonts w:cs="Arial"/>
          <w:sz w:val="22"/>
          <w:szCs w:val="22"/>
        </w:rPr>
        <w:t xml:space="preserve"> </w:t>
      </w:r>
    </w:p>
    <w:p w14:paraId="5218410B" w14:textId="77777777" w:rsidR="00C40DDF" w:rsidRPr="00C526F2" w:rsidRDefault="00C40DDF" w:rsidP="006561F3">
      <w:pPr>
        <w:pStyle w:val="DeptBullets"/>
        <w:numPr>
          <w:ilvl w:val="0"/>
          <w:numId w:val="0"/>
        </w:numPr>
        <w:spacing w:after="0"/>
        <w:ind w:left="720"/>
        <w:rPr>
          <w:rFonts w:cs="Arial"/>
          <w:sz w:val="22"/>
          <w:szCs w:val="22"/>
        </w:rPr>
      </w:pPr>
      <w:r w:rsidRPr="00C526F2">
        <w:rPr>
          <w:rFonts w:cs="Arial"/>
          <w:sz w:val="22"/>
          <w:szCs w:val="22"/>
        </w:rPr>
        <w:t>Journals (December 2012, April 2013)</w:t>
      </w:r>
    </w:p>
    <w:p w14:paraId="5218410C" w14:textId="77777777" w:rsidR="00C40DDF" w:rsidRPr="00C526F2" w:rsidRDefault="0040058D" w:rsidP="00C526F2">
      <w:pPr>
        <w:pStyle w:val="DeptBullets"/>
        <w:numPr>
          <w:ilvl w:val="0"/>
          <w:numId w:val="11"/>
        </w:numPr>
        <w:spacing w:after="160"/>
        <w:rPr>
          <w:rFonts w:cs="Arial"/>
          <w:sz w:val="22"/>
          <w:szCs w:val="22"/>
        </w:rPr>
      </w:pPr>
      <w:hyperlink r:id="rId22" w:history="1">
        <w:r w:rsidR="00C40DDF" w:rsidRPr="00C526F2">
          <w:rPr>
            <w:rStyle w:val="Hyperlink"/>
            <w:rFonts w:cs="Arial"/>
            <w:sz w:val="22"/>
            <w:szCs w:val="22"/>
          </w:rPr>
          <w:t>Health and Safety Executive</w:t>
        </w:r>
      </w:hyperlink>
      <w:r w:rsidR="00C40DDF" w:rsidRPr="00C526F2">
        <w:rPr>
          <w:rFonts w:cs="Arial"/>
          <w:sz w:val="22"/>
          <w:szCs w:val="22"/>
        </w:rPr>
        <w:t xml:space="preserve"> </w:t>
      </w:r>
    </w:p>
    <w:p w14:paraId="5218410D" w14:textId="77777777" w:rsidR="00C40DDF" w:rsidRDefault="00C40DDF" w:rsidP="00C526F2">
      <w:pPr>
        <w:spacing w:after="160"/>
        <w:rPr>
          <w:rFonts w:cs="Calibri"/>
          <w:b/>
          <w:sz w:val="24"/>
          <w:szCs w:val="24"/>
        </w:rPr>
      </w:pPr>
      <w:r w:rsidRPr="00C526F2">
        <w:rPr>
          <w:rFonts w:cs="Calibri"/>
          <w:b/>
        </w:rPr>
        <w:br w:type="page"/>
      </w:r>
    </w:p>
    <w:p w14:paraId="5218410E" w14:textId="77777777" w:rsidR="00C40DDF" w:rsidRPr="006561F3" w:rsidRDefault="00C40DDF" w:rsidP="006561F3">
      <w:pPr>
        <w:pStyle w:val="Heading2"/>
      </w:pPr>
      <w:r w:rsidRPr="006561F3">
        <w:t>ANNEX:</w:t>
      </w:r>
      <w:r>
        <w:t xml:space="preserve"> </w:t>
      </w:r>
      <w:smartTag w:uri="urn:schemas-microsoft-com:office:smarttags" w:element="PlaceName">
        <w:smartTag w:uri="urn:schemas-microsoft-com:office:smarttags" w:element="place">
          <w:r w:rsidRPr="006561F3">
            <w:t>Priority</w:t>
          </w:r>
        </w:smartTag>
        <w:r w:rsidRPr="006561F3">
          <w:t xml:space="preserve"> </w:t>
        </w:r>
        <w:smartTag w:uri="urn:schemas-microsoft-com:office:smarttags" w:element="PlaceType">
          <w:r w:rsidRPr="006561F3">
            <w:t>School</w:t>
          </w:r>
        </w:smartTag>
        <w:r w:rsidRPr="006561F3">
          <w:t xml:space="preserve"> </w:t>
        </w:r>
        <w:smartTag w:uri="urn:schemas-microsoft-com:office:smarttags" w:element="PlaceType">
          <w:r w:rsidRPr="006561F3">
            <w:t>Building</w:t>
          </w:r>
        </w:smartTag>
      </w:smartTag>
      <w:r w:rsidRPr="006561F3">
        <w:t xml:space="preserve"> Programme Facilities Output Specification (FOS)</w:t>
      </w:r>
    </w:p>
    <w:p w14:paraId="5218410F" w14:textId="77777777" w:rsidR="00C40DDF" w:rsidRPr="006561F3" w:rsidRDefault="00C40DDF" w:rsidP="00D00621">
      <w:pPr>
        <w:pStyle w:val="DeptBullets"/>
        <w:numPr>
          <w:ilvl w:val="0"/>
          <w:numId w:val="0"/>
        </w:numPr>
        <w:rPr>
          <w:rFonts w:cs="Arial"/>
          <w:i/>
          <w:sz w:val="22"/>
          <w:szCs w:val="22"/>
        </w:rPr>
      </w:pPr>
      <w:r w:rsidRPr="006561F3">
        <w:rPr>
          <w:rFonts w:cs="Arial"/>
          <w:i/>
          <w:sz w:val="22"/>
          <w:szCs w:val="22"/>
        </w:rPr>
        <w:t xml:space="preserve">The information below is an extract from the </w:t>
      </w:r>
      <w:hyperlink r:id="rId23" w:history="1">
        <w:r w:rsidRPr="006561F3">
          <w:rPr>
            <w:rStyle w:val="Hyperlink"/>
            <w:rFonts w:cs="Arial"/>
            <w:i/>
            <w:sz w:val="22"/>
            <w:szCs w:val="22"/>
          </w:rPr>
          <w:t>FOS</w:t>
        </w:r>
      </w:hyperlink>
      <w:r w:rsidRPr="006561F3">
        <w:rPr>
          <w:rFonts w:cs="Arial"/>
          <w:i/>
          <w:sz w:val="22"/>
          <w:szCs w:val="22"/>
        </w:rPr>
        <w:t xml:space="preserve"> and is intended to highlight the factors and issues in procuring heating systems.</w:t>
      </w:r>
      <w:r>
        <w:rPr>
          <w:rFonts w:cs="Arial"/>
          <w:i/>
          <w:sz w:val="22"/>
          <w:szCs w:val="22"/>
        </w:rPr>
        <w:t xml:space="preserve"> </w:t>
      </w:r>
    </w:p>
    <w:p w14:paraId="52184110" w14:textId="77777777" w:rsidR="00C40DDF" w:rsidRPr="009978D5" w:rsidRDefault="00C40DDF" w:rsidP="00D00621">
      <w:pPr>
        <w:pStyle w:val="Body1"/>
        <w:spacing w:line="240" w:lineRule="auto"/>
        <w:rPr>
          <w:rFonts w:ascii="Arial" w:hAnsi="Arial" w:cs="Arial"/>
          <w:b/>
          <w:bCs/>
          <w:color w:val="104F75"/>
        </w:rPr>
      </w:pPr>
      <w:r w:rsidRPr="009978D5">
        <w:rPr>
          <w:rFonts w:ascii="Arial" w:hAnsi="Arial" w:cs="Arial"/>
          <w:b/>
          <w:bCs/>
          <w:color w:val="104F75"/>
        </w:rPr>
        <w:t>Boiler plant</w:t>
      </w:r>
    </w:p>
    <w:p w14:paraId="52184111" w14:textId="77777777" w:rsidR="00C40DDF" w:rsidRPr="006561F3" w:rsidRDefault="00C40DDF" w:rsidP="00D00621">
      <w:pPr>
        <w:pStyle w:val="ListParagraph"/>
        <w:numPr>
          <w:ilvl w:val="2"/>
          <w:numId w:val="12"/>
        </w:numPr>
        <w:spacing w:after="120"/>
        <w:contextualSpacing/>
        <w:rPr>
          <w:rFonts w:cs="Arial"/>
          <w:sz w:val="22"/>
          <w:szCs w:val="22"/>
        </w:rPr>
      </w:pPr>
      <w:r w:rsidRPr="006561F3">
        <w:rPr>
          <w:rFonts w:cs="Arial"/>
          <w:sz w:val="22"/>
          <w:szCs w:val="22"/>
        </w:rPr>
        <w:t>The Contractor shall ensure that:</w:t>
      </w:r>
    </w:p>
    <w:p w14:paraId="52184112" w14:textId="77777777" w:rsidR="00C40DDF" w:rsidRPr="006561F3" w:rsidRDefault="00C40DDF" w:rsidP="00D00621">
      <w:pPr>
        <w:pStyle w:val="ListParagraph"/>
        <w:numPr>
          <w:ilvl w:val="3"/>
          <w:numId w:val="12"/>
        </w:numPr>
        <w:spacing w:after="120"/>
        <w:ind w:left="2268" w:hanging="992"/>
        <w:contextualSpacing/>
        <w:rPr>
          <w:rFonts w:cs="Arial"/>
          <w:sz w:val="22"/>
          <w:szCs w:val="22"/>
        </w:rPr>
      </w:pPr>
      <w:r w:rsidRPr="006561F3">
        <w:rPr>
          <w:rFonts w:cs="Arial"/>
          <w:sz w:val="22"/>
          <w:szCs w:val="22"/>
        </w:rPr>
        <w:t>All boiler loads are based on the results of an hourly heat demand model for the building</w:t>
      </w:r>
      <w:r w:rsidRPr="006561F3">
        <w:rPr>
          <w:rFonts w:cs="Arial"/>
          <w:sz w:val="22"/>
          <w:szCs w:val="22"/>
          <w:vertAlign w:val="superscript"/>
        </w:rPr>
        <w:footnoteReference w:customMarkFollows="1" w:id="3"/>
        <w:t>[1]</w:t>
      </w:r>
      <w:r w:rsidRPr="006561F3">
        <w:rPr>
          <w:rFonts w:cs="Arial"/>
          <w:sz w:val="22"/>
          <w:szCs w:val="22"/>
        </w:rPr>
        <w:t xml:space="preserve">. </w:t>
      </w:r>
    </w:p>
    <w:p w14:paraId="52184113" w14:textId="77777777" w:rsidR="00C40DDF" w:rsidRPr="006561F3" w:rsidRDefault="00C40DDF" w:rsidP="00D00621">
      <w:pPr>
        <w:pStyle w:val="ListParagraph"/>
        <w:numPr>
          <w:ilvl w:val="3"/>
          <w:numId w:val="12"/>
        </w:numPr>
        <w:spacing w:after="120"/>
        <w:ind w:left="2268" w:hanging="992"/>
        <w:contextualSpacing/>
        <w:rPr>
          <w:rFonts w:cs="Arial"/>
          <w:sz w:val="22"/>
          <w:szCs w:val="22"/>
        </w:rPr>
      </w:pPr>
      <w:r w:rsidRPr="006561F3">
        <w:rPr>
          <w:rFonts w:cs="Arial"/>
          <w:sz w:val="22"/>
          <w:szCs w:val="22"/>
        </w:rPr>
        <w:t>All tanks are designed for future use with bio-fuel.</w:t>
      </w:r>
    </w:p>
    <w:p w14:paraId="52184114" w14:textId="77777777" w:rsidR="00C40DDF" w:rsidRPr="006561F3" w:rsidRDefault="00C40DDF" w:rsidP="00D00621">
      <w:pPr>
        <w:pStyle w:val="ListParagraph"/>
        <w:numPr>
          <w:ilvl w:val="3"/>
          <w:numId w:val="12"/>
        </w:numPr>
        <w:spacing w:after="120"/>
        <w:ind w:left="2268" w:hanging="992"/>
        <w:contextualSpacing/>
        <w:rPr>
          <w:rFonts w:cs="Arial"/>
          <w:sz w:val="22"/>
          <w:szCs w:val="22"/>
        </w:rPr>
      </w:pPr>
      <w:r w:rsidRPr="006561F3">
        <w:rPr>
          <w:rFonts w:cs="Arial"/>
          <w:sz w:val="22"/>
          <w:szCs w:val="22"/>
        </w:rPr>
        <w:t>All burners are commissioned by an engineer employed by the burner or boiler manufacturer;</w:t>
      </w:r>
    </w:p>
    <w:p w14:paraId="52184115" w14:textId="77777777" w:rsidR="00C40DDF" w:rsidRPr="006561F3" w:rsidRDefault="00C40DDF" w:rsidP="00D00621">
      <w:pPr>
        <w:pStyle w:val="ListParagraph"/>
        <w:numPr>
          <w:ilvl w:val="3"/>
          <w:numId w:val="12"/>
        </w:numPr>
        <w:spacing w:after="120"/>
        <w:ind w:left="2268" w:hanging="992"/>
        <w:contextualSpacing/>
        <w:rPr>
          <w:rFonts w:cs="Arial"/>
          <w:sz w:val="22"/>
          <w:szCs w:val="22"/>
        </w:rPr>
      </w:pPr>
      <w:r w:rsidRPr="006561F3">
        <w:rPr>
          <w:rFonts w:cs="Arial"/>
          <w:sz w:val="22"/>
          <w:szCs w:val="22"/>
        </w:rPr>
        <w:t>Carbon Monoxide (CO) detection equipment interlocked with safety shut-off valves is installed in all boiler rooms.</w:t>
      </w:r>
    </w:p>
    <w:p w14:paraId="52184116" w14:textId="77777777" w:rsidR="00C40DDF" w:rsidRPr="006561F3" w:rsidRDefault="00C40DDF" w:rsidP="00D00621">
      <w:pPr>
        <w:pStyle w:val="ListParagraph"/>
        <w:numPr>
          <w:ilvl w:val="3"/>
          <w:numId w:val="12"/>
        </w:numPr>
        <w:spacing w:after="120"/>
        <w:ind w:left="2268" w:hanging="992"/>
        <w:contextualSpacing/>
        <w:rPr>
          <w:rFonts w:cs="Arial"/>
          <w:sz w:val="22"/>
          <w:szCs w:val="22"/>
        </w:rPr>
      </w:pPr>
      <w:r w:rsidRPr="006561F3">
        <w:rPr>
          <w:rFonts w:cs="Arial"/>
          <w:sz w:val="22"/>
          <w:szCs w:val="22"/>
        </w:rPr>
        <w:t>All chimney flue systems except those serving direct gas fired boilers operate under negative pressure without flue fans.</w:t>
      </w:r>
    </w:p>
    <w:p w14:paraId="52184117" w14:textId="77777777" w:rsidR="00C40DDF" w:rsidRPr="009978D5" w:rsidRDefault="00C40DDF" w:rsidP="00FD7C25">
      <w:pPr>
        <w:spacing w:after="160"/>
        <w:rPr>
          <w:rFonts w:ascii="Arial" w:hAnsi="Arial" w:cs="Arial"/>
          <w:b/>
          <w:bCs/>
          <w:color w:val="104F75"/>
        </w:rPr>
      </w:pPr>
      <w:r w:rsidRPr="009978D5">
        <w:rPr>
          <w:rFonts w:ascii="Arial" w:hAnsi="Arial" w:cs="Arial"/>
          <w:b/>
          <w:bCs/>
          <w:color w:val="104F75"/>
        </w:rPr>
        <w:t>Commissioning/Acceptance/Annual Tests for boiler/flue systems</w:t>
      </w:r>
    </w:p>
    <w:p w14:paraId="52184118" w14:textId="77777777" w:rsidR="00C40DDF" w:rsidRPr="006561F3" w:rsidRDefault="00C40DDF" w:rsidP="00D00621">
      <w:pPr>
        <w:pStyle w:val="ListParagraph"/>
        <w:numPr>
          <w:ilvl w:val="2"/>
          <w:numId w:val="12"/>
        </w:numPr>
        <w:spacing w:after="120"/>
        <w:contextualSpacing/>
        <w:rPr>
          <w:rFonts w:cs="Arial"/>
          <w:sz w:val="22"/>
          <w:szCs w:val="22"/>
        </w:rPr>
      </w:pPr>
      <w:r w:rsidRPr="006561F3">
        <w:rPr>
          <w:rFonts w:cs="Arial"/>
          <w:sz w:val="22"/>
          <w:szCs w:val="22"/>
        </w:rPr>
        <w:t>For all boiler plant and direct-fired hot water generators of output greater than 4kW, the Contractor shall carry out commissioning and annual performance tests for emissions and combustion efficiency and record the results in a logbook. Tests shall be in accordance with professional-level guidance such as that published by the Carbon Trust and the Chartered Institution of Building Services Engineers (CIBSE).</w:t>
      </w:r>
    </w:p>
    <w:p w14:paraId="52184119" w14:textId="77777777" w:rsidR="00C40DDF" w:rsidRPr="006561F3" w:rsidRDefault="00C40DDF" w:rsidP="00FD7C25">
      <w:pPr>
        <w:pStyle w:val="ListParagraph"/>
        <w:spacing w:after="160"/>
        <w:ind w:left="1224"/>
        <w:rPr>
          <w:rFonts w:cs="Arial"/>
          <w:sz w:val="22"/>
          <w:szCs w:val="22"/>
        </w:rPr>
      </w:pPr>
    </w:p>
    <w:p w14:paraId="5218411A" w14:textId="77777777" w:rsidR="00C40DDF" w:rsidRPr="00FD7C25" w:rsidRDefault="00C40DDF" w:rsidP="00FD7C25">
      <w:pPr>
        <w:pStyle w:val="ListParagraph"/>
        <w:numPr>
          <w:ilvl w:val="2"/>
          <w:numId w:val="12"/>
        </w:numPr>
        <w:spacing w:after="160"/>
        <w:contextualSpacing/>
        <w:rPr>
          <w:rFonts w:cs="Arial"/>
          <w:sz w:val="22"/>
          <w:szCs w:val="22"/>
        </w:rPr>
      </w:pPr>
      <w:r w:rsidRPr="00FD7C25">
        <w:rPr>
          <w:rFonts w:cs="Arial"/>
          <w:sz w:val="22"/>
          <w:szCs w:val="22"/>
        </w:rPr>
        <w:t xml:space="preserve">The Contractor shall ensure that the boiler/flue system is tested during commissioning once the boiler can be brought up to full fire for a sustained period as follows: </w:t>
      </w:r>
    </w:p>
    <w:p w14:paraId="5218411B" w14:textId="77777777" w:rsidR="00C40DDF" w:rsidRPr="006561F3" w:rsidRDefault="00C40DDF" w:rsidP="00FD7C25">
      <w:pPr>
        <w:pStyle w:val="ListParagraph"/>
        <w:numPr>
          <w:ilvl w:val="3"/>
          <w:numId w:val="12"/>
        </w:numPr>
        <w:spacing w:after="160"/>
        <w:ind w:left="2268" w:hanging="992"/>
        <w:contextualSpacing/>
        <w:rPr>
          <w:rFonts w:cs="Arial"/>
          <w:sz w:val="22"/>
          <w:szCs w:val="22"/>
        </w:rPr>
      </w:pPr>
      <w:r w:rsidRPr="006561F3">
        <w:rPr>
          <w:rFonts w:cs="Arial"/>
          <w:sz w:val="22"/>
          <w:szCs w:val="22"/>
        </w:rPr>
        <w:t>by Flue Gas Analysis with an EN 50379:2</w:t>
      </w:r>
      <w:r w:rsidRPr="006561F3">
        <w:rPr>
          <w:rFonts w:cs="Arial"/>
          <w:sz w:val="22"/>
          <w:szCs w:val="22"/>
        </w:rPr>
        <w:footnoteReference w:customMarkFollows="1" w:id="4"/>
        <w:t>[2] compliant instrument;</w:t>
      </w:r>
    </w:p>
    <w:p w14:paraId="5218411C" w14:textId="77777777" w:rsidR="00C40DDF" w:rsidRPr="006561F3" w:rsidRDefault="00C40DDF" w:rsidP="00FD7C25">
      <w:pPr>
        <w:pStyle w:val="ListParagraph"/>
        <w:numPr>
          <w:ilvl w:val="3"/>
          <w:numId w:val="12"/>
        </w:numPr>
        <w:spacing w:after="160"/>
        <w:ind w:left="2268" w:hanging="992"/>
        <w:contextualSpacing/>
        <w:rPr>
          <w:rFonts w:cs="Arial"/>
          <w:sz w:val="22"/>
          <w:szCs w:val="22"/>
        </w:rPr>
      </w:pPr>
      <w:r w:rsidRPr="006561F3">
        <w:rPr>
          <w:rFonts w:cs="Arial"/>
          <w:sz w:val="22"/>
          <w:szCs w:val="22"/>
        </w:rPr>
        <w:t>at full fire and at low fire;</w:t>
      </w:r>
    </w:p>
    <w:p w14:paraId="5218411D" w14:textId="77777777" w:rsidR="00C40DDF" w:rsidRPr="006561F3" w:rsidRDefault="00C40DDF" w:rsidP="00FD7C25">
      <w:pPr>
        <w:pStyle w:val="ListParagraph"/>
        <w:numPr>
          <w:ilvl w:val="3"/>
          <w:numId w:val="12"/>
        </w:numPr>
        <w:spacing w:after="160"/>
        <w:ind w:left="2268" w:hanging="992"/>
        <w:contextualSpacing/>
        <w:rPr>
          <w:rFonts w:cs="Arial"/>
          <w:sz w:val="22"/>
          <w:szCs w:val="22"/>
        </w:rPr>
      </w:pPr>
      <w:r w:rsidRPr="006561F3">
        <w:rPr>
          <w:rFonts w:cs="Arial"/>
          <w:sz w:val="22"/>
          <w:szCs w:val="22"/>
        </w:rPr>
        <w:t>for O2, CO, CO2, HC measured in mg/m³;</w:t>
      </w:r>
    </w:p>
    <w:p w14:paraId="5218411E" w14:textId="77777777" w:rsidR="00C40DDF" w:rsidRPr="006561F3" w:rsidRDefault="00C40DDF" w:rsidP="00FD7C25">
      <w:pPr>
        <w:pStyle w:val="ListParagraph"/>
        <w:numPr>
          <w:ilvl w:val="3"/>
          <w:numId w:val="12"/>
        </w:numPr>
        <w:spacing w:after="160"/>
        <w:ind w:left="2268" w:hanging="992"/>
        <w:contextualSpacing/>
        <w:rPr>
          <w:rFonts w:cs="Arial"/>
          <w:sz w:val="22"/>
          <w:szCs w:val="22"/>
        </w:rPr>
      </w:pPr>
      <w:r w:rsidRPr="006561F3">
        <w:rPr>
          <w:rFonts w:cs="Arial"/>
          <w:sz w:val="22"/>
          <w:szCs w:val="22"/>
        </w:rPr>
        <w:t>to record the temperature of the incoming combustion air and of the flue gases;</w:t>
      </w:r>
    </w:p>
    <w:p w14:paraId="5218411F" w14:textId="77777777" w:rsidR="00C40DDF" w:rsidRPr="006561F3" w:rsidRDefault="00C40DDF" w:rsidP="00FD7C25">
      <w:pPr>
        <w:pStyle w:val="ListParagraph"/>
        <w:numPr>
          <w:ilvl w:val="3"/>
          <w:numId w:val="12"/>
        </w:numPr>
        <w:spacing w:after="160"/>
        <w:ind w:left="2268" w:hanging="992"/>
        <w:contextualSpacing/>
        <w:rPr>
          <w:rFonts w:cs="Arial"/>
          <w:sz w:val="22"/>
          <w:szCs w:val="22"/>
        </w:rPr>
      </w:pPr>
      <w:r w:rsidRPr="006561F3">
        <w:rPr>
          <w:rFonts w:cs="Arial"/>
          <w:sz w:val="22"/>
          <w:szCs w:val="22"/>
        </w:rPr>
        <w:t>for pressure differential to verify the performance of the flue. The flue system is tested to ensure that its leakage rate does not exceed that designated according to EN1443</w:t>
      </w:r>
      <w:r w:rsidRPr="006561F3">
        <w:rPr>
          <w:rFonts w:cs="Arial"/>
          <w:sz w:val="22"/>
          <w:szCs w:val="22"/>
        </w:rPr>
        <w:footnoteReference w:customMarkFollows="1" w:id="5"/>
        <w:t>[3] for the particular flue type;</w:t>
      </w:r>
      <w:r>
        <w:rPr>
          <w:rFonts w:cs="Arial"/>
          <w:sz w:val="22"/>
          <w:szCs w:val="22"/>
        </w:rPr>
        <w:t xml:space="preserve"> </w:t>
      </w:r>
    </w:p>
    <w:p w14:paraId="52184120" w14:textId="77777777" w:rsidR="00C40DDF" w:rsidRPr="006561F3" w:rsidRDefault="00C40DDF" w:rsidP="00FD7C25">
      <w:pPr>
        <w:pStyle w:val="ListParagraph"/>
        <w:numPr>
          <w:ilvl w:val="3"/>
          <w:numId w:val="12"/>
        </w:numPr>
        <w:spacing w:after="160"/>
        <w:ind w:left="2268" w:hanging="992"/>
        <w:contextualSpacing/>
        <w:rPr>
          <w:rFonts w:cs="Arial"/>
          <w:sz w:val="22"/>
          <w:szCs w:val="22"/>
        </w:rPr>
      </w:pPr>
      <w:r w:rsidRPr="006561F3">
        <w:rPr>
          <w:rFonts w:cs="Arial"/>
          <w:sz w:val="22"/>
          <w:szCs w:val="22"/>
        </w:rPr>
        <w:t>the flue gas loss % (i.e. - % energy loss up flue [Siegert Formula]), lambda (the degree to which the fuel air mix approaches the ideal), boiler efficiency and dew point shall be recorded.</w:t>
      </w:r>
    </w:p>
    <w:p w14:paraId="52184121" w14:textId="77777777" w:rsidR="00C40DDF" w:rsidRPr="006561F3" w:rsidRDefault="00C40DDF" w:rsidP="00FD7C25">
      <w:pPr>
        <w:pStyle w:val="ListParagraph"/>
        <w:numPr>
          <w:ilvl w:val="2"/>
          <w:numId w:val="12"/>
        </w:numPr>
        <w:spacing w:after="160"/>
        <w:contextualSpacing/>
        <w:rPr>
          <w:rFonts w:cs="Arial"/>
          <w:b/>
          <w:bCs/>
          <w:sz w:val="22"/>
          <w:szCs w:val="22"/>
        </w:rPr>
      </w:pPr>
      <w:r w:rsidRPr="006561F3">
        <w:rPr>
          <w:rFonts w:cs="Arial"/>
          <w:sz w:val="22"/>
          <w:szCs w:val="22"/>
        </w:rPr>
        <w:t xml:space="preserve">Where there is no permanent monitoring of flue-gas analysis, flue-gas temperature, mass flow, flue gas velocity and draft there is an opening with readily removed, gas-tight cap into the side of the primary connecting flue of 12 – 22mm for a Flue Gas Analysis probe. This is within 500mm of the boiler connection or according to the boiler manufacturer’s instruction and </w:t>
      </w:r>
      <w:r w:rsidRPr="006561F3">
        <w:rPr>
          <w:rFonts w:cs="Arial"/>
          <w:sz w:val="22"/>
          <w:szCs w:val="22"/>
        </w:rPr>
        <w:lastRenderedPageBreak/>
        <w:t xml:space="preserve">upstream of any draft stabiliser or anything which might alter the temperature or composition of the flue gas. </w:t>
      </w:r>
    </w:p>
    <w:p w14:paraId="52184122" w14:textId="77777777" w:rsidR="00C40DDF" w:rsidRPr="009978D5" w:rsidRDefault="00C40DDF" w:rsidP="00FD7C25">
      <w:pPr>
        <w:spacing w:after="160"/>
        <w:rPr>
          <w:rFonts w:ascii="Arial" w:hAnsi="Arial" w:cs="Arial"/>
          <w:b/>
          <w:bCs/>
          <w:color w:val="104F75"/>
        </w:rPr>
      </w:pPr>
      <w:r w:rsidRPr="009978D5">
        <w:rPr>
          <w:rFonts w:ascii="Arial" w:hAnsi="Arial" w:cs="Arial"/>
          <w:b/>
          <w:bCs/>
          <w:color w:val="104F75"/>
        </w:rPr>
        <w:t>Annual monitoring</w:t>
      </w:r>
    </w:p>
    <w:p w14:paraId="52184123" w14:textId="77777777" w:rsidR="00C40DDF" w:rsidRPr="006561F3" w:rsidRDefault="00C40DDF" w:rsidP="00D00621">
      <w:pPr>
        <w:pStyle w:val="ListParagraph"/>
        <w:numPr>
          <w:ilvl w:val="2"/>
          <w:numId w:val="12"/>
        </w:numPr>
        <w:spacing w:after="120"/>
        <w:contextualSpacing/>
        <w:rPr>
          <w:rFonts w:cs="Arial"/>
          <w:color w:val="000000"/>
          <w:sz w:val="22"/>
          <w:szCs w:val="22"/>
        </w:rPr>
      </w:pPr>
      <w:r w:rsidRPr="006561F3">
        <w:rPr>
          <w:rFonts w:cs="Arial"/>
          <w:sz w:val="22"/>
          <w:szCs w:val="22"/>
        </w:rPr>
        <w:t>The</w:t>
      </w:r>
      <w:r w:rsidRPr="006561F3">
        <w:rPr>
          <w:rFonts w:cs="Arial"/>
          <w:color w:val="000000"/>
          <w:sz w:val="22"/>
          <w:szCs w:val="22"/>
        </w:rPr>
        <w:t xml:space="preserve"> Contractor shall design the system to enable annual repetition of the above test to provide an independent check on the system’s efficiency and its emissions (as required by the Services Output Specification).</w:t>
      </w:r>
    </w:p>
    <w:p w14:paraId="52184124" w14:textId="77777777" w:rsidR="00C40DDF" w:rsidRPr="009978D5" w:rsidRDefault="00C40DDF" w:rsidP="00FD7C25">
      <w:pPr>
        <w:pStyle w:val="Body1"/>
        <w:spacing w:after="160" w:line="240" w:lineRule="auto"/>
        <w:rPr>
          <w:rFonts w:ascii="Arial" w:hAnsi="Arial" w:cs="Arial"/>
          <w:b/>
          <w:bCs/>
          <w:color w:val="104F75"/>
        </w:rPr>
      </w:pPr>
      <w:r w:rsidRPr="009978D5">
        <w:rPr>
          <w:rFonts w:ascii="Arial" w:hAnsi="Arial" w:cs="Arial"/>
          <w:b/>
          <w:bCs/>
          <w:color w:val="104F75"/>
        </w:rPr>
        <w:t>Biomass and biofuel systems</w:t>
      </w:r>
    </w:p>
    <w:p w14:paraId="52184125" w14:textId="77777777" w:rsidR="00C40DDF" w:rsidRPr="00FD7C25" w:rsidRDefault="00C40DDF" w:rsidP="00FD7C25">
      <w:pPr>
        <w:pStyle w:val="ListParagraph"/>
        <w:numPr>
          <w:ilvl w:val="2"/>
          <w:numId w:val="12"/>
        </w:numPr>
        <w:spacing w:after="160"/>
        <w:ind w:left="1224" w:hanging="231"/>
        <w:contextualSpacing/>
        <w:rPr>
          <w:rFonts w:cs="Arial"/>
          <w:sz w:val="22"/>
          <w:szCs w:val="22"/>
        </w:rPr>
      </w:pPr>
      <w:r w:rsidRPr="00FD7C25">
        <w:rPr>
          <w:rFonts w:cs="Arial"/>
          <w:sz w:val="22"/>
          <w:szCs w:val="22"/>
        </w:rPr>
        <w:t>The Contractor shall assess the feasibility of using any Biomass boiler systems using the Carbon Trust Biomass Boiler sizing tool. The tool should be used to prove that the heating system balance temperature, the utilisation factors for the boilers, the sizes of buffer vessels and/or thermal stores and the seasonal heating system efficiency justify the use of Biomass as a fuel and justify the key parameters of the system design. Account shall be taken of legislation and design advice</w:t>
      </w:r>
      <w:r w:rsidRPr="00FD7C25">
        <w:rPr>
          <w:rFonts w:cs="Arial"/>
          <w:sz w:val="22"/>
          <w:szCs w:val="22"/>
          <w:vertAlign w:val="superscript"/>
        </w:rPr>
        <w:footnoteReference w:customMarkFollows="1" w:id="6"/>
        <w:t>[4]</w:t>
      </w:r>
      <w:r w:rsidRPr="00FD7C25">
        <w:rPr>
          <w:rFonts w:cs="Arial"/>
          <w:sz w:val="22"/>
          <w:szCs w:val="22"/>
        </w:rPr>
        <w:t xml:space="preserve">. </w:t>
      </w:r>
    </w:p>
    <w:p w14:paraId="52184126" w14:textId="77777777" w:rsidR="00C40DDF" w:rsidRPr="00FD7C25" w:rsidRDefault="00C40DDF" w:rsidP="00FD7C25">
      <w:pPr>
        <w:pStyle w:val="ListParagraph"/>
        <w:numPr>
          <w:ilvl w:val="2"/>
          <w:numId w:val="12"/>
        </w:numPr>
        <w:spacing w:after="160"/>
        <w:contextualSpacing/>
        <w:rPr>
          <w:rFonts w:cs="Arial"/>
          <w:sz w:val="22"/>
          <w:szCs w:val="22"/>
        </w:rPr>
      </w:pPr>
      <w:r w:rsidRPr="00FD7C25">
        <w:rPr>
          <w:rFonts w:cs="Arial"/>
          <w:sz w:val="22"/>
          <w:szCs w:val="22"/>
        </w:rPr>
        <w:t>For biomass and biofuel systems to function efficiently, a reliable and consistent supply of quality controlled fuel is required</w:t>
      </w:r>
      <w:r w:rsidRPr="00FD7C25">
        <w:rPr>
          <w:rFonts w:cs="Arial"/>
          <w:sz w:val="22"/>
          <w:szCs w:val="22"/>
          <w:vertAlign w:val="superscript"/>
        </w:rPr>
        <w:footnoteReference w:customMarkFollows="1" w:id="7"/>
        <w:t>[5]</w:t>
      </w:r>
      <w:r w:rsidRPr="00FD7C25">
        <w:rPr>
          <w:rFonts w:cs="Arial"/>
          <w:sz w:val="22"/>
          <w:szCs w:val="22"/>
        </w:rPr>
        <w:t xml:space="preserve">. </w:t>
      </w:r>
    </w:p>
    <w:p w14:paraId="52184127" w14:textId="77777777" w:rsidR="00C40DDF" w:rsidRPr="006561F3" w:rsidRDefault="00C40DDF" w:rsidP="00FD7C25">
      <w:pPr>
        <w:pStyle w:val="ListParagraph"/>
        <w:numPr>
          <w:ilvl w:val="2"/>
          <w:numId w:val="12"/>
        </w:numPr>
        <w:spacing w:after="160"/>
        <w:contextualSpacing/>
        <w:rPr>
          <w:rFonts w:cs="Arial"/>
          <w:sz w:val="22"/>
          <w:szCs w:val="22"/>
        </w:rPr>
      </w:pPr>
      <w:r w:rsidRPr="006561F3">
        <w:rPr>
          <w:rFonts w:cs="Arial"/>
          <w:sz w:val="22"/>
          <w:szCs w:val="22"/>
        </w:rPr>
        <w:t>The feasibility assessment and planned fuel supply shall be recorded in the heating strategy submitted as part of the IPDSB stage Environmental Strategy report.</w:t>
      </w:r>
    </w:p>
    <w:p w14:paraId="52184128" w14:textId="77777777" w:rsidR="00C40DDF" w:rsidRDefault="00C40DDF" w:rsidP="00D00621"/>
    <w:p w14:paraId="52184129" w14:textId="77777777" w:rsidR="00C40DDF" w:rsidRDefault="00C40DDF"/>
    <w:sectPr w:rsidR="00C40DDF" w:rsidSect="004A0B5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8412E" w14:textId="77777777" w:rsidR="00C40DDF" w:rsidRDefault="00C40DDF" w:rsidP="00D00621">
      <w:r>
        <w:separator/>
      </w:r>
    </w:p>
  </w:endnote>
  <w:endnote w:type="continuationSeparator" w:id="0">
    <w:p w14:paraId="5218412F" w14:textId="77777777" w:rsidR="00C40DDF" w:rsidRDefault="00C40DDF" w:rsidP="00D0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4130" w14:textId="77777777" w:rsidR="00C40DDF" w:rsidRPr="00C526F2" w:rsidRDefault="00C40DDF" w:rsidP="009978D5">
    <w:pPr>
      <w:pStyle w:val="CopyrightBox"/>
      <w:rPr>
        <w:sz w:val="22"/>
        <w:szCs w:val="22"/>
      </w:rPr>
    </w:pPr>
    <w:r w:rsidRPr="00C526F2">
      <w:rPr>
        <w:sz w:val="22"/>
        <w:szCs w:val="22"/>
      </w:rPr>
      <w:t xml:space="preserve">© Crown copyright </w:t>
    </w:r>
    <w:r>
      <w:rPr>
        <w:sz w:val="22"/>
        <w:szCs w:val="22"/>
      </w:rPr>
      <w:t xml:space="preserve">published September </w:t>
    </w:r>
    <w:r w:rsidRPr="00C526F2">
      <w:rPr>
        <w:sz w:val="22"/>
        <w:szCs w:val="22"/>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8412C" w14:textId="77777777" w:rsidR="00C40DDF" w:rsidRDefault="00C40DDF" w:rsidP="00D00621">
      <w:r>
        <w:separator/>
      </w:r>
    </w:p>
  </w:footnote>
  <w:footnote w:type="continuationSeparator" w:id="0">
    <w:p w14:paraId="5218412D" w14:textId="77777777" w:rsidR="00C40DDF" w:rsidRDefault="00C40DDF" w:rsidP="00D00621">
      <w:r>
        <w:continuationSeparator/>
      </w:r>
    </w:p>
  </w:footnote>
  <w:footnote w:id="1">
    <w:p w14:paraId="52184131" w14:textId="77777777" w:rsidR="00C40DDF" w:rsidRDefault="00C40DDF" w:rsidP="00D00621">
      <w:pPr>
        <w:pStyle w:val="FootnoteText"/>
      </w:pPr>
      <w:r>
        <w:rPr>
          <w:rStyle w:val="FootnoteReference"/>
        </w:rPr>
        <w:footnoteRef/>
      </w:r>
      <w:r>
        <w:t xml:space="preserve"> CIBSE Journal 2013</w:t>
      </w:r>
    </w:p>
  </w:footnote>
  <w:footnote w:id="2">
    <w:p w14:paraId="52184132" w14:textId="77777777" w:rsidR="00C40DDF" w:rsidRDefault="00C40DDF" w:rsidP="00D00621">
      <w:pPr>
        <w:pStyle w:val="FootnoteText"/>
      </w:pPr>
      <w:r>
        <w:rPr>
          <w:rStyle w:val="FootnoteReference"/>
        </w:rPr>
        <w:footnoteRef/>
      </w:r>
      <w:r>
        <w:t xml:space="preserve"> CIBSE Journal 2013</w:t>
      </w:r>
    </w:p>
  </w:footnote>
  <w:footnote w:id="3">
    <w:p w14:paraId="52184133" w14:textId="77777777" w:rsidR="00C40DDF" w:rsidRDefault="00C40DDF" w:rsidP="00D00621">
      <w:r>
        <w:rPr>
          <w:rFonts w:cs="Arial"/>
          <w:color w:val="000000"/>
          <w:vertAlign w:val="superscript"/>
        </w:rPr>
        <w:t>[1]</w:t>
      </w:r>
      <w:r>
        <w:rPr>
          <w:color w:val="000000"/>
          <w:sz w:val="20"/>
        </w:rPr>
        <w:t xml:space="preserve"> An example is the heat demand model used in the carbon trust biomass boiler sizing tool.</w:t>
      </w:r>
    </w:p>
  </w:footnote>
  <w:footnote w:id="4">
    <w:p w14:paraId="52184134" w14:textId="77777777" w:rsidR="00C40DDF" w:rsidRDefault="00C40DDF" w:rsidP="00D00621">
      <w:r>
        <w:rPr>
          <w:rFonts w:cs="Arial"/>
          <w:color w:val="000000"/>
          <w:vertAlign w:val="superscript"/>
        </w:rPr>
        <w:t>[2]</w:t>
      </w:r>
      <w:r>
        <w:rPr>
          <w:color w:val="000000"/>
          <w:sz w:val="20"/>
        </w:rPr>
        <w:t xml:space="preserve"> BS EN 50379.2</w:t>
      </w:r>
    </w:p>
  </w:footnote>
  <w:footnote w:id="5">
    <w:p w14:paraId="52184135" w14:textId="77777777" w:rsidR="00C40DDF" w:rsidRDefault="00C40DDF" w:rsidP="00D00621">
      <w:r>
        <w:rPr>
          <w:rFonts w:cs="Arial"/>
          <w:color w:val="000000"/>
          <w:vertAlign w:val="superscript"/>
        </w:rPr>
        <w:t>[3]</w:t>
      </w:r>
      <w:r>
        <w:rPr>
          <w:color w:val="000000"/>
          <w:sz w:val="20"/>
        </w:rPr>
        <w:t xml:space="preserve"> EN 1443 Flue leakage</w:t>
      </w:r>
    </w:p>
  </w:footnote>
  <w:footnote w:id="6">
    <w:p w14:paraId="52184136" w14:textId="77777777" w:rsidR="00C40DDF" w:rsidRDefault="00C40DDF" w:rsidP="00D00621">
      <w:r w:rsidRPr="00264554">
        <w:rPr>
          <w:rFonts w:cs="Arial"/>
          <w:color w:val="000000"/>
          <w:sz w:val="20"/>
          <w:vertAlign w:val="superscript"/>
        </w:rPr>
        <w:t>[4]</w:t>
      </w:r>
      <w:r w:rsidRPr="00264554">
        <w:rPr>
          <w:color w:val="000000"/>
          <w:sz w:val="20"/>
        </w:rPr>
        <w:t xml:space="preserve"> </w:t>
      </w:r>
      <w:r w:rsidRPr="00264554">
        <w:rPr>
          <w:rFonts w:cs="Arial"/>
          <w:color w:val="000000"/>
          <w:sz w:val="20"/>
        </w:rPr>
        <w:t>Guidance on what load is suitable to be met with which type of biomass system, burning which fuel is available from CIBSE and the Carbon Trust</w:t>
      </w:r>
      <w:r w:rsidRPr="00264554">
        <w:rPr>
          <w:color w:val="000000"/>
          <w:sz w:val="20"/>
        </w:rPr>
        <w:t>.</w:t>
      </w:r>
    </w:p>
  </w:footnote>
  <w:footnote w:id="7">
    <w:p w14:paraId="52184137" w14:textId="77777777" w:rsidR="00C40DDF" w:rsidRDefault="00C40DDF" w:rsidP="00D00621">
      <w:r w:rsidRPr="00264554">
        <w:rPr>
          <w:rFonts w:cs="Arial"/>
          <w:color w:val="000000"/>
          <w:sz w:val="20"/>
          <w:vertAlign w:val="superscript"/>
        </w:rPr>
        <w:t>[5]</w:t>
      </w:r>
      <w:r w:rsidRPr="00264554">
        <w:rPr>
          <w:color w:val="000000"/>
          <w:sz w:val="20"/>
        </w:rPr>
        <w:t xml:space="preserve"> </w:t>
      </w:r>
      <w:r w:rsidRPr="00264554">
        <w:rPr>
          <w:rFonts w:cs="Arial"/>
          <w:color w:val="000000"/>
          <w:sz w:val="20"/>
        </w:rPr>
        <w:t>BS EN 15234-1:2011 Solid biofuels.</w:t>
      </w:r>
      <w:r>
        <w:rPr>
          <w:rFonts w:cs="Arial"/>
          <w:color w:val="000000"/>
          <w:sz w:val="20"/>
        </w:rPr>
        <w:t xml:space="preserve"> </w:t>
      </w:r>
      <w:r w:rsidRPr="00264554">
        <w:rPr>
          <w:rFonts w:cs="Arial"/>
          <w:color w:val="000000"/>
          <w:sz w:val="20"/>
        </w:rPr>
        <w:t>Fuel quality assurance.</w:t>
      </w:r>
      <w:r>
        <w:rPr>
          <w:rFonts w:cs="Arial"/>
          <w:color w:val="000000"/>
          <w:sz w:val="20"/>
        </w:rPr>
        <w:t xml:space="preserve"> </w:t>
      </w:r>
      <w:r w:rsidRPr="00264554">
        <w:rPr>
          <w:rFonts w:cs="Arial"/>
          <w:color w:val="000000"/>
          <w:sz w:val="20"/>
        </w:rPr>
        <w:t>General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98FBB6"/>
    <w:lvl w:ilvl="0">
      <w:start w:val="1"/>
      <w:numFmt w:val="bullet"/>
      <w:lvlText w:val=""/>
      <w:lvlJc w:val="left"/>
      <w:pPr>
        <w:tabs>
          <w:tab w:val="num" w:pos="360"/>
        </w:tabs>
        <w:ind w:left="360" w:hanging="360"/>
      </w:pPr>
      <w:rPr>
        <w:rFonts w:ascii="Symbol" w:hAnsi="Symbol" w:hint="default"/>
      </w:rPr>
    </w:lvl>
  </w:abstractNum>
  <w:abstractNum w:abstractNumId="1">
    <w:nsid w:val="16446492"/>
    <w:multiLevelType w:val="hybridMultilevel"/>
    <w:tmpl w:val="E9F2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29492332"/>
    <w:multiLevelType w:val="hybridMultilevel"/>
    <w:tmpl w:val="F88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E6BFF"/>
    <w:multiLevelType w:val="hybridMultilevel"/>
    <w:tmpl w:val="C9CA04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353"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B06EB9"/>
    <w:multiLevelType w:val="multilevel"/>
    <w:tmpl w:val="694AD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497" w:hanging="504"/>
      </w:pPr>
      <w:rPr>
        <w:rFonts w:cs="Times New Roman"/>
        <w:b w:val="0"/>
        <w:i w:val="0"/>
        <w:color w:val="auto"/>
      </w:rPr>
    </w:lvl>
    <w:lvl w:ilvl="3">
      <w:start w:val="1"/>
      <w:numFmt w:val="decimal"/>
      <w:lvlText w:val="%1.%2.%3.%4."/>
      <w:lvlJc w:val="left"/>
      <w:pPr>
        <w:ind w:left="64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159561D"/>
    <w:multiLevelType w:val="hybridMultilevel"/>
    <w:tmpl w:val="D3B455D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2AA73F1"/>
    <w:multiLevelType w:val="hybridMultilevel"/>
    <w:tmpl w:val="7676F8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914057F"/>
    <w:multiLevelType w:val="hybridMultilevel"/>
    <w:tmpl w:val="2FF64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71C36A7"/>
    <w:multiLevelType w:val="hybridMultilevel"/>
    <w:tmpl w:val="E17E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1598AE8C"/>
    <w:lvl w:ilvl="0" w:tplc="01EE6AA0">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6051B69"/>
    <w:multiLevelType w:val="hybridMultilevel"/>
    <w:tmpl w:val="52F84854"/>
    <w:lvl w:ilvl="0" w:tplc="2FDA32AC">
      <w:start w:val="1"/>
      <w:numFmt w:val="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69AA5A7E"/>
    <w:multiLevelType w:val="hybridMultilevel"/>
    <w:tmpl w:val="D06E9896"/>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204A5C"/>
    <w:multiLevelType w:val="multilevel"/>
    <w:tmpl w:val="BC6E4EB4"/>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5">
    <w:nsid w:val="71C147F8"/>
    <w:multiLevelType w:val="hybridMultilevel"/>
    <w:tmpl w:val="FA507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E13CC"/>
    <w:multiLevelType w:val="hybridMultilevel"/>
    <w:tmpl w:val="3A7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8"/>
  </w:num>
  <w:num w:numId="5">
    <w:abstractNumId w:val="10"/>
  </w:num>
  <w:num w:numId="6">
    <w:abstractNumId w:val="3"/>
  </w:num>
  <w:num w:numId="7">
    <w:abstractNumId w:val="16"/>
  </w:num>
  <w:num w:numId="8">
    <w:abstractNumId w:val="4"/>
  </w:num>
  <w:num w:numId="9">
    <w:abstractNumId w:val="9"/>
  </w:num>
  <w:num w:numId="10">
    <w:abstractNumId w:val="1"/>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7"/>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2"/>
  </w:num>
  <w:num w:numId="24">
    <w:abstractNumId w:val="14"/>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64"/>
    <w:rsid w:val="000142DD"/>
    <w:rsid w:val="00050292"/>
    <w:rsid w:val="00095DF4"/>
    <w:rsid w:val="00161AA8"/>
    <w:rsid w:val="001656C1"/>
    <w:rsid w:val="00181559"/>
    <w:rsid w:val="00264554"/>
    <w:rsid w:val="00392B64"/>
    <w:rsid w:val="0040058D"/>
    <w:rsid w:val="004A0B52"/>
    <w:rsid w:val="004A6D7E"/>
    <w:rsid w:val="004D36C8"/>
    <w:rsid w:val="005430B0"/>
    <w:rsid w:val="005C29F4"/>
    <w:rsid w:val="00632C50"/>
    <w:rsid w:val="0064558B"/>
    <w:rsid w:val="006561F3"/>
    <w:rsid w:val="006B6149"/>
    <w:rsid w:val="008F5224"/>
    <w:rsid w:val="00945AD6"/>
    <w:rsid w:val="00985C0E"/>
    <w:rsid w:val="009978D5"/>
    <w:rsid w:val="00A812ED"/>
    <w:rsid w:val="00B009B4"/>
    <w:rsid w:val="00B1435B"/>
    <w:rsid w:val="00BC1068"/>
    <w:rsid w:val="00C40DDF"/>
    <w:rsid w:val="00C526F2"/>
    <w:rsid w:val="00C84C2F"/>
    <w:rsid w:val="00D00621"/>
    <w:rsid w:val="00D3430A"/>
    <w:rsid w:val="00EA5E9E"/>
    <w:rsid w:val="00EB17E0"/>
    <w:rsid w:val="00F851D9"/>
    <w:rsid w:val="00FD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521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64"/>
    <w:rPr>
      <w:lang w:eastAsia="en-US"/>
    </w:rPr>
  </w:style>
  <w:style w:type="paragraph" w:styleId="Heading2">
    <w:name w:val="heading 2"/>
    <w:basedOn w:val="Normal"/>
    <w:next w:val="Normal"/>
    <w:link w:val="Heading2Char"/>
    <w:uiPriority w:val="99"/>
    <w:qFormat/>
    <w:rsid w:val="00C526F2"/>
    <w:pPr>
      <w:keepNext/>
      <w:spacing w:before="240" w:after="120"/>
      <w:outlineLvl w:val="1"/>
    </w:pPr>
    <w:rPr>
      <w:rFonts w:ascii="Arial" w:eastAsia="Times New Roman" w:hAnsi="Arial"/>
      <w:b/>
      <w:color w:val="104F75"/>
      <w:sz w:val="32"/>
      <w:szCs w:val="32"/>
      <w:lang w:eastAsia="en-GB"/>
    </w:rPr>
  </w:style>
  <w:style w:type="paragraph" w:styleId="Heading4">
    <w:name w:val="heading 4"/>
    <w:basedOn w:val="Heading2"/>
    <w:next w:val="Normal"/>
    <w:link w:val="Heading4Char"/>
    <w:uiPriority w:val="99"/>
    <w:qFormat/>
    <w:rsid w:val="00C526F2"/>
    <w:pPr>
      <w:outlineLvl w:val="3"/>
    </w:pPr>
    <w:rPr>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526F2"/>
    <w:rPr>
      <w:rFonts w:ascii="Arial" w:hAnsi="Arial" w:cs="Times New Roman"/>
      <w:b/>
      <w:color w:val="104F75"/>
      <w:sz w:val="32"/>
      <w:szCs w:val="32"/>
      <w:lang w:eastAsia="en-GB"/>
    </w:rPr>
  </w:style>
  <w:style w:type="character" w:customStyle="1" w:styleId="Heading4Char">
    <w:name w:val="Heading 4 Char"/>
    <w:basedOn w:val="DefaultParagraphFont"/>
    <w:link w:val="Heading4"/>
    <w:uiPriority w:val="99"/>
    <w:locked/>
    <w:rsid w:val="00C526F2"/>
    <w:rPr>
      <w:rFonts w:ascii="Arial" w:hAnsi="Arial" w:cs="Times New Roman"/>
      <w:b/>
      <w:bCs/>
      <w:color w:val="000000"/>
      <w:sz w:val="28"/>
      <w:szCs w:val="28"/>
      <w:lang w:eastAsia="en-GB"/>
    </w:rPr>
  </w:style>
  <w:style w:type="paragraph" w:styleId="ListParagraph">
    <w:name w:val="List Paragraph"/>
    <w:basedOn w:val="Normal"/>
    <w:uiPriority w:val="99"/>
    <w:qFormat/>
    <w:rsid w:val="00392B64"/>
    <w:pPr>
      <w:ind w:left="720"/>
    </w:pPr>
    <w:rPr>
      <w:rFonts w:ascii="Arial" w:eastAsia="Times New Roman" w:hAnsi="Arial"/>
      <w:sz w:val="24"/>
      <w:szCs w:val="24"/>
      <w:lang w:eastAsia="en-GB"/>
    </w:rPr>
  </w:style>
  <w:style w:type="character" w:styleId="CommentReference">
    <w:name w:val="annotation reference"/>
    <w:basedOn w:val="DefaultParagraphFont"/>
    <w:uiPriority w:val="99"/>
    <w:semiHidden/>
    <w:rsid w:val="00392B64"/>
    <w:rPr>
      <w:rFonts w:cs="Times New Roman"/>
      <w:sz w:val="16"/>
    </w:rPr>
  </w:style>
  <w:style w:type="paragraph" w:styleId="CommentText">
    <w:name w:val="annotation text"/>
    <w:basedOn w:val="Normal"/>
    <w:link w:val="CommentTextChar"/>
    <w:uiPriority w:val="99"/>
    <w:semiHidden/>
    <w:rsid w:val="00392B64"/>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392B64"/>
    <w:rPr>
      <w:rFonts w:ascii="Arial" w:hAnsi="Arial" w:cs="Times New Roman"/>
      <w:sz w:val="20"/>
      <w:szCs w:val="20"/>
      <w:lang w:eastAsia="en-GB"/>
    </w:rPr>
  </w:style>
  <w:style w:type="character" w:styleId="Hyperlink">
    <w:name w:val="Hyperlink"/>
    <w:basedOn w:val="DefaultParagraphFont"/>
    <w:uiPriority w:val="99"/>
    <w:rsid w:val="00392B64"/>
    <w:rPr>
      <w:rFonts w:cs="Times New Roman"/>
      <w:color w:val="0000FF"/>
      <w:u w:val="single"/>
    </w:rPr>
  </w:style>
  <w:style w:type="paragraph" w:styleId="BalloonText">
    <w:name w:val="Balloon Text"/>
    <w:basedOn w:val="Normal"/>
    <w:link w:val="BalloonTextChar"/>
    <w:uiPriority w:val="99"/>
    <w:semiHidden/>
    <w:rsid w:val="00392B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B64"/>
    <w:rPr>
      <w:rFonts w:ascii="Tahoma" w:eastAsia="Times New Roman" w:hAnsi="Tahoma" w:cs="Tahoma"/>
      <w:sz w:val="16"/>
      <w:szCs w:val="16"/>
    </w:rPr>
  </w:style>
  <w:style w:type="paragraph" w:styleId="FootnoteText">
    <w:name w:val="footnote text"/>
    <w:basedOn w:val="Normal"/>
    <w:link w:val="FootnoteTextChar"/>
    <w:uiPriority w:val="99"/>
    <w:rsid w:val="00D00621"/>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D00621"/>
    <w:rPr>
      <w:rFonts w:ascii="Arial" w:hAnsi="Arial" w:cs="Times New Roman"/>
      <w:sz w:val="20"/>
      <w:szCs w:val="20"/>
      <w:lang w:eastAsia="en-GB"/>
    </w:rPr>
  </w:style>
  <w:style w:type="character" w:styleId="FootnoteReference">
    <w:name w:val="footnote reference"/>
    <w:basedOn w:val="DefaultParagraphFont"/>
    <w:uiPriority w:val="99"/>
    <w:rsid w:val="00D00621"/>
    <w:rPr>
      <w:rFonts w:cs="Times New Roman"/>
      <w:vertAlign w:val="superscript"/>
    </w:rPr>
  </w:style>
  <w:style w:type="paragraph" w:customStyle="1" w:styleId="DeptBullets">
    <w:name w:val="DeptBullets"/>
    <w:basedOn w:val="Normal"/>
    <w:uiPriority w:val="99"/>
    <w:rsid w:val="004D36C8"/>
    <w:pPr>
      <w:widowControl w:val="0"/>
      <w:numPr>
        <w:numId w:val="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Body1Char">
    <w:name w:val="Body 1 Char"/>
    <w:basedOn w:val="DefaultParagraphFont"/>
    <w:link w:val="Body1"/>
    <w:uiPriority w:val="99"/>
    <w:locked/>
    <w:rsid w:val="00D00621"/>
    <w:rPr>
      <w:rFonts w:ascii="Helvetica" w:hAnsi="Helvetica" w:cs="Helvetica"/>
      <w:color w:val="000000"/>
    </w:rPr>
  </w:style>
  <w:style w:type="paragraph" w:customStyle="1" w:styleId="Body1">
    <w:name w:val="Body 1"/>
    <w:basedOn w:val="Normal"/>
    <w:link w:val="Body1Char"/>
    <w:uiPriority w:val="99"/>
    <w:rsid w:val="00D00621"/>
    <w:pPr>
      <w:spacing w:after="200" w:line="276" w:lineRule="auto"/>
    </w:pPr>
    <w:rPr>
      <w:rFonts w:ascii="Helvetica" w:hAnsi="Helvetica" w:cs="Helvetica"/>
      <w:color w:val="000000"/>
    </w:rPr>
  </w:style>
  <w:style w:type="paragraph" w:styleId="CommentSubject">
    <w:name w:val="annotation subject"/>
    <w:basedOn w:val="CommentText"/>
    <w:next w:val="CommentText"/>
    <w:link w:val="CommentSubjectChar"/>
    <w:uiPriority w:val="99"/>
    <w:semiHidden/>
    <w:rsid w:val="00050292"/>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050292"/>
    <w:rPr>
      <w:rFonts w:ascii="Calibri" w:eastAsia="Times New Roman" w:hAnsi="Calibri" w:cs="Times New Roman"/>
      <w:b/>
      <w:bCs/>
      <w:sz w:val="20"/>
      <w:szCs w:val="20"/>
      <w:lang w:eastAsia="en-GB"/>
    </w:rPr>
  </w:style>
  <w:style w:type="paragraph" w:customStyle="1" w:styleId="CopyrightBox">
    <w:name w:val="CopyrightBox"/>
    <w:basedOn w:val="Normal"/>
    <w:link w:val="CopyrightBoxChar"/>
    <w:uiPriority w:val="99"/>
    <w:rsid w:val="00985C0E"/>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985C0E"/>
    <w:rPr>
      <w:rFonts w:ascii="Arial" w:hAnsi="Arial"/>
      <w:sz w:val="24"/>
      <w:lang w:eastAsia="en-GB"/>
    </w:rPr>
  </w:style>
  <w:style w:type="paragraph" w:customStyle="1" w:styleId="ListBullet1">
    <w:name w:val="List Bullet 1"/>
    <w:basedOn w:val="ListBullet"/>
    <w:uiPriority w:val="99"/>
    <w:rsid w:val="00C526F2"/>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C526F2"/>
    <w:pPr>
      <w:numPr>
        <w:numId w:val="13"/>
      </w:numPr>
      <w:tabs>
        <w:tab w:val="num" w:pos="360"/>
      </w:tabs>
      <w:ind w:left="360"/>
      <w:contextualSpacing/>
    </w:pPr>
  </w:style>
  <w:style w:type="paragraph" w:styleId="Header">
    <w:name w:val="header"/>
    <w:basedOn w:val="Normal"/>
    <w:link w:val="HeaderChar"/>
    <w:uiPriority w:val="99"/>
    <w:rsid w:val="009978D5"/>
    <w:pPr>
      <w:tabs>
        <w:tab w:val="center" w:pos="4513"/>
        <w:tab w:val="right" w:pos="9026"/>
      </w:tabs>
    </w:pPr>
  </w:style>
  <w:style w:type="character" w:customStyle="1" w:styleId="HeaderChar">
    <w:name w:val="Header Char"/>
    <w:basedOn w:val="DefaultParagraphFont"/>
    <w:link w:val="Header"/>
    <w:uiPriority w:val="99"/>
    <w:locked/>
    <w:rsid w:val="009978D5"/>
    <w:rPr>
      <w:rFonts w:ascii="Calibri" w:eastAsia="Times New Roman" w:hAnsi="Calibri" w:cs="Times New Roman"/>
    </w:rPr>
  </w:style>
  <w:style w:type="paragraph" w:styleId="Footer">
    <w:name w:val="footer"/>
    <w:basedOn w:val="Normal"/>
    <w:link w:val="FooterChar"/>
    <w:uiPriority w:val="99"/>
    <w:rsid w:val="009978D5"/>
    <w:pPr>
      <w:tabs>
        <w:tab w:val="center" w:pos="4513"/>
        <w:tab w:val="right" w:pos="9026"/>
      </w:tabs>
    </w:pPr>
  </w:style>
  <w:style w:type="character" w:customStyle="1" w:styleId="FooterChar">
    <w:name w:val="Footer Char"/>
    <w:basedOn w:val="DefaultParagraphFont"/>
    <w:link w:val="Footer"/>
    <w:uiPriority w:val="99"/>
    <w:locked/>
    <w:rsid w:val="009978D5"/>
    <w:rPr>
      <w:rFonts w:ascii="Calibri" w:eastAsia="Times New Roman" w:hAnsi="Calibri" w:cs="Times New Roman"/>
    </w:rPr>
  </w:style>
  <w:style w:type="paragraph" w:customStyle="1" w:styleId="DfESOutNumbered">
    <w:name w:val="DfESOutNumbered"/>
    <w:basedOn w:val="Normal"/>
    <w:uiPriority w:val="99"/>
    <w:rsid w:val="004D36C8"/>
    <w:pPr>
      <w:widowControl w:val="0"/>
      <w:numPr>
        <w:numId w:val="25"/>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4D36C8"/>
    <w:pPr>
      <w:widowControl w:val="0"/>
      <w:numPr>
        <w:numId w:val="26"/>
      </w:numPr>
      <w:overflowPunct w:val="0"/>
      <w:autoSpaceDE w:val="0"/>
      <w:autoSpaceDN w:val="0"/>
      <w:adjustRightInd w:val="0"/>
      <w:spacing w:after="240"/>
      <w:textAlignment w:val="baseline"/>
    </w:pPr>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64"/>
    <w:rPr>
      <w:lang w:eastAsia="en-US"/>
    </w:rPr>
  </w:style>
  <w:style w:type="paragraph" w:styleId="Heading2">
    <w:name w:val="heading 2"/>
    <w:basedOn w:val="Normal"/>
    <w:next w:val="Normal"/>
    <w:link w:val="Heading2Char"/>
    <w:uiPriority w:val="99"/>
    <w:qFormat/>
    <w:rsid w:val="00C526F2"/>
    <w:pPr>
      <w:keepNext/>
      <w:spacing w:before="240" w:after="120"/>
      <w:outlineLvl w:val="1"/>
    </w:pPr>
    <w:rPr>
      <w:rFonts w:ascii="Arial" w:eastAsia="Times New Roman" w:hAnsi="Arial"/>
      <w:b/>
      <w:color w:val="104F75"/>
      <w:sz w:val="32"/>
      <w:szCs w:val="32"/>
      <w:lang w:eastAsia="en-GB"/>
    </w:rPr>
  </w:style>
  <w:style w:type="paragraph" w:styleId="Heading4">
    <w:name w:val="heading 4"/>
    <w:basedOn w:val="Heading2"/>
    <w:next w:val="Normal"/>
    <w:link w:val="Heading4Char"/>
    <w:uiPriority w:val="99"/>
    <w:qFormat/>
    <w:rsid w:val="00C526F2"/>
    <w:pPr>
      <w:outlineLvl w:val="3"/>
    </w:pPr>
    <w:rPr>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526F2"/>
    <w:rPr>
      <w:rFonts w:ascii="Arial" w:hAnsi="Arial" w:cs="Times New Roman"/>
      <w:b/>
      <w:color w:val="104F75"/>
      <w:sz w:val="32"/>
      <w:szCs w:val="32"/>
      <w:lang w:eastAsia="en-GB"/>
    </w:rPr>
  </w:style>
  <w:style w:type="character" w:customStyle="1" w:styleId="Heading4Char">
    <w:name w:val="Heading 4 Char"/>
    <w:basedOn w:val="DefaultParagraphFont"/>
    <w:link w:val="Heading4"/>
    <w:uiPriority w:val="99"/>
    <w:locked/>
    <w:rsid w:val="00C526F2"/>
    <w:rPr>
      <w:rFonts w:ascii="Arial" w:hAnsi="Arial" w:cs="Times New Roman"/>
      <w:b/>
      <w:bCs/>
      <w:color w:val="000000"/>
      <w:sz w:val="28"/>
      <w:szCs w:val="28"/>
      <w:lang w:eastAsia="en-GB"/>
    </w:rPr>
  </w:style>
  <w:style w:type="paragraph" w:styleId="ListParagraph">
    <w:name w:val="List Paragraph"/>
    <w:basedOn w:val="Normal"/>
    <w:uiPriority w:val="99"/>
    <w:qFormat/>
    <w:rsid w:val="00392B64"/>
    <w:pPr>
      <w:ind w:left="720"/>
    </w:pPr>
    <w:rPr>
      <w:rFonts w:ascii="Arial" w:eastAsia="Times New Roman" w:hAnsi="Arial"/>
      <w:sz w:val="24"/>
      <w:szCs w:val="24"/>
      <w:lang w:eastAsia="en-GB"/>
    </w:rPr>
  </w:style>
  <w:style w:type="character" w:styleId="CommentReference">
    <w:name w:val="annotation reference"/>
    <w:basedOn w:val="DefaultParagraphFont"/>
    <w:uiPriority w:val="99"/>
    <w:semiHidden/>
    <w:rsid w:val="00392B64"/>
    <w:rPr>
      <w:rFonts w:cs="Times New Roman"/>
      <w:sz w:val="16"/>
    </w:rPr>
  </w:style>
  <w:style w:type="paragraph" w:styleId="CommentText">
    <w:name w:val="annotation text"/>
    <w:basedOn w:val="Normal"/>
    <w:link w:val="CommentTextChar"/>
    <w:uiPriority w:val="99"/>
    <w:semiHidden/>
    <w:rsid w:val="00392B64"/>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392B64"/>
    <w:rPr>
      <w:rFonts w:ascii="Arial" w:hAnsi="Arial" w:cs="Times New Roman"/>
      <w:sz w:val="20"/>
      <w:szCs w:val="20"/>
      <w:lang w:eastAsia="en-GB"/>
    </w:rPr>
  </w:style>
  <w:style w:type="character" w:styleId="Hyperlink">
    <w:name w:val="Hyperlink"/>
    <w:basedOn w:val="DefaultParagraphFont"/>
    <w:uiPriority w:val="99"/>
    <w:rsid w:val="00392B64"/>
    <w:rPr>
      <w:rFonts w:cs="Times New Roman"/>
      <w:color w:val="0000FF"/>
      <w:u w:val="single"/>
    </w:rPr>
  </w:style>
  <w:style w:type="paragraph" w:styleId="BalloonText">
    <w:name w:val="Balloon Text"/>
    <w:basedOn w:val="Normal"/>
    <w:link w:val="BalloonTextChar"/>
    <w:uiPriority w:val="99"/>
    <w:semiHidden/>
    <w:rsid w:val="00392B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B64"/>
    <w:rPr>
      <w:rFonts w:ascii="Tahoma" w:eastAsia="Times New Roman" w:hAnsi="Tahoma" w:cs="Tahoma"/>
      <w:sz w:val="16"/>
      <w:szCs w:val="16"/>
    </w:rPr>
  </w:style>
  <w:style w:type="paragraph" w:styleId="FootnoteText">
    <w:name w:val="footnote text"/>
    <w:basedOn w:val="Normal"/>
    <w:link w:val="FootnoteTextChar"/>
    <w:uiPriority w:val="99"/>
    <w:rsid w:val="00D00621"/>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D00621"/>
    <w:rPr>
      <w:rFonts w:ascii="Arial" w:hAnsi="Arial" w:cs="Times New Roman"/>
      <w:sz w:val="20"/>
      <w:szCs w:val="20"/>
      <w:lang w:eastAsia="en-GB"/>
    </w:rPr>
  </w:style>
  <w:style w:type="character" w:styleId="FootnoteReference">
    <w:name w:val="footnote reference"/>
    <w:basedOn w:val="DefaultParagraphFont"/>
    <w:uiPriority w:val="99"/>
    <w:rsid w:val="00D00621"/>
    <w:rPr>
      <w:rFonts w:cs="Times New Roman"/>
      <w:vertAlign w:val="superscript"/>
    </w:rPr>
  </w:style>
  <w:style w:type="paragraph" w:customStyle="1" w:styleId="DeptBullets">
    <w:name w:val="DeptBullets"/>
    <w:basedOn w:val="Normal"/>
    <w:uiPriority w:val="99"/>
    <w:rsid w:val="004D36C8"/>
    <w:pPr>
      <w:widowControl w:val="0"/>
      <w:numPr>
        <w:numId w:val="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Body1Char">
    <w:name w:val="Body 1 Char"/>
    <w:basedOn w:val="DefaultParagraphFont"/>
    <w:link w:val="Body1"/>
    <w:uiPriority w:val="99"/>
    <w:locked/>
    <w:rsid w:val="00D00621"/>
    <w:rPr>
      <w:rFonts w:ascii="Helvetica" w:hAnsi="Helvetica" w:cs="Helvetica"/>
      <w:color w:val="000000"/>
    </w:rPr>
  </w:style>
  <w:style w:type="paragraph" w:customStyle="1" w:styleId="Body1">
    <w:name w:val="Body 1"/>
    <w:basedOn w:val="Normal"/>
    <w:link w:val="Body1Char"/>
    <w:uiPriority w:val="99"/>
    <w:rsid w:val="00D00621"/>
    <w:pPr>
      <w:spacing w:after="200" w:line="276" w:lineRule="auto"/>
    </w:pPr>
    <w:rPr>
      <w:rFonts w:ascii="Helvetica" w:hAnsi="Helvetica" w:cs="Helvetica"/>
      <w:color w:val="000000"/>
    </w:rPr>
  </w:style>
  <w:style w:type="paragraph" w:styleId="CommentSubject">
    <w:name w:val="annotation subject"/>
    <w:basedOn w:val="CommentText"/>
    <w:next w:val="CommentText"/>
    <w:link w:val="CommentSubjectChar"/>
    <w:uiPriority w:val="99"/>
    <w:semiHidden/>
    <w:rsid w:val="00050292"/>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050292"/>
    <w:rPr>
      <w:rFonts w:ascii="Calibri" w:eastAsia="Times New Roman" w:hAnsi="Calibri" w:cs="Times New Roman"/>
      <w:b/>
      <w:bCs/>
      <w:sz w:val="20"/>
      <w:szCs w:val="20"/>
      <w:lang w:eastAsia="en-GB"/>
    </w:rPr>
  </w:style>
  <w:style w:type="paragraph" w:customStyle="1" w:styleId="CopyrightBox">
    <w:name w:val="CopyrightBox"/>
    <w:basedOn w:val="Normal"/>
    <w:link w:val="CopyrightBoxChar"/>
    <w:uiPriority w:val="99"/>
    <w:rsid w:val="00985C0E"/>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985C0E"/>
    <w:rPr>
      <w:rFonts w:ascii="Arial" w:hAnsi="Arial"/>
      <w:sz w:val="24"/>
      <w:lang w:eastAsia="en-GB"/>
    </w:rPr>
  </w:style>
  <w:style w:type="paragraph" w:customStyle="1" w:styleId="ListBullet1">
    <w:name w:val="List Bullet 1"/>
    <w:basedOn w:val="ListBullet"/>
    <w:uiPriority w:val="99"/>
    <w:rsid w:val="00C526F2"/>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C526F2"/>
    <w:pPr>
      <w:numPr>
        <w:numId w:val="13"/>
      </w:numPr>
      <w:tabs>
        <w:tab w:val="num" w:pos="360"/>
      </w:tabs>
      <w:ind w:left="360"/>
      <w:contextualSpacing/>
    </w:pPr>
  </w:style>
  <w:style w:type="paragraph" w:styleId="Header">
    <w:name w:val="header"/>
    <w:basedOn w:val="Normal"/>
    <w:link w:val="HeaderChar"/>
    <w:uiPriority w:val="99"/>
    <w:rsid w:val="009978D5"/>
    <w:pPr>
      <w:tabs>
        <w:tab w:val="center" w:pos="4513"/>
        <w:tab w:val="right" w:pos="9026"/>
      </w:tabs>
    </w:pPr>
  </w:style>
  <w:style w:type="character" w:customStyle="1" w:styleId="HeaderChar">
    <w:name w:val="Header Char"/>
    <w:basedOn w:val="DefaultParagraphFont"/>
    <w:link w:val="Header"/>
    <w:uiPriority w:val="99"/>
    <w:locked/>
    <w:rsid w:val="009978D5"/>
    <w:rPr>
      <w:rFonts w:ascii="Calibri" w:eastAsia="Times New Roman" w:hAnsi="Calibri" w:cs="Times New Roman"/>
    </w:rPr>
  </w:style>
  <w:style w:type="paragraph" w:styleId="Footer">
    <w:name w:val="footer"/>
    <w:basedOn w:val="Normal"/>
    <w:link w:val="FooterChar"/>
    <w:uiPriority w:val="99"/>
    <w:rsid w:val="009978D5"/>
    <w:pPr>
      <w:tabs>
        <w:tab w:val="center" w:pos="4513"/>
        <w:tab w:val="right" w:pos="9026"/>
      </w:tabs>
    </w:pPr>
  </w:style>
  <w:style w:type="character" w:customStyle="1" w:styleId="FooterChar">
    <w:name w:val="Footer Char"/>
    <w:basedOn w:val="DefaultParagraphFont"/>
    <w:link w:val="Footer"/>
    <w:uiPriority w:val="99"/>
    <w:locked/>
    <w:rsid w:val="009978D5"/>
    <w:rPr>
      <w:rFonts w:ascii="Calibri" w:eastAsia="Times New Roman" w:hAnsi="Calibri" w:cs="Times New Roman"/>
    </w:rPr>
  </w:style>
  <w:style w:type="paragraph" w:customStyle="1" w:styleId="DfESOutNumbered">
    <w:name w:val="DfESOutNumbered"/>
    <w:basedOn w:val="Normal"/>
    <w:uiPriority w:val="99"/>
    <w:rsid w:val="004D36C8"/>
    <w:pPr>
      <w:widowControl w:val="0"/>
      <w:numPr>
        <w:numId w:val="25"/>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4D36C8"/>
    <w:pPr>
      <w:widowControl w:val="0"/>
      <w:numPr>
        <w:numId w:val="26"/>
      </w:numPr>
      <w:overflowPunct w:val="0"/>
      <w:autoSpaceDE w:val="0"/>
      <w:autoSpaceDN w:val="0"/>
      <w:adjustRightInd w:val="0"/>
      <w:spacing w:after="240"/>
      <w:textAlignment w:val="baseline"/>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academy.questions@education.gsi.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bse.or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managing-public-mone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aboutdfe/executiveagencies/efa/efafundingfinance/b00212647/external-assurance/academies-financial-handbook" TargetMode="External"/><Relationship Id="rId20" Type="http://schemas.openxmlformats.org/officeDocument/2006/relationships/hyperlink" Target="http://www.carbontrus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ducation.gov.uk/aboutdfe/executiveagencies/efa/efafundingfinance/b00212647/external-assurance/academies-financial-handbook" TargetMode="External"/><Relationship Id="rId23" Type="http://schemas.openxmlformats.org/officeDocument/2006/relationships/hyperlink" Target="http://media.education.gov.uk/assets/files/pdf/f/psbp%20fos_001.pdf" TargetMode="External"/><Relationship Id="rId10" Type="http://schemas.openxmlformats.org/officeDocument/2006/relationships/webSettings" Target="webSettings.xml"/><Relationship Id="rId19" Type="http://schemas.openxmlformats.org/officeDocument/2006/relationships/hyperlink" Target="http://media.education.gov.uk/assets/files/pdf/f/psbp%20fos_001.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aboutdfe/executiveagencies/efa/efafundingfinance/b00212647/external-assurance/academies-financial-handbook" TargetMode="External"/><Relationship Id="rId22" Type="http://schemas.openxmlformats.org/officeDocument/2006/relationships/hyperlink" Target="http://www.hse.gov.uk/services/educ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QPZXZQEYUHNQ-4-6552</_dlc_DocId>
    <TaxCatchAll xmlns="b8cb3cbd-ce5c-4a72-9da4-9013f91c5903">
      <Value>4</Value>
      <Value>3</Value>
      <Value>2</Value>
    </TaxCatchAll>
    <_dlc_DocIdUrl xmlns="b8cb3cbd-ce5c-4a72-9da4-9013f91c5903">
      <Url>http://workplaces/sites/efaak/_layouts/DocIdRedir.aspx?ID=QPZXZQEYUHNQ-4-6552</Url>
      <Description>QPZXZQEYUHNQ-4-6552</Description>
    </_dlc_DocIdUr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70B09FC1-F83D-4DE8-97AF-C9906EFB28D3}"/>
</file>

<file path=customXml/itemProps2.xml><?xml version="1.0" encoding="utf-8"?>
<ds:datastoreItem xmlns:ds="http://schemas.openxmlformats.org/officeDocument/2006/customXml" ds:itemID="{CEFBE291-3DFD-4D18-9B85-C796C5F7A625}"/>
</file>

<file path=customXml/itemProps3.xml><?xml version="1.0" encoding="utf-8"?>
<ds:datastoreItem xmlns:ds="http://schemas.openxmlformats.org/officeDocument/2006/customXml" ds:itemID="{58C21920-4320-4F46-AA52-9581FD3E8086}"/>
</file>

<file path=customXml/itemProps4.xml><?xml version="1.0" encoding="utf-8"?>
<ds:datastoreItem xmlns:ds="http://schemas.openxmlformats.org/officeDocument/2006/customXml" ds:itemID="{D371E6A8-75CC-4FB9-B02B-0EEBED935060}"/>
</file>

<file path=customXml/itemProps5.xml><?xml version="1.0" encoding="utf-8"?>
<ds:datastoreItem xmlns:ds="http://schemas.openxmlformats.org/officeDocument/2006/customXml" ds:itemID="{69BBE511-276D-40A1-8E12-CCE0629A6309}"/>
</file>

<file path=docProps/app.xml><?xml version="1.0" encoding="utf-8"?>
<Properties xmlns="http://schemas.openxmlformats.org/officeDocument/2006/extended-properties" xmlns:vt="http://schemas.openxmlformats.org/officeDocument/2006/docPropsVTypes">
  <Template>464A679</Template>
  <TotalTime>0</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EFA template</vt:lpstr>
    </vt:vector>
  </TitlesOfParts>
  <Company>DfE</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creator>WRAGG, Isabelle</dc:creator>
  <cp:lastModifiedBy>NIGHTINGALE, Mark-YPLA</cp:lastModifiedBy>
  <cp:revision>2</cp:revision>
  <dcterms:created xsi:type="dcterms:W3CDTF">2013-11-11T09:24:00Z</dcterms:created>
  <dcterms:modified xsi:type="dcterms:W3CDTF">2013-11-11T09:24:00Z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0x0101007F645D6FBA204A029FECB8BFC6578C39005279853530254253B886E13194843F8A003AA4A7828D8545A79A93568015812350009C5D694A71270240A865861113066BBD</vt:lpwstr>
  </property>
  <property fmtid="{D5CDD505-2E9C-101B-9397-08002B2CF9AE}" pid="3" name="_dlc_DocIdItemGuid">
    <vt:lpwstr>ed2a01d6-422a-45c3-a704-84a70efcbad9</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QPZXZQEYUHNQ-4-6038</vt:lpwstr>
  </property>
  <property fmtid="{D5CDD505-2E9C-101B-9397-08002B2CF9AE}" pid="18" name="_dlc_DocIdUrl">
    <vt:lpwstr>http://workplaces/sites/efaak/_layouts/DocIdRedir.aspx?ID=QPZXZQEYUHNQ-4-6038, QPZXZQEYUHNQ-4-6038</vt:lpwstr>
  </property>
</Properties>
</file>