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E9" w:rsidRDefault="000A17E9" w:rsidP="002F5AC1">
      <w:pPr>
        <w:spacing w:after="0" w:line="240" w:lineRule="auto"/>
        <w:rPr>
          <w:rFonts w:cstheme="minorHAnsi"/>
          <w:b/>
          <w:sz w:val="24"/>
          <w:szCs w:val="24"/>
        </w:rPr>
      </w:pPr>
    </w:p>
    <w:p w:rsidR="000A17E9" w:rsidRDefault="000A17E9" w:rsidP="002F5AC1">
      <w:pPr>
        <w:spacing w:after="0" w:line="240" w:lineRule="auto"/>
        <w:rPr>
          <w:rFonts w:cstheme="minorHAnsi"/>
          <w:b/>
          <w:sz w:val="24"/>
          <w:szCs w:val="24"/>
        </w:rPr>
      </w:pPr>
    </w:p>
    <w:p w:rsidR="000A17E9" w:rsidRDefault="000A17E9" w:rsidP="002F5AC1">
      <w:pPr>
        <w:spacing w:after="0" w:line="240" w:lineRule="auto"/>
        <w:rPr>
          <w:rFonts w:cstheme="minorHAnsi"/>
          <w:b/>
          <w:sz w:val="24"/>
          <w:szCs w:val="24"/>
        </w:rPr>
      </w:pPr>
    </w:p>
    <w:p w:rsidR="00673F8B" w:rsidRPr="00673F8B" w:rsidRDefault="00673F8B" w:rsidP="00053BD5">
      <w:pPr>
        <w:spacing w:after="0" w:line="240" w:lineRule="auto"/>
        <w:rPr>
          <w:rFonts w:eastAsia="Times New Roman" w:cs="Times New Roman"/>
          <w:color w:val="548DD4"/>
          <w:sz w:val="40"/>
          <w:szCs w:val="40"/>
          <w:lang w:eastAsia="en-GB"/>
        </w:rPr>
      </w:pPr>
      <w:r w:rsidRPr="00673F8B">
        <w:rPr>
          <w:rFonts w:ascii="Arial" w:eastAsia="Times New Roman" w:hAnsi="Arial" w:cs="Arial"/>
          <w:noProof/>
          <w:sz w:val="24"/>
          <w:lang w:eastAsia="en-GB"/>
        </w:rPr>
        <w:drawing>
          <wp:inline distT="0" distB="0" distL="0" distR="0" wp14:anchorId="7847D727" wp14:editId="7715E3C8">
            <wp:extent cx="5755005" cy="154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1542415"/>
                    </a:xfrm>
                    <a:prstGeom prst="rect">
                      <a:avLst/>
                    </a:prstGeom>
                    <a:noFill/>
                  </pic:spPr>
                </pic:pic>
              </a:graphicData>
            </a:graphic>
          </wp:inline>
        </w:drawing>
      </w:r>
    </w:p>
    <w:p w:rsidR="00673F8B" w:rsidRPr="00673F8B" w:rsidRDefault="00673F8B" w:rsidP="00673F8B">
      <w:pPr>
        <w:spacing w:after="0" w:line="240" w:lineRule="auto"/>
        <w:rPr>
          <w:rFonts w:eastAsia="Times New Roman" w:cs="Times New Roman"/>
          <w:color w:val="000000" w:themeColor="text1"/>
          <w:sz w:val="40"/>
          <w:szCs w:val="40"/>
          <w:lang w:eastAsia="en-GB"/>
        </w:rPr>
      </w:pPr>
    </w:p>
    <w:p w:rsidR="00673F8B" w:rsidRPr="00673F8B" w:rsidRDefault="00673F8B" w:rsidP="00673F8B">
      <w:pPr>
        <w:spacing w:after="0" w:line="240" w:lineRule="auto"/>
        <w:rPr>
          <w:rFonts w:eastAsia="Times New Roman" w:cs="Times New Roman"/>
          <w:color w:val="000000" w:themeColor="text1"/>
          <w:sz w:val="40"/>
          <w:szCs w:val="40"/>
          <w:lang w:eastAsia="en-GB"/>
        </w:rPr>
      </w:pPr>
      <w:r w:rsidRPr="00673F8B">
        <w:rPr>
          <w:rFonts w:eastAsia="Times New Roman" w:cs="Times New Roman"/>
          <w:color w:val="000000" w:themeColor="text1"/>
          <w:sz w:val="40"/>
          <w:szCs w:val="40"/>
          <w:lang w:eastAsia="en-GB"/>
        </w:rPr>
        <w:tab/>
        <w:t>BDUK Super Connected Cities Programme</w:t>
      </w:r>
    </w:p>
    <w:p w:rsidR="00673F8B" w:rsidRPr="00673F8B" w:rsidRDefault="00673F8B" w:rsidP="00673F8B">
      <w:pPr>
        <w:spacing w:after="0" w:line="240" w:lineRule="auto"/>
        <w:rPr>
          <w:rFonts w:eastAsia="Times New Roman" w:cs="Times New Roman"/>
          <w:b/>
          <w:color w:val="000000" w:themeColor="text1"/>
          <w:sz w:val="56"/>
          <w:szCs w:val="56"/>
          <w:lang w:eastAsia="en-GB"/>
        </w:rPr>
      </w:pPr>
    </w:p>
    <w:p w:rsidR="00673F8B" w:rsidRDefault="00673F8B" w:rsidP="00673F8B">
      <w:pPr>
        <w:spacing w:after="0" w:line="240" w:lineRule="auto"/>
        <w:rPr>
          <w:rFonts w:eastAsia="Times New Roman" w:cs="Times New Roman"/>
          <w:b/>
          <w:color w:val="000000" w:themeColor="text1"/>
          <w:sz w:val="56"/>
          <w:szCs w:val="56"/>
          <w:lang w:eastAsia="en-GB"/>
        </w:rPr>
      </w:pPr>
      <w:r w:rsidRPr="00673F8B">
        <w:rPr>
          <w:rFonts w:eastAsia="Times New Roman" w:cs="Times New Roman"/>
          <w:b/>
          <w:color w:val="000000" w:themeColor="text1"/>
          <w:sz w:val="56"/>
          <w:szCs w:val="56"/>
          <w:lang w:eastAsia="en-GB"/>
        </w:rPr>
        <w:tab/>
        <w:t xml:space="preserve">Connection Vouchers Decision </w:t>
      </w:r>
      <w:r w:rsidRPr="00673F8B">
        <w:rPr>
          <w:rFonts w:eastAsia="Times New Roman" w:cs="Times New Roman"/>
          <w:b/>
          <w:color w:val="000000" w:themeColor="text1"/>
          <w:sz w:val="56"/>
          <w:szCs w:val="56"/>
          <w:lang w:eastAsia="en-GB"/>
        </w:rPr>
        <w:tab/>
        <w:t>Document</w:t>
      </w:r>
    </w:p>
    <w:p w:rsidR="00673F8B" w:rsidRDefault="00673F8B" w:rsidP="00673F8B">
      <w:pPr>
        <w:spacing w:after="0" w:line="240" w:lineRule="auto"/>
        <w:rPr>
          <w:rFonts w:eastAsia="Times New Roman" w:cs="Times New Roman"/>
          <w:b/>
          <w:color w:val="000000" w:themeColor="text1"/>
          <w:sz w:val="56"/>
          <w:szCs w:val="56"/>
          <w:lang w:eastAsia="en-GB"/>
        </w:rPr>
      </w:pPr>
    </w:p>
    <w:p w:rsidR="00673F8B" w:rsidRDefault="00673F8B" w:rsidP="00673F8B">
      <w:pPr>
        <w:spacing w:after="0" w:line="240" w:lineRule="auto"/>
        <w:rPr>
          <w:rFonts w:eastAsia="Times New Roman" w:cs="Times New Roman"/>
          <w:b/>
          <w:color w:val="000000" w:themeColor="text1"/>
          <w:sz w:val="56"/>
          <w:szCs w:val="56"/>
          <w:lang w:eastAsia="en-GB"/>
        </w:rPr>
      </w:pPr>
    </w:p>
    <w:p w:rsidR="00673F8B" w:rsidRDefault="00673F8B" w:rsidP="00673F8B">
      <w:pPr>
        <w:spacing w:after="0" w:line="240" w:lineRule="auto"/>
        <w:rPr>
          <w:rFonts w:eastAsia="Times New Roman" w:cs="Times New Roman"/>
          <w:b/>
          <w:color w:val="000000" w:themeColor="text1"/>
          <w:sz w:val="56"/>
          <w:szCs w:val="56"/>
          <w:lang w:eastAsia="en-GB"/>
        </w:rPr>
      </w:pPr>
    </w:p>
    <w:p w:rsidR="00673F8B" w:rsidRDefault="00673F8B" w:rsidP="00673F8B">
      <w:pPr>
        <w:spacing w:after="0" w:line="240" w:lineRule="auto"/>
        <w:rPr>
          <w:rFonts w:eastAsia="Times New Roman" w:cs="Times New Roman"/>
          <w:b/>
          <w:color w:val="000000" w:themeColor="text1"/>
          <w:sz w:val="56"/>
          <w:szCs w:val="56"/>
          <w:lang w:eastAsia="en-GB"/>
        </w:rPr>
      </w:pPr>
    </w:p>
    <w:p w:rsidR="00673F8B" w:rsidRDefault="00673F8B" w:rsidP="00673F8B">
      <w:pPr>
        <w:spacing w:after="0" w:line="240" w:lineRule="auto"/>
        <w:rPr>
          <w:rFonts w:eastAsia="Times New Roman" w:cs="Times New Roman"/>
          <w:b/>
          <w:color w:val="000000" w:themeColor="text1"/>
          <w:sz w:val="56"/>
          <w:szCs w:val="56"/>
          <w:lang w:eastAsia="en-GB"/>
        </w:rPr>
      </w:pPr>
    </w:p>
    <w:p w:rsidR="00673F8B" w:rsidRDefault="00673F8B" w:rsidP="00673F8B">
      <w:pPr>
        <w:spacing w:after="0" w:line="240" w:lineRule="auto"/>
        <w:rPr>
          <w:rFonts w:eastAsia="Times New Roman" w:cs="Times New Roman"/>
          <w:b/>
          <w:color w:val="000000" w:themeColor="text1"/>
          <w:sz w:val="56"/>
          <w:szCs w:val="56"/>
          <w:lang w:eastAsia="en-GB"/>
        </w:rPr>
      </w:pPr>
    </w:p>
    <w:p w:rsidR="00673F8B" w:rsidRDefault="00673F8B" w:rsidP="00673F8B">
      <w:pPr>
        <w:spacing w:after="0" w:line="240" w:lineRule="auto"/>
        <w:rPr>
          <w:rFonts w:eastAsia="Times New Roman" w:cs="Times New Roman"/>
          <w:b/>
          <w:color w:val="000000" w:themeColor="text1"/>
          <w:sz w:val="56"/>
          <w:szCs w:val="56"/>
          <w:lang w:eastAsia="en-GB"/>
        </w:rPr>
      </w:pPr>
    </w:p>
    <w:p w:rsidR="00673F8B" w:rsidRDefault="00673F8B" w:rsidP="00673F8B">
      <w:pPr>
        <w:spacing w:after="0" w:line="240" w:lineRule="auto"/>
        <w:rPr>
          <w:rFonts w:eastAsia="Times New Roman" w:cs="Times New Roman"/>
          <w:b/>
          <w:color w:val="000000" w:themeColor="text1"/>
          <w:sz w:val="56"/>
          <w:szCs w:val="56"/>
          <w:lang w:eastAsia="en-GB"/>
        </w:rPr>
      </w:pPr>
    </w:p>
    <w:p w:rsidR="00673F8B" w:rsidRDefault="00673F8B" w:rsidP="00673F8B">
      <w:pPr>
        <w:spacing w:after="0" w:line="240" w:lineRule="auto"/>
        <w:rPr>
          <w:rFonts w:eastAsia="Times New Roman" w:cs="Times New Roman"/>
          <w:b/>
          <w:color w:val="000000" w:themeColor="text1"/>
          <w:sz w:val="56"/>
          <w:szCs w:val="56"/>
          <w:lang w:eastAsia="en-GB"/>
        </w:rPr>
      </w:pPr>
    </w:p>
    <w:p w:rsidR="00673F8B" w:rsidRDefault="00673F8B" w:rsidP="00673F8B">
      <w:pPr>
        <w:spacing w:after="0" w:line="240" w:lineRule="auto"/>
        <w:rPr>
          <w:rFonts w:eastAsia="Times New Roman" w:cs="Times New Roman"/>
          <w:b/>
          <w:color w:val="000000" w:themeColor="text1"/>
          <w:sz w:val="56"/>
          <w:szCs w:val="56"/>
          <w:lang w:eastAsia="en-GB"/>
        </w:rPr>
      </w:pPr>
    </w:p>
    <w:p w:rsidR="001B7243" w:rsidRDefault="001B7243" w:rsidP="00673F8B">
      <w:pPr>
        <w:spacing w:after="0" w:line="240" w:lineRule="auto"/>
        <w:rPr>
          <w:rFonts w:eastAsia="Times New Roman" w:cs="Times New Roman"/>
          <w:b/>
          <w:color w:val="000000" w:themeColor="text1"/>
          <w:sz w:val="56"/>
          <w:szCs w:val="56"/>
          <w:lang w:eastAsia="en-GB"/>
        </w:rPr>
      </w:pPr>
    </w:p>
    <w:p w:rsidR="00673F8B" w:rsidRPr="00673F8B" w:rsidRDefault="00673F8B" w:rsidP="00673F8B">
      <w:pPr>
        <w:spacing w:after="0" w:line="240" w:lineRule="auto"/>
        <w:rPr>
          <w:rFonts w:eastAsia="Times New Roman" w:cs="Times New Roman"/>
          <w:b/>
          <w:color w:val="000000" w:themeColor="text1"/>
          <w:sz w:val="56"/>
          <w:szCs w:val="56"/>
          <w:lang w:eastAsia="en-GB"/>
        </w:rPr>
      </w:pPr>
      <w:r w:rsidRPr="00673F8B">
        <w:rPr>
          <w:rFonts w:eastAsia="Times New Roman" w:cstheme="minorHAnsi"/>
          <w:b/>
          <w:color w:val="000000" w:themeColor="text1"/>
          <w:sz w:val="28"/>
          <w:szCs w:val="28"/>
          <w:lang w:eastAsia="en-GB"/>
        </w:rPr>
        <w:lastRenderedPageBreak/>
        <w:t>Overview</w:t>
      </w:r>
    </w:p>
    <w:p w:rsidR="00673F8B" w:rsidRPr="00673F8B" w:rsidRDefault="00673F8B" w:rsidP="00673F8B">
      <w:pPr>
        <w:spacing w:after="0" w:line="240" w:lineRule="auto"/>
        <w:rPr>
          <w:rFonts w:ascii="Arial" w:eastAsia="Times New Roman" w:hAnsi="Arial" w:cs="Arial"/>
          <w:sz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 xml:space="preserve">This document sets out </w:t>
      </w:r>
      <w:r w:rsidR="00072E43">
        <w:rPr>
          <w:rFonts w:eastAsia="Times New Roman" w:cstheme="minorHAnsi"/>
          <w:color w:val="000000" w:themeColor="text1"/>
          <w:sz w:val="24"/>
          <w:szCs w:val="24"/>
          <w:lang w:eastAsia="en-GB"/>
        </w:rPr>
        <w:t xml:space="preserve">the proposed next steps of the </w:t>
      </w:r>
      <w:r w:rsidR="00A603BF">
        <w:rPr>
          <w:rFonts w:eastAsia="Times New Roman" w:cstheme="minorHAnsi"/>
          <w:color w:val="000000" w:themeColor="text1"/>
          <w:sz w:val="24"/>
          <w:szCs w:val="24"/>
          <w:lang w:eastAsia="en-GB"/>
        </w:rPr>
        <w:t>Government’s</w:t>
      </w:r>
      <w:r w:rsidR="00072E43">
        <w:rPr>
          <w:rFonts w:eastAsia="Times New Roman" w:cstheme="minorHAnsi"/>
          <w:color w:val="000000" w:themeColor="text1"/>
          <w:sz w:val="24"/>
          <w:szCs w:val="24"/>
          <w:lang w:eastAsia="en-GB"/>
        </w:rPr>
        <w:t xml:space="preserve"> </w:t>
      </w:r>
      <w:r w:rsidR="00A603BF">
        <w:rPr>
          <w:rFonts w:eastAsia="Times New Roman" w:cstheme="minorHAnsi"/>
          <w:color w:val="000000" w:themeColor="text1"/>
          <w:sz w:val="24"/>
          <w:szCs w:val="24"/>
          <w:lang w:eastAsia="en-GB"/>
        </w:rPr>
        <w:t>Connection Voucher Scheme (CVS) following the</w:t>
      </w:r>
      <w:r w:rsidRPr="00673F8B">
        <w:rPr>
          <w:rFonts w:eastAsia="Times New Roman" w:cstheme="minorHAnsi"/>
          <w:color w:val="000000" w:themeColor="text1"/>
          <w:sz w:val="24"/>
          <w:szCs w:val="24"/>
          <w:lang w:eastAsia="en-GB"/>
        </w:rPr>
        <w:t xml:space="preserve"> consultation process, and market test outcomes. </w:t>
      </w:r>
    </w:p>
    <w:p w:rsidR="00673F8B" w:rsidRPr="00673F8B" w:rsidRDefault="00673F8B" w:rsidP="00673F8B">
      <w:pPr>
        <w:spacing w:after="0" w:line="240" w:lineRule="auto"/>
        <w:ind w:left="720"/>
        <w:contextualSpacing/>
        <w:rPr>
          <w:rFonts w:eastAsia="Times New Roman" w:cstheme="minorHAnsi"/>
          <w:color w:val="000000" w:themeColor="text1"/>
          <w:sz w:val="24"/>
          <w:szCs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The final design of the CVS has been informed by responses that Broadband Delive</w:t>
      </w:r>
      <w:r w:rsidR="00072E43">
        <w:rPr>
          <w:rFonts w:eastAsia="Times New Roman" w:cstheme="minorHAnsi"/>
          <w:color w:val="000000" w:themeColor="text1"/>
          <w:sz w:val="24"/>
          <w:szCs w:val="24"/>
          <w:lang w:eastAsia="en-GB"/>
        </w:rPr>
        <w:t xml:space="preserve">ry UK (“BDUK”) received to its </w:t>
      </w:r>
      <w:r w:rsidRPr="00673F8B">
        <w:rPr>
          <w:rFonts w:eastAsia="Times New Roman" w:cstheme="minorHAnsi"/>
          <w:color w:val="000000" w:themeColor="text1"/>
          <w:sz w:val="24"/>
          <w:szCs w:val="24"/>
          <w:lang w:eastAsia="en-GB"/>
        </w:rPr>
        <w:t>public consultation that took place in June 2013 (“the Consultation”)</w:t>
      </w:r>
      <w:r w:rsidRPr="00673F8B">
        <w:rPr>
          <w:rFonts w:eastAsia="Times New Roman" w:cstheme="minorHAnsi"/>
          <w:color w:val="000000" w:themeColor="text1"/>
          <w:sz w:val="24"/>
          <w:szCs w:val="24"/>
          <w:vertAlign w:val="superscript"/>
          <w:lang w:eastAsia="en-GB"/>
        </w:rPr>
        <w:footnoteReference w:id="1"/>
      </w:r>
      <w:r w:rsidR="00072E43">
        <w:rPr>
          <w:rFonts w:eastAsia="Times New Roman" w:cstheme="minorHAnsi"/>
          <w:color w:val="000000" w:themeColor="text1"/>
          <w:sz w:val="24"/>
          <w:szCs w:val="24"/>
          <w:lang w:eastAsia="en-GB"/>
        </w:rPr>
        <w:t xml:space="preserve"> , market research </w:t>
      </w:r>
      <w:r w:rsidRPr="00673F8B">
        <w:rPr>
          <w:rFonts w:eastAsia="Times New Roman" w:cstheme="minorHAnsi"/>
          <w:color w:val="000000" w:themeColor="text1"/>
          <w:sz w:val="24"/>
          <w:szCs w:val="24"/>
          <w:lang w:eastAsia="en-GB"/>
        </w:rPr>
        <w:t xml:space="preserve">and the outcomes from BDUK’s two month market test, </w:t>
      </w:r>
      <w:r w:rsidR="00072E43">
        <w:rPr>
          <w:rFonts w:eastAsia="Times New Roman" w:cstheme="minorHAnsi"/>
          <w:color w:val="000000" w:themeColor="text1"/>
          <w:sz w:val="24"/>
          <w:szCs w:val="24"/>
          <w:lang w:eastAsia="en-GB"/>
        </w:rPr>
        <w:t>which followed the consultation</w:t>
      </w:r>
      <w:r w:rsidRPr="00673F8B">
        <w:rPr>
          <w:rFonts w:eastAsia="Times New Roman" w:cstheme="minorHAnsi"/>
          <w:color w:val="000000" w:themeColor="text1"/>
          <w:sz w:val="24"/>
          <w:szCs w:val="24"/>
          <w:lang w:eastAsia="en-GB"/>
        </w:rPr>
        <w:t xml:space="preserve">. </w:t>
      </w:r>
    </w:p>
    <w:p w:rsidR="00673F8B" w:rsidRPr="00673F8B" w:rsidRDefault="00673F8B" w:rsidP="00673F8B">
      <w:pPr>
        <w:spacing w:after="0" w:line="240" w:lineRule="auto"/>
        <w:ind w:left="720"/>
        <w:contextualSpacing/>
        <w:rPr>
          <w:rFonts w:eastAsia="Times New Roman" w:cstheme="minorHAnsi"/>
          <w:color w:val="000000" w:themeColor="text1"/>
          <w:sz w:val="24"/>
          <w:szCs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 xml:space="preserve">On the basis </w:t>
      </w:r>
      <w:r w:rsidRPr="00673F8B">
        <w:rPr>
          <w:rFonts w:eastAsia="Times New Roman" w:cstheme="minorHAnsi"/>
          <w:color w:val="000000" w:themeColor="text1"/>
          <w:sz w:val="24"/>
          <w:lang w:eastAsia="en-GB"/>
        </w:rPr>
        <w:t xml:space="preserve">of the outcome of the market tests, commissioned research and supplier consultation, </w:t>
      </w:r>
      <w:r w:rsidR="00A603BF">
        <w:rPr>
          <w:rFonts w:eastAsia="Times New Roman" w:cstheme="minorHAnsi"/>
          <w:color w:val="000000" w:themeColor="text1"/>
          <w:sz w:val="24"/>
          <w:lang w:eastAsia="en-GB"/>
        </w:rPr>
        <w:t xml:space="preserve">the </w:t>
      </w:r>
      <w:r w:rsidR="00072E43">
        <w:rPr>
          <w:rFonts w:eastAsia="Times New Roman" w:cstheme="minorHAnsi"/>
          <w:color w:val="000000" w:themeColor="text1"/>
          <w:sz w:val="24"/>
          <w:lang w:eastAsia="en-GB"/>
        </w:rPr>
        <w:t xml:space="preserve">Government has taken the decision </w:t>
      </w:r>
      <w:r w:rsidR="00A603BF">
        <w:rPr>
          <w:rFonts w:eastAsia="Times New Roman" w:cstheme="minorHAnsi"/>
          <w:color w:val="000000" w:themeColor="text1"/>
          <w:sz w:val="24"/>
          <w:lang w:eastAsia="en-GB"/>
        </w:rPr>
        <w:t>to</w:t>
      </w:r>
      <w:r w:rsidRPr="00673F8B">
        <w:rPr>
          <w:rFonts w:eastAsia="Times New Roman" w:cstheme="minorHAnsi"/>
          <w:color w:val="000000" w:themeColor="text1"/>
          <w:sz w:val="24"/>
          <w:lang w:eastAsia="en-GB"/>
        </w:rPr>
        <w:t xml:space="preserve"> roll out the scheme to all 22 cities. </w:t>
      </w:r>
    </w:p>
    <w:p w:rsidR="00673F8B" w:rsidRPr="00673F8B" w:rsidRDefault="00673F8B" w:rsidP="00673F8B">
      <w:pPr>
        <w:spacing w:after="0" w:line="240" w:lineRule="auto"/>
        <w:rPr>
          <w:rFonts w:ascii="Arial" w:eastAsia="Times New Roman" w:hAnsi="Arial" w:cs="Arial"/>
          <w:sz w:val="24"/>
          <w:lang w:eastAsia="en-GB"/>
        </w:rPr>
      </w:pPr>
    </w:p>
    <w:p w:rsidR="00673F8B" w:rsidRPr="00673F8B" w:rsidRDefault="00673F8B" w:rsidP="00673F8B">
      <w:pPr>
        <w:keepNext/>
        <w:tabs>
          <w:tab w:val="left" w:pos="851"/>
        </w:tabs>
        <w:spacing w:after="0" w:line="240" w:lineRule="auto"/>
        <w:jc w:val="both"/>
        <w:rPr>
          <w:rFonts w:eastAsia="Times New Roman" w:cstheme="minorHAnsi"/>
          <w:b/>
          <w:color w:val="000000" w:themeColor="text1"/>
          <w:sz w:val="24"/>
          <w:szCs w:val="24"/>
          <w:lang w:eastAsia="en-GB"/>
        </w:rPr>
      </w:pPr>
      <w:r w:rsidRPr="00673F8B">
        <w:rPr>
          <w:rFonts w:eastAsia="Times New Roman" w:cstheme="minorHAnsi"/>
          <w:b/>
          <w:color w:val="000000" w:themeColor="text1"/>
          <w:sz w:val="24"/>
          <w:szCs w:val="24"/>
          <w:lang w:eastAsia="en-GB"/>
        </w:rPr>
        <w:t>Connection Voucher Scheme - The Market Test</w:t>
      </w:r>
    </w:p>
    <w:p w:rsidR="00673F8B" w:rsidRPr="00673F8B" w:rsidRDefault="00673F8B" w:rsidP="00673F8B">
      <w:pPr>
        <w:spacing w:after="0" w:line="240" w:lineRule="auto"/>
        <w:rPr>
          <w:rFonts w:ascii="Arial" w:eastAsia="Times New Roman" w:hAnsi="Arial" w:cs="Arial"/>
          <w:sz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In order to test the demand for vouchers amongst SMEs, the scheme parameters, and the scheme’s administrative arrangements, BDUK conducted a two-month market test in five cities (Belfast, Cardiff, Edinburgh, Manchester and Salford).</w:t>
      </w:r>
    </w:p>
    <w:p w:rsidR="00673F8B" w:rsidRPr="00673F8B" w:rsidRDefault="00673F8B" w:rsidP="00673F8B">
      <w:pPr>
        <w:spacing w:after="0" w:line="240" w:lineRule="auto"/>
        <w:ind w:left="720"/>
        <w:contextualSpacing/>
        <w:rPr>
          <w:rFonts w:eastAsia="Times New Roman" w:cstheme="minorHAnsi"/>
          <w:color w:val="000000" w:themeColor="text1"/>
          <w:sz w:val="24"/>
          <w:szCs w:val="24"/>
          <w:lang w:eastAsia="en-GB"/>
        </w:rPr>
      </w:pPr>
    </w:p>
    <w:p w:rsidR="00673F8B" w:rsidRPr="00673F8B" w:rsidRDefault="00A603BF" w:rsidP="000A17E9">
      <w:pPr>
        <w:numPr>
          <w:ilvl w:val="0"/>
          <w:numId w:val="33"/>
        </w:numPr>
        <w:spacing w:after="0" w:line="240" w:lineRule="auto"/>
        <w:contextualSpacing/>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E</w:t>
      </w:r>
      <w:r w:rsidR="00673F8B" w:rsidRPr="00673F8B">
        <w:rPr>
          <w:rFonts w:eastAsia="Times New Roman" w:cstheme="minorHAnsi"/>
          <w:color w:val="000000" w:themeColor="text1"/>
          <w:sz w:val="24"/>
          <w:szCs w:val="24"/>
          <w:lang w:eastAsia="en-GB"/>
        </w:rPr>
        <w:t>vidence from the five participating cities in the market tests indicates that the demand-side measures proposed by BDUK are likely to:</w:t>
      </w:r>
      <w:r w:rsidR="00673F8B" w:rsidRPr="00673F8B">
        <w:rPr>
          <w:rFonts w:eastAsia="Times New Roman" w:cstheme="minorHAnsi"/>
          <w:color w:val="000000" w:themeColor="text1"/>
          <w:sz w:val="24"/>
          <w:szCs w:val="24"/>
          <w:lang w:eastAsia="en-GB"/>
        </w:rPr>
        <w:br/>
      </w:r>
    </w:p>
    <w:p w:rsidR="00673F8B" w:rsidRPr="00673F8B" w:rsidRDefault="00673F8B" w:rsidP="00673F8B">
      <w:pPr>
        <w:numPr>
          <w:ilvl w:val="0"/>
          <w:numId w:val="28"/>
        </w:numPr>
        <w:adjustRightInd w:val="0"/>
        <w:spacing w:after="0" w:line="240" w:lineRule="auto"/>
        <w:outlineLvl w:val="1"/>
        <w:rPr>
          <w:rFonts w:eastAsia="Arial" w:cstheme="minorHAnsi"/>
          <w:color w:val="000000" w:themeColor="text1"/>
          <w:sz w:val="24"/>
          <w:szCs w:val="24"/>
          <w:lang w:eastAsia="en-GB"/>
        </w:rPr>
      </w:pPr>
      <w:bookmarkStart w:id="0" w:name="_Toc373135298"/>
      <w:r w:rsidRPr="00673F8B">
        <w:rPr>
          <w:rFonts w:eastAsia="Arial" w:cstheme="minorHAnsi"/>
          <w:color w:val="000000" w:themeColor="text1"/>
          <w:sz w:val="24"/>
          <w:szCs w:val="24"/>
          <w:lang w:eastAsia="en-GB"/>
        </w:rPr>
        <w:t>work with the grain of the market and appeal to a wide range of suppliers, with a range of communications providers registered and competing for SME business both at the wholesale and retail;</w:t>
      </w:r>
      <w:bookmarkEnd w:id="0"/>
    </w:p>
    <w:p w:rsidR="00673F8B" w:rsidRPr="00673F8B" w:rsidRDefault="00673F8B" w:rsidP="00673F8B">
      <w:pPr>
        <w:numPr>
          <w:ilvl w:val="0"/>
          <w:numId w:val="28"/>
        </w:numPr>
        <w:adjustRightInd w:val="0"/>
        <w:spacing w:after="0" w:line="240" w:lineRule="auto"/>
        <w:outlineLvl w:val="1"/>
        <w:rPr>
          <w:rFonts w:eastAsia="Arial" w:cstheme="minorHAnsi"/>
          <w:color w:val="000000" w:themeColor="text1"/>
          <w:sz w:val="24"/>
          <w:szCs w:val="24"/>
          <w:lang w:eastAsia="en-GB"/>
        </w:rPr>
      </w:pPr>
      <w:bookmarkStart w:id="1" w:name="_Toc373135299"/>
      <w:r w:rsidRPr="00673F8B">
        <w:rPr>
          <w:rFonts w:eastAsia="Arial" w:cstheme="minorHAnsi"/>
          <w:color w:val="000000" w:themeColor="text1"/>
          <w:sz w:val="24"/>
          <w:szCs w:val="24"/>
          <w:lang w:eastAsia="en-GB"/>
        </w:rPr>
        <w:t>solve identified information and co-ordination failures evident in the market by providing suppliers with demand mapping;</w:t>
      </w:r>
      <w:r w:rsidRPr="00673F8B">
        <w:rPr>
          <w:rFonts w:eastAsia="Arial" w:cstheme="minorHAnsi"/>
          <w:color w:val="000000" w:themeColor="text1"/>
          <w:sz w:val="24"/>
          <w:szCs w:val="24"/>
          <w:vertAlign w:val="superscript"/>
          <w:lang w:eastAsia="en-GB"/>
        </w:rPr>
        <w:footnoteReference w:id="2"/>
      </w:r>
      <w:bookmarkEnd w:id="1"/>
    </w:p>
    <w:p w:rsidR="00673F8B" w:rsidRPr="00673F8B" w:rsidRDefault="00673F8B" w:rsidP="00673F8B">
      <w:pPr>
        <w:numPr>
          <w:ilvl w:val="0"/>
          <w:numId w:val="28"/>
        </w:numPr>
        <w:adjustRightInd w:val="0"/>
        <w:spacing w:after="0" w:line="240" w:lineRule="auto"/>
        <w:outlineLvl w:val="1"/>
        <w:rPr>
          <w:rFonts w:eastAsia="Arial" w:cstheme="minorHAnsi"/>
          <w:color w:val="000000" w:themeColor="text1"/>
          <w:sz w:val="24"/>
          <w:szCs w:val="24"/>
          <w:lang w:eastAsia="en-GB"/>
        </w:rPr>
      </w:pPr>
      <w:bookmarkStart w:id="2" w:name="_Toc373135300"/>
      <w:r w:rsidRPr="00673F8B">
        <w:rPr>
          <w:rFonts w:eastAsia="Arial" w:cstheme="minorHAnsi"/>
          <w:color w:val="000000" w:themeColor="text1"/>
          <w:sz w:val="24"/>
          <w:szCs w:val="24"/>
          <w:lang w:eastAsia="en-GB"/>
        </w:rPr>
        <w:t>promote the take-up of productivity enhancing high-speed/high-grade connectivity by SMEs by removing a cost barrier and enabling the use of the chosen connectivity for advanced purposes;</w:t>
      </w:r>
      <w:bookmarkEnd w:id="2"/>
      <w:r w:rsidRPr="00673F8B">
        <w:rPr>
          <w:rFonts w:eastAsia="Arial" w:cstheme="minorHAnsi"/>
          <w:color w:val="000000" w:themeColor="text1"/>
          <w:sz w:val="24"/>
          <w:szCs w:val="24"/>
          <w:lang w:eastAsia="en-GB"/>
        </w:rPr>
        <w:t xml:space="preserve"> </w:t>
      </w:r>
      <w:bookmarkStart w:id="3" w:name="_Toc373135301"/>
    </w:p>
    <w:p w:rsidR="00673F8B" w:rsidRPr="00673F8B" w:rsidRDefault="00673F8B" w:rsidP="00673F8B">
      <w:pPr>
        <w:numPr>
          <w:ilvl w:val="0"/>
          <w:numId w:val="28"/>
        </w:numPr>
        <w:adjustRightInd w:val="0"/>
        <w:spacing w:after="0" w:line="240" w:lineRule="auto"/>
        <w:outlineLvl w:val="1"/>
        <w:rPr>
          <w:rFonts w:eastAsia="Arial" w:cstheme="minorHAnsi"/>
          <w:color w:val="000000" w:themeColor="text1"/>
          <w:sz w:val="24"/>
          <w:szCs w:val="24"/>
          <w:lang w:eastAsia="en-GB"/>
        </w:rPr>
      </w:pPr>
      <w:r w:rsidRPr="00673F8B">
        <w:rPr>
          <w:rFonts w:eastAsia="Arial" w:cstheme="minorHAnsi"/>
          <w:color w:val="000000" w:themeColor="text1"/>
          <w:sz w:val="24"/>
          <w:szCs w:val="24"/>
          <w:lang w:eastAsia="en-GB"/>
        </w:rPr>
        <w:t>‘nudge’ commercial deployment of high-speed/high-grade connectivity in marginal areas;</w:t>
      </w:r>
      <w:bookmarkEnd w:id="3"/>
    </w:p>
    <w:p w:rsidR="00673F8B" w:rsidRPr="00673F8B" w:rsidRDefault="00673F8B" w:rsidP="00673F8B">
      <w:pPr>
        <w:numPr>
          <w:ilvl w:val="0"/>
          <w:numId w:val="28"/>
        </w:numPr>
        <w:adjustRightInd w:val="0"/>
        <w:spacing w:after="0" w:line="240" w:lineRule="auto"/>
        <w:outlineLvl w:val="1"/>
        <w:rPr>
          <w:rFonts w:eastAsia="Arial" w:cstheme="minorHAnsi"/>
          <w:color w:val="000000" w:themeColor="text1"/>
          <w:sz w:val="24"/>
          <w:szCs w:val="24"/>
          <w:lang w:eastAsia="en-GB"/>
        </w:rPr>
      </w:pPr>
      <w:bookmarkStart w:id="4" w:name="_Toc373135302"/>
      <w:r w:rsidRPr="00673F8B">
        <w:rPr>
          <w:rFonts w:eastAsia="Arial" w:cstheme="minorHAnsi"/>
          <w:color w:val="000000" w:themeColor="text1"/>
          <w:sz w:val="24"/>
          <w:szCs w:val="24"/>
          <w:lang w:eastAsia="en-GB"/>
        </w:rPr>
        <w:t>have some spill-over effects, with some suppliers developing new products to fill identified gaps in the market and selling other non-voucher related products to SMEs;</w:t>
      </w:r>
      <w:bookmarkEnd w:id="4"/>
    </w:p>
    <w:p w:rsidR="00673F8B" w:rsidRPr="00673F8B" w:rsidRDefault="00673F8B" w:rsidP="00673F8B">
      <w:pPr>
        <w:numPr>
          <w:ilvl w:val="0"/>
          <w:numId w:val="28"/>
        </w:numPr>
        <w:adjustRightInd w:val="0"/>
        <w:spacing w:after="0" w:line="240" w:lineRule="auto"/>
        <w:outlineLvl w:val="1"/>
        <w:rPr>
          <w:rFonts w:eastAsia="Arial" w:cstheme="minorHAnsi"/>
          <w:color w:val="000000" w:themeColor="text1"/>
          <w:sz w:val="24"/>
          <w:szCs w:val="24"/>
          <w:lang w:eastAsia="en-GB"/>
        </w:rPr>
      </w:pPr>
      <w:bookmarkStart w:id="5" w:name="_Toc373135303"/>
      <w:r w:rsidRPr="00673F8B">
        <w:rPr>
          <w:rFonts w:eastAsia="Arial" w:cstheme="minorHAnsi"/>
          <w:color w:val="000000" w:themeColor="text1"/>
          <w:sz w:val="24"/>
          <w:szCs w:val="24"/>
          <w:lang w:eastAsia="en-GB"/>
        </w:rPr>
        <w:t>‘</w:t>
      </w:r>
      <w:r w:rsidR="00072E43">
        <w:rPr>
          <w:rFonts w:eastAsia="Arial" w:cstheme="minorHAnsi"/>
          <w:color w:val="000000" w:themeColor="text1"/>
          <w:sz w:val="24"/>
          <w:szCs w:val="24"/>
          <w:lang w:eastAsia="en-GB"/>
        </w:rPr>
        <w:t>nudged</w:t>
      </w:r>
      <w:r w:rsidRPr="00673F8B">
        <w:rPr>
          <w:rFonts w:eastAsia="Arial" w:cstheme="minorHAnsi"/>
          <w:color w:val="000000" w:themeColor="text1"/>
          <w:sz w:val="24"/>
          <w:szCs w:val="24"/>
          <w:lang w:eastAsia="en-GB"/>
        </w:rPr>
        <w:t>’ the take-up of high-speed/high-grade services by SMEs and in so doing provided an acceptable level of deadweight welfare loss when set against the broader economic gains likely from the scheme; and</w:t>
      </w:r>
      <w:bookmarkEnd w:id="5"/>
    </w:p>
    <w:p w:rsidR="00673F8B" w:rsidRPr="00673F8B" w:rsidRDefault="00673F8B" w:rsidP="00673F8B">
      <w:pPr>
        <w:numPr>
          <w:ilvl w:val="0"/>
          <w:numId w:val="28"/>
        </w:numPr>
        <w:adjustRightInd w:val="0"/>
        <w:spacing w:after="0" w:line="240" w:lineRule="auto"/>
        <w:outlineLvl w:val="1"/>
        <w:rPr>
          <w:rFonts w:eastAsia="Arial" w:cstheme="minorHAnsi"/>
          <w:color w:val="000000" w:themeColor="text1"/>
          <w:sz w:val="24"/>
          <w:szCs w:val="24"/>
          <w:lang w:eastAsia="en-GB"/>
        </w:rPr>
      </w:pPr>
      <w:bookmarkStart w:id="6" w:name="_Toc373135304"/>
      <w:r w:rsidRPr="00673F8B">
        <w:rPr>
          <w:rFonts w:eastAsia="Arial" w:cstheme="minorHAnsi"/>
          <w:color w:val="000000" w:themeColor="text1"/>
          <w:sz w:val="24"/>
          <w:szCs w:val="24"/>
          <w:lang w:eastAsia="en-GB"/>
        </w:rPr>
        <w:t xml:space="preserve">be deliverable at an acceptable level of administrative cost. </w:t>
      </w:r>
      <w:bookmarkEnd w:id="6"/>
      <w:r w:rsidRPr="00673F8B">
        <w:rPr>
          <w:rFonts w:eastAsia="Arial" w:cstheme="minorHAnsi"/>
          <w:color w:val="000000" w:themeColor="text1"/>
          <w:sz w:val="24"/>
          <w:szCs w:val="24"/>
          <w:lang w:eastAsia="en-GB"/>
        </w:rPr>
        <w:t xml:space="preserve">   </w:t>
      </w:r>
    </w:p>
    <w:p w:rsidR="00673F8B" w:rsidRPr="00673F8B" w:rsidRDefault="00673F8B" w:rsidP="00673F8B">
      <w:pPr>
        <w:spacing w:after="0" w:line="240" w:lineRule="auto"/>
        <w:rPr>
          <w:rFonts w:eastAsia="Times New Roman" w:cstheme="minorHAnsi"/>
          <w:b/>
          <w:bCs/>
          <w:color w:val="000000" w:themeColor="text1"/>
          <w:sz w:val="24"/>
          <w:szCs w:val="24"/>
          <w:lang w:eastAsia="en-GB"/>
        </w:rPr>
      </w:pPr>
    </w:p>
    <w:p w:rsidR="00673F8B" w:rsidRPr="00673F8B" w:rsidRDefault="00673F8B" w:rsidP="00673F8B">
      <w:pPr>
        <w:spacing w:after="0" w:line="240" w:lineRule="auto"/>
        <w:rPr>
          <w:rFonts w:eastAsia="Times New Roman" w:cstheme="minorHAnsi"/>
          <w:b/>
          <w:bCs/>
          <w:color w:val="000000" w:themeColor="text1"/>
          <w:sz w:val="24"/>
          <w:szCs w:val="24"/>
          <w:lang w:eastAsia="en-GB"/>
        </w:rPr>
      </w:pPr>
    </w:p>
    <w:p w:rsidR="00673F8B" w:rsidRPr="00673F8B" w:rsidRDefault="00673F8B" w:rsidP="00673F8B">
      <w:pPr>
        <w:spacing w:after="0" w:line="240" w:lineRule="auto"/>
        <w:rPr>
          <w:rFonts w:eastAsia="Times New Roman" w:cstheme="minorHAnsi"/>
          <w:b/>
          <w:bCs/>
          <w:color w:val="000000" w:themeColor="text1"/>
          <w:sz w:val="24"/>
          <w:szCs w:val="24"/>
          <w:lang w:eastAsia="en-GB"/>
        </w:rPr>
      </w:pPr>
      <w:r w:rsidRPr="00673F8B">
        <w:rPr>
          <w:rFonts w:eastAsia="Times New Roman" w:cstheme="minorHAnsi"/>
          <w:b/>
          <w:bCs/>
          <w:color w:val="000000" w:themeColor="text1"/>
          <w:sz w:val="24"/>
          <w:szCs w:val="24"/>
          <w:lang w:eastAsia="en-GB"/>
        </w:rPr>
        <w:lastRenderedPageBreak/>
        <w:t xml:space="preserve">State Aid </w:t>
      </w:r>
    </w:p>
    <w:p w:rsidR="00673F8B" w:rsidRPr="00673F8B" w:rsidRDefault="00673F8B" w:rsidP="00673F8B">
      <w:pPr>
        <w:spacing w:after="0" w:line="240" w:lineRule="auto"/>
        <w:ind w:left="720"/>
        <w:contextualSpacing/>
        <w:rPr>
          <w:rFonts w:eastAsia="Times New Roman" w:cstheme="minorHAnsi"/>
          <w:color w:val="000000" w:themeColor="text1"/>
          <w:sz w:val="24"/>
          <w:szCs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The UK considers that the design of its voucher scheme is such that any funding received by voucher recipients would be consistent with the requirements of the De Minimis Regulation.  In itself, the funding would be very substantially below the financial thresholds in that Regulation and the scheme will be designed to ensure that the other requirements of the Regulation are met. Accordingly, such funding would be deemed not to meet all the criteria of Article 107(1) of the Treaty of the European Union ("The Treaty") and would therefore be exempt from the notification requirement in Article 108(3) the Treaty.</w:t>
      </w:r>
    </w:p>
    <w:p w:rsidR="00673F8B" w:rsidRPr="00673F8B" w:rsidRDefault="00673F8B" w:rsidP="00673F8B">
      <w:pPr>
        <w:spacing w:after="0" w:line="240" w:lineRule="auto"/>
        <w:ind w:left="720"/>
        <w:contextualSpacing/>
        <w:rPr>
          <w:rFonts w:eastAsia="Times New Roman" w:cstheme="minorHAnsi"/>
          <w:color w:val="000000" w:themeColor="text1"/>
          <w:sz w:val="24"/>
          <w:szCs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BDUK has been engaged with the European Commission (“the Commission”) for a number of months setting out the case for considering the UK's proposed demand-side measures as non-qualifying aid. The UK has set out its view that competition in the supply chain will not be distorted as a result of the Scheme.  In particular, vouchers may be redeemed by recipients with an Internet Service Provider ("ISP") / broadband supplier of their choice who will be paid no more than a commercial/regulated rate for the services they provide.  Further, while the presence of a voucher scheme may highlight latent demand in a given area, it can only be used to support the incremental cost of connection to identified SMEs, which are themselves scattered across the cities. Accordingly, the presence of vouchers (as a lump sum transfer directly to voucher recipients) will not give rise to indirect aid to any ISPs / broadband suppliers.</w:t>
      </w:r>
    </w:p>
    <w:p w:rsidR="00673F8B" w:rsidRPr="00673F8B" w:rsidRDefault="00673F8B" w:rsidP="00673F8B">
      <w:pPr>
        <w:spacing w:after="0" w:line="240" w:lineRule="auto"/>
        <w:rPr>
          <w:rFonts w:eastAsia="Times New Roman" w:cstheme="minorHAnsi"/>
          <w:color w:val="000000" w:themeColor="text1"/>
          <w:sz w:val="24"/>
          <w:szCs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Given the UK’s view on the State aid position, the UK is not currently</w:t>
      </w:r>
      <w:r w:rsidR="00072E43">
        <w:rPr>
          <w:rFonts w:eastAsia="Times New Roman" w:cstheme="minorHAnsi"/>
          <w:color w:val="000000" w:themeColor="text1"/>
          <w:sz w:val="24"/>
          <w:szCs w:val="24"/>
          <w:lang w:eastAsia="en-GB"/>
        </w:rPr>
        <w:t xml:space="preserve"> intending to notify BDUK’s CVS or the other </w:t>
      </w:r>
      <w:r w:rsidRPr="00673F8B">
        <w:rPr>
          <w:rFonts w:eastAsia="Times New Roman" w:cstheme="minorHAnsi"/>
          <w:color w:val="000000" w:themeColor="text1"/>
          <w:sz w:val="24"/>
          <w:szCs w:val="24"/>
          <w:lang w:eastAsia="en-GB"/>
        </w:rPr>
        <w:t xml:space="preserve">activities it will undertake as part of the package of demand-side measures it is intending to introduce.  </w:t>
      </w:r>
    </w:p>
    <w:p w:rsidR="00673F8B" w:rsidRPr="00673F8B" w:rsidRDefault="00673F8B" w:rsidP="00673F8B">
      <w:pPr>
        <w:spacing w:after="0" w:line="240" w:lineRule="auto"/>
        <w:rPr>
          <w:rFonts w:eastAsia="Times New Roman" w:cstheme="minorHAnsi"/>
          <w:color w:val="000000" w:themeColor="text1"/>
          <w:sz w:val="24"/>
          <w:szCs w:val="24"/>
          <w:lang w:eastAsia="en-GB"/>
        </w:rPr>
      </w:pPr>
    </w:p>
    <w:p w:rsidR="00673F8B" w:rsidRPr="00673F8B" w:rsidRDefault="00673F8B" w:rsidP="00673F8B">
      <w:pPr>
        <w:spacing w:after="0" w:line="240" w:lineRule="auto"/>
        <w:rPr>
          <w:rFonts w:eastAsia="Times New Roman" w:cstheme="minorHAnsi"/>
          <w:b/>
          <w:color w:val="000000" w:themeColor="text1"/>
          <w:sz w:val="24"/>
          <w:szCs w:val="24"/>
          <w:lang w:eastAsia="en-GB"/>
        </w:rPr>
      </w:pPr>
      <w:r w:rsidRPr="00673F8B">
        <w:rPr>
          <w:rFonts w:eastAsia="Times New Roman" w:cstheme="minorHAnsi"/>
          <w:b/>
          <w:color w:val="000000" w:themeColor="text1"/>
          <w:sz w:val="24"/>
          <w:szCs w:val="24"/>
          <w:lang w:eastAsia="en-GB"/>
        </w:rPr>
        <w:t xml:space="preserve">Next steps </w:t>
      </w:r>
    </w:p>
    <w:p w:rsidR="00673F8B" w:rsidRPr="00673F8B" w:rsidRDefault="00673F8B" w:rsidP="00673F8B">
      <w:pPr>
        <w:spacing w:after="0" w:line="240" w:lineRule="auto"/>
        <w:rPr>
          <w:rFonts w:eastAsia="Times New Roman" w:cstheme="minorHAnsi"/>
          <w:color w:val="000000" w:themeColor="text1"/>
          <w:sz w:val="24"/>
          <w:szCs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It is expected that the scheme will run from December 2013 to the end of March 2015</w:t>
      </w:r>
      <w:r w:rsidR="00072E43">
        <w:rPr>
          <w:rFonts w:eastAsia="Times New Roman" w:cstheme="minorHAnsi"/>
          <w:color w:val="000000" w:themeColor="text1"/>
          <w:sz w:val="24"/>
          <w:szCs w:val="24"/>
          <w:lang w:eastAsia="en-GB"/>
        </w:rPr>
        <w:t>.</w:t>
      </w:r>
      <w:r w:rsidRPr="00673F8B">
        <w:rPr>
          <w:rFonts w:eastAsia="Times New Roman" w:cstheme="minorHAnsi"/>
          <w:color w:val="000000" w:themeColor="text1"/>
          <w:sz w:val="24"/>
          <w:szCs w:val="24"/>
          <w:lang w:eastAsia="en-GB"/>
        </w:rPr>
        <w:br/>
        <w:t xml:space="preserve"> </w:t>
      </w: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 xml:space="preserve">If you have any questions regarding this initiative or enquiries about this document please send these to the BDUK team at, </w:t>
      </w:r>
      <w:hyperlink r:id="rId10" w:history="1">
        <w:r w:rsidRPr="00673F8B">
          <w:rPr>
            <w:rFonts w:eastAsia="Times New Roman" w:cstheme="minorHAnsi"/>
            <w:color w:val="000000" w:themeColor="text1"/>
            <w:sz w:val="24"/>
            <w:szCs w:val="24"/>
            <w:u w:val="single"/>
            <w:lang w:eastAsia="en-GB"/>
          </w:rPr>
          <w:t>urbanbroadbandfund@culture.gsi.gov.uk</w:t>
        </w:r>
      </w:hyperlink>
      <w:r w:rsidRPr="00673F8B">
        <w:rPr>
          <w:rFonts w:eastAsia="Times New Roman" w:cstheme="minorHAnsi"/>
          <w:color w:val="000000" w:themeColor="text1"/>
          <w:sz w:val="24"/>
          <w:szCs w:val="24"/>
          <w:lang w:eastAsia="en-GB"/>
        </w:rPr>
        <w:t xml:space="preserve">. If you do not have access to email, please send correspondence to: </w:t>
      </w:r>
    </w:p>
    <w:p w:rsidR="00673F8B" w:rsidRPr="00673F8B" w:rsidRDefault="00673F8B" w:rsidP="00673F8B">
      <w:pPr>
        <w:spacing w:after="0" w:line="240" w:lineRule="auto"/>
        <w:rPr>
          <w:rFonts w:eastAsia="Times New Roman" w:cstheme="minorHAnsi"/>
          <w:color w:val="000000" w:themeColor="text1"/>
          <w:sz w:val="24"/>
          <w:szCs w:val="24"/>
          <w:lang w:bidi="en-US"/>
        </w:rPr>
      </w:pPr>
    </w:p>
    <w:p w:rsidR="00673F8B" w:rsidRPr="00673F8B" w:rsidRDefault="00673F8B" w:rsidP="00673F8B">
      <w:pPr>
        <w:spacing w:after="0" w:line="240" w:lineRule="auto"/>
        <w:ind w:left="1134"/>
        <w:rPr>
          <w:rFonts w:eastAsia="Times New Roman" w:cstheme="minorHAnsi"/>
          <w:color w:val="000000" w:themeColor="text1"/>
          <w:sz w:val="24"/>
          <w:szCs w:val="24"/>
          <w:lang w:bidi="en-US"/>
        </w:rPr>
      </w:pPr>
      <w:r w:rsidRPr="00673F8B">
        <w:rPr>
          <w:rFonts w:eastAsia="Times New Roman" w:cstheme="minorHAnsi"/>
          <w:color w:val="000000" w:themeColor="text1"/>
          <w:sz w:val="24"/>
          <w:szCs w:val="24"/>
          <w:lang w:bidi="en-US"/>
        </w:rPr>
        <w:t>Urban Broadband Fund Voucher Connection Scheme</w:t>
      </w:r>
    </w:p>
    <w:p w:rsidR="00673F8B" w:rsidRPr="00673F8B" w:rsidRDefault="00673F8B" w:rsidP="00673F8B">
      <w:pPr>
        <w:spacing w:after="0" w:line="240" w:lineRule="auto"/>
        <w:ind w:left="1134"/>
        <w:rPr>
          <w:rFonts w:eastAsia="Times New Roman" w:cstheme="minorHAnsi"/>
          <w:color w:val="000000" w:themeColor="text1"/>
          <w:sz w:val="24"/>
          <w:szCs w:val="24"/>
          <w:lang w:bidi="en-US"/>
        </w:rPr>
      </w:pPr>
      <w:r w:rsidRPr="00673F8B">
        <w:rPr>
          <w:rFonts w:eastAsia="Times New Roman" w:cstheme="minorHAnsi"/>
          <w:color w:val="000000" w:themeColor="text1"/>
          <w:sz w:val="24"/>
          <w:szCs w:val="24"/>
          <w:lang w:bidi="en-US"/>
        </w:rPr>
        <w:t>BDUK</w:t>
      </w:r>
    </w:p>
    <w:p w:rsidR="00673F8B" w:rsidRPr="00673F8B" w:rsidRDefault="00673F8B" w:rsidP="00673F8B">
      <w:pPr>
        <w:spacing w:after="0" w:line="240" w:lineRule="auto"/>
        <w:ind w:left="1134"/>
        <w:rPr>
          <w:rFonts w:eastAsia="Times New Roman" w:cstheme="minorHAnsi"/>
          <w:color w:val="000000" w:themeColor="text1"/>
          <w:sz w:val="24"/>
          <w:szCs w:val="24"/>
          <w:lang w:bidi="en-US"/>
        </w:rPr>
      </w:pPr>
      <w:r w:rsidRPr="00673F8B">
        <w:rPr>
          <w:rFonts w:eastAsia="Times New Roman" w:cstheme="minorHAnsi"/>
          <w:color w:val="000000" w:themeColor="text1"/>
          <w:sz w:val="24"/>
          <w:szCs w:val="24"/>
          <w:lang w:bidi="en-US"/>
        </w:rPr>
        <w:t>Department for Culture, Media and Sport</w:t>
      </w:r>
    </w:p>
    <w:p w:rsidR="00673F8B" w:rsidRPr="00673F8B" w:rsidRDefault="00673F8B" w:rsidP="00673F8B">
      <w:pPr>
        <w:spacing w:after="0" w:line="240" w:lineRule="auto"/>
        <w:ind w:left="1134"/>
        <w:rPr>
          <w:rFonts w:eastAsia="Times New Roman" w:cstheme="minorHAnsi"/>
          <w:color w:val="000000" w:themeColor="text1"/>
          <w:sz w:val="24"/>
          <w:szCs w:val="24"/>
          <w:lang w:bidi="en-US"/>
        </w:rPr>
      </w:pPr>
      <w:r w:rsidRPr="00673F8B">
        <w:rPr>
          <w:rFonts w:eastAsia="Times New Roman" w:cstheme="minorHAnsi"/>
          <w:color w:val="000000" w:themeColor="text1"/>
          <w:sz w:val="24"/>
          <w:szCs w:val="24"/>
          <w:lang w:bidi="en-US"/>
        </w:rPr>
        <w:t>4</w:t>
      </w:r>
      <w:r w:rsidRPr="00673F8B">
        <w:rPr>
          <w:rFonts w:eastAsia="Times New Roman" w:cstheme="minorHAnsi"/>
          <w:color w:val="000000" w:themeColor="text1"/>
          <w:sz w:val="24"/>
          <w:szCs w:val="24"/>
          <w:vertAlign w:val="superscript"/>
          <w:lang w:bidi="en-US"/>
        </w:rPr>
        <w:t>th</w:t>
      </w:r>
      <w:r w:rsidRPr="00673F8B">
        <w:rPr>
          <w:rFonts w:eastAsia="Times New Roman" w:cstheme="minorHAnsi"/>
          <w:color w:val="000000" w:themeColor="text1"/>
          <w:sz w:val="24"/>
          <w:szCs w:val="24"/>
          <w:lang w:bidi="en-US"/>
        </w:rPr>
        <w:t xml:space="preserve"> Floor</w:t>
      </w:r>
    </w:p>
    <w:p w:rsidR="00673F8B" w:rsidRPr="00673F8B" w:rsidRDefault="00673F8B" w:rsidP="00673F8B">
      <w:pPr>
        <w:spacing w:after="0" w:line="240" w:lineRule="auto"/>
        <w:ind w:left="1134"/>
        <w:rPr>
          <w:rFonts w:eastAsia="Times New Roman" w:cstheme="minorHAnsi"/>
          <w:color w:val="000000" w:themeColor="text1"/>
          <w:sz w:val="24"/>
          <w:szCs w:val="24"/>
          <w:lang w:bidi="en-US"/>
        </w:rPr>
      </w:pPr>
      <w:r w:rsidRPr="00673F8B">
        <w:rPr>
          <w:rFonts w:eastAsia="Times New Roman" w:cstheme="minorHAnsi"/>
          <w:color w:val="000000" w:themeColor="text1"/>
          <w:sz w:val="24"/>
          <w:szCs w:val="24"/>
          <w:lang w:bidi="en-US"/>
        </w:rPr>
        <w:t>100 Parliament Street</w:t>
      </w:r>
    </w:p>
    <w:p w:rsidR="00673F8B" w:rsidRPr="00673F8B" w:rsidRDefault="00673F8B" w:rsidP="00673F8B">
      <w:pPr>
        <w:spacing w:after="0" w:line="240" w:lineRule="auto"/>
        <w:ind w:left="1134"/>
        <w:rPr>
          <w:rFonts w:eastAsia="Times New Roman" w:cstheme="minorHAnsi"/>
          <w:color w:val="000000" w:themeColor="text1"/>
          <w:sz w:val="24"/>
          <w:szCs w:val="24"/>
          <w:lang w:bidi="en-US"/>
        </w:rPr>
      </w:pPr>
      <w:r w:rsidRPr="00673F8B">
        <w:rPr>
          <w:rFonts w:eastAsia="Times New Roman" w:cstheme="minorHAnsi"/>
          <w:color w:val="000000" w:themeColor="text1"/>
          <w:sz w:val="24"/>
          <w:szCs w:val="24"/>
          <w:lang w:bidi="en-US"/>
        </w:rPr>
        <w:t>London</w:t>
      </w:r>
    </w:p>
    <w:p w:rsidR="00673F8B" w:rsidRPr="00673F8B" w:rsidRDefault="00673F8B" w:rsidP="00673F8B">
      <w:pPr>
        <w:spacing w:after="0" w:line="240" w:lineRule="auto"/>
        <w:ind w:left="1134"/>
        <w:rPr>
          <w:rFonts w:eastAsia="Times New Roman" w:cstheme="minorHAnsi"/>
          <w:color w:val="000000" w:themeColor="text1"/>
          <w:sz w:val="24"/>
          <w:szCs w:val="24"/>
          <w:lang w:bidi="en-US"/>
        </w:rPr>
      </w:pPr>
      <w:r w:rsidRPr="00673F8B">
        <w:rPr>
          <w:rFonts w:eastAsia="Times New Roman" w:cstheme="minorHAnsi"/>
          <w:color w:val="000000" w:themeColor="text1"/>
          <w:sz w:val="24"/>
          <w:szCs w:val="24"/>
          <w:lang w:bidi="en-US"/>
        </w:rPr>
        <w:t>SW1A 2BQ</w:t>
      </w:r>
    </w:p>
    <w:p w:rsidR="00673F8B" w:rsidRPr="00673F8B" w:rsidRDefault="00673F8B" w:rsidP="00673F8B">
      <w:pPr>
        <w:spacing w:after="0" w:line="240" w:lineRule="auto"/>
        <w:rPr>
          <w:rFonts w:eastAsia="Times New Roman" w:cstheme="minorHAnsi"/>
          <w:color w:val="000000" w:themeColor="text1"/>
          <w:sz w:val="24"/>
          <w:szCs w:val="24"/>
          <w:lang w:eastAsia="en-GB"/>
        </w:rPr>
      </w:pPr>
    </w:p>
    <w:p w:rsidR="00673F8B" w:rsidRPr="00673F8B" w:rsidRDefault="00673F8B" w:rsidP="00673F8B">
      <w:pPr>
        <w:keepNext/>
        <w:keepLines/>
        <w:pageBreakBefore/>
        <w:tabs>
          <w:tab w:val="left" w:pos="567"/>
        </w:tabs>
        <w:spacing w:after="0" w:line="240" w:lineRule="auto"/>
        <w:outlineLvl w:val="0"/>
        <w:rPr>
          <w:rFonts w:eastAsia="Times New Roman" w:cstheme="minorHAnsi"/>
          <w:b/>
          <w:bCs/>
          <w:color w:val="000000" w:themeColor="text1"/>
          <w:sz w:val="28"/>
          <w:szCs w:val="28"/>
          <w:lang w:eastAsia="en-GB"/>
        </w:rPr>
      </w:pPr>
      <w:bookmarkStart w:id="7" w:name="_Toc358043113"/>
      <w:bookmarkStart w:id="8" w:name="_Toc346092657"/>
      <w:bookmarkStart w:id="9" w:name="_Toc346092908"/>
      <w:bookmarkStart w:id="10" w:name="_Toc346093159"/>
      <w:bookmarkStart w:id="11" w:name="_Toc346093635"/>
      <w:bookmarkStart w:id="12" w:name="_Toc346093793"/>
      <w:bookmarkStart w:id="13" w:name="_Toc346093951"/>
      <w:bookmarkStart w:id="14" w:name="_Toc346094109"/>
      <w:bookmarkStart w:id="15" w:name="_Toc346094267"/>
      <w:bookmarkStart w:id="16" w:name="_Toc346094427"/>
      <w:bookmarkStart w:id="17" w:name="_Toc346094591"/>
      <w:bookmarkStart w:id="18" w:name="_Toc346094751"/>
      <w:bookmarkStart w:id="19" w:name="_Toc346094912"/>
      <w:bookmarkStart w:id="20" w:name="_Toc346095078"/>
      <w:bookmarkStart w:id="21" w:name="_Toc346095237"/>
      <w:bookmarkStart w:id="22" w:name="_Toc346095396"/>
      <w:bookmarkStart w:id="23" w:name="_Toc346095554"/>
      <w:bookmarkStart w:id="24" w:name="_Toc346095711"/>
      <w:bookmarkStart w:id="25" w:name="_Toc346095869"/>
      <w:bookmarkStart w:id="26" w:name="_Toc346096026"/>
      <w:bookmarkStart w:id="27" w:name="_Toc346096184"/>
      <w:bookmarkStart w:id="28" w:name="_Toc346092658"/>
      <w:bookmarkStart w:id="29" w:name="_Toc346092909"/>
      <w:bookmarkStart w:id="30" w:name="_Toc346093160"/>
      <w:bookmarkStart w:id="31" w:name="_Toc346093636"/>
      <w:bookmarkStart w:id="32" w:name="_Toc346093794"/>
      <w:bookmarkStart w:id="33" w:name="_Toc346093952"/>
      <w:bookmarkStart w:id="34" w:name="_Toc346094110"/>
      <w:bookmarkStart w:id="35" w:name="_Toc346094268"/>
      <w:bookmarkStart w:id="36" w:name="_Toc346094428"/>
      <w:bookmarkStart w:id="37" w:name="_Toc346094592"/>
      <w:bookmarkStart w:id="38" w:name="_Toc346094752"/>
      <w:bookmarkStart w:id="39" w:name="_Toc346094913"/>
      <w:bookmarkStart w:id="40" w:name="_Toc346095079"/>
      <w:bookmarkStart w:id="41" w:name="_Toc346095238"/>
      <w:bookmarkStart w:id="42" w:name="_Toc346095397"/>
      <w:bookmarkStart w:id="43" w:name="_Toc346095555"/>
      <w:bookmarkStart w:id="44" w:name="_Toc346095712"/>
      <w:bookmarkStart w:id="45" w:name="_Toc346095870"/>
      <w:bookmarkStart w:id="46" w:name="_Toc346096027"/>
      <w:bookmarkStart w:id="47" w:name="_Toc346096185"/>
      <w:bookmarkStart w:id="48" w:name="_Toc346092659"/>
      <w:bookmarkStart w:id="49" w:name="_Toc346092910"/>
      <w:bookmarkStart w:id="50" w:name="_Toc346093161"/>
      <w:bookmarkStart w:id="51" w:name="_Toc346093637"/>
      <w:bookmarkStart w:id="52" w:name="_Toc346093795"/>
      <w:bookmarkStart w:id="53" w:name="_Toc346093953"/>
      <w:bookmarkStart w:id="54" w:name="_Toc346094111"/>
      <w:bookmarkStart w:id="55" w:name="_Toc346094269"/>
      <w:bookmarkStart w:id="56" w:name="_Toc346094429"/>
      <w:bookmarkStart w:id="57" w:name="_Toc346094593"/>
      <w:bookmarkStart w:id="58" w:name="_Toc346094753"/>
      <w:bookmarkStart w:id="59" w:name="_Toc346094914"/>
      <w:bookmarkStart w:id="60" w:name="_Toc346095080"/>
      <w:bookmarkStart w:id="61" w:name="_Toc346095239"/>
      <w:bookmarkStart w:id="62" w:name="_Toc346095398"/>
      <w:bookmarkStart w:id="63" w:name="_Toc346095556"/>
      <w:bookmarkStart w:id="64" w:name="_Toc346095713"/>
      <w:bookmarkStart w:id="65" w:name="_Toc346095871"/>
      <w:bookmarkStart w:id="66" w:name="_Toc346096028"/>
      <w:bookmarkStart w:id="67" w:name="_Toc346096186"/>
      <w:bookmarkStart w:id="68" w:name="_Toc346092660"/>
      <w:bookmarkStart w:id="69" w:name="_Toc346092911"/>
      <w:bookmarkStart w:id="70" w:name="_Toc346093162"/>
      <w:bookmarkStart w:id="71" w:name="_Toc346093638"/>
      <w:bookmarkStart w:id="72" w:name="_Toc346093796"/>
      <w:bookmarkStart w:id="73" w:name="_Toc346093954"/>
      <w:bookmarkStart w:id="74" w:name="_Toc346094112"/>
      <w:bookmarkStart w:id="75" w:name="_Toc346094270"/>
      <w:bookmarkStart w:id="76" w:name="_Toc346094430"/>
      <w:bookmarkStart w:id="77" w:name="_Toc346094594"/>
      <w:bookmarkStart w:id="78" w:name="_Toc346094754"/>
      <w:bookmarkStart w:id="79" w:name="_Toc346094915"/>
      <w:bookmarkStart w:id="80" w:name="_Toc346095081"/>
      <w:bookmarkStart w:id="81" w:name="_Toc346095240"/>
      <w:bookmarkStart w:id="82" w:name="_Toc346095399"/>
      <w:bookmarkStart w:id="83" w:name="_Toc346095557"/>
      <w:bookmarkStart w:id="84" w:name="_Toc346095714"/>
      <w:bookmarkStart w:id="85" w:name="_Toc346095872"/>
      <w:bookmarkStart w:id="86" w:name="_Toc346096029"/>
      <w:bookmarkStart w:id="87" w:name="_Toc346096187"/>
      <w:bookmarkStart w:id="88" w:name="_Toc346092672"/>
      <w:bookmarkStart w:id="89" w:name="_Toc346092923"/>
      <w:bookmarkStart w:id="90" w:name="_Toc346093174"/>
      <w:bookmarkStart w:id="91" w:name="_Toc346093648"/>
      <w:bookmarkStart w:id="92" w:name="_Toc346093806"/>
      <w:bookmarkStart w:id="93" w:name="_Toc346093964"/>
      <w:bookmarkStart w:id="94" w:name="_Toc346094122"/>
      <w:bookmarkStart w:id="95" w:name="_Toc346094280"/>
      <w:bookmarkStart w:id="96" w:name="_Toc346094440"/>
      <w:bookmarkStart w:id="97" w:name="_Toc346094604"/>
      <w:bookmarkStart w:id="98" w:name="_Toc346094764"/>
      <w:bookmarkStart w:id="99" w:name="_Toc346094925"/>
      <w:bookmarkStart w:id="100" w:name="_Toc346095091"/>
      <w:bookmarkStart w:id="101" w:name="_Toc346095250"/>
      <w:bookmarkStart w:id="102" w:name="_Toc346095409"/>
      <w:bookmarkStart w:id="103" w:name="_Toc346095567"/>
      <w:bookmarkStart w:id="104" w:name="_Toc346095724"/>
      <w:bookmarkStart w:id="105" w:name="_Toc346095882"/>
      <w:bookmarkStart w:id="106" w:name="_Toc346096039"/>
      <w:bookmarkStart w:id="107" w:name="_Toc346096197"/>
      <w:bookmarkStart w:id="108" w:name="_Toc347299529"/>
      <w:bookmarkStart w:id="109" w:name="_Toc347405370"/>
      <w:bookmarkStart w:id="110" w:name="_Toc346092674"/>
      <w:bookmarkStart w:id="111" w:name="_Toc346092925"/>
      <w:bookmarkStart w:id="112" w:name="_Toc346093176"/>
      <w:bookmarkStart w:id="113" w:name="_Toc347299530"/>
      <w:bookmarkStart w:id="114" w:name="_Toc347405371"/>
      <w:bookmarkStart w:id="115" w:name="_Toc347299531"/>
      <w:bookmarkStart w:id="116" w:name="_Toc347405372"/>
      <w:bookmarkStart w:id="117" w:name="_Toc347299532"/>
      <w:bookmarkStart w:id="118" w:name="_Toc347405373"/>
      <w:bookmarkStart w:id="119" w:name="_Toc347299533"/>
      <w:bookmarkStart w:id="120" w:name="_Toc347405374"/>
      <w:bookmarkStart w:id="121" w:name="_Toc347299534"/>
      <w:bookmarkStart w:id="122" w:name="_Toc347405375"/>
      <w:bookmarkStart w:id="123" w:name="_Toc346092677"/>
      <w:bookmarkStart w:id="124" w:name="_Toc346092928"/>
      <w:bookmarkStart w:id="125" w:name="_Toc346093179"/>
      <w:bookmarkStart w:id="126" w:name="_Toc346093651"/>
      <w:bookmarkStart w:id="127" w:name="_Toc346093809"/>
      <w:bookmarkStart w:id="128" w:name="_Toc346093967"/>
      <w:bookmarkStart w:id="129" w:name="_Toc346094125"/>
      <w:bookmarkStart w:id="130" w:name="_Toc346094283"/>
      <w:bookmarkStart w:id="131" w:name="_Toc346094443"/>
      <w:bookmarkStart w:id="132" w:name="_Toc346094607"/>
      <w:bookmarkStart w:id="133" w:name="_Toc346094767"/>
      <w:bookmarkStart w:id="134" w:name="_Toc346094928"/>
      <w:bookmarkStart w:id="135" w:name="_Toc346095094"/>
      <w:bookmarkStart w:id="136" w:name="_Toc346095253"/>
      <w:bookmarkStart w:id="137" w:name="_Toc346095412"/>
      <w:bookmarkStart w:id="138" w:name="_Toc346095570"/>
      <w:bookmarkStart w:id="139" w:name="_Toc346095727"/>
      <w:bookmarkStart w:id="140" w:name="_Toc346095885"/>
      <w:bookmarkStart w:id="141" w:name="_Toc346096042"/>
      <w:bookmarkStart w:id="142" w:name="_Toc346096200"/>
      <w:bookmarkStart w:id="143" w:name="_Toc346092678"/>
      <w:bookmarkStart w:id="144" w:name="_Toc346092929"/>
      <w:bookmarkStart w:id="145" w:name="_Toc346093180"/>
      <w:bookmarkStart w:id="146" w:name="_Toc346093652"/>
      <w:bookmarkStart w:id="147" w:name="_Toc346093810"/>
      <w:bookmarkStart w:id="148" w:name="_Toc346093968"/>
      <w:bookmarkStart w:id="149" w:name="_Toc346094126"/>
      <w:bookmarkStart w:id="150" w:name="_Toc346094284"/>
      <w:bookmarkStart w:id="151" w:name="_Toc346094444"/>
      <w:bookmarkStart w:id="152" w:name="_Toc346094608"/>
      <w:bookmarkStart w:id="153" w:name="_Toc346094768"/>
      <w:bookmarkStart w:id="154" w:name="_Toc346094929"/>
      <w:bookmarkStart w:id="155" w:name="_Toc346095095"/>
      <w:bookmarkStart w:id="156" w:name="_Toc346095254"/>
      <w:bookmarkStart w:id="157" w:name="_Toc346095413"/>
      <w:bookmarkStart w:id="158" w:name="_Toc346095571"/>
      <w:bookmarkStart w:id="159" w:name="_Toc346095728"/>
      <w:bookmarkStart w:id="160" w:name="_Toc346095886"/>
      <w:bookmarkStart w:id="161" w:name="_Toc346096043"/>
      <w:bookmarkStart w:id="162" w:name="_Toc346096201"/>
      <w:bookmarkStart w:id="163" w:name="_Toc346092679"/>
      <w:bookmarkStart w:id="164" w:name="_Toc346092930"/>
      <w:bookmarkStart w:id="165" w:name="_Toc346093181"/>
      <w:bookmarkStart w:id="166" w:name="_Toc346093653"/>
      <w:bookmarkStart w:id="167" w:name="_Toc346093811"/>
      <w:bookmarkStart w:id="168" w:name="_Toc346093969"/>
      <w:bookmarkStart w:id="169" w:name="_Toc346094127"/>
      <w:bookmarkStart w:id="170" w:name="_Toc346094285"/>
      <w:bookmarkStart w:id="171" w:name="_Toc346094445"/>
      <w:bookmarkStart w:id="172" w:name="_Toc346094609"/>
      <w:bookmarkStart w:id="173" w:name="_Toc346094769"/>
      <w:bookmarkStart w:id="174" w:name="_Toc346094930"/>
      <w:bookmarkStart w:id="175" w:name="_Toc346095096"/>
      <w:bookmarkStart w:id="176" w:name="_Toc346095255"/>
      <w:bookmarkStart w:id="177" w:name="_Toc346095414"/>
      <w:bookmarkStart w:id="178" w:name="_Toc346095572"/>
      <w:bookmarkStart w:id="179" w:name="_Toc346095729"/>
      <w:bookmarkStart w:id="180" w:name="_Toc346095887"/>
      <w:bookmarkStart w:id="181" w:name="_Toc346096044"/>
      <w:bookmarkStart w:id="182" w:name="_Toc346096202"/>
      <w:bookmarkStart w:id="183" w:name="_Toc346092680"/>
      <w:bookmarkStart w:id="184" w:name="_Toc346092931"/>
      <w:bookmarkStart w:id="185" w:name="_Toc346093182"/>
      <w:bookmarkStart w:id="186" w:name="_Toc346093654"/>
      <w:bookmarkStart w:id="187" w:name="_Toc346093812"/>
      <w:bookmarkStart w:id="188" w:name="_Toc346093970"/>
      <w:bookmarkStart w:id="189" w:name="_Toc346094128"/>
      <w:bookmarkStart w:id="190" w:name="_Toc346094286"/>
      <w:bookmarkStart w:id="191" w:name="_Toc346094446"/>
      <w:bookmarkStart w:id="192" w:name="_Toc346094610"/>
      <w:bookmarkStart w:id="193" w:name="_Toc346094770"/>
      <w:bookmarkStart w:id="194" w:name="_Toc346094931"/>
      <w:bookmarkStart w:id="195" w:name="_Toc346095097"/>
      <w:bookmarkStart w:id="196" w:name="_Toc346095256"/>
      <w:bookmarkStart w:id="197" w:name="_Toc346095415"/>
      <w:bookmarkStart w:id="198" w:name="_Toc346095573"/>
      <w:bookmarkStart w:id="199" w:name="_Toc346095730"/>
      <w:bookmarkStart w:id="200" w:name="_Toc346095888"/>
      <w:bookmarkStart w:id="201" w:name="_Toc346096045"/>
      <w:bookmarkStart w:id="202" w:name="_Toc346096203"/>
      <w:bookmarkStart w:id="203" w:name="_Toc346092681"/>
      <w:bookmarkStart w:id="204" w:name="_Toc346092932"/>
      <w:bookmarkStart w:id="205" w:name="_Toc346093183"/>
      <w:bookmarkStart w:id="206" w:name="_Toc346093655"/>
      <w:bookmarkStart w:id="207" w:name="_Toc346093813"/>
      <w:bookmarkStart w:id="208" w:name="_Toc346093971"/>
      <w:bookmarkStart w:id="209" w:name="_Toc346094129"/>
      <w:bookmarkStart w:id="210" w:name="_Toc346094287"/>
      <w:bookmarkStart w:id="211" w:name="_Toc346094447"/>
      <w:bookmarkStart w:id="212" w:name="_Toc346094611"/>
      <w:bookmarkStart w:id="213" w:name="_Toc346094771"/>
      <w:bookmarkStart w:id="214" w:name="_Toc346094932"/>
      <w:bookmarkStart w:id="215" w:name="_Toc346095098"/>
      <w:bookmarkStart w:id="216" w:name="_Toc346095257"/>
      <w:bookmarkStart w:id="217" w:name="_Toc346095416"/>
      <w:bookmarkStart w:id="218" w:name="_Toc346095574"/>
      <w:bookmarkStart w:id="219" w:name="_Toc346095731"/>
      <w:bookmarkStart w:id="220" w:name="_Toc346095889"/>
      <w:bookmarkStart w:id="221" w:name="_Toc346096046"/>
      <w:bookmarkStart w:id="222" w:name="_Toc346096204"/>
      <w:bookmarkStart w:id="223" w:name="_Toc346092682"/>
      <w:bookmarkStart w:id="224" w:name="_Toc346092933"/>
      <w:bookmarkStart w:id="225" w:name="_Toc346093184"/>
      <w:bookmarkStart w:id="226" w:name="_Toc346093656"/>
      <w:bookmarkStart w:id="227" w:name="_Toc346093814"/>
      <w:bookmarkStart w:id="228" w:name="_Toc346093972"/>
      <w:bookmarkStart w:id="229" w:name="_Toc346094130"/>
      <w:bookmarkStart w:id="230" w:name="_Toc346094288"/>
      <w:bookmarkStart w:id="231" w:name="_Toc346094448"/>
      <w:bookmarkStart w:id="232" w:name="_Toc346094612"/>
      <w:bookmarkStart w:id="233" w:name="_Toc346094772"/>
      <w:bookmarkStart w:id="234" w:name="_Toc346094933"/>
      <w:bookmarkStart w:id="235" w:name="_Toc346095099"/>
      <w:bookmarkStart w:id="236" w:name="_Toc346095258"/>
      <w:bookmarkStart w:id="237" w:name="_Toc346095417"/>
      <w:bookmarkStart w:id="238" w:name="_Toc346095575"/>
      <w:bookmarkStart w:id="239" w:name="_Toc346095732"/>
      <w:bookmarkStart w:id="240" w:name="_Toc346095890"/>
      <w:bookmarkStart w:id="241" w:name="_Toc346096047"/>
      <w:bookmarkStart w:id="242" w:name="_Toc346096205"/>
      <w:bookmarkStart w:id="243" w:name="_Toc346096071"/>
      <w:bookmarkStart w:id="244" w:name="_Toc346096229"/>
      <w:bookmarkStart w:id="245" w:name="_Toc347299543"/>
      <w:bookmarkStart w:id="246" w:name="_Toc347405403"/>
      <w:bookmarkStart w:id="247" w:name="_Toc346092764"/>
      <w:bookmarkStart w:id="248" w:name="_Toc346093015"/>
      <w:bookmarkStart w:id="249" w:name="_Toc346093266"/>
      <w:bookmarkStart w:id="250" w:name="_Toc347299544"/>
      <w:bookmarkStart w:id="251" w:name="_Toc347405404"/>
      <w:bookmarkStart w:id="252" w:name="_Toc347405405"/>
      <w:bookmarkStart w:id="253" w:name="_Toc347405406"/>
      <w:bookmarkStart w:id="254" w:name="_Toc346092765"/>
      <w:bookmarkStart w:id="255" w:name="_Toc346093016"/>
      <w:bookmarkStart w:id="256" w:name="_Toc346093267"/>
      <w:bookmarkStart w:id="257" w:name="_Toc346093682"/>
      <w:bookmarkStart w:id="258" w:name="_Toc346093840"/>
      <w:bookmarkStart w:id="259" w:name="_Toc346093998"/>
      <w:bookmarkStart w:id="260" w:name="_Toc346094156"/>
      <w:bookmarkStart w:id="261" w:name="_Toc346094314"/>
      <w:bookmarkStart w:id="262" w:name="_Toc346094474"/>
      <w:bookmarkStart w:id="263" w:name="_Toc346094638"/>
      <w:bookmarkStart w:id="264" w:name="_Toc346094798"/>
      <w:bookmarkStart w:id="265" w:name="_Toc346094959"/>
      <w:bookmarkStart w:id="266" w:name="_Toc346095125"/>
      <w:bookmarkStart w:id="267" w:name="_Toc346095284"/>
      <w:bookmarkStart w:id="268" w:name="_Toc346095442"/>
      <w:bookmarkStart w:id="269" w:name="_Toc346095599"/>
      <w:bookmarkStart w:id="270" w:name="_Toc346095757"/>
      <w:bookmarkStart w:id="271" w:name="_Toc346095915"/>
      <w:bookmarkStart w:id="272" w:name="_Toc346096073"/>
      <w:bookmarkStart w:id="273" w:name="_Toc346096231"/>
      <w:bookmarkStart w:id="274" w:name="_Toc346092766"/>
      <w:bookmarkStart w:id="275" w:name="_Toc346093017"/>
      <w:bookmarkStart w:id="276" w:name="_Toc346093268"/>
      <w:bookmarkStart w:id="277" w:name="_Toc346093683"/>
      <w:bookmarkStart w:id="278" w:name="_Toc346093841"/>
      <w:bookmarkStart w:id="279" w:name="_Toc346093999"/>
      <w:bookmarkStart w:id="280" w:name="_Toc346094157"/>
      <w:bookmarkStart w:id="281" w:name="_Toc346094315"/>
      <w:bookmarkStart w:id="282" w:name="_Toc346094475"/>
      <w:bookmarkStart w:id="283" w:name="_Toc346094639"/>
      <w:bookmarkStart w:id="284" w:name="_Toc346094799"/>
      <w:bookmarkStart w:id="285" w:name="_Toc346094960"/>
      <w:bookmarkStart w:id="286" w:name="_Toc346095126"/>
      <w:bookmarkStart w:id="287" w:name="_Toc346095285"/>
      <w:bookmarkStart w:id="288" w:name="_Toc346095443"/>
      <w:bookmarkStart w:id="289" w:name="_Toc346095600"/>
      <w:bookmarkStart w:id="290" w:name="_Toc346095758"/>
      <w:bookmarkStart w:id="291" w:name="_Toc346095916"/>
      <w:bookmarkStart w:id="292" w:name="_Toc346096074"/>
      <w:bookmarkStart w:id="293" w:name="_Toc346096232"/>
      <w:bookmarkStart w:id="294" w:name="_Toc346092767"/>
      <w:bookmarkStart w:id="295" w:name="_Toc346093018"/>
      <w:bookmarkStart w:id="296" w:name="_Toc346093269"/>
      <w:bookmarkStart w:id="297" w:name="_Toc346093684"/>
      <w:bookmarkStart w:id="298" w:name="_Toc346093842"/>
      <w:bookmarkStart w:id="299" w:name="_Toc346094000"/>
      <w:bookmarkStart w:id="300" w:name="_Toc346094158"/>
      <w:bookmarkStart w:id="301" w:name="_Toc346094316"/>
      <w:bookmarkStart w:id="302" w:name="_Toc346094476"/>
      <w:bookmarkStart w:id="303" w:name="_Toc346094640"/>
      <w:bookmarkStart w:id="304" w:name="_Toc346094800"/>
      <w:bookmarkStart w:id="305" w:name="_Toc346094961"/>
      <w:bookmarkStart w:id="306" w:name="_Toc346095127"/>
      <w:bookmarkStart w:id="307" w:name="_Toc346095286"/>
      <w:bookmarkStart w:id="308" w:name="_Toc346095444"/>
      <w:bookmarkStart w:id="309" w:name="_Toc346095601"/>
      <w:bookmarkStart w:id="310" w:name="_Toc346095759"/>
      <w:bookmarkStart w:id="311" w:name="_Toc346095917"/>
      <w:bookmarkStart w:id="312" w:name="_Toc346096075"/>
      <w:bookmarkStart w:id="313" w:name="_Toc346096233"/>
      <w:bookmarkStart w:id="314" w:name="_Toc346092768"/>
      <w:bookmarkStart w:id="315" w:name="_Toc346093019"/>
      <w:bookmarkStart w:id="316" w:name="_Toc346093270"/>
      <w:bookmarkStart w:id="317" w:name="_Toc346093685"/>
      <w:bookmarkStart w:id="318" w:name="_Toc346093843"/>
      <w:bookmarkStart w:id="319" w:name="_Toc346094001"/>
      <w:bookmarkStart w:id="320" w:name="_Toc346094159"/>
      <w:bookmarkStart w:id="321" w:name="_Toc346094317"/>
      <w:bookmarkStart w:id="322" w:name="_Toc346094477"/>
      <w:bookmarkStart w:id="323" w:name="_Toc346094641"/>
      <w:bookmarkStart w:id="324" w:name="_Toc346094801"/>
      <w:bookmarkStart w:id="325" w:name="_Toc346094962"/>
      <w:bookmarkStart w:id="326" w:name="_Toc346095128"/>
      <w:bookmarkStart w:id="327" w:name="_Toc346095287"/>
      <w:bookmarkStart w:id="328" w:name="_Toc346095445"/>
      <w:bookmarkStart w:id="329" w:name="_Toc346095602"/>
      <w:bookmarkStart w:id="330" w:name="_Toc346095760"/>
      <w:bookmarkStart w:id="331" w:name="_Toc346095918"/>
      <w:bookmarkStart w:id="332" w:name="_Toc346096076"/>
      <w:bookmarkStart w:id="333" w:name="_Toc346096234"/>
      <w:bookmarkStart w:id="334" w:name="_Toc346092769"/>
      <w:bookmarkStart w:id="335" w:name="_Toc346093020"/>
      <w:bookmarkStart w:id="336" w:name="_Toc346093271"/>
      <w:bookmarkStart w:id="337" w:name="_Toc346093686"/>
      <w:bookmarkStart w:id="338" w:name="_Toc346093844"/>
      <w:bookmarkStart w:id="339" w:name="_Toc346094002"/>
      <w:bookmarkStart w:id="340" w:name="_Toc346094160"/>
      <w:bookmarkStart w:id="341" w:name="_Toc346094318"/>
      <w:bookmarkStart w:id="342" w:name="_Toc346094478"/>
      <w:bookmarkStart w:id="343" w:name="_Toc346094642"/>
      <w:bookmarkStart w:id="344" w:name="_Toc346094802"/>
      <w:bookmarkStart w:id="345" w:name="_Toc346094963"/>
      <w:bookmarkStart w:id="346" w:name="_Toc346095129"/>
      <w:bookmarkStart w:id="347" w:name="_Toc346095288"/>
      <w:bookmarkStart w:id="348" w:name="_Toc346095446"/>
      <w:bookmarkStart w:id="349" w:name="_Toc346095603"/>
      <w:bookmarkStart w:id="350" w:name="_Toc346095761"/>
      <w:bookmarkStart w:id="351" w:name="_Toc346095919"/>
      <w:bookmarkStart w:id="352" w:name="_Toc346096077"/>
      <w:bookmarkStart w:id="353" w:name="_Toc346096235"/>
      <w:bookmarkStart w:id="354" w:name="_Toc346092770"/>
      <w:bookmarkStart w:id="355" w:name="_Toc346093021"/>
      <w:bookmarkStart w:id="356" w:name="_Toc346093272"/>
      <w:bookmarkStart w:id="357" w:name="_Toc346093687"/>
      <w:bookmarkStart w:id="358" w:name="_Toc346093845"/>
      <w:bookmarkStart w:id="359" w:name="_Toc346094003"/>
      <w:bookmarkStart w:id="360" w:name="_Toc346094161"/>
      <w:bookmarkStart w:id="361" w:name="_Toc346094319"/>
      <w:bookmarkStart w:id="362" w:name="_Toc346094479"/>
      <w:bookmarkStart w:id="363" w:name="_Toc346094643"/>
      <w:bookmarkStart w:id="364" w:name="_Toc346094803"/>
      <w:bookmarkStart w:id="365" w:name="_Toc346094964"/>
      <w:bookmarkStart w:id="366" w:name="_Toc346095130"/>
      <w:bookmarkStart w:id="367" w:name="_Toc346095289"/>
      <w:bookmarkStart w:id="368" w:name="_Toc346095447"/>
      <w:bookmarkStart w:id="369" w:name="_Toc346095604"/>
      <w:bookmarkStart w:id="370" w:name="_Toc346095762"/>
      <w:bookmarkStart w:id="371" w:name="_Toc346095920"/>
      <w:bookmarkStart w:id="372" w:name="_Toc346096078"/>
      <w:bookmarkStart w:id="373" w:name="_Toc346096236"/>
      <w:bookmarkStart w:id="374" w:name="_Toc346092771"/>
      <w:bookmarkStart w:id="375" w:name="_Toc346093022"/>
      <w:bookmarkStart w:id="376" w:name="_Toc346093273"/>
      <w:bookmarkStart w:id="377" w:name="_Toc346093688"/>
      <w:bookmarkStart w:id="378" w:name="_Toc346093846"/>
      <w:bookmarkStart w:id="379" w:name="_Toc346094004"/>
      <w:bookmarkStart w:id="380" w:name="_Toc346094162"/>
      <w:bookmarkStart w:id="381" w:name="_Toc346094320"/>
      <w:bookmarkStart w:id="382" w:name="_Toc346094480"/>
      <w:bookmarkStart w:id="383" w:name="_Toc346094644"/>
      <w:bookmarkStart w:id="384" w:name="_Toc346094804"/>
      <w:bookmarkStart w:id="385" w:name="_Toc346094965"/>
      <w:bookmarkStart w:id="386" w:name="_Toc346095131"/>
      <w:bookmarkStart w:id="387" w:name="_Toc346095290"/>
      <w:bookmarkStart w:id="388" w:name="_Toc346095448"/>
      <w:bookmarkStart w:id="389" w:name="_Toc346095605"/>
      <w:bookmarkStart w:id="390" w:name="_Toc346095763"/>
      <w:bookmarkStart w:id="391" w:name="_Toc346095921"/>
      <w:bookmarkStart w:id="392" w:name="_Toc346096079"/>
      <w:bookmarkStart w:id="393" w:name="_Toc346096237"/>
      <w:bookmarkStart w:id="394" w:name="_Toc346092772"/>
      <w:bookmarkStart w:id="395" w:name="_Toc346093023"/>
      <w:bookmarkStart w:id="396" w:name="_Toc346093274"/>
      <w:bookmarkStart w:id="397" w:name="_Toc346093689"/>
      <w:bookmarkStart w:id="398" w:name="_Toc346093847"/>
      <w:bookmarkStart w:id="399" w:name="_Toc346094005"/>
      <w:bookmarkStart w:id="400" w:name="_Toc346094163"/>
      <w:bookmarkStart w:id="401" w:name="_Toc346094321"/>
      <w:bookmarkStart w:id="402" w:name="_Toc346094481"/>
      <w:bookmarkStart w:id="403" w:name="_Toc346094645"/>
      <w:bookmarkStart w:id="404" w:name="_Toc346094805"/>
      <w:bookmarkStart w:id="405" w:name="_Toc346094966"/>
      <w:bookmarkStart w:id="406" w:name="_Toc346095132"/>
      <w:bookmarkStart w:id="407" w:name="_Toc346095291"/>
      <w:bookmarkStart w:id="408" w:name="_Toc346095449"/>
      <w:bookmarkStart w:id="409" w:name="_Toc346095606"/>
      <w:bookmarkStart w:id="410" w:name="_Toc346095764"/>
      <w:bookmarkStart w:id="411" w:name="_Toc346095922"/>
      <w:bookmarkStart w:id="412" w:name="_Toc346096080"/>
      <w:bookmarkStart w:id="413" w:name="_Toc346096238"/>
      <w:bookmarkStart w:id="414" w:name="_Toc346092773"/>
      <w:bookmarkStart w:id="415" w:name="_Toc346093024"/>
      <w:bookmarkStart w:id="416" w:name="_Toc346093275"/>
      <w:bookmarkStart w:id="417" w:name="_Toc346093690"/>
      <w:bookmarkStart w:id="418" w:name="_Toc346093848"/>
      <w:bookmarkStart w:id="419" w:name="_Toc346094006"/>
      <w:bookmarkStart w:id="420" w:name="_Toc346094164"/>
      <w:bookmarkStart w:id="421" w:name="_Toc346094322"/>
      <w:bookmarkStart w:id="422" w:name="_Toc346094482"/>
      <w:bookmarkStart w:id="423" w:name="_Toc346094646"/>
      <w:bookmarkStart w:id="424" w:name="_Toc346094806"/>
      <w:bookmarkStart w:id="425" w:name="_Toc346094967"/>
      <w:bookmarkStart w:id="426" w:name="_Toc346095133"/>
      <w:bookmarkStart w:id="427" w:name="_Toc346095292"/>
      <w:bookmarkStart w:id="428" w:name="_Toc346095450"/>
      <w:bookmarkStart w:id="429" w:name="_Toc346095607"/>
      <w:bookmarkStart w:id="430" w:name="_Toc346095765"/>
      <w:bookmarkStart w:id="431" w:name="_Toc346095923"/>
      <w:bookmarkStart w:id="432" w:name="_Toc346096081"/>
      <w:bookmarkStart w:id="433" w:name="_Toc346096239"/>
      <w:bookmarkStart w:id="434" w:name="_Toc346092774"/>
      <w:bookmarkStart w:id="435" w:name="_Toc346093025"/>
      <w:bookmarkStart w:id="436" w:name="_Toc346093276"/>
      <w:bookmarkStart w:id="437" w:name="_Toc346093691"/>
      <w:bookmarkStart w:id="438" w:name="_Toc346093849"/>
      <w:bookmarkStart w:id="439" w:name="_Toc346094007"/>
      <w:bookmarkStart w:id="440" w:name="_Toc346094165"/>
      <w:bookmarkStart w:id="441" w:name="_Toc346094323"/>
      <w:bookmarkStart w:id="442" w:name="_Toc346094483"/>
      <w:bookmarkStart w:id="443" w:name="_Toc346094647"/>
      <w:bookmarkStart w:id="444" w:name="_Toc346094807"/>
      <w:bookmarkStart w:id="445" w:name="_Toc346094968"/>
      <w:bookmarkStart w:id="446" w:name="_Toc346095134"/>
      <w:bookmarkStart w:id="447" w:name="_Toc346095293"/>
      <w:bookmarkStart w:id="448" w:name="_Toc346095451"/>
      <w:bookmarkStart w:id="449" w:name="_Toc346095608"/>
      <w:bookmarkStart w:id="450" w:name="_Toc346095766"/>
      <w:bookmarkStart w:id="451" w:name="_Toc346095924"/>
      <w:bookmarkStart w:id="452" w:name="_Toc346096082"/>
      <w:bookmarkStart w:id="453" w:name="_Toc346096240"/>
      <w:bookmarkStart w:id="454" w:name="_Toc346092775"/>
      <w:bookmarkStart w:id="455" w:name="_Toc346093026"/>
      <w:bookmarkStart w:id="456" w:name="_Toc346093277"/>
      <w:bookmarkStart w:id="457" w:name="_Toc346093692"/>
      <w:bookmarkStart w:id="458" w:name="_Toc346093850"/>
      <w:bookmarkStart w:id="459" w:name="_Toc346094008"/>
      <w:bookmarkStart w:id="460" w:name="_Toc346094166"/>
      <w:bookmarkStart w:id="461" w:name="_Toc346094324"/>
      <w:bookmarkStart w:id="462" w:name="_Toc346094484"/>
      <w:bookmarkStart w:id="463" w:name="_Toc346094648"/>
      <w:bookmarkStart w:id="464" w:name="_Toc346094808"/>
      <w:bookmarkStart w:id="465" w:name="_Toc346094969"/>
      <w:bookmarkStart w:id="466" w:name="_Toc346095135"/>
      <w:bookmarkStart w:id="467" w:name="_Toc346095294"/>
      <w:bookmarkStart w:id="468" w:name="_Toc346095452"/>
      <w:bookmarkStart w:id="469" w:name="_Toc346095609"/>
      <w:bookmarkStart w:id="470" w:name="_Toc346095767"/>
      <w:bookmarkStart w:id="471" w:name="_Toc346095925"/>
      <w:bookmarkStart w:id="472" w:name="_Toc346096083"/>
      <w:bookmarkStart w:id="473" w:name="_Toc346096241"/>
      <w:bookmarkStart w:id="474" w:name="_Toc346092776"/>
      <w:bookmarkStart w:id="475" w:name="_Toc346093027"/>
      <w:bookmarkStart w:id="476" w:name="_Toc346093278"/>
      <w:bookmarkStart w:id="477" w:name="_Toc346093693"/>
      <w:bookmarkStart w:id="478" w:name="_Toc346093851"/>
      <w:bookmarkStart w:id="479" w:name="_Toc346094009"/>
      <w:bookmarkStart w:id="480" w:name="_Toc346094167"/>
      <w:bookmarkStart w:id="481" w:name="_Toc346094325"/>
      <w:bookmarkStart w:id="482" w:name="_Toc346094485"/>
      <w:bookmarkStart w:id="483" w:name="_Toc346094649"/>
      <w:bookmarkStart w:id="484" w:name="_Toc346094809"/>
      <w:bookmarkStart w:id="485" w:name="_Toc346094970"/>
      <w:bookmarkStart w:id="486" w:name="_Toc346095136"/>
      <w:bookmarkStart w:id="487" w:name="_Toc346095295"/>
      <w:bookmarkStart w:id="488" w:name="_Toc346095453"/>
      <w:bookmarkStart w:id="489" w:name="_Toc346095610"/>
      <w:bookmarkStart w:id="490" w:name="_Toc346095768"/>
      <w:bookmarkStart w:id="491" w:name="_Toc346095926"/>
      <w:bookmarkStart w:id="492" w:name="_Toc346096084"/>
      <w:bookmarkStart w:id="493" w:name="_Toc346096242"/>
      <w:bookmarkStart w:id="494" w:name="_Toc346092777"/>
      <w:bookmarkStart w:id="495" w:name="_Toc346093028"/>
      <w:bookmarkStart w:id="496" w:name="_Toc346093279"/>
      <w:bookmarkStart w:id="497" w:name="_Toc346093694"/>
      <w:bookmarkStart w:id="498" w:name="_Toc346093852"/>
      <w:bookmarkStart w:id="499" w:name="_Toc346094010"/>
      <w:bookmarkStart w:id="500" w:name="_Toc346094168"/>
      <w:bookmarkStart w:id="501" w:name="_Toc346094326"/>
      <w:bookmarkStart w:id="502" w:name="_Toc346094486"/>
      <w:bookmarkStart w:id="503" w:name="_Toc346094650"/>
      <w:bookmarkStart w:id="504" w:name="_Toc346094810"/>
      <w:bookmarkStart w:id="505" w:name="_Toc346094971"/>
      <w:bookmarkStart w:id="506" w:name="_Toc346095137"/>
      <w:bookmarkStart w:id="507" w:name="_Toc346095296"/>
      <w:bookmarkStart w:id="508" w:name="_Toc346095454"/>
      <w:bookmarkStart w:id="509" w:name="_Toc346095611"/>
      <w:bookmarkStart w:id="510" w:name="_Toc346095769"/>
      <w:bookmarkStart w:id="511" w:name="_Toc346095927"/>
      <w:bookmarkStart w:id="512" w:name="_Toc346096085"/>
      <w:bookmarkStart w:id="513" w:name="_Toc346096243"/>
      <w:bookmarkStart w:id="514" w:name="_Toc346092778"/>
      <w:bookmarkStart w:id="515" w:name="_Toc346093029"/>
      <w:bookmarkStart w:id="516" w:name="_Toc346093280"/>
      <w:bookmarkStart w:id="517" w:name="_Toc346093695"/>
      <w:bookmarkStart w:id="518" w:name="_Toc346093853"/>
      <w:bookmarkStart w:id="519" w:name="_Toc346094011"/>
      <w:bookmarkStart w:id="520" w:name="_Toc346094169"/>
      <w:bookmarkStart w:id="521" w:name="_Toc346094327"/>
      <w:bookmarkStart w:id="522" w:name="_Toc346094487"/>
      <w:bookmarkStart w:id="523" w:name="_Toc346094651"/>
      <w:bookmarkStart w:id="524" w:name="_Toc346094811"/>
      <w:bookmarkStart w:id="525" w:name="_Toc346094972"/>
      <w:bookmarkStart w:id="526" w:name="_Toc346095138"/>
      <w:bookmarkStart w:id="527" w:name="_Toc346095297"/>
      <w:bookmarkStart w:id="528" w:name="_Toc346095455"/>
      <w:bookmarkStart w:id="529" w:name="_Toc346095612"/>
      <w:bookmarkStart w:id="530" w:name="_Toc346095770"/>
      <w:bookmarkStart w:id="531" w:name="_Toc346095928"/>
      <w:bookmarkStart w:id="532" w:name="_Toc346096086"/>
      <w:bookmarkStart w:id="533" w:name="_Toc346096244"/>
      <w:bookmarkStart w:id="534" w:name="_Toc346092779"/>
      <w:bookmarkStart w:id="535" w:name="_Toc346093030"/>
      <w:bookmarkStart w:id="536" w:name="_Toc346093281"/>
      <w:bookmarkStart w:id="537" w:name="_Toc346093696"/>
      <w:bookmarkStart w:id="538" w:name="_Toc346093854"/>
      <w:bookmarkStart w:id="539" w:name="_Toc346094012"/>
      <w:bookmarkStart w:id="540" w:name="_Toc346094170"/>
      <w:bookmarkStart w:id="541" w:name="_Toc346094328"/>
      <w:bookmarkStart w:id="542" w:name="_Toc346094488"/>
      <w:bookmarkStart w:id="543" w:name="_Toc346094652"/>
      <w:bookmarkStart w:id="544" w:name="_Toc346094812"/>
      <w:bookmarkStart w:id="545" w:name="_Toc346094973"/>
      <w:bookmarkStart w:id="546" w:name="_Toc346095139"/>
      <w:bookmarkStart w:id="547" w:name="_Toc346095298"/>
      <w:bookmarkStart w:id="548" w:name="_Toc346095456"/>
      <w:bookmarkStart w:id="549" w:name="_Toc346095613"/>
      <w:bookmarkStart w:id="550" w:name="_Toc346095771"/>
      <w:bookmarkStart w:id="551" w:name="_Toc346095929"/>
      <w:bookmarkStart w:id="552" w:name="_Toc346096087"/>
      <w:bookmarkStart w:id="553" w:name="_Toc346096245"/>
      <w:bookmarkStart w:id="554" w:name="_Toc346092780"/>
      <w:bookmarkStart w:id="555" w:name="_Toc346093031"/>
      <w:bookmarkStart w:id="556" w:name="_Toc346093282"/>
      <w:bookmarkStart w:id="557" w:name="_Toc346093697"/>
      <w:bookmarkStart w:id="558" w:name="_Toc346093855"/>
      <w:bookmarkStart w:id="559" w:name="_Toc346094013"/>
      <w:bookmarkStart w:id="560" w:name="_Toc346094171"/>
      <w:bookmarkStart w:id="561" w:name="_Toc346094329"/>
      <w:bookmarkStart w:id="562" w:name="_Toc346094489"/>
      <w:bookmarkStart w:id="563" w:name="_Toc346094653"/>
      <w:bookmarkStart w:id="564" w:name="_Toc346094813"/>
      <w:bookmarkStart w:id="565" w:name="_Toc346094974"/>
      <w:bookmarkStart w:id="566" w:name="_Toc346095140"/>
      <w:bookmarkStart w:id="567" w:name="_Toc346095299"/>
      <w:bookmarkStart w:id="568" w:name="_Toc346095457"/>
      <w:bookmarkStart w:id="569" w:name="_Toc346095614"/>
      <w:bookmarkStart w:id="570" w:name="_Toc346095772"/>
      <w:bookmarkStart w:id="571" w:name="_Toc346095930"/>
      <w:bookmarkStart w:id="572" w:name="_Toc346096088"/>
      <w:bookmarkStart w:id="573" w:name="_Toc346096246"/>
      <w:bookmarkStart w:id="574" w:name="_Toc346092781"/>
      <w:bookmarkStart w:id="575" w:name="_Toc346093032"/>
      <w:bookmarkStart w:id="576" w:name="_Toc346093283"/>
      <w:bookmarkStart w:id="577" w:name="_Toc346093698"/>
      <w:bookmarkStart w:id="578" w:name="_Toc346093856"/>
      <w:bookmarkStart w:id="579" w:name="_Toc346094014"/>
      <w:bookmarkStart w:id="580" w:name="_Toc346094172"/>
      <w:bookmarkStart w:id="581" w:name="_Toc346094330"/>
      <w:bookmarkStart w:id="582" w:name="_Toc346094490"/>
      <w:bookmarkStart w:id="583" w:name="_Toc346094654"/>
      <w:bookmarkStart w:id="584" w:name="_Toc346094814"/>
      <w:bookmarkStart w:id="585" w:name="_Toc346094975"/>
      <w:bookmarkStart w:id="586" w:name="_Toc346095141"/>
      <w:bookmarkStart w:id="587" w:name="_Toc346095300"/>
      <w:bookmarkStart w:id="588" w:name="_Toc346095458"/>
      <w:bookmarkStart w:id="589" w:name="_Toc346095615"/>
      <w:bookmarkStart w:id="590" w:name="_Toc346095773"/>
      <w:bookmarkStart w:id="591" w:name="_Toc346095931"/>
      <w:bookmarkStart w:id="592" w:name="_Toc346096089"/>
      <w:bookmarkStart w:id="593" w:name="_Toc346096247"/>
      <w:bookmarkStart w:id="594" w:name="_Toc346092782"/>
      <w:bookmarkStart w:id="595" w:name="_Toc346093033"/>
      <w:bookmarkStart w:id="596" w:name="_Toc346093284"/>
      <w:bookmarkStart w:id="597" w:name="_Toc346093699"/>
      <w:bookmarkStart w:id="598" w:name="_Toc346093857"/>
      <w:bookmarkStart w:id="599" w:name="_Toc346094015"/>
      <w:bookmarkStart w:id="600" w:name="_Toc346094173"/>
      <w:bookmarkStart w:id="601" w:name="_Toc346094331"/>
      <w:bookmarkStart w:id="602" w:name="_Toc346094491"/>
      <w:bookmarkStart w:id="603" w:name="_Toc346094655"/>
      <w:bookmarkStart w:id="604" w:name="_Toc346094815"/>
      <w:bookmarkStart w:id="605" w:name="_Toc346094976"/>
      <w:bookmarkStart w:id="606" w:name="_Toc346095142"/>
      <w:bookmarkStart w:id="607" w:name="_Toc346095301"/>
      <w:bookmarkStart w:id="608" w:name="_Toc346095459"/>
      <w:bookmarkStart w:id="609" w:name="_Toc346095616"/>
      <w:bookmarkStart w:id="610" w:name="_Toc346095774"/>
      <w:bookmarkStart w:id="611" w:name="_Toc346095932"/>
      <w:bookmarkStart w:id="612" w:name="_Toc346096090"/>
      <w:bookmarkStart w:id="613" w:name="_Toc346096248"/>
      <w:bookmarkStart w:id="614" w:name="_Toc37313530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673F8B">
        <w:rPr>
          <w:rFonts w:eastAsia="Times New Roman" w:cstheme="minorHAnsi"/>
          <w:b/>
          <w:bCs/>
          <w:color w:val="000000" w:themeColor="text1"/>
          <w:sz w:val="28"/>
          <w:szCs w:val="28"/>
          <w:lang w:eastAsia="en-GB"/>
        </w:rPr>
        <w:lastRenderedPageBreak/>
        <w:t>Consultation Process</w:t>
      </w:r>
      <w:bookmarkEnd w:id="614"/>
      <w:r w:rsidRPr="00673F8B">
        <w:rPr>
          <w:rFonts w:eastAsia="Times New Roman" w:cstheme="minorHAnsi"/>
          <w:b/>
          <w:bCs/>
          <w:color w:val="000000" w:themeColor="text1"/>
          <w:sz w:val="28"/>
          <w:szCs w:val="28"/>
          <w:lang w:eastAsia="en-GB"/>
        </w:rPr>
        <w:t xml:space="preserve"> </w:t>
      </w:r>
    </w:p>
    <w:p w:rsidR="00673F8B" w:rsidRPr="00673F8B" w:rsidRDefault="00673F8B" w:rsidP="00673F8B">
      <w:pPr>
        <w:spacing w:after="0" w:line="240" w:lineRule="auto"/>
        <w:rPr>
          <w:rFonts w:ascii="Arial" w:eastAsia="Times New Roman" w:hAnsi="Arial" w:cs="Arial"/>
          <w:sz w:val="24"/>
          <w:lang w:eastAsia="en-GB"/>
        </w:rPr>
      </w:pPr>
    </w:p>
    <w:p w:rsidR="00673F8B" w:rsidRPr="00673F8B" w:rsidRDefault="00673F8B" w:rsidP="00673F8B">
      <w:pPr>
        <w:keepNext/>
        <w:tabs>
          <w:tab w:val="left" w:pos="709"/>
        </w:tabs>
        <w:spacing w:after="0" w:line="240" w:lineRule="auto"/>
        <w:jc w:val="both"/>
        <w:rPr>
          <w:rFonts w:eastAsia="Times New Roman" w:cstheme="minorHAnsi"/>
          <w:b/>
          <w:color w:val="000000" w:themeColor="text1"/>
          <w:sz w:val="24"/>
          <w:szCs w:val="24"/>
          <w:lang w:eastAsia="en-GB"/>
        </w:rPr>
      </w:pPr>
      <w:r w:rsidRPr="00673F8B">
        <w:rPr>
          <w:rFonts w:eastAsia="Times New Roman" w:cstheme="minorHAnsi"/>
          <w:b/>
          <w:color w:val="000000" w:themeColor="text1"/>
          <w:sz w:val="24"/>
          <w:szCs w:val="24"/>
          <w:lang w:eastAsia="en-GB"/>
        </w:rPr>
        <w:t>An overview of the Consultation</w:t>
      </w:r>
    </w:p>
    <w:p w:rsidR="00673F8B" w:rsidRPr="00673F8B" w:rsidRDefault="00673F8B" w:rsidP="00673F8B">
      <w:pPr>
        <w:spacing w:after="0" w:line="240" w:lineRule="auto"/>
        <w:rPr>
          <w:rFonts w:ascii="Arial" w:eastAsia="Times New Roman" w:hAnsi="Arial" w:cs="Arial"/>
          <w:sz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The final scheme design was informed by extensive collaboration with SMEs, the industry and cities from early 2013, as well as a short formal consultation which ran from 24 June 2013 to 24</w:t>
      </w:r>
      <w:bookmarkStart w:id="615" w:name="_GoBack"/>
      <w:bookmarkEnd w:id="615"/>
      <w:r w:rsidRPr="00673F8B">
        <w:rPr>
          <w:rFonts w:eastAsia="Times New Roman" w:cstheme="minorHAnsi"/>
          <w:color w:val="000000" w:themeColor="text1"/>
          <w:sz w:val="24"/>
          <w:szCs w:val="24"/>
          <w:lang w:eastAsia="en-GB"/>
        </w:rPr>
        <w:t xml:space="preserve"> July 2013. </w:t>
      </w:r>
    </w:p>
    <w:p w:rsidR="00673F8B" w:rsidRPr="00673F8B" w:rsidRDefault="00673F8B" w:rsidP="00673F8B">
      <w:pPr>
        <w:spacing w:after="0" w:line="240" w:lineRule="auto"/>
        <w:ind w:left="851"/>
        <w:contextualSpacing/>
        <w:rPr>
          <w:rFonts w:eastAsia="Times New Roman" w:cstheme="minorHAnsi"/>
          <w:color w:val="000000" w:themeColor="text1"/>
          <w:sz w:val="24"/>
          <w:szCs w:val="24"/>
          <w:lang w:eastAsia="en-GB"/>
        </w:rPr>
      </w:pPr>
    </w:p>
    <w:p w:rsidR="00673F8B" w:rsidRPr="00673F8B" w:rsidRDefault="00673F8B" w:rsidP="000A17E9">
      <w:pPr>
        <w:numPr>
          <w:ilvl w:val="0"/>
          <w:numId w:val="33"/>
        </w:numPr>
        <w:tabs>
          <w:tab w:val="left" w:pos="567"/>
        </w:tabs>
        <w:spacing w:after="0" w:line="240" w:lineRule="auto"/>
        <w:contextualSpacing/>
        <w:rPr>
          <w:rFonts w:eastAsia="Times New Roman" w:cstheme="minorHAnsi"/>
          <w:color w:val="000000" w:themeColor="text1"/>
          <w:sz w:val="28"/>
          <w:lang w:eastAsia="en-GB"/>
        </w:rPr>
      </w:pPr>
      <w:r w:rsidRPr="00673F8B">
        <w:rPr>
          <w:rFonts w:eastAsia="Times New Roman" w:cstheme="minorHAnsi"/>
          <w:color w:val="000000" w:themeColor="text1"/>
          <w:sz w:val="24"/>
          <w:szCs w:val="24"/>
          <w:lang w:eastAsia="en-GB"/>
        </w:rPr>
        <w:t>BDUK received a total of 31 responses to the Consultation on the proposed voucher scheme. This included responses from a range of organisations from across the supply chain. Six of the 31 respondents were from trade bodies, with five (ISPA</w:t>
      </w:r>
      <w:r w:rsidRPr="00673F8B">
        <w:rPr>
          <w:rFonts w:eastAsia="Times New Roman" w:cstheme="minorHAnsi"/>
          <w:color w:val="000000" w:themeColor="text1"/>
          <w:sz w:val="24"/>
          <w:szCs w:val="24"/>
          <w:vertAlign w:val="superscript"/>
          <w:lang w:eastAsia="en-GB"/>
        </w:rPr>
        <w:footnoteReference w:id="3"/>
      </w:r>
      <w:r w:rsidRPr="00673F8B">
        <w:rPr>
          <w:rFonts w:eastAsia="Times New Roman" w:cstheme="minorHAnsi"/>
          <w:color w:val="000000" w:themeColor="text1"/>
          <w:sz w:val="24"/>
          <w:szCs w:val="24"/>
          <w:lang w:eastAsia="en-GB"/>
        </w:rPr>
        <w:t>, BSG</w:t>
      </w:r>
      <w:r w:rsidRPr="00673F8B">
        <w:rPr>
          <w:rFonts w:eastAsia="Times New Roman" w:cstheme="minorHAnsi"/>
          <w:color w:val="000000" w:themeColor="text1"/>
          <w:sz w:val="24"/>
          <w:szCs w:val="24"/>
          <w:vertAlign w:val="superscript"/>
          <w:lang w:eastAsia="en-GB"/>
        </w:rPr>
        <w:footnoteReference w:id="4"/>
      </w:r>
      <w:r w:rsidRPr="00673F8B">
        <w:rPr>
          <w:rFonts w:eastAsia="Times New Roman" w:cstheme="minorHAnsi"/>
          <w:color w:val="000000" w:themeColor="text1"/>
          <w:sz w:val="24"/>
          <w:szCs w:val="24"/>
          <w:lang w:eastAsia="en-GB"/>
        </w:rPr>
        <w:t>, FCS</w:t>
      </w:r>
      <w:r w:rsidRPr="00673F8B">
        <w:rPr>
          <w:rFonts w:eastAsia="Times New Roman" w:cstheme="minorHAnsi"/>
          <w:color w:val="000000" w:themeColor="text1"/>
          <w:sz w:val="24"/>
          <w:szCs w:val="24"/>
          <w:vertAlign w:val="superscript"/>
          <w:lang w:eastAsia="en-GB"/>
        </w:rPr>
        <w:footnoteReference w:id="5"/>
      </w:r>
      <w:r w:rsidRPr="00673F8B">
        <w:rPr>
          <w:rFonts w:eastAsia="Times New Roman" w:cstheme="minorHAnsi"/>
          <w:color w:val="000000" w:themeColor="text1"/>
          <w:sz w:val="24"/>
          <w:szCs w:val="24"/>
          <w:lang w:eastAsia="en-GB"/>
        </w:rPr>
        <w:t>, INCA</w:t>
      </w:r>
      <w:r w:rsidRPr="00673F8B">
        <w:rPr>
          <w:rFonts w:eastAsia="Times New Roman" w:cstheme="minorHAnsi"/>
          <w:color w:val="000000" w:themeColor="text1"/>
          <w:sz w:val="24"/>
          <w:szCs w:val="24"/>
          <w:vertAlign w:val="superscript"/>
          <w:lang w:eastAsia="en-GB"/>
        </w:rPr>
        <w:footnoteReference w:id="6"/>
      </w:r>
      <w:r w:rsidRPr="00673F8B">
        <w:rPr>
          <w:rFonts w:eastAsia="Times New Roman" w:cstheme="minorHAnsi"/>
          <w:color w:val="000000" w:themeColor="text1"/>
          <w:sz w:val="24"/>
          <w:szCs w:val="24"/>
          <w:lang w:eastAsia="en-GB"/>
        </w:rPr>
        <w:t xml:space="preserve"> and ESOA</w:t>
      </w:r>
      <w:r w:rsidRPr="00673F8B">
        <w:rPr>
          <w:rFonts w:eastAsia="Times New Roman" w:cstheme="minorHAnsi"/>
          <w:color w:val="000000" w:themeColor="text1"/>
          <w:sz w:val="24"/>
          <w:szCs w:val="24"/>
          <w:vertAlign w:val="superscript"/>
          <w:lang w:eastAsia="en-GB"/>
        </w:rPr>
        <w:footnoteReference w:id="7"/>
      </w:r>
      <w:r w:rsidRPr="00673F8B">
        <w:rPr>
          <w:rFonts w:eastAsia="Times New Roman" w:cstheme="minorHAnsi"/>
          <w:color w:val="000000" w:themeColor="text1"/>
          <w:sz w:val="24"/>
          <w:szCs w:val="24"/>
          <w:lang w:eastAsia="en-GB"/>
        </w:rPr>
        <w:t>) of the six dedicated to supporting the interests of some 630 organisations operating in the UK communications sector and the other, FSB</w:t>
      </w:r>
      <w:r w:rsidRPr="00673F8B">
        <w:rPr>
          <w:rFonts w:eastAsia="Times New Roman" w:cstheme="minorHAnsi"/>
          <w:color w:val="000000" w:themeColor="text1"/>
          <w:sz w:val="24"/>
          <w:szCs w:val="24"/>
          <w:vertAlign w:val="superscript"/>
          <w:lang w:eastAsia="en-GB"/>
        </w:rPr>
        <w:footnoteReference w:id="8"/>
      </w:r>
      <w:r w:rsidRPr="00673F8B">
        <w:rPr>
          <w:rFonts w:eastAsia="Times New Roman" w:cstheme="minorHAnsi"/>
          <w:color w:val="000000" w:themeColor="text1"/>
          <w:sz w:val="24"/>
          <w:szCs w:val="24"/>
          <w:lang w:eastAsia="en-GB"/>
        </w:rPr>
        <w:t>, representing the combined interests of over 200,000 members that are either self-employed or small businesses.  BDUK considered that the majority of the responses to our Consultation were either positive or neutral, with stakeholders supportive of our phased approach to the scheme’s deployment. We published a summary of the responses</w:t>
      </w:r>
      <w:r w:rsidRPr="00673F8B">
        <w:rPr>
          <w:rFonts w:eastAsia="Times New Roman" w:cstheme="minorHAnsi"/>
          <w:color w:val="000000" w:themeColor="text1"/>
          <w:sz w:val="24"/>
          <w:szCs w:val="24"/>
          <w:vertAlign w:val="superscript"/>
          <w:lang w:eastAsia="en-GB"/>
        </w:rPr>
        <w:footnoteReference w:id="9"/>
      </w:r>
      <w:r w:rsidRPr="00673F8B">
        <w:rPr>
          <w:rFonts w:eastAsia="Times New Roman" w:cstheme="minorHAnsi"/>
          <w:color w:val="000000" w:themeColor="text1"/>
          <w:sz w:val="24"/>
          <w:szCs w:val="24"/>
          <w:lang w:eastAsia="en-GB"/>
        </w:rPr>
        <w:t xml:space="preserve"> and all the non-confidential submissions</w:t>
      </w:r>
      <w:r w:rsidRPr="00673F8B">
        <w:rPr>
          <w:rFonts w:eastAsia="Times New Roman" w:cstheme="minorHAnsi"/>
          <w:color w:val="000000" w:themeColor="text1"/>
          <w:sz w:val="24"/>
          <w:szCs w:val="24"/>
          <w:vertAlign w:val="superscript"/>
          <w:lang w:eastAsia="en-GB"/>
        </w:rPr>
        <w:footnoteReference w:id="10"/>
      </w:r>
      <w:r w:rsidRPr="00673F8B">
        <w:rPr>
          <w:rFonts w:eastAsia="Times New Roman" w:cstheme="minorHAnsi"/>
          <w:color w:val="000000" w:themeColor="text1"/>
          <w:sz w:val="24"/>
          <w:szCs w:val="24"/>
          <w:lang w:eastAsia="en-GB"/>
        </w:rPr>
        <w:t>.</w:t>
      </w:r>
    </w:p>
    <w:p w:rsidR="00673F8B" w:rsidRPr="00673F8B" w:rsidRDefault="00673F8B" w:rsidP="00673F8B">
      <w:pPr>
        <w:spacing w:after="0" w:line="240" w:lineRule="auto"/>
        <w:ind w:left="720"/>
        <w:contextualSpacing/>
        <w:rPr>
          <w:rFonts w:eastAsia="Times New Roman" w:cstheme="minorHAnsi"/>
          <w:color w:val="000000" w:themeColor="text1"/>
          <w:sz w:val="24"/>
          <w:szCs w:val="24"/>
          <w:lang w:eastAsia="en-GB"/>
        </w:rPr>
      </w:pPr>
    </w:p>
    <w:p w:rsidR="00673F8B" w:rsidRPr="00673F8B" w:rsidRDefault="00673F8B" w:rsidP="000A17E9">
      <w:pPr>
        <w:numPr>
          <w:ilvl w:val="0"/>
          <w:numId w:val="33"/>
        </w:numPr>
        <w:tabs>
          <w:tab w:val="left" w:pos="567"/>
        </w:tabs>
        <w:spacing w:after="0" w:line="240" w:lineRule="auto"/>
        <w:contextualSpacing/>
        <w:rPr>
          <w:rFonts w:eastAsia="Times New Roman" w:cstheme="minorHAnsi"/>
          <w:b/>
          <w:color w:val="000000" w:themeColor="text1"/>
          <w:sz w:val="28"/>
          <w:lang w:eastAsia="en-GB"/>
        </w:rPr>
      </w:pPr>
      <w:r w:rsidRPr="00673F8B">
        <w:rPr>
          <w:rFonts w:eastAsia="Times New Roman" w:cstheme="minorHAnsi"/>
          <w:color w:val="000000" w:themeColor="text1"/>
          <w:sz w:val="24"/>
          <w:szCs w:val="24"/>
          <w:lang w:eastAsia="en-GB"/>
        </w:rPr>
        <w:t>There were a number of points of broad agreement in the consultation responses. These included: recognising the importance of raising awareness among SMEs of the benefits of faster broadband; that clarity on how demand aggregation can occur within the scheme is vital; that vouchers should be used to cover 100 per cent of the connection cost but not on-going costs and that a central website should be the primary means of showing which suppliers are participating in the scheme, but not the only means. There were also a number of points raised that required further consideration or testing during the market test. These included: ensuring the voucher value range is appropriate; ensuring connection charges are a genuine barrier to digital connectivity; ensuring that the eligible expenditure categories do not disadvantage particular supplier groups; achieving further clarity on the State aid position and ensuring the scheme remains simple. For further information on the feedback received during the consultation consult the summary of response document and the non-confidential submissions.</w:t>
      </w:r>
    </w:p>
    <w:p w:rsidR="00673F8B" w:rsidRPr="00673F8B" w:rsidRDefault="00673F8B" w:rsidP="00673F8B">
      <w:pPr>
        <w:spacing w:after="0" w:line="240" w:lineRule="auto"/>
        <w:rPr>
          <w:rFonts w:eastAsia="Times New Roman" w:cstheme="minorHAnsi"/>
          <w:color w:val="000000" w:themeColor="text1"/>
          <w:sz w:val="24"/>
          <w:szCs w:val="24"/>
          <w:lang w:eastAsia="en-GB"/>
        </w:rPr>
      </w:pPr>
    </w:p>
    <w:p w:rsidR="00673F8B" w:rsidRPr="00673F8B" w:rsidRDefault="00673F8B" w:rsidP="00673F8B">
      <w:pPr>
        <w:spacing w:after="0" w:line="240" w:lineRule="auto"/>
        <w:rPr>
          <w:rFonts w:eastAsia="Times New Roman" w:cstheme="minorHAnsi"/>
          <w:b/>
          <w:color w:val="000000" w:themeColor="text1"/>
          <w:sz w:val="28"/>
          <w:szCs w:val="28"/>
          <w:lang w:eastAsia="en-GB"/>
        </w:rPr>
      </w:pPr>
      <w:bookmarkStart w:id="616" w:name="_Toc373135308"/>
      <w:r w:rsidRPr="00673F8B">
        <w:rPr>
          <w:rFonts w:eastAsia="Times New Roman" w:cstheme="minorHAnsi"/>
          <w:b/>
          <w:color w:val="000000" w:themeColor="text1"/>
          <w:sz w:val="28"/>
          <w:szCs w:val="28"/>
          <w:lang w:eastAsia="en-GB"/>
        </w:rPr>
        <w:lastRenderedPageBreak/>
        <w:t>The Market Tests &amp; Evaluation</w:t>
      </w:r>
      <w:bookmarkEnd w:id="616"/>
    </w:p>
    <w:p w:rsidR="00673F8B" w:rsidRPr="00673F8B" w:rsidRDefault="00673F8B" w:rsidP="00673F8B">
      <w:pPr>
        <w:spacing w:after="0" w:line="240" w:lineRule="auto"/>
        <w:contextualSpacing/>
        <w:rPr>
          <w:rFonts w:eastAsia="Times New Roman" w:cstheme="minorHAnsi"/>
          <w:color w:val="000000" w:themeColor="text1"/>
          <w:sz w:val="24"/>
          <w:szCs w:val="24"/>
          <w:lang w:eastAsia="en-GB"/>
        </w:rPr>
      </w:pPr>
    </w:p>
    <w:p w:rsidR="00673F8B" w:rsidRPr="00673F8B" w:rsidRDefault="00673F8B" w:rsidP="00673F8B">
      <w:pPr>
        <w:keepNext/>
        <w:tabs>
          <w:tab w:val="left" w:pos="709"/>
        </w:tabs>
        <w:spacing w:after="0" w:line="240" w:lineRule="auto"/>
        <w:jc w:val="both"/>
        <w:rPr>
          <w:rFonts w:eastAsia="Times New Roman" w:cstheme="minorHAnsi"/>
          <w:b/>
          <w:color w:val="000000" w:themeColor="text1"/>
          <w:sz w:val="24"/>
          <w:szCs w:val="24"/>
          <w:lang w:eastAsia="en-GB"/>
        </w:rPr>
      </w:pPr>
      <w:r w:rsidRPr="00673F8B">
        <w:rPr>
          <w:rFonts w:eastAsia="Times New Roman" w:cstheme="minorHAnsi"/>
          <w:b/>
          <w:color w:val="000000" w:themeColor="text1"/>
          <w:sz w:val="24"/>
          <w:szCs w:val="24"/>
          <w:lang w:eastAsia="en-GB"/>
        </w:rPr>
        <w:t>Introduction</w:t>
      </w:r>
    </w:p>
    <w:p w:rsidR="00673F8B" w:rsidRPr="00673F8B" w:rsidRDefault="00673F8B" w:rsidP="00673F8B">
      <w:pPr>
        <w:spacing w:after="0" w:line="240" w:lineRule="auto"/>
        <w:rPr>
          <w:rFonts w:ascii="Arial" w:eastAsia="Times New Roman" w:hAnsi="Arial" w:cs="Arial"/>
          <w:sz w:val="24"/>
          <w:lang w:eastAsia="en-GB"/>
        </w:rPr>
      </w:pPr>
    </w:p>
    <w:p w:rsidR="00673F8B" w:rsidRPr="00673F8B" w:rsidRDefault="00072E43" w:rsidP="000A17E9">
      <w:pPr>
        <w:numPr>
          <w:ilvl w:val="0"/>
          <w:numId w:val="33"/>
        </w:numPr>
        <w:spacing w:after="0" w:line="240" w:lineRule="auto"/>
        <w:contextualSpacing/>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Integral to the </w:t>
      </w:r>
      <w:r w:rsidR="00673F8B" w:rsidRPr="00673F8B">
        <w:rPr>
          <w:rFonts w:eastAsia="Times New Roman" w:cstheme="minorHAnsi"/>
          <w:color w:val="000000" w:themeColor="text1"/>
          <w:sz w:val="24"/>
          <w:szCs w:val="24"/>
          <w:lang w:eastAsia="en-GB"/>
        </w:rPr>
        <w:t>approach to scheme deployment was the use of market tests. These were used to test the demand for vouchers amongst SMEs, the scheme parameters and the scheme’s administrative arrangements.</w:t>
      </w:r>
    </w:p>
    <w:p w:rsidR="00673F8B" w:rsidRPr="00673F8B" w:rsidRDefault="00673F8B" w:rsidP="00673F8B">
      <w:pPr>
        <w:spacing w:after="0" w:line="240" w:lineRule="auto"/>
        <w:ind w:left="851"/>
        <w:contextualSpacing/>
        <w:rPr>
          <w:rFonts w:eastAsia="Times New Roman" w:cstheme="minorHAnsi"/>
          <w:color w:val="000000" w:themeColor="text1"/>
          <w:sz w:val="24"/>
          <w:szCs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The market tests were undertaken in five cities (Belfast, Cardiff, Edinburgh, Manchester and Salford) over a two month period and BDUK allocated a total of £2.25 million for that purpose. This funding allowed for a limited voucher deployment in areas identified by each city as SME priority zones, and was supported by a range of complementary demand side measures designed to support take up. This included the launch of a web ‘portal’ to enable SMEs to search for a registered supplier (</w:t>
      </w:r>
      <w:hyperlink r:id="rId11" w:history="1">
        <w:r w:rsidRPr="00673F8B">
          <w:rPr>
            <w:rFonts w:eastAsia="Times New Roman" w:cstheme="minorHAnsi"/>
            <w:color w:val="000000" w:themeColor="text1"/>
            <w:sz w:val="24"/>
            <w:szCs w:val="24"/>
            <w:u w:val="single"/>
            <w:lang w:eastAsia="en-GB"/>
          </w:rPr>
          <w:t>https://www.connectionvouchers.co.uk/</w:t>
        </w:r>
      </w:hyperlink>
      <w:r w:rsidRPr="00673F8B">
        <w:rPr>
          <w:rFonts w:eastAsia="Times New Roman" w:cstheme="minorHAnsi"/>
          <w:color w:val="000000" w:themeColor="text1"/>
          <w:sz w:val="24"/>
          <w:szCs w:val="24"/>
          <w:lang w:eastAsia="en-GB"/>
        </w:rPr>
        <w:t>).</w:t>
      </w:r>
    </w:p>
    <w:p w:rsidR="00673F8B" w:rsidRPr="00673F8B" w:rsidRDefault="00673F8B" w:rsidP="00673F8B">
      <w:pPr>
        <w:spacing w:after="0" w:line="240" w:lineRule="auto"/>
        <w:rPr>
          <w:rFonts w:eastAsia="Times New Roman" w:cstheme="minorHAnsi"/>
          <w:color w:val="000000" w:themeColor="text1"/>
          <w:sz w:val="24"/>
          <w:szCs w:val="24"/>
          <w:lang w:eastAsia="en-GB"/>
        </w:rPr>
      </w:pPr>
    </w:p>
    <w:p w:rsidR="00673F8B" w:rsidRPr="00673F8B" w:rsidRDefault="00673F8B" w:rsidP="00673F8B">
      <w:pPr>
        <w:keepNext/>
        <w:tabs>
          <w:tab w:val="left" w:pos="851"/>
        </w:tabs>
        <w:spacing w:after="0" w:line="240" w:lineRule="auto"/>
        <w:jc w:val="both"/>
        <w:rPr>
          <w:rFonts w:eastAsia="Times New Roman" w:cstheme="minorHAnsi"/>
          <w:b/>
          <w:color w:val="000000" w:themeColor="text1"/>
          <w:sz w:val="24"/>
          <w:szCs w:val="24"/>
          <w:lang w:eastAsia="en-GB"/>
        </w:rPr>
      </w:pPr>
      <w:r w:rsidRPr="00673F8B">
        <w:rPr>
          <w:rFonts w:eastAsia="Times New Roman" w:cstheme="minorHAnsi"/>
          <w:b/>
          <w:color w:val="000000" w:themeColor="text1"/>
          <w:sz w:val="24"/>
          <w:szCs w:val="24"/>
          <w:lang w:eastAsia="en-GB"/>
        </w:rPr>
        <w:t>Evaluation of the Market Tests</w:t>
      </w:r>
    </w:p>
    <w:p w:rsidR="00673F8B" w:rsidRPr="00673F8B" w:rsidRDefault="00673F8B" w:rsidP="00673F8B">
      <w:pPr>
        <w:spacing w:after="0" w:line="240" w:lineRule="auto"/>
        <w:contextualSpacing/>
        <w:rPr>
          <w:rFonts w:eastAsia="Times New Roman" w:cstheme="minorHAnsi"/>
          <w:b/>
          <w:color w:val="000000" w:themeColor="text1"/>
          <w:sz w:val="24"/>
          <w:szCs w:val="24"/>
          <w:u w:val="single"/>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The market tests were assessed in terms of a number of key success factors and associated measures. The summary results against each are shown within the table below:</w:t>
      </w:r>
    </w:p>
    <w:p w:rsidR="00673F8B" w:rsidRPr="00673F8B" w:rsidRDefault="00673F8B" w:rsidP="00673F8B">
      <w:pPr>
        <w:spacing w:after="0" w:line="240" w:lineRule="auto"/>
        <w:rPr>
          <w:rFonts w:eastAsia="Times New Roman" w:cstheme="minorHAnsi"/>
          <w:color w:val="000000" w:themeColor="text1"/>
          <w:sz w:val="24"/>
          <w:szCs w:val="24"/>
          <w:lang w:eastAsia="en-GB"/>
        </w:rPr>
      </w:pPr>
    </w:p>
    <w:tbl>
      <w:tblPr>
        <w:tblStyle w:val="TableGrid1"/>
        <w:tblW w:w="9356" w:type="dxa"/>
        <w:tblInd w:w="108" w:type="dxa"/>
        <w:tblLook w:val="04A0" w:firstRow="1" w:lastRow="0" w:firstColumn="1" w:lastColumn="0" w:noHBand="0" w:noVBand="1"/>
      </w:tblPr>
      <w:tblGrid>
        <w:gridCol w:w="567"/>
        <w:gridCol w:w="2693"/>
        <w:gridCol w:w="2694"/>
        <w:gridCol w:w="3402"/>
      </w:tblGrid>
      <w:tr w:rsidR="00673F8B" w:rsidRPr="00673F8B" w:rsidTr="00E14BC3">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F8B" w:rsidRPr="00673F8B" w:rsidRDefault="00673F8B" w:rsidP="00673F8B">
            <w:pPr>
              <w:rPr>
                <w:rFonts w:asciiTheme="minorHAnsi" w:hAnsiTheme="minorHAnsi" w:cstheme="minorHAnsi"/>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3F8B" w:rsidRPr="00673F8B" w:rsidRDefault="00673F8B" w:rsidP="00673F8B">
            <w:pPr>
              <w:rPr>
                <w:rFonts w:asciiTheme="minorHAnsi" w:hAnsiTheme="minorHAnsi" w:cstheme="minorHAnsi"/>
                <w:b/>
                <w:color w:val="000000" w:themeColor="text1"/>
                <w:sz w:val="24"/>
                <w:szCs w:val="24"/>
                <w:lang w:eastAsia="en-US"/>
              </w:rPr>
            </w:pPr>
            <w:r w:rsidRPr="00673F8B">
              <w:rPr>
                <w:rFonts w:asciiTheme="minorHAnsi" w:hAnsiTheme="minorHAnsi" w:cstheme="minorHAnsi"/>
                <w:b/>
                <w:color w:val="000000" w:themeColor="text1"/>
                <w:sz w:val="24"/>
                <w:szCs w:val="24"/>
              </w:rPr>
              <w:t>Success Factor</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3F8B" w:rsidRPr="00673F8B" w:rsidRDefault="00673F8B" w:rsidP="00673F8B">
            <w:pPr>
              <w:rPr>
                <w:rFonts w:asciiTheme="minorHAnsi" w:hAnsiTheme="minorHAnsi" w:cstheme="minorHAnsi"/>
                <w:b/>
                <w:color w:val="000000" w:themeColor="text1"/>
                <w:sz w:val="24"/>
                <w:szCs w:val="24"/>
                <w:lang w:eastAsia="en-US"/>
              </w:rPr>
            </w:pPr>
            <w:r w:rsidRPr="00673F8B">
              <w:rPr>
                <w:rFonts w:asciiTheme="minorHAnsi" w:hAnsiTheme="minorHAnsi" w:cstheme="minorHAnsi"/>
                <w:b/>
                <w:color w:val="000000" w:themeColor="text1"/>
                <w:sz w:val="24"/>
                <w:szCs w:val="24"/>
              </w:rPr>
              <w:t>Measure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3F8B" w:rsidRPr="00673F8B" w:rsidRDefault="00673F8B" w:rsidP="00673F8B">
            <w:pPr>
              <w:rPr>
                <w:rFonts w:asciiTheme="minorHAnsi" w:hAnsiTheme="minorHAnsi" w:cstheme="minorHAnsi"/>
                <w:b/>
                <w:color w:val="000000" w:themeColor="text1"/>
                <w:sz w:val="24"/>
                <w:szCs w:val="24"/>
                <w:lang w:eastAsia="en-US"/>
              </w:rPr>
            </w:pPr>
            <w:r w:rsidRPr="00673F8B">
              <w:rPr>
                <w:rFonts w:asciiTheme="minorHAnsi" w:hAnsiTheme="minorHAnsi" w:cstheme="minorHAnsi"/>
                <w:b/>
                <w:color w:val="000000" w:themeColor="text1"/>
                <w:sz w:val="24"/>
                <w:szCs w:val="24"/>
              </w:rPr>
              <w:t>Summary of Evaluation Results</w:t>
            </w:r>
          </w:p>
        </w:tc>
      </w:tr>
      <w:tr w:rsidR="00673F8B" w:rsidRPr="00673F8B" w:rsidTr="00E14BC3">
        <w:tc>
          <w:tcPr>
            <w:tcW w:w="567"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A</w:t>
            </w:r>
          </w:p>
        </w:tc>
        <w:tc>
          <w:tcPr>
            <w:tcW w:w="2693" w:type="dxa"/>
            <w:tcBorders>
              <w:top w:val="single" w:sz="4" w:space="0" w:color="auto"/>
              <w:left w:val="single" w:sz="4" w:space="0" w:color="auto"/>
              <w:bottom w:val="single" w:sz="4" w:space="0" w:color="auto"/>
              <w:right w:val="single" w:sz="4" w:space="0" w:color="auto"/>
            </w:tcBorders>
          </w:tcPr>
          <w:p w:rsidR="00673F8B" w:rsidRPr="00673F8B" w:rsidRDefault="00673F8B" w:rsidP="00673F8B">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Broad support for the aims and objectives of the scheme</w:t>
            </w:r>
          </w:p>
        </w:tc>
        <w:tc>
          <w:tcPr>
            <w:tcW w:w="2694"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No challenge is made by a supplier, organisation, individual or the Commission</w:t>
            </w:r>
          </w:p>
        </w:tc>
        <w:tc>
          <w:tcPr>
            <w:tcW w:w="3402"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numPr>
                <w:ilvl w:val="0"/>
                <w:numId w:val="5"/>
              </w:numPr>
              <w:contextualSpacing/>
              <w:rPr>
                <w:rFonts w:asciiTheme="minorHAnsi" w:hAnsiTheme="minorHAnsi" w:cstheme="minorHAnsi"/>
                <w:color w:val="000000" w:themeColor="text1"/>
                <w:sz w:val="24"/>
                <w:szCs w:val="24"/>
              </w:rPr>
            </w:pPr>
            <w:r w:rsidRPr="00673F8B">
              <w:rPr>
                <w:rFonts w:asciiTheme="minorHAnsi" w:hAnsiTheme="minorHAnsi" w:cstheme="minorHAnsi"/>
                <w:color w:val="000000" w:themeColor="text1"/>
                <w:sz w:val="24"/>
                <w:szCs w:val="24"/>
              </w:rPr>
              <w:t xml:space="preserve">No indication from any stakeholder that  the scheme will be challenged </w:t>
            </w:r>
          </w:p>
          <w:p w:rsidR="00673F8B" w:rsidRPr="00673F8B" w:rsidRDefault="00673F8B" w:rsidP="00673F8B">
            <w:pPr>
              <w:numPr>
                <w:ilvl w:val="0"/>
                <w:numId w:val="5"/>
              </w:numPr>
              <w:contextualSpacing/>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Supportive feedback from the Commission regarding the objectives, principles, and parameters of the scheme</w:t>
            </w:r>
          </w:p>
        </w:tc>
      </w:tr>
      <w:tr w:rsidR="00673F8B" w:rsidRPr="00673F8B" w:rsidTr="00E14BC3">
        <w:tc>
          <w:tcPr>
            <w:tcW w:w="567"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B</w:t>
            </w:r>
          </w:p>
        </w:tc>
        <w:tc>
          <w:tcPr>
            <w:tcW w:w="2693" w:type="dxa"/>
            <w:tcBorders>
              <w:top w:val="single" w:sz="4" w:space="0" w:color="auto"/>
              <w:left w:val="single" w:sz="4" w:space="0" w:color="auto"/>
              <w:bottom w:val="single" w:sz="4" w:space="0" w:color="auto"/>
              <w:right w:val="single" w:sz="4" w:space="0" w:color="auto"/>
            </w:tcBorders>
          </w:tcPr>
          <w:p w:rsidR="00673F8B" w:rsidRPr="00673F8B" w:rsidRDefault="00673F8B" w:rsidP="00673F8B">
            <w:pPr>
              <w:rPr>
                <w:rFonts w:asciiTheme="minorHAnsi" w:hAnsiTheme="minorHAnsi" w:cstheme="minorHAnsi"/>
                <w:color w:val="000000" w:themeColor="text1"/>
                <w:sz w:val="24"/>
                <w:szCs w:val="24"/>
              </w:rPr>
            </w:pPr>
            <w:r w:rsidRPr="00673F8B">
              <w:rPr>
                <w:rFonts w:asciiTheme="minorHAnsi" w:hAnsiTheme="minorHAnsi" w:cstheme="minorHAnsi"/>
                <w:color w:val="000000" w:themeColor="text1"/>
                <w:sz w:val="24"/>
                <w:szCs w:val="24"/>
              </w:rPr>
              <w:t>There is clear competition for the vouchers</w:t>
            </w:r>
          </w:p>
          <w:p w:rsidR="00673F8B" w:rsidRPr="00673F8B" w:rsidRDefault="00673F8B" w:rsidP="00673F8B">
            <w:pPr>
              <w:ind w:left="360"/>
              <w:rPr>
                <w:rFonts w:asciiTheme="minorHAnsi" w:hAnsiTheme="minorHAnsi" w:cstheme="minorHAnsi"/>
                <w:color w:val="000000" w:themeColor="text1"/>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Multiple suppliers are registered per city, backed up by at least two quotes given to applicants</w:t>
            </w:r>
          </w:p>
        </w:tc>
        <w:tc>
          <w:tcPr>
            <w:tcW w:w="3402"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numPr>
                <w:ilvl w:val="0"/>
                <w:numId w:val="5"/>
              </w:numPr>
              <w:contextualSpacing/>
              <w:rPr>
                <w:rFonts w:asciiTheme="minorHAnsi" w:hAnsiTheme="minorHAnsi" w:cstheme="minorHAnsi"/>
                <w:color w:val="000000" w:themeColor="text1"/>
                <w:sz w:val="24"/>
                <w:szCs w:val="24"/>
              </w:rPr>
            </w:pPr>
            <w:r w:rsidRPr="00673F8B">
              <w:rPr>
                <w:rFonts w:asciiTheme="minorHAnsi" w:hAnsiTheme="minorHAnsi" w:cstheme="minorHAnsi"/>
                <w:color w:val="000000" w:themeColor="text1"/>
                <w:sz w:val="24"/>
                <w:szCs w:val="24"/>
              </w:rPr>
              <w:t>58 registered suppliers across all cities, with minimum of 44 registered suppliers per city</w:t>
            </w:r>
          </w:p>
          <w:p w:rsidR="00673F8B" w:rsidRPr="00673F8B" w:rsidRDefault="00673F8B" w:rsidP="00673F8B">
            <w:pPr>
              <w:numPr>
                <w:ilvl w:val="0"/>
                <w:numId w:val="5"/>
              </w:numPr>
              <w:contextualSpacing/>
              <w:rPr>
                <w:rFonts w:asciiTheme="minorHAnsi" w:hAnsiTheme="minorHAnsi" w:cstheme="minorHAnsi"/>
                <w:color w:val="000000" w:themeColor="text1"/>
                <w:sz w:val="24"/>
                <w:szCs w:val="24"/>
              </w:rPr>
            </w:pPr>
            <w:r w:rsidRPr="00673F8B">
              <w:rPr>
                <w:rFonts w:asciiTheme="minorHAnsi" w:hAnsiTheme="minorHAnsi" w:cstheme="minorHAnsi"/>
                <w:color w:val="000000" w:themeColor="text1"/>
                <w:sz w:val="24"/>
                <w:szCs w:val="24"/>
              </w:rPr>
              <w:t>Quotes provided by 28 suppliers</w:t>
            </w:r>
          </w:p>
          <w:p w:rsidR="00673F8B" w:rsidRPr="00673F8B" w:rsidRDefault="00673F8B" w:rsidP="00673F8B">
            <w:pPr>
              <w:numPr>
                <w:ilvl w:val="0"/>
                <w:numId w:val="5"/>
              </w:numPr>
              <w:contextualSpacing/>
              <w:rPr>
                <w:rFonts w:asciiTheme="minorHAnsi" w:hAnsiTheme="minorHAnsi" w:cstheme="minorHAnsi"/>
                <w:color w:val="000000" w:themeColor="text1"/>
                <w:sz w:val="24"/>
                <w:szCs w:val="24"/>
              </w:rPr>
            </w:pPr>
            <w:r w:rsidRPr="00673F8B">
              <w:rPr>
                <w:rFonts w:asciiTheme="minorHAnsi" w:hAnsiTheme="minorHAnsi" w:cstheme="minorHAnsi"/>
                <w:color w:val="000000" w:themeColor="text1"/>
                <w:sz w:val="24"/>
                <w:szCs w:val="24"/>
              </w:rPr>
              <w:t>Average of 2.5 quotes received per voucher issued</w:t>
            </w:r>
          </w:p>
          <w:p w:rsidR="00673F8B" w:rsidRPr="00673F8B" w:rsidRDefault="00673F8B" w:rsidP="00673F8B">
            <w:pPr>
              <w:ind w:left="720"/>
              <w:contextualSpacing/>
              <w:rPr>
                <w:rFonts w:asciiTheme="minorHAnsi" w:hAnsiTheme="minorHAnsi" w:cstheme="minorHAnsi"/>
                <w:color w:val="000000" w:themeColor="text1"/>
                <w:sz w:val="24"/>
                <w:szCs w:val="24"/>
              </w:rPr>
            </w:pPr>
          </w:p>
          <w:p w:rsidR="00673F8B" w:rsidRPr="00673F8B" w:rsidRDefault="00673F8B" w:rsidP="00673F8B">
            <w:pPr>
              <w:ind w:left="360"/>
              <w:contextualSpacing/>
              <w:rPr>
                <w:rFonts w:asciiTheme="minorHAnsi" w:hAnsiTheme="minorHAnsi" w:cstheme="minorHAnsi"/>
                <w:color w:val="000000" w:themeColor="text1"/>
                <w:sz w:val="24"/>
                <w:szCs w:val="24"/>
              </w:rPr>
            </w:pPr>
          </w:p>
          <w:p w:rsidR="00673F8B" w:rsidRPr="00673F8B" w:rsidRDefault="00673F8B" w:rsidP="00673F8B">
            <w:pPr>
              <w:rPr>
                <w:rFonts w:asciiTheme="minorHAnsi" w:hAnsiTheme="minorHAnsi" w:cstheme="minorHAnsi"/>
                <w:color w:val="000000" w:themeColor="text1"/>
                <w:sz w:val="24"/>
                <w:szCs w:val="24"/>
                <w:lang w:eastAsia="en-US"/>
              </w:rPr>
            </w:pPr>
          </w:p>
        </w:tc>
      </w:tr>
      <w:tr w:rsidR="00673F8B" w:rsidRPr="00673F8B" w:rsidTr="00E14BC3">
        <w:tc>
          <w:tcPr>
            <w:tcW w:w="567"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lastRenderedPageBreak/>
              <w:t>C</w:t>
            </w:r>
          </w:p>
        </w:tc>
        <w:tc>
          <w:tcPr>
            <w:tcW w:w="2693"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 xml:space="preserve">There is no obvious distortion of the market and </w:t>
            </w:r>
          </w:p>
        </w:tc>
        <w:tc>
          <w:tcPr>
            <w:tcW w:w="2694"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rPr>
                <w:rFonts w:asciiTheme="minorHAnsi" w:hAnsiTheme="minorHAnsi" w:cstheme="minorHAnsi"/>
                <w:color w:val="000000" w:themeColor="text1"/>
                <w:sz w:val="24"/>
                <w:szCs w:val="24"/>
              </w:rPr>
            </w:pPr>
            <w:r w:rsidRPr="00673F8B">
              <w:rPr>
                <w:rFonts w:asciiTheme="minorHAnsi" w:hAnsiTheme="minorHAnsi" w:cstheme="minorHAnsi"/>
                <w:color w:val="000000" w:themeColor="text1"/>
                <w:sz w:val="24"/>
                <w:szCs w:val="24"/>
              </w:rPr>
              <w:t>The number of vouchers won by communications providers broadly reflect their current market share, or are higher for new entrants</w:t>
            </w:r>
          </w:p>
          <w:p w:rsidR="00673F8B" w:rsidRPr="00673F8B" w:rsidRDefault="00673F8B" w:rsidP="00673F8B">
            <w:pPr>
              <w:ind w:left="360"/>
              <w:rPr>
                <w:rFonts w:asciiTheme="minorHAnsi" w:hAnsiTheme="minorHAnsi" w:cstheme="minorHAnsi"/>
                <w:color w:val="000000" w:themeColor="text1"/>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numPr>
                <w:ilvl w:val="0"/>
                <w:numId w:val="5"/>
              </w:numPr>
              <w:contextualSpacing/>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11 suppliers successful in the allocation of vouchers</w:t>
            </w:r>
          </w:p>
          <w:p w:rsidR="00673F8B" w:rsidRPr="00673F8B" w:rsidRDefault="00673F8B" w:rsidP="00673F8B">
            <w:pPr>
              <w:numPr>
                <w:ilvl w:val="0"/>
                <w:numId w:val="5"/>
              </w:numPr>
              <w:contextualSpacing/>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&lt;10% vouchers allocated to the two largest UK suppliers</w:t>
            </w:r>
          </w:p>
          <w:p w:rsidR="00673F8B" w:rsidRPr="00673F8B" w:rsidRDefault="00673F8B" w:rsidP="00673F8B">
            <w:pPr>
              <w:ind w:left="360"/>
              <w:rPr>
                <w:rFonts w:asciiTheme="minorHAnsi" w:hAnsiTheme="minorHAnsi" w:cstheme="minorHAnsi"/>
                <w:color w:val="000000" w:themeColor="text1"/>
                <w:sz w:val="24"/>
                <w:szCs w:val="24"/>
                <w:lang w:eastAsia="en-US"/>
              </w:rPr>
            </w:pPr>
          </w:p>
        </w:tc>
      </w:tr>
      <w:tr w:rsidR="00673F8B" w:rsidRPr="00673F8B" w:rsidTr="00E14BC3">
        <w:tc>
          <w:tcPr>
            <w:tcW w:w="567"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D</w:t>
            </w:r>
          </w:p>
        </w:tc>
        <w:tc>
          <w:tcPr>
            <w:tcW w:w="2693" w:type="dxa"/>
            <w:tcBorders>
              <w:top w:val="single" w:sz="4" w:space="0" w:color="auto"/>
              <w:left w:val="single" w:sz="4" w:space="0" w:color="auto"/>
              <w:bottom w:val="single" w:sz="4" w:space="0" w:color="auto"/>
              <w:right w:val="single" w:sz="4" w:space="0" w:color="auto"/>
            </w:tcBorders>
          </w:tcPr>
          <w:p w:rsidR="00673F8B" w:rsidRPr="00673F8B" w:rsidRDefault="00673F8B" w:rsidP="00673F8B">
            <w:pPr>
              <w:rPr>
                <w:rFonts w:asciiTheme="minorHAnsi" w:hAnsiTheme="minorHAnsi" w:cstheme="minorHAnsi"/>
                <w:color w:val="000000" w:themeColor="text1"/>
                <w:sz w:val="24"/>
                <w:szCs w:val="24"/>
              </w:rPr>
            </w:pPr>
            <w:r w:rsidRPr="00673F8B">
              <w:rPr>
                <w:rFonts w:asciiTheme="minorHAnsi" w:hAnsiTheme="minorHAnsi" w:cstheme="minorHAnsi"/>
                <w:color w:val="000000" w:themeColor="text1"/>
                <w:sz w:val="24"/>
                <w:szCs w:val="24"/>
              </w:rPr>
              <w:t>There is an indication/initial appraisal of the likely level of demand by SMEs</w:t>
            </w:r>
          </w:p>
          <w:p w:rsidR="00673F8B" w:rsidRPr="00673F8B" w:rsidRDefault="00673F8B" w:rsidP="00673F8B">
            <w:pPr>
              <w:rPr>
                <w:rFonts w:asciiTheme="minorHAnsi" w:hAnsiTheme="minorHAnsi" w:cstheme="minorHAnsi"/>
                <w:color w:val="000000" w:themeColor="text1"/>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73F8B" w:rsidRPr="00673F8B" w:rsidRDefault="00673F8B" w:rsidP="00072E43">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 xml:space="preserve">The number of SMEs who register </w:t>
            </w:r>
            <w:r w:rsidR="00A603BF">
              <w:rPr>
                <w:rFonts w:asciiTheme="minorHAnsi" w:hAnsiTheme="minorHAnsi" w:cstheme="minorHAnsi"/>
                <w:color w:val="000000" w:themeColor="text1"/>
                <w:sz w:val="24"/>
                <w:szCs w:val="24"/>
              </w:rPr>
              <w:t xml:space="preserve">an interest in better broadband and </w:t>
            </w:r>
            <w:r w:rsidRPr="00673F8B">
              <w:rPr>
                <w:rFonts w:asciiTheme="minorHAnsi" w:hAnsiTheme="minorHAnsi" w:cstheme="minorHAnsi"/>
                <w:color w:val="000000" w:themeColor="text1"/>
                <w:sz w:val="24"/>
                <w:szCs w:val="24"/>
              </w:rPr>
              <w:t>for a voucher.</w:t>
            </w:r>
          </w:p>
        </w:tc>
        <w:tc>
          <w:tcPr>
            <w:tcW w:w="3402"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numPr>
                <w:ilvl w:val="0"/>
                <w:numId w:val="5"/>
              </w:numPr>
              <w:contextualSpacing/>
              <w:rPr>
                <w:rFonts w:asciiTheme="minorHAnsi" w:hAnsiTheme="minorHAnsi" w:cstheme="minorHAnsi"/>
                <w:color w:val="000000" w:themeColor="text1"/>
                <w:sz w:val="24"/>
                <w:szCs w:val="24"/>
              </w:rPr>
            </w:pPr>
            <w:r w:rsidRPr="00673F8B">
              <w:rPr>
                <w:rFonts w:asciiTheme="minorHAnsi" w:hAnsiTheme="minorHAnsi" w:cstheme="minorHAnsi"/>
                <w:color w:val="000000" w:themeColor="text1"/>
                <w:sz w:val="24"/>
                <w:szCs w:val="24"/>
              </w:rPr>
              <w:t xml:space="preserve">689 </w:t>
            </w:r>
            <w:r w:rsidR="00072E43">
              <w:rPr>
                <w:rFonts w:asciiTheme="minorHAnsi" w:hAnsiTheme="minorHAnsi" w:cstheme="minorHAnsi"/>
                <w:color w:val="000000" w:themeColor="text1"/>
                <w:sz w:val="24"/>
                <w:szCs w:val="24"/>
              </w:rPr>
              <w:t>SMEs expressed interest in better connectivity</w:t>
            </w:r>
          </w:p>
          <w:p w:rsidR="00A603BF" w:rsidRPr="00673F8B" w:rsidRDefault="00A603BF" w:rsidP="00072E43">
            <w:pPr>
              <w:ind w:left="720"/>
              <w:contextualSpacing/>
              <w:rPr>
                <w:rFonts w:asciiTheme="minorHAnsi" w:hAnsiTheme="minorHAnsi" w:cstheme="minorHAnsi"/>
                <w:color w:val="000000" w:themeColor="text1"/>
                <w:sz w:val="24"/>
                <w:szCs w:val="24"/>
              </w:rPr>
            </w:pPr>
          </w:p>
        </w:tc>
      </w:tr>
      <w:tr w:rsidR="00673F8B" w:rsidRPr="00673F8B" w:rsidTr="00E14BC3">
        <w:tc>
          <w:tcPr>
            <w:tcW w:w="567"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E</w:t>
            </w:r>
          </w:p>
        </w:tc>
        <w:tc>
          <w:tcPr>
            <w:tcW w:w="2693" w:type="dxa"/>
            <w:tcBorders>
              <w:top w:val="single" w:sz="4" w:space="0" w:color="auto"/>
              <w:left w:val="single" w:sz="4" w:space="0" w:color="auto"/>
              <w:bottom w:val="single" w:sz="4" w:space="0" w:color="auto"/>
              <w:right w:val="single" w:sz="4" w:space="0" w:color="auto"/>
            </w:tcBorders>
          </w:tcPr>
          <w:p w:rsidR="00673F8B" w:rsidRPr="00673F8B" w:rsidRDefault="00673F8B" w:rsidP="00673F8B">
            <w:pPr>
              <w:rPr>
                <w:rFonts w:asciiTheme="minorHAnsi" w:hAnsiTheme="minorHAnsi" w:cstheme="minorHAnsi"/>
                <w:color w:val="000000" w:themeColor="text1"/>
                <w:sz w:val="24"/>
                <w:szCs w:val="24"/>
              </w:rPr>
            </w:pPr>
            <w:r w:rsidRPr="00673F8B">
              <w:rPr>
                <w:rFonts w:asciiTheme="minorHAnsi" w:hAnsiTheme="minorHAnsi" w:cstheme="minorHAnsi"/>
                <w:color w:val="000000" w:themeColor="text1"/>
                <w:sz w:val="24"/>
                <w:szCs w:val="24"/>
              </w:rPr>
              <w:t>The scheme has proportionate administration costs resulting in good value for money</w:t>
            </w:r>
          </w:p>
          <w:p w:rsidR="00673F8B" w:rsidRPr="00673F8B" w:rsidRDefault="00673F8B" w:rsidP="00673F8B">
            <w:pPr>
              <w:rPr>
                <w:rFonts w:asciiTheme="minorHAnsi" w:hAnsiTheme="minorHAnsi" w:cstheme="minorHAnsi"/>
                <w:color w:val="000000" w:themeColor="text1"/>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Less than 10% of overall voucher scheme total, or up to 20% where the city has demonstrated that these costs are critical to delivery and add value</w:t>
            </w:r>
          </w:p>
        </w:tc>
        <w:tc>
          <w:tcPr>
            <w:tcW w:w="3402" w:type="dxa"/>
            <w:tcBorders>
              <w:top w:val="single" w:sz="4" w:space="0" w:color="auto"/>
              <w:left w:val="single" w:sz="4" w:space="0" w:color="auto"/>
              <w:bottom w:val="single" w:sz="4" w:space="0" w:color="auto"/>
              <w:right w:val="single" w:sz="4" w:space="0" w:color="auto"/>
            </w:tcBorders>
            <w:hideMark/>
          </w:tcPr>
          <w:p w:rsidR="00673F8B" w:rsidRPr="00673F8B" w:rsidRDefault="00673F8B" w:rsidP="00673F8B">
            <w:pPr>
              <w:numPr>
                <w:ilvl w:val="0"/>
                <w:numId w:val="5"/>
              </w:numPr>
              <w:contextualSpacing/>
              <w:rPr>
                <w:rFonts w:asciiTheme="minorHAnsi" w:hAnsiTheme="minorHAnsi" w:cstheme="minorHAnsi"/>
                <w:color w:val="000000" w:themeColor="text1"/>
                <w:sz w:val="24"/>
                <w:szCs w:val="24"/>
                <w:lang w:eastAsia="en-US"/>
              </w:rPr>
            </w:pPr>
            <w:r w:rsidRPr="00673F8B">
              <w:rPr>
                <w:rFonts w:asciiTheme="minorHAnsi" w:hAnsiTheme="minorHAnsi" w:cstheme="minorHAnsi"/>
                <w:color w:val="000000" w:themeColor="text1"/>
                <w:sz w:val="24"/>
                <w:szCs w:val="24"/>
              </w:rPr>
              <w:t>Four cities below the 10% target for admin costs, with overall average of 6.9%</w:t>
            </w:r>
          </w:p>
        </w:tc>
      </w:tr>
    </w:tbl>
    <w:p w:rsidR="00673F8B" w:rsidRPr="00673F8B" w:rsidRDefault="00673F8B" w:rsidP="00673F8B">
      <w:pPr>
        <w:keepNext/>
        <w:keepLines/>
        <w:pageBreakBefore/>
        <w:tabs>
          <w:tab w:val="left" w:pos="567"/>
        </w:tabs>
        <w:spacing w:after="0" w:line="240" w:lineRule="auto"/>
        <w:outlineLvl w:val="0"/>
        <w:rPr>
          <w:rFonts w:eastAsia="Times New Roman" w:cstheme="minorHAnsi"/>
          <w:b/>
          <w:bCs/>
          <w:color w:val="000000" w:themeColor="text1"/>
          <w:sz w:val="28"/>
          <w:szCs w:val="28"/>
          <w:lang w:eastAsia="en-GB"/>
        </w:rPr>
      </w:pPr>
      <w:bookmarkStart w:id="617" w:name="_Toc373135305"/>
      <w:r w:rsidRPr="00673F8B">
        <w:rPr>
          <w:rFonts w:eastAsia="Times New Roman" w:cstheme="minorHAnsi"/>
          <w:b/>
          <w:bCs/>
          <w:color w:val="000000" w:themeColor="text1"/>
          <w:sz w:val="28"/>
          <w:szCs w:val="28"/>
          <w:lang w:eastAsia="en-GB"/>
        </w:rPr>
        <w:lastRenderedPageBreak/>
        <w:t>The Evidence Base for Connection Vouchers</w:t>
      </w:r>
      <w:bookmarkEnd w:id="617"/>
      <w:r w:rsidRPr="00673F8B">
        <w:rPr>
          <w:rFonts w:eastAsia="Times New Roman" w:cstheme="minorHAnsi"/>
          <w:b/>
          <w:bCs/>
          <w:color w:val="000000" w:themeColor="text1"/>
          <w:sz w:val="28"/>
          <w:szCs w:val="28"/>
          <w:lang w:eastAsia="en-GB"/>
        </w:rPr>
        <w:t xml:space="preserve">  </w:t>
      </w:r>
    </w:p>
    <w:p w:rsidR="00673F8B" w:rsidRPr="00673F8B" w:rsidRDefault="00673F8B" w:rsidP="00673F8B">
      <w:pPr>
        <w:spacing w:after="0" w:line="240" w:lineRule="auto"/>
        <w:rPr>
          <w:rFonts w:ascii="Arial" w:eastAsia="Times New Roman" w:hAnsi="Arial" w:cs="Arial"/>
          <w:sz w:val="24"/>
          <w:lang w:eastAsia="en-GB"/>
        </w:rPr>
      </w:pPr>
    </w:p>
    <w:p w:rsidR="00673F8B" w:rsidRPr="00673F8B" w:rsidRDefault="00673F8B" w:rsidP="00673F8B">
      <w:pPr>
        <w:keepNext/>
        <w:keepLines/>
        <w:spacing w:after="0" w:line="240" w:lineRule="auto"/>
        <w:outlineLvl w:val="1"/>
        <w:rPr>
          <w:rFonts w:eastAsiaTheme="majorEastAsia" w:cstheme="minorHAnsi"/>
          <w:b/>
          <w:bCs/>
          <w:color w:val="000000" w:themeColor="text1"/>
          <w:sz w:val="24"/>
          <w:szCs w:val="24"/>
          <w:lang w:eastAsia="en-GB"/>
        </w:rPr>
      </w:pPr>
      <w:bookmarkStart w:id="618" w:name="_Toc356921487"/>
      <w:bookmarkStart w:id="619" w:name="_Toc356921562"/>
      <w:bookmarkStart w:id="620" w:name="_Toc356921488"/>
      <w:bookmarkStart w:id="621" w:name="_Toc356921563"/>
      <w:bookmarkStart w:id="622" w:name="_Toc357089582"/>
      <w:bookmarkStart w:id="623" w:name="_Toc357095963"/>
      <w:bookmarkStart w:id="624" w:name="_Toc357500641"/>
      <w:bookmarkStart w:id="625" w:name="_Toc358043115"/>
      <w:bookmarkStart w:id="626" w:name="_Toc357089583"/>
      <w:bookmarkStart w:id="627" w:name="_Toc357095964"/>
      <w:bookmarkStart w:id="628" w:name="_Toc357500642"/>
      <w:bookmarkStart w:id="629" w:name="_Toc358043116"/>
      <w:bookmarkStart w:id="630" w:name="_Toc357089584"/>
      <w:bookmarkStart w:id="631" w:name="_Toc357095965"/>
      <w:bookmarkStart w:id="632" w:name="_Toc357500643"/>
      <w:bookmarkStart w:id="633" w:name="_Toc358043117"/>
      <w:bookmarkStart w:id="634" w:name="_Toc373135306"/>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673F8B">
        <w:rPr>
          <w:rFonts w:eastAsiaTheme="majorEastAsia" w:cstheme="minorHAnsi"/>
          <w:b/>
          <w:bCs/>
          <w:color w:val="000000" w:themeColor="text1"/>
          <w:sz w:val="24"/>
          <w:szCs w:val="24"/>
          <w:lang w:eastAsia="en-GB"/>
        </w:rPr>
        <w:t>The UK Broadband Impact Study</w:t>
      </w:r>
      <w:bookmarkEnd w:id="634"/>
    </w:p>
    <w:p w:rsidR="00673F8B" w:rsidRPr="00673F8B" w:rsidRDefault="00673F8B" w:rsidP="00673F8B">
      <w:pPr>
        <w:spacing w:after="0" w:line="240" w:lineRule="auto"/>
        <w:rPr>
          <w:rFonts w:eastAsia="Times New Roman" w:cstheme="minorHAnsi"/>
          <w:color w:val="000000" w:themeColor="text1"/>
          <w:sz w:val="24"/>
          <w:szCs w:val="24"/>
          <w:u w:val="single"/>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 xml:space="preserve">In November 2012, the Department for Culture, Media and Sport commissioned the UK Broadband Impact Study to provide a comprehensive assessment of the outcomes of the government’s investments in the UK’s Broadband network. </w:t>
      </w:r>
    </w:p>
    <w:p w:rsidR="00673F8B" w:rsidRPr="00673F8B" w:rsidRDefault="00673F8B" w:rsidP="00673F8B">
      <w:pPr>
        <w:spacing w:after="0" w:line="240" w:lineRule="auto"/>
        <w:ind w:left="720"/>
        <w:contextualSpacing/>
        <w:rPr>
          <w:rFonts w:eastAsia="Times New Roman" w:cstheme="minorHAnsi"/>
          <w:color w:val="000000" w:themeColor="text1"/>
          <w:sz w:val="24"/>
          <w:szCs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The UK Broadband Impact Study – literature review</w:t>
      </w:r>
      <w:r w:rsidRPr="00673F8B">
        <w:rPr>
          <w:rFonts w:eastAsia="Times New Roman" w:cstheme="minorHAnsi"/>
          <w:color w:val="000000" w:themeColor="text1"/>
          <w:sz w:val="24"/>
          <w:szCs w:val="24"/>
          <w:vertAlign w:val="superscript"/>
          <w:lang w:eastAsia="en-GB"/>
        </w:rPr>
        <w:footnoteReference w:id="11"/>
      </w:r>
      <w:r w:rsidRPr="00673F8B">
        <w:rPr>
          <w:rFonts w:eastAsia="Times New Roman" w:cstheme="minorHAnsi"/>
          <w:color w:val="000000" w:themeColor="text1"/>
          <w:sz w:val="24"/>
          <w:szCs w:val="24"/>
          <w:lang w:eastAsia="en-GB"/>
        </w:rPr>
        <w:t>, published in February 2013 extracted and summarised the most reliable and relevant findings of the impacts of broadband, using just over 100 previously published papers and reports.</w:t>
      </w:r>
    </w:p>
    <w:p w:rsidR="00673F8B" w:rsidRPr="00673F8B" w:rsidRDefault="00673F8B" w:rsidP="00673F8B">
      <w:pPr>
        <w:spacing w:after="0" w:line="240" w:lineRule="auto"/>
        <w:ind w:left="720"/>
        <w:contextualSpacing/>
        <w:rPr>
          <w:rFonts w:eastAsia="Times New Roman" w:cstheme="minorHAnsi"/>
          <w:color w:val="000000" w:themeColor="text1"/>
          <w:sz w:val="24"/>
          <w:szCs w:val="24"/>
          <w:lang w:eastAsia="en-GB"/>
        </w:rPr>
      </w:pPr>
    </w:p>
    <w:p w:rsidR="00673F8B" w:rsidRPr="00673F8B"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The UK Broadband Impact Study – Impact Report</w:t>
      </w:r>
      <w:r w:rsidRPr="00673F8B">
        <w:rPr>
          <w:rFonts w:eastAsia="Times New Roman" w:cstheme="minorHAnsi"/>
          <w:color w:val="000000" w:themeColor="text1"/>
          <w:sz w:val="24"/>
          <w:szCs w:val="24"/>
          <w:vertAlign w:val="superscript"/>
          <w:lang w:eastAsia="en-GB"/>
        </w:rPr>
        <w:footnoteReference w:id="12"/>
      </w:r>
      <w:r w:rsidRPr="00673F8B">
        <w:rPr>
          <w:rFonts w:eastAsia="Times New Roman" w:cstheme="minorHAnsi"/>
          <w:color w:val="000000" w:themeColor="text1"/>
          <w:sz w:val="24"/>
          <w:szCs w:val="24"/>
          <w:lang w:eastAsia="en-GB"/>
        </w:rPr>
        <w:t xml:space="preserve"> published in November 2013 translates the findings from the literature review and further analysis into quantified estimates of the potential impact of the Government’s broadband projects.</w:t>
      </w:r>
    </w:p>
    <w:p w:rsidR="00673F8B" w:rsidRPr="00673F8B" w:rsidRDefault="00673F8B" w:rsidP="00673F8B">
      <w:pPr>
        <w:spacing w:after="0" w:line="240" w:lineRule="auto"/>
        <w:ind w:left="720"/>
        <w:contextualSpacing/>
        <w:rPr>
          <w:rFonts w:eastAsia="Times New Roman" w:cstheme="minorHAnsi"/>
          <w:color w:val="000000" w:themeColor="text1"/>
          <w:sz w:val="24"/>
          <w:szCs w:val="24"/>
          <w:lang w:eastAsia="en-GB"/>
        </w:rPr>
      </w:pPr>
    </w:p>
    <w:p w:rsidR="00673F8B" w:rsidRPr="003A30C9" w:rsidRDefault="00673F8B" w:rsidP="000A17E9">
      <w:pPr>
        <w:numPr>
          <w:ilvl w:val="0"/>
          <w:numId w:val="33"/>
        </w:numPr>
        <w:spacing w:after="0" w:line="240" w:lineRule="auto"/>
        <w:contextualSpacing/>
        <w:rPr>
          <w:rFonts w:eastAsia="Times New Roman" w:cstheme="minorHAnsi"/>
          <w:color w:val="000000" w:themeColor="text1"/>
          <w:sz w:val="24"/>
          <w:szCs w:val="24"/>
          <w:lang w:eastAsia="en-GB"/>
        </w:rPr>
      </w:pPr>
      <w:r w:rsidRPr="00673F8B">
        <w:rPr>
          <w:rFonts w:eastAsia="Times New Roman" w:cstheme="minorHAnsi"/>
          <w:color w:val="000000" w:themeColor="text1"/>
          <w:sz w:val="24"/>
          <w:szCs w:val="24"/>
          <w:lang w:eastAsia="en-GB"/>
        </w:rPr>
        <w:t>The analysis is the most in-depth and rigorous forward-looking quantification of broadband impacts developed to date in the UK and concludes that the Government’s broadband projects (including the Connection Voucher Scheme) will deliver a significant boost to the UK economy (both short-term and long-term) and represents excellent value for money</w:t>
      </w:r>
      <w:r w:rsidRPr="004F13D0">
        <w:rPr>
          <w:rFonts w:eastAsia="Times New Roman" w:cstheme="minorHAnsi"/>
          <w:color w:val="000000" w:themeColor="text1"/>
          <w:sz w:val="24"/>
          <w:szCs w:val="24"/>
          <w:lang w:eastAsia="en-GB"/>
        </w:rPr>
        <w:t xml:space="preserve">. </w:t>
      </w:r>
      <w:r w:rsidR="004F13D0" w:rsidRPr="004F13D0">
        <w:rPr>
          <w:rFonts w:eastAsia="Times New Roman" w:cstheme="minorHAnsi"/>
          <w:color w:val="000000" w:themeColor="text1"/>
          <w:sz w:val="24"/>
          <w:szCs w:val="24"/>
          <w:lang w:eastAsia="en-GB"/>
        </w:rPr>
        <w:t xml:space="preserve"> M</w:t>
      </w:r>
      <w:r w:rsidR="00DB18BB">
        <w:rPr>
          <w:sz w:val="24"/>
          <w:szCs w:val="24"/>
        </w:rPr>
        <w:t>odelling the period to 2024</w:t>
      </w:r>
      <w:r w:rsidR="004F13D0" w:rsidRPr="004F13D0">
        <w:rPr>
          <w:sz w:val="24"/>
          <w:szCs w:val="24"/>
        </w:rPr>
        <w:t xml:space="preserve"> these interventions are projected to return approximately </w:t>
      </w:r>
      <w:r w:rsidR="004F13D0" w:rsidRPr="003A30C9">
        <w:rPr>
          <w:bCs/>
          <w:sz w:val="24"/>
          <w:szCs w:val="24"/>
        </w:rPr>
        <w:t>£20 in net economic impact for every £1 of public investment</w:t>
      </w:r>
      <w:r w:rsidR="004F13D0" w:rsidRPr="003A30C9">
        <w:rPr>
          <w:sz w:val="24"/>
          <w:szCs w:val="24"/>
        </w:rPr>
        <w:t>.</w:t>
      </w:r>
    </w:p>
    <w:p w:rsidR="00673F8B" w:rsidRPr="00673F8B" w:rsidRDefault="00673F8B" w:rsidP="004F13D0">
      <w:pPr>
        <w:spacing w:after="0" w:line="240" w:lineRule="auto"/>
        <w:contextualSpacing/>
        <w:rPr>
          <w:rFonts w:eastAsia="Times New Roman" w:cstheme="minorHAnsi"/>
          <w:color w:val="000000" w:themeColor="text1"/>
          <w:sz w:val="24"/>
          <w:szCs w:val="24"/>
          <w:lang w:eastAsia="en-GB"/>
        </w:rPr>
      </w:pPr>
    </w:p>
    <w:p w:rsidR="00673F8B" w:rsidRPr="00673F8B" w:rsidRDefault="00673F8B" w:rsidP="00673F8B">
      <w:pPr>
        <w:spacing w:after="0" w:line="240" w:lineRule="auto"/>
        <w:rPr>
          <w:rFonts w:ascii="Arial" w:eastAsia="Times New Roman" w:hAnsi="Arial" w:cs="Arial"/>
          <w:sz w:val="24"/>
          <w:lang w:eastAsia="en-GB"/>
        </w:rPr>
      </w:pPr>
    </w:p>
    <w:p w:rsidR="00673F8B" w:rsidRPr="00673F8B" w:rsidRDefault="00673F8B" w:rsidP="00673F8B">
      <w:pPr>
        <w:keepNext/>
        <w:keepLines/>
        <w:pageBreakBefore/>
        <w:tabs>
          <w:tab w:val="left" w:pos="567"/>
        </w:tabs>
        <w:spacing w:after="0" w:line="240" w:lineRule="auto"/>
        <w:outlineLvl w:val="0"/>
        <w:rPr>
          <w:rFonts w:ascii="Calibri" w:eastAsia="Times New Roman" w:hAnsi="Calibri" w:cs="Times New Roman"/>
          <w:b/>
          <w:bCs/>
          <w:color w:val="000000" w:themeColor="text1"/>
          <w:sz w:val="28"/>
          <w:szCs w:val="28"/>
          <w:lang w:eastAsia="en-GB"/>
        </w:rPr>
      </w:pPr>
      <w:bookmarkStart w:id="635" w:name="_Toc372880234"/>
      <w:r>
        <w:rPr>
          <w:rFonts w:ascii="Calibri" w:eastAsia="Times New Roman" w:hAnsi="Calibri" w:cs="Times New Roman"/>
          <w:b/>
          <w:bCs/>
          <w:color w:val="000000" w:themeColor="text1"/>
          <w:sz w:val="28"/>
          <w:szCs w:val="28"/>
          <w:lang w:eastAsia="en-GB"/>
        </w:rPr>
        <w:lastRenderedPageBreak/>
        <w:t>Sch</w:t>
      </w:r>
      <w:r w:rsidRPr="00673F8B">
        <w:rPr>
          <w:rFonts w:ascii="Calibri" w:eastAsia="Times New Roman" w:hAnsi="Calibri" w:cs="Times New Roman"/>
          <w:b/>
          <w:bCs/>
          <w:color w:val="000000" w:themeColor="text1"/>
          <w:sz w:val="28"/>
          <w:szCs w:val="28"/>
          <w:lang w:eastAsia="en-GB"/>
        </w:rPr>
        <w:t>eme Design Changes resulting from the Consultation and Market Test</w:t>
      </w:r>
      <w:bookmarkEnd w:id="635"/>
      <w:r w:rsidRPr="00673F8B">
        <w:rPr>
          <w:rFonts w:ascii="Calibri" w:eastAsia="Times New Roman" w:hAnsi="Calibri" w:cs="Times New Roman"/>
          <w:b/>
          <w:bCs/>
          <w:color w:val="000000" w:themeColor="text1"/>
          <w:sz w:val="28"/>
          <w:szCs w:val="28"/>
          <w:lang w:eastAsia="en-GB"/>
        </w:rPr>
        <w:t xml:space="preserve"> </w:t>
      </w:r>
    </w:p>
    <w:p w:rsidR="00673F8B" w:rsidRPr="00673F8B" w:rsidRDefault="00673F8B" w:rsidP="00673F8B">
      <w:pPr>
        <w:spacing w:after="0" w:line="240" w:lineRule="auto"/>
        <w:ind w:left="851" w:hanging="851"/>
        <w:contextualSpacing/>
        <w:rPr>
          <w:rFonts w:eastAsia="Times New Roman" w:cstheme="minorHAnsi"/>
          <w:sz w:val="28"/>
          <w:szCs w:val="28"/>
          <w:lang w:val="en-US"/>
        </w:rPr>
      </w:pPr>
    </w:p>
    <w:p w:rsidR="00673F8B" w:rsidRPr="00673F8B" w:rsidRDefault="00673F8B" w:rsidP="000A17E9">
      <w:pPr>
        <w:numPr>
          <w:ilvl w:val="0"/>
          <w:numId w:val="33"/>
        </w:numPr>
        <w:spacing w:after="0" w:line="240" w:lineRule="auto"/>
        <w:contextualSpacing/>
        <w:rPr>
          <w:rFonts w:eastAsia="Times New Roman" w:cstheme="minorHAnsi"/>
          <w:sz w:val="24"/>
          <w:szCs w:val="24"/>
          <w:lang w:val="en-US"/>
        </w:rPr>
      </w:pPr>
      <w:r w:rsidRPr="00673F8B">
        <w:rPr>
          <w:rFonts w:eastAsia="Times New Roman" w:cstheme="minorHAnsi"/>
          <w:sz w:val="24"/>
          <w:szCs w:val="24"/>
          <w:lang w:val="en-US"/>
        </w:rPr>
        <w:t>The following table describes the changes that have been made to the scheme in advance of full rollout and in light of the stakeholder feedback during the consultation, following the market test, and during the evaluation period.</w:t>
      </w:r>
    </w:p>
    <w:p w:rsidR="00673F8B" w:rsidRPr="00673F8B" w:rsidRDefault="00673F8B" w:rsidP="00673F8B">
      <w:pPr>
        <w:spacing w:after="0" w:line="240" w:lineRule="auto"/>
        <w:ind w:left="1080"/>
        <w:contextualSpacing/>
        <w:rPr>
          <w:rFonts w:eastAsia="Times New Roman" w:cstheme="minorHAnsi"/>
          <w:sz w:val="24"/>
          <w:lang w:val="en-US"/>
        </w:rPr>
      </w:pPr>
    </w:p>
    <w:tbl>
      <w:tblPr>
        <w:tblStyle w:val="TableGrid1"/>
        <w:tblW w:w="0" w:type="auto"/>
        <w:tblLook w:val="04A0" w:firstRow="1" w:lastRow="0" w:firstColumn="1" w:lastColumn="0" w:noHBand="0" w:noVBand="1"/>
      </w:tblPr>
      <w:tblGrid>
        <w:gridCol w:w="1767"/>
        <w:gridCol w:w="3026"/>
        <w:gridCol w:w="4449"/>
      </w:tblGrid>
      <w:tr w:rsidR="00673F8B" w:rsidRPr="00673F8B" w:rsidTr="00E14BC3">
        <w:tc>
          <w:tcPr>
            <w:tcW w:w="1767" w:type="dxa"/>
            <w:shd w:val="clear" w:color="auto" w:fill="DDD9C3" w:themeFill="background2" w:themeFillShade="E6"/>
          </w:tcPr>
          <w:p w:rsidR="00673F8B" w:rsidRPr="00673F8B" w:rsidRDefault="00673F8B" w:rsidP="00673F8B">
            <w:pPr>
              <w:rPr>
                <w:b/>
                <w:sz w:val="24"/>
                <w:lang w:val="en-US" w:eastAsia="en-US"/>
              </w:rPr>
            </w:pPr>
            <w:r w:rsidRPr="00673F8B">
              <w:rPr>
                <w:b/>
                <w:sz w:val="24"/>
                <w:lang w:val="en-US" w:eastAsia="en-US"/>
              </w:rPr>
              <w:t>Change Area</w:t>
            </w:r>
          </w:p>
        </w:tc>
        <w:tc>
          <w:tcPr>
            <w:tcW w:w="3026" w:type="dxa"/>
            <w:shd w:val="clear" w:color="auto" w:fill="DDD9C3" w:themeFill="background2" w:themeFillShade="E6"/>
          </w:tcPr>
          <w:p w:rsidR="00673F8B" w:rsidRPr="00673F8B" w:rsidRDefault="00673F8B" w:rsidP="00673F8B">
            <w:pPr>
              <w:rPr>
                <w:b/>
                <w:sz w:val="24"/>
                <w:lang w:val="en-US" w:eastAsia="en-US"/>
              </w:rPr>
            </w:pPr>
            <w:r w:rsidRPr="00673F8B">
              <w:rPr>
                <w:b/>
                <w:sz w:val="24"/>
                <w:lang w:val="en-US" w:eastAsia="en-US"/>
              </w:rPr>
              <w:t>Stakeholder feedback</w:t>
            </w:r>
          </w:p>
        </w:tc>
        <w:tc>
          <w:tcPr>
            <w:tcW w:w="4450" w:type="dxa"/>
            <w:shd w:val="clear" w:color="auto" w:fill="DDD9C3" w:themeFill="background2" w:themeFillShade="E6"/>
          </w:tcPr>
          <w:p w:rsidR="00673F8B" w:rsidRPr="00673F8B" w:rsidRDefault="00673F8B" w:rsidP="00673F8B">
            <w:pPr>
              <w:rPr>
                <w:b/>
                <w:sz w:val="24"/>
                <w:lang w:val="en-US" w:eastAsia="en-US"/>
              </w:rPr>
            </w:pPr>
            <w:r w:rsidRPr="00673F8B">
              <w:rPr>
                <w:b/>
                <w:sz w:val="24"/>
                <w:lang w:val="en-US" w:eastAsia="en-US"/>
              </w:rPr>
              <w:t>Changes in advance of  full rollout</w:t>
            </w:r>
          </w:p>
          <w:p w:rsidR="00673F8B" w:rsidRPr="00673F8B" w:rsidRDefault="00673F8B" w:rsidP="00673F8B">
            <w:pPr>
              <w:rPr>
                <w:b/>
                <w:sz w:val="24"/>
                <w:lang w:val="en-US" w:eastAsia="en-US"/>
              </w:rPr>
            </w:pPr>
          </w:p>
        </w:tc>
      </w:tr>
      <w:tr w:rsidR="00673F8B" w:rsidRPr="00673F8B" w:rsidTr="00E14BC3">
        <w:tc>
          <w:tcPr>
            <w:tcW w:w="1767"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Administrative Process</w:t>
            </w:r>
          </w:p>
        </w:tc>
        <w:tc>
          <w:tcPr>
            <w:tcW w:w="3026"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A lot of cities and some suppliers wanted to reduce the administrative burden on cities and SMEs.</w:t>
            </w:r>
          </w:p>
        </w:tc>
        <w:tc>
          <w:tcPr>
            <w:tcW w:w="4450"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Simplification of administrative process to permit SMEs to acquire two quotes from registered suppliers (and to have identified a preferred quote) before commencing the application process</w:t>
            </w:r>
          </w:p>
          <w:p w:rsidR="00673F8B" w:rsidRPr="00673F8B" w:rsidRDefault="00673F8B" w:rsidP="00673F8B">
            <w:pPr>
              <w:rPr>
                <w:rFonts w:asciiTheme="minorHAnsi" w:hAnsiTheme="minorHAnsi" w:cstheme="minorHAnsi"/>
                <w:sz w:val="24"/>
                <w:lang w:val="en-US" w:eastAsia="en-US"/>
              </w:rPr>
            </w:pPr>
          </w:p>
        </w:tc>
      </w:tr>
      <w:tr w:rsidR="00673F8B" w:rsidRPr="00673F8B" w:rsidTr="00E14BC3">
        <w:tc>
          <w:tcPr>
            <w:tcW w:w="1767"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Indicative Quotes</w:t>
            </w:r>
          </w:p>
        </w:tc>
        <w:tc>
          <w:tcPr>
            <w:tcW w:w="3026"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Some feedback from suppliers that for some products it is not possible to give a firm quote until a survey has been carried out.</w:t>
            </w:r>
          </w:p>
        </w:tc>
        <w:tc>
          <w:tcPr>
            <w:tcW w:w="4450"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Refinement of administrative process to allow voucher offers to be made against indicative quotes (rather than a firm and final quotes).</w:t>
            </w:r>
          </w:p>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 xml:space="preserve"> </w:t>
            </w:r>
          </w:p>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This change also includes a change to scheme terms and conditions for Registered Suppliers to confirm that no cancellation charges can be levied should the SME choose not to proceed with a firm quote on the basis of pricing increase from indicative quote.</w:t>
            </w:r>
          </w:p>
          <w:p w:rsidR="00673F8B" w:rsidRPr="00673F8B" w:rsidRDefault="00673F8B" w:rsidP="00673F8B">
            <w:pPr>
              <w:rPr>
                <w:rFonts w:asciiTheme="minorHAnsi" w:hAnsiTheme="minorHAnsi" w:cstheme="minorHAnsi"/>
                <w:sz w:val="24"/>
                <w:lang w:val="en-US" w:eastAsia="en-US"/>
              </w:rPr>
            </w:pPr>
          </w:p>
        </w:tc>
      </w:tr>
      <w:tr w:rsidR="00673F8B" w:rsidRPr="00673F8B" w:rsidTr="00E14BC3">
        <w:tc>
          <w:tcPr>
            <w:tcW w:w="1767"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Step Change Definition</w:t>
            </w:r>
          </w:p>
        </w:tc>
        <w:tc>
          <w:tcPr>
            <w:tcW w:w="3026"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Some cities and suppliers have noted that some SMEs fed back that they value the quality of service elements of business grade services and that a service under 30 Mbit/s can represent a significant upgrade in capability.</w:t>
            </w:r>
          </w:p>
        </w:tc>
        <w:tc>
          <w:tcPr>
            <w:tcW w:w="4450"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A clarification of qualifying speed parameters for business grade connections to the following:</w:t>
            </w:r>
          </w:p>
          <w:p w:rsidR="00673F8B" w:rsidRPr="00673F8B" w:rsidRDefault="00673F8B" w:rsidP="00673F8B">
            <w:pPr>
              <w:rPr>
                <w:rFonts w:asciiTheme="minorHAnsi" w:hAnsiTheme="minorHAnsi" w:cstheme="minorHAnsi"/>
                <w:sz w:val="24"/>
                <w:lang w:val="en-US" w:eastAsia="en-US"/>
              </w:rPr>
            </w:pPr>
          </w:p>
          <w:p w:rsidR="00673F8B" w:rsidRPr="00673F8B" w:rsidRDefault="00673F8B" w:rsidP="00673F8B">
            <w:pPr>
              <w:rPr>
                <w:rFonts w:asciiTheme="minorHAnsi" w:hAnsiTheme="minorHAnsi" w:cstheme="minorHAnsi"/>
                <w:color w:val="000000"/>
                <w:sz w:val="24"/>
              </w:rPr>
            </w:pPr>
            <w:r w:rsidRPr="00673F8B">
              <w:rPr>
                <w:rFonts w:asciiTheme="minorHAnsi" w:hAnsiTheme="minorHAnsi" w:cstheme="minorHAnsi"/>
                <w:color w:val="000000"/>
                <w:sz w:val="24"/>
              </w:rPr>
              <w:t>B</w:t>
            </w:r>
            <w:r w:rsidRPr="00673F8B">
              <w:rPr>
                <w:rFonts w:asciiTheme="minorHAnsi" w:hAnsiTheme="minorHAnsi" w:cstheme="minorHAnsi"/>
                <w:bCs/>
                <w:iCs/>
                <w:color w:val="000000"/>
                <w:sz w:val="24"/>
              </w:rPr>
              <w:t>usiness grade connections</w:t>
            </w:r>
            <w:r w:rsidRPr="00673F8B">
              <w:rPr>
                <w:rFonts w:asciiTheme="minorHAnsi" w:hAnsiTheme="minorHAnsi" w:cstheme="minorHAnsi"/>
                <w:b/>
                <w:bCs/>
                <w:iCs/>
                <w:color w:val="000000"/>
                <w:sz w:val="24"/>
              </w:rPr>
              <w:t xml:space="preserve"> </w:t>
            </w:r>
            <w:r w:rsidRPr="00673F8B">
              <w:rPr>
                <w:rFonts w:asciiTheme="minorHAnsi" w:hAnsiTheme="minorHAnsi" w:cstheme="minorHAnsi"/>
                <w:color w:val="000000"/>
                <w:sz w:val="24"/>
              </w:rPr>
              <w:t xml:space="preserve">these must exhibit </w:t>
            </w:r>
            <w:r w:rsidRPr="00673F8B">
              <w:rPr>
                <w:rFonts w:asciiTheme="minorHAnsi" w:hAnsiTheme="minorHAnsi" w:cstheme="minorHAnsi"/>
                <w:color w:val="000000"/>
                <w:sz w:val="24"/>
                <w:u w:val="single"/>
              </w:rPr>
              <w:t>both</w:t>
            </w:r>
            <w:r w:rsidRPr="00673F8B">
              <w:rPr>
                <w:rFonts w:asciiTheme="minorHAnsi" w:hAnsiTheme="minorHAnsi" w:cstheme="minorHAnsi"/>
                <w:color w:val="000000"/>
                <w:sz w:val="24"/>
              </w:rPr>
              <w:t xml:space="preserve"> of the following characteristics:  </w:t>
            </w:r>
          </w:p>
          <w:p w:rsidR="00673F8B" w:rsidRPr="00673F8B" w:rsidRDefault="00673F8B" w:rsidP="00673F8B">
            <w:pPr>
              <w:rPr>
                <w:rFonts w:asciiTheme="minorHAnsi" w:hAnsiTheme="minorHAnsi" w:cstheme="minorHAnsi"/>
                <w:sz w:val="24"/>
              </w:rPr>
            </w:pPr>
          </w:p>
          <w:p w:rsidR="00673F8B" w:rsidRPr="00673F8B" w:rsidRDefault="00673F8B" w:rsidP="00673F8B">
            <w:pPr>
              <w:rPr>
                <w:rFonts w:asciiTheme="minorHAnsi" w:hAnsiTheme="minorHAnsi" w:cstheme="minorHAnsi"/>
                <w:sz w:val="24"/>
              </w:rPr>
            </w:pPr>
            <w:r w:rsidRPr="00673F8B">
              <w:rPr>
                <w:rFonts w:asciiTheme="minorHAnsi" w:hAnsiTheme="minorHAnsi" w:cstheme="minorHAnsi"/>
                <w:color w:val="000000"/>
                <w:sz w:val="24"/>
              </w:rPr>
              <w:t xml:space="preserve">i) offer a minimum of 20 Mbit/s services and are capable of being configured/upgraded to support at least 30 Mbit/s services; and </w:t>
            </w:r>
          </w:p>
          <w:p w:rsidR="00673F8B" w:rsidRPr="00673F8B" w:rsidRDefault="00673F8B" w:rsidP="00673F8B">
            <w:pPr>
              <w:rPr>
                <w:rFonts w:asciiTheme="minorHAnsi" w:hAnsiTheme="minorHAnsi" w:cstheme="minorHAnsi"/>
                <w:sz w:val="24"/>
              </w:rPr>
            </w:pPr>
            <w:r w:rsidRPr="00673F8B">
              <w:rPr>
                <w:rFonts w:asciiTheme="minorHAnsi" w:hAnsiTheme="minorHAnsi" w:cstheme="minorHAnsi"/>
                <w:color w:val="000000"/>
                <w:sz w:val="24"/>
              </w:rPr>
              <w:t>ii) if the SME already has a business grade connection, deliver at least a doubling of speeds when compared to the current connection being consumed.</w:t>
            </w:r>
          </w:p>
          <w:p w:rsidR="00673F8B" w:rsidRPr="00673F8B" w:rsidRDefault="00673F8B" w:rsidP="00673F8B">
            <w:pPr>
              <w:rPr>
                <w:rFonts w:asciiTheme="minorHAnsi" w:hAnsiTheme="minorHAnsi" w:cstheme="minorHAnsi"/>
                <w:sz w:val="24"/>
              </w:rPr>
            </w:pPr>
          </w:p>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color w:val="000000"/>
                <w:sz w:val="24"/>
              </w:rPr>
              <w:t xml:space="preserve">Business grade connections are those that are provided on a dedicated/uncontended basis to customers and are supported with </w:t>
            </w:r>
            <w:r w:rsidRPr="00673F8B">
              <w:rPr>
                <w:rFonts w:asciiTheme="minorHAnsi" w:hAnsiTheme="minorHAnsi" w:cstheme="minorHAnsi"/>
                <w:color w:val="000000"/>
                <w:sz w:val="24"/>
              </w:rPr>
              <w:lastRenderedPageBreak/>
              <w:t>service level guarantees. BDUK recognises that these services can be provided in the form of leased lines (including Ethernet services) or point-to-point microwave links but is not intending to specify particular types of service.</w:t>
            </w:r>
            <w:r w:rsidRPr="00673F8B">
              <w:rPr>
                <w:rFonts w:asciiTheme="minorHAnsi" w:hAnsiTheme="minorHAnsi" w:cstheme="minorHAnsi"/>
                <w:sz w:val="24"/>
                <w:lang w:val="en-US" w:eastAsia="en-US"/>
              </w:rPr>
              <w:t xml:space="preserve"> </w:t>
            </w:r>
          </w:p>
          <w:p w:rsidR="00673F8B" w:rsidRPr="00673F8B" w:rsidRDefault="00673F8B" w:rsidP="00673F8B">
            <w:pPr>
              <w:rPr>
                <w:rFonts w:asciiTheme="minorHAnsi" w:hAnsiTheme="minorHAnsi" w:cstheme="minorHAnsi"/>
                <w:sz w:val="24"/>
                <w:lang w:val="en-US" w:eastAsia="en-US"/>
              </w:rPr>
            </w:pPr>
          </w:p>
          <w:p w:rsidR="00673F8B" w:rsidRPr="00673F8B" w:rsidRDefault="00673F8B" w:rsidP="00673F8B">
            <w:pPr>
              <w:spacing w:after="200" w:line="276" w:lineRule="auto"/>
              <w:rPr>
                <w:rFonts w:asciiTheme="minorHAnsi" w:hAnsiTheme="minorHAnsi" w:cstheme="minorHAnsi"/>
                <w:sz w:val="24"/>
                <w:lang w:val="en-US" w:eastAsia="en-US"/>
              </w:rPr>
            </w:pPr>
            <w:r w:rsidRPr="00673F8B">
              <w:rPr>
                <w:rFonts w:asciiTheme="minorHAnsi" w:hAnsiTheme="minorHAnsi" w:cstheme="minorHAnsi"/>
                <w:sz w:val="24"/>
                <w:szCs w:val="24"/>
              </w:rPr>
              <w:t>For new NGA Connections, these must offer a minimum of 30Mbit/s to the SME. If the existing NGA-based broadband service is 30Mbit/s or greater, then the upgraded NGA-based broadband service must deliver at least a doubling of speeds compared to the service currently being consumed.</w:t>
            </w:r>
          </w:p>
        </w:tc>
      </w:tr>
      <w:tr w:rsidR="00673F8B" w:rsidRPr="00673F8B" w:rsidTr="00E14BC3">
        <w:tc>
          <w:tcPr>
            <w:tcW w:w="1767"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lastRenderedPageBreak/>
              <w:t>Eligible Costs</w:t>
            </w:r>
          </w:p>
        </w:tc>
        <w:tc>
          <w:tcPr>
            <w:tcW w:w="3026"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Some supplier feedback requesting clarity on what expenditure is covered for multi-tenancy premises.</w:t>
            </w:r>
          </w:p>
        </w:tc>
        <w:tc>
          <w:tcPr>
            <w:tcW w:w="4450"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Refinement of Eligible Costs definition to permit inclusion of in-building wiring for multi-SME premises.</w:t>
            </w:r>
          </w:p>
        </w:tc>
      </w:tr>
      <w:tr w:rsidR="00673F8B" w:rsidRPr="00673F8B" w:rsidTr="00E14BC3">
        <w:tc>
          <w:tcPr>
            <w:tcW w:w="1767"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Funding Timescale</w:t>
            </w:r>
          </w:p>
        </w:tc>
        <w:tc>
          <w:tcPr>
            <w:tcW w:w="3026" w:type="dxa"/>
          </w:tcPr>
          <w:p w:rsidR="00673F8B" w:rsidRPr="00673F8B" w:rsidRDefault="00673F8B" w:rsidP="00673F8B">
            <w:pPr>
              <w:rPr>
                <w:rFonts w:asciiTheme="minorHAnsi" w:hAnsiTheme="minorHAnsi" w:cstheme="minorHAnsi"/>
                <w:sz w:val="24"/>
                <w:lang w:eastAsia="en-US"/>
              </w:rPr>
            </w:pPr>
            <w:r w:rsidRPr="00673F8B">
              <w:rPr>
                <w:rFonts w:asciiTheme="minorHAnsi" w:hAnsiTheme="minorHAnsi" w:cstheme="minorHAnsi"/>
                <w:sz w:val="24"/>
                <w:lang w:eastAsia="en-US"/>
              </w:rPr>
              <w:t>None</w:t>
            </w:r>
          </w:p>
        </w:tc>
        <w:tc>
          <w:tcPr>
            <w:tcW w:w="4450"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eastAsia="en-US"/>
              </w:rPr>
              <w:t>Confirmation that expenditure must be committed prior to 31</w:t>
            </w:r>
            <w:r w:rsidRPr="00673F8B">
              <w:rPr>
                <w:rFonts w:asciiTheme="minorHAnsi" w:hAnsiTheme="minorHAnsi" w:cstheme="minorHAnsi"/>
                <w:sz w:val="24"/>
                <w:vertAlign w:val="superscript"/>
                <w:lang w:eastAsia="en-US"/>
              </w:rPr>
              <w:t>st</w:t>
            </w:r>
            <w:r w:rsidRPr="00673F8B">
              <w:rPr>
                <w:rFonts w:asciiTheme="minorHAnsi" w:hAnsiTheme="minorHAnsi" w:cstheme="minorHAnsi"/>
                <w:sz w:val="24"/>
                <w:lang w:eastAsia="en-US"/>
              </w:rPr>
              <w:t xml:space="preserve"> March 2015. </w:t>
            </w:r>
          </w:p>
        </w:tc>
      </w:tr>
      <w:tr w:rsidR="00673F8B" w:rsidRPr="00673F8B" w:rsidTr="00E14BC3">
        <w:tc>
          <w:tcPr>
            <w:tcW w:w="1767"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Fraud &amp; Malpractice</w:t>
            </w:r>
          </w:p>
        </w:tc>
        <w:tc>
          <w:tcPr>
            <w:tcW w:w="3026"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None</w:t>
            </w:r>
          </w:p>
        </w:tc>
        <w:tc>
          <w:tcPr>
            <w:tcW w:w="4450"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Enhanced anti-fraud and audit regime including formal Issue Escalation Procedure, as described within the Supplier Registration Document.</w:t>
            </w:r>
          </w:p>
        </w:tc>
      </w:tr>
      <w:tr w:rsidR="00673F8B" w:rsidRPr="00673F8B" w:rsidTr="00E14BC3">
        <w:tc>
          <w:tcPr>
            <w:tcW w:w="1767"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Supplier Registration</w:t>
            </w:r>
          </w:p>
        </w:tc>
        <w:tc>
          <w:tcPr>
            <w:tcW w:w="3026"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Positive feedback on the ease and speed of the supplier registration process.</w:t>
            </w:r>
          </w:p>
        </w:tc>
        <w:tc>
          <w:tcPr>
            <w:tcW w:w="4450"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Further simplified supplier registration to include on-line registration. This includes a standard taxonomy of supplier services to allow SMEs to locate relevant suppliers more easily.</w:t>
            </w:r>
          </w:p>
        </w:tc>
      </w:tr>
      <w:tr w:rsidR="00673F8B" w:rsidRPr="00673F8B" w:rsidTr="00E14BC3">
        <w:tc>
          <w:tcPr>
            <w:tcW w:w="1767"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Inclusion of Residential</w:t>
            </w:r>
          </w:p>
        </w:tc>
        <w:tc>
          <w:tcPr>
            <w:tcW w:w="3026"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Clarity requested on whether to include residential in the scheme.</w:t>
            </w:r>
          </w:p>
        </w:tc>
        <w:tc>
          <w:tcPr>
            <w:tcW w:w="4450"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No change i.e. SMEs will be the primary focus of the voucher scheme. Some cities may also consider including residents as a secondary focus where there is a demonstrable market failure in meeting the needs of businesses.</w:t>
            </w:r>
          </w:p>
        </w:tc>
      </w:tr>
      <w:tr w:rsidR="00673F8B" w:rsidRPr="00673F8B" w:rsidTr="00E14BC3">
        <w:tc>
          <w:tcPr>
            <w:tcW w:w="1767"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On-going charges</w:t>
            </w:r>
          </w:p>
        </w:tc>
        <w:tc>
          <w:tcPr>
            <w:tcW w:w="3026"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A number of suppliers suggested there would be higher voucher take up if some on-going charges were covered.</w:t>
            </w:r>
          </w:p>
        </w:tc>
        <w:tc>
          <w:tcPr>
            <w:tcW w:w="4450"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No change, the scheme can only cover capital costs.</w:t>
            </w:r>
          </w:p>
        </w:tc>
      </w:tr>
      <w:tr w:rsidR="00673F8B" w:rsidRPr="00673F8B" w:rsidTr="00E14BC3">
        <w:tc>
          <w:tcPr>
            <w:tcW w:w="1767"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Principal of cooperation</w:t>
            </w:r>
          </w:p>
        </w:tc>
        <w:tc>
          <w:tcPr>
            <w:tcW w:w="3026"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Both cities and suppliers asked for clarity on aggregating vouchers.</w:t>
            </w:r>
          </w:p>
        </w:tc>
        <w:tc>
          <w:tcPr>
            <w:tcW w:w="4450" w:type="dxa"/>
          </w:tcPr>
          <w:p w:rsidR="00673F8B" w:rsidRPr="00673F8B" w:rsidRDefault="00673F8B" w:rsidP="00673F8B">
            <w:pPr>
              <w:rPr>
                <w:rFonts w:asciiTheme="minorHAnsi" w:hAnsiTheme="minorHAnsi" w:cstheme="minorHAnsi"/>
                <w:sz w:val="24"/>
                <w:lang w:val="en-US" w:eastAsia="en-US"/>
              </w:rPr>
            </w:pPr>
            <w:r w:rsidRPr="00673F8B">
              <w:rPr>
                <w:rFonts w:asciiTheme="minorHAnsi" w:hAnsiTheme="minorHAnsi" w:cstheme="minorHAnsi"/>
                <w:sz w:val="24"/>
                <w:lang w:val="en-US" w:eastAsia="en-US"/>
              </w:rPr>
              <w:t xml:space="preserve">No change to the principal or scheme design, but for full rollout there is a recognised administrative process for cases where agents (e.g. landlords) coordinate applications from multiple </w:t>
            </w:r>
            <w:r w:rsidRPr="00673F8B">
              <w:rPr>
                <w:rFonts w:asciiTheme="minorHAnsi" w:hAnsiTheme="minorHAnsi" w:cstheme="minorHAnsi"/>
                <w:sz w:val="24"/>
                <w:lang w:val="en-US" w:eastAsia="en-US"/>
              </w:rPr>
              <w:lastRenderedPageBreak/>
              <w:t>SMEs. Further guidance will be provided to Registered Suppliers.</w:t>
            </w:r>
          </w:p>
        </w:tc>
      </w:tr>
    </w:tbl>
    <w:p w:rsidR="00673F8B" w:rsidRPr="00673F8B" w:rsidRDefault="00673F8B" w:rsidP="00673F8B">
      <w:pPr>
        <w:spacing w:after="0" w:line="240" w:lineRule="auto"/>
        <w:rPr>
          <w:rFonts w:ascii="Arial" w:eastAsia="Times New Roman" w:hAnsi="Arial" w:cs="Arial"/>
          <w:sz w:val="24"/>
          <w:lang w:val="en-US"/>
        </w:rPr>
      </w:pPr>
    </w:p>
    <w:p w:rsidR="00673F8B" w:rsidRPr="00673F8B" w:rsidRDefault="00673F8B" w:rsidP="00673F8B">
      <w:pPr>
        <w:spacing w:after="0" w:line="240" w:lineRule="auto"/>
        <w:rPr>
          <w:rFonts w:ascii="Arial" w:eastAsia="Times New Roman" w:hAnsi="Arial" w:cs="Arial"/>
          <w:sz w:val="24"/>
          <w:lang w:eastAsia="en-GB"/>
        </w:rPr>
      </w:pPr>
    </w:p>
    <w:p w:rsidR="00673F8B" w:rsidRDefault="00673F8B" w:rsidP="00591AC1">
      <w:pPr>
        <w:spacing w:after="0" w:line="240" w:lineRule="auto"/>
        <w:rPr>
          <w:rFonts w:cstheme="minorHAnsi"/>
        </w:rPr>
      </w:pPr>
    </w:p>
    <w:p w:rsidR="00673F8B" w:rsidRDefault="00673F8B"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Default="00053BD5" w:rsidP="00591AC1">
      <w:pPr>
        <w:spacing w:after="0" w:line="240" w:lineRule="auto"/>
        <w:rPr>
          <w:rFonts w:cstheme="minorHAnsi"/>
        </w:rPr>
      </w:pPr>
    </w:p>
    <w:p w:rsidR="00053BD5" w:rsidRPr="00053BD5" w:rsidRDefault="00053BD5" w:rsidP="00591AC1">
      <w:pPr>
        <w:spacing w:after="0" w:line="240" w:lineRule="auto"/>
        <w:rPr>
          <w:rFonts w:cstheme="minorHAnsi"/>
          <w:b/>
        </w:rPr>
      </w:pPr>
    </w:p>
    <w:sectPr w:rsidR="00053BD5" w:rsidRPr="00053BD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DD" w:rsidRDefault="007105DD" w:rsidP="00F826FD">
      <w:pPr>
        <w:spacing w:after="0" w:line="240" w:lineRule="auto"/>
      </w:pPr>
      <w:r>
        <w:separator/>
      </w:r>
    </w:p>
  </w:endnote>
  <w:endnote w:type="continuationSeparator" w:id="0">
    <w:p w:rsidR="007105DD" w:rsidRDefault="007105DD" w:rsidP="00F8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45 Light">
    <w:charset w:val="00"/>
    <w:family w:val="auto"/>
    <w:pitch w:val="variable"/>
    <w:sig w:usb0="8000002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231896"/>
      <w:docPartObj>
        <w:docPartGallery w:val="Page Numbers (Bottom of Page)"/>
        <w:docPartUnique/>
      </w:docPartObj>
    </w:sdtPr>
    <w:sdtEndPr>
      <w:rPr>
        <w:noProof/>
      </w:rPr>
    </w:sdtEndPr>
    <w:sdtContent>
      <w:p w:rsidR="00267130" w:rsidRDefault="00267130">
        <w:pPr>
          <w:pStyle w:val="Footer"/>
          <w:jc w:val="center"/>
        </w:pPr>
        <w:r>
          <w:fldChar w:fldCharType="begin"/>
        </w:r>
        <w:r>
          <w:instrText xml:space="preserve"> PAGE   \* MERGEFORMAT </w:instrText>
        </w:r>
        <w:r>
          <w:fldChar w:fldCharType="separate"/>
        </w:r>
        <w:r w:rsidR="007B73E4">
          <w:rPr>
            <w:noProof/>
          </w:rPr>
          <w:t>4</w:t>
        </w:r>
        <w:r>
          <w:rPr>
            <w:noProof/>
          </w:rPr>
          <w:fldChar w:fldCharType="end"/>
        </w:r>
      </w:p>
    </w:sdtContent>
  </w:sdt>
  <w:p w:rsidR="00267130" w:rsidRDefault="00267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DD" w:rsidRDefault="007105DD" w:rsidP="00F826FD">
      <w:pPr>
        <w:spacing w:after="0" w:line="240" w:lineRule="auto"/>
      </w:pPr>
      <w:r>
        <w:separator/>
      </w:r>
    </w:p>
  </w:footnote>
  <w:footnote w:type="continuationSeparator" w:id="0">
    <w:p w:rsidR="007105DD" w:rsidRDefault="007105DD" w:rsidP="00F826FD">
      <w:pPr>
        <w:spacing w:after="0" w:line="240" w:lineRule="auto"/>
      </w:pPr>
      <w:r>
        <w:continuationSeparator/>
      </w:r>
    </w:p>
  </w:footnote>
  <w:footnote w:id="1">
    <w:p w:rsidR="00673F8B" w:rsidRPr="00AE34C6" w:rsidRDefault="00673F8B" w:rsidP="00673F8B">
      <w:pPr>
        <w:pStyle w:val="FootnoteText"/>
        <w:rPr>
          <w:rFonts w:ascii="Arial" w:hAnsi="Arial" w:cs="Arial"/>
          <w:sz w:val="16"/>
          <w:szCs w:val="16"/>
        </w:rPr>
      </w:pPr>
      <w:r w:rsidRPr="00AE34C6">
        <w:rPr>
          <w:rStyle w:val="FootnoteReference"/>
          <w:rFonts w:ascii="Arial" w:hAnsi="Arial" w:cs="Arial"/>
          <w:sz w:val="16"/>
          <w:szCs w:val="16"/>
        </w:rPr>
        <w:footnoteRef/>
      </w:r>
      <w:r w:rsidRPr="00AE34C6">
        <w:rPr>
          <w:rFonts w:ascii="Arial" w:hAnsi="Arial" w:cs="Arial"/>
          <w:sz w:val="16"/>
          <w:szCs w:val="16"/>
        </w:rPr>
        <w:t xml:space="preserve"> BDUK Urban Broadband Fund: Consultation on Connection Vouchers, 25 June 2013, at: </w:t>
      </w:r>
      <w:hyperlink r:id="rId1" w:history="1">
        <w:r w:rsidRPr="00AE34C6">
          <w:rPr>
            <w:rStyle w:val="Hyperlink"/>
            <w:rFonts w:ascii="Arial" w:hAnsi="Arial" w:cs="Arial"/>
            <w:sz w:val="16"/>
            <w:szCs w:val="16"/>
          </w:rPr>
          <w:t>https://www.gov.uk/government/uploads/system/uploads/attachment_data/file/208734/UBF_Voucher_Consultation_250613.pdf</w:t>
        </w:r>
      </w:hyperlink>
      <w:r w:rsidRPr="00AE34C6">
        <w:rPr>
          <w:rFonts w:ascii="Arial" w:hAnsi="Arial" w:cs="Arial"/>
          <w:sz w:val="16"/>
          <w:szCs w:val="16"/>
        </w:rPr>
        <w:t xml:space="preserve"> </w:t>
      </w:r>
    </w:p>
  </w:footnote>
  <w:footnote w:id="2">
    <w:p w:rsidR="00673F8B" w:rsidRPr="00942F39" w:rsidRDefault="00673F8B" w:rsidP="00673F8B">
      <w:pPr>
        <w:pStyle w:val="FootnoteText"/>
        <w:rPr>
          <w:rFonts w:ascii="Arial" w:hAnsi="Arial" w:cs="Arial"/>
          <w:sz w:val="16"/>
          <w:szCs w:val="16"/>
        </w:rPr>
      </w:pPr>
      <w:r w:rsidRPr="00AE34C6">
        <w:rPr>
          <w:rStyle w:val="FootnoteReference"/>
          <w:rFonts w:ascii="Arial" w:hAnsi="Arial" w:cs="Arial"/>
          <w:sz w:val="16"/>
          <w:szCs w:val="16"/>
        </w:rPr>
        <w:footnoteRef/>
      </w:r>
      <w:r w:rsidRPr="00AE34C6">
        <w:rPr>
          <w:rFonts w:ascii="Arial" w:hAnsi="Arial" w:cs="Arial"/>
          <w:sz w:val="16"/>
          <w:szCs w:val="16"/>
        </w:rPr>
        <w:t xml:space="preserve"> There is some evidence from the pilots that certain suppliers registered to gain access to the demand mapping information and have not sought to sell specific voucher supported products.</w:t>
      </w:r>
      <w:r w:rsidRPr="00942F39">
        <w:rPr>
          <w:rFonts w:ascii="Arial" w:hAnsi="Arial" w:cs="Arial"/>
          <w:sz w:val="16"/>
          <w:szCs w:val="16"/>
        </w:rPr>
        <w:t xml:space="preserve"> </w:t>
      </w:r>
    </w:p>
  </w:footnote>
  <w:footnote w:id="3">
    <w:p w:rsidR="00673F8B" w:rsidRPr="006B77AD" w:rsidRDefault="00673F8B" w:rsidP="00673F8B">
      <w:pPr>
        <w:pStyle w:val="FootnoteText"/>
        <w:rPr>
          <w:rFonts w:ascii="Arial" w:hAnsi="Arial" w:cs="Arial"/>
          <w:sz w:val="16"/>
          <w:szCs w:val="16"/>
        </w:rPr>
      </w:pPr>
      <w:r w:rsidRPr="006B77AD">
        <w:rPr>
          <w:rStyle w:val="FootnoteReference"/>
          <w:rFonts w:ascii="Arial" w:hAnsi="Arial" w:cs="Arial"/>
          <w:sz w:val="16"/>
          <w:szCs w:val="16"/>
        </w:rPr>
        <w:footnoteRef/>
      </w:r>
      <w:r w:rsidRPr="006B77AD">
        <w:rPr>
          <w:rFonts w:ascii="Arial" w:hAnsi="Arial" w:cs="Arial"/>
          <w:sz w:val="16"/>
          <w:szCs w:val="16"/>
        </w:rPr>
        <w:t xml:space="preserve">  The Internet Services Providers’ Association (ISPA) is the UK’s Trade Association for the internet industry. As well as support, it promotes collaboration and constructive dialogue between its members and the wider internet community (</w:t>
      </w:r>
      <w:hyperlink r:id="rId2" w:history="1">
        <w:r w:rsidRPr="006B77AD">
          <w:rPr>
            <w:rStyle w:val="Hyperlink"/>
            <w:rFonts w:ascii="Arial" w:hAnsi="Arial" w:cs="Arial"/>
            <w:sz w:val="16"/>
            <w:szCs w:val="16"/>
          </w:rPr>
          <w:t>http://www.ispa.org.uk/</w:t>
        </w:r>
      </w:hyperlink>
      <w:r w:rsidRPr="006B77AD">
        <w:rPr>
          <w:rFonts w:ascii="Arial" w:hAnsi="Arial" w:cs="Arial"/>
          <w:sz w:val="16"/>
          <w:szCs w:val="16"/>
        </w:rPr>
        <w:t xml:space="preserve">). </w:t>
      </w:r>
    </w:p>
  </w:footnote>
  <w:footnote w:id="4">
    <w:p w:rsidR="00673F8B" w:rsidRPr="006B77AD" w:rsidRDefault="00673F8B" w:rsidP="00673F8B">
      <w:pPr>
        <w:pStyle w:val="FootnoteText"/>
        <w:rPr>
          <w:rFonts w:ascii="Arial" w:hAnsi="Arial" w:cs="Arial"/>
          <w:sz w:val="16"/>
          <w:szCs w:val="16"/>
        </w:rPr>
      </w:pPr>
      <w:r w:rsidRPr="006B77AD">
        <w:rPr>
          <w:rStyle w:val="FootnoteReference"/>
          <w:rFonts w:ascii="Arial" w:hAnsi="Arial" w:cs="Arial"/>
          <w:sz w:val="16"/>
          <w:szCs w:val="16"/>
        </w:rPr>
        <w:footnoteRef/>
      </w:r>
      <w:r w:rsidRPr="006B77AD">
        <w:rPr>
          <w:rFonts w:ascii="Arial" w:hAnsi="Arial" w:cs="Arial"/>
          <w:sz w:val="16"/>
          <w:szCs w:val="16"/>
        </w:rPr>
        <w:t xml:space="preserve"> The Broadband Stakeholders Group (BSG) is an advisory group for organisations involved in broadband and provides a forum to discuss and resolve key policy, regulatory and commercial issues, with the ultimate aim of helping to create a strong and competitive UK knowledge economy (</w:t>
      </w:r>
      <w:hyperlink r:id="rId3" w:history="1">
        <w:r w:rsidRPr="006B77AD">
          <w:rPr>
            <w:rStyle w:val="Hyperlink"/>
            <w:rFonts w:ascii="Arial" w:hAnsi="Arial" w:cs="Arial"/>
            <w:sz w:val="16"/>
            <w:szCs w:val="16"/>
          </w:rPr>
          <w:t>http://www.broadbanduk.org/</w:t>
        </w:r>
      </w:hyperlink>
      <w:r w:rsidRPr="006B77AD">
        <w:rPr>
          <w:rFonts w:ascii="Arial" w:hAnsi="Arial" w:cs="Arial"/>
          <w:sz w:val="16"/>
          <w:szCs w:val="16"/>
        </w:rPr>
        <w:t xml:space="preserve">). </w:t>
      </w:r>
    </w:p>
  </w:footnote>
  <w:footnote w:id="5">
    <w:p w:rsidR="00673F8B" w:rsidRPr="006B77AD" w:rsidRDefault="00673F8B" w:rsidP="00673F8B">
      <w:pPr>
        <w:rPr>
          <w:sz w:val="16"/>
          <w:szCs w:val="16"/>
        </w:rPr>
      </w:pPr>
      <w:r w:rsidRPr="006B77AD">
        <w:rPr>
          <w:rStyle w:val="FootnoteReference"/>
          <w:sz w:val="16"/>
          <w:szCs w:val="16"/>
        </w:rPr>
        <w:footnoteRef/>
      </w:r>
      <w:r w:rsidRPr="006B77AD">
        <w:rPr>
          <w:sz w:val="16"/>
          <w:szCs w:val="16"/>
        </w:rPr>
        <w:t xml:space="preserve"> The Federation of Communications Services (FCS) is the UK Trade Association for the communications services industry and represents businesses delivering products and services to customers by radio, mobile, fixed and IP telephony (</w:t>
      </w:r>
      <w:hyperlink r:id="rId4" w:history="1">
        <w:r w:rsidRPr="006B77AD">
          <w:rPr>
            <w:rStyle w:val="Hyperlink"/>
            <w:sz w:val="16"/>
            <w:szCs w:val="16"/>
          </w:rPr>
          <w:t>http://www.fcs.org.uk/Home.aspx</w:t>
        </w:r>
      </w:hyperlink>
      <w:r w:rsidRPr="006B77AD">
        <w:rPr>
          <w:sz w:val="16"/>
          <w:szCs w:val="16"/>
        </w:rPr>
        <w:t xml:space="preserve">). </w:t>
      </w:r>
    </w:p>
  </w:footnote>
  <w:footnote w:id="6">
    <w:p w:rsidR="00673F8B" w:rsidRPr="006B77AD" w:rsidRDefault="00673F8B" w:rsidP="00673F8B">
      <w:pPr>
        <w:pStyle w:val="FootnoteText"/>
        <w:rPr>
          <w:rFonts w:ascii="Arial" w:hAnsi="Arial" w:cs="Arial"/>
          <w:sz w:val="16"/>
          <w:szCs w:val="16"/>
        </w:rPr>
      </w:pPr>
      <w:r w:rsidRPr="006B77AD">
        <w:rPr>
          <w:rStyle w:val="FootnoteReference"/>
          <w:rFonts w:ascii="Arial" w:hAnsi="Arial" w:cs="Arial"/>
          <w:sz w:val="16"/>
          <w:szCs w:val="16"/>
        </w:rPr>
        <w:footnoteRef/>
      </w:r>
      <w:r w:rsidRPr="006B77AD">
        <w:rPr>
          <w:rFonts w:ascii="Arial" w:hAnsi="Arial" w:cs="Arial"/>
          <w:sz w:val="16"/>
          <w:szCs w:val="16"/>
        </w:rPr>
        <w:t xml:space="preserve"> The Independent Network Cooperation Association (INCA) provides support for new infrastructure providers (including small and community based providers). INCA offers advice on the planning, building and operation of sustainable, independent and interconnected next generation networks. It has a particular focus on the ‘final third’ projects (</w:t>
      </w:r>
      <w:hyperlink r:id="rId5" w:history="1">
        <w:r w:rsidRPr="006B77AD">
          <w:rPr>
            <w:rStyle w:val="Hyperlink"/>
            <w:rFonts w:ascii="Arial" w:hAnsi="Arial" w:cs="Arial"/>
            <w:sz w:val="16"/>
            <w:szCs w:val="16"/>
          </w:rPr>
          <w:t>http://www.inca.coop/</w:t>
        </w:r>
      </w:hyperlink>
      <w:r w:rsidRPr="006B77AD">
        <w:rPr>
          <w:rFonts w:ascii="Arial" w:hAnsi="Arial" w:cs="Arial"/>
          <w:sz w:val="16"/>
          <w:szCs w:val="16"/>
        </w:rPr>
        <w:t>).</w:t>
      </w:r>
    </w:p>
  </w:footnote>
  <w:footnote w:id="7">
    <w:p w:rsidR="00673F8B" w:rsidRPr="006B77AD" w:rsidRDefault="00673F8B" w:rsidP="00673F8B">
      <w:pPr>
        <w:pStyle w:val="FootnoteText"/>
        <w:rPr>
          <w:rFonts w:ascii="Arial" w:hAnsi="Arial" w:cs="Arial"/>
          <w:sz w:val="16"/>
          <w:szCs w:val="16"/>
        </w:rPr>
      </w:pPr>
      <w:r w:rsidRPr="006B77AD">
        <w:rPr>
          <w:rStyle w:val="FootnoteReference"/>
          <w:rFonts w:ascii="Arial" w:hAnsi="Arial" w:cs="Arial"/>
          <w:sz w:val="16"/>
          <w:szCs w:val="16"/>
        </w:rPr>
        <w:footnoteRef/>
      </w:r>
      <w:r w:rsidRPr="006B77AD">
        <w:rPr>
          <w:rFonts w:ascii="Arial" w:hAnsi="Arial" w:cs="Arial"/>
          <w:sz w:val="16"/>
          <w:szCs w:val="16"/>
        </w:rPr>
        <w:t xml:space="preserve"> European Satellite Operators' Association (ESOA) represent the interests of the industry with key European organisations, including the European Commission, Parliament, Council and the European Space Agency as well as other international organisations (</w:t>
      </w:r>
      <w:hyperlink r:id="rId6" w:history="1">
        <w:r w:rsidRPr="006B77AD">
          <w:rPr>
            <w:rStyle w:val="Hyperlink"/>
            <w:rFonts w:ascii="Arial" w:hAnsi="Arial" w:cs="Arial"/>
            <w:sz w:val="16"/>
            <w:szCs w:val="16"/>
          </w:rPr>
          <w:t>http://www.esoa.net/</w:t>
        </w:r>
      </w:hyperlink>
      <w:r w:rsidRPr="006B77AD">
        <w:rPr>
          <w:rFonts w:ascii="Arial" w:hAnsi="Arial" w:cs="Arial"/>
          <w:sz w:val="16"/>
          <w:szCs w:val="16"/>
        </w:rPr>
        <w:t xml:space="preserve">). </w:t>
      </w:r>
    </w:p>
  </w:footnote>
  <w:footnote w:id="8">
    <w:p w:rsidR="00673F8B" w:rsidRPr="006B77AD" w:rsidRDefault="00673F8B" w:rsidP="00673F8B">
      <w:pPr>
        <w:pStyle w:val="FootnoteText"/>
        <w:rPr>
          <w:rFonts w:ascii="Arial" w:hAnsi="Arial" w:cs="Arial"/>
          <w:sz w:val="16"/>
          <w:szCs w:val="16"/>
        </w:rPr>
      </w:pPr>
      <w:r w:rsidRPr="006B77AD">
        <w:rPr>
          <w:rStyle w:val="FootnoteReference"/>
          <w:rFonts w:ascii="Arial" w:hAnsi="Arial" w:cs="Arial"/>
          <w:sz w:val="16"/>
          <w:szCs w:val="16"/>
        </w:rPr>
        <w:footnoteRef/>
      </w:r>
      <w:r w:rsidRPr="006B77AD">
        <w:rPr>
          <w:rFonts w:ascii="Arial" w:hAnsi="Arial" w:cs="Arial"/>
          <w:sz w:val="16"/>
          <w:szCs w:val="16"/>
        </w:rPr>
        <w:t xml:space="preserve"> The Federation of Small Businesses (FSB) has the purpose of promoting and protecting the interests of the self-employed and owners of small firms (</w:t>
      </w:r>
      <w:hyperlink r:id="rId7" w:history="1">
        <w:r w:rsidRPr="006B77AD">
          <w:rPr>
            <w:rStyle w:val="Hyperlink"/>
            <w:rFonts w:ascii="Arial" w:hAnsi="Arial" w:cs="Arial"/>
            <w:sz w:val="16"/>
            <w:szCs w:val="16"/>
          </w:rPr>
          <w:t>http://www.fsb.org.uk/</w:t>
        </w:r>
      </w:hyperlink>
      <w:r w:rsidRPr="006B77AD">
        <w:rPr>
          <w:rFonts w:ascii="Arial" w:hAnsi="Arial" w:cs="Arial"/>
          <w:sz w:val="16"/>
          <w:szCs w:val="16"/>
        </w:rPr>
        <w:t>).</w:t>
      </w:r>
    </w:p>
  </w:footnote>
  <w:footnote w:id="9">
    <w:p w:rsidR="00673F8B" w:rsidRPr="006B77AD" w:rsidRDefault="00673F8B" w:rsidP="00673F8B">
      <w:pPr>
        <w:pStyle w:val="FootnoteText"/>
        <w:rPr>
          <w:rFonts w:ascii="Arial" w:hAnsi="Arial" w:cs="Arial"/>
          <w:sz w:val="16"/>
          <w:szCs w:val="16"/>
        </w:rPr>
      </w:pPr>
      <w:r w:rsidRPr="006B77AD">
        <w:rPr>
          <w:rStyle w:val="FootnoteReference"/>
          <w:rFonts w:ascii="Arial" w:hAnsi="Arial" w:cs="Arial"/>
          <w:sz w:val="16"/>
          <w:szCs w:val="16"/>
        </w:rPr>
        <w:footnoteRef/>
      </w:r>
      <w:r w:rsidRPr="006B77AD">
        <w:rPr>
          <w:rFonts w:ascii="Arial" w:hAnsi="Arial" w:cs="Arial"/>
          <w:sz w:val="16"/>
          <w:szCs w:val="16"/>
        </w:rPr>
        <w:t xml:space="preserve"> </w:t>
      </w:r>
      <w:hyperlink r:id="rId8" w:history="1">
        <w:r w:rsidRPr="006B77AD">
          <w:rPr>
            <w:rStyle w:val="Hyperlink"/>
            <w:rFonts w:ascii="Arial" w:hAnsi="Arial" w:cs="Arial"/>
            <w:sz w:val="16"/>
            <w:szCs w:val="16"/>
          </w:rPr>
          <w:t>https://www.gov.uk/government/uploads/system/uploads/attachment_data/file/239182/BDUK_vouchers.pdf</w:t>
        </w:r>
      </w:hyperlink>
      <w:r w:rsidRPr="006B77AD">
        <w:rPr>
          <w:rFonts w:ascii="Arial" w:hAnsi="Arial" w:cs="Arial"/>
          <w:sz w:val="16"/>
          <w:szCs w:val="16"/>
        </w:rPr>
        <w:t xml:space="preserve"> </w:t>
      </w:r>
    </w:p>
  </w:footnote>
  <w:footnote w:id="10">
    <w:p w:rsidR="00673F8B" w:rsidRPr="006D3DDF" w:rsidRDefault="00673F8B" w:rsidP="00673F8B">
      <w:pPr>
        <w:pStyle w:val="FootnoteText"/>
        <w:rPr>
          <w:rFonts w:cstheme="minorHAnsi"/>
        </w:rPr>
      </w:pPr>
      <w:r w:rsidRPr="006B77AD">
        <w:rPr>
          <w:rStyle w:val="FootnoteReference"/>
          <w:rFonts w:ascii="Arial" w:hAnsi="Arial" w:cs="Arial"/>
          <w:sz w:val="16"/>
          <w:szCs w:val="16"/>
        </w:rPr>
        <w:footnoteRef/>
      </w:r>
      <w:r w:rsidRPr="006B77AD">
        <w:rPr>
          <w:rFonts w:ascii="Arial" w:hAnsi="Arial" w:cs="Arial"/>
          <w:sz w:val="16"/>
          <w:szCs w:val="16"/>
        </w:rPr>
        <w:t xml:space="preserve"> </w:t>
      </w:r>
      <w:hyperlink r:id="rId9" w:history="1">
        <w:r w:rsidRPr="006B77AD">
          <w:rPr>
            <w:rStyle w:val="Hyperlink"/>
            <w:rFonts w:ascii="Arial" w:hAnsi="Arial" w:cs="Arial"/>
            <w:sz w:val="16"/>
            <w:szCs w:val="16"/>
          </w:rPr>
          <w:t>https://www.gov.uk/government/consultations/connection-vouchers-scheme</w:t>
        </w:r>
      </w:hyperlink>
      <w:r w:rsidRPr="006D3DDF">
        <w:rPr>
          <w:rFonts w:cstheme="minorHAnsi"/>
        </w:rPr>
        <w:t xml:space="preserve"> </w:t>
      </w:r>
    </w:p>
  </w:footnote>
  <w:footnote w:id="11">
    <w:p w:rsidR="00673F8B" w:rsidRPr="00AE34C6" w:rsidRDefault="00673F8B" w:rsidP="00673F8B">
      <w:pPr>
        <w:pStyle w:val="FootnoteText"/>
        <w:rPr>
          <w:rFonts w:ascii="Arial" w:hAnsi="Arial" w:cs="Arial"/>
          <w:sz w:val="16"/>
          <w:szCs w:val="16"/>
        </w:rPr>
      </w:pPr>
      <w:r w:rsidRPr="00AE34C6">
        <w:rPr>
          <w:rStyle w:val="FootnoteReference"/>
          <w:rFonts w:ascii="Arial" w:hAnsi="Arial" w:cs="Arial"/>
          <w:sz w:val="16"/>
          <w:szCs w:val="16"/>
        </w:rPr>
        <w:footnoteRef/>
      </w:r>
      <w:r w:rsidRPr="00AE34C6">
        <w:rPr>
          <w:rFonts w:ascii="Arial" w:hAnsi="Arial" w:cs="Arial"/>
          <w:sz w:val="16"/>
          <w:szCs w:val="16"/>
        </w:rPr>
        <w:t xml:space="preserve"> </w:t>
      </w:r>
      <w:hyperlink r:id="rId10" w:history="1">
        <w:r w:rsidRPr="00AE34C6">
          <w:rPr>
            <w:rStyle w:val="Hyperlink"/>
            <w:rFonts w:ascii="Arial" w:hAnsi="Arial" w:cs="Arial"/>
            <w:sz w:val="16"/>
            <w:szCs w:val="16"/>
          </w:rPr>
          <w:t>https://www.gov.uk/government/publications/uk-broadband-impact-study</w:t>
        </w:r>
      </w:hyperlink>
      <w:r w:rsidRPr="00AE34C6">
        <w:rPr>
          <w:rFonts w:ascii="Arial" w:hAnsi="Arial" w:cs="Arial"/>
          <w:sz w:val="16"/>
          <w:szCs w:val="16"/>
        </w:rPr>
        <w:t xml:space="preserve"> </w:t>
      </w:r>
    </w:p>
  </w:footnote>
  <w:footnote w:id="12">
    <w:p w:rsidR="00673F8B" w:rsidRPr="00AE34C6" w:rsidRDefault="00673F8B" w:rsidP="00673F8B">
      <w:pPr>
        <w:pStyle w:val="FootnoteText"/>
        <w:rPr>
          <w:rFonts w:ascii="Arial" w:hAnsi="Arial" w:cs="Arial"/>
          <w:sz w:val="16"/>
          <w:szCs w:val="16"/>
        </w:rPr>
      </w:pPr>
      <w:r w:rsidRPr="00AE34C6">
        <w:rPr>
          <w:rStyle w:val="FootnoteReference"/>
          <w:rFonts w:ascii="Arial" w:hAnsi="Arial" w:cs="Arial"/>
          <w:sz w:val="16"/>
          <w:szCs w:val="16"/>
        </w:rPr>
        <w:footnoteRef/>
      </w:r>
      <w:r w:rsidRPr="00AE34C6">
        <w:rPr>
          <w:rFonts w:ascii="Arial" w:hAnsi="Arial" w:cs="Arial"/>
          <w:sz w:val="16"/>
          <w:szCs w:val="16"/>
        </w:rPr>
        <w:t xml:space="preserve"> </w:t>
      </w:r>
      <w:hyperlink r:id="rId11" w:history="1">
        <w:r w:rsidRPr="00AE34C6">
          <w:rPr>
            <w:rStyle w:val="Hyperlink"/>
            <w:rFonts w:ascii="Arial" w:hAnsi="Arial" w:cs="Arial"/>
            <w:sz w:val="16"/>
            <w:szCs w:val="16"/>
          </w:rPr>
          <w:t>https://www.gov.uk/government/news/the-benefits-of-broadband</w:t>
        </w:r>
      </w:hyperlink>
    </w:p>
    <w:p w:rsidR="00673F8B" w:rsidRDefault="00673F8B" w:rsidP="00673F8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3DF2FA66"/>
    <w:lvl w:ilvl="0">
      <w:start w:val="4"/>
      <w:numFmt w:val="decimal"/>
      <w:pStyle w:val="Level1"/>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FC1951"/>
    <w:multiLevelType w:val="hybridMultilevel"/>
    <w:tmpl w:val="CB24C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46AE5"/>
    <w:multiLevelType w:val="hybridMultilevel"/>
    <w:tmpl w:val="22882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2C72F5"/>
    <w:multiLevelType w:val="hybridMultilevel"/>
    <w:tmpl w:val="D820F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221C06"/>
    <w:multiLevelType w:val="hybridMultilevel"/>
    <w:tmpl w:val="DF30CF1E"/>
    <w:lvl w:ilvl="0" w:tplc="650ACE4C">
      <w:start w:val="7"/>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7A66AA"/>
    <w:multiLevelType w:val="hybridMultilevel"/>
    <w:tmpl w:val="B7F01D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532C92"/>
    <w:multiLevelType w:val="hybridMultilevel"/>
    <w:tmpl w:val="EF76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907D8"/>
    <w:multiLevelType w:val="hybridMultilevel"/>
    <w:tmpl w:val="3BD0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C58E1"/>
    <w:multiLevelType w:val="hybridMultilevel"/>
    <w:tmpl w:val="1470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54C5A"/>
    <w:multiLevelType w:val="hybridMultilevel"/>
    <w:tmpl w:val="9CAC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994EBF"/>
    <w:multiLevelType w:val="hybridMultilevel"/>
    <w:tmpl w:val="1240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D4AB8"/>
    <w:multiLevelType w:val="hybridMultilevel"/>
    <w:tmpl w:val="7DBC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2D701B"/>
    <w:multiLevelType w:val="hybridMultilevel"/>
    <w:tmpl w:val="D310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E04BA"/>
    <w:multiLevelType w:val="hybridMultilevel"/>
    <w:tmpl w:val="1EE82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1944DC"/>
    <w:multiLevelType w:val="hybridMultilevel"/>
    <w:tmpl w:val="95348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1971142"/>
    <w:multiLevelType w:val="hybridMultilevel"/>
    <w:tmpl w:val="D222E5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2C4081"/>
    <w:multiLevelType w:val="hybridMultilevel"/>
    <w:tmpl w:val="BE3E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F2FCA"/>
    <w:multiLevelType w:val="hybridMultilevel"/>
    <w:tmpl w:val="00308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DA121A"/>
    <w:multiLevelType w:val="hybridMultilevel"/>
    <w:tmpl w:val="54C2249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648D3914"/>
    <w:multiLevelType w:val="hybridMultilevel"/>
    <w:tmpl w:val="D158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6E5963"/>
    <w:multiLevelType w:val="hybridMultilevel"/>
    <w:tmpl w:val="C9C2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2D6F49"/>
    <w:multiLevelType w:val="multilevel"/>
    <w:tmpl w:val="9C0262DA"/>
    <w:lvl w:ilvl="0">
      <w:start w:val="1"/>
      <w:numFmt w:val="bullet"/>
      <w:pStyle w:val="BulletBDUK"/>
      <w:lvlText w:val="■"/>
      <w:lvlJc w:val="left"/>
      <w:pPr>
        <w:ind w:left="1124" w:hanging="284"/>
      </w:pPr>
      <w:rPr>
        <w:rFonts w:ascii="Arial" w:hAnsi="Arial" w:cs="Times New Roman" w:hint="default"/>
        <w:color w:val="97989A"/>
        <w:sz w:val="24"/>
      </w:rPr>
    </w:lvl>
    <w:lvl w:ilvl="1">
      <w:start w:val="1"/>
      <w:numFmt w:val="bullet"/>
      <w:lvlText w:val="–"/>
      <w:lvlJc w:val="left"/>
      <w:pPr>
        <w:ind w:left="1407" w:hanging="283"/>
      </w:pPr>
      <w:rPr>
        <w:rFonts w:ascii="Arial" w:hAnsi="Arial" w:cs="Times New Roman" w:hint="default"/>
        <w:color w:val="97989A"/>
      </w:rPr>
    </w:lvl>
    <w:lvl w:ilvl="2">
      <w:start w:val="1"/>
      <w:numFmt w:val="bullet"/>
      <w:lvlRestart w:val="1"/>
      <w:lvlText w:val="■"/>
      <w:lvlJc w:val="left"/>
      <w:pPr>
        <w:tabs>
          <w:tab w:val="num" w:pos="1691"/>
        </w:tabs>
        <w:ind w:left="1691" w:hanging="284"/>
      </w:pPr>
      <w:rPr>
        <w:rFonts w:ascii="Arial" w:hAnsi="Arial" w:cs="Times New Roman" w:hint="default"/>
        <w:color w:val="97989A"/>
      </w:rPr>
    </w:lvl>
    <w:lvl w:ilvl="3">
      <w:start w:val="1"/>
      <w:numFmt w:val="bullet"/>
      <w:lvlText w:val="–"/>
      <w:lvlJc w:val="left"/>
      <w:pPr>
        <w:ind w:left="1974" w:hanging="283"/>
      </w:pPr>
      <w:rPr>
        <w:rFonts w:ascii="Arial" w:hAnsi="Arial" w:cs="Times New Roman" w:hint="default"/>
        <w:color w:val="97989A"/>
      </w:rPr>
    </w:lvl>
    <w:lvl w:ilvl="4">
      <w:start w:val="1"/>
      <w:numFmt w:val="bullet"/>
      <w:lvlText w:val="■"/>
      <w:lvlJc w:val="left"/>
      <w:pPr>
        <w:ind w:left="2541" w:hanging="281"/>
      </w:pPr>
      <w:rPr>
        <w:rFonts w:ascii="Arial" w:hAnsi="Arial" w:cs="Times New Roman" w:hint="default"/>
        <w:color w:val="97989A"/>
      </w:rPr>
    </w:lvl>
    <w:lvl w:ilvl="5">
      <w:start w:val="1"/>
      <w:numFmt w:val="bullet"/>
      <w:lvlText w:val="–"/>
      <w:lvlJc w:val="left"/>
      <w:pPr>
        <w:ind w:left="2906" w:hanging="362"/>
      </w:pPr>
      <w:rPr>
        <w:rFonts w:ascii="Arial" w:hAnsi="Arial" w:cs="Times New Roman" w:hint="default"/>
        <w:color w:val="97989A"/>
      </w:rPr>
    </w:lvl>
    <w:lvl w:ilvl="6">
      <w:start w:val="1"/>
      <w:numFmt w:val="bullet"/>
      <w:lvlText w:val=""/>
      <w:lvlJc w:val="left"/>
      <w:pPr>
        <w:ind w:left="3190" w:hanging="362"/>
      </w:pPr>
      <w:rPr>
        <w:rFonts w:ascii="Symbol" w:hAnsi="Symbol" w:hint="default"/>
      </w:rPr>
    </w:lvl>
    <w:lvl w:ilvl="7">
      <w:start w:val="1"/>
      <w:numFmt w:val="bullet"/>
      <w:lvlText w:val="o"/>
      <w:lvlJc w:val="left"/>
      <w:pPr>
        <w:ind w:left="3474" w:hanging="362"/>
      </w:pPr>
      <w:rPr>
        <w:rFonts w:ascii="Courier New" w:hAnsi="Courier New" w:cs="Courier New" w:hint="default"/>
      </w:rPr>
    </w:lvl>
    <w:lvl w:ilvl="8">
      <w:start w:val="1"/>
      <w:numFmt w:val="bullet"/>
      <w:lvlText w:val=""/>
      <w:lvlJc w:val="left"/>
      <w:pPr>
        <w:ind w:left="3758" w:hanging="362"/>
      </w:pPr>
      <w:rPr>
        <w:rFonts w:ascii="Wingdings" w:hAnsi="Wingdings" w:hint="default"/>
      </w:rPr>
    </w:lvl>
  </w:abstractNum>
  <w:abstractNum w:abstractNumId="22">
    <w:nsid w:val="68531477"/>
    <w:multiLevelType w:val="hybridMultilevel"/>
    <w:tmpl w:val="8D0A4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CE554CB"/>
    <w:multiLevelType w:val="hybridMultilevel"/>
    <w:tmpl w:val="51C4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5C37C5"/>
    <w:multiLevelType w:val="hybridMultilevel"/>
    <w:tmpl w:val="A082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6F1F12"/>
    <w:multiLevelType w:val="hybridMultilevel"/>
    <w:tmpl w:val="BBB6C5C6"/>
    <w:lvl w:ilvl="0" w:tplc="527CE5C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0BF24A3"/>
    <w:multiLevelType w:val="hybridMultilevel"/>
    <w:tmpl w:val="383EF7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DD7A59"/>
    <w:multiLevelType w:val="hybridMultilevel"/>
    <w:tmpl w:val="F64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E5796B"/>
    <w:multiLevelType w:val="hybridMultilevel"/>
    <w:tmpl w:val="CFE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543FD0"/>
    <w:multiLevelType w:val="hybridMultilevel"/>
    <w:tmpl w:val="B1AA3B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B9067B"/>
    <w:multiLevelType w:val="hybridMultilevel"/>
    <w:tmpl w:val="A4B66A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BE726C"/>
    <w:multiLevelType w:val="hybridMultilevel"/>
    <w:tmpl w:val="23ACC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31"/>
  </w:num>
  <w:num w:numId="3">
    <w:abstractNumId w:val="0"/>
  </w:num>
  <w:num w:numId="4">
    <w:abstractNumId w:val="23"/>
  </w:num>
  <w:num w:numId="5">
    <w:abstractNumId w:val="28"/>
  </w:num>
  <w:num w:numId="6">
    <w:abstractNumId w:val="16"/>
  </w:num>
  <w:num w:numId="7">
    <w:abstractNumId w:val="27"/>
  </w:num>
  <w:num w:numId="8">
    <w:abstractNumId w:val="11"/>
  </w:num>
  <w:num w:numId="9">
    <w:abstractNumId w:val="7"/>
  </w:num>
  <w:num w:numId="10">
    <w:abstractNumId w:val="24"/>
  </w:num>
  <w:num w:numId="11">
    <w:abstractNumId w:val="20"/>
  </w:num>
  <w:num w:numId="12">
    <w:abstractNumId w:val="19"/>
  </w:num>
  <w:num w:numId="13">
    <w:abstractNumId w:val="12"/>
  </w:num>
  <w:num w:numId="14">
    <w:abstractNumId w:val="1"/>
  </w:num>
  <w:num w:numId="15">
    <w:abstractNumId w:val="13"/>
  </w:num>
  <w:num w:numId="16">
    <w:abstractNumId w:val="30"/>
  </w:num>
  <w:num w:numId="17">
    <w:abstractNumId w:val="10"/>
  </w:num>
  <w:num w:numId="18">
    <w:abstractNumId w:val="6"/>
  </w:num>
  <w:num w:numId="19">
    <w:abstractNumId w:val="3"/>
  </w:num>
  <w:num w:numId="20">
    <w:abstractNumId w:val="15"/>
  </w:num>
  <w:num w:numId="21">
    <w:abstractNumId w:val="14"/>
  </w:num>
  <w:num w:numId="22">
    <w:abstractNumId w:val="4"/>
  </w:num>
  <w:num w:numId="23">
    <w:abstractNumId w:val="25"/>
  </w:num>
  <w:num w:numId="24">
    <w:abstractNumId w:val="2"/>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17"/>
  </w:num>
  <w:num w:numId="30">
    <w:abstractNumId w:val="29"/>
  </w:num>
  <w:num w:numId="31">
    <w:abstractNumId w:val="5"/>
  </w:num>
  <w:num w:numId="32">
    <w:abstractNumId w:val="9"/>
  </w:num>
  <w:num w:numId="3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D8"/>
    <w:rsid w:val="0001266F"/>
    <w:rsid w:val="00012F88"/>
    <w:rsid w:val="000154CD"/>
    <w:rsid w:val="00015A1E"/>
    <w:rsid w:val="00015AD3"/>
    <w:rsid w:val="000239EA"/>
    <w:rsid w:val="000243B7"/>
    <w:rsid w:val="00024823"/>
    <w:rsid w:val="00030FAA"/>
    <w:rsid w:val="000340E5"/>
    <w:rsid w:val="00037CA8"/>
    <w:rsid w:val="00041746"/>
    <w:rsid w:val="000515E4"/>
    <w:rsid w:val="0005298C"/>
    <w:rsid w:val="00053BD5"/>
    <w:rsid w:val="00053DCD"/>
    <w:rsid w:val="00055943"/>
    <w:rsid w:val="000621B7"/>
    <w:rsid w:val="00062450"/>
    <w:rsid w:val="00063DAD"/>
    <w:rsid w:val="00072E43"/>
    <w:rsid w:val="000736FE"/>
    <w:rsid w:val="00075331"/>
    <w:rsid w:val="00080939"/>
    <w:rsid w:val="00082D74"/>
    <w:rsid w:val="00083C4C"/>
    <w:rsid w:val="0009065B"/>
    <w:rsid w:val="00090E26"/>
    <w:rsid w:val="00095C0D"/>
    <w:rsid w:val="00096158"/>
    <w:rsid w:val="000A0C16"/>
    <w:rsid w:val="000A17E9"/>
    <w:rsid w:val="000A5840"/>
    <w:rsid w:val="000B49A1"/>
    <w:rsid w:val="000B6158"/>
    <w:rsid w:val="000C375B"/>
    <w:rsid w:val="000C548F"/>
    <w:rsid w:val="000D4CCC"/>
    <w:rsid w:val="000D7B24"/>
    <w:rsid w:val="000E0C9E"/>
    <w:rsid w:val="000E2321"/>
    <w:rsid w:val="000F13F3"/>
    <w:rsid w:val="000F4AAF"/>
    <w:rsid w:val="000F6812"/>
    <w:rsid w:val="000F6F2D"/>
    <w:rsid w:val="000F7985"/>
    <w:rsid w:val="00102175"/>
    <w:rsid w:val="00112829"/>
    <w:rsid w:val="00114FFF"/>
    <w:rsid w:val="00115DF3"/>
    <w:rsid w:val="00122F0B"/>
    <w:rsid w:val="001315C8"/>
    <w:rsid w:val="00134D3F"/>
    <w:rsid w:val="00135C22"/>
    <w:rsid w:val="00145C99"/>
    <w:rsid w:val="00152A9D"/>
    <w:rsid w:val="00156671"/>
    <w:rsid w:val="0016445F"/>
    <w:rsid w:val="00166391"/>
    <w:rsid w:val="00174FC2"/>
    <w:rsid w:val="001750BE"/>
    <w:rsid w:val="00175C63"/>
    <w:rsid w:val="00181C09"/>
    <w:rsid w:val="00183E50"/>
    <w:rsid w:val="00184DF3"/>
    <w:rsid w:val="00187C78"/>
    <w:rsid w:val="00190238"/>
    <w:rsid w:val="00191447"/>
    <w:rsid w:val="001925A3"/>
    <w:rsid w:val="0019267D"/>
    <w:rsid w:val="00193AFB"/>
    <w:rsid w:val="00193E87"/>
    <w:rsid w:val="001A311E"/>
    <w:rsid w:val="001B0120"/>
    <w:rsid w:val="001B6D1C"/>
    <w:rsid w:val="001B7243"/>
    <w:rsid w:val="001C2E77"/>
    <w:rsid w:val="001C39AE"/>
    <w:rsid w:val="001C6850"/>
    <w:rsid w:val="001C6D16"/>
    <w:rsid w:val="001C71D2"/>
    <w:rsid w:val="001D3617"/>
    <w:rsid w:val="001E32FF"/>
    <w:rsid w:val="001E3487"/>
    <w:rsid w:val="001E4EE6"/>
    <w:rsid w:val="001F193E"/>
    <w:rsid w:val="001F2F34"/>
    <w:rsid w:val="001F3354"/>
    <w:rsid w:val="001F5304"/>
    <w:rsid w:val="0020329D"/>
    <w:rsid w:val="00204FAB"/>
    <w:rsid w:val="002059D4"/>
    <w:rsid w:val="0020753F"/>
    <w:rsid w:val="00221CB6"/>
    <w:rsid w:val="00225142"/>
    <w:rsid w:val="002278BF"/>
    <w:rsid w:val="00227916"/>
    <w:rsid w:val="00233099"/>
    <w:rsid w:val="00240079"/>
    <w:rsid w:val="00240E3E"/>
    <w:rsid w:val="00246EC5"/>
    <w:rsid w:val="0024747A"/>
    <w:rsid w:val="00251C5E"/>
    <w:rsid w:val="0025658D"/>
    <w:rsid w:val="00265788"/>
    <w:rsid w:val="00267130"/>
    <w:rsid w:val="00270D7F"/>
    <w:rsid w:val="00272A5B"/>
    <w:rsid w:val="002922A2"/>
    <w:rsid w:val="00292913"/>
    <w:rsid w:val="00292C3F"/>
    <w:rsid w:val="002954E9"/>
    <w:rsid w:val="002A02FD"/>
    <w:rsid w:val="002A51CE"/>
    <w:rsid w:val="002B0483"/>
    <w:rsid w:val="002B0686"/>
    <w:rsid w:val="002B389F"/>
    <w:rsid w:val="002B4FDB"/>
    <w:rsid w:val="002C0729"/>
    <w:rsid w:val="002C5400"/>
    <w:rsid w:val="002C74EB"/>
    <w:rsid w:val="002D3B51"/>
    <w:rsid w:val="002E04C3"/>
    <w:rsid w:val="002E12FF"/>
    <w:rsid w:val="002E5BEA"/>
    <w:rsid w:val="002F5AC1"/>
    <w:rsid w:val="00301775"/>
    <w:rsid w:val="003127BA"/>
    <w:rsid w:val="00313AF3"/>
    <w:rsid w:val="003146F0"/>
    <w:rsid w:val="00320602"/>
    <w:rsid w:val="00326931"/>
    <w:rsid w:val="00332987"/>
    <w:rsid w:val="00334251"/>
    <w:rsid w:val="00335267"/>
    <w:rsid w:val="00340334"/>
    <w:rsid w:val="003413FD"/>
    <w:rsid w:val="00344004"/>
    <w:rsid w:val="0034401F"/>
    <w:rsid w:val="003468F5"/>
    <w:rsid w:val="0035580B"/>
    <w:rsid w:val="00356F34"/>
    <w:rsid w:val="0036517E"/>
    <w:rsid w:val="0036704B"/>
    <w:rsid w:val="00370CB0"/>
    <w:rsid w:val="0037360A"/>
    <w:rsid w:val="00386DCB"/>
    <w:rsid w:val="00397C6E"/>
    <w:rsid w:val="003A21E7"/>
    <w:rsid w:val="003A30C9"/>
    <w:rsid w:val="003A6018"/>
    <w:rsid w:val="003B015B"/>
    <w:rsid w:val="003B24BB"/>
    <w:rsid w:val="003B5EF5"/>
    <w:rsid w:val="003B71B5"/>
    <w:rsid w:val="003C3E5C"/>
    <w:rsid w:val="003C6A53"/>
    <w:rsid w:val="003D2BBE"/>
    <w:rsid w:val="003D4292"/>
    <w:rsid w:val="003E222D"/>
    <w:rsid w:val="003F03A1"/>
    <w:rsid w:val="003F08F2"/>
    <w:rsid w:val="003F5B30"/>
    <w:rsid w:val="003F6FE4"/>
    <w:rsid w:val="003F77CA"/>
    <w:rsid w:val="00400F7F"/>
    <w:rsid w:val="004022AD"/>
    <w:rsid w:val="0041180D"/>
    <w:rsid w:val="00412103"/>
    <w:rsid w:val="00417616"/>
    <w:rsid w:val="00421545"/>
    <w:rsid w:val="004243BC"/>
    <w:rsid w:val="00426473"/>
    <w:rsid w:val="0042788F"/>
    <w:rsid w:val="0042789C"/>
    <w:rsid w:val="00427D99"/>
    <w:rsid w:val="004354D7"/>
    <w:rsid w:val="0044371C"/>
    <w:rsid w:val="004474B3"/>
    <w:rsid w:val="004517F3"/>
    <w:rsid w:val="0045390C"/>
    <w:rsid w:val="00454165"/>
    <w:rsid w:val="004605F5"/>
    <w:rsid w:val="00464777"/>
    <w:rsid w:val="0046776A"/>
    <w:rsid w:val="0047007E"/>
    <w:rsid w:val="00470758"/>
    <w:rsid w:val="004736DC"/>
    <w:rsid w:val="00476822"/>
    <w:rsid w:val="00477335"/>
    <w:rsid w:val="004823CC"/>
    <w:rsid w:val="00485276"/>
    <w:rsid w:val="0048686F"/>
    <w:rsid w:val="00496BB4"/>
    <w:rsid w:val="00496C5F"/>
    <w:rsid w:val="004A232E"/>
    <w:rsid w:val="004A2B8B"/>
    <w:rsid w:val="004A58E0"/>
    <w:rsid w:val="004A7879"/>
    <w:rsid w:val="004B1C7B"/>
    <w:rsid w:val="004B1FDE"/>
    <w:rsid w:val="004B6023"/>
    <w:rsid w:val="004B6C2E"/>
    <w:rsid w:val="004C09DF"/>
    <w:rsid w:val="004C17E5"/>
    <w:rsid w:val="004C21EE"/>
    <w:rsid w:val="004C64C5"/>
    <w:rsid w:val="004E2DEF"/>
    <w:rsid w:val="004F00F6"/>
    <w:rsid w:val="004F08B0"/>
    <w:rsid w:val="004F0EDD"/>
    <w:rsid w:val="004F13D0"/>
    <w:rsid w:val="004F401A"/>
    <w:rsid w:val="004F6643"/>
    <w:rsid w:val="004F6CBE"/>
    <w:rsid w:val="00504DDB"/>
    <w:rsid w:val="00511755"/>
    <w:rsid w:val="005210BE"/>
    <w:rsid w:val="00526465"/>
    <w:rsid w:val="0052653F"/>
    <w:rsid w:val="005266F8"/>
    <w:rsid w:val="00527E48"/>
    <w:rsid w:val="00530A9A"/>
    <w:rsid w:val="00540A77"/>
    <w:rsid w:val="00543119"/>
    <w:rsid w:val="00551473"/>
    <w:rsid w:val="00553789"/>
    <w:rsid w:val="00555AEB"/>
    <w:rsid w:val="00556F25"/>
    <w:rsid w:val="00557A32"/>
    <w:rsid w:val="00563A17"/>
    <w:rsid w:val="0056455E"/>
    <w:rsid w:val="00565E11"/>
    <w:rsid w:val="00567940"/>
    <w:rsid w:val="00570A63"/>
    <w:rsid w:val="00574717"/>
    <w:rsid w:val="00574CFE"/>
    <w:rsid w:val="005862A3"/>
    <w:rsid w:val="005865E6"/>
    <w:rsid w:val="00591AC1"/>
    <w:rsid w:val="005A0442"/>
    <w:rsid w:val="005A1F2A"/>
    <w:rsid w:val="005A4B86"/>
    <w:rsid w:val="005A4DE1"/>
    <w:rsid w:val="005A5E48"/>
    <w:rsid w:val="005B19D8"/>
    <w:rsid w:val="005C1DEE"/>
    <w:rsid w:val="005C798D"/>
    <w:rsid w:val="005D06EC"/>
    <w:rsid w:val="005D1F17"/>
    <w:rsid w:val="005D6B2E"/>
    <w:rsid w:val="005E103F"/>
    <w:rsid w:val="005E1C6F"/>
    <w:rsid w:val="005E5939"/>
    <w:rsid w:val="005F1101"/>
    <w:rsid w:val="005F191A"/>
    <w:rsid w:val="005F38AE"/>
    <w:rsid w:val="00603AEB"/>
    <w:rsid w:val="00612B46"/>
    <w:rsid w:val="00620CE4"/>
    <w:rsid w:val="006233BB"/>
    <w:rsid w:val="00625F52"/>
    <w:rsid w:val="00626A67"/>
    <w:rsid w:val="00635266"/>
    <w:rsid w:val="00635DE2"/>
    <w:rsid w:val="006405D8"/>
    <w:rsid w:val="00640825"/>
    <w:rsid w:val="00647C44"/>
    <w:rsid w:val="006517B0"/>
    <w:rsid w:val="0065675A"/>
    <w:rsid w:val="00656DBF"/>
    <w:rsid w:val="00662D14"/>
    <w:rsid w:val="00666445"/>
    <w:rsid w:val="00670860"/>
    <w:rsid w:val="00671D3B"/>
    <w:rsid w:val="00673F8B"/>
    <w:rsid w:val="00680B49"/>
    <w:rsid w:val="00681DD8"/>
    <w:rsid w:val="0068386C"/>
    <w:rsid w:val="0068709F"/>
    <w:rsid w:val="006870F7"/>
    <w:rsid w:val="00687700"/>
    <w:rsid w:val="0069022E"/>
    <w:rsid w:val="00691368"/>
    <w:rsid w:val="00697141"/>
    <w:rsid w:val="006A0018"/>
    <w:rsid w:val="006B7010"/>
    <w:rsid w:val="006B7C82"/>
    <w:rsid w:val="006C5C86"/>
    <w:rsid w:val="006C5DEB"/>
    <w:rsid w:val="006D3B94"/>
    <w:rsid w:val="006D786B"/>
    <w:rsid w:val="006E6139"/>
    <w:rsid w:val="006F03FC"/>
    <w:rsid w:val="006F1620"/>
    <w:rsid w:val="006F47A2"/>
    <w:rsid w:val="006F5FBF"/>
    <w:rsid w:val="006F7AF7"/>
    <w:rsid w:val="00701654"/>
    <w:rsid w:val="00702869"/>
    <w:rsid w:val="00703539"/>
    <w:rsid w:val="00704BEF"/>
    <w:rsid w:val="007059CF"/>
    <w:rsid w:val="00707AA5"/>
    <w:rsid w:val="007105DD"/>
    <w:rsid w:val="00711310"/>
    <w:rsid w:val="00711590"/>
    <w:rsid w:val="00713A71"/>
    <w:rsid w:val="00727A6C"/>
    <w:rsid w:val="007331FD"/>
    <w:rsid w:val="007349A1"/>
    <w:rsid w:val="0073548D"/>
    <w:rsid w:val="007359B5"/>
    <w:rsid w:val="007407DB"/>
    <w:rsid w:val="007418BD"/>
    <w:rsid w:val="00744977"/>
    <w:rsid w:val="00753091"/>
    <w:rsid w:val="00762418"/>
    <w:rsid w:val="00762445"/>
    <w:rsid w:val="00771F7C"/>
    <w:rsid w:val="00774F3F"/>
    <w:rsid w:val="00775744"/>
    <w:rsid w:val="007925B6"/>
    <w:rsid w:val="00794191"/>
    <w:rsid w:val="007958CE"/>
    <w:rsid w:val="007A0026"/>
    <w:rsid w:val="007A4E80"/>
    <w:rsid w:val="007A7157"/>
    <w:rsid w:val="007B1090"/>
    <w:rsid w:val="007B73E4"/>
    <w:rsid w:val="007C32A2"/>
    <w:rsid w:val="007D3983"/>
    <w:rsid w:val="007D5705"/>
    <w:rsid w:val="007E4C66"/>
    <w:rsid w:val="007F064A"/>
    <w:rsid w:val="007F1E8F"/>
    <w:rsid w:val="007F3702"/>
    <w:rsid w:val="007F5091"/>
    <w:rsid w:val="007F5D42"/>
    <w:rsid w:val="007F70B8"/>
    <w:rsid w:val="00800F22"/>
    <w:rsid w:val="00803298"/>
    <w:rsid w:val="00806B38"/>
    <w:rsid w:val="00806B6A"/>
    <w:rsid w:val="008106BD"/>
    <w:rsid w:val="00816D4B"/>
    <w:rsid w:val="00817A37"/>
    <w:rsid w:val="00826AAC"/>
    <w:rsid w:val="008304AF"/>
    <w:rsid w:val="00832366"/>
    <w:rsid w:val="00832AF3"/>
    <w:rsid w:val="00840C25"/>
    <w:rsid w:val="00841441"/>
    <w:rsid w:val="00853FE5"/>
    <w:rsid w:val="0085709B"/>
    <w:rsid w:val="0085751E"/>
    <w:rsid w:val="00861B21"/>
    <w:rsid w:val="00864461"/>
    <w:rsid w:val="00864D34"/>
    <w:rsid w:val="00867494"/>
    <w:rsid w:val="00872BEE"/>
    <w:rsid w:val="00872C1C"/>
    <w:rsid w:val="00875F53"/>
    <w:rsid w:val="008801D5"/>
    <w:rsid w:val="00881882"/>
    <w:rsid w:val="00883FBF"/>
    <w:rsid w:val="0088620F"/>
    <w:rsid w:val="00886646"/>
    <w:rsid w:val="0089481F"/>
    <w:rsid w:val="008950AF"/>
    <w:rsid w:val="0089762A"/>
    <w:rsid w:val="008A31EE"/>
    <w:rsid w:val="008A6856"/>
    <w:rsid w:val="008A6B3C"/>
    <w:rsid w:val="008B2697"/>
    <w:rsid w:val="008B26B8"/>
    <w:rsid w:val="008B27FF"/>
    <w:rsid w:val="008B6980"/>
    <w:rsid w:val="008B6A3D"/>
    <w:rsid w:val="008E044F"/>
    <w:rsid w:val="008E0D05"/>
    <w:rsid w:val="008E1BA1"/>
    <w:rsid w:val="008E24C8"/>
    <w:rsid w:val="008E2E33"/>
    <w:rsid w:val="008F0D87"/>
    <w:rsid w:val="008F4138"/>
    <w:rsid w:val="009049FE"/>
    <w:rsid w:val="0091009C"/>
    <w:rsid w:val="009105A3"/>
    <w:rsid w:val="00917056"/>
    <w:rsid w:val="00934204"/>
    <w:rsid w:val="0093555A"/>
    <w:rsid w:val="00936AAA"/>
    <w:rsid w:val="00937601"/>
    <w:rsid w:val="00955605"/>
    <w:rsid w:val="00957192"/>
    <w:rsid w:val="009644CC"/>
    <w:rsid w:val="00966BD1"/>
    <w:rsid w:val="00970DB3"/>
    <w:rsid w:val="00970F0F"/>
    <w:rsid w:val="00971DF5"/>
    <w:rsid w:val="00971E30"/>
    <w:rsid w:val="00971E8E"/>
    <w:rsid w:val="0097290B"/>
    <w:rsid w:val="0097420C"/>
    <w:rsid w:val="00977E63"/>
    <w:rsid w:val="0098039F"/>
    <w:rsid w:val="00982F10"/>
    <w:rsid w:val="00985E0D"/>
    <w:rsid w:val="009877B4"/>
    <w:rsid w:val="00990D4E"/>
    <w:rsid w:val="00992A4B"/>
    <w:rsid w:val="00994A51"/>
    <w:rsid w:val="00995410"/>
    <w:rsid w:val="00995A43"/>
    <w:rsid w:val="009A01B2"/>
    <w:rsid w:val="009A217C"/>
    <w:rsid w:val="009A383C"/>
    <w:rsid w:val="009A75D5"/>
    <w:rsid w:val="009B2B24"/>
    <w:rsid w:val="009B2FF4"/>
    <w:rsid w:val="009B32C1"/>
    <w:rsid w:val="009B3A2C"/>
    <w:rsid w:val="009C3254"/>
    <w:rsid w:val="009C4949"/>
    <w:rsid w:val="009C53C5"/>
    <w:rsid w:val="009D2989"/>
    <w:rsid w:val="009D42E8"/>
    <w:rsid w:val="009D6C7B"/>
    <w:rsid w:val="009E5EAA"/>
    <w:rsid w:val="009F0E16"/>
    <w:rsid w:val="009F254A"/>
    <w:rsid w:val="009F43CB"/>
    <w:rsid w:val="009F442F"/>
    <w:rsid w:val="009F651F"/>
    <w:rsid w:val="009F7442"/>
    <w:rsid w:val="00A020E3"/>
    <w:rsid w:val="00A122E5"/>
    <w:rsid w:val="00A15287"/>
    <w:rsid w:val="00A22150"/>
    <w:rsid w:val="00A22F87"/>
    <w:rsid w:val="00A24273"/>
    <w:rsid w:val="00A256BF"/>
    <w:rsid w:val="00A25F1B"/>
    <w:rsid w:val="00A26604"/>
    <w:rsid w:val="00A30A3B"/>
    <w:rsid w:val="00A40897"/>
    <w:rsid w:val="00A4277D"/>
    <w:rsid w:val="00A4405B"/>
    <w:rsid w:val="00A44E6C"/>
    <w:rsid w:val="00A5239F"/>
    <w:rsid w:val="00A57C92"/>
    <w:rsid w:val="00A603BF"/>
    <w:rsid w:val="00A61A74"/>
    <w:rsid w:val="00A6231D"/>
    <w:rsid w:val="00A63AB0"/>
    <w:rsid w:val="00A64A4C"/>
    <w:rsid w:val="00A76922"/>
    <w:rsid w:val="00A849BF"/>
    <w:rsid w:val="00A94F9F"/>
    <w:rsid w:val="00A97623"/>
    <w:rsid w:val="00AA11F5"/>
    <w:rsid w:val="00AA2824"/>
    <w:rsid w:val="00AA66BF"/>
    <w:rsid w:val="00AA7946"/>
    <w:rsid w:val="00AA7AFB"/>
    <w:rsid w:val="00AB1550"/>
    <w:rsid w:val="00AB33EB"/>
    <w:rsid w:val="00AB643C"/>
    <w:rsid w:val="00AB7F40"/>
    <w:rsid w:val="00AC39A3"/>
    <w:rsid w:val="00AC4C30"/>
    <w:rsid w:val="00AC529E"/>
    <w:rsid w:val="00AC70A3"/>
    <w:rsid w:val="00AC7717"/>
    <w:rsid w:val="00AD264A"/>
    <w:rsid w:val="00AD3B50"/>
    <w:rsid w:val="00AD64D1"/>
    <w:rsid w:val="00AE4662"/>
    <w:rsid w:val="00AE5C48"/>
    <w:rsid w:val="00AF0B24"/>
    <w:rsid w:val="00AF2AB6"/>
    <w:rsid w:val="00B018EB"/>
    <w:rsid w:val="00B033C6"/>
    <w:rsid w:val="00B048CF"/>
    <w:rsid w:val="00B04DD8"/>
    <w:rsid w:val="00B105AE"/>
    <w:rsid w:val="00B10BD2"/>
    <w:rsid w:val="00B11F3E"/>
    <w:rsid w:val="00B16BAE"/>
    <w:rsid w:val="00B16F3D"/>
    <w:rsid w:val="00B219C1"/>
    <w:rsid w:val="00B21F26"/>
    <w:rsid w:val="00B23BBA"/>
    <w:rsid w:val="00B25DC7"/>
    <w:rsid w:val="00B25E12"/>
    <w:rsid w:val="00B278A9"/>
    <w:rsid w:val="00B45E4D"/>
    <w:rsid w:val="00B5366D"/>
    <w:rsid w:val="00B54ECA"/>
    <w:rsid w:val="00B54F32"/>
    <w:rsid w:val="00B55419"/>
    <w:rsid w:val="00B56DB2"/>
    <w:rsid w:val="00B6141C"/>
    <w:rsid w:val="00B62025"/>
    <w:rsid w:val="00B62BA3"/>
    <w:rsid w:val="00B64D2D"/>
    <w:rsid w:val="00B6777D"/>
    <w:rsid w:val="00B70C6C"/>
    <w:rsid w:val="00B72E21"/>
    <w:rsid w:val="00B7317C"/>
    <w:rsid w:val="00B74AFA"/>
    <w:rsid w:val="00B74C12"/>
    <w:rsid w:val="00B772E7"/>
    <w:rsid w:val="00B844B2"/>
    <w:rsid w:val="00B91C5B"/>
    <w:rsid w:val="00B930D0"/>
    <w:rsid w:val="00B951BE"/>
    <w:rsid w:val="00BA077E"/>
    <w:rsid w:val="00BA125A"/>
    <w:rsid w:val="00BA5BFC"/>
    <w:rsid w:val="00BA67F2"/>
    <w:rsid w:val="00BA6CBD"/>
    <w:rsid w:val="00BB1474"/>
    <w:rsid w:val="00BB49FA"/>
    <w:rsid w:val="00BB4DC1"/>
    <w:rsid w:val="00BC2A2D"/>
    <w:rsid w:val="00BC36E7"/>
    <w:rsid w:val="00BC387B"/>
    <w:rsid w:val="00BC404B"/>
    <w:rsid w:val="00BD07DD"/>
    <w:rsid w:val="00BD6178"/>
    <w:rsid w:val="00BE0EBA"/>
    <w:rsid w:val="00BE2CDD"/>
    <w:rsid w:val="00BE332E"/>
    <w:rsid w:val="00BE61B0"/>
    <w:rsid w:val="00BE6F41"/>
    <w:rsid w:val="00BF0BD9"/>
    <w:rsid w:val="00BF2AC8"/>
    <w:rsid w:val="00BF2DA3"/>
    <w:rsid w:val="00BF69AB"/>
    <w:rsid w:val="00BF6E7B"/>
    <w:rsid w:val="00C0139A"/>
    <w:rsid w:val="00C1418F"/>
    <w:rsid w:val="00C15E37"/>
    <w:rsid w:val="00C24B4B"/>
    <w:rsid w:val="00C24C33"/>
    <w:rsid w:val="00C25333"/>
    <w:rsid w:val="00C31411"/>
    <w:rsid w:val="00C32AED"/>
    <w:rsid w:val="00C33F62"/>
    <w:rsid w:val="00C348E6"/>
    <w:rsid w:val="00C349D9"/>
    <w:rsid w:val="00C37201"/>
    <w:rsid w:val="00C41AFF"/>
    <w:rsid w:val="00C43CA6"/>
    <w:rsid w:val="00C465BC"/>
    <w:rsid w:val="00C544EF"/>
    <w:rsid w:val="00C609CC"/>
    <w:rsid w:val="00C62260"/>
    <w:rsid w:val="00C6272D"/>
    <w:rsid w:val="00C63C8B"/>
    <w:rsid w:val="00C73569"/>
    <w:rsid w:val="00C73FF0"/>
    <w:rsid w:val="00C76D70"/>
    <w:rsid w:val="00C83EFD"/>
    <w:rsid w:val="00C84421"/>
    <w:rsid w:val="00C84CD2"/>
    <w:rsid w:val="00C85908"/>
    <w:rsid w:val="00C87DDE"/>
    <w:rsid w:val="00C91962"/>
    <w:rsid w:val="00C93DB3"/>
    <w:rsid w:val="00C946E9"/>
    <w:rsid w:val="00C969C2"/>
    <w:rsid w:val="00CA1192"/>
    <w:rsid w:val="00CA195A"/>
    <w:rsid w:val="00CA2731"/>
    <w:rsid w:val="00CB1748"/>
    <w:rsid w:val="00CB5040"/>
    <w:rsid w:val="00CC7601"/>
    <w:rsid w:val="00CC79F2"/>
    <w:rsid w:val="00CD0DA3"/>
    <w:rsid w:val="00CD3AD9"/>
    <w:rsid w:val="00CD3E23"/>
    <w:rsid w:val="00CD5399"/>
    <w:rsid w:val="00CE2487"/>
    <w:rsid w:val="00CE72C0"/>
    <w:rsid w:val="00CF2A20"/>
    <w:rsid w:val="00CF2C2B"/>
    <w:rsid w:val="00CF32B3"/>
    <w:rsid w:val="00CF496A"/>
    <w:rsid w:val="00CF4A82"/>
    <w:rsid w:val="00D01C61"/>
    <w:rsid w:val="00D10C26"/>
    <w:rsid w:val="00D128AE"/>
    <w:rsid w:val="00D153FA"/>
    <w:rsid w:val="00D2614C"/>
    <w:rsid w:val="00D27427"/>
    <w:rsid w:val="00D3119B"/>
    <w:rsid w:val="00D33C2B"/>
    <w:rsid w:val="00D35B51"/>
    <w:rsid w:val="00D4065F"/>
    <w:rsid w:val="00D416A1"/>
    <w:rsid w:val="00D4274C"/>
    <w:rsid w:val="00D42AFE"/>
    <w:rsid w:val="00D42E92"/>
    <w:rsid w:val="00D434DB"/>
    <w:rsid w:val="00D45BC2"/>
    <w:rsid w:val="00D51340"/>
    <w:rsid w:val="00D52A0B"/>
    <w:rsid w:val="00D60178"/>
    <w:rsid w:val="00D616CC"/>
    <w:rsid w:val="00D62DD0"/>
    <w:rsid w:val="00D640C0"/>
    <w:rsid w:val="00D64B27"/>
    <w:rsid w:val="00D656E2"/>
    <w:rsid w:val="00D67015"/>
    <w:rsid w:val="00D704F1"/>
    <w:rsid w:val="00D74D54"/>
    <w:rsid w:val="00D7617F"/>
    <w:rsid w:val="00D8776C"/>
    <w:rsid w:val="00D90183"/>
    <w:rsid w:val="00D9148B"/>
    <w:rsid w:val="00D91AB7"/>
    <w:rsid w:val="00D91D45"/>
    <w:rsid w:val="00D9236B"/>
    <w:rsid w:val="00D92859"/>
    <w:rsid w:val="00D93357"/>
    <w:rsid w:val="00D939A2"/>
    <w:rsid w:val="00D93A89"/>
    <w:rsid w:val="00DA16EE"/>
    <w:rsid w:val="00DA5605"/>
    <w:rsid w:val="00DB18BB"/>
    <w:rsid w:val="00DB225C"/>
    <w:rsid w:val="00DB30CF"/>
    <w:rsid w:val="00DB441A"/>
    <w:rsid w:val="00DB49E4"/>
    <w:rsid w:val="00DB51E8"/>
    <w:rsid w:val="00DB7BF4"/>
    <w:rsid w:val="00DB7C06"/>
    <w:rsid w:val="00DC0BD5"/>
    <w:rsid w:val="00DC2218"/>
    <w:rsid w:val="00DC2ED8"/>
    <w:rsid w:val="00DC40E4"/>
    <w:rsid w:val="00DC5A43"/>
    <w:rsid w:val="00DD173E"/>
    <w:rsid w:val="00DE2342"/>
    <w:rsid w:val="00DE69DD"/>
    <w:rsid w:val="00DF1AC7"/>
    <w:rsid w:val="00DF3F52"/>
    <w:rsid w:val="00DF4F47"/>
    <w:rsid w:val="00DF5E69"/>
    <w:rsid w:val="00E013C2"/>
    <w:rsid w:val="00E055B9"/>
    <w:rsid w:val="00E06147"/>
    <w:rsid w:val="00E10AB8"/>
    <w:rsid w:val="00E117E9"/>
    <w:rsid w:val="00E16D2D"/>
    <w:rsid w:val="00E26188"/>
    <w:rsid w:val="00E32E64"/>
    <w:rsid w:val="00E516CE"/>
    <w:rsid w:val="00E533B2"/>
    <w:rsid w:val="00E564B9"/>
    <w:rsid w:val="00E616CC"/>
    <w:rsid w:val="00E65B4C"/>
    <w:rsid w:val="00E66233"/>
    <w:rsid w:val="00E67308"/>
    <w:rsid w:val="00E70A8F"/>
    <w:rsid w:val="00E735A6"/>
    <w:rsid w:val="00E750D9"/>
    <w:rsid w:val="00E753BA"/>
    <w:rsid w:val="00E81264"/>
    <w:rsid w:val="00E8194A"/>
    <w:rsid w:val="00E84BAE"/>
    <w:rsid w:val="00E860C6"/>
    <w:rsid w:val="00E9088D"/>
    <w:rsid w:val="00E920EE"/>
    <w:rsid w:val="00E9277A"/>
    <w:rsid w:val="00E92D96"/>
    <w:rsid w:val="00E92EF6"/>
    <w:rsid w:val="00E93E35"/>
    <w:rsid w:val="00E94CEA"/>
    <w:rsid w:val="00EA12C4"/>
    <w:rsid w:val="00EA46EC"/>
    <w:rsid w:val="00EB064B"/>
    <w:rsid w:val="00EB7570"/>
    <w:rsid w:val="00EC60D3"/>
    <w:rsid w:val="00ED029F"/>
    <w:rsid w:val="00ED032E"/>
    <w:rsid w:val="00ED0C29"/>
    <w:rsid w:val="00ED200D"/>
    <w:rsid w:val="00ED3670"/>
    <w:rsid w:val="00EE12F8"/>
    <w:rsid w:val="00EE518F"/>
    <w:rsid w:val="00EE626A"/>
    <w:rsid w:val="00EE6531"/>
    <w:rsid w:val="00EE6E96"/>
    <w:rsid w:val="00EF0450"/>
    <w:rsid w:val="00EF14FB"/>
    <w:rsid w:val="00EF3098"/>
    <w:rsid w:val="00EF5D23"/>
    <w:rsid w:val="00F00AE9"/>
    <w:rsid w:val="00F0582D"/>
    <w:rsid w:val="00F076A4"/>
    <w:rsid w:val="00F14B6E"/>
    <w:rsid w:val="00F20030"/>
    <w:rsid w:val="00F23A93"/>
    <w:rsid w:val="00F23DB3"/>
    <w:rsid w:val="00F37D07"/>
    <w:rsid w:val="00F42C8D"/>
    <w:rsid w:val="00F57698"/>
    <w:rsid w:val="00F7209E"/>
    <w:rsid w:val="00F75364"/>
    <w:rsid w:val="00F80521"/>
    <w:rsid w:val="00F826FD"/>
    <w:rsid w:val="00F83C4F"/>
    <w:rsid w:val="00F90AB7"/>
    <w:rsid w:val="00F9314C"/>
    <w:rsid w:val="00FA542C"/>
    <w:rsid w:val="00FB1088"/>
    <w:rsid w:val="00FB37D1"/>
    <w:rsid w:val="00FC08AB"/>
    <w:rsid w:val="00FD063F"/>
    <w:rsid w:val="00FD38CE"/>
    <w:rsid w:val="00FD58F5"/>
    <w:rsid w:val="00FD753B"/>
    <w:rsid w:val="00FE1A6F"/>
    <w:rsid w:val="00FE4058"/>
    <w:rsid w:val="00FE6665"/>
    <w:rsid w:val="00FE7EFC"/>
    <w:rsid w:val="00FF0929"/>
    <w:rsid w:val="00FF290D"/>
    <w:rsid w:val="00FF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7418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02"/>
    <w:pPr>
      <w:ind w:left="720"/>
      <w:contextualSpacing/>
    </w:pPr>
  </w:style>
  <w:style w:type="table" w:styleId="TableGrid">
    <w:name w:val="Table Grid"/>
    <w:basedOn w:val="TableNormal"/>
    <w:uiPriority w:val="59"/>
    <w:rsid w:val="00995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24C8"/>
    <w:rPr>
      <w:color w:val="0000FF" w:themeColor="hyperlink"/>
      <w:u w:val="single"/>
    </w:rPr>
  </w:style>
  <w:style w:type="character" w:styleId="FollowedHyperlink">
    <w:name w:val="FollowedHyperlink"/>
    <w:basedOn w:val="DefaultParagraphFont"/>
    <w:uiPriority w:val="99"/>
    <w:semiHidden/>
    <w:unhideWhenUsed/>
    <w:rsid w:val="008E24C8"/>
    <w:rPr>
      <w:color w:val="800080" w:themeColor="followedHyperlink"/>
      <w:u w:val="single"/>
    </w:rPr>
  </w:style>
  <w:style w:type="paragraph" w:customStyle="1" w:styleId="BulletBDUK">
    <w:name w:val="Bullet (BDUK)"/>
    <w:basedOn w:val="Normal"/>
    <w:qFormat/>
    <w:rsid w:val="00D52A0B"/>
    <w:pPr>
      <w:numPr>
        <w:numId w:val="1"/>
      </w:numPr>
      <w:spacing w:before="60" w:after="40" w:line="264" w:lineRule="auto"/>
      <w:jc w:val="both"/>
    </w:pPr>
    <w:rPr>
      <w:rFonts w:eastAsia="Univers 45 Light" w:cs="Times New Roman"/>
    </w:rPr>
  </w:style>
  <w:style w:type="paragraph" w:styleId="BalloonText">
    <w:name w:val="Balloon Text"/>
    <w:basedOn w:val="Normal"/>
    <w:link w:val="BalloonTextChar"/>
    <w:uiPriority w:val="99"/>
    <w:semiHidden/>
    <w:unhideWhenUsed/>
    <w:rsid w:val="00FE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FC"/>
    <w:rPr>
      <w:rFonts w:ascii="Tahoma" w:hAnsi="Tahoma" w:cs="Tahoma"/>
      <w:sz w:val="16"/>
      <w:szCs w:val="16"/>
    </w:rPr>
  </w:style>
  <w:style w:type="character" w:customStyle="1" w:styleId="Heading5Char">
    <w:name w:val="Heading 5 Char"/>
    <w:basedOn w:val="DefaultParagraphFont"/>
    <w:link w:val="Heading5"/>
    <w:uiPriority w:val="9"/>
    <w:rsid w:val="007418BD"/>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nhideWhenUsed/>
    <w:rsid w:val="00CC7601"/>
    <w:rPr>
      <w:sz w:val="16"/>
      <w:szCs w:val="16"/>
    </w:rPr>
  </w:style>
  <w:style w:type="paragraph" w:styleId="CommentText">
    <w:name w:val="annotation text"/>
    <w:basedOn w:val="Normal"/>
    <w:link w:val="CommentTextChar"/>
    <w:uiPriority w:val="99"/>
    <w:semiHidden/>
    <w:unhideWhenUsed/>
    <w:rsid w:val="00CC7601"/>
    <w:pPr>
      <w:spacing w:line="240" w:lineRule="auto"/>
    </w:pPr>
    <w:rPr>
      <w:sz w:val="20"/>
      <w:szCs w:val="20"/>
    </w:rPr>
  </w:style>
  <w:style w:type="character" w:customStyle="1" w:styleId="CommentTextChar">
    <w:name w:val="Comment Text Char"/>
    <w:basedOn w:val="DefaultParagraphFont"/>
    <w:link w:val="CommentText"/>
    <w:uiPriority w:val="99"/>
    <w:semiHidden/>
    <w:rsid w:val="00CC7601"/>
    <w:rPr>
      <w:sz w:val="20"/>
      <w:szCs w:val="20"/>
    </w:rPr>
  </w:style>
  <w:style w:type="paragraph" w:styleId="CommentSubject">
    <w:name w:val="annotation subject"/>
    <w:basedOn w:val="CommentText"/>
    <w:next w:val="CommentText"/>
    <w:link w:val="CommentSubjectChar"/>
    <w:uiPriority w:val="99"/>
    <w:semiHidden/>
    <w:unhideWhenUsed/>
    <w:rsid w:val="00CC7601"/>
    <w:rPr>
      <w:b/>
      <w:bCs/>
    </w:rPr>
  </w:style>
  <w:style w:type="character" w:customStyle="1" w:styleId="CommentSubjectChar">
    <w:name w:val="Comment Subject Char"/>
    <w:basedOn w:val="CommentTextChar"/>
    <w:link w:val="CommentSubject"/>
    <w:uiPriority w:val="99"/>
    <w:semiHidden/>
    <w:rsid w:val="00CC7601"/>
    <w:rPr>
      <w:b/>
      <w:bCs/>
      <w:sz w:val="20"/>
      <w:szCs w:val="20"/>
    </w:rPr>
  </w:style>
  <w:style w:type="paragraph" w:styleId="FootnoteText">
    <w:name w:val="footnote text"/>
    <w:aliases w:val="fn,Footnote Text Char Char,Footnote Text Char Char Char,Footnote Text Char Char Char Char,Footnote Text1 Char,Footnote Text1,Footnote Text1 Char Char Char,Footnote Text1 Char Char Char Char Char Char Char Char,FOOTNOTES"/>
    <w:basedOn w:val="Normal"/>
    <w:link w:val="FootnoteTextChar"/>
    <w:uiPriority w:val="99"/>
    <w:unhideWhenUsed/>
    <w:rsid w:val="00F826FD"/>
    <w:pPr>
      <w:spacing w:after="0" w:line="240" w:lineRule="auto"/>
    </w:pPr>
    <w:rPr>
      <w:sz w:val="20"/>
      <w:szCs w:val="20"/>
    </w:rPr>
  </w:style>
  <w:style w:type="character" w:customStyle="1" w:styleId="FootnoteTextChar">
    <w:name w:val="Footnote Text Char"/>
    <w:aliases w:val="fn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F826FD"/>
    <w:rPr>
      <w:sz w:val="20"/>
      <w:szCs w:val="20"/>
    </w:rPr>
  </w:style>
  <w:style w:type="character" w:styleId="FootnoteReference">
    <w:name w:val="footnote reference"/>
    <w:aliases w:val="Footnote,Footnote symbol,SUPERS,Footnote reference number,Times 10 Point,Exposant 3 Point,Ref,de nota al pie,note TESI,EN Footnote Reference,stylish"/>
    <w:basedOn w:val="DefaultParagraphFont"/>
    <w:uiPriority w:val="99"/>
    <w:unhideWhenUsed/>
    <w:rsid w:val="00F826FD"/>
    <w:rPr>
      <w:vertAlign w:val="superscript"/>
    </w:rPr>
  </w:style>
  <w:style w:type="paragraph" w:customStyle="1" w:styleId="Level2">
    <w:name w:val="Level 2"/>
    <w:basedOn w:val="Normal"/>
    <w:rsid w:val="00C84CD2"/>
    <w:pPr>
      <w:numPr>
        <w:ilvl w:val="1"/>
        <w:numId w:val="3"/>
      </w:numPr>
      <w:adjustRightInd w:val="0"/>
      <w:spacing w:after="240" w:line="240" w:lineRule="auto"/>
      <w:jc w:val="both"/>
      <w:outlineLvl w:val="1"/>
    </w:pPr>
    <w:rPr>
      <w:rFonts w:ascii="Arial" w:eastAsia="Arial" w:hAnsi="Arial" w:cs="Arial"/>
      <w:sz w:val="20"/>
      <w:szCs w:val="20"/>
      <w:lang w:eastAsia="en-GB"/>
    </w:rPr>
  </w:style>
  <w:style w:type="paragraph" w:customStyle="1" w:styleId="Level1">
    <w:name w:val="Level 1"/>
    <w:basedOn w:val="Normal"/>
    <w:rsid w:val="00C84CD2"/>
    <w:pPr>
      <w:numPr>
        <w:numId w:val="3"/>
      </w:numPr>
      <w:adjustRightInd w:val="0"/>
      <w:spacing w:after="240" w:line="240" w:lineRule="auto"/>
      <w:jc w:val="both"/>
      <w:outlineLvl w:val="0"/>
    </w:pPr>
    <w:rPr>
      <w:rFonts w:ascii="Arial" w:eastAsia="Arial" w:hAnsi="Arial" w:cs="Arial"/>
      <w:sz w:val="20"/>
      <w:szCs w:val="20"/>
      <w:lang w:eastAsia="en-GB"/>
    </w:rPr>
  </w:style>
  <w:style w:type="paragraph" w:customStyle="1" w:styleId="Level3">
    <w:name w:val="Level 3"/>
    <w:basedOn w:val="Normal"/>
    <w:rsid w:val="00C84CD2"/>
    <w:pPr>
      <w:numPr>
        <w:ilvl w:val="2"/>
        <w:numId w:val="3"/>
      </w:numPr>
      <w:adjustRightInd w:val="0"/>
      <w:spacing w:after="240" w:line="240" w:lineRule="auto"/>
      <w:jc w:val="both"/>
      <w:outlineLvl w:val="2"/>
    </w:pPr>
    <w:rPr>
      <w:rFonts w:ascii="Arial" w:eastAsia="Arial" w:hAnsi="Arial" w:cs="Arial"/>
      <w:lang w:eastAsia="en-GB"/>
    </w:rPr>
  </w:style>
  <w:style w:type="paragraph" w:customStyle="1" w:styleId="Level4">
    <w:name w:val="Level 4"/>
    <w:basedOn w:val="Normal"/>
    <w:rsid w:val="00C84CD2"/>
    <w:pPr>
      <w:numPr>
        <w:ilvl w:val="3"/>
        <w:numId w:val="3"/>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rsid w:val="00C84CD2"/>
    <w:pPr>
      <w:numPr>
        <w:ilvl w:val="4"/>
        <w:numId w:val="3"/>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rsid w:val="00C84CD2"/>
    <w:pPr>
      <w:numPr>
        <w:ilvl w:val="5"/>
        <w:numId w:val="3"/>
      </w:numPr>
      <w:adjustRightInd w:val="0"/>
      <w:spacing w:after="240" w:line="240" w:lineRule="auto"/>
      <w:jc w:val="both"/>
      <w:outlineLvl w:val="5"/>
    </w:pPr>
    <w:rPr>
      <w:rFonts w:ascii="Arial" w:eastAsia="Arial" w:hAnsi="Arial" w:cs="Arial"/>
      <w:sz w:val="20"/>
      <w:szCs w:val="20"/>
      <w:lang w:eastAsia="en-GB"/>
    </w:rPr>
  </w:style>
  <w:style w:type="paragraph" w:styleId="PlainText">
    <w:name w:val="Plain Text"/>
    <w:basedOn w:val="Normal"/>
    <w:link w:val="PlainTextChar"/>
    <w:uiPriority w:val="99"/>
    <w:semiHidden/>
    <w:unhideWhenUsed/>
    <w:rsid w:val="003F6FE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F6FE4"/>
    <w:rPr>
      <w:rFonts w:ascii="Calibri" w:hAnsi="Calibri" w:cs="Calibri"/>
    </w:rPr>
  </w:style>
  <w:style w:type="paragraph" w:styleId="NormalWeb">
    <w:name w:val="Normal (Web)"/>
    <w:basedOn w:val="Normal"/>
    <w:uiPriority w:val="99"/>
    <w:semiHidden/>
    <w:unhideWhenUsed/>
    <w:rsid w:val="00910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1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D3"/>
  </w:style>
  <w:style w:type="paragraph" w:styleId="Footer">
    <w:name w:val="footer"/>
    <w:basedOn w:val="Normal"/>
    <w:link w:val="FooterChar"/>
    <w:uiPriority w:val="99"/>
    <w:unhideWhenUsed/>
    <w:rsid w:val="0001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D3"/>
  </w:style>
  <w:style w:type="table" w:customStyle="1" w:styleId="TableGrid1">
    <w:name w:val="Table Grid1"/>
    <w:basedOn w:val="TableNormal"/>
    <w:next w:val="TableGrid"/>
    <w:uiPriority w:val="59"/>
    <w:rsid w:val="00673F8B"/>
    <w:pPr>
      <w:spacing w:after="0" w:line="240" w:lineRule="auto"/>
    </w:pPr>
    <w:rPr>
      <w:rFonts w:ascii="Arial" w:eastAsia="Times New Roman" w:hAnsi="Arial"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7418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02"/>
    <w:pPr>
      <w:ind w:left="720"/>
      <w:contextualSpacing/>
    </w:pPr>
  </w:style>
  <w:style w:type="table" w:styleId="TableGrid">
    <w:name w:val="Table Grid"/>
    <w:basedOn w:val="TableNormal"/>
    <w:uiPriority w:val="59"/>
    <w:rsid w:val="00995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24C8"/>
    <w:rPr>
      <w:color w:val="0000FF" w:themeColor="hyperlink"/>
      <w:u w:val="single"/>
    </w:rPr>
  </w:style>
  <w:style w:type="character" w:styleId="FollowedHyperlink">
    <w:name w:val="FollowedHyperlink"/>
    <w:basedOn w:val="DefaultParagraphFont"/>
    <w:uiPriority w:val="99"/>
    <w:semiHidden/>
    <w:unhideWhenUsed/>
    <w:rsid w:val="008E24C8"/>
    <w:rPr>
      <w:color w:val="800080" w:themeColor="followedHyperlink"/>
      <w:u w:val="single"/>
    </w:rPr>
  </w:style>
  <w:style w:type="paragraph" w:customStyle="1" w:styleId="BulletBDUK">
    <w:name w:val="Bullet (BDUK)"/>
    <w:basedOn w:val="Normal"/>
    <w:qFormat/>
    <w:rsid w:val="00D52A0B"/>
    <w:pPr>
      <w:numPr>
        <w:numId w:val="1"/>
      </w:numPr>
      <w:spacing w:before="60" w:after="40" w:line="264" w:lineRule="auto"/>
      <w:jc w:val="both"/>
    </w:pPr>
    <w:rPr>
      <w:rFonts w:eastAsia="Univers 45 Light" w:cs="Times New Roman"/>
    </w:rPr>
  </w:style>
  <w:style w:type="paragraph" w:styleId="BalloonText">
    <w:name w:val="Balloon Text"/>
    <w:basedOn w:val="Normal"/>
    <w:link w:val="BalloonTextChar"/>
    <w:uiPriority w:val="99"/>
    <w:semiHidden/>
    <w:unhideWhenUsed/>
    <w:rsid w:val="00FE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FC"/>
    <w:rPr>
      <w:rFonts w:ascii="Tahoma" w:hAnsi="Tahoma" w:cs="Tahoma"/>
      <w:sz w:val="16"/>
      <w:szCs w:val="16"/>
    </w:rPr>
  </w:style>
  <w:style w:type="character" w:customStyle="1" w:styleId="Heading5Char">
    <w:name w:val="Heading 5 Char"/>
    <w:basedOn w:val="DefaultParagraphFont"/>
    <w:link w:val="Heading5"/>
    <w:uiPriority w:val="9"/>
    <w:rsid w:val="007418BD"/>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nhideWhenUsed/>
    <w:rsid w:val="00CC7601"/>
    <w:rPr>
      <w:sz w:val="16"/>
      <w:szCs w:val="16"/>
    </w:rPr>
  </w:style>
  <w:style w:type="paragraph" w:styleId="CommentText">
    <w:name w:val="annotation text"/>
    <w:basedOn w:val="Normal"/>
    <w:link w:val="CommentTextChar"/>
    <w:uiPriority w:val="99"/>
    <w:semiHidden/>
    <w:unhideWhenUsed/>
    <w:rsid w:val="00CC7601"/>
    <w:pPr>
      <w:spacing w:line="240" w:lineRule="auto"/>
    </w:pPr>
    <w:rPr>
      <w:sz w:val="20"/>
      <w:szCs w:val="20"/>
    </w:rPr>
  </w:style>
  <w:style w:type="character" w:customStyle="1" w:styleId="CommentTextChar">
    <w:name w:val="Comment Text Char"/>
    <w:basedOn w:val="DefaultParagraphFont"/>
    <w:link w:val="CommentText"/>
    <w:uiPriority w:val="99"/>
    <w:semiHidden/>
    <w:rsid w:val="00CC7601"/>
    <w:rPr>
      <w:sz w:val="20"/>
      <w:szCs w:val="20"/>
    </w:rPr>
  </w:style>
  <w:style w:type="paragraph" w:styleId="CommentSubject">
    <w:name w:val="annotation subject"/>
    <w:basedOn w:val="CommentText"/>
    <w:next w:val="CommentText"/>
    <w:link w:val="CommentSubjectChar"/>
    <w:uiPriority w:val="99"/>
    <w:semiHidden/>
    <w:unhideWhenUsed/>
    <w:rsid w:val="00CC7601"/>
    <w:rPr>
      <w:b/>
      <w:bCs/>
    </w:rPr>
  </w:style>
  <w:style w:type="character" w:customStyle="1" w:styleId="CommentSubjectChar">
    <w:name w:val="Comment Subject Char"/>
    <w:basedOn w:val="CommentTextChar"/>
    <w:link w:val="CommentSubject"/>
    <w:uiPriority w:val="99"/>
    <w:semiHidden/>
    <w:rsid w:val="00CC7601"/>
    <w:rPr>
      <w:b/>
      <w:bCs/>
      <w:sz w:val="20"/>
      <w:szCs w:val="20"/>
    </w:rPr>
  </w:style>
  <w:style w:type="paragraph" w:styleId="FootnoteText">
    <w:name w:val="footnote text"/>
    <w:aliases w:val="fn,Footnote Text Char Char,Footnote Text Char Char Char,Footnote Text Char Char Char Char,Footnote Text1 Char,Footnote Text1,Footnote Text1 Char Char Char,Footnote Text1 Char Char Char Char Char Char Char Char,FOOTNOTES"/>
    <w:basedOn w:val="Normal"/>
    <w:link w:val="FootnoteTextChar"/>
    <w:uiPriority w:val="99"/>
    <w:unhideWhenUsed/>
    <w:rsid w:val="00F826FD"/>
    <w:pPr>
      <w:spacing w:after="0" w:line="240" w:lineRule="auto"/>
    </w:pPr>
    <w:rPr>
      <w:sz w:val="20"/>
      <w:szCs w:val="20"/>
    </w:rPr>
  </w:style>
  <w:style w:type="character" w:customStyle="1" w:styleId="FootnoteTextChar">
    <w:name w:val="Footnote Text Char"/>
    <w:aliases w:val="fn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F826FD"/>
    <w:rPr>
      <w:sz w:val="20"/>
      <w:szCs w:val="20"/>
    </w:rPr>
  </w:style>
  <w:style w:type="character" w:styleId="FootnoteReference">
    <w:name w:val="footnote reference"/>
    <w:aliases w:val="Footnote,Footnote symbol,SUPERS,Footnote reference number,Times 10 Point,Exposant 3 Point,Ref,de nota al pie,note TESI,EN Footnote Reference,stylish"/>
    <w:basedOn w:val="DefaultParagraphFont"/>
    <w:uiPriority w:val="99"/>
    <w:unhideWhenUsed/>
    <w:rsid w:val="00F826FD"/>
    <w:rPr>
      <w:vertAlign w:val="superscript"/>
    </w:rPr>
  </w:style>
  <w:style w:type="paragraph" w:customStyle="1" w:styleId="Level2">
    <w:name w:val="Level 2"/>
    <w:basedOn w:val="Normal"/>
    <w:rsid w:val="00C84CD2"/>
    <w:pPr>
      <w:numPr>
        <w:ilvl w:val="1"/>
        <w:numId w:val="3"/>
      </w:numPr>
      <w:adjustRightInd w:val="0"/>
      <w:spacing w:after="240" w:line="240" w:lineRule="auto"/>
      <w:jc w:val="both"/>
      <w:outlineLvl w:val="1"/>
    </w:pPr>
    <w:rPr>
      <w:rFonts w:ascii="Arial" w:eastAsia="Arial" w:hAnsi="Arial" w:cs="Arial"/>
      <w:sz w:val="20"/>
      <w:szCs w:val="20"/>
      <w:lang w:eastAsia="en-GB"/>
    </w:rPr>
  </w:style>
  <w:style w:type="paragraph" w:customStyle="1" w:styleId="Level1">
    <w:name w:val="Level 1"/>
    <w:basedOn w:val="Normal"/>
    <w:rsid w:val="00C84CD2"/>
    <w:pPr>
      <w:numPr>
        <w:numId w:val="3"/>
      </w:numPr>
      <w:adjustRightInd w:val="0"/>
      <w:spacing w:after="240" w:line="240" w:lineRule="auto"/>
      <w:jc w:val="both"/>
      <w:outlineLvl w:val="0"/>
    </w:pPr>
    <w:rPr>
      <w:rFonts w:ascii="Arial" w:eastAsia="Arial" w:hAnsi="Arial" w:cs="Arial"/>
      <w:sz w:val="20"/>
      <w:szCs w:val="20"/>
      <w:lang w:eastAsia="en-GB"/>
    </w:rPr>
  </w:style>
  <w:style w:type="paragraph" w:customStyle="1" w:styleId="Level3">
    <w:name w:val="Level 3"/>
    <w:basedOn w:val="Normal"/>
    <w:rsid w:val="00C84CD2"/>
    <w:pPr>
      <w:numPr>
        <w:ilvl w:val="2"/>
        <w:numId w:val="3"/>
      </w:numPr>
      <w:adjustRightInd w:val="0"/>
      <w:spacing w:after="240" w:line="240" w:lineRule="auto"/>
      <w:jc w:val="both"/>
      <w:outlineLvl w:val="2"/>
    </w:pPr>
    <w:rPr>
      <w:rFonts w:ascii="Arial" w:eastAsia="Arial" w:hAnsi="Arial" w:cs="Arial"/>
      <w:lang w:eastAsia="en-GB"/>
    </w:rPr>
  </w:style>
  <w:style w:type="paragraph" w:customStyle="1" w:styleId="Level4">
    <w:name w:val="Level 4"/>
    <w:basedOn w:val="Normal"/>
    <w:rsid w:val="00C84CD2"/>
    <w:pPr>
      <w:numPr>
        <w:ilvl w:val="3"/>
        <w:numId w:val="3"/>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rsid w:val="00C84CD2"/>
    <w:pPr>
      <w:numPr>
        <w:ilvl w:val="4"/>
        <w:numId w:val="3"/>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rsid w:val="00C84CD2"/>
    <w:pPr>
      <w:numPr>
        <w:ilvl w:val="5"/>
        <w:numId w:val="3"/>
      </w:numPr>
      <w:adjustRightInd w:val="0"/>
      <w:spacing w:after="240" w:line="240" w:lineRule="auto"/>
      <w:jc w:val="both"/>
      <w:outlineLvl w:val="5"/>
    </w:pPr>
    <w:rPr>
      <w:rFonts w:ascii="Arial" w:eastAsia="Arial" w:hAnsi="Arial" w:cs="Arial"/>
      <w:sz w:val="20"/>
      <w:szCs w:val="20"/>
      <w:lang w:eastAsia="en-GB"/>
    </w:rPr>
  </w:style>
  <w:style w:type="paragraph" w:styleId="PlainText">
    <w:name w:val="Plain Text"/>
    <w:basedOn w:val="Normal"/>
    <w:link w:val="PlainTextChar"/>
    <w:uiPriority w:val="99"/>
    <w:semiHidden/>
    <w:unhideWhenUsed/>
    <w:rsid w:val="003F6FE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F6FE4"/>
    <w:rPr>
      <w:rFonts w:ascii="Calibri" w:hAnsi="Calibri" w:cs="Calibri"/>
    </w:rPr>
  </w:style>
  <w:style w:type="paragraph" w:styleId="NormalWeb">
    <w:name w:val="Normal (Web)"/>
    <w:basedOn w:val="Normal"/>
    <w:uiPriority w:val="99"/>
    <w:semiHidden/>
    <w:unhideWhenUsed/>
    <w:rsid w:val="00910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1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D3"/>
  </w:style>
  <w:style w:type="paragraph" w:styleId="Footer">
    <w:name w:val="footer"/>
    <w:basedOn w:val="Normal"/>
    <w:link w:val="FooterChar"/>
    <w:uiPriority w:val="99"/>
    <w:unhideWhenUsed/>
    <w:rsid w:val="0001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D3"/>
  </w:style>
  <w:style w:type="table" w:customStyle="1" w:styleId="TableGrid1">
    <w:name w:val="Table Grid1"/>
    <w:basedOn w:val="TableNormal"/>
    <w:next w:val="TableGrid"/>
    <w:uiPriority w:val="59"/>
    <w:rsid w:val="00673F8B"/>
    <w:pPr>
      <w:spacing w:after="0" w:line="240" w:lineRule="auto"/>
    </w:pPr>
    <w:rPr>
      <w:rFonts w:ascii="Arial" w:eastAsia="Times New Roman" w:hAnsi="Arial"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1525">
      <w:bodyDiv w:val="1"/>
      <w:marLeft w:val="0"/>
      <w:marRight w:val="0"/>
      <w:marTop w:val="0"/>
      <w:marBottom w:val="0"/>
      <w:divBdr>
        <w:top w:val="none" w:sz="0" w:space="0" w:color="auto"/>
        <w:left w:val="none" w:sz="0" w:space="0" w:color="auto"/>
        <w:bottom w:val="none" w:sz="0" w:space="0" w:color="auto"/>
        <w:right w:val="none" w:sz="0" w:space="0" w:color="auto"/>
      </w:divBdr>
    </w:div>
    <w:div w:id="71857614">
      <w:bodyDiv w:val="1"/>
      <w:marLeft w:val="0"/>
      <w:marRight w:val="0"/>
      <w:marTop w:val="0"/>
      <w:marBottom w:val="0"/>
      <w:divBdr>
        <w:top w:val="none" w:sz="0" w:space="0" w:color="auto"/>
        <w:left w:val="none" w:sz="0" w:space="0" w:color="auto"/>
        <w:bottom w:val="none" w:sz="0" w:space="0" w:color="auto"/>
        <w:right w:val="none" w:sz="0" w:space="0" w:color="auto"/>
      </w:divBdr>
    </w:div>
    <w:div w:id="354040827">
      <w:bodyDiv w:val="1"/>
      <w:marLeft w:val="0"/>
      <w:marRight w:val="0"/>
      <w:marTop w:val="0"/>
      <w:marBottom w:val="0"/>
      <w:divBdr>
        <w:top w:val="none" w:sz="0" w:space="0" w:color="auto"/>
        <w:left w:val="none" w:sz="0" w:space="0" w:color="auto"/>
        <w:bottom w:val="none" w:sz="0" w:space="0" w:color="auto"/>
        <w:right w:val="none" w:sz="0" w:space="0" w:color="auto"/>
      </w:divBdr>
    </w:div>
    <w:div w:id="519588141">
      <w:bodyDiv w:val="1"/>
      <w:marLeft w:val="0"/>
      <w:marRight w:val="0"/>
      <w:marTop w:val="0"/>
      <w:marBottom w:val="0"/>
      <w:divBdr>
        <w:top w:val="none" w:sz="0" w:space="0" w:color="auto"/>
        <w:left w:val="none" w:sz="0" w:space="0" w:color="auto"/>
        <w:bottom w:val="none" w:sz="0" w:space="0" w:color="auto"/>
        <w:right w:val="none" w:sz="0" w:space="0" w:color="auto"/>
      </w:divBdr>
    </w:div>
    <w:div w:id="524294043">
      <w:bodyDiv w:val="1"/>
      <w:marLeft w:val="0"/>
      <w:marRight w:val="0"/>
      <w:marTop w:val="0"/>
      <w:marBottom w:val="0"/>
      <w:divBdr>
        <w:top w:val="none" w:sz="0" w:space="0" w:color="auto"/>
        <w:left w:val="none" w:sz="0" w:space="0" w:color="auto"/>
        <w:bottom w:val="none" w:sz="0" w:space="0" w:color="auto"/>
        <w:right w:val="none" w:sz="0" w:space="0" w:color="auto"/>
      </w:divBdr>
    </w:div>
    <w:div w:id="655453803">
      <w:bodyDiv w:val="1"/>
      <w:marLeft w:val="0"/>
      <w:marRight w:val="0"/>
      <w:marTop w:val="0"/>
      <w:marBottom w:val="0"/>
      <w:divBdr>
        <w:top w:val="none" w:sz="0" w:space="0" w:color="auto"/>
        <w:left w:val="none" w:sz="0" w:space="0" w:color="auto"/>
        <w:bottom w:val="none" w:sz="0" w:space="0" w:color="auto"/>
        <w:right w:val="none" w:sz="0" w:space="0" w:color="auto"/>
      </w:divBdr>
    </w:div>
    <w:div w:id="735512354">
      <w:bodyDiv w:val="1"/>
      <w:marLeft w:val="0"/>
      <w:marRight w:val="0"/>
      <w:marTop w:val="0"/>
      <w:marBottom w:val="0"/>
      <w:divBdr>
        <w:top w:val="none" w:sz="0" w:space="0" w:color="auto"/>
        <w:left w:val="none" w:sz="0" w:space="0" w:color="auto"/>
        <w:bottom w:val="none" w:sz="0" w:space="0" w:color="auto"/>
        <w:right w:val="none" w:sz="0" w:space="0" w:color="auto"/>
      </w:divBdr>
    </w:div>
    <w:div w:id="1089086602">
      <w:bodyDiv w:val="1"/>
      <w:marLeft w:val="0"/>
      <w:marRight w:val="0"/>
      <w:marTop w:val="0"/>
      <w:marBottom w:val="0"/>
      <w:divBdr>
        <w:top w:val="none" w:sz="0" w:space="0" w:color="auto"/>
        <w:left w:val="none" w:sz="0" w:space="0" w:color="auto"/>
        <w:bottom w:val="none" w:sz="0" w:space="0" w:color="auto"/>
        <w:right w:val="none" w:sz="0" w:space="0" w:color="auto"/>
      </w:divBdr>
    </w:div>
    <w:div w:id="1165392099">
      <w:bodyDiv w:val="1"/>
      <w:marLeft w:val="0"/>
      <w:marRight w:val="0"/>
      <w:marTop w:val="0"/>
      <w:marBottom w:val="0"/>
      <w:divBdr>
        <w:top w:val="none" w:sz="0" w:space="0" w:color="auto"/>
        <w:left w:val="none" w:sz="0" w:space="0" w:color="auto"/>
        <w:bottom w:val="none" w:sz="0" w:space="0" w:color="auto"/>
        <w:right w:val="none" w:sz="0" w:space="0" w:color="auto"/>
      </w:divBdr>
    </w:div>
    <w:div w:id="1193495885">
      <w:bodyDiv w:val="1"/>
      <w:marLeft w:val="0"/>
      <w:marRight w:val="0"/>
      <w:marTop w:val="0"/>
      <w:marBottom w:val="0"/>
      <w:divBdr>
        <w:top w:val="none" w:sz="0" w:space="0" w:color="auto"/>
        <w:left w:val="none" w:sz="0" w:space="0" w:color="auto"/>
        <w:bottom w:val="none" w:sz="0" w:space="0" w:color="auto"/>
        <w:right w:val="none" w:sz="0" w:space="0" w:color="auto"/>
      </w:divBdr>
    </w:div>
    <w:div w:id="1216550584">
      <w:bodyDiv w:val="1"/>
      <w:marLeft w:val="0"/>
      <w:marRight w:val="0"/>
      <w:marTop w:val="0"/>
      <w:marBottom w:val="0"/>
      <w:divBdr>
        <w:top w:val="none" w:sz="0" w:space="0" w:color="auto"/>
        <w:left w:val="none" w:sz="0" w:space="0" w:color="auto"/>
        <w:bottom w:val="none" w:sz="0" w:space="0" w:color="auto"/>
        <w:right w:val="none" w:sz="0" w:space="0" w:color="auto"/>
      </w:divBdr>
    </w:div>
    <w:div w:id="1223372914">
      <w:bodyDiv w:val="1"/>
      <w:marLeft w:val="0"/>
      <w:marRight w:val="0"/>
      <w:marTop w:val="0"/>
      <w:marBottom w:val="0"/>
      <w:divBdr>
        <w:top w:val="none" w:sz="0" w:space="0" w:color="auto"/>
        <w:left w:val="none" w:sz="0" w:space="0" w:color="auto"/>
        <w:bottom w:val="none" w:sz="0" w:space="0" w:color="auto"/>
        <w:right w:val="none" w:sz="0" w:space="0" w:color="auto"/>
      </w:divBdr>
    </w:div>
    <w:div w:id="1400440782">
      <w:bodyDiv w:val="1"/>
      <w:marLeft w:val="0"/>
      <w:marRight w:val="0"/>
      <w:marTop w:val="0"/>
      <w:marBottom w:val="0"/>
      <w:divBdr>
        <w:top w:val="none" w:sz="0" w:space="0" w:color="auto"/>
        <w:left w:val="none" w:sz="0" w:space="0" w:color="auto"/>
        <w:bottom w:val="none" w:sz="0" w:space="0" w:color="auto"/>
        <w:right w:val="none" w:sz="0" w:space="0" w:color="auto"/>
      </w:divBdr>
    </w:div>
    <w:div w:id="1445148077">
      <w:bodyDiv w:val="1"/>
      <w:marLeft w:val="0"/>
      <w:marRight w:val="0"/>
      <w:marTop w:val="0"/>
      <w:marBottom w:val="0"/>
      <w:divBdr>
        <w:top w:val="none" w:sz="0" w:space="0" w:color="auto"/>
        <w:left w:val="none" w:sz="0" w:space="0" w:color="auto"/>
        <w:bottom w:val="none" w:sz="0" w:space="0" w:color="auto"/>
        <w:right w:val="none" w:sz="0" w:space="0" w:color="auto"/>
      </w:divBdr>
    </w:div>
    <w:div w:id="1467697589">
      <w:bodyDiv w:val="1"/>
      <w:marLeft w:val="0"/>
      <w:marRight w:val="0"/>
      <w:marTop w:val="0"/>
      <w:marBottom w:val="0"/>
      <w:divBdr>
        <w:top w:val="none" w:sz="0" w:space="0" w:color="auto"/>
        <w:left w:val="none" w:sz="0" w:space="0" w:color="auto"/>
        <w:bottom w:val="none" w:sz="0" w:space="0" w:color="auto"/>
        <w:right w:val="none" w:sz="0" w:space="0" w:color="auto"/>
      </w:divBdr>
    </w:div>
    <w:div w:id="1473787988">
      <w:bodyDiv w:val="1"/>
      <w:marLeft w:val="0"/>
      <w:marRight w:val="0"/>
      <w:marTop w:val="0"/>
      <w:marBottom w:val="0"/>
      <w:divBdr>
        <w:top w:val="none" w:sz="0" w:space="0" w:color="auto"/>
        <w:left w:val="none" w:sz="0" w:space="0" w:color="auto"/>
        <w:bottom w:val="none" w:sz="0" w:space="0" w:color="auto"/>
        <w:right w:val="none" w:sz="0" w:space="0" w:color="auto"/>
      </w:divBdr>
    </w:div>
    <w:div w:id="1496188048">
      <w:bodyDiv w:val="1"/>
      <w:marLeft w:val="0"/>
      <w:marRight w:val="0"/>
      <w:marTop w:val="0"/>
      <w:marBottom w:val="0"/>
      <w:divBdr>
        <w:top w:val="none" w:sz="0" w:space="0" w:color="auto"/>
        <w:left w:val="none" w:sz="0" w:space="0" w:color="auto"/>
        <w:bottom w:val="none" w:sz="0" w:space="0" w:color="auto"/>
        <w:right w:val="none" w:sz="0" w:space="0" w:color="auto"/>
      </w:divBdr>
    </w:div>
    <w:div w:id="1591154489">
      <w:bodyDiv w:val="1"/>
      <w:marLeft w:val="0"/>
      <w:marRight w:val="0"/>
      <w:marTop w:val="0"/>
      <w:marBottom w:val="0"/>
      <w:divBdr>
        <w:top w:val="none" w:sz="0" w:space="0" w:color="auto"/>
        <w:left w:val="none" w:sz="0" w:space="0" w:color="auto"/>
        <w:bottom w:val="none" w:sz="0" w:space="0" w:color="auto"/>
        <w:right w:val="none" w:sz="0" w:space="0" w:color="auto"/>
      </w:divBdr>
    </w:div>
    <w:div w:id="1682507985">
      <w:bodyDiv w:val="1"/>
      <w:marLeft w:val="0"/>
      <w:marRight w:val="0"/>
      <w:marTop w:val="0"/>
      <w:marBottom w:val="0"/>
      <w:divBdr>
        <w:top w:val="none" w:sz="0" w:space="0" w:color="auto"/>
        <w:left w:val="none" w:sz="0" w:space="0" w:color="auto"/>
        <w:bottom w:val="none" w:sz="0" w:space="0" w:color="auto"/>
        <w:right w:val="none" w:sz="0" w:space="0" w:color="auto"/>
      </w:divBdr>
    </w:div>
    <w:div w:id="1758676506">
      <w:bodyDiv w:val="1"/>
      <w:marLeft w:val="0"/>
      <w:marRight w:val="0"/>
      <w:marTop w:val="0"/>
      <w:marBottom w:val="0"/>
      <w:divBdr>
        <w:top w:val="none" w:sz="0" w:space="0" w:color="auto"/>
        <w:left w:val="none" w:sz="0" w:space="0" w:color="auto"/>
        <w:bottom w:val="none" w:sz="0" w:space="0" w:color="auto"/>
        <w:right w:val="none" w:sz="0" w:space="0" w:color="auto"/>
      </w:divBdr>
    </w:div>
    <w:div w:id="17700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nectionvouchers.co.uk/" TargetMode="External"/><Relationship Id="rId5" Type="http://schemas.openxmlformats.org/officeDocument/2006/relationships/settings" Target="settings.xml"/><Relationship Id="rId10" Type="http://schemas.openxmlformats.org/officeDocument/2006/relationships/hyperlink" Target="mailto:urbanbroadbandfund@culture.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39182/BDUK_vouchers.pdf" TargetMode="External"/><Relationship Id="rId3" Type="http://schemas.openxmlformats.org/officeDocument/2006/relationships/hyperlink" Target="http://www.broadbanduk.org/" TargetMode="External"/><Relationship Id="rId7" Type="http://schemas.openxmlformats.org/officeDocument/2006/relationships/hyperlink" Target="http://www.fsb.org.uk/" TargetMode="External"/><Relationship Id="rId2" Type="http://schemas.openxmlformats.org/officeDocument/2006/relationships/hyperlink" Target="http://www.ispa.org.uk/" TargetMode="External"/><Relationship Id="rId1" Type="http://schemas.openxmlformats.org/officeDocument/2006/relationships/hyperlink" Target="https://www.gov.uk/government/uploads/system/uploads/attachment_data/file/208734/UBF_Voucher_Consultation_250613.pdf" TargetMode="External"/><Relationship Id="rId6" Type="http://schemas.openxmlformats.org/officeDocument/2006/relationships/hyperlink" Target="http://www.esoa.net/" TargetMode="External"/><Relationship Id="rId11" Type="http://schemas.openxmlformats.org/officeDocument/2006/relationships/hyperlink" Target="https://www.gov.uk/government/news/the-benefits-of-broadband" TargetMode="External"/><Relationship Id="rId5" Type="http://schemas.openxmlformats.org/officeDocument/2006/relationships/hyperlink" Target="http://www.inca.coop/" TargetMode="External"/><Relationship Id="rId10" Type="http://schemas.openxmlformats.org/officeDocument/2006/relationships/hyperlink" Target="https://www.gov.uk/government/publications/uk-broadband-impact-study" TargetMode="External"/><Relationship Id="rId4" Type="http://schemas.openxmlformats.org/officeDocument/2006/relationships/hyperlink" Target="http://www.fcs.org.uk/Home.aspx" TargetMode="External"/><Relationship Id="rId9" Type="http://schemas.openxmlformats.org/officeDocument/2006/relationships/hyperlink" Target="https://www.gov.uk/government/consultations/connection-vouchers-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2972-BF27-4ADE-8048-641A1E6D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Bird</dc:creator>
  <cp:lastModifiedBy>James Bird</cp:lastModifiedBy>
  <cp:revision>2</cp:revision>
  <cp:lastPrinted>2013-11-19T17:33:00Z</cp:lastPrinted>
  <dcterms:created xsi:type="dcterms:W3CDTF">2013-12-19T09:25:00Z</dcterms:created>
  <dcterms:modified xsi:type="dcterms:W3CDTF">2013-12-19T09:25:00Z</dcterms:modified>
</cp:coreProperties>
</file>