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0BB" w:rsidRPr="008A5812" w:rsidRDefault="003620BB" w:rsidP="00CB1716">
      <w:pPr>
        <w:spacing w:after="160" w:line="240" w:lineRule="auto"/>
        <w:jc w:val="both"/>
        <w:rPr>
          <w:color w:val="009EE3"/>
          <w:sz w:val="52"/>
          <w:szCs w:val="52"/>
        </w:rPr>
      </w:pPr>
      <w:bookmarkStart w:id="0" w:name="OLE_LINK15"/>
      <w:bookmarkStart w:id="1" w:name="OLE_LINK16"/>
      <w:r>
        <w:rPr>
          <w:color w:val="009EE3"/>
          <w:sz w:val="52"/>
          <w:szCs w:val="52"/>
        </w:rPr>
        <w:t xml:space="preserve">Domestic Green Deal, </w:t>
      </w:r>
      <w:r w:rsidR="00CB1716" w:rsidRPr="008A5812">
        <w:rPr>
          <w:color w:val="009EE3"/>
          <w:sz w:val="52"/>
          <w:szCs w:val="52"/>
        </w:rPr>
        <w:t xml:space="preserve">Energy Company Obligation </w:t>
      </w:r>
      <w:r w:rsidR="00E94612">
        <w:rPr>
          <w:color w:val="009EE3"/>
          <w:sz w:val="52"/>
          <w:szCs w:val="52"/>
        </w:rPr>
        <w:t xml:space="preserve">and Insulation Levels in Great Britain, </w:t>
      </w:r>
      <w:r w:rsidR="004317C5" w:rsidRPr="004317C5">
        <w:rPr>
          <w:color w:val="009EE3"/>
          <w:sz w:val="52"/>
          <w:szCs w:val="52"/>
        </w:rPr>
        <w:t>Quarterly report</w:t>
      </w: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A979BF" w:rsidRPr="0050316A" w:rsidRDefault="006D5D73" w:rsidP="0087707B">
      <w:pPr>
        <w:spacing w:after="160" w:line="240" w:lineRule="auto"/>
        <w:jc w:val="both"/>
        <w:rPr>
          <w:color w:val="FFFFFF"/>
          <w:sz w:val="32"/>
          <w:szCs w:val="32"/>
        </w:rPr>
      </w:pPr>
      <w:r>
        <w:rPr>
          <w:color w:val="FFFFFF"/>
          <w:sz w:val="32"/>
          <w:szCs w:val="32"/>
        </w:rPr>
        <w:t>Statistical release: Experimental statistics</w:t>
      </w:r>
      <w:bookmarkEnd w:id="0"/>
      <w:bookmarkEnd w:id="1"/>
    </w:p>
    <w:p w:rsidR="00721C77" w:rsidRPr="008A5812" w:rsidRDefault="00CB1716" w:rsidP="00721C77">
      <w:pPr>
        <w:pStyle w:val="Date"/>
        <w:rPr>
          <w:rFonts w:cs="Arial"/>
        </w:rPr>
        <w:sectPr w:rsidR="00721C77" w:rsidRPr="008A5812" w:rsidSect="004317C5">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70" w:right="851" w:bottom="567" w:left="851" w:header="680" w:footer="165" w:gutter="0"/>
          <w:cols w:space="720"/>
          <w:formProt w:val="0"/>
          <w:titlePg/>
        </w:sectPr>
      </w:pPr>
      <w:r w:rsidRPr="008A5812">
        <w:rPr>
          <w:rFonts w:cs="Arial"/>
        </w:rPr>
        <w:t xml:space="preserve">19 </w:t>
      </w:r>
      <w:r w:rsidR="004317C5">
        <w:rPr>
          <w:rFonts w:cs="Arial"/>
        </w:rPr>
        <w:t>December</w:t>
      </w:r>
      <w:r w:rsidRPr="008A5812">
        <w:rPr>
          <w:rFonts w:cs="Arial"/>
        </w:rPr>
        <w:t xml:space="preserve"> 2013</w:t>
      </w:r>
    </w:p>
    <w:p w:rsidR="00927623" w:rsidRPr="008A5812" w:rsidRDefault="00927623" w:rsidP="00927623">
      <w:r w:rsidRPr="008A5812">
        <w:lastRenderedPageBreak/>
        <w:t xml:space="preserve">© Crown copyright </w:t>
      </w:r>
      <w:r w:rsidR="0087707B">
        <w:t>2013</w:t>
      </w:r>
      <w:r w:rsidR="00546E91" w:rsidRPr="008A5812">
        <w:t xml:space="preserve"> </w:t>
      </w:r>
    </w:p>
    <w:p w:rsidR="00927623" w:rsidRPr="008A5812" w:rsidRDefault="00927623" w:rsidP="00927623">
      <w:r w:rsidRPr="008A5812">
        <w:t>You may re-use this information (not including logos) free of charge in any format or medium, under the terms of the Open Government Licence.</w:t>
      </w:r>
      <w:r w:rsidR="00546E91" w:rsidRPr="008A5812">
        <w:t xml:space="preserve"> </w:t>
      </w:r>
    </w:p>
    <w:p w:rsidR="00927623" w:rsidRPr="008A5812" w:rsidRDefault="00927623" w:rsidP="00927623">
      <w:r w:rsidRPr="008A5812">
        <w:t xml:space="preserve">To view this licence, visit </w:t>
      </w:r>
      <w:hyperlink r:id="rId18" w:history="1">
        <w:r w:rsidRPr="008A5812">
          <w:rPr>
            <w:rStyle w:val="Hyperlink"/>
            <w:rFonts w:ascii="Arial" w:hAnsi="Arial"/>
          </w:rPr>
          <w:t>www.nationalarchives.gov.uk/doc/open-government-licence/</w:t>
        </w:r>
      </w:hyperlink>
      <w:r w:rsidRPr="008A5812">
        <w:t xml:space="preserve"> </w:t>
      </w:r>
      <w:r w:rsidRPr="008A5812">
        <w:br/>
        <w:t xml:space="preserve">or write to the Information Policy Team, The National Archives, Kew, London TW9 4DU, </w:t>
      </w:r>
      <w:r w:rsidRPr="008A5812">
        <w:br/>
        <w:t xml:space="preserve">or email: </w:t>
      </w:r>
      <w:hyperlink r:id="rId19" w:history="1">
        <w:r w:rsidRPr="008A5812">
          <w:rPr>
            <w:rStyle w:val="Hyperlink"/>
            <w:rFonts w:ascii="Arial" w:hAnsi="Arial"/>
          </w:rPr>
          <w:t>psi@nationalarchives.gsi.gov.uk</w:t>
        </w:r>
      </w:hyperlink>
      <w:r w:rsidRPr="008A5812">
        <w:t xml:space="preserve">. </w:t>
      </w:r>
    </w:p>
    <w:p w:rsidR="00B35CEF" w:rsidRPr="008A5812" w:rsidRDefault="00B35CEF" w:rsidP="00B35CEF">
      <w:r w:rsidRPr="008A5812">
        <w:t xml:space="preserve">Any enquiries or comments in relation to this statistical release should be sent to DECC’s Green Deal Statistics Team at the following email address: </w:t>
      </w:r>
      <w:hyperlink r:id="rId20" w:history="1">
        <w:r w:rsidRPr="008A5812">
          <w:rPr>
            <w:rStyle w:val="Hyperlink"/>
            <w:rFonts w:ascii="Arial" w:hAnsi="Arial"/>
          </w:rPr>
          <w:t>EnergyEfficiency.Stats@decc.gsi.gov.uk</w:t>
        </w:r>
      </w:hyperlink>
      <w:r w:rsidRPr="008A5812">
        <w:t xml:space="preserve"> </w:t>
      </w:r>
    </w:p>
    <w:p w:rsidR="00B35CEF" w:rsidRPr="008A5812" w:rsidRDefault="00B35CEF" w:rsidP="00B35CEF">
      <w:r w:rsidRPr="008A5812">
        <w:t>Contact telephone: 0300 068 5202</w:t>
      </w:r>
    </w:p>
    <w:p w:rsidR="00D912D5" w:rsidRPr="008A5812" w:rsidRDefault="00927623">
      <w:r w:rsidRPr="008A5812">
        <w:t>This document is also available from our website</w:t>
      </w:r>
      <w:r w:rsidR="00DC1055" w:rsidRPr="008A5812">
        <w:t xml:space="preserve"> </w:t>
      </w:r>
      <w:r w:rsidRPr="008A5812">
        <w:t xml:space="preserve">at </w:t>
      </w:r>
      <w:bookmarkStart w:id="2" w:name="_Toc180303268"/>
      <w:bookmarkStart w:id="3" w:name="_Toc287863054"/>
      <w:bookmarkStart w:id="4" w:name="_Toc150919533"/>
      <w:r w:rsidR="00CB1716" w:rsidRPr="008A5812">
        <w:fldChar w:fldCharType="begin"/>
      </w:r>
      <w:r w:rsidR="00CB1716" w:rsidRPr="008A5812">
        <w:instrText xml:space="preserve"> HYPERLINK "https://www.gov.uk/government/collections/green-deal-and-energy-company-obligation-eco-statistics" </w:instrText>
      </w:r>
      <w:r w:rsidR="00CB1716" w:rsidRPr="008A5812">
        <w:fldChar w:fldCharType="separate"/>
      </w:r>
      <w:r w:rsidR="00CB1716" w:rsidRPr="008A5812">
        <w:rPr>
          <w:rStyle w:val="Hyperlink"/>
          <w:rFonts w:ascii="Arial" w:hAnsi="Arial"/>
        </w:rPr>
        <w:t>https://www.gov.uk/government/collections/green-deal-and-energy-company-obligation-eco-statistics</w:t>
      </w:r>
      <w:r w:rsidR="00CB1716" w:rsidRPr="008A5812">
        <w:fldChar w:fldCharType="end"/>
      </w:r>
    </w:p>
    <w:p w:rsidR="00CB1716" w:rsidRPr="008A5812" w:rsidRDefault="00CB1716">
      <w:pPr>
        <w:sectPr w:rsidR="00CB1716" w:rsidRPr="008A5812" w:rsidSect="00FD2A4E">
          <w:headerReference w:type="even" r:id="rId21"/>
          <w:headerReference w:type="default" r:id="rId22"/>
          <w:headerReference w:type="first" r:id="rId23"/>
          <w:footerReference w:type="first" r:id="rId24"/>
          <w:pgSz w:w="11906" w:h="16838" w:code="9"/>
          <w:pgMar w:top="11340" w:right="851" w:bottom="907" w:left="851" w:header="624" w:footer="624" w:gutter="0"/>
          <w:cols w:space="720"/>
          <w:formProt w:val="0"/>
          <w:titlePg/>
        </w:sectPr>
      </w:pPr>
    </w:p>
    <w:p w:rsidR="00284DD0" w:rsidRPr="008A5812" w:rsidRDefault="00284DD0" w:rsidP="00284DD0">
      <w:pPr>
        <w:pStyle w:val="ChapterHead"/>
        <w:spacing w:before="0" w:after="120"/>
        <w:rPr>
          <w:rFonts w:cs="Arial"/>
        </w:rPr>
      </w:pPr>
      <w:bookmarkStart w:id="5" w:name="_Toc375045997"/>
      <w:bookmarkStart w:id="6" w:name="_Toc300827391"/>
      <w:bookmarkStart w:id="7" w:name="_Toc300910623"/>
      <w:bookmarkStart w:id="8" w:name="_Toc222299826"/>
      <w:bookmarkStart w:id="9" w:name="_Toc222534404"/>
      <w:bookmarkStart w:id="10" w:name="_Toc222537685"/>
      <w:r w:rsidRPr="008A5812">
        <w:rPr>
          <w:rFonts w:cs="Arial"/>
        </w:rPr>
        <w:lastRenderedPageBreak/>
        <w:t>Executive summary</w:t>
      </w:r>
      <w:bookmarkEnd w:id="5"/>
    </w:p>
    <w:p w:rsidR="00284DD0" w:rsidRDefault="00284DD0" w:rsidP="00284DD0">
      <w:pPr>
        <w:spacing w:before="0" w:after="0" w:line="240" w:lineRule="auto"/>
        <w:jc w:val="both"/>
        <w:rPr>
          <w:color w:val="000000"/>
          <w:lang w:eastAsia="en-GB"/>
        </w:rPr>
      </w:pPr>
      <w:r w:rsidRPr="004317C5">
        <w:rPr>
          <w:color w:val="000000"/>
          <w:lang w:eastAsia="en-GB"/>
        </w:rPr>
        <w:t xml:space="preserve">This is the </w:t>
      </w:r>
      <w:r>
        <w:rPr>
          <w:color w:val="000000"/>
          <w:lang w:eastAsia="en-GB"/>
        </w:rPr>
        <w:t>third</w:t>
      </w:r>
      <w:r w:rsidRPr="004317C5">
        <w:rPr>
          <w:color w:val="000000"/>
          <w:lang w:eastAsia="en-GB"/>
        </w:rPr>
        <w:t xml:space="preserve"> detailed Green Deal (GD) and Energy Company Obligation</w:t>
      </w:r>
      <w:r w:rsidR="001946E3">
        <w:rPr>
          <w:color w:val="000000"/>
          <w:lang w:eastAsia="en-GB"/>
        </w:rPr>
        <w:t xml:space="preserve"> (ECO) statistical release. </w:t>
      </w:r>
      <w:hyperlink w:anchor="_Green_Deal,_ECO" w:history="1">
        <w:r w:rsidR="001946E3" w:rsidRPr="001946E3">
          <w:rPr>
            <w:rStyle w:val="Hyperlink"/>
            <w:rFonts w:ascii="Arial" w:hAnsi="Arial"/>
            <w:lang w:eastAsia="en-GB"/>
          </w:rPr>
          <w:t>Section 1</w:t>
        </w:r>
      </w:hyperlink>
      <w:r w:rsidRPr="004317C5">
        <w:rPr>
          <w:color w:val="000000"/>
          <w:lang w:eastAsia="en-GB"/>
        </w:rPr>
        <w:t xml:space="preserve"> provides a range of further analysis and geographical breakdowns showing the latest picture of GD Assessments, Cashback, ECO and Supply Chain activity for the period January to </w:t>
      </w:r>
      <w:r>
        <w:rPr>
          <w:color w:val="000000"/>
          <w:lang w:eastAsia="en-GB"/>
        </w:rPr>
        <w:t>September</w:t>
      </w:r>
      <w:r w:rsidRPr="004317C5">
        <w:rPr>
          <w:color w:val="000000"/>
          <w:lang w:eastAsia="en-GB"/>
        </w:rPr>
        <w:t xml:space="preserve"> 2013 and estimates of the carbon and energy savings achi</w:t>
      </w:r>
      <w:r>
        <w:rPr>
          <w:color w:val="000000"/>
          <w:lang w:eastAsia="en-GB"/>
        </w:rPr>
        <w:t>eved through measures installed. This release now includes new information on activity in the Core Cities and Pioneer Places areas and ECO delivery costs as reported by energy suppliers.</w:t>
      </w:r>
    </w:p>
    <w:p w:rsidR="00284DD0" w:rsidRDefault="00284DD0" w:rsidP="00284DD0">
      <w:pPr>
        <w:spacing w:before="0" w:after="0" w:line="240" w:lineRule="auto"/>
        <w:jc w:val="both"/>
        <w:rPr>
          <w:color w:val="000000"/>
          <w:lang w:eastAsia="en-GB"/>
        </w:rPr>
      </w:pPr>
    </w:p>
    <w:p w:rsidR="00284DD0" w:rsidRDefault="00284DD0" w:rsidP="00284DD0">
      <w:pPr>
        <w:spacing w:before="0" w:after="0" w:line="240" w:lineRule="auto"/>
        <w:jc w:val="both"/>
        <w:rPr>
          <w:lang w:eastAsia="en-GB"/>
        </w:rPr>
      </w:pPr>
      <w:r w:rsidRPr="00816724">
        <w:rPr>
          <w:lang w:eastAsia="en-GB"/>
        </w:rPr>
        <w:t xml:space="preserve">The most up to data information on the GD and ECO can be found in the monthly statistical releases – available </w:t>
      </w:r>
      <w:hyperlink r:id="rId25" w:history="1">
        <w:r w:rsidRPr="00816724">
          <w:rPr>
            <w:color w:val="0000FF"/>
            <w:u w:val="single"/>
            <w:lang w:eastAsia="en-GB"/>
          </w:rPr>
          <w:t>here</w:t>
        </w:r>
      </w:hyperlink>
      <w:r w:rsidRPr="00816724">
        <w:rPr>
          <w:lang w:eastAsia="en-GB"/>
        </w:rPr>
        <w:t>. Future quarterly releases will also provide more detail</w:t>
      </w:r>
      <w:r>
        <w:rPr>
          <w:lang w:eastAsia="en-GB"/>
        </w:rPr>
        <w:t>ed breakdowns on GD Plans</w:t>
      </w:r>
      <w:r w:rsidRPr="00816724">
        <w:rPr>
          <w:lang w:eastAsia="en-GB"/>
        </w:rPr>
        <w:t>.</w:t>
      </w:r>
    </w:p>
    <w:p w:rsidR="00284DD0" w:rsidRDefault="003414DD" w:rsidP="00284DD0">
      <w:pPr>
        <w:spacing w:before="0" w:after="0" w:line="240" w:lineRule="auto"/>
        <w:jc w:val="both"/>
        <w:rPr>
          <w:color w:val="000000"/>
          <w:lang w:eastAsia="en-GB"/>
        </w:rPr>
      </w:pPr>
      <w:r>
        <w:rPr>
          <w:color w:val="000000"/>
          <w:lang w:eastAsia="en-GB"/>
        </w:rPr>
        <w:t xml:space="preserve">                 </w:t>
      </w:r>
    </w:p>
    <w:p w:rsidR="00291E07" w:rsidRPr="004669C3" w:rsidRDefault="00B53884" w:rsidP="00291E07">
      <w:pPr>
        <w:spacing w:before="0" w:after="0" w:line="240" w:lineRule="auto"/>
        <w:jc w:val="both"/>
        <w:rPr>
          <w:color w:val="000000"/>
          <w:lang w:eastAsia="en-GB"/>
        </w:rPr>
      </w:pPr>
      <w:r>
        <w:rPr>
          <w:color w:val="000000"/>
          <w:lang w:eastAsia="en-GB"/>
        </w:rPr>
        <w:t xml:space="preserve">Following the plans </w:t>
      </w:r>
      <w:r w:rsidR="00D801C2">
        <w:rPr>
          <w:color w:val="000000"/>
          <w:lang w:eastAsia="en-GB"/>
        </w:rPr>
        <w:t>consulted upon in the previous insulation statistics release, t</w:t>
      </w:r>
      <w:r w:rsidR="00291E07">
        <w:rPr>
          <w:color w:val="000000"/>
          <w:lang w:eastAsia="en-GB"/>
        </w:rPr>
        <w:t xml:space="preserve">his release (pages 32 to </w:t>
      </w:r>
      <w:r w:rsidR="00B752ED">
        <w:rPr>
          <w:color w:val="000000"/>
          <w:lang w:eastAsia="en-GB"/>
        </w:rPr>
        <w:t>39</w:t>
      </w:r>
      <w:r w:rsidR="00291E07">
        <w:rPr>
          <w:color w:val="000000"/>
          <w:lang w:eastAsia="en-GB"/>
        </w:rPr>
        <w:t xml:space="preserve">) </w:t>
      </w:r>
      <w:r w:rsidR="00D801C2">
        <w:rPr>
          <w:color w:val="000000"/>
          <w:lang w:eastAsia="en-GB"/>
        </w:rPr>
        <w:t xml:space="preserve">now </w:t>
      </w:r>
      <w:r w:rsidR="00291E07">
        <w:rPr>
          <w:color w:val="000000"/>
          <w:lang w:eastAsia="en-GB"/>
        </w:rPr>
        <w:t>also includes the previously separately published estimates of home insulation levels in Great Britain. This change reflects the fact that o</w:t>
      </w:r>
      <w:r w:rsidR="00291E07" w:rsidRPr="005801F0">
        <w:rPr>
          <w:color w:val="000000"/>
          <w:lang w:eastAsia="en-GB"/>
        </w:rPr>
        <w:t xml:space="preserve">ne of the main uses of the </w:t>
      </w:r>
      <w:r w:rsidR="00291E07">
        <w:rPr>
          <w:color w:val="000000"/>
          <w:lang w:eastAsia="en-GB"/>
        </w:rPr>
        <w:t>home insulation levels estimates is</w:t>
      </w:r>
      <w:r w:rsidR="00291E07" w:rsidRPr="005801F0">
        <w:rPr>
          <w:color w:val="000000"/>
          <w:lang w:eastAsia="en-GB"/>
        </w:rPr>
        <w:t xml:space="preserve"> to</w:t>
      </w:r>
      <w:r w:rsidR="00291E07">
        <w:rPr>
          <w:color w:val="000000"/>
          <w:lang w:eastAsia="en-GB"/>
        </w:rPr>
        <w:t xml:space="preserve"> understand,</w:t>
      </w:r>
      <w:r w:rsidR="00291E07" w:rsidRPr="005801F0">
        <w:rPr>
          <w:color w:val="000000"/>
          <w:lang w:eastAsia="en-GB"/>
        </w:rPr>
        <w:t xml:space="preserve"> monitor</w:t>
      </w:r>
      <w:r w:rsidR="00291E07">
        <w:rPr>
          <w:color w:val="000000"/>
          <w:lang w:eastAsia="en-GB"/>
        </w:rPr>
        <w:t xml:space="preserve"> and </w:t>
      </w:r>
      <w:r w:rsidR="00EC1F32">
        <w:rPr>
          <w:color w:val="000000"/>
          <w:lang w:eastAsia="en-GB"/>
        </w:rPr>
        <w:t>develop</w:t>
      </w:r>
      <w:r w:rsidR="00291E07" w:rsidRPr="005801F0">
        <w:rPr>
          <w:color w:val="000000"/>
          <w:lang w:eastAsia="en-GB"/>
        </w:rPr>
        <w:t xml:space="preserve"> </w:t>
      </w:r>
      <w:r w:rsidR="00291E07">
        <w:rPr>
          <w:color w:val="000000"/>
          <w:lang w:eastAsia="en-GB"/>
        </w:rPr>
        <w:t xml:space="preserve">the Green Deal </w:t>
      </w:r>
      <w:r w:rsidR="00291E07" w:rsidRPr="005801F0">
        <w:rPr>
          <w:color w:val="000000"/>
          <w:lang w:eastAsia="en-GB"/>
        </w:rPr>
        <w:t xml:space="preserve">and </w:t>
      </w:r>
      <w:r w:rsidR="00291E07">
        <w:rPr>
          <w:color w:val="000000"/>
          <w:lang w:eastAsia="en-GB"/>
        </w:rPr>
        <w:t>ECO</w:t>
      </w:r>
      <w:r w:rsidR="00291E07" w:rsidRPr="005801F0">
        <w:rPr>
          <w:color w:val="000000"/>
          <w:lang w:eastAsia="en-GB"/>
        </w:rPr>
        <w:t>.</w:t>
      </w:r>
      <w:r w:rsidR="00291E07">
        <w:rPr>
          <w:color w:val="000000"/>
          <w:lang w:eastAsia="en-GB"/>
        </w:rPr>
        <w:t xml:space="preserve"> The majority of retrofit insulations will be supplied through GD and ECO and the two publications already had largely the same group of users. The estimates will continue to be produced on the same basis as previous quarters and it is intended they will continue to be produced on a quarterly basis. </w:t>
      </w:r>
      <w:r w:rsidR="00291E07" w:rsidRPr="00EA207E">
        <w:t>DECC set out in its Departmental Business Plan 2011-15</w:t>
      </w:r>
      <w:r w:rsidR="00291E07" w:rsidRPr="00EA207E">
        <w:rPr>
          <w:rStyle w:val="FootnoteReference"/>
        </w:rPr>
        <w:footnoteReference w:id="1"/>
      </w:r>
      <w:r w:rsidR="00291E07">
        <w:t xml:space="preserve"> </w:t>
      </w:r>
      <w:r w:rsidR="00291E07" w:rsidRPr="00EA207E">
        <w:t xml:space="preserve">that these data for cavity wall and loft insulations would be used as one of the department’s key impact indicators. </w:t>
      </w:r>
      <w:hyperlink w:anchor="Section2" w:history="1">
        <w:r w:rsidR="00E83D26" w:rsidRPr="001946E3">
          <w:rPr>
            <w:rStyle w:val="Hyperlink"/>
            <w:rFonts w:ascii="Arial" w:hAnsi="Arial"/>
          </w:rPr>
          <w:t>S</w:t>
        </w:r>
        <w:r w:rsidR="00291E07" w:rsidRPr="001946E3">
          <w:rPr>
            <w:rStyle w:val="Hyperlink"/>
            <w:rFonts w:ascii="Arial" w:hAnsi="Arial"/>
          </w:rPr>
          <w:t xml:space="preserve">ection </w:t>
        </w:r>
        <w:r w:rsidR="00E83D26" w:rsidRPr="001946E3">
          <w:rPr>
            <w:rStyle w:val="Hyperlink"/>
            <w:rFonts w:ascii="Arial" w:hAnsi="Arial"/>
          </w:rPr>
          <w:t>2</w:t>
        </w:r>
      </w:hyperlink>
      <w:r w:rsidR="00E83D26">
        <w:t xml:space="preserve"> </w:t>
      </w:r>
      <w:r w:rsidR="00291E07">
        <w:t>on home insulation levels tracks progress with this indicator.</w:t>
      </w:r>
    </w:p>
    <w:p w:rsidR="00284DD0" w:rsidRDefault="00284DD0" w:rsidP="00284DD0">
      <w:pPr>
        <w:spacing w:before="0" w:after="0" w:line="240" w:lineRule="auto"/>
        <w:jc w:val="both"/>
        <w:rPr>
          <w:color w:val="000000"/>
          <w:lang w:eastAsia="en-GB"/>
        </w:rPr>
      </w:pPr>
    </w:p>
    <w:p w:rsidR="00284DD0" w:rsidRDefault="00284DD0" w:rsidP="00284DD0">
      <w:pPr>
        <w:spacing w:before="0" w:after="0"/>
        <w:jc w:val="both"/>
      </w:pPr>
      <w:r>
        <w:t>All of t</w:t>
      </w:r>
      <w:r w:rsidRPr="00954F17">
        <w:t>hese estimates are released as Experimental Statistics</w:t>
      </w:r>
      <w:r>
        <w:t>, they are currently undergoing assessment by the UK Statistics Authority (UKSA)</w:t>
      </w:r>
      <w:r w:rsidRPr="00954F17">
        <w:t xml:space="preserve"> </w:t>
      </w:r>
      <w:r>
        <w:t>and it is hoped this will lead to these statistics being awarded National Statistics accreditation.</w:t>
      </w:r>
      <w:r w:rsidRPr="00954F17">
        <w:t xml:space="preserve"> </w:t>
      </w:r>
    </w:p>
    <w:p w:rsidR="00D912D5" w:rsidRPr="008A5812" w:rsidRDefault="00284DD0" w:rsidP="003B686D">
      <w:pPr>
        <w:pStyle w:val="TOCHeading"/>
        <w:spacing w:before="480" w:after="360"/>
        <w:rPr>
          <w:rFonts w:cs="Arial"/>
        </w:rPr>
      </w:pPr>
      <w:r>
        <w:rPr>
          <w:rFonts w:cs="Arial"/>
        </w:rPr>
        <w:br w:type="page"/>
      </w:r>
      <w:r w:rsidR="00B67B7F" w:rsidRPr="008A5812">
        <w:rPr>
          <w:rFonts w:cs="Arial"/>
        </w:rPr>
        <w:lastRenderedPageBreak/>
        <w:t>Contents</w:t>
      </w:r>
      <w:bookmarkEnd w:id="2"/>
      <w:bookmarkEnd w:id="3"/>
      <w:bookmarkEnd w:id="6"/>
      <w:bookmarkEnd w:id="7"/>
      <w:bookmarkEnd w:id="8"/>
      <w:bookmarkEnd w:id="9"/>
      <w:bookmarkEnd w:id="10"/>
    </w:p>
    <w:p w:rsidR="001D741A" w:rsidRDefault="00A3396D">
      <w:pPr>
        <w:pStyle w:val="TOC1"/>
        <w:rPr>
          <w:rFonts w:asciiTheme="minorHAnsi" w:eastAsiaTheme="minorEastAsia" w:hAnsiTheme="minorHAnsi" w:cstheme="minorBidi"/>
          <w:noProof/>
          <w:color w:val="auto"/>
          <w:sz w:val="22"/>
          <w:szCs w:val="22"/>
          <w:lang w:eastAsia="en-GB"/>
        </w:rPr>
      </w:pPr>
      <w:r w:rsidRPr="008A5812">
        <w:fldChar w:fldCharType="begin"/>
      </w:r>
      <w:r w:rsidRPr="008A5812">
        <w:instrText xml:space="preserve"> TOC \t "Heading 1,2,Heading 2,3,Chapter Head,1,Chpt Head,1" </w:instrText>
      </w:r>
      <w:r w:rsidRPr="008A5812">
        <w:fldChar w:fldCharType="separate"/>
      </w:r>
      <w:r w:rsidR="001D741A" w:rsidRPr="00B94EEA">
        <w:rPr>
          <w:noProof/>
        </w:rPr>
        <w:t>Executive summary</w:t>
      </w:r>
      <w:r w:rsidR="001D741A">
        <w:rPr>
          <w:noProof/>
        </w:rPr>
        <w:tab/>
      </w:r>
      <w:r w:rsidR="001D741A">
        <w:rPr>
          <w:noProof/>
        </w:rPr>
        <w:fldChar w:fldCharType="begin"/>
      </w:r>
      <w:r w:rsidR="001D741A">
        <w:rPr>
          <w:noProof/>
        </w:rPr>
        <w:instrText xml:space="preserve"> PAGEREF _Toc375045997 \h </w:instrText>
      </w:r>
      <w:r w:rsidR="001D741A">
        <w:rPr>
          <w:noProof/>
        </w:rPr>
      </w:r>
      <w:r w:rsidR="001D741A">
        <w:rPr>
          <w:noProof/>
        </w:rPr>
        <w:fldChar w:fldCharType="separate"/>
      </w:r>
      <w:r w:rsidR="001E226F">
        <w:rPr>
          <w:noProof/>
        </w:rPr>
        <w:t>3</w:t>
      </w:r>
      <w:r w:rsidR="001D741A">
        <w:rPr>
          <w:noProof/>
        </w:rPr>
        <w:fldChar w:fldCharType="end"/>
      </w:r>
    </w:p>
    <w:p w:rsidR="001D741A" w:rsidRDefault="001D741A">
      <w:pPr>
        <w:pStyle w:val="TOC3"/>
        <w:tabs>
          <w:tab w:val="right" w:leader="dot" w:pos="10194"/>
        </w:tabs>
        <w:rPr>
          <w:rFonts w:asciiTheme="minorHAnsi" w:eastAsiaTheme="minorEastAsia" w:hAnsiTheme="minorHAnsi" w:cstheme="minorBidi"/>
          <w:noProof/>
          <w:sz w:val="22"/>
          <w:szCs w:val="22"/>
          <w:lang w:eastAsia="en-GB"/>
        </w:rPr>
      </w:pPr>
      <w:r>
        <w:rPr>
          <w:noProof/>
        </w:rPr>
        <w:t>Charts</w:t>
      </w:r>
      <w:r>
        <w:rPr>
          <w:noProof/>
        </w:rPr>
        <w:tab/>
      </w:r>
      <w:r>
        <w:rPr>
          <w:noProof/>
        </w:rPr>
        <w:fldChar w:fldCharType="begin"/>
      </w:r>
      <w:r>
        <w:rPr>
          <w:noProof/>
        </w:rPr>
        <w:instrText xml:space="preserve"> PAGEREF _Toc375045998 \h </w:instrText>
      </w:r>
      <w:r>
        <w:rPr>
          <w:noProof/>
        </w:rPr>
      </w:r>
      <w:r>
        <w:rPr>
          <w:noProof/>
        </w:rPr>
        <w:fldChar w:fldCharType="separate"/>
      </w:r>
      <w:r w:rsidR="001E226F">
        <w:rPr>
          <w:noProof/>
        </w:rPr>
        <w:t>5</w:t>
      </w:r>
      <w:r>
        <w:rPr>
          <w:noProof/>
        </w:rPr>
        <w:fldChar w:fldCharType="end"/>
      </w:r>
    </w:p>
    <w:p w:rsidR="001D741A" w:rsidRDefault="001D741A">
      <w:pPr>
        <w:pStyle w:val="TOC3"/>
        <w:tabs>
          <w:tab w:val="right" w:leader="dot" w:pos="10194"/>
        </w:tabs>
        <w:rPr>
          <w:rFonts w:asciiTheme="minorHAnsi" w:eastAsiaTheme="minorEastAsia" w:hAnsiTheme="minorHAnsi" w:cstheme="minorBidi"/>
          <w:noProof/>
          <w:sz w:val="22"/>
          <w:szCs w:val="22"/>
          <w:lang w:eastAsia="en-GB"/>
        </w:rPr>
      </w:pPr>
      <w:r>
        <w:rPr>
          <w:noProof/>
        </w:rPr>
        <w:t>Maps</w:t>
      </w:r>
      <w:r>
        <w:rPr>
          <w:noProof/>
        </w:rPr>
        <w:tab/>
      </w:r>
      <w:r>
        <w:rPr>
          <w:noProof/>
        </w:rPr>
        <w:fldChar w:fldCharType="begin"/>
      </w:r>
      <w:r>
        <w:rPr>
          <w:noProof/>
        </w:rPr>
        <w:instrText xml:space="preserve"> PAGEREF _Toc375045999 \h </w:instrText>
      </w:r>
      <w:r>
        <w:rPr>
          <w:noProof/>
        </w:rPr>
      </w:r>
      <w:r>
        <w:rPr>
          <w:noProof/>
        </w:rPr>
        <w:fldChar w:fldCharType="separate"/>
      </w:r>
      <w:r w:rsidR="001E226F">
        <w:rPr>
          <w:noProof/>
        </w:rPr>
        <w:t>5</w:t>
      </w:r>
      <w:r>
        <w:rPr>
          <w:noProof/>
        </w:rPr>
        <w:fldChar w:fldCharType="end"/>
      </w:r>
    </w:p>
    <w:p w:rsidR="001D741A" w:rsidRDefault="001D741A">
      <w:pPr>
        <w:pStyle w:val="TOC3"/>
        <w:tabs>
          <w:tab w:val="right" w:leader="dot" w:pos="10194"/>
        </w:tabs>
        <w:rPr>
          <w:rFonts w:asciiTheme="minorHAnsi" w:eastAsiaTheme="minorEastAsia" w:hAnsiTheme="minorHAnsi" w:cstheme="minorBidi"/>
          <w:noProof/>
          <w:sz w:val="22"/>
          <w:szCs w:val="22"/>
          <w:lang w:eastAsia="en-GB"/>
        </w:rPr>
      </w:pPr>
      <w:r w:rsidRPr="00B94EEA">
        <w:rPr>
          <w:noProof/>
        </w:rPr>
        <w:t>Key points</w:t>
      </w:r>
      <w:r>
        <w:rPr>
          <w:noProof/>
        </w:rPr>
        <w:tab/>
      </w:r>
      <w:r>
        <w:rPr>
          <w:noProof/>
        </w:rPr>
        <w:fldChar w:fldCharType="begin"/>
      </w:r>
      <w:r>
        <w:rPr>
          <w:noProof/>
        </w:rPr>
        <w:instrText xml:space="preserve"> PAGEREF _Toc375046000 \h </w:instrText>
      </w:r>
      <w:r>
        <w:rPr>
          <w:noProof/>
        </w:rPr>
      </w:r>
      <w:r>
        <w:rPr>
          <w:noProof/>
        </w:rPr>
        <w:fldChar w:fldCharType="separate"/>
      </w:r>
      <w:r w:rsidR="001E226F">
        <w:rPr>
          <w:noProof/>
        </w:rPr>
        <w:t>6</w:t>
      </w:r>
      <w:r>
        <w:rPr>
          <w:noProof/>
        </w:rPr>
        <w:fldChar w:fldCharType="end"/>
      </w:r>
    </w:p>
    <w:p w:rsidR="001D741A" w:rsidRDefault="001D741A">
      <w:pPr>
        <w:pStyle w:val="TOC1"/>
        <w:rPr>
          <w:rFonts w:asciiTheme="minorHAnsi" w:eastAsiaTheme="minorEastAsia" w:hAnsiTheme="minorHAnsi" w:cstheme="minorBidi"/>
          <w:noProof/>
          <w:color w:val="auto"/>
          <w:sz w:val="22"/>
          <w:szCs w:val="22"/>
          <w:lang w:eastAsia="en-GB"/>
        </w:rPr>
      </w:pPr>
      <w:r w:rsidRPr="00B94EEA">
        <w:rPr>
          <w:noProof/>
        </w:rPr>
        <w:t>Section 1 - Green Deal and ECO statistics</w:t>
      </w:r>
      <w:r>
        <w:rPr>
          <w:noProof/>
        </w:rPr>
        <w:tab/>
      </w:r>
      <w:r>
        <w:rPr>
          <w:noProof/>
        </w:rPr>
        <w:fldChar w:fldCharType="begin"/>
      </w:r>
      <w:r>
        <w:rPr>
          <w:noProof/>
        </w:rPr>
        <w:instrText xml:space="preserve"> PAGEREF _Toc375046001 \h </w:instrText>
      </w:r>
      <w:r>
        <w:rPr>
          <w:noProof/>
        </w:rPr>
      </w:r>
      <w:r>
        <w:rPr>
          <w:noProof/>
        </w:rPr>
        <w:fldChar w:fldCharType="separate"/>
      </w:r>
      <w:r w:rsidR="001E226F">
        <w:rPr>
          <w:noProof/>
        </w:rPr>
        <w:t>8</w:t>
      </w:r>
      <w:r>
        <w:rPr>
          <w:noProof/>
        </w:rPr>
        <w:fldChar w:fldCharType="end"/>
      </w:r>
    </w:p>
    <w:p w:rsidR="001D741A" w:rsidRDefault="001D741A">
      <w:pPr>
        <w:pStyle w:val="TOC3"/>
        <w:tabs>
          <w:tab w:val="right" w:leader="dot" w:pos="10194"/>
        </w:tabs>
        <w:rPr>
          <w:rFonts w:asciiTheme="minorHAnsi" w:eastAsiaTheme="minorEastAsia" w:hAnsiTheme="minorHAnsi" w:cstheme="minorBidi"/>
          <w:noProof/>
          <w:sz w:val="22"/>
          <w:szCs w:val="22"/>
          <w:lang w:eastAsia="en-GB"/>
        </w:rPr>
      </w:pPr>
      <w:r>
        <w:rPr>
          <w:noProof/>
        </w:rPr>
        <w:t>Green Deal Assessments, lodged up to 30</w:t>
      </w:r>
      <w:r w:rsidRPr="00B94EEA">
        <w:rPr>
          <w:noProof/>
          <w:vertAlign w:val="superscript"/>
        </w:rPr>
        <w:t>th</w:t>
      </w:r>
      <w:r>
        <w:rPr>
          <w:noProof/>
        </w:rPr>
        <w:t xml:space="preserve"> September 2013</w:t>
      </w:r>
      <w:r>
        <w:rPr>
          <w:noProof/>
        </w:rPr>
        <w:tab/>
      </w:r>
      <w:r>
        <w:rPr>
          <w:noProof/>
        </w:rPr>
        <w:fldChar w:fldCharType="begin"/>
      </w:r>
      <w:r>
        <w:rPr>
          <w:noProof/>
        </w:rPr>
        <w:instrText xml:space="preserve"> PAGEREF _Toc375046002 \h </w:instrText>
      </w:r>
      <w:r>
        <w:rPr>
          <w:noProof/>
        </w:rPr>
      </w:r>
      <w:r>
        <w:rPr>
          <w:noProof/>
        </w:rPr>
        <w:fldChar w:fldCharType="separate"/>
      </w:r>
      <w:r w:rsidR="001E226F">
        <w:rPr>
          <w:noProof/>
        </w:rPr>
        <w:t>8</w:t>
      </w:r>
      <w:r>
        <w:rPr>
          <w:noProof/>
        </w:rPr>
        <w:fldChar w:fldCharType="end"/>
      </w:r>
    </w:p>
    <w:p w:rsidR="001D741A" w:rsidRDefault="001D741A">
      <w:pPr>
        <w:pStyle w:val="TOC3"/>
        <w:tabs>
          <w:tab w:val="right" w:leader="dot" w:pos="10194"/>
        </w:tabs>
        <w:rPr>
          <w:rFonts w:asciiTheme="minorHAnsi" w:eastAsiaTheme="minorEastAsia" w:hAnsiTheme="minorHAnsi" w:cstheme="minorBidi"/>
          <w:noProof/>
          <w:sz w:val="22"/>
          <w:szCs w:val="22"/>
          <w:lang w:eastAsia="en-GB"/>
        </w:rPr>
      </w:pPr>
      <w:r>
        <w:rPr>
          <w:noProof/>
        </w:rPr>
        <w:t>Pioneer Places</w:t>
      </w:r>
      <w:r>
        <w:rPr>
          <w:noProof/>
        </w:rPr>
        <w:tab/>
      </w:r>
      <w:r>
        <w:rPr>
          <w:noProof/>
        </w:rPr>
        <w:fldChar w:fldCharType="begin"/>
      </w:r>
      <w:r>
        <w:rPr>
          <w:noProof/>
        </w:rPr>
        <w:instrText xml:space="preserve"> PAGEREF _Toc375046003 \h </w:instrText>
      </w:r>
      <w:r>
        <w:rPr>
          <w:noProof/>
        </w:rPr>
      </w:r>
      <w:r>
        <w:rPr>
          <w:noProof/>
        </w:rPr>
        <w:fldChar w:fldCharType="separate"/>
      </w:r>
      <w:r w:rsidR="001E226F">
        <w:rPr>
          <w:noProof/>
        </w:rPr>
        <w:t>14</w:t>
      </w:r>
      <w:r>
        <w:rPr>
          <w:noProof/>
        </w:rPr>
        <w:fldChar w:fldCharType="end"/>
      </w:r>
    </w:p>
    <w:p w:rsidR="001D741A" w:rsidRDefault="001D741A">
      <w:pPr>
        <w:pStyle w:val="TOC3"/>
        <w:tabs>
          <w:tab w:val="right" w:leader="dot" w:pos="10194"/>
        </w:tabs>
        <w:rPr>
          <w:rFonts w:asciiTheme="minorHAnsi" w:eastAsiaTheme="minorEastAsia" w:hAnsiTheme="minorHAnsi" w:cstheme="minorBidi"/>
          <w:noProof/>
          <w:sz w:val="22"/>
          <w:szCs w:val="22"/>
          <w:lang w:eastAsia="en-GB"/>
        </w:rPr>
      </w:pPr>
      <w:r>
        <w:rPr>
          <w:noProof/>
        </w:rPr>
        <w:t>Core Cities</w:t>
      </w:r>
      <w:r>
        <w:rPr>
          <w:noProof/>
        </w:rPr>
        <w:tab/>
      </w:r>
      <w:r>
        <w:rPr>
          <w:noProof/>
        </w:rPr>
        <w:fldChar w:fldCharType="begin"/>
      </w:r>
      <w:r>
        <w:rPr>
          <w:noProof/>
        </w:rPr>
        <w:instrText xml:space="preserve"> PAGEREF _Toc375046004 \h </w:instrText>
      </w:r>
      <w:r>
        <w:rPr>
          <w:noProof/>
        </w:rPr>
      </w:r>
      <w:r>
        <w:rPr>
          <w:noProof/>
        </w:rPr>
        <w:fldChar w:fldCharType="separate"/>
      </w:r>
      <w:r w:rsidR="001E226F">
        <w:rPr>
          <w:noProof/>
        </w:rPr>
        <w:t>14</w:t>
      </w:r>
      <w:r>
        <w:rPr>
          <w:noProof/>
        </w:rPr>
        <w:fldChar w:fldCharType="end"/>
      </w:r>
    </w:p>
    <w:p w:rsidR="001D741A" w:rsidRDefault="001D741A">
      <w:pPr>
        <w:pStyle w:val="TOC3"/>
        <w:tabs>
          <w:tab w:val="right" w:leader="dot" w:pos="10194"/>
        </w:tabs>
        <w:rPr>
          <w:rFonts w:asciiTheme="minorHAnsi" w:eastAsiaTheme="minorEastAsia" w:hAnsiTheme="minorHAnsi" w:cstheme="minorBidi"/>
          <w:noProof/>
          <w:sz w:val="22"/>
          <w:szCs w:val="22"/>
          <w:lang w:eastAsia="en-GB"/>
        </w:rPr>
      </w:pPr>
      <w:r>
        <w:rPr>
          <w:noProof/>
        </w:rPr>
        <w:t>Cashback measures installed, up to 30</w:t>
      </w:r>
      <w:r w:rsidRPr="00B94EEA">
        <w:rPr>
          <w:noProof/>
          <w:vertAlign w:val="superscript"/>
        </w:rPr>
        <w:t>th</w:t>
      </w:r>
      <w:r>
        <w:rPr>
          <w:noProof/>
        </w:rPr>
        <w:t xml:space="preserve"> September 2013</w:t>
      </w:r>
      <w:r>
        <w:rPr>
          <w:noProof/>
        </w:rPr>
        <w:tab/>
      </w:r>
      <w:r>
        <w:rPr>
          <w:noProof/>
        </w:rPr>
        <w:fldChar w:fldCharType="begin"/>
      </w:r>
      <w:r>
        <w:rPr>
          <w:noProof/>
        </w:rPr>
        <w:instrText xml:space="preserve"> PAGEREF _Toc375046005 \h </w:instrText>
      </w:r>
      <w:r>
        <w:rPr>
          <w:noProof/>
        </w:rPr>
      </w:r>
      <w:r>
        <w:rPr>
          <w:noProof/>
        </w:rPr>
        <w:fldChar w:fldCharType="separate"/>
      </w:r>
      <w:r w:rsidR="001E226F">
        <w:rPr>
          <w:noProof/>
        </w:rPr>
        <w:t>14</w:t>
      </w:r>
      <w:r>
        <w:rPr>
          <w:noProof/>
        </w:rPr>
        <w:fldChar w:fldCharType="end"/>
      </w:r>
    </w:p>
    <w:p w:rsidR="001D741A" w:rsidRDefault="001D741A">
      <w:pPr>
        <w:pStyle w:val="TOC3"/>
        <w:tabs>
          <w:tab w:val="right" w:leader="dot" w:pos="10194"/>
        </w:tabs>
        <w:rPr>
          <w:rFonts w:asciiTheme="minorHAnsi" w:eastAsiaTheme="minorEastAsia" w:hAnsiTheme="minorHAnsi" w:cstheme="minorBidi"/>
          <w:noProof/>
          <w:sz w:val="22"/>
          <w:szCs w:val="22"/>
          <w:lang w:eastAsia="en-GB"/>
        </w:rPr>
      </w:pPr>
      <w:r>
        <w:rPr>
          <w:noProof/>
        </w:rPr>
        <w:t>Measures installed under ECO, up to 30</w:t>
      </w:r>
      <w:r w:rsidRPr="00B94EEA">
        <w:rPr>
          <w:noProof/>
          <w:vertAlign w:val="superscript"/>
        </w:rPr>
        <w:t>th</w:t>
      </w:r>
      <w:r>
        <w:rPr>
          <w:noProof/>
        </w:rPr>
        <w:t xml:space="preserve"> September 2013</w:t>
      </w:r>
      <w:r>
        <w:rPr>
          <w:noProof/>
        </w:rPr>
        <w:tab/>
      </w:r>
      <w:r>
        <w:rPr>
          <w:noProof/>
        </w:rPr>
        <w:fldChar w:fldCharType="begin"/>
      </w:r>
      <w:r>
        <w:rPr>
          <w:noProof/>
        </w:rPr>
        <w:instrText xml:space="preserve"> PAGEREF _Toc375046006 \h </w:instrText>
      </w:r>
      <w:r>
        <w:rPr>
          <w:noProof/>
        </w:rPr>
      </w:r>
      <w:r>
        <w:rPr>
          <w:noProof/>
        </w:rPr>
        <w:fldChar w:fldCharType="separate"/>
      </w:r>
      <w:r w:rsidR="001E226F">
        <w:rPr>
          <w:noProof/>
        </w:rPr>
        <w:t>15</w:t>
      </w:r>
      <w:r>
        <w:rPr>
          <w:noProof/>
        </w:rPr>
        <w:fldChar w:fldCharType="end"/>
      </w:r>
    </w:p>
    <w:p w:rsidR="001D741A" w:rsidRDefault="001D741A">
      <w:pPr>
        <w:pStyle w:val="TOC3"/>
        <w:tabs>
          <w:tab w:val="right" w:leader="dot" w:pos="10194"/>
        </w:tabs>
        <w:rPr>
          <w:rFonts w:asciiTheme="minorHAnsi" w:eastAsiaTheme="minorEastAsia" w:hAnsiTheme="minorHAnsi" w:cstheme="minorBidi"/>
          <w:noProof/>
          <w:sz w:val="22"/>
          <w:szCs w:val="22"/>
          <w:lang w:eastAsia="en-GB"/>
        </w:rPr>
      </w:pPr>
      <w:r>
        <w:rPr>
          <w:noProof/>
        </w:rPr>
        <w:t>ECO delivery costs</w:t>
      </w:r>
      <w:r>
        <w:rPr>
          <w:noProof/>
        </w:rPr>
        <w:tab/>
      </w:r>
      <w:r>
        <w:rPr>
          <w:noProof/>
        </w:rPr>
        <w:fldChar w:fldCharType="begin"/>
      </w:r>
      <w:r>
        <w:rPr>
          <w:noProof/>
        </w:rPr>
        <w:instrText xml:space="preserve"> PAGEREF _Toc375046007 \h </w:instrText>
      </w:r>
      <w:r>
        <w:rPr>
          <w:noProof/>
        </w:rPr>
      </w:r>
      <w:r>
        <w:rPr>
          <w:noProof/>
        </w:rPr>
        <w:fldChar w:fldCharType="separate"/>
      </w:r>
      <w:r w:rsidR="001E226F">
        <w:rPr>
          <w:noProof/>
        </w:rPr>
        <w:t>17</w:t>
      </w:r>
      <w:r>
        <w:rPr>
          <w:noProof/>
        </w:rPr>
        <w:fldChar w:fldCharType="end"/>
      </w:r>
    </w:p>
    <w:p w:rsidR="001D741A" w:rsidRDefault="001D741A">
      <w:pPr>
        <w:pStyle w:val="TOC3"/>
        <w:tabs>
          <w:tab w:val="right" w:leader="dot" w:pos="10194"/>
        </w:tabs>
        <w:rPr>
          <w:rFonts w:asciiTheme="minorHAnsi" w:eastAsiaTheme="minorEastAsia" w:hAnsiTheme="minorHAnsi" w:cstheme="minorBidi"/>
          <w:noProof/>
          <w:sz w:val="22"/>
          <w:szCs w:val="22"/>
          <w:lang w:eastAsia="en-GB"/>
        </w:rPr>
      </w:pPr>
      <w:r>
        <w:rPr>
          <w:noProof/>
        </w:rPr>
        <w:t>ECO Brokerage</w:t>
      </w:r>
      <w:r>
        <w:rPr>
          <w:noProof/>
        </w:rPr>
        <w:tab/>
      </w:r>
      <w:r>
        <w:rPr>
          <w:noProof/>
        </w:rPr>
        <w:fldChar w:fldCharType="begin"/>
      </w:r>
      <w:r>
        <w:rPr>
          <w:noProof/>
        </w:rPr>
        <w:instrText xml:space="preserve"> PAGEREF _Toc375046008 \h </w:instrText>
      </w:r>
      <w:r>
        <w:rPr>
          <w:noProof/>
        </w:rPr>
      </w:r>
      <w:r>
        <w:rPr>
          <w:noProof/>
        </w:rPr>
        <w:fldChar w:fldCharType="separate"/>
      </w:r>
      <w:r w:rsidR="001E226F">
        <w:rPr>
          <w:noProof/>
        </w:rPr>
        <w:t>18</w:t>
      </w:r>
      <w:r>
        <w:rPr>
          <w:noProof/>
        </w:rPr>
        <w:fldChar w:fldCharType="end"/>
      </w:r>
    </w:p>
    <w:p w:rsidR="001D741A" w:rsidRDefault="001D741A">
      <w:pPr>
        <w:pStyle w:val="TOC3"/>
        <w:tabs>
          <w:tab w:val="right" w:leader="dot" w:pos="10194"/>
        </w:tabs>
        <w:rPr>
          <w:rFonts w:asciiTheme="minorHAnsi" w:eastAsiaTheme="minorEastAsia" w:hAnsiTheme="minorHAnsi" w:cstheme="minorBidi"/>
          <w:noProof/>
          <w:sz w:val="22"/>
          <w:szCs w:val="22"/>
          <w:lang w:eastAsia="en-GB"/>
        </w:rPr>
      </w:pPr>
      <w:r>
        <w:rPr>
          <w:noProof/>
        </w:rPr>
        <w:t>Estimated carbon and energy savings for measures installed through Cashback and ECO, up to 30</w:t>
      </w:r>
      <w:r w:rsidRPr="00B94EEA">
        <w:rPr>
          <w:noProof/>
          <w:vertAlign w:val="superscript"/>
        </w:rPr>
        <w:t>th</w:t>
      </w:r>
      <w:r>
        <w:rPr>
          <w:noProof/>
        </w:rPr>
        <w:t xml:space="preserve"> September</w:t>
      </w:r>
      <w:r>
        <w:rPr>
          <w:noProof/>
        </w:rPr>
        <w:tab/>
      </w:r>
      <w:r>
        <w:rPr>
          <w:noProof/>
        </w:rPr>
        <w:fldChar w:fldCharType="begin"/>
      </w:r>
      <w:r>
        <w:rPr>
          <w:noProof/>
        </w:rPr>
        <w:instrText xml:space="preserve"> PAGEREF _Toc375046009 \h </w:instrText>
      </w:r>
      <w:r>
        <w:rPr>
          <w:noProof/>
        </w:rPr>
      </w:r>
      <w:r>
        <w:rPr>
          <w:noProof/>
        </w:rPr>
        <w:fldChar w:fldCharType="separate"/>
      </w:r>
      <w:r w:rsidR="001E226F">
        <w:rPr>
          <w:noProof/>
        </w:rPr>
        <w:t>18</w:t>
      </w:r>
      <w:r>
        <w:rPr>
          <w:noProof/>
        </w:rPr>
        <w:fldChar w:fldCharType="end"/>
      </w:r>
    </w:p>
    <w:p w:rsidR="001D741A" w:rsidRDefault="001D741A">
      <w:pPr>
        <w:pStyle w:val="TOC3"/>
        <w:tabs>
          <w:tab w:val="right" w:leader="dot" w:pos="10194"/>
        </w:tabs>
        <w:rPr>
          <w:rFonts w:asciiTheme="minorHAnsi" w:eastAsiaTheme="minorEastAsia" w:hAnsiTheme="minorHAnsi" w:cstheme="minorBidi"/>
          <w:noProof/>
          <w:sz w:val="22"/>
          <w:szCs w:val="22"/>
          <w:lang w:eastAsia="en-GB"/>
        </w:rPr>
      </w:pPr>
      <w:r>
        <w:rPr>
          <w:noProof/>
        </w:rPr>
        <w:t>The Supply Chain</w:t>
      </w:r>
      <w:r>
        <w:rPr>
          <w:noProof/>
        </w:rPr>
        <w:tab/>
      </w:r>
      <w:r>
        <w:rPr>
          <w:noProof/>
        </w:rPr>
        <w:fldChar w:fldCharType="begin"/>
      </w:r>
      <w:r>
        <w:rPr>
          <w:noProof/>
        </w:rPr>
        <w:instrText xml:space="preserve"> PAGEREF _Toc375046010 \h </w:instrText>
      </w:r>
      <w:r>
        <w:rPr>
          <w:noProof/>
        </w:rPr>
      </w:r>
      <w:r>
        <w:rPr>
          <w:noProof/>
        </w:rPr>
        <w:fldChar w:fldCharType="separate"/>
      </w:r>
      <w:r w:rsidR="001E226F">
        <w:rPr>
          <w:noProof/>
        </w:rPr>
        <w:t>19</w:t>
      </w:r>
      <w:r>
        <w:rPr>
          <w:noProof/>
        </w:rPr>
        <w:fldChar w:fldCharType="end"/>
      </w:r>
    </w:p>
    <w:p w:rsidR="001D741A" w:rsidRDefault="001D741A">
      <w:pPr>
        <w:pStyle w:val="TOC1"/>
        <w:rPr>
          <w:rFonts w:asciiTheme="minorHAnsi" w:eastAsiaTheme="minorEastAsia" w:hAnsiTheme="minorHAnsi" w:cstheme="minorBidi"/>
          <w:noProof/>
          <w:color w:val="auto"/>
          <w:sz w:val="22"/>
          <w:szCs w:val="22"/>
          <w:lang w:eastAsia="en-GB"/>
        </w:rPr>
      </w:pPr>
      <w:r w:rsidRPr="00B94EEA">
        <w:rPr>
          <w:noProof/>
        </w:rPr>
        <w:t>GD and ECO Tables</w:t>
      </w:r>
      <w:r>
        <w:rPr>
          <w:noProof/>
        </w:rPr>
        <w:tab/>
      </w:r>
      <w:r>
        <w:rPr>
          <w:noProof/>
        </w:rPr>
        <w:fldChar w:fldCharType="begin"/>
      </w:r>
      <w:r>
        <w:rPr>
          <w:noProof/>
        </w:rPr>
        <w:instrText xml:space="preserve"> PAGEREF _Toc375046011 \h </w:instrText>
      </w:r>
      <w:r>
        <w:rPr>
          <w:noProof/>
        </w:rPr>
      </w:r>
      <w:r>
        <w:rPr>
          <w:noProof/>
        </w:rPr>
        <w:fldChar w:fldCharType="separate"/>
      </w:r>
      <w:r w:rsidR="001E226F">
        <w:rPr>
          <w:noProof/>
        </w:rPr>
        <w:t>22</w:t>
      </w:r>
      <w:r>
        <w:rPr>
          <w:noProof/>
        </w:rPr>
        <w:fldChar w:fldCharType="end"/>
      </w:r>
    </w:p>
    <w:p w:rsidR="001D741A" w:rsidRDefault="001D741A">
      <w:pPr>
        <w:pStyle w:val="TOC1"/>
        <w:rPr>
          <w:rFonts w:asciiTheme="minorHAnsi" w:eastAsiaTheme="minorEastAsia" w:hAnsiTheme="minorHAnsi" w:cstheme="minorBidi"/>
          <w:noProof/>
          <w:color w:val="auto"/>
          <w:sz w:val="22"/>
          <w:szCs w:val="22"/>
          <w:lang w:eastAsia="en-GB"/>
        </w:rPr>
      </w:pPr>
      <w:r w:rsidRPr="00B94EEA">
        <w:rPr>
          <w:noProof/>
        </w:rPr>
        <w:t>Section 2 - Estimates of Home Insulation Levels in Great Britain: September 2013</w:t>
      </w:r>
      <w:r>
        <w:rPr>
          <w:noProof/>
        </w:rPr>
        <w:tab/>
      </w:r>
      <w:r>
        <w:rPr>
          <w:noProof/>
        </w:rPr>
        <w:fldChar w:fldCharType="begin"/>
      </w:r>
      <w:r>
        <w:rPr>
          <w:noProof/>
        </w:rPr>
        <w:instrText xml:space="preserve"> PAGEREF _Toc375046012 \h </w:instrText>
      </w:r>
      <w:r>
        <w:rPr>
          <w:noProof/>
        </w:rPr>
      </w:r>
      <w:r>
        <w:rPr>
          <w:noProof/>
        </w:rPr>
        <w:fldChar w:fldCharType="separate"/>
      </w:r>
      <w:r w:rsidR="001E226F">
        <w:rPr>
          <w:noProof/>
        </w:rPr>
        <w:t>32</w:t>
      </w:r>
      <w:r>
        <w:rPr>
          <w:noProof/>
        </w:rPr>
        <w:fldChar w:fldCharType="end"/>
      </w:r>
    </w:p>
    <w:p w:rsidR="001D741A" w:rsidRDefault="001D741A">
      <w:pPr>
        <w:pStyle w:val="TOC3"/>
        <w:tabs>
          <w:tab w:val="right" w:leader="dot" w:pos="10194"/>
        </w:tabs>
        <w:rPr>
          <w:rFonts w:asciiTheme="minorHAnsi" w:eastAsiaTheme="minorEastAsia" w:hAnsiTheme="minorHAnsi" w:cstheme="minorBidi"/>
          <w:noProof/>
          <w:sz w:val="22"/>
          <w:szCs w:val="22"/>
          <w:lang w:eastAsia="en-GB"/>
        </w:rPr>
      </w:pPr>
      <w:r>
        <w:rPr>
          <w:noProof/>
        </w:rPr>
        <w:t>Sources and methodology</w:t>
      </w:r>
      <w:r>
        <w:rPr>
          <w:noProof/>
        </w:rPr>
        <w:tab/>
      </w:r>
      <w:r>
        <w:rPr>
          <w:noProof/>
        </w:rPr>
        <w:fldChar w:fldCharType="begin"/>
      </w:r>
      <w:r>
        <w:rPr>
          <w:noProof/>
        </w:rPr>
        <w:instrText xml:space="preserve"> PAGEREF _Toc375046013 \h </w:instrText>
      </w:r>
      <w:r>
        <w:rPr>
          <w:noProof/>
        </w:rPr>
      </w:r>
      <w:r>
        <w:rPr>
          <w:noProof/>
        </w:rPr>
        <w:fldChar w:fldCharType="separate"/>
      </w:r>
      <w:r w:rsidR="001E226F">
        <w:rPr>
          <w:noProof/>
        </w:rPr>
        <w:t>32</w:t>
      </w:r>
      <w:r>
        <w:rPr>
          <w:noProof/>
        </w:rPr>
        <w:fldChar w:fldCharType="end"/>
      </w:r>
    </w:p>
    <w:p w:rsidR="001D741A" w:rsidRDefault="001D741A">
      <w:pPr>
        <w:pStyle w:val="TOC3"/>
        <w:tabs>
          <w:tab w:val="right" w:leader="dot" w:pos="10194"/>
        </w:tabs>
        <w:rPr>
          <w:rFonts w:asciiTheme="minorHAnsi" w:eastAsiaTheme="minorEastAsia" w:hAnsiTheme="minorHAnsi" w:cstheme="minorBidi"/>
          <w:noProof/>
          <w:sz w:val="22"/>
          <w:szCs w:val="22"/>
          <w:lang w:eastAsia="en-GB"/>
        </w:rPr>
      </w:pPr>
      <w:r>
        <w:rPr>
          <w:noProof/>
        </w:rPr>
        <w:t>Headline results</w:t>
      </w:r>
      <w:r>
        <w:rPr>
          <w:noProof/>
        </w:rPr>
        <w:tab/>
      </w:r>
      <w:r>
        <w:rPr>
          <w:noProof/>
        </w:rPr>
        <w:fldChar w:fldCharType="begin"/>
      </w:r>
      <w:r>
        <w:rPr>
          <w:noProof/>
        </w:rPr>
        <w:instrText xml:space="preserve"> PAGEREF _Toc375046014 \h </w:instrText>
      </w:r>
      <w:r>
        <w:rPr>
          <w:noProof/>
        </w:rPr>
      </w:r>
      <w:r>
        <w:rPr>
          <w:noProof/>
        </w:rPr>
        <w:fldChar w:fldCharType="separate"/>
      </w:r>
      <w:r w:rsidR="001E226F">
        <w:rPr>
          <w:noProof/>
        </w:rPr>
        <w:t>32</w:t>
      </w:r>
      <w:r>
        <w:rPr>
          <w:noProof/>
        </w:rPr>
        <w:fldChar w:fldCharType="end"/>
      </w:r>
    </w:p>
    <w:p w:rsidR="001D741A" w:rsidRDefault="001D741A">
      <w:pPr>
        <w:pStyle w:val="TOC3"/>
        <w:tabs>
          <w:tab w:val="right" w:leader="dot" w:pos="10194"/>
        </w:tabs>
        <w:rPr>
          <w:rFonts w:asciiTheme="minorHAnsi" w:eastAsiaTheme="minorEastAsia" w:hAnsiTheme="minorHAnsi" w:cstheme="minorBidi"/>
          <w:noProof/>
          <w:sz w:val="22"/>
          <w:szCs w:val="22"/>
          <w:lang w:eastAsia="en-GB"/>
        </w:rPr>
      </w:pPr>
      <w:r>
        <w:rPr>
          <w:noProof/>
        </w:rPr>
        <w:t>Sources of increase in insulation levels</w:t>
      </w:r>
      <w:r>
        <w:rPr>
          <w:noProof/>
        </w:rPr>
        <w:tab/>
      </w:r>
      <w:r>
        <w:rPr>
          <w:noProof/>
        </w:rPr>
        <w:fldChar w:fldCharType="begin"/>
      </w:r>
      <w:r>
        <w:rPr>
          <w:noProof/>
        </w:rPr>
        <w:instrText xml:space="preserve"> PAGEREF _Toc375046015 \h </w:instrText>
      </w:r>
      <w:r>
        <w:rPr>
          <w:noProof/>
        </w:rPr>
      </w:r>
      <w:r>
        <w:rPr>
          <w:noProof/>
        </w:rPr>
        <w:fldChar w:fldCharType="separate"/>
      </w:r>
      <w:r w:rsidR="001E226F">
        <w:rPr>
          <w:noProof/>
        </w:rPr>
        <w:t>35</w:t>
      </w:r>
      <w:r>
        <w:rPr>
          <w:noProof/>
        </w:rPr>
        <w:fldChar w:fldCharType="end"/>
      </w:r>
    </w:p>
    <w:p w:rsidR="001D741A" w:rsidRDefault="001D741A">
      <w:pPr>
        <w:pStyle w:val="TOC3"/>
        <w:tabs>
          <w:tab w:val="right" w:leader="dot" w:pos="10194"/>
        </w:tabs>
        <w:rPr>
          <w:rFonts w:asciiTheme="minorHAnsi" w:eastAsiaTheme="minorEastAsia" w:hAnsiTheme="minorHAnsi" w:cstheme="minorBidi"/>
          <w:noProof/>
          <w:sz w:val="22"/>
          <w:szCs w:val="22"/>
          <w:lang w:eastAsia="en-GB"/>
        </w:rPr>
      </w:pPr>
      <w:r>
        <w:rPr>
          <w:noProof/>
        </w:rPr>
        <w:t>Remaining potential</w:t>
      </w:r>
      <w:r>
        <w:rPr>
          <w:noProof/>
        </w:rPr>
        <w:tab/>
      </w:r>
      <w:r>
        <w:rPr>
          <w:noProof/>
        </w:rPr>
        <w:fldChar w:fldCharType="begin"/>
      </w:r>
      <w:r>
        <w:rPr>
          <w:noProof/>
        </w:rPr>
        <w:instrText xml:space="preserve"> PAGEREF _Toc375046016 \h </w:instrText>
      </w:r>
      <w:r>
        <w:rPr>
          <w:noProof/>
        </w:rPr>
      </w:r>
      <w:r>
        <w:rPr>
          <w:noProof/>
        </w:rPr>
        <w:fldChar w:fldCharType="separate"/>
      </w:r>
      <w:r w:rsidR="001E226F">
        <w:rPr>
          <w:noProof/>
        </w:rPr>
        <w:t>36</w:t>
      </w:r>
      <w:r>
        <w:rPr>
          <w:noProof/>
        </w:rPr>
        <w:fldChar w:fldCharType="end"/>
      </w:r>
    </w:p>
    <w:p w:rsidR="001D741A" w:rsidRDefault="001D741A">
      <w:pPr>
        <w:pStyle w:val="TOC1"/>
        <w:rPr>
          <w:rFonts w:asciiTheme="minorHAnsi" w:eastAsiaTheme="minorEastAsia" w:hAnsiTheme="minorHAnsi" w:cstheme="minorBidi"/>
          <w:noProof/>
          <w:color w:val="auto"/>
          <w:sz w:val="22"/>
          <w:szCs w:val="22"/>
          <w:lang w:eastAsia="en-GB"/>
        </w:rPr>
      </w:pPr>
      <w:r w:rsidRPr="00B94EEA">
        <w:rPr>
          <w:noProof/>
        </w:rPr>
        <w:t>Annex A – Background</w:t>
      </w:r>
      <w:r>
        <w:rPr>
          <w:noProof/>
        </w:rPr>
        <w:tab/>
      </w:r>
      <w:r>
        <w:rPr>
          <w:noProof/>
        </w:rPr>
        <w:fldChar w:fldCharType="begin"/>
      </w:r>
      <w:r>
        <w:rPr>
          <w:noProof/>
        </w:rPr>
        <w:instrText xml:space="preserve"> PAGEREF _Toc375046017 \h </w:instrText>
      </w:r>
      <w:r>
        <w:rPr>
          <w:noProof/>
        </w:rPr>
      </w:r>
      <w:r>
        <w:rPr>
          <w:noProof/>
        </w:rPr>
        <w:fldChar w:fldCharType="separate"/>
      </w:r>
      <w:r w:rsidR="001E226F">
        <w:rPr>
          <w:noProof/>
        </w:rPr>
        <w:t>40</w:t>
      </w:r>
      <w:r>
        <w:rPr>
          <w:noProof/>
        </w:rPr>
        <w:fldChar w:fldCharType="end"/>
      </w:r>
    </w:p>
    <w:p w:rsidR="001D741A" w:rsidRDefault="001D741A">
      <w:pPr>
        <w:pStyle w:val="TOC3"/>
        <w:tabs>
          <w:tab w:val="right" w:leader="dot" w:pos="10194"/>
        </w:tabs>
        <w:rPr>
          <w:rFonts w:asciiTheme="minorHAnsi" w:eastAsiaTheme="minorEastAsia" w:hAnsiTheme="minorHAnsi" w:cstheme="minorBidi"/>
          <w:noProof/>
          <w:sz w:val="22"/>
          <w:szCs w:val="22"/>
          <w:lang w:eastAsia="en-GB"/>
        </w:rPr>
      </w:pPr>
      <w:r>
        <w:rPr>
          <w:noProof/>
        </w:rPr>
        <w:t>Green Deal</w:t>
      </w:r>
      <w:r>
        <w:rPr>
          <w:noProof/>
        </w:rPr>
        <w:tab/>
      </w:r>
      <w:r>
        <w:rPr>
          <w:noProof/>
        </w:rPr>
        <w:fldChar w:fldCharType="begin"/>
      </w:r>
      <w:r>
        <w:rPr>
          <w:noProof/>
        </w:rPr>
        <w:instrText xml:space="preserve"> PAGEREF _Toc375046018 \h </w:instrText>
      </w:r>
      <w:r>
        <w:rPr>
          <w:noProof/>
        </w:rPr>
      </w:r>
      <w:r>
        <w:rPr>
          <w:noProof/>
        </w:rPr>
        <w:fldChar w:fldCharType="separate"/>
      </w:r>
      <w:r w:rsidR="001E226F">
        <w:rPr>
          <w:noProof/>
        </w:rPr>
        <w:t>40</w:t>
      </w:r>
      <w:r>
        <w:rPr>
          <w:noProof/>
        </w:rPr>
        <w:fldChar w:fldCharType="end"/>
      </w:r>
    </w:p>
    <w:p w:rsidR="001D741A" w:rsidRDefault="001D741A">
      <w:pPr>
        <w:pStyle w:val="TOC3"/>
        <w:tabs>
          <w:tab w:val="right" w:leader="dot" w:pos="10194"/>
        </w:tabs>
        <w:rPr>
          <w:rFonts w:asciiTheme="minorHAnsi" w:eastAsiaTheme="minorEastAsia" w:hAnsiTheme="minorHAnsi" w:cstheme="minorBidi"/>
          <w:noProof/>
          <w:sz w:val="22"/>
          <w:szCs w:val="22"/>
          <w:lang w:eastAsia="en-GB"/>
        </w:rPr>
      </w:pPr>
      <w:r w:rsidRPr="00B94EEA">
        <w:rPr>
          <w:rFonts w:eastAsia="Calibri"/>
          <w:noProof/>
        </w:rPr>
        <w:t>E</w:t>
      </w:r>
      <w:r>
        <w:rPr>
          <w:noProof/>
        </w:rPr>
        <w:t>nergy Company Obligation</w:t>
      </w:r>
      <w:r>
        <w:rPr>
          <w:noProof/>
        </w:rPr>
        <w:tab/>
      </w:r>
      <w:r>
        <w:rPr>
          <w:noProof/>
        </w:rPr>
        <w:fldChar w:fldCharType="begin"/>
      </w:r>
      <w:r>
        <w:rPr>
          <w:noProof/>
        </w:rPr>
        <w:instrText xml:space="preserve"> PAGEREF _Toc375046019 \h </w:instrText>
      </w:r>
      <w:r>
        <w:rPr>
          <w:noProof/>
        </w:rPr>
      </w:r>
      <w:r>
        <w:rPr>
          <w:noProof/>
        </w:rPr>
        <w:fldChar w:fldCharType="separate"/>
      </w:r>
      <w:r w:rsidR="001E226F">
        <w:rPr>
          <w:noProof/>
        </w:rPr>
        <w:t>41</w:t>
      </w:r>
      <w:r>
        <w:rPr>
          <w:noProof/>
        </w:rPr>
        <w:fldChar w:fldCharType="end"/>
      </w:r>
    </w:p>
    <w:p w:rsidR="001D741A" w:rsidRDefault="001D741A">
      <w:pPr>
        <w:pStyle w:val="TOC3"/>
        <w:tabs>
          <w:tab w:val="right" w:leader="dot" w:pos="10194"/>
        </w:tabs>
        <w:rPr>
          <w:rFonts w:asciiTheme="minorHAnsi" w:eastAsiaTheme="minorEastAsia" w:hAnsiTheme="minorHAnsi" w:cstheme="minorBidi"/>
          <w:noProof/>
          <w:sz w:val="22"/>
          <w:szCs w:val="22"/>
          <w:lang w:eastAsia="en-GB"/>
        </w:rPr>
      </w:pPr>
      <w:r>
        <w:rPr>
          <w:noProof/>
        </w:rPr>
        <w:t>Green Deal Cashback</w:t>
      </w:r>
      <w:r>
        <w:rPr>
          <w:noProof/>
        </w:rPr>
        <w:tab/>
      </w:r>
      <w:r>
        <w:rPr>
          <w:noProof/>
        </w:rPr>
        <w:fldChar w:fldCharType="begin"/>
      </w:r>
      <w:r>
        <w:rPr>
          <w:noProof/>
        </w:rPr>
        <w:instrText xml:space="preserve"> PAGEREF _Toc375046020 \h </w:instrText>
      </w:r>
      <w:r>
        <w:rPr>
          <w:noProof/>
        </w:rPr>
      </w:r>
      <w:r>
        <w:rPr>
          <w:noProof/>
        </w:rPr>
        <w:fldChar w:fldCharType="separate"/>
      </w:r>
      <w:r w:rsidR="001E226F">
        <w:rPr>
          <w:noProof/>
        </w:rPr>
        <w:t>41</w:t>
      </w:r>
      <w:r>
        <w:rPr>
          <w:noProof/>
        </w:rPr>
        <w:fldChar w:fldCharType="end"/>
      </w:r>
    </w:p>
    <w:p w:rsidR="001D741A" w:rsidRDefault="001D741A">
      <w:pPr>
        <w:pStyle w:val="TOC3"/>
        <w:tabs>
          <w:tab w:val="right" w:leader="dot" w:pos="10194"/>
        </w:tabs>
        <w:rPr>
          <w:rFonts w:asciiTheme="minorHAnsi" w:eastAsiaTheme="minorEastAsia" w:hAnsiTheme="minorHAnsi" w:cstheme="minorBidi"/>
          <w:noProof/>
          <w:sz w:val="22"/>
          <w:szCs w:val="22"/>
          <w:lang w:eastAsia="en-GB"/>
        </w:rPr>
      </w:pPr>
      <w:r>
        <w:rPr>
          <w:noProof/>
        </w:rPr>
        <w:t>ECO delivery costs</w:t>
      </w:r>
      <w:r>
        <w:rPr>
          <w:noProof/>
        </w:rPr>
        <w:tab/>
      </w:r>
      <w:r>
        <w:rPr>
          <w:noProof/>
        </w:rPr>
        <w:fldChar w:fldCharType="begin"/>
      </w:r>
      <w:r>
        <w:rPr>
          <w:noProof/>
        </w:rPr>
        <w:instrText xml:space="preserve"> PAGEREF _Toc375046021 \h </w:instrText>
      </w:r>
      <w:r>
        <w:rPr>
          <w:noProof/>
        </w:rPr>
      </w:r>
      <w:r>
        <w:rPr>
          <w:noProof/>
        </w:rPr>
        <w:fldChar w:fldCharType="separate"/>
      </w:r>
      <w:r w:rsidR="001E226F">
        <w:rPr>
          <w:noProof/>
        </w:rPr>
        <w:t>42</w:t>
      </w:r>
      <w:r>
        <w:rPr>
          <w:noProof/>
        </w:rPr>
        <w:fldChar w:fldCharType="end"/>
      </w:r>
    </w:p>
    <w:p w:rsidR="001D741A" w:rsidRDefault="001D741A">
      <w:pPr>
        <w:pStyle w:val="TOC3"/>
        <w:tabs>
          <w:tab w:val="right" w:leader="dot" w:pos="10194"/>
        </w:tabs>
        <w:rPr>
          <w:rFonts w:asciiTheme="minorHAnsi" w:eastAsiaTheme="minorEastAsia" w:hAnsiTheme="minorHAnsi" w:cstheme="minorBidi"/>
          <w:noProof/>
          <w:sz w:val="22"/>
          <w:szCs w:val="22"/>
          <w:lang w:eastAsia="en-GB"/>
        </w:rPr>
      </w:pPr>
      <w:r>
        <w:rPr>
          <w:noProof/>
        </w:rPr>
        <w:t>ECO Brokerage</w:t>
      </w:r>
      <w:r>
        <w:rPr>
          <w:noProof/>
        </w:rPr>
        <w:tab/>
      </w:r>
      <w:r>
        <w:rPr>
          <w:noProof/>
        </w:rPr>
        <w:fldChar w:fldCharType="begin"/>
      </w:r>
      <w:r>
        <w:rPr>
          <w:noProof/>
        </w:rPr>
        <w:instrText xml:space="preserve"> PAGEREF _Toc375046022 \h </w:instrText>
      </w:r>
      <w:r>
        <w:rPr>
          <w:noProof/>
        </w:rPr>
      </w:r>
      <w:r>
        <w:rPr>
          <w:noProof/>
        </w:rPr>
        <w:fldChar w:fldCharType="separate"/>
      </w:r>
      <w:r w:rsidR="001E226F">
        <w:rPr>
          <w:noProof/>
        </w:rPr>
        <w:t>42</w:t>
      </w:r>
      <w:r>
        <w:rPr>
          <w:noProof/>
        </w:rPr>
        <w:fldChar w:fldCharType="end"/>
      </w:r>
    </w:p>
    <w:p w:rsidR="001D741A" w:rsidRDefault="001D741A">
      <w:pPr>
        <w:pStyle w:val="TOC3"/>
        <w:tabs>
          <w:tab w:val="right" w:leader="dot" w:pos="10194"/>
        </w:tabs>
        <w:rPr>
          <w:rFonts w:asciiTheme="minorHAnsi" w:eastAsiaTheme="minorEastAsia" w:hAnsiTheme="minorHAnsi" w:cstheme="minorBidi"/>
          <w:noProof/>
          <w:sz w:val="22"/>
          <w:szCs w:val="22"/>
          <w:lang w:eastAsia="en-GB"/>
        </w:rPr>
      </w:pPr>
      <w:r>
        <w:rPr>
          <w:noProof/>
        </w:rPr>
        <w:t>The Supply Chain</w:t>
      </w:r>
      <w:r>
        <w:rPr>
          <w:noProof/>
        </w:rPr>
        <w:tab/>
      </w:r>
      <w:r>
        <w:rPr>
          <w:noProof/>
        </w:rPr>
        <w:fldChar w:fldCharType="begin"/>
      </w:r>
      <w:r>
        <w:rPr>
          <w:noProof/>
        </w:rPr>
        <w:instrText xml:space="preserve"> PAGEREF _Toc375046023 \h </w:instrText>
      </w:r>
      <w:r>
        <w:rPr>
          <w:noProof/>
        </w:rPr>
      </w:r>
      <w:r>
        <w:rPr>
          <w:noProof/>
        </w:rPr>
        <w:fldChar w:fldCharType="separate"/>
      </w:r>
      <w:r w:rsidR="001E226F">
        <w:rPr>
          <w:noProof/>
        </w:rPr>
        <w:t>42</w:t>
      </w:r>
      <w:r>
        <w:rPr>
          <w:noProof/>
        </w:rPr>
        <w:fldChar w:fldCharType="end"/>
      </w:r>
    </w:p>
    <w:p w:rsidR="001D741A" w:rsidRDefault="001D741A">
      <w:pPr>
        <w:pStyle w:val="TOC3"/>
        <w:tabs>
          <w:tab w:val="right" w:leader="dot" w:pos="10194"/>
        </w:tabs>
        <w:rPr>
          <w:rFonts w:asciiTheme="minorHAnsi" w:eastAsiaTheme="minorEastAsia" w:hAnsiTheme="minorHAnsi" w:cstheme="minorBidi"/>
          <w:noProof/>
          <w:sz w:val="22"/>
          <w:szCs w:val="22"/>
          <w:lang w:eastAsia="en-GB"/>
        </w:rPr>
      </w:pPr>
      <w:r>
        <w:rPr>
          <w:noProof/>
        </w:rPr>
        <w:t>Pioneer Places</w:t>
      </w:r>
      <w:r>
        <w:rPr>
          <w:noProof/>
        </w:rPr>
        <w:tab/>
      </w:r>
      <w:r>
        <w:rPr>
          <w:noProof/>
        </w:rPr>
        <w:fldChar w:fldCharType="begin"/>
      </w:r>
      <w:r>
        <w:rPr>
          <w:noProof/>
        </w:rPr>
        <w:instrText xml:space="preserve"> PAGEREF _Toc375046024 \h </w:instrText>
      </w:r>
      <w:r>
        <w:rPr>
          <w:noProof/>
        </w:rPr>
      </w:r>
      <w:r>
        <w:rPr>
          <w:noProof/>
        </w:rPr>
        <w:fldChar w:fldCharType="separate"/>
      </w:r>
      <w:r w:rsidR="001E226F">
        <w:rPr>
          <w:noProof/>
        </w:rPr>
        <w:t>42</w:t>
      </w:r>
      <w:r>
        <w:rPr>
          <w:noProof/>
        </w:rPr>
        <w:fldChar w:fldCharType="end"/>
      </w:r>
    </w:p>
    <w:p w:rsidR="001D741A" w:rsidRDefault="001D741A">
      <w:pPr>
        <w:pStyle w:val="TOC3"/>
        <w:tabs>
          <w:tab w:val="right" w:leader="dot" w:pos="10194"/>
        </w:tabs>
        <w:rPr>
          <w:rFonts w:asciiTheme="minorHAnsi" w:eastAsiaTheme="minorEastAsia" w:hAnsiTheme="minorHAnsi" w:cstheme="minorBidi"/>
          <w:noProof/>
          <w:sz w:val="22"/>
          <w:szCs w:val="22"/>
          <w:lang w:eastAsia="en-GB"/>
        </w:rPr>
      </w:pPr>
      <w:r>
        <w:rPr>
          <w:noProof/>
        </w:rPr>
        <w:t>Core Cities</w:t>
      </w:r>
      <w:r>
        <w:rPr>
          <w:noProof/>
        </w:rPr>
        <w:tab/>
      </w:r>
      <w:r>
        <w:rPr>
          <w:noProof/>
        </w:rPr>
        <w:fldChar w:fldCharType="begin"/>
      </w:r>
      <w:r>
        <w:rPr>
          <w:noProof/>
        </w:rPr>
        <w:instrText xml:space="preserve"> PAGEREF _Toc375046025 \h </w:instrText>
      </w:r>
      <w:r>
        <w:rPr>
          <w:noProof/>
        </w:rPr>
      </w:r>
      <w:r>
        <w:rPr>
          <w:noProof/>
        </w:rPr>
        <w:fldChar w:fldCharType="separate"/>
      </w:r>
      <w:r w:rsidR="001E226F">
        <w:rPr>
          <w:noProof/>
        </w:rPr>
        <w:t>43</w:t>
      </w:r>
      <w:r>
        <w:rPr>
          <w:noProof/>
        </w:rPr>
        <w:fldChar w:fldCharType="end"/>
      </w:r>
    </w:p>
    <w:p w:rsidR="001D741A" w:rsidRDefault="001D741A">
      <w:pPr>
        <w:pStyle w:val="TOC1"/>
        <w:rPr>
          <w:rFonts w:asciiTheme="minorHAnsi" w:eastAsiaTheme="minorEastAsia" w:hAnsiTheme="minorHAnsi" w:cstheme="minorBidi"/>
          <w:noProof/>
          <w:color w:val="auto"/>
          <w:sz w:val="22"/>
          <w:szCs w:val="22"/>
          <w:lang w:eastAsia="en-GB"/>
        </w:rPr>
      </w:pPr>
      <w:r w:rsidRPr="00B94EEA">
        <w:rPr>
          <w:noProof/>
        </w:rPr>
        <w:t>Annex B – Sources and Methodology</w:t>
      </w:r>
      <w:r>
        <w:rPr>
          <w:noProof/>
        </w:rPr>
        <w:tab/>
      </w:r>
      <w:r>
        <w:rPr>
          <w:noProof/>
        </w:rPr>
        <w:fldChar w:fldCharType="begin"/>
      </w:r>
      <w:r>
        <w:rPr>
          <w:noProof/>
        </w:rPr>
        <w:instrText xml:space="preserve"> PAGEREF _Toc375046026 \h </w:instrText>
      </w:r>
      <w:r>
        <w:rPr>
          <w:noProof/>
        </w:rPr>
      </w:r>
      <w:r>
        <w:rPr>
          <w:noProof/>
        </w:rPr>
        <w:fldChar w:fldCharType="separate"/>
      </w:r>
      <w:r w:rsidR="001E226F">
        <w:rPr>
          <w:noProof/>
        </w:rPr>
        <w:t>44</w:t>
      </w:r>
      <w:r>
        <w:rPr>
          <w:noProof/>
        </w:rPr>
        <w:fldChar w:fldCharType="end"/>
      </w:r>
    </w:p>
    <w:p w:rsidR="001D741A" w:rsidRDefault="001D741A">
      <w:pPr>
        <w:pStyle w:val="TOC3"/>
        <w:tabs>
          <w:tab w:val="right" w:leader="dot" w:pos="10194"/>
        </w:tabs>
        <w:rPr>
          <w:rFonts w:asciiTheme="minorHAnsi" w:eastAsiaTheme="minorEastAsia" w:hAnsiTheme="minorHAnsi" w:cstheme="minorBidi"/>
          <w:noProof/>
          <w:sz w:val="22"/>
          <w:szCs w:val="22"/>
          <w:lang w:eastAsia="en-GB"/>
        </w:rPr>
      </w:pPr>
      <w:r>
        <w:rPr>
          <w:noProof/>
        </w:rPr>
        <w:t>Experimental Statistics</w:t>
      </w:r>
      <w:r>
        <w:rPr>
          <w:noProof/>
        </w:rPr>
        <w:tab/>
      </w:r>
      <w:r>
        <w:rPr>
          <w:noProof/>
        </w:rPr>
        <w:fldChar w:fldCharType="begin"/>
      </w:r>
      <w:r>
        <w:rPr>
          <w:noProof/>
        </w:rPr>
        <w:instrText xml:space="preserve"> PAGEREF _Toc375046027 \h </w:instrText>
      </w:r>
      <w:r>
        <w:rPr>
          <w:noProof/>
        </w:rPr>
      </w:r>
      <w:r>
        <w:rPr>
          <w:noProof/>
        </w:rPr>
        <w:fldChar w:fldCharType="separate"/>
      </w:r>
      <w:r w:rsidR="001E226F">
        <w:rPr>
          <w:noProof/>
        </w:rPr>
        <w:t>44</w:t>
      </w:r>
      <w:r>
        <w:rPr>
          <w:noProof/>
        </w:rPr>
        <w:fldChar w:fldCharType="end"/>
      </w:r>
    </w:p>
    <w:p w:rsidR="001D741A" w:rsidRDefault="001D741A">
      <w:pPr>
        <w:pStyle w:val="TOC3"/>
        <w:tabs>
          <w:tab w:val="right" w:leader="dot" w:pos="10194"/>
        </w:tabs>
        <w:rPr>
          <w:rFonts w:asciiTheme="minorHAnsi" w:eastAsiaTheme="minorEastAsia" w:hAnsiTheme="minorHAnsi" w:cstheme="minorBidi"/>
          <w:noProof/>
          <w:sz w:val="22"/>
          <w:szCs w:val="22"/>
          <w:lang w:eastAsia="en-GB"/>
        </w:rPr>
      </w:pPr>
      <w:r>
        <w:rPr>
          <w:noProof/>
        </w:rPr>
        <w:t>Green Deal and ECO estimates</w:t>
      </w:r>
      <w:r>
        <w:rPr>
          <w:noProof/>
        </w:rPr>
        <w:tab/>
      </w:r>
      <w:r>
        <w:rPr>
          <w:noProof/>
        </w:rPr>
        <w:fldChar w:fldCharType="begin"/>
      </w:r>
      <w:r>
        <w:rPr>
          <w:noProof/>
        </w:rPr>
        <w:instrText xml:space="preserve"> PAGEREF _Toc375046028 \h </w:instrText>
      </w:r>
      <w:r>
        <w:rPr>
          <w:noProof/>
        </w:rPr>
      </w:r>
      <w:r>
        <w:rPr>
          <w:noProof/>
        </w:rPr>
        <w:fldChar w:fldCharType="separate"/>
      </w:r>
      <w:r w:rsidR="001E226F">
        <w:rPr>
          <w:noProof/>
        </w:rPr>
        <w:t>44</w:t>
      </w:r>
      <w:r>
        <w:rPr>
          <w:noProof/>
        </w:rPr>
        <w:fldChar w:fldCharType="end"/>
      </w:r>
    </w:p>
    <w:p w:rsidR="001D741A" w:rsidRDefault="001D741A">
      <w:pPr>
        <w:pStyle w:val="TOC3"/>
        <w:tabs>
          <w:tab w:val="right" w:leader="dot" w:pos="10194"/>
        </w:tabs>
        <w:rPr>
          <w:rFonts w:asciiTheme="minorHAnsi" w:eastAsiaTheme="minorEastAsia" w:hAnsiTheme="minorHAnsi" w:cstheme="minorBidi"/>
          <w:noProof/>
          <w:sz w:val="22"/>
          <w:szCs w:val="22"/>
          <w:lang w:eastAsia="en-GB"/>
        </w:rPr>
      </w:pPr>
      <w:r>
        <w:rPr>
          <w:noProof/>
        </w:rPr>
        <w:lastRenderedPageBreak/>
        <w:t>Insulation statistics</w:t>
      </w:r>
      <w:r>
        <w:rPr>
          <w:noProof/>
        </w:rPr>
        <w:tab/>
      </w:r>
      <w:r>
        <w:rPr>
          <w:noProof/>
        </w:rPr>
        <w:fldChar w:fldCharType="begin"/>
      </w:r>
      <w:r>
        <w:rPr>
          <w:noProof/>
        </w:rPr>
        <w:instrText xml:space="preserve"> PAGEREF _Toc375046029 \h </w:instrText>
      </w:r>
      <w:r>
        <w:rPr>
          <w:noProof/>
        </w:rPr>
      </w:r>
      <w:r>
        <w:rPr>
          <w:noProof/>
        </w:rPr>
        <w:fldChar w:fldCharType="separate"/>
      </w:r>
      <w:r w:rsidR="001E226F">
        <w:rPr>
          <w:noProof/>
        </w:rPr>
        <w:t>45</w:t>
      </w:r>
      <w:r>
        <w:rPr>
          <w:noProof/>
        </w:rPr>
        <w:fldChar w:fldCharType="end"/>
      </w:r>
    </w:p>
    <w:p w:rsidR="001D741A" w:rsidRDefault="001D741A">
      <w:pPr>
        <w:pStyle w:val="TOC3"/>
        <w:tabs>
          <w:tab w:val="right" w:leader="dot" w:pos="10194"/>
        </w:tabs>
        <w:rPr>
          <w:rFonts w:asciiTheme="minorHAnsi" w:eastAsiaTheme="minorEastAsia" w:hAnsiTheme="minorHAnsi" w:cstheme="minorBidi"/>
          <w:noProof/>
          <w:sz w:val="22"/>
          <w:szCs w:val="22"/>
          <w:lang w:eastAsia="en-GB"/>
        </w:rPr>
      </w:pPr>
      <w:r>
        <w:rPr>
          <w:noProof/>
        </w:rPr>
        <w:t>Revisions</w:t>
      </w:r>
      <w:r>
        <w:rPr>
          <w:noProof/>
        </w:rPr>
        <w:tab/>
      </w:r>
      <w:r>
        <w:rPr>
          <w:noProof/>
        </w:rPr>
        <w:fldChar w:fldCharType="begin"/>
      </w:r>
      <w:r>
        <w:rPr>
          <w:noProof/>
        </w:rPr>
        <w:instrText xml:space="preserve"> PAGEREF _Toc375046030 \h </w:instrText>
      </w:r>
      <w:r>
        <w:rPr>
          <w:noProof/>
        </w:rPr>
      </w:r>
      <w:r>
        <w:rPr>
          <w:noProof/>
        </w:rPr>
        <w:fldChar w:fldCharType="separate"/>
      </w:r>
      <w:r w:rsidR="001E226F">
        <w:rPr>
          <w:noProof/>
        </w:rPr>
        <w:t>46</w:t>
      </w:r>
      <w:r>
        <w:rPr>
          <w:noProof/>
        </w:rPr>
        <w:fldChar w:fldCharType="end"/>
      </w:r>
    </w:p>
    <w:p w:rsidR="001D741A" w:rsidRDefault="001D741A">
      <w:pPr>
        <w:pStyle w:val="TOC3"/>
        <w:tabs>
          <w:tab w:val="right" w:leader="dot" w:pos="10194"/>
        </w:tabs>
        <w:rPr>
          <w:rFonts w:asciiTheme="minorHAnsi" w:eastAsiaTheme="minorEastAsia" w:hAnsiTheme="minorHAnsi" w:cstheme="minorBidi"/>
          <w:noProof/>
          <w:sz w:val="22"/>
          <w:szCs w:val="22"/>
          <w:lang w:eastAsia="en-GB"/>
        </w:rPr>
      </w:pPr>
      <w:r>
        <w:rPr>
          <w:noProof/>
        </w:rPr>
        <w:t>Further Information and Feedback</w:t>
      </w:r>
      <w:r>
        <w:rPr>
          <w:noProof/>
        </w:rPr>
        <w:tab/>
      </w:r>
      <w:r>
        <w:rPr>
          <w:noProof/>
        </w:rPr>
        <w:fldChar w:fldCharType="begin"/>
      </w:r>
      <w:r>
        <w:rPr>
          <w:noProof/>
        </w:rPr>
        <w:instrText xml:space="preserve"> PAGEREF _Toc375046031 \h </w:instrText>
      </w:r>
      <w:r>
        <w:rPr>
          <w:noProof/>
        </w:rPr>
      </w:r>
      <w:r>
        <w:rPr>
          <w:noProof/>
        </w:rPr>
        <w:fldChar w:fldCharType="separate"/>
      </w:r>
      <w:r w:rsidR="001E226F">
        <w:rPr>
          <w:noProof/>
        </w:rPr>
        <w:t>46</w:t>
      </w:r>
      <w:r>
        <w:rPr>
          <w:noProof/>
        </w:rPr>
        <w:fldChar w:fldCharType="end"/>
      </w:r>
    </w:p>
    <w:p w:rsidR="001D741A" w:rsidRDefault="001D741A">
      <w:pPr>
        <w:pStyle w:val="TOC3"/>
        <w:tabs>
          <w:tab w:val="right" w:leader="dot" w:pos="10194"/>
        </w:tabs>
        <w:rPr>
          <w:rFonts w:asciiTheme="minorHAnsi" w:eastAsiaTheme="minorEastAsia" w:hAnsiTheme="minorHAnsi" w:cstheme="minorBidi"/>
          <w:noProof/>
          <w:sz w:val="22"/>
          <w:szCs w:val="22"/>
          <w:lang w:eastAsia="en-GB"/>
        </w:rPr>
      </w:pPr>
      <w:r>
        <w:rPr>
          <w:noProof/>
        </w:rPr>
        <w:t>Next Release</w:t>
      </w:r>
      <w:r>
        <w:rPr>
          <w:noProof/>
        </w:rPr>
        <w:tab/>
      </w:r>
      <w:r>
        <w:rPr>
          <w:noProof/>
        </w:rPr>
        <w:fldChar w:fldCharType="begin"/>
      </w:r>
      <w:r>
        <w:rPr>
          <w:noProof/>
        </w:rPr>
        <w:instrText xml:space="preserve"> PAGEREF _Toc375046032 \h </w:instrText>
      </w:r>
      <w:r>
        <w:rPr>
          <w:noProof/>
        </w:rPr>
      </w:r>
      <w:r>
        <w:rPr>
          <w:noProof/>
        </w:rPr>
        <w:fldChar w:fldCharType="separate"/>
      </w:r>
      <w:r w:rsidR="001E226F">
        <w:rPr>
          <w:noProof/>
        </w:rPr>
        <w:t>46</w:t>
      </w:r>
      <w:r>
        <w:rPr>
          <w:noProof/>
        </w:rPr>
        <w:fldChar w:fldCharType="end"/>
      </w:r>
    </w:p>
    <w:p w:rsidR="00A3396D" w:rsidRDefault="00A3396D">
      <w:pPr>
        <w:pStyle w:val="Paragraphtext"/>
        <w:rPr>
          <w:rFonts w:cs="Arial"/>
        </w:rPr>
      </w:pPr>
      <w:r w:rsidRPr="008A5812">
        <w:rPr>
          <w:rFonts w:cs="Arial"/>
        </w:rPr>
        <w:fldChar w:fldCharType="end"/>
      </w:r>
    </w:p>
    <w:p w:rsidR="0006123D" w:rsidRPr="00C92F38" w:rsidRDefault="0006123D" w:rsidP="00C92F38">
      <w:pPr>
        <w:pStyle w:val="Heading2"/>
        <w:rPr>
          <w:sz w:val="32"/>
          <w:szCs w:val="32"/>
        </w:rPr>
      </w:pPr>
      <w:bookmarkStart w:id="11" w:name="_Toc375045998"/>
      <w:bookmarkStart w:id="12" w:name="_Toc287863055"/>
      <w:r w:rsidRPr="00C92F38">
        <w:rPr>
          <w:sz w:val="32"/>
          <w:szCs w:val="32"/>
        </w:rPr>
        <w:t>Charts</w:t>
      </w:r>
      <w:bookmarkEnd w:id="11"/>
    </w:p>
    <w:p w:rsidR="001D741A" w:rsidRPr="001D741A" w:rsidRDefault="000F4B03" w:rsidP="001D741A">
      <w:pPr>
        <w:pStyle w:val="TableofFigures"/>
        <w:tabs>
          <w:tab w:val="right" w:leader="dot" w:pos="10194"/>
        </w:tabs>
        <w:jc w:val="both"/>
        <w:rPr>
          <w:rFonts w:eastAsiaTheme="minorEastAsia"/>
          <w:noProof/>
          <w:sz w:val="22"/>
          <w:szCs w:val="22"/>
          <w:lang w:eastAsia="en-GB"/>
        </w:rPr>
      </w:pPr>
      <w:r w:rsidRPr="001D741A">
        <w:rPr>
          <w:szCs w:val="24"/>
        </w:rPr>
        <w:fldChar w:fldCharType="begin"/>
      </w:r>
      <w:r w:rsidRPr="001D741A">
        <w:rPr>
          <w:szCs w:val="24"/>
        </w:rPr>
        <w:instrText xml:space="preserve"> TOC \h \z \c "Chart" </w:instrText>
      </w:r>
      <w:r w:rsidRPr="001D741A">
        <w:rPr>
          <w:szCs w:val="24"/>
        </w:rPr>
        <w:fldChar w:fldCharType="separate"/>
      </w:r>
      <w:hyperlink w:anchor="_Toc375046039" w:history="1">
        <w:r w:rsidR="001D741A" w:rsidRPr="001D741A">
          <w:rPr>
            <w:rStyle w:val="Hyperlink"/>
            <w:rFonts w:ascii="Arial" w:eastAsia="MS Mincho" w:hAnsi="Arial"/>
            <w:noProof/>
          </w:rPr>
          <w:t>Chart 1.1 - Percentage of Green Deal Assessments lodged, up to 30th September 2013, by Energy Efficiency Band compared with Energy Efficiency Band ratings of all England properties in 2011</w:t>
        </w:r>
        <w:r w:rsidR="001D741A" w:rsidRPr="001D741A">
          <w:rPr>
            <w:noProof/>
            <w:webHidden/>
          </w:rPr>
          <w:tab/>
        </w:r>
        <w:r w:rsidR="001D741A" w:rsidRPr="001D741A">
          <w:rPr>
            <w:noProof/>
            <w:webHidden/>
          </w:rPr>
          <w:fldChar w:fldCharType="begin"/>
        </w:r>
        <w:r w:rsidR="001D741A" w:rsidRPr="001D741A">
          <w:rPr>
            <w:noProof/>
            <w:webHidden/>
          </w:rPr>
          <w:instrText xml:space="preserve"> PAGEREF _Toc375046039 \h </w:instrText>
        </w:r>
        <w:r w:rsidR="001D741A" w:rsidRPr="001D741A">
          <w:rPr>
            <w:noProof/>
            <w:webHidden/>
          </w:rPr>
        </w:r>
        <w:r w:rsidR="001D741A" w:rsidRPr="001D741A">
          <w:rPr>
            <w:noProof/>
            <w:webHidden/>
          </w:rPr>
          <w:fldChar w:fldCharType="separate"/>
        </w:r>
        <w:r w:rsidR="001E226F">
          <w:rPr>
            <w:noProof/>
            <w:webHidden/>
          </w:rPr>
          <w:t>9</w:t>
        </w:r>
        <w:r w:rsidR="001D741A" w:rsidRPr="001D741A">
          <w:rPr>
            <w:noProof/>
            <w:webHidden/>
          </w:rPr>
          <w:fldChar w:fldCharType="end"/>
        </w:r>
      </w:hyperlink>
    </w:p>
    <w:p w:rsidR="001D741A" w:rsidRPr="001D741A" w:rsidRDefault="0012033E">
      <w:pPr>
        <w:pStyle w:val="TableofFigures"/>
        <w:tabs>
          <w:tab w:val="right" w:leader="dot" w:pos="10194"/>
        </w:tabs>
        <w:rPr>
          <w:rFonts w:eastAsiaTheme="minorEastAsia"/>
          <w:noProof/>
          <w:sz w:val="22"/>
          <w:szCs w:val="22"/>
          <w:lang w:eastAsia="en-GB"/>
        </w:rPr>
      </w:pPr>
      <w:hyperlink w:anchor="_Toc375046040" w:history="1">
        <w:r w:rsidR="001D741A" w:rsidRPr="001D741A">
          <w:rPr>
            <w:rStyle w:val="Hyperlink"/>
            <w:rFonts w:ascii="Arial" w:eastAsia="MS Mincho" w:hAnsi="Arial"/>
            <w:noProof/>
          </w:rPr>
          <w:t>Chart 1.2 - Percentage of Green Deal Assessments and England and Wales properties by property type, up to 30th September 2013</w:t>
        </w:r>
        <w:r w:rsidR="001D741A" w:rsidRPr="001D741A">
          <w:rPr>
            <w:noProof/>
            <w:webHidden/>
          </w:rPr>
          <w:tab/>
        </w:r>
        <w:r w:rsidR="001D741A" w:rsidRPr="001D741A">
          <w:rPr>
            <w:noProof/>
            <w:webHidden/>
          </w:rPr>
          <w:fldChar w:fldCharType="begin"/>
        </w:r>
        <w:r w:rsidR="001D741A" w:rsidRPr="001D741A">
          <w:rPr>
            <w:noProof/>
            <w:webHidden/>
          </w:rPr>
          <w:instrText xml:space="preserve"> PAGEREF _Toc375046040 \h </w:instrText>
        </w:r>
        <w:r w:rsidR="001D741A" w:rsidRPr="001D741A">
          <w:rPr>
            <w:noProof/>
            <w:webHidden/>
          </w:rPr>
        </w:r>
        <w:r w:rsidR="001D741A" w:rsidRPr="001D741A">
          <w:rPr>
            <w:noProof/>
            <w:webHidden/>
          </w:rPr>
          <w:fldChar w:fldCharType="separate"/>
        </w:r>
        <w:r w:rsidR="001E226F">
          <w:rPr>
            <w:noProof/>
            <w:webHidden/>
          </w:rPr>
          <w:t>10</w:t>
        </w:r>
        <w:r w:rsidR="001D741A" w:rsidRPr="001D741A">
          <w:rPr>
            <w:noProof/>
            <w:webHidden/>
          </w:rPr>
          <w:fldChar w:fldCharType="end"/>
        </w:r>
      </w:hyperlink>
    </w:p>
    <w:p w:rsidR="001D741A" w:rsidRPr="001D741A" w:rsidRDefault="0012033E">
      <w:pPr>
        <w:pStyle w:val="TableofFigures"/>
        <w:tabs>
          <w:tab w:val="right" w:leader="dot" w:pos="10194"/>
        </w:tabs>
        <w:rPr>
          <w:rFonts w:eastAsiaTheme="minorEastAsia"/>
          <w:noProof/>
          <w:sz w:val="22"/>
          <w:szCs w:val="22"/>
          <w:lang w:eastAsia="en-GB"/>
        </w:rPr>
      </w:pPr>
      <w:hyperlink w:anchor="_Toc375046041" w:history="1">
        <w:r w:rsidR="001D741A" w:rsidRPr="001D741A">
          <w:rPr>
            <w:rStyle w:val="Hyperlink"/>
            <w:rFonts w:ascii="Arial" w:eastAsia="MS Mincho" w:hAnsi="Arial"/>
            <w:noProof/>
          </w:rPr>
          <w:t>Chart 1.3 – Percentage of Green Deal Assessments and Great Britain properties by tenure, up to 30</w:t>
        </w:r>
        <w:r w:rsidR="001D741A" w:rsidRPr="001D741A">
          <w:rPr>
            <w:rStyle w:val="Hyperlink"/>
            <w:rFonts w:ascii="Arial" w:eastAsia="MS Mincho" w:hAnsi="Arial"/>
            <w:noProof/>
            <w:vertAlign w:val="superscript"/>
          </w:rPr>
          <w:t>th</w:t>
        </w:r>
        <w:r w:rsidR="001D741A" w:rsidRPr="001D741A">
          <w:rPr>
            <w:rStyle w:val="Hyperlink"/>
            <w:rFonts w:ascii="Arial" w:eastAsia="MS Mincho" w:hAnsi="Arial"/>
            <w:noProof/>
          </w:rPr>
          <w:t xml:space="preserve"> September 2013</w:t>
        </w:r>
        <w:r w:rsidR="001D741A" w:rsidRPr="001D741A">
          <w:rPr>
            <w:noProof/>
            <w:webHidden/>
          </w:rPr>
          <w:tab/>
        </w:r>
        <w:r w:rsidR="001D741A" w:rsidRPr="001D741A">
          <w:rPr>
            <w:noProof/>
            <w:webHidden/>
          </w:rPr>
          <w:fldChar w:fldCharType="begin"/>
        </w:r>
        <w:r w:rsidR="001D741A" w:rsidRPr="001D741A">
          <w:rPr>
            <w:noProof/>
            <w:webHidden/>
          </w:rPr>
          <w:instrText xml:space="preserve"> PAGEREF _Toc375046041 \h </w:instrText>
        </w:r>
        <w:r w:rsidR="001D741A" w:rsidRPr="001D741A">
          <w:rPr>
            <w:noProof/>
            <w:webHidden/>
          </w:rPr>
        </w:r>
        <w:r w:rsidR="001D741A" w:rsidRPr="001D741A">
          <w:rPr>
            <w:noProof/>
            <w:webHidden/>
          </w:rPr>
          <w:fldChar w:fldCharType="separate"/>
        </w:r>
        <w:r w:rsidR="001E226F">
          <w:rPr>
            <w:noProof/>
            <w:webHidden/>
          </w:rPr>
          <w:t>11</w:t>
        </w:r>
        <w:r w:rsidR="001D741A" w:rsidRPr="001D741A">
          <w:rPr>
            <w:noProof/>
            <w:webHidden/>
          </w:rPr>
          <w:fldChar w:fldCharType="end"/>
        </w:r>
      </w:hyperlink>
    </w:p>
    <w:p w:rsidR="001D741A" w:rsidRPr="001D741A" w:rsidRDefault="000F4B03" w:rsidP="001D741A">
      <w:pPr>
        <w:jc w:val="both"/>
        <w:rPr>
          <w:rFonts w:eastAsiaTheme="minorEastAsia"/>
          <w:noProof/>
          <w:sz w:val="22"/>
          <w:szCs w:val="22"/>
          <w:lang w:eastAsia="en-GB"/>
        </w:rPr>
      </w:pPr>
      <w:r w:rsidRPr="001D741A">
        <w:rPr>
          <w:szCs w:val="24"/>
        </w:rPr>
        <w:fldChar w:fldCharType="end"/>
      </w:r>
      <w:r w:rsidR="00EA185E" w:rsidRPr="001D741A">
        <w:rPr>
          <w:szCs w:val="24"/>
        </w:rPr>
        <w:fldChar w:fldCharType="begin"/>
      </w:r>
      <w:r w:rsidR="00EA185E" w:rsidRPr="001D741A">
        <w:rPr>
          <w:szCs w:val="24"/>
        </w:rPr>
        <w:instrText xml:space="preserve"> TOC \h \z \c "Figure" </w:instrText>
      </w:r>
      <w:r w:rsidR="00EA185E" w:rsidRPr="001D741A">
        <w:rPr>
          <w:szCs w:val="24"/>
        </w:rPr>
        <w:fldChar w:fldCharType="separate"/>
      </w:r>
      <w:hyperlink w:anchor="_Toc375046063" w:history="1">
        <w:r w:rsidR="001D741A" w:rsidRPr="001D741A">
          <w:rPr>
            <w:rStyle w:val="Hyperlink"/>
            <w:rFonts w:ascii="Arial" w:eastAsia="MS Mincho" w:hAnsi="Arial"/>
            <w:noProof/>
          </w:rPr>
          <w:t>Chart 2.1: Percentage of properties with insulation in Great Britain</w:t>
        </w:r>
        <w:r w:rsidR="001D741A">
          <w:rPr>
            <w:rStyle w:val="Hyperlink"/>
            <w:rFonts w:ascii="Arial" w:eastAsia="MS Mincho" w:hAnsi="Arial"/>
            <w:noProof/>
          </w:rPr>
          <w:t>……………………</w:t>
        </w:r>
        <w:r w:rsidR="001D741A">
          <w:rPr>
            <w:noProof/>
            <w:webHidden/>
          </w:rPr>
          <w:t>………….</w:t>
        </w:r>
        <w:r w:rsidR="001D741A" w:rsidRPr="001D741A">
          <w:rPr>
            <w:noProof/>
            <w:webHidden/>
          </w:rPr>
          <w:fldChar w:fldCharType="begin"/>
        </w:r>
        <w:r w:rsidR="001D741A" w:rsidRPr="001D741A">
          <w:rPr>
            <w:noProof/>
            <w:webHidden/>
          </w:rPr>
          <w:instrText xml:space="preserve"> PAGEREF _Toc375046063 \h </w:instrText>
        </w:r>
        <w:r w:rsidR="001D741A" w:rsidRPr="001D741A">
          <w:rPr>
            <w:noProof/>
            <w:webHidden/>
          </w:rPr>
        </w:r>
        <w:r w:rsidR="001D741A" w:rsidRPr="001D741A">
          <w:rPr>
            <w:noProof/>
            <w:webHidden/>
          </w:rPr>
          <w:fldChar w:fldCharType="separate"/>
        </w:r>
        <w:r w:rsidR="001E226F">
          <w:rPr>
            <w:noProof/>
            <w:webHidden/>
          </w:rPr>
          <w:t>33</w:t>
        </w:r>
        <w:r w:rsidR="001D741A" w:rsidRPr="001D741A">
          <w:rPr>
            <w:noProof/>
            <w:webHidden/>
          </w:rPr>
          <w:fldChar w:fldCharType="end"/>
        </w:r>
      </w:hyperlink>
    </w:p>
    <w:p w:rsidR="001D741A" w:rsidRPr="001D741A" w:rsidRDefault="0012033E">
      <w:pPr>
        <w:pStyle w:val="TableofFigures"/>
        <w:tabs>
          <w:tab w:val="right" w:leader="dot" w:pos="10194"/>
        </w:tabs>
        <w:rPr>
          <w:rFonts w:eastAsiaTheme="minorEastAsia"/>
          <w:noProof/>
          <w:sz w:val="22"/>
          <w:szCs w:val="22"/>
          <w:lang w:eastAsia="en-GB"/>
        </w:rPr>
      </w:pPr>
      <w:hyperlink w:anchor="_Toc375046064" w:history="1">
        <w:r w:rsidR="001D741A" w:rsidRPr="001D741A">
          <w:rPr>
            <w:rStyle w:val="Hyperlink"/>
            <w:rFonts w:ascii="Arial" w:eastAsia="MS Mincho" w:hAnsi="Arial"/>
            <w:noProof/>
          </w:rPr>
          <w:t>Chart 2.2: Homes in Great Britain with cavity wall insulation and loft insulation: March 2008 to September 2013 (Thousands)</w:t>
        </w:r>
        <w:r w:rsidR="001D741A" w:rsidRPr="001D741A">
          <w:rPr>
            <w:noProof/>
            <w:webHidden/>
          </w:rPr>
          <w:tab/>
        </w:r>
        <w:r w:rsidR="001D741A" w:rsidRPr="001D741A">
          <w:rPr>
            <w:noProof/>
            <w:webHidden/>
          </w:rPr>
          <w:fldChar w:fldCharType="begin"/>
        </w:r>
        <w:r w:rsidR="001D741A" w:rsidRPr="001D741A">
          <w:rPr>
            <w:noProof/>
            <w:webHidden/>
          </w:rPr>
          <w:instrText xml:space="preserve"> PAGEREF _Toc375046064 \h </w:instrText>
        </w:r>
        <w:r w:rsidR="001D741A" w:rsidRPr="001D741A">
          <w:rPr>
            <w:noProof/>
            <w:webHidden/>
          </w:rPr>
        </w:r>
        <w:r w:rsidR="001D741A" w:rsidRPr="001D741A">
          <w:rPr>
            <w:noProof/>
            <w:webHidden/>
          </w:rPr>
          <w:fldChar w:fldCharType="separate"/>
        </w:r>
        <w:r w:rsidR="001E226F">
          <w:rPr>
            <w:noProof/>
            <w:webHidden/>
          </w:rPr>
          <w:t>34</w:t>
        </w:r>
        <w:r w:rsidR="001D741A" w:rsidRPr="001D741A">
          <w:rPr>
            <w:noProof/>
            <w:webHidden/>
          </w:rPr>
          <w:fldChar w:fldCharType="end"/>
        </w:r>
      </w:hyperlink>
    </w:p>
    <w:p w:rsidR="001D741A" w:rsidRPr="001D741A" w:rsidRDefault="0012033E">
      <w:pPr>
        <w:pStyle w:val="TableofFigures"/>
        <w:tabs>
          <w:tab w:val="right" w:leader="dot" w:pos="10194"/>
        </w:tabs>
        <w:rPr>
          <w:rFonts w:eastAsiaTheme="minorEastAsia"/>
          <w:noProof/>
          <w:sz w:val="22"/>
          <w:szCs w:val="22"/>
          <w:lang w:eastAsia="en-GB"/>
        </w:rPr>
      </w:pPr>
      <w:hyperlink w:anchor="_Toc375046065" w:history="1">
        <w:r w:rsidR="001D741A" w:rsidRPr="001D741A">
          <w:rPr>
            <w:rStyle w:val="Hyperlink"/>
            <w:rFonts w:ascii="Arial" w:eastAsia="MS Mincho" w:hAnsi="Arial"/>
            <w:noProof/>
          </w:rPr>
          <w:t>Chart 2.3. Homes in Great Britain with solid wall insulation: March 2008 to September 2013 (Thousands)</w:t>
        </w:r>
        <w:r w:rsidR="001D741A" w:rsidRPr="001D741A">
          <w:rPr>
            <w:noProof/>
            <w:webHidden/>
          </w:rPr>
          <w:tab/>
        </w:r>
        <w:r w:rsidR="001D741A" w:rsidRPr="001D741A">
          <w:rPr>
            <w:noProof/>
            <w:webHidden/>
          </w:rPr>
          <w:fldChar w:fldCharType="begin"/>
        </w:r>
        <w:r w:rsidR="001D741A" w:rsidRPr="001D741A">
          <w:rPr>
            <w:noProof/>
            <w:webHidden/>
          </w:rPr>
          <w:instrText xml:space="preserve"> PAGEREF _Toc375046065 \h </w:instrText>
        </w:r>
        <w:r w:rsidR="001D741A" w:rsidRPr="001D741A">
          <w:rPr>
            <w:noProof/>
            <w:webHidden/>
          </w:rPr>
        </w:r>
        <w:r w:rsidR="001D741A" w:rsidRPr="001D741A">
          <w:rPr>
            <w:noProof/>
            <w:webHidden/>
          </w:rPr>
          <w:fldChar w:fldCharType="separate"/>
        </w:r>
        <w:r w:rsidR="001E226F">
          <w:rPr>
            <w:noProof/>
            <w:webHidden/>
          </w:rPr>
          <w:t>34</w:t>
        </w:r>
        <w:r w:rsidR="001D741A" w:rsidRPr="001D741A">
          <w:rPr>
            <w:noProof/>
            <w:webHidden/>
          </w:rPr>
          <w:fldChar w:fldCharType="end"/>
        </w:r>
      </w:hyperlink>
    </w:p>
    <w:p w:rsidR="001D741A" w:rsidRPr="001D741A" w:rsidRDefault="0012033E">
      <w:pPr>
        <w:pStyle w:val="TableofFigures"/>
        <w:tabs>
          <w:tab w:val="right" w:leader="dot" w:pos="10194"/>
        </w:tabs>
        <w:rPr>
          <w:rFonts w:eastAsiaTheme="minorEastAsia"/>
          <w:noProof/>
          <w:sz w:val="22"/>
          <w:szCs w:val="22"/>
          <w:lang w:eastAsia="en-GB"/>
        </w:rPr>
      </w:pPr>
      <w:hyperlink w:anchor="_Toc375046066" w:history="1">
        <w:r w:rsidR="001D741A" w:rsidRPr="001D741A">
          <w:rPr>
            <w:rStyle w:val="Hyperlink"/>
            <w:rFonts w:ascii="Arial" w:eastAsia="MS Mincho" w:hAnsi="Arial"/>
            <w:noProof/>
          </w:rPr>
          <w:t>Chart 2.4: Number of homes in Great Britain with cavity wall insulation and loft insulation by source, September 2013 (Thousands)</w:t>
        </w:r>
        <w:r w:rsidR="001D741A" w:rsidRPr="001D741A">
          <w:rPr>
            <w:noProof/>
            <w:webHidden/>
          </w:rPr>
          <w:tab/>
        </w:r>
        <w:r w:rsidR="001D741A" w:rsidRPr="001D741A">
          <w:rPr>
            <w:noProof/>
            <w:webHidden/>
          </w:rPr>
          <w:fldChar w:fldCharType="begin"/>
        </w:r>
        <w:r w:rsidR="001D741A" w:rsidRPr="001D741A">
          <w:rPr>
            <w:noProof/>
            <w:webHidden/>
          </w:rPr>
          <w:instrText xml:space="preserve"> PAGEREF _Toc375046066 \h </w:instrText>
        </w:r>
        <w:r w:rsidR="001D741A" w:rsidRPr="001D741A">
          <w:rPr>
            <w:noProof/>
            <w:webHidden/>
          </w:rPr>
        </w:r>
        <w:r w:rsidR="001D741A" w:rsidRPr="001D741A">
          <w:rPr>
            <w:noProof/>
            <w:webHidden/>
          </w:rPr>
          <w:fldChar w:fldCharType="separate"/>
        </w:r>
        <w:r w:rsidR="001E226F">
          <w:rPr>
            <w:noProof/>
            <w:webHidden/>
          </w:rPr>
          <w:t>36</w:t>
        </w:r>
        <w:r w:rsidR="001D741A" w:rsidRPr="001D741A">
          <w:rPr>
            <w:noProof/>
            <w:webHidden/>
          </w:rPr>
          <w:fldChar w:fldCharType="end"/>
        </w:r>
      </w:hyperlink>
    </w:p>
    <w:p w:rsidR="001D741A" w:rsidRPr="001D741A" w:rsidRDefault="0012033E">
      <w:pPr>
        <w:pStyle w:val="TableofFigures"/>
        <w:tabs>
          <w:tab w:val="right" w:leader="dot" w:pos="10194"/>
        </w:tabs>
        <w:rPr>
          <w:rFonts w:eastAsiaTheme="minorEastAsia"/>
          <w:noProof/>
          <w:sz w:val="22"/>
          <w:szCs w:val="22"/>
          <w:lang w:eastAsia="en-GB"/>
        </w:rPr>
      </w:pPr>
      <w:hyperlink w:anchor="_Toc375046067" w:history="1">
        <w:r w:rsidR="001D741A" w:rsidRPr="001D741A">
          <w:rPr>
            <w:rStyle w:val="Hyperlink"/>
            <w:rFonts w:ascii="Arial" w:eastAsia="MS Mincho" w:hAnsi="Arial"/>
            <w:noProof/>
          </w:rPr>
          <w:t>Chart 2.5: Number of homes in Great Britain with solid wall insulation by source, September 2013 (Thousands)</w:t>
        </w:r>
        <w:r w:rsidR="001D741A" w:rsidRPr="001D741A">
          <w:rPr>
            <w:noProof/>
            <w:webHidden/>
          </w:rPr>
          <w:tab/>
        </w:r>
        <w:r w:rsidR="001D741A" w:rsidRPr="001D741A">
          <w:rPr>
            <w:noProof/>
            <w:webHidden/>
          </w:rPr>
          <w:fldChar w:fldCharType="begin"/>
        </w:r>
        <w:r w:rsidR="001D741A" w:rsidRPr="001D741A">
          <w:rPr>
            <w:noProof/>
            <w:webHidden/>
          </w:rPr>
          <w:instrText xml:space="preserve"> PAGEREF _Toc375046067 \h </w:instrText>
        </w:r>
        <w:r w:rsidR="001D741A" w:rsidRPr="001D741A">
          <w:rPr>
            <w:noProof/>
            <w:webHidden/>
          </w:rPr>
        </w:r>
        <w:r w:rsidR="001D741A" w:rsidRPr="001D741A">
          <w:rPr>
            <w:noProof/>
            <w:webHidden/>
          </w:rPr>
          <w:fldChar w:fldCharType="separate"/>
        </w:r>
        <w:r w:rsidR="001E226F">
          <w:rPr>
            <w:noProof/>
            <w:webHidden/>
          </w:rPr>
          <w:t>36</w:t>
        </w:r>
        <w:r w:rsidR="001D741A" w:rsidRPr="001D741A">
          <w:rPr>
            <w:noProof/>
            <w:webHidden/>
          </w:rPr>
          <w:fldChar w:fldCharType="end"/>
        </w:r>
      </w:hyperlink>
    </w:p>
    <w:p w:rsidR="001D741A" w:rsidRPr="001D741A" w:rsidRDefault="0012033E">
      <w:pPr>
        <w:pStyle w:val="TableofFigures"/>
        <w:tabs>
          <w:tab w:val="right" w:leader="dot" w:pos="10194"/>
        </w:tabs>
        <w:rPr>
          <w:rFonts w:eastAsiaTheme="minorEastAsia"/>
          <w:noProof/>
          <w:sz w:val="22"/>
          <w:szCs w:val="22"/>
          <w:lang w:eastAsia="en-GB"/>
        </w:rPr>
      </w:pPr>
      <w:hyperlink w:anchor="_Toc375046068" w:history="1">
        <w:r w:rsidR="001D741A" w:rsidRPr="001D741A">
          <w:rPr>
            <w:rStyle w:val="Hyperlink"/>
            <w:rFonts w:ascii="Arial" w:eastAsia="MS Mincho" w:hAnsi="Arial"/>
            <w:noProof/>
          </w:rPr>
          <w:t>Chart 2.6: Remaining potential to insulate the housing stock in Great Britain, September 2013</w:t>
        </w:r>
        <w:r w:rsidR="001D741A" w:rsidRPr="001D741A">
          <w:rPr>
            <w:noProof/>
            <w:webHidden/>
          </w:rPr>
          <w:tab/>
        </w:r>
        <w:r w:rsidR="001D741A">
          <w:rPr>
            <w:noProof/>
            <w:webHidden/>
          </w:rPr>
          <w:t>.</w:t>
        </w:r>
        <w:r w:rsidR="001D741A" w:rsidRPr="001D741A">
          <w:rPr>
            <w:noProof/>
            <w:webHidden/>
          </w:rPr>
          <w:fldChar w:fldCharType="begin"/>
        </w:r>
        <w:r w:rsidR="001D741A" w:rsidRPr="001D741A">
          <w:rPr>
            <w:noProof/>
            <w:webHidden/>
          </w:rPr>
          <w:instrText xml:space="preserve"> PAGEREF _Toc375046068 \h </w:instrText>
        </w:r>
        <w:r w:rsidR="001D741A" w:rsidRPr="001D741A">
          <w:rPr>
            <w:noProof/>
            <w:webHidden/>
          </w:rPr>
        </w:r>
        <w:r w:rsidR="001D741A" w:rsidRPr="001D741A">
          <w:rPr>
            <w:noProof/>
            <w:webHidden/>
          </w:rPr>
          <w:fldChar w:fldCharType="separate"/>
        </w:r>
        <w:r w:rsidR="001E226F">
          <w:rPr>
            <w:noProof/>
            <w:webHidden/>
          </w:rPr>
          <w:t>37</w:t>
        </w:r>
        <w:r w:rsidR="001D741A" w:rsidRPr="001D741A">
          <w:rPr>
            <w:noProof/>
            <w:webHidden/>
          </w:rPr>
          <w:fldChar w:fldCharType="end"/>
        </w:r>
      </w:hyperlink>
    </w:p>
    <w:p w:rsidR="000F4B03" w:rsidRPr="00EA185E" w:rsidRDefault="00EA185E" w:rsidP="00EA185E">
      <w:pPr>
        <w:jc w:val="both"/>
        <w:rPr>
          <w:szCs w:val="24"/>
        </w:rPr>
      </w:pPr>
      <w:r w:rsidRPr="001D741A">
        <w:rPr>
          <w:szCs w:val="24"/>
        </w:rPr>
        <w:fldChar w:fldCharType="end"/>
      </w:r>
    </w:p>
    <w:p w:rsidR="002C6612" w:rsidRDefault="002C6612" w:rsidP="0006123D">
      <w:pPr>
        <w:rPr>
          <w:b/>
          <w:szCs w:val="24"/>
        </w:rPr>
      </w:pPr>
    </w:p>
    <w:p w:rsidR="002C6612" w:rsidRDefault="002C6612" w:rsidP="0006123D">
      <w:pPr>
        <w:rPr>
          <w:b/>
          <w:szCs w:val="24"/>
        </w:rPr>
      </w:pPr>
    </w:p>
    <w:p w:rsidR="002C6612" w:rsidRPr="0035303E" w:rsidRDefault="002C6612" w:rsidP="00554BE5">
      <w:pPr>
        <w:pStyle w:val="Heading2"/>
        <w:jc w:val="both"/>
        <w:rPr>
          <w:sz w:val="32"/>
          <w:szCs w:val="32"/>
        </w:rPr>
      </w:pPr>
      <w:bookmarkStart w:id="13" w:name="_Toc375045999"/>
      <w:r w:rsidRPr="0035303E">
        <w:rPr>
          <w:sz w:val="32"/>
          <w:szCs w:val="32"/>
        </w:rPr>
        <w:t>Maps</w:t>
      </w:r>
      <w:bookmarkEnd w:id="13"/>
    </w:p>
    <w:p w:rsidR="001D741A" w:rsidRPr="001D741A" w:rsidRDefault="002C6612" w:rsidP="001D741A">
      <w:pPr>
        <w:pStyle w:val="TableofFigures"/>
        <w:tabs>
          <w:tab w:val="right" w:leader="dot" w:pos="10194"/>
        </w:tabs>
        <w:jc w:val="both"/>
        <w:rPr>
          <w:rFonts w:eastAsiaTheme="minorEastAsia"/>
          <w:noProof/>
          <w:sz w:val="22"/>
          <w:szCs w:val="22"/>
          <w:lang w:eastAsia="en-GB"/>
        </w:rPr>
      </w:pPr>
      <w:r w:rsidRPr="00C53668">
        <w:rPr>
          <w:color w:val="FF0000"/>
          <w:szCs w:val="24"/>
        </w:rPr>
        <w:fldChar w:fldCharType="begin"/>
      </w:r>
      <w:r w:rsidRPr="00C53668">
        <w:rPr>
          <w:color w:val="FF0000"/>
          <w:szCs w:val="24"/>
        </w:rPr>
        <w:instrText xml:space="preserve"> TOC \h \z \c "Map" </w:instrText>
      </w:r>
      <w:r w:rsidRPr="00C53668">
        <w:rPr>
          <w:color w:val="FF0000"/>
          <w:szCs w:val="24"/>
        </w:rPr>
        <w:fldChar w:fldCharType="separate"/>
      </w:r>
      <w:hyperlink w:anchor="_Toc375046129" w:history="1">
        <w:r w:rsidR="001D741A" w:rsidRPr="001D741A">
          <w:rPr>
            <w:rStyle w:val="Hyperlink"/>
            <w:rFonts w:ascii="Arial" w:eastAsia="MS Mincho" w:hAnsi="Arial"/>
            <w:noProof/>
          </w:rPr>
          <w:t>Map 1.1 – Number of Green Deal Assessments per 1,000 households lodged by Local Authority up to 30th September 2013</w:t>
        </w:r>
        <w:r w:rsidR="001D741A" w:rsidRPr="001D741A">
          <w:rPr>
            <w:noProof/>
            <w:webHidden/>
          </w:rPr>
          <w:tab/>
        </w:r>
        <w:r w:rsidR="001D741A" w:rsidRPr="001D741A">
          <w:rPr>
            <w:noProof/>
            <w:webHidden/>
          </w:rPr>
          <w:fldChar w:fldCharType="begin"/>
        </w:r>
        <w:r w:rsidR="001D741A" w:rsidRPr="001D741A">
          <w:rPr>
            <w:noProof/>
            <w:webHidden/>
          </w:rPr>
          <w:instrText xml:space="preserve"> PAGEREF _Toc375046129 \h </w:instrText>
        </w:r>
        <w:r w:rsidR="001D741A" w:rsidRPr="001D741A">
          <w:rPr>
            <w:noProof/>
            <w:webHidden/>
          </w:rPr>
        </w:r>
        <w:r w:rsidR="001D741A" w:rsidRPr="001D741A">
          <w:rPr>
            <w:noProof/>
            <w:webHidden/>
          </w:rPr>
          <w:fldChar w:fldCharType="separate"/>
        </w:r>
        <w:r w:rsidR="001E226F">
          <w:rPr>
            <w:noProof/>
            <w:webHidden/>
          </w:rPr>
          <w:t>13</w:t>
        </w:r>
        <w:r w:rsidR="001D741A" w:rsidRPr="001D741A">
          <w:rPr>
            <w:noProof/>
            <w:webHidden/>
          </w:rPr>
          <w:fldChar w:fldCharType="end"/>
        </w:r>
      </w:hyperlink>
    </w:p>
    <w:p w:rsidR="001D741A" w:rsidRPr="001D741A" w:rsidRDefault="0012033E" w:rsidP="001D741A">
      <w:pPr>
        <w:pStyle w:val="TableofFigures"/>
        <w:tabs>
          <w:tab w:val="right" w:leader="dot" w:pos="10194"/>
        </w:tabs>
        <w:jc w:val="both"/>
        <w:rPr>
          <w:rFonts w:eastAsiaTheme="minorEastAsia"/>
          <w:noProof/>
          <w:sz w:val="22"/>
          <w:szCs w:val="22"/>
          <w:lang w:eastAsia="en-GB"/>
        </w:rPr>
      </w:pPr>
      <w:hyperlink w:anchor="_Toc375046130" w:history="1">
        <w:r w:rsidR="001D741A" w:rsidRPr="001D741A">
          <w:rPr>
            <w:rStyle w:val="Hyperlink"/>
            <w:rFonts w:ascii="Arial" w:eastAsia="MS Mincho" w:hAnsi="Arial"/>
            <w:noProof/>
          </w:rPr>
          <w:t>Map 1.2 – Provisional number of ECO measures installed by Local Authority per 1,000 households</w:t>
        </w:r>
        <w:r w:rsidR="001D741A" w:rsidRPr="001D741A">
          <w:rPr>
            <w:noProof/>
            <w:webHidden/>
          </w:rPr>
          <w:tab/>
        </w:r>
        <w:r w:rsidR="001D741A" w:rsidRPr="001D741A">
          <w:rPr>
            <w:noProof/>
            <w:webHidden/>
          </w:rPr>
          <w:fldChar w:fldCharType="begin"/>
        </w:r>
        <w:r w:rsidR="001D741A" w:rsidRPr="001D741A">
          <w:rPr>
            <w:noProof/>
            <w:webHidden/>
          </w:rPr>
          <w:instrText xml:space="preserve"> PAGEREF _Toc375046130 \h </w:instrText>
        </w:r>
        <w:r w:rsidR="001D741A" w:rsidRPr="001D741A">
          <w:rPr>
            <w:noProof/>
            <w:webHidden/>
          </w:rPr>
        </w:r>
        <w:r w:rsidR="001D741A" w:rsidRPr="001D741A">
          <w:rPr>
            <w:noProof/>
            <w:webHidden/>
          </w:rPr>
          <w:fldChar w:fldCharType="separate"/>
        </w:r>
        <w:r w:rsidR="001E226F">
          <w:rPr>
            <w:noProof/>
            <w:webHidden/>
          </w:rPr>
          <w:t>16</w:t>
        </w:r>
        <w:r w:rsidR="001D741A" w:rsidRPr="001D741A">
          <w:rPr>
            <w:noProof/>
            <w:webHidden/>
          </w:rPr>
          <w:fldChar w:fldCharType="end"/>
        </w:r>
      </w:hyperlink>
    </w:p>
    <w:p w:rsidR="001D741A" w:rsidRPr="001D741A" w:rsidRDefault="0012033E" w:rsidP="001D741A">
      <w:pPr>
        <w:pStyle w:val="TableofFigures"/>
        <w:tabs>
          <w:tab w:val="right" w:leader="dot" w:pos="10194"/>
        </w:tabs>
        <w:jc w:val="both"/>
        <w:rPr>
          <w:rFonts w:eastAsiaTheme="minorEastAsia"/>
          <w:noProof/>
          <w:sz w:val="22"/>
          <w:szCs w:val="22"/>
          <w:lang w:eastAsia="en-GB"/>
        </w:rPr>
      </w:pPr>
      <w:hyperlink w:anchor="_Toc375046131" w:history="1">
        <w:r w:rsidR="001D741A" w:rsidRPr="001D741A">
          <w:rPr>
            <w:rStyle w:val="Hyperlink"/>
            <w:rFonts w:ascii="Arial" w:eastAsia="MS Mincho" w:hAnsi="Arial"/>
            <w:noProof/>
          </w:rPr>
          <w:t>Map 1.3</w:t>
        </w:r>
        <w:r w:rsidR="001D741A" w:rsidRPr="001D741A">
          <w:rPr>
            <w:rStyle w:val="Hyperlink"/>
            <w:rFonts w:ascii="Arial" w:eastAsia="MS Mincho" w:hAnsi="Arial"/>
            <w:b/>
            <w:noProof/>
          </w:rPr>
          <w:t xml:space="preserve"> </w:t>
        </w:r>
        <w:r w:rsidR="001D741A" w:rsidRPr="001D741A">
          <w:rPr>
            <w:rStyle w:val="Hyperlink"/>
            <w:rFonts w:ascii="Arial" w:eastAsia="MS Mincho" w:hAnsi="Arial"/>
            <w:noProof/>
          </w:rPr>
          <w:t>– Number of Assessor organisations operating per Local Authority</w:t>
        </w:r>
        <w:r w:rsidR="001D741A" w:rsidRPr="001D741A">
          <w:rPr>
            <w:noProof/>
            <w:webHidden/>
          </w:rPr>
          <w:tab/>
        </w:r>
        <w:r w:rsidR="001D741A" w:rsidRPr="001D741A">
          <w:rPr>
            <w:noProof/>
            <w:webHidden/>
          </w:rPr>
          <w:fldChar w:fldCharType="begin"/>
        </w:r>
        <w:r w:rsidR="001D741A" w:rsidRPr="001D741A">
          <w:rPr>
            <w:noProof/>
            <w:webHidden/>
          </w:rPr>
          <w:instrText xml:space="preserve"> PAGEREF _Toc375046131 \h </w:instrText>
        </w:r>
        <w:r w:rsidR="001D741A" w:rsidRPr="001D741A">
          <w:rPr>
            <w:noProof/>
            <w:webHidden/>
          </w:rPr>
        </w:r>
        <w:r w:rsidR="001D741A" w:rsidRPr="001D741A">
          <w:rPr>
            <w:noProof/>
            <w:webHidden/>
          </w:rPr>
          <w:fldChar w:fldCharType="separate"/>
        </w:r>
        <w:r w:rsidR="001E226F">
          <w:rPr>
            <w:noProof/>
            <w:webHidden/>
          </w:rPr>
          <w:t>20</w:t>
        </w:r>
        <w:r w:rsidR="001D741A" w:rsidRPr="001D741A">
          <w:rPr>
            <w:noProof/>
            <w:webHidden/>
          </w:rPr>
          <w:fldChar w:fldCharType="end"/>
        </w:r>
      </w:hyperlink>
    </w:p>
    <w:p w:rsidR="001D741A" w:rsidRPr="001D741A" w:rsidRDefault="0012033E" w:rsidP="001D741A">
      <w:pPr>
        <w:pStyle w:val="TableofFigures"/>
        <w:tabs>
          <w:tab w:val="right" w:leader="dot" w:pos="10194"/>
        </w:tabs>
        <w:jc w:val="both"/>
        <w:rPr>
          <w:rFonts w:eastAsiaTheme="minorEastAsia"/>
          <w:noProof/>
          <w:sz w:val="22"/>
          <w:szCs w:val="22"/>
          <w:lang w:eastAsia="en-GB"/>
        </w:rPr>
      </w:pPr>
      <w:hyperlink w:anchor="_Toc375046132" w:history="1">
        <w:r w:rsidR="001D741A" w:rsidRPr="001D741A">
          <w:rPr>
            <w:rStyle w:val="Hyperlink"/>
            <w:rFonts w:ascii="Arial" w:eastAsia="MS Mincho" w:hAnsi="Arial"/>
            <w:noProof/>
          </w:rPr>
          <w:t>Map 1.4</w:t>
        </w:r>
        <w:r w:rsidR="001D741A" w:rsidRPr="001D741A">
          <w:rPr>
            <w:rStyle w:val="Hyperlink"/>
            <w:rFonts w:ascii="Arial" w:eastAsia="MS Mincho" w:hAnsi="Arial"/>
            <w:b/>
            <w:noProof/>
          </w:rPr>
          <w:t xml:space="preserve"> </w:t>
        </w:r>
        <w:r w:rsidR="001D741A" w:rsidRPr="001D741A">
          <w:rPr>
            <w:rStyle w:val="Hyperlink"/>
            <w:rFonts w:ascii="Arial" w:eastAsia="MS Mincho" w:hAnsi="Arial"/>
            <w:noProof/>
          </w:rPr>
          <w:t>– Number of Installers operating per Local Authority</w:t>
        </w:r>
        <w:r w:rsidR="001D741A" w:rsidRPr="001D741A">
          <w:rPr>
            <w:noProof/>
            <w:webHidden/>
          </w:rPr>
          <w:tab/>
        </w:r>
        <w:r w:rsidR="001D741A" w:rsidRPr="001D741A">
          <w:rPr>
            <w:noProof/>
            <w:webHidden/>
          </w:rPr>
          <w:fldChar w:fldCharType="begin"/>
        </w:r>
        <w:r w:rsidR="001D741A" w:rsidRPr="001D741A">
          <w:rPr>
            <w:noProof/>
            <w:webHidden/>
          </w:rPr>
          <w:instrText xml:space="preserve"> PAGEREF _Toc375046132 \h </w:instrText>
        </w:r>
        <w:r w:rsidR="001D741A" w:rsidRPr="001D741A">
          <w:rPr>
            <w:noProof/>
            <w:webHidden/>
          </w:rPr>
        </w:r>
        <w:r w:rsidR="001D741A" w:rsidRPr="001D741A">
          <w:rPr>
            <w:noProof/>
            <w:webHidden/>
          </w:rPr>
          <w:fldChar w:fldCharType="separate"/>
        </w:r>
        <w:r w:rsidR="001E226F">
          <w:rPr>
            <w:noProof/>
            <w:webHidden/>
          </w:rPr>
          <w:t>21</w:t>
        </w:r>
        <w:r w:rsidR="001D741A" w:rsidRPr="001D741A">
          <w:rPr>
            <w:noProof/>
            <w:webHidden/>
          </w:rPr>
          <w:fldChar w:fldCharType="end"/>
        </w:r>
      </w:hyperlink>
    </w:p>
    <w:p w:rsidR="0006123D" w:rsidRPr="0035303E" w:rsidRDefault="002C6612" w:rsidP="00554BE5">
      <w:pPr>
        <w:pStyle w:val="Introduction"/>
        <w:jc w:val="both"/>
        <w:rPr>
          <w:rFonts w:cs="Arial"/>
          <w:color w:val="FF0000"/>
          <w:sz w:val="24"/>
          <w:szCs w:val="24"/>
        </w:rPr>
      </w:pPr>
      <w:r w:rsidRPr="00C53668">
        <w:rPr>
          <w:rFonts w:cs="Arial"/>
          <w:color w:val="FF0000"/>
          <w:sz w:val="24"/>
          <w:szCs w:val="24"/>
        </w:rPr>
        <w:fldChar w:fldCharType="end"/>
      </w:r>
    </w:p>
    <w:p w:rsidR="0006123D" w:rsidRPr="0035303E" w:rsidRDefault="0006123D" w:rsidP="0006123D">
      <w:pPr>
        <w:pStyle w:val="Paragraphtext"/>
        <w:rPr>
          <w:rFonts w:cs="Arial"/>
          <w:szCs w:val="24"/>
        </w:rPr>
      </w:pPr>
    </w:p>
    <w:p w:rsidR="0006123D" w:rsidRPr="0035303E" w:rsidRDefault="0006123D" w:rsidP="0006123D">
      <w:pPr>
        <w:pStyle w:val="Paragraphtext"/>
        <w:rPr>
          <w:rFonts w:cs="Arial"/>
          <w:szCs w:val="24"/>
        </w:rPr>
      </w:pPr>
    </w:p>
    <w:p w:rsidR="004317C5" w:rsidRPr="004317C5" w:rsidRDefault="004317C5" w:rsidP="004317C5">
      <w:pPr>
        <w:spacing w:before="0" w:after="0" w:line="240" w:lineRule="auto"/>
        <w:jc w:val="both"/>
        <w:rPr>
          <w:color w:val="000000"/>
          <w:lang w:eastAsia="en-GB"/>
        </w:rPr>
      </w:pPr>
      <w:bookmarkStart w:id="14" w:name="_Toc287863056"/>
      <w:bookmarkEnd w:id="4"/>
      <w:bookmarkEnd w:id="12"/>
    </w:p>
    <w:p w:rsidR="00D12323" w:rsidRPr="004669C3" w:rsidRDefault="00183230" w:rsidP="00975728">
      <w:pPr>
        <w:pStyle w:val="Heading2"/>
        <w:rPr>
          <w:b w:val="0"/>
          <w:sz w:val="50"/>
          <w:szCs w:val="50"/>
        </w:rPr>
      </w:pPr>
      <w:r>
        <w:rPr>
          <w:lang w:eastAsia="en-GB"/>
        </w:rPr>
        <w:br w:type="page"/>
      </w:r>
      <w:bookmarkStart w:id="15" w:name="_Toc375046000"/>
      <w:r w:rsidR="00D12323" w:rsidRPr="004669C3">
        <w:rPr>
          <w:b w:val="0"/>
          <w:sz w:val="50"/>
          <w:szCs w:val="50"/>
        </w:rPr>
        <w:lastRenderedPageBreak/>
        <w:t>Key points</w:t>
      </w:r>
      <w:bookmarkEnd w:id="15"/>
      <w:r w:rsidR="00D12323" w:rsidRPr="004669C3">
        <w:rPr>
          <w:b w:val="0"/>
          <w:sz w:val="50"/>
          <w:szCs w:val="50"/>
        </w:rPr>
        <w:tab/>
      </w:r>
    </w:p>
    <w:p w:rsidR="00291E07" w:rsidRDefault="00291E07" w:rsidP="00291E07">
      <w:pPr>
        <w:pStyle w:val="Heading4"/>
        <w:rPr>
          <w:color w:val="auto"/>
        </w:rPr>
      </w:pPr>
    </w:p>
    <w:p w:rsidR="00291E07" w:rsidRPr="00D801C2" w:rsidRDefault="00291E07" w:rsidP="00291E07">
      <w:pPr>
        <w:pStyle w:val="Heading4"/>
        <w:rPr>
          <w:u w:val="single"/>
        </w:rPr>
      </w:pPr>
      <w:bookmarkStart w:id="16" w:name="_Green_Deal,_ECO"/>
      <w:bookmarkEnd w:id="16"/>
      <w:r w:rsidRPr="00D801C2">
        <w:rPr>
          <w:u w:val="single"/>
        </w:rPr>
        <w:t>Green Deal, ECO and Cashback</w:t>
      </w:r>
      <w:r w:rsidR="00D801C2">
        <w:rPr>
          <w:u w:val="single"/>
        </w:rPr>
        <w:t>:</w:t>
      </w:r>
      <w:r w:rsidRPr="00D801C2">
        <w:rPr>
          <w:u w:val="single"/>
        </w:rPr>
        <w:t xml:space="preserve"> January to September 2013</w:t>
      </w:r>
    </w:p>
    <w:p w:rsidR="00291E07" w:rsidRDefault="00291E07" w:rsidP="00EF5D0B">
      <w:pPr>
        <w:spacing w:after="0" w:line="240" w:lineRule="auto"/>
        <w:contextualSpacing/>
        <w:jc w:val="both"/>
      </w:pPr>
    </w:p>
    <w:p w:rsidR="00253F81" w:rsidRPr="004669C3" w:rsidRDefault="00253F81" w:rsidP="00EF5D0B">
      <w:pPr>
        <w:spacing w:after="0" w:line="240" w:lineRule="auto"/>
        <w:contextualSpacing/>
        <w:jc w:val="both"/>
      </w:pPr>
      <w:r w:rsidRPr="004669C3">
        <w:t>Of the 85,17</w:t>
      </w:r>
      <w:r w:rsidR="004669C3" w:rsidRPr="004669C3">
        <w:t>8</w:t>
      </w:r>
      <w:r w:rsidRPr="004669C3">
        <w:t xml:space="preserve"> Green Deal Assessments in Great Britain completed:</w:t>
      </w:r>
    </w:p>
    <w:p w:rsidR="00253F81" w:rsidRPr="004669C3" w:rsidRDefault="00253F81" w:rsidP="00253F81">
      <w:pPr>
        <w:spacing w:line="240" w:lineRule="auto"/>
        <w:ind w:left="720"/>
        <w:contextualSpacing/>
        <w:jc w:val="both"/>
      </w:pPr>
    </w:p>
    <w:p w:rsidR="00ED27D5" w:rsidRPr="00273816" w:rsidRDefault="00ED27D5" w:rsidP="00ED27D5">
      <w:pPr>
        <w:numPr>
          <w:ilvl w:val="0"/>
          <w:numId w:val="5"/>
        </w:numPr>
        <w:spacing w:before="0" w:after="200" w:line="240" w:lineRule="auto"/>
        <w:contextualSpacing/>
        <w:jc w:val="both"/>
      </w:pPr>
      <w:r w:rsidRPr="004669C3">
        <w:t>The majority (89 per cent) of properties getting a GD Assessment had an energy efficiency band</w:t>
      </w:r>
      <w:r w:rsidRPr="00816724">
        <w:t xml:space="preserve"> rating of D or lower</w:t>
      </w:r>
      <w:r>
        <w:t>,</w:t>
      </w:r>
      <w:r w:rsidRPr="000B2FF1">
        <w:t xml:space="preserve"> </w:t>
      </w:r>
      <w:r>
        <w:t xml:space="preserve">suggesting that GD Assessments are generally </w:t>
      </w:r>
      <w:r w:rsidRPr="00273816">
        <w:t xml:space="preserve">happening in properties which could benefit from energy efficiency measures. This compares to 85 per cent of the overall domestic building stock in England (Chart </w:t>
      </w:r>
      <w:r w:rsidR="00170DD3">
        <w:t>1.</w:t>
      </w:r>
      <w:r w:rsidRPr="00273816">
        <w:t xml:space="preserve">1). </w:t>
      </w:r>
    </w:p>
    <w:p w:rsidR="00ED27D5" w:rsidRPr="00273816" w:rsidRDefault="00ED27D5" w:rsidP="00ED27D5">
      <w:pPr>
        <w:spacing w:line="240" w:lineRule="auto"/>
        <w:ind w:left="720"/>
        <w:contextualSpacing/>
        <w:jc w:val="both"/>
      </w:pPr>
    </w:p>
    <w:p w:rsidR="00BB6756" w:rsidRPr="00273816" w:rsidRDefault="00BB6756" w:rsidP="00BB6756">
      <w:pPr>
        <w:numPr>
          <w:ilvl w:val="0"/>
          <w:numId w:val="5"/>
        </w:numPr>
        <w:spacing w:before="0" w:after="200" w:line="240" w:lineRule="auto"/>
        <w:contextualSpacing/>
        <w:jc w:val="both"/>
      </w:pPr>
      <w:r>
        <w:t>There were 225,</w:t>
      </w:r>
      <w:r w:rsidRPr="00273816">
        <w:t>5</w:t>
      </w:r>
      <w:r>
        <w:t>1</w:t>
      </w:r>
      <w:r w:rsidRPr="00273816">
        <w:t xml:space="preserve">2 improvements recommended in Green Deal Assessments (around 2.6 improvements per assessment). The most common measure recommended was to </w:t>
      </w:r>
      <w:r>
        <w:t>install loft insulation, which</w:t>
      </w:r>
      <w:r w:rsidRPr="00273816">
        <w:t xml:space="preserve"> accounted for 14 per cent of all measures and was</w:t>
      </w:r>
      <w:r>
        <w:t xml:space="preserve"> recommended in</w:t>
      </w:r>
      <w:r w:rsidRPr="00273816">
        <w:t xml:space="preserve"> over a third of all GD Assessments. Cavity wall insulation accounted for 13 per cent of all </w:t>
      </w:r>
      <w:r>
        <w:t xml:space="preserve">recommended </w:t>
      </w:r>
      <w:r w:rsidRPr="00273816">
        <w:t xml:space="preserve">measures, upgrading boiler with the same fuel </w:t>
      </w:r>
      <w:r>
        <w:t>was 12 per cent</w:t>
      </w:r>
      <w:r w:rsidRPr="00273816">
        <w:t>, all</w:t>
      </w:r>
      <w:r>
        <w:t xml:space="preserve"> solid wall insulation types was</w:t>
      </w:r>
      <w:r w:rsidRPr="00273816">
        <w:t xml:space="preserve"> 11 per cent and Photovoltaics (solar PV) </w:t>
      </w:r>
      <w:r>
        <w:t xml:space="preserve">was </w:t>
      </w:r>
      <w:r w:rsidRPr="00273816">
        <w:t xml:space="preserve">9 per cent of all </w:t>
      </w:r>
      <w:r>
        <w:t xml:space="preserve">recommended </w:t>
      </w:r>
      <w:r w:rsidRPr="00273816">
        <w:t>measures.</w:t>
      </w:r>
    </w:p>
    <w:p w:rsidR="00ED27D5" w:rsidRPr="00816724" w:rsidRDefault="00ED27D5" w:rsidP="00ED27D5">
      <w:pPr>
        <w:spacing w:line="240" w:lineRule="auto"/>
        <w:contextualSpacing/>
        <w:jc w:val="both"/>
      </w:pPr>
    </w:p>
    <w:p w:rsidR="00ED27D5" w:rsidRPr="00273816" w:rsidRDefault="00ED27D5" w:rsidP="00ED27D5">
      <w:pPr>
        <w:numPr>
          <w:ilvl w:val="0"/>
          <w:numId w:val="5"/>
        </w:numPr>
        <w:spacing w:before="0" w:after="200" w:line="240" w:lineRule="auto"/>
        <w:contextualSpacing/>
        <w:jc w:val="both"/>
      </w:pPr>
      <w:r w:rsidRPr="00273816">
        <w:t xml:space="preserve">Around three quarters (76 per cent) of GD Assessments were in owner-occupied </w:t>
      </w:r>
      <w:r w:rsidRPr="004669C3">
        <w:t>properties (64,63</w:t>
      </w:r>
      <w:r w:rsidR="004669C3" w:rsidRPr="004669C3">
        <w:t>5</w:t>
      </w:r>
      <w:r w:rsidRPr="004669C3">
        <w:t>), with the remainder split equally between the private rented sector and the social re</w:t>
      </w:r>
      <w:r w:rsidR="00273816" w:rsidRPr="004669C3">
        <w:t>nted sector. This compares to 65</w:t>
      </w:r>
      <w:r w:rsidRPr="004669C3">
        <w:t xml:space="preserve"> per cent of t</w:t>
      </w:r>
      <w:r w:rsidR="001B7E76" w:rsidRPr="004669C3">
        <w:t xml:space="preserve">he </w:t>
      </w:r>
      <w:r w:rsidRPr="004669C3">
        <w:t xml:space="preserve">housing stock in </w:t>
      </w:r>
      <w:r w:rsidR="001B7E76" w:rsidRPr="004669C3">
        <w:t>Great Britain</w:t>
      </w:r>
      <w:r w:rsidRPr="004669C3">
        <w:t xml:space="preserve"> being owner occupied</w:t>
      </w:r>
      <w:r w:rsidRPr="00273816">
        <w:t xml:space="preserve"> (Chart </w:t>
      </w:r>
      <w:r w:rsidR="00170DD3">
        <w:t>1.</w:t>
      </w:r>
      <w:r w:rsidRPr="00273816">
        <w:t>3).</w:t>
      </w:r>
    </w:p>
    <w:p w:rsidR="00ED27D5" w:rsidRDefault="00ED27D5" w:rsidP="00EF5D0B">
      <w:pPr>
        <w:spacing w:before="0" w:after="200" w:line="240" w:lineRule="auto"/>
        <w:contextualSpacing/>
        <w:jc w:val="both"/>
      </w:pPr>
    </w:p>
    <w:p w:rsidR="00253F81" w:rsidRDefault="00253F81" w:rsidP="00253F81">
      <w:pPr>
        <w:spacing w:line="240" w:lineRule="auto"/>
        <w:contextualSpacing/>
        <w:jc w:val="both"/>
      </w:pPr>
      <w:r>
        <w:t xml:space="preserve">Of the provisional </w:t>
      </w:r>
      <w:r w:rsidR="00EF5D0B">
        <w:t>303</w:t>
      </w:r>
      <w:r w:rsidRPr="00816724">
        <w:t>,</w:t>
      </w:r>
      <w:r w:rsidR="00EF5D0B">
        <w:t>795</w:t>
      </w:r>
      <w:r>
        <w:t xml:space="preserve"> measures installed under ECO:</w:t>
      </w:r>
    </w:p>
    <w:p w:rsidR="00253F81" w:rsidRPr="00AB59ED" w:rsidRDefault="00253F81" w:rsidP="00253F81">
      <w:pPr>
        <w:spacing w:line="240" w:lineRule="auto"/>
        <w:contextualSpacing/>
        <w:jc w:val="both"/>
      </w:pPr>
    </w:p>
    <w:p w:rsidR="00253F81" w:rsidRDefault="00253F81" w:rsidP="00253F81">
      <w:pPr>
        <w:numPr>
          <w:ilvl w:val="0"/>
          <w:numId w:val="5"/>
        </w:numPr>
        <w:spacing w:before="0" w:after="200" w:line="240" w:lineRule="auto"/>
        <w:contextualSpacing/>
        <w:jc w:val="both"/>
      </w:pPr>
      <w:r>
        <w:t>Around a fifth (</w:t>
      </w:r>
      <w:r w:rsidR="00EF5D0B">
        <w:t>20</w:t>
      </w:r>
      <w:r>
        <w:t xml:space="preserve"> per cent) of ECO measures were</w:t>
      </w:r>
      <w:r w:rsidRPr="002A20E7">
        <w:t xml:space="preserve"> </w:t>
      </w:r>
      <w:r w:rsidR="00EF5D0B">
        <w:t>in the North West (60</w:t>
      </w:r>
      <w:r>
        <w:t>,</w:t>
      </w:r>
      <w:r w:rsidR="00EF5D0B">
        <w:t>402</w:t>
      </w:r>
      <w:r w:rsidRPr="00816724">
        <w:t>), the highest in any region</w:t>
      </w:r>
      <w:r>
        <w:t>. 1</w:t>
      </w:r>
      <w:r w:rsidR="00EF5D0B">
        <w:t>1</w:t>
      </w:r>
      <w:r>
        <w:t xml:space="preserve"> per cent of ECO measure</w:t>
      </w:r>
      <w:r w:rsidR="00EF5D0B">
        <w:t>s were installed in Scotland (32</w:t>
      </w:r>
      <w:r>
        <w:t>,</w:t>
      </w:r>
      <w:r w:rsidR="00EF5D0B">
        <w:t>470</w:t>
      </w:r>
      <w:r>
        <w:t xml:space="preserve">) and </w:t>
      </w:r>
      <w:r w:rsidR="00EF5D0B">
        <w:t>six</w:t>
      </w:r>
      <w:r>
        <w:t xml:space="preserve"> per cent were in Wales (</w:t>
      </w:r>
      <w:r w:rsidR="00EF5D0B">
        <w:t>17,180</w:t>
      </w:r>
      <w:r w:rsidRPr="00816724">
        <w:t>).</w:t>
      </w:r>
    </w:p>
    <w:p w:rsidR="00975728" w:rsidRDefault="00975728" w:rsidP="00975728">
      <w:pPr>
        <w:spacing w:before="0" w:after="200" w:line="240" w:lineRule="auto"/>
        <w:ind w:left="720"/>
        <w:contextualSpacing/>
        <w:jc w:val="both"/>
      </w:pPr>
    </w:p>
    <w:p w:rsidR="006E384C" w:rsidRDefault="006E384C" w:rsidP="006E384C">
      <w:pPr>
        <w:numPr>
          <w:ilvl w:val="0"/>
          <w:numId w:val="5"/>
        </w:numPr>
        <w:spacing w:before="0" w:after="0" w:line="270" w:lineRule="atLeast"/>
        <w:jc w:val="both"/>
      </w:pPr>
      <w:r>
        <w:t xml:space="preserve">In Great Britain there were nearly 12 </w:t>
      </w:r>
      <w:r w:rsidRPr="00423B95">
        <w:t>ECO measures</w:t>
      </w:r>
      <w:r>
        <w:t xml:space="preserve"> installed</w:t>
      </w:r>
      <w:r w:rsidRPr="00423B95">
        <w:t xml:space="preserve"> per 1,000 households</w:t>
      </w:r>
      <w:r>
        <w:t xml:space="preserve"> or</w:t>
      </w:r>
      <w:r w:rsidR="00812F13">
        <w:t>,</w:t>
      </w:r>
      <w:r>
        <w:t xml:space="preserve"> in other words</w:t>
      </w:r>
      <w:r w:rsidR="00812F13">
        <w:t>,</w:t>
      </w:r>
      <w:r>
        <w:t xml:space="preserve"> around 1% of all households in Great Britain had a measure installed under ECO funding. The North East had the highest amount with 21 </w:t>
      </w:r>
      <w:r w:rsidRPr="00423B95">
        <w:t>ECO measures per 1,000 households</w:t>
      </w:r>
      <w:r>
        <w:t xml:space="preserve">, followed by the North West with 20. In Scotland there were around 14 </w:t>
      </w:r>
      <w:r w:rsidRPr="00423B95">
        <w:t>ECO measures per 1,000 households</w:t>
      </w:r>
      <w:r>
        <w:t xml:space="preserve"> and 13 </w:t>
      </w:r>
      <w:r w:rsidR="001946E3">
        <w:t xml:space="preserve">per 1,000 households </w:t>
      </w:r>
      <w:r>
        <w:t>in Wales.</w:t>
      </w:r>
    </w:p>
    <w:p w:rsidR="00253F81" w:rsidRDefault="00253F81" w:rsidP="00253F81">
      <w:pPr>
        <w:spacing w:line="240" w:lineRule="auto"/>
        <w:contextualSpacing/>
        <w:jc w:val="both"/>
      </w:pPr>
    </w:p>
    <w:p w:rsidR="00253F81" w:rsidRDefault="00253F81" w:rsidP="00253F81">
      <w:pPr>
        <w:spacing w:line="240" w:lineRule="auto"/>
        <w:contextualSpacing/>
        <w:jc w:val="both"/>
      </w:pPr>
      <w:r>
        <w:t>Carbon and energy saving</w:t>
      </w:r>
    </w:p>
    <w:p w:rsidR="00253F81" w:rsidRDefault="00253F81" w:rsidP="00253F81">
      <w:pPr>
        <w:spacing w:line="240" w:lineRule="auto"/>
        <w:contextualSpacing/>
        <w:jc w:val="both"/>
      </w:pPr>
    </w:p>
    <w:p w:rsidR="00253F81" w:rsidRPr="00291E07" w:rsidRDefault="00253F81" w:rsidP="00253F81">
      <w:pPr>
        <w:numPr>
          <w:ilvl w:val="0"/>
          <w:numId w:val="5"/>
        </w:numPr>
        <w:spacing w:before="0" w:after="200" w:line="240" w:lineRule="auto"/>
        <w:contextualSpacing/>
        <w:jc w:val="both"/>
      </w:pPr>
      <w:r w:rsidRPr="00273816">
        <w:rPr>
          <w:color w:val="000000"/>
        </w:rPr>
        <w:t>The estimated lifetime carbon savings of measures installed under ECO (excluding Affordab</w:t>
      </w:r>
      <w:r w:rsidR="00273816" w:rsidRPr="00273816">
        <w:rPr>
          <w:color w:val="000000"/>
        </w:rPr>
        <w:t>le Warmth) and Cashback was 3.03</w:t>
      </w:r>
      <w:r w:rsidRPr="00273816">
        <w:rPr>
          <w:color w:val="000000"/>
        </w:rPr>
        <w:t xml:space="preserve"> MtCO2 with estimated </w:t>
      </w:r>
      <w:r w:rsidR="00273816" w:rsidRPr="00273816">
        <w:rPr>
          <w:color w:val="000000"/>
        </w:rPr>
        <w:t>lifetime energy savings of 14,</w:t>
      </w:r>
      <w:r w:rsidR="00965265">
        <w:rPr>
          <w:color w:val="000000"/>
        </w:rPr>
        <w:t>1</w:t>
      </w:r>
      <w:r w:rsidR="00273816" w:rsidRPr="00273816">
        <w:rPr>
          <w:color w:val="000000"/>
        </w:rPr>
        <w:t>75</w:t>
      </w:r>
      <w:r w:rsidRPr="00273816">
        <w:rPr>
          <w:color w:val="000000"/>
        </w:rPr>
        <w:t xml:space="preserve"> GWh.</w:t>
      </w:r>
    </w:p>
    <w:p w:rsidR="00291E07" w:rsidRPr="00D801C2" w:rsidRDefault="00291E07" w:rsidP="00291E07">
      <w:pPr>
        <w:pStyle w:val="Heading4"/>
        <w:rPr>
          <w:u w:val="single"/>
        </w:rPr>
      </w:pPr>
      <w:r w:rsidRPr="00D801C2">
        <w:rPr>
          <w:u w:val="single"/>
        </w:rPr>
        <w:t>Home insulation levels</w:t>
      </w:r>
      <w:r w:rsidR="00D801C2" w:rsidRPr="00D801C2">
        <w:rPr>
          <w:u w:val="single"/>
        </w:rPr>
        <w:t>:</w:t>
      </w:r>
      <w:r w:rsidRPr="00D801C2">
        <w:rPr>
          <w:u w:val="single"/>
        </w:rPr>
        <w:t xml:space="preserve"> September 2013</w:t>
      </w:r>
    </w:p>
    <w:p w:rsidR="004669C3" w:rsidRPr="004669C3" w:rsidRDefault="004669C3" w:rsidP="004669C3">
      <w:pPr>
        <w:spacing w:before="0" w:after="200" w:line="240" w:lineRule="auto"/>
        <w:ind w:left="720"/>
        <w:contextualSpacing/>
        <w:jc w:val="both"/>
      </w:pPr>
    </w:p>
    <w:p w:rsidR="004669C3" w:rsidRDefault="00291E07" w:rsidP="004669C3">
      <w:pPr>
        <w:rPr>
          <w:b/>
        </w:rPr>
      </w:pPr>
      <w:r>
        <w:t>I</w:t>
      </w:r>
      <w:r w:rsidRPr="00383A17">
        <w:t xml:space="preserve">t is estimated that at the </w:t>
      </w:r>
      <w:r>
        <w:t>end of September 2013:</w:t>
      </w:r>
    </w:p>
    <w:p w:rsidR="00291E07" w:rsidRPr="00383A17" w:rsidRDefault="00291E07" w:rsidP="004669C3">
      <w:pPr>
        <w:rPr>
          <w:b/>
        </w:rPr>
      </w:pPr>
    </w:p>
    <w:p w:rsidR="004669C3" w:rsidRDefault="004669C3" w:rsidP="004669C3">
      <w:pPr>
        <w:numPr>
          <w:ilvl w:val="0"/>
          <w:numId w:val="5"/>
        </w:numPr>
        <w:spacing w:before="0" w:after="0" w:line="270" w:lineRule="atLeast"/>
        <w:ind w:left="714" w:hanging="357"/>
        <w:jc w:val="both"/>
      </w:pPr>
      <w:r>
        <w:t>16.3</w:t>
      </w:r>
      <w:r w:rsidRPr="00383A17">
        <w:t xml:space="preserve"> million homes had loft insulation of at least 125mm (</w:t>
      </w:r>
      <w:r>
        <w:t>69</w:t>
      </w:r>
      <w:r w:rsidRPr="00383A17">
        <w:t xml:space="preserve"> per cent of homes with lofts</w:t>
      </w:r>
      <w:r w:rsidRPr="00AE6C5D">
        <w:t xml:space="preserve">). Of the </w:t>
      </w:r>
      <w:r>
        <w:t>7.4</w:t>
      </w:r>
      <w:r w:rsidRPr="00AE6C5D">
        <w:t xml:space="preserve"> million homes with lofts without at least 125mm of insulation, only a</w:t>
      </w:r>
      <w:r>
        <w:t>round 1 per cent</w:t>
      </w:r>
      <w:r w:rsidRPr="00AE6C5D">
        <w:t xml:space="preserve"> are estimated to have no </w:t>
      </w:r>
      <w:r>
        <w:t xml:space="preserve">loft </w:t>
      </w:r>
      <w:r w:rsidRPr="00AE6C5D">
        <w:t>insulation.</w:t>
      </w:r>
    </w:p>
    <w:p w:rsidR="004669C3" w:rsidRPr="00383A17" w:rsidRDefault="004669C3" w:rsidP="004669C3">
      <w:pPr>
        <w:spacing w:before="0" w:after="0" w:line="270" w:lineRule="atLeast"/>
        <w:ind w:left="714"/>
        <w:jc w:val="both"/>
      </w:pPr>
    </w:p>
    <w:p w:rsidR="004669C3" w:rsidRDefault="004669C3" w:rsidP="004669C3">
      <w:pPr>
        <w:numPr>
          <w:ilvl w:val="0"/>
          <w:numId w:val="5"/>
        </w:numPr>
        <w:spacing w:before="0" w:after="0" w:line="270" w:lineRule="atLeast"/>
        <w:ind w:left="714" w:hanging="357"/>
        <w:jc w:val="both"/>
      </w:pPr>
      <w:r>
        <w:t>13.5</w:t>
      </w:r>
      <w:r w:rsidRPr="007C2D01">
        <w:t xml:space="preserve"> million homes had cavity wall insulation (</w:t>
      </w:r>
      <w:r w:rsidRPr="008D73D1">
        <w:t>70</w:t>
      </w:r>
      <w:r w:rsidRPr="007C2D01">
        <w:t xml:space="preserve"> per cent of homes with cavity walls). Of the </w:t>
      </w:r>
      <w:r>
        <w:t>5.2</w:t>
      </w:r>
      <w:r w:rsidRPr="007C2D01">
        <w:t xml:space="preserve"> million homes without cavity wall insulation, most are hard to treat, with only </w:t>
      </w:r>
      <w:r w:rsidRPr="008D73D1">
        <w:t>0.7</w:t>
      </w:r>
      <w:r w:rsidRPr="007C2D01">
        <w:t xml:space="preserve"> million of them being </w:t>
      </w:r>
      <w:r>
        <w:t xml:space="preserve">uninsulated </w:t>
      </w:r>
      <w:r w:rsidRPr="007C2D01">
        <w:t>e</w:t>
      </w:r>
      <w:r>
        <w:t>asy to treat standard cavities.</w:t>
      </w:r>
    </w:p>
    <w:p w:rsidR="004669C3" w:rsidRPr="007C2D01" w:rsidRDefault="004669C3" w:rsidP="004669C3">
      <w:pPr>
        <w:spacing w:before="0" w:after="0" w:line="270" w:lineRule="atLeast"/>
        <w:jc w:val="both"/>
      </w:pPr>
    </w:p>
    <w:p w:rsidR="004669C3" w:rsidRDefault="004669C3" w:rsidP="004669C3">
      <w:pPr>
        <w:numPr>
          <w:ilvl w:val="0"/>
          <w:numId w:val="5"/>
        </w:numPr>
        <w:spacing w:before="0" w:after="0" w:line="270" w:lineRule="atLeast"/>
        <w:ind w:left="714" w:hanging="357"/>
        <w:jc w:val="both"/>
      </w:pPr>
      <w:r>
        <w:t>217</w:t>
      </w:r>
      <w:r w:rsidRPr="008E027E">
        <w:t>,000 homes had solid wall insulation (3 per cent of</w:t>
      </w:r>
      <w:r w:rsidRPr="00383A17">
        <w:t xml:space="preserve"> homes with solid walls).</w:t>
      </w:r>
    </w:p>
    <w:p w:rsidR="00291E07" w:rsidRDefault="00291E07" w:rsidP="00291E07">
      <w:pPr>
        <w:spacing w:before="0" w:after="0" w:line="270" w:lineRule="atLeast"/>
        <w:jc w:val="both"/>
      </w:pPr>
    </w:p>
    <w:p w:rsidR="004669C3" w:rsidRDefault="00F85F5A" w:rsidP="004669C3">
      <w:pPr>
        <w:numPr>
          <w:ilvl w:val="0"/>
          <w:numId w:val="5"/>
        </w:numPr>
        <w:spacing w:before="0" w:after="0" w:line="270" w:lineRule="atLeast"/>
        <w:ind w:left="714" w:hanging="357"/>
        <w:jc w:val="both"/>
      </w:pPr>
      <w:r>
        <w:t>Compared with September</w:t>
      </w:r>
      <w:r w:rsidR="004669C3" w:rsidRPr="00383A17">
        <w:t xml:space="preserve"> 2012, </w:t>
      </w:r>
      <w:r w:rsidR="004669C3">
        <w:t xml:space="preserve">700,000 </w:t>
      </w:r>
      <w:r w:rsidR="004669C3" w:rsidRPr="00383A17">
        <w:t>more properties had loft insulation</w:t>
      </w:r>
      <w:r w:rsidR="004669C3">
        <w:t xml:space="preserve"> of at least 125mm</w:t>
      </w:r>
      <w:r w:rsidR="004669C3" w:rsidRPr="00383A17">
        <w:t xml:space="preserve">, </w:t>
      </w:r>
      <w:r w:rsidR="004669C3" w:rsidRPr="00096BF5">
        <w:t>4</w:t>
      </w:r>
      <w:r w:rsidR="004669C3">
        <w:t>00</w:t>
      </w:r>
      <w:r w:rsidR="004669C3" w:rsidRPr="00096BF5">
        <w:t>,000</w:t>
      </w:r>
      <w:r w:rsidR="004669C3" w:rsidRPr="00383A17">
        <w:t xml:space="preserve"> more had cavity wall insulation and </w:t>
      </w:r>
      <w:r w:rsidR="004669C3">
        <w:t>46,000</w:t>
      </w:r>
      <w:r w:rsidR="004669C3" w:rsidRPr="00383A17">
        <w:t xml:space="preserve"> more had solid wall insulation.</w:t>
      </w:r>
    </w:p>
    <w:p w:rsidR="004669C3" w:rsidRPr="00273816" w:rsidRDefault="004669C3" w:rsidP="004669C3">
      <w:pPr>
        <w:spacing w:before="0" w:after="200" w:line="240" w:lineRule="auto"/>
        <w:ind w:left="720"/>
        <w:contextualSpacing/>
        <w:jc w:val="both"/>
      </w:pPr>
    </w:p>
    <w:p w:rsidR="0006123D" w:rsidRPr="008A5812" w:rsidRDefault="00975728" w:rsidP="00554BE5">
      <w:pPr>
        <w:pStyle w:val="ChapterHead"/>
        <w:spacing w:before="0" w:after="200"/>
        <w:rPr>
          <w:rFonts w:cs="Arial"/>
          <w:szCs w:val="50"/>
        </w:rPr>
      </w:pPr>
      <w:r>
        <w:rPr>
          <w:rFonts w:cs="Arial"/>
          <w:szCs w:val="50"/>
        </w:rPr>
        <w:br w:type="page"/>
      </w:r>
      <w:bookmarkStart w:id="17" w:name="Section1"/>
      <w:bookmarkStart w:id="18" w:name="_Toc375046001"/>
      <w:bookmarkEnd w:id="17"/>
      <w:r w:rsidR="00855AC0">
        <w:rPr>
          <w:rFonts w:cs="Arial"/>
          <w:szCs w:val="50"/>
        </w:rPr>
        <w:lastRenderedPageBreak/>
        <w:t xml:space="preserve">Section 1 - </w:t>
      </w:r>
      <w:r>
        <w:rPr>
          <w:rFonts w:cs="Arial"/>
          <w:szCs w:val="50"/>
        </w:rPr>
        <w:t xml:space="preserve">Green Deal and ECO </w:t>
      </w:r>
      <w:r w:rsidR="005E7FA7">
        <w:rPr>
          <w:rFonts w:cs="Arial"/>
          <w:szCs w:val="50"/>
        </w:rPr>
        <w:t>statistics</w:t>
      </w:r>
      <w:bookmarkEnd w:id="18"/>
    </w:p>
    <w:p w:rsidR="00253F81" w:rsidRDefault="00253F81" w:rsidP="00054D4E">
      <w:pPr>
        <w:spacing w:before="0" w:after="0" w:line="270" w:lineRule="atLeast"/>
        <w:jc w:val="both"/>
        <w:rPr>
          <w:szCs w:val="24"/>
        </w:rPr>
      </w:pPr>
      <w:bookmarkStart w:id="19" w:name="Figure1"/>
      <w:r w:rsidRPr="00253F81">
        <w:rPr>
          <w:szCs w:val="24"/>
        </w:rPr>
        <w:t>This section of the report provides detailed information on different elements of the Green Deal, including a geographic breakdown of where GD Assessments took place and the characteristics of these proper</w:t>
      </w:r>
      <w:r w:rsidR="00975728">
        <w:rPr>
          <w:szCs w:val="24"/>
        </w:rPr>
        <w:t>ties. This report also provides</w:t>
      </w:r>
      <w:r w:rsidRPr="00253F81">
        <w:rPr>
          <w:szCs w:val="24"/>
        </w:rPr>
        <w:t xml:space="preserve"> geographic breakdowns on measure</w:t>
      </w:r>
      <w:r w:rsidR="002241BF">
        <w:rPr>
          <w:szCs w:val="24"/>
        </w:rPr>
        <w:t>s</w:t>
      </w:r>
      <w:r w:rsidRPr="00253F81">
        <w:rPr>
          <w:szCs w:val="24"/>
        </w:rPr>
        <w:t xml:space="preserve"> installed through Cashback and ECO as well as estimates of the carbon savings achieved through these measures.</w:t>
      </w:r>
      <w:r w:rsidR="000C6D7D">
        <w:rPr>
          <w:szCs w:val="24"/>
        </w:rPr>
        <w:t xml:space="preserve"> With the addition of new data on Core Cities, Pioneer Pla</w:t>
      </w:r>
      <w:r w:rsidR="004669C3">
        <w:rPr>
          <w:szCs w:val="24"/>
        </w:rPr>
        <w:t xml:space="preserve">ces and ECO delivery costs, </w:t>
      </w:r>
      <w:r w:rsidR="000C6D7D">
        <w:rPr>
          <w:szCs w:val="24"/>
        </w:rPr>
        <w:t>table numbers have changed since the previous quarterly release.</w:t>
      </w:r>
    </w:p>
    <w:p w:rsidR="00253F81" w:rsidRPr="00253F81" w:rsidRDefault="00253F81" w:rsidP="00054D4E">
      <w:pPr>
        <w:spacing w:before="0" w:after="0" w:line="270" w:lineRule="atLeast"/>
        <w:jc w:val="both"/>
        <w:rPr>
          <w:szCs w:val="24"/>
        </w:rPr>
      </w:pPr>
    </w:p>
    <w:p w:rsidR="006D27C5" w:rsidRDefault="00253F81" w:rsidP="00054D4E">
      <w:pPr>
        <w:spacing w:before="0" w:after="0" w:line="270" w:lineRule="atLeast"/>
        <w:jc w:val="both"/>
        <w:rPr>
          <w:szCs w:val="24"/>
        </w:rPr>
      </w:pPr>
      <w:r w:rsidRPr="00253F81">
        <w:rPr>
          <w:szCs w:val="24"/>
        </w:rPr>
        <w:t xml:space="preserve">Where the </w:t>
      </w:r>
      <w:r w:rsidRPr="009D56C9">
        <w:rPr>
          <w:szCs w:val="24"/>
        </w:rPr>
        <w:t xml:space="preserve">report refers to table numbers in brackets, these are included in </w:t>
      </w:r>
      <w:hyperlink w:anchor="GDECOTables" w:history="1">
        <w:r w:rsidR="001946E3" w:rsidRPr="009D56C9">
          <w:rPr>
            <w:rStyle w:val="Hyperlink"/>
            <w:rFonts w:ascii="Arial" w:hAnsi="Arial"/>
            <w:szCs w:val="24"/>
          </w:rPr>
          <w:t>GD/ECO tables</w:t>
        </w:r>
      </w:hyperlink>
      <w:r w:rsidRPr="009D56C9">
        <w:rPr>
          <w:color w:val="FF0000"/>
          <w:szCs w:val="24"/>
        </w:rPr>
        <w:t xml:space="preserve"> </w:t>
      </w:r>
      <w:r w:rsidRPr="009D56C9">
        <w:rPr>
          <w:szCs w:val="24"/>
        </w:rPr>
        <w:t xml:space="preserve">and separately in Excel </w:t>
      </w:r>
      <w:hyperlink r:id="rId26" w:history="1">
        <w:r w:rsidRPr="009D56C9">
          <w:rPr>
            <w:rStyle w:val="Hyperlink"/>
            <w:rFonts w:ascii="Arial" w:hAnsi="Arial"/>
            <w:szCs w:val="24"/>
          </w:rPr>
          <w:t>here</w:t>
        </w:r>
      </w:hyperlink>
      <w:r w:rsidRPr="009D56C9">
        <w:rPr>
          <w:szCs w:val="24"/>
        </w:rPr>
        <w:t>.</w:t>
      </w:r>
    </w:p>
    <w:p w:rsidR="00054D4E" w:rsidRPr="008A5812" w:rsidRDefault="00054D4E" w:rsidP="00054D4E">
      <w:pPr>
        <w:spacing w:before="0" w:after="0" w:line="270" w:lineRule="atLeast"/>
        <w:jc w:val="both"/>
        <w:rPr>
          <w:szCs w:val="24"/>
        </w:rPr>
      </w:pPr>
    </w:p>
    <w:p w:rsidR="00D12323" w:rsidRDefault="00D12323" w:rsidP="00054D4E">
      <w:pPr>
        <w:pStyle w:val="Heading2"/>
        <w:spacing w:before="0" w:after="0"/>
      </w:pPr>
      <w:bookmarkStart w:id="20" w:name="_Toc375046002"/>
      <w:r w:rsidRPr="008A5812">
        <w:t xml:space="preserve">Green Deal Assessments, </w:t>
      </w:r>
      <w:r w:rsidR="00F8119F">
        <w:t xml:space="preserve">lodged </w:t>
      </w:r>
      <w:r w:rsidR="00C56AEA" w:rsidRPr="00C56AEA">
        <w:t>up to 30</w:t>
      </w:r>
      <w:r w:rsidR="00C56AEA" w:rsidRPr="00DF5EBB">
        <w:rPr>
          <w:vertAlign w:val="superscript"/>
        </w:rPr>
        <w:t>th</w:t>
      </w:r>
      <w:r w:rsidR="00DF5EBB">
        <w:t xml:space="preserve"> </w:t>
      </w:r>
      <w:r w:rsidR="00C56AEA">
        <w:t xml:space="preserve">September </w:t>
      </w:r>
      <w:r w:rsidR="00C56AEA" w:rsidRPr="00C56AEA">
        <w:t>2013</w:t>
      </w:r>
      <w:bookmarkEnd w:id="20"/>
      <w:r w:rsidR="00C56AEA" w:rsidRPr="00C56AEA">
        <w:t xml:space="preserve"> </w:t>
      </w:r>
    </w:p>
    <w:p w:rsidR="006D27C5" w:rsidRPr="008A5812" w:rsidRDefault="006D27C5" w:rsidP="00054D4E">
      <w:pPr>
        <w:spacing w:before="0" w:after="0" w:line="270" w:lineRule="atLeast"/>
        <w:jc w:val="both"/>
        <w:rPr>
          <w:szCs w:val="24"/>
          <w:u w:val="single"/>
        </w:rPr>
      </w:pPr>
    </w:p>
    <w:p w:rsidR="00251497" w:rsidRDefault="00251497" w:rsidP="00251497">
      <w:pPr>
        <w:spacing w:before="0" w:after="0" w:line="270" w:lineRule="atLeast"/>
        <w:jc w:val="both"/>
        <w:rPr>
          <w:szCs w:val="24"/>
        </w:rPr>
      </w:pPr>
      <w:r w:rsidRPr="008A5812">
        <w:rPr>
          <w:szCs w:val="24"/>
        </w:rPr>
        <w:t>The first step in the Green Deal process involves a Green Deal Assessor coming to the home, talking to the owner/occupier about their energy use and seeing if they can benefit from making energy efficiency improvements to their property.</w:t>
      </w:r>
      <w:r>
        <w:rPr>
          <w:szCs w:val="24"/>
        </w:rPr>
        <w:t xml:space="preserve"> This leads to </w:t>
      </w:r>
      <w:r w:rsidRPr="008A5812">
        <w:rPr>
          <w:szCs w:val="24"/>
        </w:rPr>
        <w:t>a Green Deal Advice Report be</w:t>
      </w:r>
      <w:r>
        <w:rPr>
          <w:szCs w:val="24"/>
        </w:rPr>
        <w:t>ing</w:t>
      </w:r>
      <w:r w:rsidRPr="008A5812">
        <w:rPr>
          <w:szCs w:val="24"/>
        </w:rPr>
        <w:t xml:space="preserve"> produced </w:t>
      </w:r>
      <w:r>
        <w:rPr>
          <w:szCs w:val="24"/>
        </w:rPr>
        <w:t xml:space="preserve">for the householder and </w:t>
      </w:r>
      <w:r w:rsidRPr="008A5812">
        <w:rPr>
          <w:szCs w:val="24"/>
        </w:rPr>
        <w:t>lodged on a national register. The customer is then able to view the energy efficiency measures which have been recommended and understand the potential costs and savings.</w:t>
      </w:r>
    </w:p>
    <w:p w:rsidR="00251497" w:rsidRPr="008A5812" w:rsidRDefault="00251497" w:rsidP="00251497">
      <w:pPr>
        <w:spacing w:before="0" w:after="0" w:line="270" w:lineRule="atLeast"/>
        <w:jc w:val="both"/>
        <w:rPr>
          <w:szCs w:val="24"/>
        </w:rPr>
      </w:pPr>
    </w:p>
    <w:p w:rsidR="00251497" w:rsidRDefault="00251497" w:rsidP="00251497">
      <w:pPr>
        <w:spacing w:before="0" w:after="0" w:line="270" w:lineRule="atLeast"/>
        <w:jc w:val="both"/>
        <w:rPr>
          <w:szCs w:val="24"/>
        </w:rPr>
      </w:pPr>
      <w:r w:rsidRPr="008A5812">
        <w:rPr>
          <w:szCs w:val="24"/>
        </w:rPr>
        <w:t xml:space="preserve">For more information on the </w:t>
      </w:r>
      <w:hyperlink r:id="rId27" w:anchor="getting-your-home-assessed" w:history="1">
        <w:r w:rsidRPr="008A5812">
          <w:rPr>
            <w:rStyle w:val="Hyperlink"/>
            <w:rFonts w:ascii="Arial" w:hAnsi="Arial"/>
            <w:szCs w:val="24"/>
          </w:rPr>
          <w:t>GD assessment process see here</w:t>
        </w:r>
      </w:hyperlink>
      <w:r w:rsidRPr="008A5812">
        <w:rPr>
          <w:szCs w:val="24"/>
        </w:rPr>
        <w:t>.</w:t>
      </w:r>
    </w:p>
    <w:p w:rsidR="00054D4E" w:rsidRDefault="00054D4E" w:rsidP="00054D4E">
      <w:pPr>
        <w:spacing w:before="0" w:after="0" w:line="270" w:lineRule="atLeast"/>
        <w:jc w:val="both"/>
        <w:rPr>
          <w:szCs w:val="24"/>
        </w:rPr>
      </w:pPr>
    </w:p>
    <w:p w:rsidR="00C453CE" w:rsidRPr="0017774D" w:rsidRDefault="00C453CE" w:rsidP="00C453CE">
      <w:pPr>
        <w:spacing w:before="0" w:after="0"/>
        <w:rPr>
          <w:u w:val="single"/>
        </w:rPr>
      </w:pPr>
      <w:r w:rsidRPr="0017774D">
        <w:rPr>
          <w:u w:val="single"/>
        </w:rPr>
        <w:t>Energy Effici</w:t>
      </w:r>
      <w:r>
        <w:rPr>
          <w:u w:val="single"/>
        </w:rPr>
        <w:t>ency Rating (EER) Bands (Table 1</w:t>
      </w:r>
      <w:r w:rsidR="00AA2D70">
        <w:rPr>
          <w:u w:val="single"/>
        </w:rPr>
        <w:t>.1</w:t>
      </w:r>
      <w:r w:rsidRPr="0017774D">
        <w:rPr>
          <w:u w:val="single"/>
        </w:rPr>
        <w:t>, Chart 1</w:t>
      </w:r>
      <w:r w:rsidR="00170DD3">
        <w:rPr>
          <w:u w:val="single"/>
        </w:rPr>
        <w:t>.1</w:t>
      </w:r>
      <w:r w:rsidRPr="0017774D">
        <w:rPr>
          <w:u w:val="single"/>
        </w:rPr>
        <w:t>)</w:t>
      </w:r>
    </w:p>
    <w:p w:rsidR="00C453CE" w:rsidRPr="00945559" w:rsidRDefault="00C453CE" w:rsidP="00C453CE">
      <w:pPr>
        <w:spacing w:after="0" w:line="240" w:lineRule="auto"/>
        <w:contextualSpacing/>
        <w:jc w:val="both"/>
        <w:rPr>
          <w:szCs w:val="24"/>
          <w:u w:val="single"/>
        </w:rPr>
      </w:pPr>
    </w:p>
    <w:p w:rsidR="00C453CE" w:rsidRPr="00945559" w:rsidRDefault="00C453CE" w:rsidP="00C453CE">
      <w:pPr>
        <w:spacing w:after="0" w:line="240" w:lineRule="auto"/>
        <w:contextualSpacing/>
        <w:jc w:val="both"/>
        <w:rPr>
          <w:szCs w:val="24"/>
        </w:rPr>
      </w:pPr>
      <w:r w:rsidRPr="00945559">
        <w:rPr>
          <w:szCs w:val="24"/>
        </w:rPr>
        <w:t xml:space="preserve">The energy efficiency rating is presented in an A-G banding system for an Energy Performance Certificate, where Band A rating represents low energy costs (i.e. the most efficient band) and Band </w:t>
      </w:r>
      <w:proofErr w:type="spellStart"/>
      <w:r w:rsidRPr="00945559">
        <w:rPr>
          <w:szCs w:val="24"/>
        </w:rPr>
        <w:t>G rating</w:t>
      </w:r>
      <w:proofErr w:type="spellEnd"/>
      <w:r w:rsidRPr="00945559">
        <w:rPr>
          <w:szCs w:val="24"/>
        </w:rPr>
        <w:t xml:space="preserve"> represents high energy costs (i.e. the least efficient band). </w:t>
      </w:r>
      <w:hyperlink w:anchor="chart1" w:history="1">
        <w:r w:rsidRPr="00945559">
          <w:rPr>
            <w:rStyle w:val="Hyperlink"/>
            <w:rFonts w:ascii="Arial" w:hAnsi="Arial"/>
            <w:szCs w:val="24"/>
          </w:rPr>
          <w:t>Chart 1</w:t>
        </w:r>
      </w:hyperlink>
      <w:r w:rsidR="00A90BE2">
        <w:rPr>
          <w:rStyle w:val="Hyperlink"/>
          <w:rFonts w:ascii="Arial" w:hAnsi="Arial"/>
          <w:szCs w:val="24"/>
        </w:rPr>
        <w:t>.1</w:t>
      </w:r>
      <w:r w:rsidRPr="00945559">
        <w:rPr>
          <w:szCs w:val="24"/>
        </w:rPr>
        <w:t xml:space="preserve"> compares properties that have had Green Deal assessments against the energy efficiency rating bands of properties in England in 2011 reported in the English Housing Survey</w:t>
      </w:r>
      <w:r w:rsidRPr="00945559">
        <w:rPr>
          <w:szCs w:val="24"/>
          <w:vertAlign w:val="superscript"/>
        </w:rPr>
        <w:footnoteReference w:id="2"/>
      </w:r>
      <w:r w:rsidRPr="00945559">
        <w:rPr>
          <w:szCs w:val="24"/>
        </w:rPr>
        <w:t>.</w:t>
      </w:r>
    </w:p>
    <w:p w:rsidR="00C453CE" w:rsidRPr="00945559" w:rsidRDefault="00C453CE" w:rsidP="00C453CE">
      <w:pPr>
        <w:spacing w:after="0" w:line="240" w:lineRule="auto"/>
        <w:ind w:left="720"/>
        <w:contextualSpacing/>
        <w:jc w:val="both"/>
        <w:rPr>
          <w:szCs w:val="24"/>
        </w:rPr>
      </w:pPr>
    </w:p>
    <w:p w:rsidR="00C453CE" w:rsidRPr="00945559" w:rsidRDefault="00C453CE" w:rsidP="00C453CE">
      <w:pPr>
        <w:spacing w:after="0" w:line="240" w:lineRule="auto"/>
        <w:contextualSpacing/>
        <w:jc w:val="both"/>
        <w:rPr>
          <w:szCs w:val="24"/>
        </w:rPr>
      </w:pPr>
      <w:r w:rsidRPr="00945559">
        <w:rPr>
          <w:szCs w:val="24"/>
        </w:rPr>
        <w:t>A slightly higher proportion of Green Deal assessed properties were in the lower energy efficiency bands compare</w:t>
      </w:r>
      <w:r w:rsidR="00274669">
        <w:rPr>
          <w:szCs w:val="24"/>
        </w:rPr>
        <w:t xml:space="preserve">d to all properties in England, with </w:t>
      </w:r>
      <w:r>
        <w:rPr>
          <w:szCs w:val="24"/>
        </w:rPr>
        <w:t>89</w:t>
      </w:r>
      <w:r w:rsidRPr="00945559">
        <w:rPr>
          <w:szCs w:val="24"/>
        </w:rPr>
        <w:t xml:space="preserve"> per cent of properties getting a GD Assessment had an energy efficiency band rating of D or lower, compared with 85 per cent of all properties in England.</w:t>
      </w:r>
    </w:p>
    <w:p w:rsidR="00C453CE" w:rsidRDefault="00C453CE" w:rsidP="00C453CE">
      <w:pPr>
        <w:spacing w:after="0" w:line="240" w:lineRule="auto"/>
        <w:contextualSpacing/>
        <w:jc w:val="both"/>
        <w:rPr>
          <w:szCs w:val="24"/>
        </w:rPr>
      </w:pPr>
    </w:p>
    <w:p w:rsidR="00C453CE" w:rsidRDefault="00C453CE" w:rsidP="00C453CE">
      <w:pPr>
        <w:pStyle w:val="Caption"/>
        <w:jc w:val="both"/>
        <w:rPr>
          <w:b w:val="0"/>
          <w:sz w:val="24"/>
          <w:szCs w:val="24"/>
        </w:rPr>
      </w:pPr>
      <w:bookmarkStart w:id="21" w:name="_Toc372290139"/>
    </w:p>
    <w:p w:rsidR="00C453CE" w:rsidRDefault="00C453CE" w:rsidP="00C453CE">
      <w:pPr>
        <w:pStyle w:val="Caption"/>
        <w:jc w:val="both"/>
        <w:rPr>
          <w:b w:val="0"/>
          <w:sz w:val="24"/>
          <w:szCs w:val="24"/>
        </w:rPr>
      </w:pPr>
    </w:p>
    <w:p w:rsidR="00C453CE" w:rsidRDefault="00C453CE" w:rsidP="00C453CE">
      <w:pPr>
        <w:pStyle w:val="Caption"/>
        <w:jc w:val="both"/>
        <w:rPr>
          <w:b w:val="0"/>
          <w:sz w:val="24"/>
          <w:szCs w:val="24"/>
        </w:rPr>
      </w:pPr>
    </w:p>
    <w:p w:rsidR="00C453CE" w:rsidRDefault="00C453CE" w:rsidP="00C453CE">
      <w:pPr>
        <w:pStyle w:val="Caption"/>
        <w:jc w:val="both"/>
        <w:rPr>
          <w:b w:val="0"/>
          <w:sz w:val="24"/>
          <w:szCs w:val="24"/>
        </w:rPr>
      </w:pPr>
    </w:p>
    <w:p w:rsidR="00C453CE" w:rsidRDefault="00C453CE" w:rsidP="00C453CE">
      <w:pPr>
        <w:pStyle w:val="Caption"/>
        <w:jc w:val="both"/>
        <w:rPr>
          <w:b w:val="0"/>
          <w:sz w:val="24"/>
          <w:szCs w:val="24"/>
        </w:rPr>
      </w:pPr>
    </w:p>
    <w:p w:rsidR="00C453CE" w:rsidRDefault="00C453CE" w:rsidP="00C453CE">
      <w:pPr>
        <w:pStyle w:val="Caption"/>
        <w:jc w:val="both"/>
        <w:rPr>
          <w:b w:val="0"/>
          <w:sz w:val="24"/>
          <w:szCs w:val="24"/>
        </w:rPr>
      </w:pPr>
    </w:p>
    <w:p w:rsidR="00BB6756" w:rsidRDefault="00BB6756" w:rsidP="00BB6756"/>
    <w:p w:rsidR="00BB6756" w:rsidRPr="00BB6756" w:rsidRDefault="00BB6756" w:rsidP="00BB6756"/>
    <w:p w:rsidR="00C453CE" w:rsidRPr="00945559" w:rsidRDefault="00C453CE" w:rsidP="00C453CE">
      <w:pPr>
        <w:pStyle w:val="Caption"/>
        <w:jc w:val="both"/>
        <w:rPr>
          <w:sz w:val="24"/>
          <w:szCs w:val="24"/>
        </w:rPr>
      </w:pPr>
      <w:bookmarkStart w:id="22" w:name="_Toc375046039"/>
      <w:r w:rsidRPr="000F4B03">
        <w:rPr>
          <w:b w:val="0"/>
          <w:sz w:val="24"/>
          <w:szCs w:val="24"/>
        </w:rPr>
        <w:lastRenderedPageBreak/>
        <w:t xml:space="preserve">Chart </w:t>
      </w:r>
      <w:r w:rsidRPr="000F4B03">
        <w:rPr>
          <w:b w:val="0"/>
          <w:sz w:val="24"/>
          <w:szCs w:val="24"/>
        </w:rPr>
        <w:fldChar w:fldCharType="begin"/>
      </w:r>
      <w:r w:rsidRPr="000F4B03">
        <w:rPr>
          <w:b w:val="0"/>
          <w:sz w:val="24"/>
          <w:szCs w:val="24"/>
        </w:rPr>
        <w:instrText xml:space="preserve"> SEQ Chart \* ARABIC </w:instrText>
      </w:r>
      <w:r w:rsidRPr="000F4B03">
        <w:rPr>
          <w:b w:val="0"/>
          <w:sz w:val="24"/>
          <w:szCs w:val="24"/>
        </w:rPr>
        <w:fldChar w:fldCharType="separate"/>
      </w:r>
      <w:r w:rsidR="001E226F">
        <w:rPr>
          <w:b w:val="0"/>
          <w:noProof/>
          <w:sz w:val="24"/>
          <w:szCs w:val="24"/>
        </w:rPr>
        <w:t>1</w:t>
      </w:r>
      <w:r w:rsidRPr="000F4B03">
        <w:rPr>
          <w:b w:val="0"/>
          <w:sz w:val="24"/>
          <w:szCs w:val="24"/>
        </w:rPr>
        <w:fldChar w:fldCharType="end"/>
      </w:r>
      <w:r w:rsidR="00A90BE2">
        <w:rPr>
          <w:b w:val="0"/>
          <w:sz w:val="24"/>
          <w:szCs w:val="24"/>
        </w:rPr>
        <w:t>.1</w:t>
      </w:r>
      <w:r w:rsidRPr="000F4B03">
        <w:rPr>
          <w:b w:val="0"/>
          <w:sz w:val="24"/>
          <w:szCs w:val="24"/>
        </w:rPr>
        <w:t xml:space="preserve"> - </w:t>
      </w:r>
      <w:bookmarkStart w:id="23" w:name="chart1"/>
      <w:bookmarkEnd w:id="21"/>
      <w:r w:rsidRPr="00F8119F">
        <w:rPr>
          <w:b w:val="0"/>
          <w:sz w:val="24"/>
          <w:szCs w:val="24"/>
        </w:rPr>
        <w:t>Percentage of G</w:t>
      </w:r>
      <w:r>
        <w:rPr>
          <w:b w:val="0"/>
          <w:sz w:val="24"/>
          <w:szCs w:val="24"/>
        </w:rPr>
        <w:t xml:space="preserve">reen </w:t>
      </w:r>
      <w:r w:rsidRPr="00F8119F">
        <w:rPr>
          <w:b w:val="0"/>
          <w:sz w:val="24"/>
          <w:szCs w:val="24"/>
        </w:rPr>
        <w:t>D</w:t>
      </w:r>
      <w:r>
        <w:rPr>
          <w:b w:val="0"/>
          <w:sz w:val="24"/>
          <w:szCs w:val="24"/>
        </w:rPr>
        <w:t>eal</w:t>
      </w:r>
      <w:r w:rsidRPr="00F8119F">
        <w:rPr>
          <w:b w:val="0"/>
          <w:sz w:val="24"/>
          <w:szCs w:val="24"/>
        </w:rPr>
        <w:t xml:space="preserve"> Assessments lodged, up to 30th September 2013, by Energy Efficiency Band compared with Energy Efficiency Band ratings of all England properties in 2011</w:t>
      </w:r>
      <w:bookmarkEnd w:id="22"/>
      <w:r w:rsidRPr="00945559">
        <w:rPr>
          <w:sz w:val="24"/>
          <w:szCs w:val="24"/>
        </w:rPr>
        <w:t xml:space="preserve"> </w:t>
      </w:r>
    </w:p>
    <w:bookmarkEnd w:id="23"/>
    <w:p w:rsidR="00C453CE" w:rsidRPr="001D5B1A" w:rsidRDefault="0012033E" w:rsidP="00C453CE">
      <w:pPr>
        <w:spacing w:after="0" w:line="240" w:lineRule="auto"/>
        <w:contextualSpacing/>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282.75pt;mso-left-percent:-10001;mso-top-percent:-10001;mso-position-horizontal:absolute;mso-position-horizontal-relative:char;mso-position-vertical:absolute;mso-position-vertical-relative:line;mso-left-percent:-10001;mso-top-percent:-10001">
            <v:imagedata r:id="rId28" o:title=""/>
          </v:shape>
        </w:pict>
      </w:r>
    </w:p>
    <w:p w:rsidR="00C453CE" w:rsidRPr="0017774D" w:rsidRDefault="00C453CE" w:rsidP="00C453CE">
      <w:pPr>
        <w:pStyle w:val="ListParagraph"/>
        <w:ind w:left="0"/>
        <w:contextualSpacing/>
        <w:jc w:val="both"/>
        <w:rPr>
          <w:rFonts w:ascii="Arial" w:hAnsi="Arial" w:cs="Arial"/>
          <w:sz w:val="24"/>
          <w:szCs w:val="24"/>
          <w:u w:val="single"/>
        </w:rPr>
      </w:pPr>
      <w:r w:rsidRPr="0017774D">
        <w:rPr>
          <w:rFonts w:ascii="Arial" w:hAnsi="Arial" w:cs="Arial"/>
          <w:sz w:val="24"/>
          <w:szCs w:val="24"/>
          <w:u w:val="single"/>
        </w:rPr>
        <w:t xml:space="preserve">Property Type (Table </w:t>
      </w:r>
      <w:r w:rsidR="000C5549">
        <w:rPr>
          <w:rFonts w:ascii="Arial" w:hAnsi="Arial" w:cs="Arial"/>
          <w:sz w:val="24"/>
          <w:szCs w:val="24"/>
          <w:u w:val="single"/>
        </w:rPr>
        <w:t>1.</w:t>
      </w:r>
      <w:r>
        <w:rPr>
          <w:rFonts w:ascii="Arial" w:hAnsi="Arial" w:cs="Arial"/>
          <w:sz w:val="24"/>
          <w:szCs w:val="24"/>
          <w:u w:val="single"/>
        </w:rPr>
        <w:t>2</w:t>
      </w:r>
      <w:r w:rsidRPr="0017774D">
        <w:rPr>
          <w:rFonts w:ascii="Arial" w:hAnsi="Arial" w:cs="Arial"/>
          <w:sz w:val="24"/>
          <w:szCs w:val="24"/>
          <w:u w:val="single"/>
        </w:rPr>
        <w:t xml:space="preserve">, Chart </w:t>
      </w:r>
      <w:r w:rsidR="00A90BE2">
        <w:rPr>
          <w:rFonts w:ascii="Arial" w:hAnsi="Arial" w:cs="Arial"/>
          <w:sz w:val="24"/>
          <w:szCs w:val="24"/>
          <w:u w:val="single"/>
        </w:rPr>
        <w:t>1.</w:t>
      </w:r>
      <w:r w:rsidRPr="0017774D">
        <w:rPr>
          <w:rFonts w:ascii="Arial" w:hAnsi="Arial" w:cs="Arial"/>
          <w:sz w:val="24"/>
          <w:szCs w:val="24"/>
          <w:u w:val="single"/>
        </w:rPr>
        <w:t>2)</w:t>
      </w:r>
      <w:bookmarkStart w:id="24" w:name="chart2_new"/>
      <w:bookmarkEnd w:id="24"/>
    </w:p>
    <w:p w:rsidR="00C453CE" w:rsidRPr="0017774D" w:rsidRDefault="00C453CE" w:rsidP="00C453CE">
      <w:pPr>
        <w:pStyle w:val="ListParagraph"/>
        <w:ind w:left="0"/>
        <w:contextualSpacing/>
        <w:jc w:val="both"/>
        <w:rPr>
          <w:rFonts w:ascii="Arial" w:hAnsi="Arial" w:cs="Arial"/>
          <w:sz w:val="24"/>
          <w:szCs w:val="24"/>
          <w:u w:val="single"/>
        </w:rPr>
      </w:pPr>
    </w:p>
    <w:p w:rsidR="00C453CE" w:rsidRDefault="00C453CE" w:rsidP="00C453CE">
      <w:pPr>
        <w:pStyle w:val="ListParagraph"/>
        <w:ind w:left="0"/>
        <w:contextualSpacing/>
        <w:jc w:val="both"/>
        <w:rPr>
          <w:rFonts w:ascii="Arial" w:hAnsi="Arial" w:cs="Arial"/>
          <w:sz w:val="24"/>
          <w:szCs w:val="24"/>
        </w:rPr>
      </w:pPr>
      <w:r w:rsidRPr="0085228F">
        <w:rPr>
          <w:rFonts w:ascii="Arial" w:hAnsi="Arial" w:cs="Arial"/>
          <w:sz w:val="24"/>
          <w:szCs w:val="24"/>
        </w:rPr>
        <w:t xml:space="preserve">Chart </w:t>
      </w:r>
      <w:r w:rsidR="00B85237" w:rsidRPr="0085228F">
        <w:rPr>
          <w:rFonts w:ascii="Arial" w:hAnsi="Arial" w:cs="Arial"/>
          <w:sz w:val="24"/>
          <w:szCs w:val="24"/>
        </w:rPr>
        <w:t>1.</w:t>
      </w:r>
      <w:r w:rsidRPr="0085228F">
        <w:rPr>
          <w:rFonts w:ascii="Arial" w:hAnsi="Arial" w:cs="Arial"/>
          <w:sz w:val="24"/>
          <w:szCs w:val="24"/>
        </w:rPr>
        <w:t>2 shows that 79 per cent of GD Assessments were in houses (67,05</w:t>
      </w:r>
      <w:r w:rsidR="0085228F" w:rsidRPr="0085228F">
        <w:rPr>
          <w:rFonts w:ascii="Arial" w:hAnsi="Arial" w:cs="Arial"/>
          <w:sz w:val="24"/>
          <w:szCs w:val="24"/>
        </w:rPr>
        <w:t>4</w:t>
      </w:r>
      <w:r w:rsidRPr="0085228F">
        <w:rPr>
          <w:rFonts w:ascii="Arial" w:hAnsi="Arial" w:cs="Arial"/>
          <w:sz w:val="24"/>
          <w:szCs w:val="24"/>
        </w:rPr>
        <w:t>), 12 per cent were in flats (9,7</w:t>
      </w:r>
      <w:r w:rsidR="0085228F" w:rsidRPr="0085228F">
        <w:rPr>
          <w:rFonts w:ascii="Arial" w:hAnsi="Arial" w:cs="Arial"/>
          <w:sz w:val="24"/>
          <w:szCs w:val="24"/>
        </w:rPr>
        <w:t>99</w:t>
      </w:r>
      <w:r w:rsidRPr="0085228F">
        <w:rPr>
          <w:rFonts w:ascii="Arial" w:hAnsi="Arial" w:cs="Arial"/>
          <w:sz w:val="24"/>
          <w:szCs w:val="24"/>
        </w:rPr>
        <w:t>), eight per cent were in bungalows (</w:t>
      </w:r>
      <w:r w:rsidR="0085228F" w:rsidRPr="0085228F">
        <w:rPr>
          <w:rFonts w:ascii="Arial" w:hAnsi="Arial" w:cs="Arial"/>
          <w:sz w:val="24"/>
          <w:szCs w:val="24"/>
        </w:rPr>
        <w:t>6,678</w:t>
      </w:r>
      <w:r w:rsidRPr="0085228F">
        <w:rPr>
          <w:rFonts w:ascii="Arial" w:hAnsi="Arial" w:cs="Arial"/>
          <w:sz w:val="24"/>
          <w:szCs w:val="24"/>
        </w:rPr>
        <w:t>) and two per cent were in maisonettes (1,</w:t>
      </w:r>
      <w:r w:rsidR="0085228F" w:rsidRPr="0085228F">
        <w:rPr>
          <w:rFonts w:ascii="Arial" w:hAnsi="Arial" w:cs="Arial"/>
          <w:sz w:val="24"/>
          <w:szCs w:val="24"/>
        </w:rPr>
        <w:t>647</w:t>
      </w:r>
      <w:r w:rsidRPr="0085228F">
        <w:rPr>
          <w:rFonts w:ascii="Arial" w:hAnsi="Arial" w:cs="Arial"/>
          <w:sz w:val="24"/>
          <w:szCs w:val="24"/>
        </w:rPr>
        <w:t>). The housing stock in England</w:t>
      </w:r>
      <w:r w:rsidRPr="0085228F">
        <w:rPr>
          <w:rStyle w:val="FootnoteReference"/>
          <w:rFonts w:ascii="Arial" w:hAnsi="Arial" w:cs="Arial"/>
          <w:sz w:val="24"/>
          <w:szCs w:val="24"/>
        </w:rPr>
        <w:footnoteReference w:id="3"/>
      </w:r>
      <w:r w:rsidRPr="0085228F">
        <w:rPr>
          <w:rFonts w:ascii="Arial" w:hAnsi="Arial" w:cs="Arial"/>
          <w:sz w:val="24"/>
          <w:szCs w:val="24"/>
        </w:rPr>
        <w:t xml:space="preserve"> (as reported in the English Housing Survey 2011-12</w:t>
      </w:r>
      <w:r w:rsidRPr="0085228F">
        <w:rPr>
          <w:rStyle w:val="FootnoteReference"/>
          <w:rFonts w:ascii="Arial" w:hAnsi="Arial" w:cs="Arial"/>
          <w:sz w:val="24"/>
          <w:szCs w:val="24"/>
        </w:rPr>
        <w:footnoteReference w:id="4"/>
      </w:r>
      <w:r w:rsidRPr="0085228F">
        <w:rPr>
          <w:rFonts w:ascii="Arial" w:hAnsi="Arial" w:cs="Arial"/>
          <w:sz w:val="24"/>
          <w:szCs w:val="24"/>
        </w:rPr>
        <w:t>) shows that 71 per cent of property</w:t>
      </w:r>
      <w:r w:rsidRPr="00965265">
        <w:rPr>
          <w:rFonts w:ascii="Arial" w:hAnsi="Arial" w:cs="Arial"/>
          <w:sz w:val="24"/>
          <w:szCs w:val="24"/>
        </w:rPr>
        <w:t xml:space="preserve"> types were houses, 20 per cent were flats and/or maisonettes (purpose built flat or converted flat), and nine per cent were bungalows.</w:t>
      </w:r>
    </w:p>
    <w:p w:rsidR="00C453CE" w:rsidRDefault="00C453CE" w:rsidP="00C453CE">
      <w:pPr>
        <w:pStyle w:val="ListParagraph"/>
        <w:ind w:left="0"/>
        <w:contextualSpacing/>
        <w:jc w:val="both"/>
        <w:rPr>
          <w:rFonts w:ascii="Arial" w:hAnsi="Arial" w:cs="Arial"/>
          <w:sz w:val="24"/>
          <w:szCs w:val="24"/>
        </w:rPr>
      </w:pPr>
    </w:p>
    <w:p w:rsidR="00C453CE" w:rsidRDefault="00C453CE" w:rsidP="00C453CE">
      <w:pPr>
        <w:pStyle w:val="ListParagraph"/>
        <w:ind w:left="0"/>
        <w:contextualSpacing/>
        <w:jc w:val="both"/>
        <w:rPr>
          <w:rFonts w:ascii="Arial" w:hAnsi="Arial" w:cs="Arial"/>
          <w:sz w:val="24"/>
          <w:szCs w:val="24"/>
        </w:rPr>
      </w:pPr>
    </w:p>
    <w:p w:rsidR="00C453CE" w:rsidRDefault="00C453CE" w:rsidP="00C453CE">
      <w:pPr>
        <w:pStyle w:val="ListParagraph"/>
        <w:ind w:left="0"/>
        <w:contextualSpacing/>
        <w:jc w:val="both"/>
        <w:rPr>
          <w:rFonts w:ascii="Arial" w:hAnsi="Arial" w:cs="Arial"/>
          <w:sz w:val="24"/>
          <w:szCs w:val="24"/>
        </w:rPr>
      </w:pPr>
    </w:p>
    <w:p w:rsidR="00C453CE" w:rsidRDefault="00C453CE" w:rsidP="00C453CE">
      <w:pPr>
        <w:pStyle w:val="ListParagraph"/>
        <w:ind w:left="0"/>
        <w:contextualSpacing/>
        <w:jc w:val="both"/>
        <w:rPr>
          <w:rFonts w:ascii="Arial" w:hAnsi="Arial" w:cs="Arial"/>
          <w:sz w:val="24"/>
          <w:szCs w:val="24"/>
        </w:rPr>
      </w:pPr>
    </w:p>
    <w:p w:rsidR="00C453CE" w:rsidRDefault="00C453CE" w:rsidP="00C453CE">
      <w:pPr>
        <w:pStyle w:val="ListParagraph"/>
        <w:ind w:left="0"/>
        <w:contextualSpacing/>
        <w:jc w:val="both"/>
        <w:rPr>
          <w:rFonts w:ascii="Arial" w:hAnsi="Arial" w:cs="Arial"/>
          <w:sz w:val="24"/>
          <w:szCs w:val="24"/>
        </w:rPr>
      </w:pPr>
    </w:p>
    <w:p w:rsidR="00C453CE" w:rsidRDefault="00C453CE" w:rsidP="00C453CE">
      <w:pPr>
        <w:pStyle w:val="ListParagraph"/>
        <w:ind w:left="0"/>
        <w:contextualSpacing/>
        <w:jc w:val="both"/>
        <w:rPr>
          <w:rFonts w:ascii="Arial" w:hAnsi="Arial" w:cs="Arial"/>
          <w:sz w:val="24"/>
          <w:szCs w:val="24"/>
        </w:rPr>
      </w:pPr>
    </w:p>
    <w:p w:rsidR="00C453CE" w:rsidRDefault="00C453CE" w:rsidP="00C453CE">
      <w:pPr>
        <w:pStyle w:val="ListParagraph"/>
        <w:ind w:left="0"/>
        <w:contextualSpacing/>
        <w:jc w:val="both"/>
        <w:rPr>
          <w:rFonts w:ascii="Arial" w:hAnsi="Arial" w:cs="Arial"/>
          <w:sz w:val="24"/>
          <w:szCs w:val="24"/>
        </w:rPr>
      </w:pPr>
    </w:p>
    <w:p w:rsidR="00C453CE" w:rsidRDefault="00C453CE" w:rsidP="00C453CE">
      <w:pPr>
        <w:pStyle w:val="ListParagraph"/>
        <w:ind w:left="0"/>
        <w:contextualSpacing/>
        <w:jc w:val="both"/>
        <w:rPr>
          <w:rFonts w:ascii="Arial" w:hAnsi="Arial" w:cs="Arial"/>
          <w:sz w:val="24"/>
          <w:szCs w:val="24"/>
        </w:rPr>
      </w:pPr>
    </w:p>
    <w:p w:rsidR="00C453CE" w:rsidRDefault="00C453CE" w:rsidP="00C453CE">
      <w:pPr>
        <w:pStyle w:val="ListParagraph"/>
        <w:ind w:left="0"/>
        <w:contextualSpacing/>
        <w:jc w:val="both"/>
        <w:rPr>
          <w:rFonts w:ascii="Arial" w:hAnsi="Arial" w:cs="Arial"/>
          <w:sz w:val="24"/>
          <w:szCs w:val="24"/>
        </w:rPr>
      </w:pPr>
    </w:p>
    <w:p w:rsidR="00C453CE" w:rsidRDefault="00C453CE" w:rsidP="00C453CE">
      <w:pPr>
        <w:pStyle w:val="ListParagraph"/>
        <w:ind w:left="0"/>
        <w:contextualSpacing/>
        <w:jc w:val="both"/>
        <w:rPr>
          <w:rFonts w:ascii="Arial" w:hAnsi="Arial" w:cs="Arial"/>
          <w:sz w:val="24"/>
          <w:szCs w:val="24"/>
        </w:rPr>
      </w:pPr>
    </w:p>
    <w:p w:rsidR="00C453CE" w:rsidRDefault="00C453CE" w:rsidP="00C453CE">
      <w:pPr>
        <w:pStyle w:val="ListParagraph"/>
        <w:ind w:left="0"/>
        <w:contextualSpacing/>
        <w:jc w:val="both"/>
        <w:rPr>
          <w:rFonts w:ascii="Arial" w:hAnsi="Arial" w:cs="Arial"/>
          <w:sz w:val="24"/>
          <w:szCs w:val="24"/>
        </w:rPr>
      </w:pPr>
    </w:p>
    <w:p w:rsidR="00C453CE" w:rsidRDefault="00C453CE" w:rsidP="00C453CE">
      <w:pPr>
        <w:pStyle w:val="ListParagraph"/>
        <w:ind w:left="0"/>
        <w:contextualSpacing/>
        <w:jc w:val="both"/>
        <w:rPr>
          <w:rFonts w:ascii="Arial" w:hAnsi="Arial" w:cs="Arial"/>
          <w:sz w:val="24"/>
          <w:szCs w:val="24"/>
        </w:rPr>
      </w:pPr>
    </w:p>
    <w:p w:rsidR="00C453CE" w:rsidRDefault="00C453CE" w:rsidP="00C453CE">
      <w:pPr>
        <w:pStyle w:val="ListParagraph"/>
        <w:ind w:left="0"/>
        <w:contextualSpacing/>
        <w:jc w:val="both"/>
        <w:rPr>
          <w:rFonts w:ascii="Arial" w:hAnsi="Arial" w:cs="Arial"/>
          <w:sz w:val="24"/>
          <w:szCs w:val="24"/>
        </w:rPr>
      </w:pPr>
    </w:p>
    <w:p w:rsidR="00C453CE" w:rsidRDefault="00C453CE" w:rsidP="00C453CE">
      <w:pPr>
        <w:pStyle w:val="ListParagraph"/>
        <w:ind w:left="0"/>
        <w:contextualSpacing/>
        <w:jc w:val="both"/>
        <w:rPr>
          <w:rFonts w:ascii="Arial" w:hAnsi="Arial" w:cs="Arial"/>
          <w:sz w:val="24"/>
          <w:szCs w:val="24"/>
        </w:rPr>
      </w:pPr>
    </w:p>
    <w:p w:rsidR="00C453CE" w:rsidRDefault="00C453CE" w:rsidP="00C453CE">
      <w:pPr>
        <w:pStyle w:val="ListParagraph"/>
        <w:ind w:left="0"/>
        <w:contextualSpacing/>
        <w:jc w:val="both"/>
        <w:rPr>
          <w:rFonts w:ascii="Arial" w:hAnsi="Arial" w:cs="Arial"/>
          <w:sz w:val="24"/>
          <w:szCs w:val="24"/>
        </w:rPr>
      </w:pPr>
    </w:p>
    <w:p w:rsidR="00C453CE" w:rsidRPr="00F8119F" w:rsidRDefault="00C453CE" w:rsidP="00C453CE">
      <w:pPr>
        <w:pStyle w:val="ListParagraph"/>
        <w:ind w:left="0"/>
        <w:contextualSpacing/>
        <w:jc w:val="both"/>
        <w:rPr>
          <w:rFonts w:ascii="Arial" w:hAnsi="Arial" w:cs="Arial"/>
          <w:sz w:val="24"/>
          <w:szCs w:val="24"/>
        </w:rPr>
      </w:pPr>
      <w:bookmarkStart w:id="25" w:name="_Toc375046040"/>
      <w:r w:rsidRPr="00F8119F">
        <w:rPr>
          <w:rFonts w:ascii="Arial" w:hAnsi="Arial" w:cs="Arial"/>
          <w:sz w:val="24"/>
          <w:szCs w:val="24"/>
        </w:rPr>
        <w:lastRenderedPageBreak/>
        <w:t xml:space="preserve">Chart </w:t>
      </w:r>
      <w:r w:rsidR="00170DD3">
        <w:rPr>
          <w:rFonts w:ascii="Arial" w:hAnsi="Arial" w:cs="Arial"/>
          <w:sz w:val="24"/>
          <w:szCs w:val="24"/>
        </w:rPr>
        <w:t>1.</w:t>
      </w:r>
      <w:r w:rsidRPr="00F8119F">
        <w:rPr>
          <w:rFonts w:ascii="Arial" w:hAnsi="Arial" w:cs="Arial"/>
          <w:sz w:val="24"/>
          <w:szCs w:val="24"/>
        </w:rPr>
        <w:fldChar w:fldCharType="begin"/>
      </w:r>
      <w:r w:rsidRPr="00F8119F">
        <w:rPr>
          <w:rFonts w:ascii="Arial" w:hAnsi="Arial" w:cs="Arial"/>
          <w:sz w:val="24"/>
          <w:szCs w:val="24"/>
        </w:rPr>
        <w:instrText xml:space="preserve"> SEQ Chart \* ARABIC </w:instrText>
      </w:r>
      <w:r w:rsidRPr="00F8119F">
        <w:rPr>
          <w:rFonts w:ascii="Arial" w:hAnsi="Arial" w:cs="Arial"/>
          <w:sz w:val="24"/>
          <w:szCs w:val="24"/>
        </w:rPr>
        <w:fldChar w:fldCharType="separate"/>
      </w:r>
      <w:r w:rsidR="001E226F">
        <w:rPr>
          <w:rFonts w:ascii="Arial" w:hAnsi="Arial" w:cs="Arial"/>
          <w:noProof/>
          <w:sz w:val="24"/>
          <w:szCs w:val="24"/>
        </w:rPr>
        <w:t>2</w:t>
      </w:r>
      <w:r w:rsidRPr="00F8119F">
        <w:rPr>
          <w:rFonts w:ascii="Arial" w:hAnsi="Arial" w:cs="Arial"/>
          <w:sz w:val="24"/>
          <w:szCs w:val="24"/>
        </w:rPr>
        <w:fldChar w:fldCharType="end"/>
      </w:r>
      <w:r w:rsidRPr="00F8119F">
        <w:rPr>
          <w:rFonts w:ascii="Arial" w:hAnsi="Arial" w:cs="Arial"/>
          <w:sz w:val="24"/>
          <w:szCs w:val="24"/>
        </w:rPr>
        <w:t xml:space="preserve"> - Percentage of Green Deal Assessments and England and Wales properties by property type, up to 30th September 2013</w:t>
      </w:r>
      <w:bookmarkEnd w:id="25"/>
    </w:p>
    <w:p w:rsidR="00C453CE" w:rsidRPr="00973985" w:rsidRDefault="00C453CE" w:rsidP="00C453CE">
      <w:pPr>
        <w:pStyle w:val="ListParagraph"/>
        <w:ind w:left="0"/>
        <w:contextualSpacing/>
        <w:jc w:val="both"/>
        <w:rPr>
          <w:rFonts w:ascii="Arial" w:hAnsi="Arial" w:cs="Arial"/>
        </w:rPr>
      </w:pPr>
    </w:p>
    <w:p w:rsidR="00C453CE" w:rsidRDefault="0012033E" w:rsidP="00C453CE">
      <w:pPr>
        <w:pStyle w:val="ListParagraph"/>
        <w:ind w:left="0"/>
        <w:contextualSpacing/>
        <w:jc w:val="both"/>
        <w:rPr>
          <w:rFonts w:ascii="Arial" w:hAnsi="Arial" w:cs="Arial"/>
        </w:rPr>
      </w:pPr>
      <w:r>
        <w:rPr>
          <w:rFonts w:ascii="Arial" w:hAnsi="Arial" w:cs="Arial"/>
        </w:rPr>
        <w:pict>
          <v:shape id="_x0000_i1026" type="#_x0000_t75" style="width:431.25pt;height:251.25pt;mso-left-percent:-10001;mso-top-percent:-10001;mso-position-horizontal:absolute;mso-position-horizontal-relative:char;mso-position-vertical:absolute;mso-position-vertical-relative:line;mso-left-percent:-10001;mso-top-percent:-10001">
            <v:imagedata r:id="rId29" o:title=""/>
          </v:shape>
        </w:pict>
      </w:r>
    </w:p>
    <w:p w:rsidR="00C453CE" w:rsidRDefault="00C453CE" w:rsidP="00C453CE">
      <w:pPr>
        <w:pStyle w:val="ListParagraph"/>
        <w:ind w:left="0"/>
        <w:contextualSpacing/>
        <w:jc w:val="both"/>
        <w:rPr>
          <w:rFonts w:ascii="Arial" w:hAnsi="Arial" w:cs="Arial"/>
        </w:rPr>
      </w:pPr>
    </w:p>
    <w:p w:rsidR="00C453CE" w:rsidRPr="00B6327B" w:rsidRDefault="00C453CE" w:rsidP="00C453CE">
      <w:pPr>
        <w:pStyle w:val="ListParagraph"/>
        <w:ind w:left="0"/>
        <w:contextualSpacing/>
        <w:jc w:val="both"/>
        <w:rPr>
          <w:rFonts w:ascii="Arial" w:hAnsi="Arial" w:cs="Arial"/>
          <w:sz w:val="24"/>
          <w:szCs w:val="24"/>
          <w:u w:val="single"/>
        </w:rPr>
      </w:pPr>
      <w:r>
        <w:rPr>
          <w:rFonts w:ascii="Arial" w:hAnsi="Arial" w:cs="Arial"/>
          <w:sz w:val="24"/>
          <w:szCs w:val="24"/>
          <w:u w:val="single"/>
        </w:rPr>
        <w:t xml:space="preserve">Tenure (Table </w:t>
      </w:r>
      <w:r w:rsidR="000C5549">
        <w:rPr>
          <w:rFonts w:ascii="Arial" w:hAnsi="Arial" w:cs="Arial"/>
          <w:sz w:val="24"/>
          <w:szCs w:val="24"/>
          <w:u w:val="single"/>
        </w:rPr>
        <w:t>1.</w:t>
      </w:r>
      <w:r>
        <w:rPr>
          <w:rFonts w:ascii="Arial" w:hAnsi="Arial" w:cs="Arial"/>
          <w:sz w:val="24"/>
          <w:szCs w:val="24"/>
          <w:u w:val="single"/>
        </w:rPr>
        <w:t>3</w:t>
      </w:r>
      <w:r w:rsidRPr="00B6327B">
        <w:rPr>
          <w:rFonts w:ascii="Arial" w:hAnsi="Arial" w:cs="Arial"/>
          <w:sz w:val="24"/>
          <w:szCs w:val="24"/>
          <w:u w:val="single"/>
        </w:rPr>
        <w:t xml:space="preserve">, Chart </w:t>
      </w:r>
      <w:r w:rsidR="00A90BE2">
        <w:rPr>
          <w:rFonts w:ascii="Arial" w:hAnsi="Arial" w:cs="Arial"/>
          <w:sz w:val="24"/>
          <w:szCs w:val="24"/>
          <w:u w:val="single"/>
        </w:rPr>
        <w:t>1.</w:t>
      </w:r>
      <w:r w:rsidRPr="00B6327B">
        <w:rPr>
          <w:rFonts w:ascii="Arial" w:hAnsi="Arial" w:cs="Arial"/>
          <w:sz w:val="24"/>
          <w:szCs w:val="24"/>
          <w:u w:val="single"/>
        </w:rPr>
        <w:t>3)</w:t>
      </w:r>
    </w:p>
    <w:p w:rsidR="00C453CE" w:rsidRPr="00B6327B" w:rsidRDefault="00C453CE" w:rsidP="00C453CE">
      <w:pPr>
        <w:pStyle w:val="ListParagraph"/>
        <w:ind w:left="0"/>
        <w:contextualSpacing/>
        <w:jc w:val="both"/>
        <w:rPr>
          <w:rFonts w:ascii="Arial" w:hAnsi="Arial" w:cs="Arial"/>
          <w:sz w:val="24"/>
          <w:szCs w:val="24"/>
          <w:u w:val="single"/>
        </w:rPr>
      </w:pPr>
    </w:p>
    <w:p w:rsidR="00C453CE" w:rsidRDefault="00C453CE" w:rsidP="00C453CE">
      <w:pPr>
        <w:pStyle w:val="ListParagraph"/>
        <w:ind w:left="0"/>
        <w:contextualSpacing/>
        <w:jc w:val="both"/>
        <w:rPr>
          <w:rFonts w:ascii="Arial" w:hAnsi="Arial" w:cs="Arial"/>
          <w:sz w:val="24"/>
          <w:szCs w:val="24"/>
        </w:rPr>
      </w:pPr>
      <w:r w:rsidRPr="0085228F">
        <w:rPr>
          <w:rFonts w:ascii="Arial" w:hAnsi="Arial" w:cs="Arial"/>
          <w:sz w:val="24"/>
          <w:szCs w:val="24"/>
        </w:rPr>
        <w:t>Around three quarters (76 per cent) of GD Assessments were in owner-occupied properties (</w:t>
      </w:r>
      <w:r w:rsidR="0085228F" w:rsidRPr="0085228F">
        <w:rPr>
          <w:rFonts w:ascii="Arial" w:hAnsi="Arial" w:cs="Arial"/>
          <w:sz w:val="24"/>
          <w:szCs w:val="24"/>
        </w:rPr>
        <w:t>64,635</w:t>
      </w:r>
      <w:r w:rsidRPr="0085228F">
        <w:rPr>
          <w:rFonts w:ascii="Arial" w:hAnsi="Arial" w:cs="Arial"/>
          <w:sz w:val="24"/>
          <w:szCs w:val="24"/>
        </w:rPr>
        <w:t>), 12 per cent were in the social rented sector (10,04</w:t>
      </w:r>
      <w:r w:rsidR="0085228F" w:rsidRPr="0085228F">
        <w:rPr>
          <w:rFonts w:ascii="Arial" w:hAnsi="Arial" w:cs="Arial"/>
          <w:sz w:val="24"/>
          <w:szCs w:val="24"/>
        </w:rPr>
        <w:t>2</w:t>
      </w:r>
      <w:r w:rsidRPr="0085228F">
        <w:rPr>
          <w:rFonts w:ascii="Arial" w:hAnsi="Arial" w:cs="Arial"/>
          <w:sz w:val="24"/>
          <w:szCs w:val="24"/>
        </w:rPr>
        <w:t>) and the remaining 12 per cent were in the private rented sector (9,97</w:t>
      </w:r>
      <w:r w:rsidR="0085228F" w:rsidRPr="0085228F">
        <w:rPr>
          <w:rFonts w:ascii="Arial" w:hAnsi="Arial" w:cs="Arial"/>
          <w:sz w:val="24"/>
          <w:szCs w:val="24"/>
        </w:rPr>
        <w:t>6</w:t>
      </w:r>
      <w:r w:rsidRPr="0085228F">
        <w:rPr>
          <w:rFonts w:ascii="Arial" w:hAnsi="Arial" w:cs="Arial"/>
          <w:sz w:val="24"/>
          <w:szCs w:val="24"/>
        </w:rPr>
        <w:t>). In comparison, according to dwelling stock figures released by Department for Communities and Local Government</w:t>
      </w:r>
      <w:r w:rsidRPr="0085228F">
        <w:rPr>
          <w:rStyle w:val="FootnoteReference"/>
          <w:rFonts w:ascii="Arial" w:hAnsi="Arial" w:cs="Arial"/>
          <w:sz w:val="24"/>
          <w:szCs w:val="24"/>
        </w:rPr>
        <w:footnoteReference w:id="5"/>
      </w:r>
      <w:r w:rsidRPr="0085228F">
        <w:rPr>
          <w:rFonts w:ascii="Arial" w:hAnsi="Arial" w:cs="Arial"/>
          <w:sz w:val="24"/>
          <w:szCs w:val="24"/>
        </w:rPr>
        <w:t xml:space="preserve"> for Great Britain there were 65 per cent</w:t>
      </w:r>
      <w:r w:rsidRPr="0085228F">
        <w:rPr>
          <w:sz w:val="24"/>
          <w:szCs w:val="24"/>
        </w:rPr>
        <w:t xml:space="preserve"> </w:t>
      </w:r>
      <w:r w:rsidRPr="0085228F">
        <w:rPr>
          <w:rFonts w:ascii="Arial" w:hAnsi="Arial" w:cs="Arial"/>
          <w:sz w:val="24"/>
          <w:szCs w:val="24"/>
        </w:rPr>
        <w:t>owner-occupied, 8 per cent social rented sector and 27 per cent private rented sector properties. This suggests that a higher proportion of GD Assessments were in owner-occupied properties than would be expected from the distribution of the housing stock.</w:t>
      </w:r>
    </w:p>
    <w:p w:rsidR="00C453CE" w:rsidRDefault="00C453CE" w:rsidP="00C453CE">
      <w:pPr>
        <w:pStyle w:val="ListParagraph"/>
        <w:ind w:left="0"/>
        <w:contextualSpacing/>
        <w:jc w:val="both"/>
        <w:rPr>
          <w:rFonts w:ascii="Arial" w:hAnsi="Arial" w:cs="Arial"/>
          <w:sz w:val="24"/>
          <w:szCs w:val="24"/>
        </w:rPr>
      </w:pPr>
    </w:p>
    <w:p w:rsidR="00C453CE" w:rsidRDefault="00C453CE" w:rsidP="00C453CE">
      <w:pPr>
        <w:pStyle w:val="ListParagraph"/>
        <w:ind w:left="0"/>
        <w:contextualSpacing/>
        <w:jc w:val="both"/>
        <w:rPr>
          <w:rFonts w:ascii="Arial" w:hAnsi="Arial" w:cs="Arial"/>
          <w:sz w:val="24"/>
          <w:szCs w:val="24"/>
        </w:rPr>
      </w:pPr>
    </w:p>
    <w:p w:rsidR="00C453CE" w:rsidRDefault="00C453CE" w:rsidP="00C453CE">
      <w:pPr>
        <w:pStyle w:val="ListParagraph"/>
        <w:ind w:left="0"/>
        <w:contextualSpacing/>
        <w:jc w:val="both"/>
        <w:rPr>
          <w:rFonts w:ascii="Arial" w:hAnsi="Arial" w:cs="Arial"/>
          <w:sz w:val="24"/>
          <w:szCs w:val="24"/>
        </w:rPr>
      </w:pPr>
    </w:p>
    <w:p w:rsidR="00C453CE" w:rsidRDefault="00C453CE" w:rsidP="00C453CE">
      <w:pPr>
        <w:pStyle w:val="ListParagraph"/>
        <w:ind w:left="0"/>
        <w:contextualSpacing/>
        <w:jc w:val="both"/>
        <w:rPr>
          <w:rFonts w:ascii="Arial" w:hAnsi="Arial" w:cs="Arial"/>
          <w:sz w:val="24"/>
          <w:szCs w:val="24"/>
        </w:rPr>
      </w:pPr>
    </w:p>
    <w:p w:rsidR="00C453CE" w:rsidRDefault="00C453CE" w:rsidP="00C453CE">
      <w:pPr>
        <w:pStyle w:val="ListParagraph"/>
        <w:ind w:left="0"/>
        <w:contextualSpacing/>
        <w:jc w:val="both"/>
        <w:rPr>
          <w:rFonts w:ascii="Arial" w:hAnsi="Arial" w:cs="Arial"/>
          <w:sz w:val="24"/>
          <w:szCs w:val="24"/>
        </w:rPr>
      </w:pPr>
    </w:p>
    <w:p w:rsidR="00C453CE" w:rsidRDefault="00C453CE" w:rsidP="00C453CE">
      <w:pPr>
        <w:pStyle w:val="ListParagraph"/>
        <w:ind w:left="0"/>
        <w:contextualSpacing/>
        <w:jc w:val="both"/>
        <w:rPr>
          <w:rFonts w:ascii="Arial" w:hAnsi="Arial" w:cs="Arial"/>
          <w:sz w:val="24"/>
          <w:szCs w:val="24"/>
        </w:rPr>
      </w:pPr>
    </w:p>
    <w:p w:rsidR="00C453CE" w:rsidRDefault="00C453CE" w:rsidP="00C453CE">
      <w:pPr>
        <w:pStyle w:val="ListParagraph"/>
        <w:ind w:left="0"/>
        <w:contextualSpacing/>
        <w:jc w:val="both"/>
        <w:rPr>
          <w:rFonts w:ascii="Arial" w:hAnsi="Arial" w:cs="Arial"/>
          <w:sz w:val="24"/>
          <w:szCs w:val="24"/>
        </w:rPr>
      </w:pPr>
    </w:p>
    <w:p w:rsidR="00C453CE" w:rsidRDefault="00C453CE" w:rsidP="00C453CE">
      <w:pPr>
        <w:pStyle w:val="ListParagraph"/>
        <w:ind w:left="0"/>
        <w:contextualSpacing/>
        <w:jc w:val="both"/>
        <w:rPr>
          <w:rFonts w:ascii="Arial" w:hAnsi="Arial" w:cs="Arial"/>
          <w:sz w:val="24"/>
          <w:szCs w:val="24"/>
        </w:rPr>
      </w:pPr>
    </w:p>
    <w:p w:rsidR="00C453CE" w:rsidRDefault="00C453CE" w:rsidP="00C453CE">
      <w:pPr>
        <w:pStyle w:val="ListParagraph"/>
        <w:ind w:left="0"/>
        <w:contextualSpacing/>
        <w:jc w:val="both"/>
        <w:rPr>
          <w:rFonts w:ascii="Arial" w:hAnsi="Arial" w:cs="Arial"/>
          <w:sz w:val="24"/>
          <w:szCs w:val="24"/>
        </w:rPr>
      </w:pPr>
    </w:p>
    <w:p w:rsidR="00C453CE" w:rsidRDefault="00C453CE" w:rsidP="00C453CE">
      <w:pPr>
        <w:pStyle w:val="ListParagraph"/>
        <w:ind w:left="0"/>
        <w:contextualSpacing/>
        <w:jc w:val="both"/>
        <w:rPr>
          <w:rFonts w:ascii="Arial" w:hAnsi="Arial" w:cs="Arial"/>
          <w:sz w:val="24"/>
          <w:szCs w:val="24"/>
        </w:rPr>
      </w:pPr>
    </w:p>
    <w:p w:rsidR="00C453CE" w:rsidRDefault="00C453CE" w:rsidP="00C453CE">
      <w:pPr>
        <w:pStyle w:val="ListParagraph"/>
        <w:ind w:left="0"/>
        <w:contextualSpacing/>
        <w:jc w:val="both"/>
        <w:rPr>
          <w:rFonts w:ascii="Arial" w:hAnsi="Arial" w:cs="Arial"/>
          <w:sz w:val="24"/>
          <w:szCs w:val="24"/>
        </w:rPr>
      </w:pPr>
    </w:p>
    <w:p w:rsidR="00C453CE" w:rsidRDefault="00C453CE" w:rsidP="00C453CE">
      <w:pPr>
        <w:pStyle w:val="ListParagraph"/>
        <w:ind w:left="0"/>
        <w:contextualSpacing/>
        <w:jc w:val="both"/>
        <w:rPr>
          <w:rFonts w:ascii="Arial" w:hAnsi="Arial" w:cs="Arial"/>
          <w:sz w:val="24"/>
          <w:szCs w:val="24"/>
        </w:rPr>
      </w:pPr>
    </w:p>
    <w:p w:rsidR="00C453CE" w:rsidRDefault="00C453CE" w:rsidP="00C453CE">
      <w:pPr>
        <w:pStyle w:val="ListParagraph"/>
        <w:ind w:left="0"/>
        <w:contextualSpacing/>
        <w:jc w:val="both"/>
        <w:rPr>
          <w:rFonts w:ascii="Arial" w:hAnsi="Arial" w:cs="Arial"/>
          <w:sz w:val="24"/>
          <w:szCs w:val="24"/>
        </w:rPr>
      </w:pPr>
    </w:p>
    <w:p w:rsidR="00C453CE" w:rsidRDefault="00C453CE" w:rsidP="00C453CE">
      <w:pPr>
        <w:pStyle w:val="ListParagraph"/>
        <w:ind w:left="0"/>
        <w:contextualSpacing/>
        <w:jc w:val="both"/>
        <w:rPr>
          <w:rFonts w:ascii="Arial" w:hAnsi="Arial" w:cs="Arial"/>
          <w:sz w:val="24"/>
          <w:szCs w:val="24"/>
        </w:rPr>
      </w:pPr>
    </w:p>
    <w:p w:rsidR="0085228F" w:rsidRDefault="0085228F" w:rsidP="00C453CE">
      <w:pPr>
        <w:pStyle w:val="ListParagraph"/>
        <w:ind w:left="0"/>
        <w:contextualSpacing/>
        <w:jc w:val="both"/>
        <w:rPr>
          <w:rFonts w:ascii="Arial" w:hAnsi="Arial" w:cs="Arial"/>
          <w:sz w:val="24"/>
          <w:szCs w:val="24"/>
        </w:rPr>
      </w:pPr>
    </w:p>
    <w:p w:rsidR="00C453CE" w:rsidRDefault="00C453CE" w:rsidP="00C453CE">
      <w:pPr>
        <w:pStyle w:val="ListParagraph"/>
        <w:ind w:left="0"/>
        <w:contextualSpacing/>
        <w:jc w:val="both"/>
        <w:rPr>
          <w:rFonts w:ascii="Arial" w:hAnsi="Arial" w:cs="Arial"/>
          <w:sz w:val="24"/>
          <w:szCs w:val="24"/>
        </w:rPr>
      </w:pPr>
    </w:p>
    <w:p w:rsidR="00C453CE" w:rsidRDefault="00C453CE" w:rsidP="00C453CE">
      <w:pPr>
        <w:pStyle w:val="ListParagraph"/>
        <w:ind w:left="0"/>
        <w:contextualSpacing/>
        <w:jc w:val="both"/>
        <w:rPr>
          <w:rFonts w:ascii="Arial" w:hAnsi="Arial" w:cs="Arial"/>
          <w:sz w:val="24"/>
          <w:szCs w:val="24"/>
        </w:rPr>
      </w:pPr>
    </w:p>
    <w:p w:rsidR="00C453CE" w:rsidRDefault="00C453CE" w:rsidP="00C453CE">
      <w:pPr>
        <w:pStyle w:val="ListParagraph"/>
        <w:ind w:left="0"/>
        <w:contextualSpacing/>
        <w:jc w:val="both"/>
        <w:rPr>
          <w:rFonts w:ascii="Arial" w:hAnsi="Arial" w:cs="Arial"/>
          <w:sz w:val="24"/>
          <w:szCs w:val="24"/>
        </w:rPr>
      </w:pPr>
    </w:p>
    <w:p w:rsidR="00C453CE" w:rsidRDefault="00C453CE" w:rsidP="00C453CE">
      <w:pPr>
        <w:pStyle w:val="ListParagraph"/>
        <w:ind w:left="0"/>
        <w:contextualSpacing/>
        <w:jc w:val="both"/>
        <w:rPr>
          <w:rFonts w:ascii="Arial" w:hAnsi="Arial" w:cs="Arial"/>
          <w:sz w:val="24"/>
          <w:szCs w:val="24"/>
        </w:rPr>
      </w:pPr>
      <w:bookmarkStart w:id="26" w:name="_Toc375046041"/>
      <w:r w:rsidRPr="00B6327B">
        <w:rPr>
          <w:rFonts w:ascii="Arial" w:hAnsi="Arial" w:cs="Arial"/>
          <w:sz w:val="24"/>
          <w:szCs w:val="24"/>
        </w:rPr>
        <w:lastRenderedPageBreak/>
        <w:t xml:space="preserve">Chart </w:t>
      </w:r>
      <w:r w:rsidR="00170DD3">
        <w:rPr>
          <w:rFonts w:ascii="Arial" w:hAnsi="Arial" w:cs="Arial"/>
          <w:sz w:val="24"/>
          <w:szCs w:val="24"/>
        </w:rPr>
        <w:t>1.</w:t>
      </w:r>
      <w:r w:rsidRPr="00B6327B">
        <w:rPr>
          <w:rFonts w:ascii="Arial" w:hAnsi="Arial" w:cs="Arial"/>
          <w:b/>
          <w:sz w:val="24"/>
          <w:szCs w:val="24"/>
        </w:rPr>
        <w:fldChar w:fldCharType="begin"/>
      </w:r>
      <w:r w:rsidRPr="00B6327B">
        <w:rPr>
          <w:rFonts w:ascii="Arial" w:hAnsi="Arial" w:cs="Arial"/>
          <w:sz w:val="24"/>
          <w:szCs w:val="24"/>
        </w:rPr>
        <w:instrText xml:space="preserve"> SEQ Chart \* ARABIC </w:instrText>
      </w:r>
      <w:r w:rsidRPr="00B6327B">
        <w:rPr>
          <w:rFonts w:ascii="Arial" w:hAnsi="Arial" w:cs="Arial"/>
          <w:b/>
          <w:sz w:val="24"/>
          <w:szCs w:val="24"/>
        </w:rPr>
        <w:fldChar w:fldCharType="separate"/>
      </w:r>
      <w:r w:rsidR="001E226F">
        <w:rPr>
          <w:rFonts w:ascii="Arial" w:hAnsi="Arial" w:cs="Arial"/>
          <w:noProof/>
          <w:sz w:val="24"/>
          <w:szCs w:val="24"/>
        </w:rPr>
        <w:t>3</w:t>
      </w:r>
      <w:r w:rsidRPr="00B6327B">
        <w:rPr>
          <w:rFonts w:ascii="Arial" w:hAnsi="Arial" w:cs="Arial"/>
          <w:b/>
          <w:sz w:val="24"/>
          <w:szCs w:val="24"/>
        </w:rPr>
        <w:fldChar w:fldCharType="end"/>
      </w:r>
      <w:r w:rsidRPr="00B6327B">
        <w:rPr>
          <w:rFonts w:ascii="Arial" w:hAnsi="Arial" w:cs="Arial"/>
          <w:sz w:val="24"/>
          <w:szCs w:val="24"/>
        </w:rPr>
        <w:t xml:space="preserve"> – Percentage of Green Deal Assessments and </w:t>
      </w:r>
      <w:r>
        <w:rPr>
          <w:rFonts w:ascii="Arial" w:hAnsi="Arial" w:cs="Arial"/>
          <w:sz w:val="24"/>
          <w:szCs w:val="24"/>
        </w:rPr>
        <w:t>Great Britain</w:t>
      </w:r>
      <w:r w:rsidRPr="00B6327B">
        <w:rPr>
          <w:rFonts w:ascii="Arial" w:hAnsi="Arial" w:cs="Arial"/>
          <w:sz w:val="24"/>
          <w:szCs w:val="24"/>
        </w:rPr>
        <w:t xml:space="preserve"> properties by tenure, up to 30</w:t>
      </w:r>
      <w:r w:rsidRPr="00B6327B">
        <w:rPr>
          <w:rFonts w:ascii="Arial" w:hAnsi="Arial" w:cs="Arial"/>
          <w:sz w:val="24"/>
          <w:szCs w:val="24"/>
          <w:vertAlign w:val="superscript"/>
        </w:rPr>
        <w:t>th</w:t>
      </w:r>
      <w:r w:rsidRPr="00B6327B">
        <w:rPr>
          <w:rFonts w:ascii="Arial" w:hAnsi="Arial" w:cs="Arial"/>
          <w:sz w:val="24"/>
          <w:szCs w:val="24"/>
        </w:rPr>
        <w:t xml:space="preserve"> September 2013</w:t>
      </w:r>
      <w:bookmarkStart w:id="27" w:name="chart3_new"/>
      <w:bookmarkEnd w:id="26"/>
      <w:bookmarkEnd w:id="27"/>
    </w:p>
    <w:p w:rsidR="00C453CE" w:rsidRPr="00B6327B" w:rsidRDefault="00C453CE" w:rsidP="00C453CE">
      <w:pPr>
        <w:pStyle w:val="ListParagraph"/>
        <w:ind w:left="0"/>
        <w:contextualSpacing/>
        <w:jc w:val="both"/>
        <w:rPr>
          <w:rFonts w:ascii="Arial" w:hAnsi="Arial" w:cs="Arial"/>
          <w:sz w:val="24"/>
          <w:szCs w:val="24"/>
        </w:rPr>
      </w:pPr>
    </w:p>
    <w:p w:rsidR="00C453CE" w:rsidRDefault="0012033E" w:rsidP="00C453CE">
      <w:pPr>
        <w:pStyle w:val="ListParagraph"/>
        <w:ind w:left="0"/>
        <w:contextualSpacing/>
        <w:jc w:val="both"/>
        <w:rPr>
          <w:rFonts w:ascii="Arial" w:hAnsi="Arial" w:cs="Arial"/>
        </w:rPr>
      </w:pPr>
      <w:r>
        <w:rPr>
          <w:rFonts w:ascii="Arial" w:hAnsi="Arial" w:cs="Arial"/>
        </w:rPr>
        <w:pict>
          <v:shape id="_x0000_i1027" type="#_x0000_t75" style="width:476.25pt;height:249.75pt;mso-left-percent:-10001;mso-top-percent:-10001;mso-position-horizontal:absolute;mso-position-horizontal-relative:char;mso-position-vertical:absolute;mso-position-vertical-relative:line;mso-left-percent:-10001;mso-top-percent:-10001">
            <v:imagedata r:id="rId30" o:title=""/>
          </v:shape>
        </w:pict>
      </w:r>
    </w:p>
    <w:p w:rsidR="00C453CE" w:rsidRDefault="00C453CE" w:rsidP="00C453CE">
      <w:pPr>
        <w:pStyle w:val="ListParagraph"/>
        <w:ind w:left="0"/>
        <w:contextualSpacing/>
        <w:jc w:val="both"/>
        <w:rPr>
          <w:rFonts w:ascii="Arial" w:hAnsi="Arial" w:cs="Arial"/>
        </w:rPr>
      </w:pPr>
    </w:p>
    <w:p w:rsidR="00C453CE" w:rsidRPr="00B6327B" w:rsidRDefault="00C453CE" w:rsidP="00C453CE">
      <w:pPr>
        <w:pStyle w:val="ListParagraph"/>
        <w:ind w:left="0"/>
        <w:contextualSpacing/>
        <w:jc w:val="both"/>
        <w:rPr>
          <w:rFonts w:ascii="Arial" w:hAnsi="Arial" w:cs="Arial"/>
          <w:sz w:val="24"/>
          <w:szCs w:val="24"/>
        </w:rPr>
      </w:pPr>
    </w:p>
    <w:p w:rsidR="00C453CE" w:rsidRPr="00B6327B" w:rsidRDefault="00C453CE" w:rsidP="00C453CE">
      <w:pPr>
        <w:pStyle w:val="ListParagraph"/>
        <w:ind w:left="0"/>
        <w:contextualSpacing/>
        <w:jc w:val="both"/>
        <w:rPr>
          <w:rFonts w:ascii="Arial" w:hAnsi="Arial" w:cs="Arial"/>
          <w:sz w:val="24"/>
          <w:szCs w:val="24"/>
          <w:u w:val="single"/>
        </w:rPr>
      </w:pPr>
      <w:r w:rsidRPr="00B6327B">
        <w:rPr>
          <w:rFonts w:ascii="Arial" w:hAnsi="Arial" w:cs="Arial"/>
          <w:sz w:val="24"/>
          <w:szCs w:val="24"/>
          <w:u w:val="single"/>
        </w:rPr>
        <w:t>On or</w:t>
      </w:r>
      <w:r>
        <w:rPr>
          <w:rFonts w:ascii="Arial" w:hAnsi="Arial" w:cs="Arial"/>
          <w:sz w:val="24"/>
          <w:szCs w:val="24"/>
          <w:u w:val="single"/>
        </w:rPr>
        <w:t xml:space="preserve"> off the Mains Gas Grid (Table </w:t>
      </w:r>
      <w:r w:rsidR="000C5549">
        <w:rPr>
          <w:rFonts w:ascii="Arial" w:hAnsi="Arial" w:cs="Arial"/>
          <w:sz w:val="24"/>
          <w:szCs w:val="24"/>
          <w:u w:val="single"/>
        </w:rPr>
        <w:t>1.</w:t>
      </w:r>
      <w:r>
        <w:rPr>
          <w:rFonts w:ascii="Arial" w:hAnsi="Arial" w:cs="Arial"/>
          <w:sz w:val="24"/>
          <w:szCs w:val="24"/>
          <w:u w:val="single"/>
        </w:rPr>
        <w:t>4</w:t>
      </w:r>
      <w:r w:rsidRPr="00B6327B">
        <w:rPr>
          <w:rFonts w:ascii="Arial" w:hAnsi="Arial" w:cs="Arial"/>
          <w:sz w:val="24"/>
          <w:szCs w:val="24"/>
          <w:u w:val="single"/>
        </w:rPr>
        <w:t>)</w:t>
      </w:r>
    </w:p>
    <w:p w:rsidR="00C453CE" w:rsidRPr="00B6327B" w:rsidRDefault="00C453CE" w:rsidP="00C453CE">
      <w:pPr>
        <w:pStyle w:val="ListParagraph"/>
        <w:ind w:left="0"/>
        <w:contextualSpacing/>
        <w:jc w:val="both"/>
        <w:rPr>
          <w:rFonts w:ascii="Arial" w:hAnsi="Arial" w:cs="Arial"/>
          <w:sz w:val="24"/>
          <w:szCs w:val="24"/>
        </w:rPr>
      </w:pPr>
    </w:p>
    <w:p w:rsidR="00C453CE" w:rsidRPr="00B6327B" w:rsidRDefault="00C453CE" w:rsidP="00C453CE">
      <w:pPr>
        <w:pStyle w:val="ListParagraph"/>
        <w:ind w:left="0"/>
        <w:contextualSpacing/>
        <w:jc w:val="both"/>
        <w:rPr>
          <w:rFonts w:ascii="Arial" w:hAnsi="Arial" w:cs="Arial"/>
          <w:sz w:val="24"/>
          <w:szCs w:val="24"/>
        </w:rPr>
      </w:pPr>
      <w:r w:rsidRPr="00B6327B">
        <w:rPr>
          <w:rFonts w:ascii="Arial" w:hAnsi="Arial" w:cs="Arial"/>
          <w:sz w:val="24"/>
          <w:szCs w:val="24"/>
        </w:rPr>
        <w:t>In 2011 it was estimated 3.4 million households do not have mains-gas supply in Great Britain</w:t>
      </w:r>
      <w:r w:rsidRPr="00B6327B">
        <w:rPr>
          <w:rStyle w:val="FootnoteReference"/>
          <w:rFonts w:ascii="Arial" w:hAnsi="Arial" w:cs="Arial"/>
          <w:sz w:val="24"/>
          <w:szCs w:val="24"/>
        </w:rPr>
        <w:footnoteReference w:id="6"/>
      </w:r>
      <w:r w:rsidRPr="00B6327B">
        <w:rPr>
          <w:rFonts w:ascii="Arial" w:hAnsi="Arial" w:cs="Arial"/>
          <w:sz w:val="24"/>
          <w:szCs w:val="24"/>
        </w:rPr>
        <w:t>. This is around 13 per cent of all properties in Great Britain, and this is similar to the 12 per cent of properties which had a GD assessment and were off the mains-gas grid.</w:t>
      </w:r>
    </w:p>
    <w:p w:rsidR="00C453CE" w:rsidRPr="00B6327B" w:rsidRDefault="00C453CE" w:rsidP="00C453CE">
      <w:pPr>
        <w:pStyle w:val="ListParagraph"/>
        <w:ind w:left="0"/>
        <w:contextualSpacing/>
        <w:jc w:val="both"/>
        <w:rPr>
          <w:rFonts w:ascii="Arial" w:hAnsi="Arial" w:cs="Arial"/>
          <w:sz w:val="24"/>
          <w:szCs w:val="24"/>
        </w:rPr>
      </w:pPr>
      <w:r w:rsidRPr="00B6327B">
        <w:rPr>
          <w:rFonts w:ascii="Arial" w:hAnsi="Arial" w:cs="Arial"/>
          <w:sz w:val="24"/>
          <w:szCs w:val="24"/>
        </w:rPr>
        <w:t xml:space="preserve"> </w:t>
      </w:r>
    </w:p>
    <w:p w:rsidR="00C453CE" w:rsidRPr="00B6327B" w:rsidRDefault="00C453CE" w:rsidP="00C453CE">
      <w:pPr>
        <w:pStyle w:val="ListParagraph"/>
        <w:spacing w:after="200"/>
        <w:ind w:left="0"/>
        <w:contextualSpacing/>
        <w:jc w:val="both"/>
        <w:rPr>
          <w:rFonts w:ascii="Arial" w:hAnsi="Arial" w:cs="Arial"/>
          <w:sz w:val="24"/>
          <w:szCs w:val="24"/>
          <w:u w:val="single"/>
        </w:rPr>
      </w:pPr>
      <w:r w:rsidRPr="00B6327B">
        <w:rPr>
          <w:rFonts w:ascii="Arial" w:hAnsi="Arial" w:cs="Arial"/>
          <w:sz w:val="24"/>
          <w:szCs w:val="24"/>
          <w:u w:val="single"/>
        </w:rPr>
        <w:t xml:space="preserve">Recommended measures (Tables </w:t>
      </w:r>
      <w:r w:rsidR="000C5549">
        <w:rPr>
          <w:rFonts w:ascii="Arial" w:hAnsi="Arial" w:cs="Arial"/>
          <w:sz w:val="24"/>
          <w:szCs w:val="24"/>
          <w:u w:val="single"/>
        </w:rPr>
        <w:t>1.</w:t>
      </w:r>
      <w:r>
        <w:rPr>
          <w:rFonts w:ascii="Arial" w:hAnsi="Arial" w:cs="Arial"/>
          <w:sz w:val="24"/>
          <w:szCs w:val="24"/>
          <w:u w:val="single"/>
        </w:rPr>
        <w:t>5</w:t>
      </w:r>
      <w:r w:rsidRPr="00B6327B">
        <w:rPr>
          <w:rFonts w:ascii="Arial" w:hAnsi="Arial" w:cs="Arial"/>
          <w:sz w:val="24"/>
          <w:szCs w:val="24"/>
          <w:u w:val="single"/>
        </w:rPr>
        <w:t xml:space="preserve">, </w:t>
      </w:r>
      <w:r w:rsidR="000C5549">
        <w:rPr>
          <w:rFonts w:ascii="Arial" w:hAnsi="Arial" w:cs="Arial"/>
          <w:sz w:val="24"/>
          <w:szCs w:val="24"/>
          <w:u w:val="single"/>
        </w:rPr>
        <w:t>1.</w:t>
      </w:r>
      <w:r>
        <w:rPr>
          <w:rFonts w:ascii="Arial" w:hAnsi="Arial" w:cs="Arial"/>
          <w:sz w:val="24"/>
          <w:szCs w:val="24"/>
          <w:u w:val="single"/>
        </w:rPr>
        <w:t xml:space="preserve">5a, </w:t>
      </w:r>
      <w:r w:rsidR="000C5549">
        <w:rPr>
          <w:rFonts w:ascii="Arial" w:hAnsi="Arial" w:cs="Arial"/>
          <w:sz w:val="24"/>
          <w:szCs w:val="24"/>
          <w:u w:val="single"/>
        </w:rPr>
        <w:t>1.</w:t>
      </w:r>
      <w:r>
        <w:rPr>
          <w:rFonts w:ascii="Arial" w:hAnsi="Arial" w:cs="Arial"/>
          <w:sz w:val="24"/>
          <w:szCs w:val="24"/>
          <w:u w:val="single"/>
        </w:rPr>
        <w:t>5</w:t>
      </w:r>
      <w:r w:rsidRPr="00B6327B">
        <w:rPr>
          <w:rFonts w:ascii="Arial" w:hAnsi="Arial" w:cs="Arial"/>
          <w:sz w:val="24"/>
          <w:szCs w:val="24"/>
          <w:u w:val="single"/>
        </w:rPr>
        <w:t>b)</w:t>
      </w:r>
    </w:p>
    <w:p w:rsidR="00C453CE" w:rsidRPr="00B6327B" w:rsidRDefault="00C453CE" w:rsidP="00C453CE">
      <w:pPr>
        <w:pStyle w:val="ListParagraph"/>
        <w:spacing w:after="200"/>
        <w:ind w:left="0"/>
        <w:contextualSpacing/>
        <w:jc w:val="both"/>
        <w:rPr>
          <w:rFonts w:ascii="Arial" w:hAnsi="Arial" w:cs="Arial"/>
          <w:sz w:val="24"/>
          <w:szCs w:val="24"/>
        </w:rPr>
      </w:pPr>
    </w:p>
    <w:p w:rsidR="00C453CE" w:rsidRPr="00B6327B" w:rsidRDefault="00C453CE" w:rsidP="00C453CE">
      <w:pPr>
        <w:pStyle w:val="ListParagraph"/>
        <w:spacing w:after="200"/>
        <w:ind w:left="0"/>
        <w:contextualSpacing/>
        <w:jc w:val="both"/>
        <w:rPr>
          <w:rFonts w:ascii="Arial" w:hAnsi="Arial" w:cs="Arial"/>
          <w:sz w:val="24"/>
          <w:szCs w:val="24"/>
        </w:rPr>
      </w:pPr>
      <w:r w:rsidRPr="00B6327B">
        <w:rPr>
          <w:rFonts w:ascii="Arial" w:hAnsi="Arial" w:cs="Arial"/>
          <w:sz w:val="24"/>
          <w:szCs w:val="24"/>
        </w:rPr>
        <w:t>There were 225,512 improvements recommended in Green Deal Advice Reports, on average around 2.6 recommended measures per GD Assessment. In 40 per cent of Assessments (34,215) one measure was recommended, in 22 per cent of Assessments (18,414) a package of two measures were recommended, in 11 per cent of Assessments (9,522) a package of three measures were recommended, in 9 per cent of Assessments (7,890) a package of four measures were recommended and in 18 per cent of Assessments (15,137), packages of five or more me</w:t>
      </w:r>
      <w:r w:rsidR="000C5549">
        <w:rPr>
          <w:rFonts w:ascii="Arial" w:hAnsi="Arial" w:cs="Arial"/>
          <w:sz w:val="24"/>
          <w:szCs w:val="24"/>
        </w:rPr>
        <w:t>asures were recommended (Table 1.5</w:t>
      </w:r>
      <w:r w:rsidRPr="00B6327B">
        <w:rPr>
          <w:rFonts w:ascii="Arial" w:hAnsi="Arial" w:cs="Arial"/>
          <w:sz w:val="24"/>
          <w:szCs w:val="24"/>
        </w:rPr>
        <w:t>b).</w:t>
      </w:r>
    </w:p>
    <w:p w:rsidR="00C453CE" w:rsidRPr="00B6327B" w:rsidRDefault="00C453CE" w:rsidP="00C453CE">
      <w:pPr>
        <w:pStyle w:val="ListParagraph"/>
        <w:spacing w:after="200"/>
        <w:ind w:left="0"/>
        <w:contextualSpacing/>
        <w:jc w:val="both"/>
        <w:rPr>
          <w:rFonts w:ascii="Arial" w:hAnsi="Arial" w:cs="Arial"/>
          <w:sz w:val="24"/>
          <w:szCs w:val="24"/>
        </w:rPr>
      </w:pPr>
    </w:p>
    <w:p w:rsidR="00C453CE" w:rsidRPr="00B6327B" w:rsidRDefault="00C453CE" w:rsidP="00C453CE">
      <w:pPr>
        <w:pStyle w:val="ListParagraph"/>
        <w:spacing w:after="200"/>
        <w:ind w:left="0"/>
        <w:contextualSpacing/>
        <w:jc w:val="both"/>
        <w:rPr>
          <w:rFonts w:ascii="Arial" w:hAnsi="Arial" w:cs="Arial"/>
          <w:sz w:val="24"/>
          <w:szCs w:val="24"/>
        </w:rPr>
      </w:pPr>
      <w:r w:rsidRPr="00B6327B">
        <w:rPr>
          <w:rFonts w:ascii="Arial" w:hAnsi="Arial" w:cs="Arial"/>
          <w:sz w:val="24"/>
          <w:szCs w:val="24"/>
        </w:rPr>
        <w:t xml:space="preserve">The most common measure recommended was to install loft insulation. This accounted for 14 per cent of all </w:t>
      </w:r>
      <w:r w:rsidR="00393E75">
        <w:rPr>
          <w:rFonts w:ascii="Arial" w:hAnsi="Arial" w:cs="Arial"/>
          <w:sz w:val="24"/>
          <w:szCs w:val="24"/>
        </w:rPr>
        <w:t>measures were recommended in</w:t>
      </w:r>
      <w:r w:rsidRPr="00B6327B">
        <w:rPr>
          <w:rFonts w:ascii="Arial" w:hAnsi="Arial" w:cs="Arial"/>
          <w:sz w:val="24"/>
          <w:szCs w:val="24"/>
        </w:rPr>
        <w:t xml:space="preserve"> over a thir</w:t>
      </w:r>
      <w:r w:rsidR="000C5549">
        <w:rPr>
          <w:rFonts w:ascii="Arial" w:hAnsi="Arial" w:cs="Arial"/>
          <w:sz w:val="24"/>
          <w:szCs w:val="24"/>
        </w:rPr>
        <w:t>d of all GD assessments (Table 1.5</w:t>
      </w:r>
      <w:r w:rsidRPr="00B6327B">
        <w:rPr>
          <w:rFonts w:ascii="Arial" w:hAnsi="Arial" w:cs="Arial"/>
          <w:sz w:val="24"/>
          <w:szCs w:val="24"/>
        </w:rPr>
        <w:t>a).</w:t>
      </w:r>
    </w:p>
    <w:p w:rsidR="00C453CE" w:rsidRPr="00B6327B" w:rsidRDefault="00C453CE" w:rsidP="00C453CE">
      <w:pPr>
        <w:pStyle w:val="ListParagraph"/>
        <w:spacing w:after="200"/>
        <w:ind w:left="0"/>
        <w:contextualSpacing/>
        <w:jc w:val="both"/>
        <w:rPr>
          <w:rFonts w:ascii="Arial" w:hAnsi="Arial" w:cs="Arial"/>
          <w:sz w:val="24"/>
          <w:szCs w:val="24"/>
        </w:rPr>
      </w:pPr>
    </w:p>
    <w:p w:rsidR="00C453CE" w:rsidRPr="00B6327B" w:rsidRDefault="00C453CE" w:rsidP="00C453CE">
      <w:pPr>
        <w:pStyle w:val="ListParagraph"/>
        <w:spacing w:after="200"/>
        <w:ind w:left="0"/>
        <w:contextualSpacing/>
        <w:jc w:val="both"/>
        <w:rPr>
          <w:rFonts w:ascii="Arial" w:hAnsi="Arial" w:cs="Arial"/>
          <w:sz w:val="24"/>
          <w:szCs w:val="24"/>
        </w:rPr>
      </w:pPr>
      <w:r w:rsidRPr="00B6327B">
        <w:rPr>
          <w:rFonts w:ascii="Arial" w:hAnsi="Arial" w:cs="Arial"/>
          <w:sz w:val="24"/>
          <w:szCs w:val="24"/>
        </w:rPr>
        <w:t xml:space="preserve">Cavity wall insulation was the second most common recommendation (13 per cent of all measures recommended) and to upgrade boiler with the same fuel the third most common (12 per cent of all recommended measures). Photovoltaics (solar PV) were the most recommended micro-generation measure, accounting for 9 per cent of recommendations and recommended in around a quarter of all GD assessments. Floor insulation (8 per cent of all measures recommended) and heating controls for wet central heating systems (8 per cent) were other </w:t>
      </w:r>
      <w:r w:rsidRPr="00B6327B">
        <w:rPr>
          <w:rFonts w:ascii="Arial" w:hAnsi="Arial" w:cs="Arial"/>
          <w:sz w:val="24"/>
          <w:szCs w:val="24"/>
        </w:rPr>
        <w:lastRenderedPageBreak/>
        <w:t>commonly recommended measures. All solid wall insulation types accounted for 11 per cent of all measures recommended.</w:t>
      </w:r>
    </w:p>
    <w:p w:rsidR="00054D4E" w:rsidRPr="0017774D" w:rsidRDefault="00C453CE" w:rsidP="00054D4E">
      <w:pPr>
        <w:pStyle w:val="Heading3"/>
        <w:spacing w:before="0" w:after="0"/>
        <w:rPr>
          <w:b w:val="0"/>
          <w:u w:val="single"/>
        </w:rPr>
      </w:pPr>
      <w:r>
        <w:rPr>
          <w:b w:val="0"/>
          <w:u w:val="single"/>
        </w:rPr>
        <w:t xml:space="preserve">Geographic location (Tables </w:t>
      </w:r>
      <w:r w:rsidR="000C5549">
        <w:rPr>
          <w:b w:val="0"/>
          <w:u w:val="single"/>
        </w:rPr>
        <w:t>1.</w:t>
      </w:r>
      <w:r>
        <w:rPr>
          <w:b w:val="0"/>
          <w:u w:val="single"/>
        </w:rPr>
        <w:t>6</w:t>
      </w:r>
      <w:r w:rsidR="00054D4E" w:rsidRPr="0017774D">
        <w:rPr>
          <w:b w:val="0"/>
          <w:u w:val="single"/>
        </w:rPr>
        <w:t xml:space="preserve">, </w:t>
      </w:r>
      <w:r w:rsidR="000C5549">
        <w:rPr>
          <w:b w:val="0"/>
          <w:u w:val="single"/>
        </w:rPr>
        <w:t>1.</w:t>
      </w:r>
      <w:r>
        <w:rPr>
          <w:b w:val="0"/>
          <w:u w:val="single"/>
        </w:rPr>
        <w:t>6</w:t>
      </w:r>
      <w:r w:rsidR="00054D4E" w:rsidRPr="0017774D">
        <w:rPr>
          <w:b w:val="0"/>
          <w:u w:val="single"/>
        </w:rPr>
        <w:t xml:space="preserve">a, </w:t>
      </w:r>
      <w:r w:rsidR="000C5549">
        <w:rPr>
          <w:b w:val="0"/>
          <w:u w:val="single"/>
        </w:rPr>
        <w:t>1.</w:t>
      </w:r>
      <w:r>
        <w:rPr>
          <w:b w:val="0"/>
          <w:u w:val="single"/>
        </w:rPr>
        <w:t>6</w:t>
      </w:r>
      <w:r w:rsidR="00054D4E" w:rsidRPr="0017774D">
        <w:rPr>
          <w:b w:val="0"/>
          <w:u w:val="single"/>
        </w:rPr>
        <w:t>b, Map 1</w:t>
      </w:r>
      <w:r w:rsidR="00170DD3">
        <w:rPr>
          <w:b w:val="0"/>
          <w:u w:val="single"/>
        </w:rPr>
        <w:t>.1</w:t>
      </w:r>
      <w:r w:rsidR="00054D4E" w:rsidRPr="0017774D">
        <w:rPr>
          <w:b w:val="0"/>
          <w:u w:val="single"/>
        </w:rPr>
        <w:t>)</w:t>
      </w:r>
    </w:p>
    <w:p w:rsidR="00054D4E" w:rsidRPr="00054D4E" w:rsidRDefault="00054D4E" w:rsidP="00054D4E">
      <w:pPr>
        <w:spacing w:before="0" w:after="0"/>
      </w:pPr>
    </w:p>
    <w:p w:rsidR="00054D4E" w:rsidRDefault="00054D4E" w:rsidP="00054D4E">
      <w:pPr>
        <w:spacing w:before="0" w:after="0" w:line="270" w:lineRule="atLeast"/>
        <w:jc w:val="both"/>
        <w:rPr>
          <w:szCs w:val="24"/>
        </w:rPr>
      </w:pPr>
      <w:r w:rsidRPr="00054D4E">
        <w:rPr>
          <w:szCs w:val="24"/>
        </w:rPr>
        <w:t>GD Assessments have been taking place in prop</w:t>
      </w:r>
      <w:r>
        <w:rPr>
          <w:szCs w:val="24"/>
        </w:rPr>
        <w:t>erties throughout Great Britain</w:t>
      </w:r>
      <w:r w:rsidR="00B95825">
        <w:rPr>
          <w:szCs w:val="24"/>
        </w:rPr>
        <w:t xml:space="preserve"> with 85</w:t>
      </w:r>
      <w:r w:rsidR="00C53668">
        <w:rPr>
          <w:szCs w:val="24"/>
        </w:rPr>
        <w:t>,178</w:t>
      </w:r>
      <w:r w:rsidRPr="008A5812">
        <w:rPr>
          <w:szCs w:val="24"/>
        </w:rPr>
        <w:t xml:space="preserve"> GD Assessments lodged in total</w:t>
      </w:r>
      <w:r w:rsidR="00B95825" w:rsidRPr="00B95825">
        <w:rPr>
          <w:szCs w:val="24"/>
        </w:rPr>
        <w:t xml:space="preserve"> </w:t>
      </w:r>
      <w:r w:rsidR="00B95825" w:rsidRPr="00054D4E">
        <w:rPr>
          <w:szCs w:val="24"/>
        </w:rPr>
        <w:t xml:space="preserve">up to 30th </w:t>
      </w:r>
      <w:r w:rsidR="00B95825">
        <w:rPr>
          <w:szCs w:val="24"/>
        </w:rPr>
        <w:t xml:space="preserve">September (see </w:t>
      </w:r>
      <w:r w:rsidRPr="00054D4E">
        <w:rPr>
          <w:szCs w:val="24"/>
        </w:rPr>
        <w:t xml:space="preserve">Table </w:t>
      </w:r>
      <w:r w:rsidR="000F3D99">
        <w:rPr>
          <w:szCs w:val="24"/>
        </w:rPr>
        <w:t>1.</w:t>
      </w:r>
      <w:r w:rsidR="00C453CE">
        <w:rPr>
          <w:szCs w:val="24"/>
        </w:rPr>
        <w:t>6</w:t>
      </w:r>
      <w:r w:rsidRPr="00054D4E">
        <w:rPr>
          <w:szCs w:val="24"/>
        </w:rPr>
        <w:t xml:space="preserve"> </w:t>
      </w:r>
      <w:r w:rsidR="00B95825">
        <w:rPr>
          <w:szCs w:val="24"/>
        </w:rPr>
        <w:t>for the</w:t>
      </w:r>
      <w:r w:rsidRPr="00054D4E">
        <w:rPr>
          <w:szCs w:val="24"/>
        </w:rPr>
        <w:t xml:space="preserve"> regional breakdown</w:t>
      </w:r>
      <w:r w:rsidR="00B95825">
        <w:rPr>
          <w:szCs w:val="24"/>
        </w:rPr>
        <w:t xml:space="preserve">). </w:t>
      </w:r>
      <w:r w:rsidRPr="00054D4E">
        <w:rPr>
          <w:szCs w:val="24"/>
        </w:rPr>
        <w:t>Tables 1</w:t>
      </w:r>
      <w:r w:rsidR="000F3D99">
        <w:rPr>
          <w:szCs w:val="24"/>
        </w:rPr>
        <w:t>.6</w:t>
      </w:r>
      <w:r w:rsidRPr="00054D4E">
        <w:rPr>
          <w:szCs w:val="24"/>
        </w:rPr>
        <w:t>a and 1</w:t>
      </w:r>
      <w:r w:rsidR="000F3D99">
        <w:rPr>
          <w:szCs w:val="24"/>
        </w:rPr>
        <w:t>.6</w:t>
      </w:r>
      <w:r w:rsidRPr="00054D4E">
        <w:rPr>
          <w:szCs w:val="24"/>
        </w:rPr>
        <w:t xml:space="preserve">b present the number of GD Assessments that took place in each Local Authority (LA) (Table </w:t>
      </w:r>
      <w:r w:rsidR="000C5549">
        <w:rPr>
          <w:szCs w:val="24"/>
        </w:rPr>
        <w:t>1.</w:t>
      </w:r>
      <w:r w:rsidR="00C453CE">
        <w:rPr>
          <w:szCs w:val="24"/>
        </w:rPr>
        <w:t>6</w:t>
      </w:r>
      <w:r w:rsidRPr="00054D4E">
        <w:rPr>
          <w:szCs w:val="24"/>
        </w:rPr>
        <w:t xml:space="preserve">a) and Parliamentary Constituency (Table </w:t>
      </w:r>
      <w:r w:rsidR="000C5549">
        <w:rPr>
          <w:szCs w:val="24"/>
        </w:rPr>
        <w:t>1.</w:t>
      </w:r>
      <w:r w:rsidR="00C453CE">
        <w:rPr>
          <w:szCs w:val="24"/>
        </w:rPr>
        <w:t>6</w:t>
      </w:r>
      <w:r w:rsidRPr="00054D4E">
        <w:rPr>
          <w:szCs w:val="24"/>
        </w:rPr>
        <w:t>b).</w:t>
      </w:r>
      <w:r w:rsidR="00DE7939">
        <w:rPr>
          <w:szCs w:val="24"/>
        </w:rPr>
        <w:t xml:space="preserve"> Table 1.6a shows that  t</w:t>
      </w:r>
      <w:r w:rsidR="00DE7939" w:rsidRPr="00054D4E">
        <w:rPr>
          <w:szCs w:val="24"/>
        </w:rPr>
        <w:t xml:space="preserve">he large majority of Local Authorities had at least </w:t>
      </w:r>
      <w:r w:rsidR="00DE7939">
        <w:rPr>
          <w:szCs w:val="24"/>
        </w:rPr>
        <w:t>25</w:t>
      </w:r>
      <w:r w:rsidR="00DE7939" w:rsidRPr="00054D4E">
        <w:rPr>
          <w:szCs w:val="24"/>
        </w:rPr>
        <w:t xml:space="preserve"> GD Assessments, showing that GD Assessments were spread across the country.</w:t>
      </w:r>
    </w:p>
    <w:p w:rsidR="00054D4E" w:rsidRPr="00054D4E" w:rsidRDefault="00054D4E" w:rsidP="00054D4E">
      <w:pPr>
        <w:spacing w:before="0" w:after="0" w:line="270" w:lineRule="atLeast"/>
        <w:jc w:val="both"/>
        <w:rPr>
          <w:szCs w:val="24"/>
        </w:rPr>
      </w:pPr>
    </w:p>
    <w:p w:rsidR="00DF5EBB" w:rsidRDefault="00F12302" w:rsidP="00DF5EBB">
      <w:pPr>
        <w:spacing w:before="0" w:after="200" w:line="240" w:lineRule="auto"/>
        <w:contextualSpacing/>
        <w:jc w:val="both"/>
      </w:pPr>
      <w:r>
        <w:t>In this release we have been able to report the number of GD Assessment</w:t>
      </w:r>
      <w:r w:rsidR="002241BF">
        <w:t>s</w:t>
      </w:r>
      <w:r>
        <w:t xml:space="preserve"> per 1,000 households which gives a better indication of the areas which have had the most assessments in relation to the number of properties in that area.</w:t>
      </w:r>
    </w:p>
    <w:p w:rsidR="00F12302" w:rsidRDefault="00F12302" w:rsidP="00DF5EBB">
      <w:pPr>
        <w:spacing w:before="0" w:after="200" w:line="240" w:lineRule="auto"/>
        <w:contextualSpacing/>
        <w:jc w:val="both"/>
      </w:pPr>
    </w:p>
    <w:p w:rsidR="00DF5EBB" w:rsidRDefault="00DF5EBB" w:rsidP="00DF5EBB">
      <w:pPr>
        <w:spacing w:before="0" w:after="200" w:line="240" w:lineRule="auto"/>
        <w:contextualSpacing/>
        <w:jc w:val="both"/>
      </w:pPr>
      <w:r>
        <w:t xml:space="preserve">There were on average 3.3 </w:t>
      </w:r>
      <w:r w:rsidRPr="00DF5EBB">
        <w:t>Green Deal Assessments per 1,000 households</w:t>
      </w:r>
      <w:r>
        <w:t xml:space="preserve"> in Great Britain. The region with the highest number of </w:t>
      </w:r>
      <w:r w:rsidRPr="00DF5EBB">
        <w:t>Green Deal Assessments per 1,000 households</w:t>
      </w:r>
      <w:r>
        <w:t xml:space="preserve"> was the West Midlands</w:t>
      </w:r>
      <w:r w:rsidR="00F12302">
        <w:t xml:space="preserve"> with </w:t>
      </w:r>
      <w:r w:rsidR="00A6442F">
        <w:t>5.3;</w:t>
      </w:r>
      <w:r w:rsidR="00F12302">
        <w:t xml:space="preserve"> this was followed by Yorkshire and the Humber with 4.1, and The North West with 4. </w:t>
      </w:r>
      <w:r>
        <w:t xml:space="preserve">Wales had 3.2 and Scotland had 2.2 </w:t>
      </w:r>
      <w:r w:rsidRPr="00DF5EBB">
        <w:t>Green Deal Assessments per 1,000 households</w:t>
      </w:r>
      <w:r>
        <w:t>.</w:t>
      </w:r>
    </w:p>
    <w:p w:rsidR="00FC419E" w:rsidRPr="00054D4E" w:rsidRDefault="00FC419E" w:rsidP="00FC419E">
      <w:pPr>
        <w:spacing w:before="0" w:after="0" w:line="270" w:lineRule="atLeast"/>
        <w:jc w:val="both"/>
        <w:rPr>
          <w:szCs w:val="24"/>
        </w:rPr>
      </w:pPr>
    </w:p>
    <w:p w:rsidR="00054D4E" w:rsidRDefault="00054D4E" w:rsidP="002C6612">
      <w:pPr>
        <w:spacing w:before="0" w:after="0" w:line="270" w:lineRule="atLeast"/>
        <w:jc w:val="both"/>
        <w:rPr>
          <w:szCs w:val="24"/>
        </w:rPr>
      </w:pPr>
      <w:r w:rsidRPr="00054D4E">
        <w:rPr>
          <w:szCs w:val="24"/>
        </w:rPr>
        <w:t>Map 1</w:t>
      </w:r>
      <w:r w:rsidR="00170DD3">
        <w:rPr>
          <w:szCs w:val="24"/>
        </w:rPr>
        <w:t>.1</w:t>
      </w:r>
      <w:r w:rsidRPr="00054D4E">
        <w:rPr>
          <w:szCs w:val="24"/>
        </w:rPr>
        <w:t xml:space="preserve"> shows the number of Green Deal Assessments lodged by Local Authority in </w:t>
      </w:r>
      <w:r w:rsidR="00FC419E">
        <w:rPr>
          <w:szCs w:val="24"/>
        </w:rPr>
        <w:t>Great Britain</w:t>
      </w:r>
      <w:r w:rsidR="00F12302">
        <w:rPr>
          <w:szCs w:val="24"/>
        </w:rPr>
        <w:t xml:space="preserve"> per 1,000 households</w:t>
      </w:r>
      <w:r w:rsidRPr="00054D4E">
        <w:rPr>
          <w:szCs w:val="24"/>
        </w:rPr>
        <w:t xml:space="preserve">. </w:t>
      </w:r>
    </w:p>
    <w:p w:rsidR="00F12302" w:rsidRPr="00054D4E" w:rsidRDefault="00F12302" w:rsidP="002C6612">
      <w:pPr>
        <w:spacing w:before="0" w:after="0" w:line="270" w:lineRule="atLeast"/>
        <w:jc w:val="both"/>
        <w:rPr>
          <w:szCs w:val="24"/>
        </w:rPr>
      </w:pPr>
    </w:p>
    <w:p w:rsidR="002B7674" w:rsidRDefault="002B7674" w:rsidP="002C6612">
      <w:pPr>
        <w:pStyle w:val="Caption"/>
        <w:jc w:val="both"/>
        <w:rPr>
          <w:b w:val="0"/>
          <w:sz w:val="24"/>
          <w:szCs w:val="24"/>
        </w:rPr>
      </w:pPr>
    </w:p>
    <w:p w:rsidR="002B7674" w:rsidRDefault="002B7674" w:rsidP="002C6612">
      <w:pPr>
        <w:pStyle w:val="Caption"/>
        <w:jc w:val="both"/>
        <w:rPr>
          <w:b w:val="0"/>
          <w:sz w:val="24"/>
          <w:szCs w:val="24"/>
        </w:rPr>
      </w:pPr>
    </w:p>
    <w:p w:rsidR="00C453CE" w:rsidRDefault="00C453CE" w:rsidP="00C453CE"/>
    <w:p w:rsidR="00C453CE" w:rsidRDefault="00C453CE" w:rsidP="00C453CE"/>
    <w:p w:rsidR="00C453CE" w:rsidRDefault="00C453CE" w:rsidP="00C453CE"/>
    <w:p w:rsidR="00C453CE" w:rsidRDefault="00C453CE" w:rsidP="00C453CE"/>
    <w:p w:rsidR="00C453CE" w:rsidRDefault="00C453CE" w:rsidP="00C453CE"/>
    <w:p w:rsidR="00C453CE" w:rsidRDefault="00C453CE" w:rsidP="00C453CE"/>
    <w:p w:rsidR="00C453CE" w:rsidRDefault="00C453CE" w:rsidP="00C453CE"/>
    <w:p w:rsidR="00C453CE" w:rsidRDefault="00C453CE" w:rsidP="00C453CE"/>
    <w:p w:rsidR="00C453CE" w:rsidRDefault="00C453CE" w:rsidP="00C453CE"/>
    <w:p w:rsidR="00C453CE" w:rsidRDefault="00C453CE" w:rsidP="00C453CE"/>
    <w:p w:rsidR="00C453CE" w:rsidRDefault="00C453CE" w:rsidP="00C453CE"/>
    <w:p w:rsidR="00C453CE" w:rsidRDefault="00C453CE" w:rsidP="00C453CE"/>
    <w:p w:rsidR="00C453CE" w:rsidRDefault="00C453CE" w:rsidP="00C453CE"/>
    <w:p w:rsidR="00C453CE" w:rsidRPr="00C453CE" w:rsidRDefault="00C453CE" w:rsidP="00C453CE"/>
    <w:p w:rsidR="002B7674" w:rsidRDefault="002B7674" w:rsidP="002C6612">
      <w:pPr>
        <w:pStyle w:val="Caption"/>
        <w:jc w:val="both"/>
        <w:rPr>
          <w:b w:val="0"/>
          <w:sz w:val="24"/>
          <w:szCs w:val="24"/>
        </w:rPr>
      </w:pPr>
    </w:p>
    <w:p w:rsidR="00251497" w:rsidRDefault="00251497" w:rsidP="00251497"/>
    <w:p w:rsidR="00251497" w:rsidRPr="00251497" w:rsidRDefault="00251497" w:rsidP="00251497"/>
    <w:p w:rsidR="00705A31" w:rsidRPr="002C6612" w:rsidRDefault="002C6612" w:rsidP="002C6612">
      <w:pPr>
        <w:pStyle w:val="Caption"/>
        <w:jc w:val="both"/>
        <w:rPr>
          <w:b w:val="0"/>
          <w:sz w:val="24"/>
          <w:szCs w:val="24"/>
        </w:rPr>
      </w:pPr>
      <w:bookmarkStart w:id="28" w:name="_Toc375046129"/>
      <w:r w:rsidRPr="002C6612">
        <w:rPr>
          <w:b w:val="0"/>
          <w:sz w:val="24"/>
          <w:szCs w:val="24"/>
        </w:rPr>
        <w:lastRenderedPageBreak/>
        <w:t xml:space="preserve">Map </w:t>
      </w:r>
      <w:r w:rsidRPr="002C6612">
        <w:rPr>
          <w:b w:val="0"/>
          <w:sz w:val="24"/>
          <w:szCs w:val="24"/>
        </w:rPr>
        <w:fldChar w:fldCharType="begin"/>
      </w:r>
      <w:r w:rsidRPr="002C6612">
        <w:rPr>
          <w:b w:val="0"/>
          <w:sz w:val="24"/>
          <w:szCs w:val="24"/>
        </w:rPr>
        <w:instrText xml:space="preserve"> SEQ Map \* ARABIC </w:instrText>
      </w:r>
      <w:r w:rsidRPr="002C6612">
        <w:rPr>
          <w:b w:val="0"/>
          <w:sz w:val="24"/>
          <w:szCs w:val="24"/>
        </w:rPr>
        <w:fldChar w:fldCharType="separate"/>
      </w:r>
      <w:r w:rsidR="001E226F">
        <w:rPr>
          <w:b w:val="0"/>
          <w:noProof/>
          <w:sz w:val="24"/>
          <w:szCs w:val="24"/>
        </w:rPr>
        <w:t>1</w:t>
      </w:r>
      <w:r w:rsidRPr="002C6612">
        <w:rPr>
          <w:b w:val="0"/>
          <w:sz w:val="24"/>
          <w:szCs w:val="24"/>
        </w:rPr>
        <w:fldChar w:fldCharType="end"/>
      </w:r>
      <w:r w:rsidR="00170DD3">
        <w:rPr>
          <w:b w:val="0"/>
          <w:sz w:val="24"/>
          <w:szCs w:val="24"/>
        </w:rPr>
        <w:t>.1</w:t>
      </w:r>
      <w:r>
        <w:rPr>
          <w:b w:val="0"/>
          <w:sz w:val="24"/>
          <w:szCs w:val="24"/>
        </w:rPr>
        <w:t xml:space="preserve"> </w:t>
      </w:r>
      <w:r w:rsidR="00054D4E" w:rsidRPr="002C6612">
        <w:rPr>
          <w:b w:val="0"/>
          <w:sz w:val="24"/>
          <w:szCs w:val="24"/>
        </w:rPr>
        <w:t>– N</w:t>
      </w:r>
      <w:r w:rsidR="00F12302" w:rsidRPr="002C6612">
        <w:rPr>
          <w:b w:val="0"/>
          <w:sz w:val="24"/>
          <w:szCs w:val="24"/>
        </w:rPr>
        <w:t xml:space="preserve">umber of Green Deal Assessments per 1,000 households </w:t>
      </w:r>
      <w:r w:rsidR="00054D4E" w:rsidRPr="002C6612">
        <w:rPr>
          <w:b w:val="0"/>
          <w:sz w:val="24"/>
          <w:szCs w:val="24"/>
        </w:rPr>
        <w:t xml:space="preserve">lodged by Local Authority up to 30th </w:t>
      </w:r>
      <w:r w:rsidR="00E04C2A" w:rsidRPr="002C6612">
        <w:rPr>
          <w:b w:val="0"/>
          <w:sz w:val="24"/>
          <w:szCs w:val="24"/>
        </w:rPr>
        <w:t xml:space="preserve">September </w:t>
      </w:r>
      <w:r w:rsidR="00054D4E" w:rsidRPr="002C6612">
        <w:rPr>
          <w:b w:val="0"/>
          <w:sz w:val="24"/>
          <w:szCs w:val="24"/>
        </w:rPr>
        <w:t>2013</w:t>
      </w:r>
      <w:bookmarkEnd w:id="28"/>
    </w:p>
    <w:p w:rsidR="00554BE5" w:rsidRDefault="0012033E" w:rsidP="00554BE5">
      <w:pPr>
        <w:spacing w:line="240" w:lineRule="auto"/>
        <w:jc w:val="center"/>
      </w:pPr>
      <w:bookmarkStart w:id="29" w:name="OLE_LINK1"/>
      <w:bookmarkStart w:id="30" w:name="OLE_LINK2"/>
      <w:bookmarkStart w:id="31" w:name="OLE_LINK5"/>
      <w:bookmarkStart w:id="32" w:name="OLE_LINK6"/>
      <w:r>
        <w:pict>
          <v:shape id="_x0000_i1028" type="#_x0000_t75" style="width:492pt;height:696pt">
            <v:imagedata r:id="rId31" o:title="OAsSep13HH(2)"/>
          </v:shape>
        </w:pict>
      </w:r>
    </w:p>
    <w:p w:rsidR="00E62B6B" w:rsidRDefault="00AA2D70" w:rsidP="00E62B6B">
      <w:pPr>
        <w:pStyle w:val="Heading2"/>
      </w:pPr>
      <w:bookmarkStart w:id="33" w:name="Cashbackmeasuresinstalled"/>
      <w:bookmarkStart w:id="34" w:name="_Toc375046003"/>
      <w:bookmarkEnd w:id="29"/>
      <w:bookmarkEnd w:id="30"/>
      <w:bookmarkEnd w:id="31"/>
      <w:bookmarkEnd w:id="32"/>
      <w:bookmarkEnd w:id="33"/>
      <w:r>
        <w:lastRenderedPageBreak/>
        <w:t>Pioneer Places</w:t>
      </w:r>
      <w:bookmarkEnd w:id="34"/>
    </w:p>
    <w:p w:rsidR="009C224B" w:rsidRDefault="009C224B" w:rsidP="009C224B">
      <w:pPr>
        <w:spacing w:before="0" w:after="0"/>
        <w:jc w:val="both"/>
      </w:pPr>
      <w:r>
        <w:t xml:space="preserve">The Green Deal Pioneer Places Fund of £10m was allocated to Local Authorities and/or consortia of Local Authorities in England to demonstrate ambitious approaches to kick starting local Green </w:t>
      </w:r>
      <w:r w:rsidRPr="009C224B">
        <w:rPr>
          <w:color w:val="000000" w:themeColor="text1"/>
        </w:rPr>
        <w:t>Deal activity in both the domestic and non-domestic sectors. Among a range of outcomes from these projects was funding for GD Assessments.</w:t>
      </w:r>
    </w:p>
    <w:p w:rsidR="009C224B" w:rsidRDefault="009C224B" w:rsidP="009C224B">
      <w:pPr>
        <w:spacing w:before="0" w:after="0"/>
        <w:jc w:val="both"/>
      </w:pPr>
    </w:p>
    <w:p w:rsidR="009C224B" w:rsidRDefault="009C224B" w:rsidP="009C224B">
      <w:pPr>
        <w:spacing w:before="0" w:after="0"/>
        <w:jc w:val="both"/>
      </w:pPr>
      <w:r>
        <w:t>From data returns received by DECC by 14</w:t>
      </w:r>
      <w:r>
        <w:rPr>
          <w:vertAlign w:val="superscript"/>
        </w:rPr>
        <w:t>th</w:t>
      </w:r>
      <w:r>
        <w:t xml:space="preserve"> November 2013, it is estimated that 8,334 Domestic Green Deal Assessments were lodged having been funded through the Green D</w:t>
      </w:r>
      <w:r w:rsidR="00AA2D70">
        <w:t xml:space="preserve">eal Pioneer Places (see Table </w:t>
      </w:r>
      <w:r w:rsidR="000C5549">
        <w:t>1.</w:t>
      </w:r>
      <w:r w:rsidR="00AA2D70">
        <w:t>7</w:t>
      </w:r>
      <w:r>
        <w:t>).</w:t>
      </w:r>
    </w:p>
    <w:p w:rsidR="00382423" w:rsidRDefault="00382423" w:rsidP="009C224B">
      <w:pPr>
        <w:spacing w:before="0" w:after="0"/>
        <w:jc w:val="both"/>
      </w:pPr>
    </w:p>
    <w:p w:rsidR="00BC7ED2" w:rsidRDefault="00BC7ED2" w:rsidP="00BC7ED2">
      <w:pPr>
        <w:spacing w:before="0" w:after="0"/>
        <w:jc w:val="both"/>
      </w:pPr>
    </w:p>
    <w:p w:rsidR="00144EE8" w:rsidRDefault="00144EE8" w:rsidP="00382423">
      <w:pPr>
        <w:pStyle w:val="Heading2"/>
        <w:spacing w:before="0" w:after="0"/>
      </w:pPr>
      <w:bookmarkStart w:id="35" w:name="_Toc375046004"/>
      <w:r>
        <w:t>Core Cities</w:t>
      </w:r>
      <w:bookmarkEnd w:id="35"/>
    </w:p>
    <w:p w:rsidR="00382423" w:rsidRPr="00382423" w:rsidRDefault="00382423" w:rsidP="00382423">
      <w:pPr>
        <w:spacing w:before="0" w:after="0"/>
      </w:pPr>
    </w:p>
    <w:p w:rsidR="00382423" w:rsidRDefault="00382423" w:rsidP="00382423">
      <w:pPr>
        <w:spacing w:before="0" w:after="0"/>
        <w:jc w:val="both"/>
        <w:rPr>
          <w:color w:val="0D0D0D" w:themeColor="text1" w:themeTint="F2"/>
        </w:rPr>
      </w:pPr>
      <w:r w:rsidRPr="00382423">
        <w:rPr>
          <w:color w:val="0D0D0D" w:themeColor="text1" w:themeTint="F2"/>
        </w:rPr>
        <w:t>Eight cities across England received funding of £10.8m in total to trial early aspects of the Green Deal process and support them to help kick-start the Green Deal. The projects included conducting energy efficiency assessments as well as retrofitting properties across whole communities.</w:t>
      </w:r>
    </w:p>
    <w:p w:rsidR="00382423" w:rsidRPr="00382423" w:rsidRDefault="00382423" w:rsidP="00382423">
      <w:pPr>
        <w:spacing w:before="0" w:after="0"/>
        <w:jc w:val="both"/>
        <w:rPr>
          <w:color w:val="0D0D0D" w:themeColor="text1" w:themeTint="F2"/>
        </w:rPr>
      </w:pPr>
    </w:p>
    <w:p w:rsidR="00382423" w:rsidRDefault="00382423" w:rsidP="00382423">
      <w:pPr>
        <w:spacing w:before="0" w:after="0"/>
        <w:jc w:val="both"/>
        <w:rPr>
          <w:color w:val="FF0000"/>
        </w:rPr>
      </w:pPr>
      <w:r w:rsidRPr="00382423">
        <w:rPr>
          <w:color w:val="0D0D0D" w:themeColor="text1" w:themeTint="F2"/>
        </w:rPr>
        <w:t>Provisional estimates based on data returns submitted to DECC by 14</w:t>
      </w:r>
      <w:r w:rsidRPr="00382423">
        <w:rPr>
          <w:color w:val="0D0D0D" w:themeColor="text1" w:themeTint="F2"/>
          <w:vertAlign w:val="superscript"/>
        </w:rPr>
        <w:t>th</w:t>
      </w:r>
      <w:r w:rsidRPr="00382423">
        <w:rPr>
          <w:color w:val="0D0D0D" w:themeColor="text1" w:themeTint="F2"/>
        </w:rPr>
        <w:t xml:space="preserve"> November 2013 indicate that around 2,106 properties had installed energy efficiency measures which had been funded through the Core Cities projects. The</w:t>
      </w:r>
      <w:r>
        <w:t xml:space="preserve"> provisional number of measures installed in these properties was </w:t>
      </w:r>
      <w:r w:rsidR="00FB4A95">
        <w:t>3,005</w:t>
      </w:r>
      <w:r>
        <w:rPr>
          <w:rStyle w:val="FootnoteReference"/>
        </w:rPr>
        <w:footnoteReference w:id="7"/>
      </w:r>
      <w:r>
        <w:t>. Over 1,000 of these measures were external solid wall insulation.</w:t>
      </w:r>
    </w:p>
    <w:p w:rsidR="00382423" w:rsidRDefault="00382423" w:rsidP="00FE6485">
      <w:pPr>
        <w:pStyle w:val="Heading2"/>
      </w:pPr>
    </w:p>
    <w:p w:rsidR="00C877B7" w:rsidRDefault="00C877B7" w:rsidP="00FE6485">
      <w:pPr>
        <w:pStyle w:val="Heading2"/>
      </w:pPr>
      <w:bookmarkStart w:id="36" w:name="_Toc375046005"/>
      <w:r>
        <w:t>Cashback measures installed,</w:t>
      </w:r>
      <w:r w:rsidRPr="0062060D">
        <w:t xml:space="preserve"> </w:t>
      </w:r>
      <w:r>
        <w:t>up to 30</w:t>
      </w:r>
      <w:r w:rsidRPr="006F3A88">
        <w:rPr>
          <w:vertAlign w:val="superscript"/>
        </w:rPr>
        <w:t>th</w:t>
      </w:r>
      <w:r w:rsidRPr="0062060D">
        <w:t xml:space="preserve"> </w:t>
      </w:r>
      <w:r w:rsidR="00FE6485">
        <w:t>September</w:t>
      </w:r>
      <w:r w:rsidRPr="0062060D">
        <w:t xml:space="preserve"> 2013</w:t>
      </w:r>
      <w:bookmarkEnd w:id="36"/>
    </w:p>
    <w:p w:rsidR="00C877B7" w:rsidRDefault="00C877B7" w:rsidP="00C877B7">
      <w:pPr>
        <w:pStyle w:val="ListParagraph"/>
        <w:ind w:left="0"/>
        <w:contextualSpacing/>
        <w:jc w:val="both"/>
        <w:rPr>
          <w:rFonts w:ascii="Arial" w:hAnsi="Arial" w:cs="Arial"/>
          <w:b/>
        </w:rPr>
      </w:pPr>
    </w:p>
    <w:p w:rsidR="00C877B7" w:rsidRDefault="00C877B7" w:rsidP="003D4150">
      <w:pPr>
        <w:spacing w:before="0" w:after="0" w:line="270" w:lineRule="atLeast"/>
        <w:jc w:val="both"/>
      </w:pPr>
      <w:r w:rsidRPr="00EC7DBC">
        <w:t>The Cashback scheme</w:t>
      </w:r>
      <w:r>
        <w:t xml:space="preserve"> in England and Wales</w:t>
      </w:r>
      <w:r w:rsidRPr="00EC7DBC">
        <w:t xml:space="preserve"> has been available since J</w:t>
      </w:r>
      <w:r>
        <w:t>anuary 2013</w:t>
      </w:r>
      <w:r w:rsidRPr="00EC7DBC">
        <w:t>.</w:t>
      </w:r>
      <w:r>
        <w:t xml:space="preserve"> It is a financial incentive a</w:t>
      </w:r>
      <w:r w:rsidRPr="00EC7DBC">
        <w:t>imed to encourage domestic customers to get measures installed through the Green Deal process, although it is the customers’ choice whether they decide to take out Green Deal finance or other sources of finance to fund th</w:t>
      </w:r>
      <w:r>
        <w:t xml:space="preserve">e installation of the measures. Cashback vouchers can only be paid after the installation of measures. There were </w:t>
      </w:r>
      <w:r w:rsidR="0076616B">
        <w:t>6,</w:t>
      </w:r>
      <w:r w:rsidR="00FE7493">
        <w:t>994</w:t>
      </w:r>
      <w:r>
        <w:t xml:space="preserve"> </w:t>
      </w:r>
      <w:r w:rsidR="00FE7493">
        <w:t>properties</w:t>
      </w:r>
      <w:r w:rsidR="00FE7493">
        <w:rPr>
          <w:rStyle w:val="FootnoteReference"/>
        </w:rPr>
        <w:footnoteReference w:id="8"/>
      </w:r>
      <w:r w:rsidR="00FE7493">
        <w:t xml:space="preserve"> where measures had been installed following payment from the Cashback scheme</w:t>
      </w:r>
      <w:r>
        <w:t xml:space="preserve"> up to 30</w:t>
      </w:r>
      <w:r w:rsidRPr="00BE69ED">
        <w:rPr>
          <w:vertAlign w:val="superscript"/>
        </w:rPr>
        <w:t>th</w:t>
      </w:r>
      <w:r>
        <w:t xml:space="preserve"> </w:t>
      </w:r>
      <w:r w:rsidR="0076616B">
        <w:t>Septem</w:t>
      </w:r>
      <w:r w:rsidR="00FE7493">
        <w:t>b</w:t>
      </w:r>
      <w:r w:rsidR="0076616B">
        <w:t>er</w:t>
      </w:r>
      <w:r>
        <w:t xml:space="preserve"> 2013.</w:t>
      </w:r>
    </w:p>
    <w:p w:rsidR="003D4150" w:rsidRDefault="003D4150" w:rsidP="003D4150">
      <w:pPr>
        <w:spacing w:before="0" w:after="0" w:line="270" w:lineRule="atLeast"/>
        <w:jc w:val="both"/>
      </w:pPr>
    </w:p>
    <w:p w:rsidR="00C877B7" w:rsidRDefault="00C877B7" w:rsidP="003D4150">
      <w:pPr>
        <w:spacing w:before="0" w:after="0" w:line="270" w:lineRule="atLeast"/>
        <w:jc w:val="both"/>
        <w:rPr>
          <w:u w:val="single"/>
        </w:rPr>
      </w:pPr>
      <w:r>
        <w:rPr>
          <w:u w:val="single"/>
        </w:rPr>
        <w:t xml:space="preserve">Geographic location of </w:t>
      </w:r>
      <w:r w:rsidR="00FE7493">
        <w:rPr>
          <w:u w:val="single"/>
        </w:rPr>
        <w:t xml:space="preserve">properties </w:t>
      </w:r>
      <w:r>
        <w:rPr>
          <w:u w:val="single"/>
        </w:rPr>
        <w:t xml:space="preserve">where </w:t>
      </w:r>
      <w:r w:rsidR="00FE7493">
        <w:rPr>
          <w:u w:val="single"/>
        </w:rPr>
        <w:t>measures were installed following Cashback payment</w:t>
      </w:r>
      <w:r>
        <w:rPr>
          <w:u w:val="single"/>
        </w:rPr>
        <w:t>, up to 30</w:t>
      </w:r>
      <w:r w:rsidRPr="006F3A88">
        <w:rPr>
          <w:u w:val="single"/>
          <w:vertAlign w:val="superscript"/>
        </w:rPr>
        <w:t>th</w:t>
      </w:r>
      <w:r>
        <w:rPr>
          <w:u w:val="single"/>
        </w:rPr>
        <w:t xml:space="preserve"> </w:t>
      </w:r>
      <w:r w:rsidR="0076616B">
        <w:rPr>
          <w:u w:val="single"/>
        </w:rPr>
        <w:t>September</w:t>
      </w:r>
      <w:r w:rsidR="000C5549">
        <w:rPr>
          <w:u w:val="single"/>
        </w:rPr>
        <w:t xml:space="preserve"> (Tables 1.9, 1.9</w:t>
      </w:r>
      <w:r>
        <w:rPr>
          <w:u w:val="single"/>
        </w:rPr>
        <w:t xml:space="preserve">a and </w:t>
      </w:r>
      <w:r w:rsidR="000C5549">
        <w:rPr>
          <w:u w:val="single"/>
        </w:rPr>
        <w:t>1.9</w:t>
      </w:r>
      <w:r>
        <w:rPr>
          <w:u w:val="single"/>
        </w:rPr>
        <w:t>b)</w:t>
      </w:r>
    </w:p>
    <w:p w:rsidR="003D4150" w:rsidRPr="00AF4E3A" w:rsidRDefault="003D4150" w:rsidP="003D4150">
      <w:pPr>
        <w:spacing w:before="0" w:after="0" w:line="270" w:lineRule="atLeast"/>
        <w:jc w:val="both"/>
        <w:rPr>
          <w:u w:val="single"/>
        </w:rPr>
      </w:pPr>
    </w:p>
    <w:p w:rsidR="00C877B7" w:rsidRDefault="00C877B7" w:rsidP="003D4150">
      <w:pPr>
        <w:spacing w:before="0" w:after="0" w:line="270" w:lineRule="atLeast"/>
        <w:jc w:val="both"/>
        <w:rPr>
          <w:bCs/>
        </w:rPr>
      </w:pPr>
      <w:r>
        <w:rPr>
          <w:bCs/>
        </w:rPr>
        <w:t xml:space="preserve">Table </w:t>
      </w:r>
      <w:r w:rsidR="000C5549">
        <w:rPr>
          <w:bCs/>
        </w:rPr>
        <w:t>1.9</w:t>
      </w:r>
      <w:r>
        <w:rPr>
          <w:bCs/>
        </w:rPr>
        <w:t xml:space="preserve"> presents the regional breakdown of </w:t>
      </w:r>
      <w:r w:rsidR="003D4150" w:rsidRPr="003D4150">
        <w:rPr>
          <w:bCs/>
        </w:rPr>
        <w:t xml:space="preserve">properties where measures were installed following Cashback payment </w:t>
      </w:r>
      <w:r w:rsidR="003D4150">
        <w:rPr>
          <w:bCs/>
        </w:rPr>
        <w:t xml:space="preserve">up to </w:t>
      </w:r>
      <w:r>
        <w:rPr>
          <w:bCs/>
        </w:rPr>
        <w:t>30</w:t>
      </w:r>
      <w:r w:rsidRPr="00553E79">
        <w:rPr>
          <w:bCs/>
          <w:vertAlign w:val="superscript"/>
        </w:rPr>
        <w:t>th</w:t>
      </w:r>
      <w:r>
        <w:rPr>
          <w:bCs/>
        </w:rPr>
        <w:t xml:space="preserve"> </w:t>
      </w:r>
      <w:r w:rsidR="003D4150">
        <w:rPr>
          <w:bCs/>
        </w:rPr>
        <w:t>September</w:t>
      </w:r>
      <w:r>
        <w:rPr>
          <w:bCs/>
        </w:rPr>
        <w:t xml:space="preserve">. Tables </w:t>
      </w:r>
      <w:r w:rsidR="000F3D99">
        <w:rPr>
          <w:bCs/>
        </w:rPr>
        <w:t>1.9a and 1.9</w:t>
      </w:r>
      <w:r>
        <w:rPr>
          <w:bCs/>
        </w:rPr>
        <w:t xml:space="preserve">b present </w:t>
      </w:r>
      <w:r w:rsidR="003D4150">
        <w:rPr>
          <w:bCs/>
        </w:rPr>
        <w:t>these breakdowns of Cashback properties by</w:t>
      </w:r>
      <w:r>
        <w:rPr>
          <w:bCs/>
        </w:rPr>
        <w:t xml:space="preserve"> LA and Parliamentary Constituency in England and Wales up to 30</w:t>
      </w:r>
      <w:r w:rsidRPr="00076822">
        <w:rPr>
          <w:bCs/>
          <w:vertAlign w:val="superscript"/>
        </w:rPr>
        <w:t>th</w:t>
      </w:r>
      <w:r>
        <w:rPr>
          <w:bCs/>
        </w:rPr>
        <w:t xml:space="preserve"> </w:t>
      </w:r>
      <w:r w:rsidR="003D4150">
        <w:rPr>
          <w:bCs/>
        </w:rPr>
        <w:t>September</w:t>
      </w:r>
      <w:r>
        <w:rPr>
          <w:rStyle w:val="FootnoteReference"/>
          <w:bCs/>
        </w:rPr>
        <w:footnoteReference w:id="9"/>
      </w:r>
      <w:r w:rsidR="003D4150">
        <w:rPr>
          <w:bCs/>
        </w:rPr>
        <w:t>.</w:t>
      </w:r>
    </w:p>
    <w:p w:rsidR="00C877B7" w:rsidRDefault="00C877B7" w:rsidP="003D4150">
      <w:pPr>
        <w:spacing w:before="0" w:after="0" w:line="270" w:lineRule="atLeast"/>
        <w:rPr>
          <w:bCs/>
        </w:rPr>
      </w:pPr>
    </w:p>
    <w:p w:rsidR="00C877B7" w:rsidRPr="00B47113" w:rsidRDefault="00522088" w:rsidP="0085228F">
      <w:pPr>
        <w:spacing w:before="0" w:after="0" w:line="270" w:lineRule="atLeast"/>
        <w:jc w:val="both"/>
        <w:rPr>
          <w:bCs/>
        </w:rPr>
      </w:pPr>
      <w:r w:rsidRPr="0085228F">
        <w:rPr>
          <w:bCs/>
        </w:rPr>
        <w:t xml:space="preserve">There </w:t>
      </w:r>
      <w:r w:rsidR="0085228F" w:rsidRPr="0085228F">
        <w:rPr>
          <w:bCs/>
        </w:rPr>
        <w:t xml:space="preserve">were 3 </w:t>
      </w:r>
      <w:r w:rsidRPr="0085228F">
        <w:rPr>
          <w:bCs/>
        </w:rPr>
        <w:t xml:space="preserve">Cashback </w:t>
      </w:r>
      <w:r w:rsidR="00B47113" w:rsidRPr="0085228F">
        <w:rPr>
          <w:bCs/>
        </w:rPr>
        <w:t xml:space="preserve">payments per 10,000 households in England and Wales. The region with the highest number of Cashbacks paid per number of households was the North West with </w:t>
      </w:r>
      <w:r w:rsidR="00B47113" w:rsidRPr="0085228F">
        <w:rPr>
          <w:bCs/>
        </w:rPr>
        <w:lastRenderedPageBreak/>
        <w:t>5.3 (accounting for around a</w:t>
      </w:r>
      <w:r w:rsidR="00C877B7" w:rsidRPr="0085228F">
        <w:rPr>
          <w:bCs/>
        </w:rPr>
        <w:t xml:space="preserve"> quarter of</w:t>
      </w:r>
      <w:r w:rsidR="00B47113" w:rsidRPr="0085228F">
        <w:rPr>
          <w:bCs/>
        </w:rPr>
        <w:t xml:space="preserve"> all</w:t>
      </w:r>
      <w:r w:rsidR="00C877B7" w:rsidRPr="0085228F">
        <w:rPr>
          <w:bCs/>
        </w:rPr>
        <w:t xml:space="preserve"> cashback vouchers paid</w:t>
      </w:r>
      <w:r w:rsidR="00B47113" w:rsidRPr="0085228F">
        <w:rPr>
          <w:bCs/>
        </w:rPr>
        <w:t xml:space="preserve">, </w:t>
      </w:r>
      <w:r w:rsidR="00C877B7" w:rsidRPr="0085228F">
        <w:rPr>
          <w:bCs/>
        </w:rPr>
        <w:t>see Table 1</w:t>
      </w:r>
      <w:r w:rsidR="00AC2A11" w:rsidRPr="0085228F">
        <w:rPr>
          <w:bCs/>
        </w:rPr>
        <w:t>.9</w:t>
      </w:r>
      <w:r w:rsidR="00C877B7" w:rsidRPr="0085228F">
        <w:rPr>
          <w:bCs/>
        </w:rPr>
        <w:t xml:space="preserve">). </w:t>
      </w:r>
      <w:r w:rsidR="00B47113" w:rsidRPr="0085228F">
        <w:rPr>
          <w:bCs/>
        </w:rPr>
        <w:t>There were 2.9 Cashback payments per 10,000 households in Wales.</w:t>
      </w:r>
      <w:bookmarkStart w:id="37" w:name="ECOmeasures"/>
      <w:bookmarkEnd w:id="37"/>
    </w:p>
    <w:p w:rsidR="00C877B7" w:rsidRDefault="00C877B7" w:rsidP="00FD5072">
      <w:pPr>
        <w:pStyle w:val="Heading2"/>
      </w:pPr>
      <w:bookmarkStart w:id="38" w:name="_Toc375046006"/>
      <w:r w:rsidRPr="00584533">
        <w:t xml:space="preserve">Measures installed </w:t>
      </w:r>
      <w:r>
        <w:t>under ECO,</w:t>
      </w:r>
      <w:r w:rsidRPr="008C4651">
        <w:t xml:space="preserve"> </w:t>
      </w:r>
      <w:r>
        <w:t>up to 30</w:t>
      </w:r>
      <w:r w:rsidRPr="008C4651">
        <w:rPr>
          <w:vertAlign w:val="superscript"/>
        </w:rPr>
        <w:t>th</w:t>
      </w:r>
      <w:r w:rsidRPr="0062060D">
        <w:t xml:space="preserve"> </w:t>
      </w:r>
      <w:r w:rsidR="00FD5072">
        <w:t>September</w:t>
      </w:r>
      <w:r w:rsidRPr="0062060D">
        <w:t xml:space="preserve"> 2013</w:t>
      </w:r>
      <w:bookmarkEnd w:id="38"/>
    </w:p>
    <w:p w:rsidR="008F4B52" w:rsidRDefault="008F4B52" w:rsidP="00385EFB">
      <w:pPr>
        <w:spacing w:before="0" w:after="0"/>
        <w:rPr>
          <w:b/>
          <w:bCs/>
        </w:rPr>
      </w:pPr>
    </w:p>
    <w:p w:rsidR="008F4B52" w:rsidRDefault="008F4B52" w:rsidP="008F4B52">
      <w:pPr>
        <w:spacing w:before="0" w:after="0" w:line="270" w:lineRule="atLeast"/>
        <w:jc w:val="both"/>
        <w:rPr>
          <w:color w:val="000000"/>
          <w:szCs w:val="24"/>
        </w:rPr>
      </w:pPr>
      <w:r w:rsidRPr="008A5812">
        <w:rPr>
          <w:szCs w:val="24"/>
        </w:rPr>
        <w:t xml:space="preserve">The </w:t>
      </w:r>
      <w:hyperlink r:id="rId32" w:history="1">
        <w:r w:rsidRPr="00B47286">
          <w:rPr>
            <w:rStyle w:val="Hyperlink"/>
            <w:rFonts w:ascii="Arial" w:hAnsi="Arial"/>
            <w:szCs w:val="24"/>
          </w:rPr>
          <w:t>Energy Company Obligation</w:t>
        </w:r>
      </w:hyperlink>
      <w:r w:rsidRPr="008A5812">
        <w:rPr>
          <w:szCs w:val="24"/>
        </w:rPr>
        <w:t xml:space="preserve"> (ECO) </w:t>
      </w:r>
      <w:r w:rsidR="00B47286">
        <w:rPr>
          <w:lang w:val="en"/>
        </w:rPr>
        <w:t>was introduced in</w:t>
      </w:r>
      <w:r w:rsidR="00970EA9">
        <w:rPr>
          <w:lang w:val="en"/>
        </w:rPr>
        <w:t xml:space="preserve"> January 2013 to reduce</w:t>
      </w:r>
      <w:r w:rsidR="00B47286">
        <w:rPr>
          <w:lang w:val="en"/>
        </w:rPr>
        <w:t xml:space="preserve"> energy consumption and support people living in fuel poverty. Information</w:t>
      </w:r>
      <w:r w:rsidR="00B47286">
        <w:rPr>
          <w:color w:val="000000"/>
          <w:szCs w:val="24"/>
        </w:rPr>
        <w:t xml:space="preserve"> </w:t>
      </w:r>
      <w:r w:rsidRPr="008A5812">
        <w:rPr>
          <w:color w:val="000000"/>
          <w:szCs w:val="24"/>
        </w:rPr>
        <w:t xml:space="preserve">on measures installed under ECO is at a lag of a month compared to other figures presented in this release due to the time taken for information to be reported and verified. Hence, this release includes measures installed under ECO until the end of </w:t>
      </w:r>
      <w:r>
        <w:rPr>
          <w:color w:val="000000"/>
          <w:szCs w:val="24"/>
        </w:rPr>
        <w:t>September</w:t>
      </w:r>
      <w:r w:rsidRPr="008A5812">
        <w:rPr>
          <w:color w:val="000000"/>
          <w:szCs w:val="24"/>
        </w:rPr>
        <w:t xml:space="preserve"> 2013.</w:t>
      </w:r>
    </w:p>
    <w:p w:rsidR="008F4B52" w:rsidRPr="00300F50" w:rsidRDefault="008F4B52" w:rsidP="008F4B52">
      <w:pPr>
        <w:spacing w:before="0" w:after="0" w:line="270" w:lineRule="atLeast"/>
        <w:jc w:val="both"/>
        <w:rPr>
          <w:color w:val="000000"/>
          <w:szCs w:val="24"/>
        </w:rPr>
      </w:pPr>
    </w:p>
    <w:p w:rsidR="008F4B52" w:rsidRDefault="008F4B52" w:rsidP="008F4B52">
      <w:pPr>
        <w:spacing w:before="0" w:after="0" w:line="270" w:lineRule="atLeast"/>
        <w:jc w:val="both"/>
        <w:rPr>
          <w:szCs w:val="24"/>
        </w:rPr>
      </w:pPr>
      <w:r w:rsidRPr="008A5812">
        <w:rPr>
          <w:color w:val="000000"/>
          <w:szCs w:val="24"/>
        </w:rPr>
        <w:t>All measures installed under ECO are provisional until the end of the obligation period as checks are undertaken. Initial validation checks are undertaken by Ofgem in the month following receipt of data and longer-term audits are done over the obligation period (e.g. to verify the installation of the measures and the quality of installations and to ensure compliance with the ECO guidelines). Users should note that, in order to produce the most timely data possible, estimates in th</w:t>
      </w:r>
      <w:r w:rsidRPr="008A5812">
        <w:rPr>
          <w:szCs w:val="24"/>
        </w:rPr>
        <w:t xml:space="preserve">is </w:t>
      </w:r>
      <w:r w:rsidRPr="008A5812">
        <w:rPr>
          <w:color w:val="000000"/>
          <w:szCs w:val="24"/>
        </w:rPr>
        <w:t xml:space="preserve">report include a month of data that </w:t>
      </w:r>
      <w:r w:rsidRPr="008A5812">
        <w:rPr>
          <w:szCs w:val="24"/>
        </w:rPr>
        <w:t>has</w:t>
      </w:r>
      <w:r w:rsidRPr="008A5812">
        <w:rPr>
          <w:color w:val="000000"/>
          <w:szCs w:val="24"/>
        </w:rPr>
        <w:t xml:space="preserve"> yet to be through initial Ofgem validation checks</w:t>
      </w:r>
      <w:r w:rsidRPr="008A5812">
        <w:rPr>
          <w:szCs w:val="24"/>
        </w:rPr>
        <w:t xml:space="preserve"> (i.e. as reported by energy suppliers to Ofgem)</w:t>
      </w:r>
      <w:r w:rsidRPr="008A5812">
        <w:rPr>
          <w:color w:val="000000"/>
          <w:szCs w:val="24"/>
        </w:rPr>
        <w:t xml:space="preserve">. </w:t>
      </w:r>
      <w:r w:rsidRPr="008A5812">
        <w:rPr>
          <w:szCs w:val="24"/>
        </w:rPr>
        <w:t>Revisions to data are routinely included in releases and will be explained if they are large.</w:t>
      </w:r>
    </w:p>
    <w:p w:rsidR="008F4B52" w:rsidRDefault="008F4B52" w:rsidP="008F4B52">
      <w:pPr>
        <w:spacing w:before="0" w:after="0" w:line="270" w:lineRule="atLeast"/>
        <w:jc w:val="both"/>
      </w:pPr>
    </w:p>
    <w:p w:rsidR="00C877B7" w:rsidRPr="00AF4E3A" w:rsidRDefault="00C877B7" w:rsidP="008F4B52">
      <w:pPr>
        <w:spacing w:before="0" w:after="0" w:line="270" w:lineRule="atLeast"/>
        <w:jc w:val="both"/>
        <w:rPr>
          <w:u w:val="single"/>
        </w:rPr>
      </w:pPr>
      <w:r>
        <w:rPr>
          <w:u w:val="single"/>
        </w:rPr>
        <w:t>Geographic location of provisional measures installed under ECO, up to 30</w:t>
      </w:r>
      <w:r w:rsidRPr="006F3A88">
        <w:rPr>
          <w:u w:val="single"/>
          <w:vertAlign w:val="superscript"/>
        </w:rPr>
        <w:t>th</w:t>
      </w:r>
      <w:r>
        <w:rPr>
          <w:u w:val="single"/>
        </w:rPr>
        <w:t xml:space="preserve"> </w:t>
      </w:r>
      <w:r w:rsidR="00FD5072">
        <w:rPr>
          <w:u w:val="single"/>
        </w:rPr>
        <w:t>September</w:t>
      </w:r>
      <w:r w:rsidR="00AC2A11">
        <w:rPr>
          <w:u w:val="single"/>
        </w:rPr>
        <w:t xml:space="preserve"> (Tables </w:t>
      </w:r>
      <w:r w:rsidR="008C3541">
        <w:rPr>
          <w:u w:val="single"/>
        </w:rPr>
        <w:t>1.</w:t>
      </w:r>
      <w:r w:rsidR="00AC2A11">
        <w:rPr>
          <w:u w:val="single"/>
        </w:rPr>
        <w:t>10</w:t>
      </w:r>
      <w:r>
        <w:rPr>
          <w:u w:val="single"/>
        </w:rPr>
        <w:t xml:space="preserve">, </w:t>
      </w:r>
      <w:r w:rsidR="008C3541">
        <w:rPr>
          <w:u w:val="single"/>
        </w:rPr>
        <w:t>1.</w:t>
      </w:r>
      <w:r w:rsidR="00AC2A11">
        <w:rPr>
          <w:u w:val="single"/>
        </w:rPr>
        <w:t>10</w:t>
      </w:r>
      <w:r>
        <w:rPr>
          <w:u w:val="single"/>
        </w:rPr>
        <w:t xml:space="preserve">a and </w:t>
      </w:r>
      <w:r w:rsidR="008C3541">
        <w:rPr>
          <w:u w:val="single"/>
        </w:rPr>
        <w:t>1.</w:t>
      </w:r>
      <w:r w:rsidR="00AC2A11">
        <w:rPr>
          <w:u w:val="single"/>
        </w:rPr>
        <w:t>10</w:t>
      </w:r>
      <w:r>
        <w:rPr>
          <w:u w:val="single"/>
        </w:rPr>
        <w:t xml:space="preserve">b, Map </w:t>
      </w:r>
      <w:r w:rsidR="00170DD3">
        <w:rPr>
          <w:u w:val="single"/>
        </w:rPr>
        <w:t>1.</w:t>
      </w:r>
      <w:r>
        <w:rPr>
          <w:u w:val="single"/>
        </w:rPr>
        <w:t>2)</w:t>
      </w:r>
    </w:p>
    <w:p w:rsidR="008F4B52" w:rsidRDefault="008F4B52" w:rsidP="008F4B52">
      <w:pPr>
        <w:spacing w:before="0" w:after="0" w:line="270" w:lineRule="atLeast"/>
        <w:jc w:val="both"/>
        <w:rPr>
          <w:bCs/>
        </w:rPr>
      </w:pPr>
    </w:p>
    <w:p w:rsidR="00C877B7" w:rsidRDefault="006E384C" w:rsidP="008F4B52">
      <w:pPr>
        <w:spacing w:before="0" w:after="0" w:line="270" w:lineRule="atLeast"/>
        <w:jc w:val="both"/>
        <w:rPr>
          <w:bCs/>
        </w:rPr>
      </w:pPr>
      <w:r>
        <w:rPr>
          <w:bCs/>
        </w:rPr>
        <w:t>Tables 1.10, 1.10a and 1.10</w:t>
      </w:r>
      <w:r w:rsidR="00C877B7">
        <w:rPr>
          <w:bCs/>
        </w:rPr>
        <w:t>b present the number of provisional measures installed under ECO, broken down by obl</w:t>
      </w:r>
      <w:r>
        <w:rPr>
          <w:bCs/>
        </w:rPr>
        <w:t>igation, in each region (Table 1.10), LA (Table 1.10</w:t>
      </w:r>
      <w:r w:rsidR="00C877B7">
        <w:rPr>
          <w:bCs/>
        </w:rPr>
        <w:t>a) and Par</w:t>
      </w:r>
      <w:r>
        <w:rPr>
          <w:bCs/>
        </w:rPr>
        <w:t>liamentary Constituency (Table 1.10</w:t>
      </w:r>
      <w:r w:rsidR="00C877B7">
        <w:rPr>
          <w:bCs/>
        </w:rPr>
        <w:t>b) up to 30</w:t>
      </w:r>
      <w:r w:rsidR="00C877B7" w:rsidRPr="00076822">
        <w:rPr>
          <w:bCs/>
          <w:vertAlign w:val="superscript"/>
        </w:rPr>
        <w:t>th</w:t>
      </w:r>
      <w:r w:rsidR="00C877B7">
        <w:rPr>
          <w:bCs/>
        </w:rPr>
        <w:t xml:space="preserve"> </w:t>
      </w:r>
      <w:r w:rsidR="00FD5072">
        <w:rPr>
          <w:bCs/>
        </w:rPr>
        <w:t>September</w:t>
      </w:r>
      <w:r w:rsidR="00C877B7">
        <w:rPr>
          <w:bCs/>
        </w:rPr>
        <w:t>.</w:t>
      </w:r>
    </w:p>
    <w:p w:rsidR="00C877B7" w:rsidRDefault="00C877B7" w:rsidP="008F4B52">
      <w:pPr>
        <w:spacing w:before="0" w:after="0" w:line="240" w:lineRule="auto"/>
        <w:contextualSpacing/>
        <w:jc w:val="both"/>
        <w:rPr>
          <w:b/>
          <w:bCs/>
        </w:rPr>
      </w:pPr>
    </w:p>
    <w:p w:rsidR="00423B95" w:rsidRDefault="00FD5072" w:rsidP="008F4B52">
      <w:pPr>
        <w:spacing w:before="0" w:after="0" w:line="270" w:lineRule="atLeast"/>
        <w:jc w:val="both"/>
      </w:pPr>
      <w:r w:rsidRPr="00FD5072">
        <w:t xml:space="preserve">Around a fifth (20 per cent) of ECO measures were in the North West (60,402), the highest in any region. </w:t>
      </w:r>
      <w:r>
        <w:rPr>
          <w:bCs/>
        </w:rPr>
        <w:t>The regions with the next highest proportions were the West Midlands (13 per cent) and Yorkshire and the Humber (10 per cent)</w:t>
      </w:r>
      <w:r>
        <w:t xml:space="preserve"> </w:t>
      </w:r>
      <w:r w:rsidRPr="00FD5072">
        <w:t>11 per cent of ECO measures were installed in Scotland (32,470) and six per cent were in Wales (17,180).</w:t>
      </w:r>
      <w:r w:rsidR="00891689">
        <w:t xml:space="preserve"> </w:t>
      </w:r>
    </w:p>
    <w:p w:rsidR="00423B95" w:rsidRDefault="00423B95" w:rsidP="008F4B52">
      <w:pPr>
        <w:spacing w:before="0" w:after="0" w:line="270" w:lineRule="atLeast"/>
        <w:jc w:val="both"/>
      </w:pPr>
    </w:p>
    <w:p w:rsidR="00423B95" w:rsidRDefault="00891689" w:rsidP="008F4B52">
      <w:pPr>
        <w:spacing w:before="0" w:after="0" w:line="270" w:lineRule="atLeast"/>
        <w:jc w:val="both"/>
      </w:pPr>
      <w:r>
        <w:t xml:space="preserve">However, </w:t>
      </w:r>
      <w:r w:rsidR="00812F13">
        <w:t xml:space="preserve">when comparing areas, </w:t>
      </w:r>
      <w:r>
        <w:t>it is</w:t>
      </w:r>
      <w:r w:rsidR="00812F13">
        <w:t xml:space="preserve"> more representative</w:t>
      </w:r>
      <w:r>
        <w:t xml:space="preserve"> </w:t>
      </w:r>
      <w:r w:rsidR="00812F13">
        <w:t xml:space="preserve">to use </w:t>
      </w:r>
      <w:r>
        <w:t xml:space="preserve">the number of </w:t>
      </w:r>
      <w:r w:rsidRPr="00891689">
        <w:t>ECO measures per 1,000 households</w:t>
      </w:r>
      <w:r>
        <w:t xml:space="preserve">. In Great Britain </w:t>
      </w:r>
      <w:r w:rsidR="00423B95">
        <w:t xml:space="preserve">there were 12 </w:t>
      </w:r>
      <w:r w:rsidR="00423B95" w:rsidRPr="00423B95">
        <w:t>ECO measures</w:t>
      </w:r>
      <w:r w:rsidR="00423B95">
        <w:t xml:space="preserve"> installed</w:t>
      </w:r>
      <w:r w:rsidR="00423B95" w:rsidRPr="00423B95">
        <w:t xml:space="preserve"> per 1,000 households</w:t>
      </w:r>
      <w:r w:rsidR="00423B95">
        <w:t xml:space="preserve"> or</w:t>
      </w:r>
      <w:r w:rsidR="00812F13">
        <w:t>,</w:t>
      </w:r>
      <w:r w:rsidR="00423B95">
        <w:t xml:space="preserve"> in other words</w:t>
      </w:r>
      <w:r w:rsidR="00812F13">
        <w:t>,</w:t>
      </w:r>
      <w:r w:rsidR="00423B95">
        <w:t xml:space="preserve"> around 1% of all households in Great Britain had a measure installed under ECO funding. The North East had the highest amount with 21 </w:t>
      </w:r>
      <w:r w:rsidR="00423B95" w:rsidRPr="00423B95">
        <w:t>ECO measures per 1,000 households</w:t>
      </w:r>
      <w:r w:rsidR="00423B95">
        <w:t xml:space="preserve">, followed by the North West with 20. In Scotland there were around 14 </w:t>
      </w:r>
      <w:r w:rsidR="00423B95" w:rsidRPr="00423B95">
        <w:t xml:space="preserve">ECO measures per 1,000 </w:t>
      </w:r>
      <w:r w:rsidR="00A6442F" w:rsidRPr="00423B95">
        <w:t>households</w:t>
      </w:r>
      <w:r w:rsidR="00423B95">
        <w:t xml:space="preserve"> and 13 </w:t>
      </w:r>
      <w:r w:rsidR="00812F13">
        <w:t xml:space="preserve">per 1,000 households </w:t>
      </w:r>
      <w:r w:rsidR="00423B95">
        <w:t>in Wales.</w:t>
      </w:r>
    </w:p>
    <w:p w:rsidR="00FD5072" w:rsidRDefault="00FD5072" w:rsidP="008F4B52">
      <w:pPr>
        <w:spacing w:before="0" w:after="0" w:line="270" w:lineRule="atLeast"/>
        <w:jc w:val="both"/>
      </w:pPr>
    </w:p>
    <w:p w:rsidR="00CC11E0" w:rsidRDefault="00FD5072" w:rsidP="008F4B52">
      <w:pPr>
        <w:spacing w:before="0" w:after="0" w:line="270" w:lineRule="atLeast"/>
        <w:jc w:val="both"/>
      </w:pPr>
      <w:r>
        <w:t xml:space="preserve">Map </w:t>
      </w:r>
      <w:r w:rsidR="00170DD3">
        <w:t>1.</w:t>
      </w:r>
      <w:r>
        <w:t xml:space="preserve">2 </w:t>
      </w:r>
      <w:r w:rsidR="00CC11E0">
        <w:t>shows the p</w:t>
      </w:r>
      <w:r w:rsidR="00CC11E0" w:rsidRPr="00CC11E0">
        <w:t>rovisional number of ECO measures installed by Local Authority</w:t>
      </w:r>
      <w:r w:rsidR="00CC11E0">
        <w:t xml:space="preserve"> per 1,000 households. This shows the concentration of ECO measures in the North West and North East of England as well as South Wales and parts of Scotland. </w:t>
      </w:r>
    </w:p>
    <w:p w:rsidR="00554BE5" w:rsidRPr="002C6612" w:rsidRDefault="00423B95" w:rsidP="00554BE5">
      <w:pPr>
        <w:pStyle w:val="Caption"/>
        <w:jc w:val="both"/>
        <w:rPr>
          <w:b w:val="0"/>
          <w:sz w:val="24"/>
          <w:szCs w:val="24"/>
        </w:rPr>
      </w:pPr>
      <w:r>
        <w:rPr>
          <w:b w:val="0"/>
          <w:sz w:val="24"/>
          <w:szCs w:val="24"/>
        </w:rPr>
        <w:br w:type="page"/>
      </w:r>
      <w:bookmarkStart w:id="39" w:name="_Toc375046130"/>
      <w:r w:rsidR="0085228F">
        <w:rPr>
          <w:b w:val="0"/>
          <w:sz w:val="24"/>
          <w:szCs w:val="24"/>
        </w:rPr>
        <w:lastRenderedPageBreak/>
        <w:t xml:space="preserve">Map </w:t>
      </w:r>
      <w:r w:rsidR="00170DD3">
        <w:rPr>
          <w:b w:val="0"/>
          <w:sz w:val="24"/>
          <w:szCs w:val="24"/>
        </w:rPr>
        <w:t>1.</w:t>
      </w:r>
      <w:r w:rsidR="00554BE5" w:rsidRPr="002C6612">
        <w:rPr>
          <w:b w:val="0"/>
          <w:sz w:val="24"/>
          <w:szCs w:val="24"/>
        </w:rPr>
        <w:fldChar w:fldCharType="begin"/>
      </w:r>
      <w:r w:rsidR="00554BE5" w:rsidRPr="002C6612">
        <w:rPr>
          <w:b w:val="0"/>
          <w:sz w:val="24"/>
          <w:szCs w:val="24"/>
        </w:rPr>
        <w:instrText xml:space="preserve"> SEQ Map \* ARABIC </w:instrText>
      </w:r>
      <w:r w:rsidR="00554BE5" w:rsidRPr="002C6612">
        <w:rPr>
          <w:b w:val="0"/>
          <w:sz w:val="24"/>
          <w:szCs w:val="24"/>
        </w:rPr>
        <w:fldChar w:fldCharType="separate"/>
      </w:r>
      <w:r w:rsidR="001E226F">
        <w:rPr>
          <w:b w:val="0"/>
          <w:noProof/>
          <w:sz w:val="24"/>
          <w:szCs w:val="24"/>
        </w:rPr>
        <w:t>2</w:t>
      </w:r>
      <w:r w:rsidR="00554BE5" w:rsidRPr="002C6612">
        <w:rPr>
          <w:b w:val="0"/>
          <w:sz w:val="24"/>
          <w:szCs w:val="24"/>
        </w:rPr>
        <w:fldChar w:fldCharType="end"/>
      </w:r>
      <w:r w:rsidR="00554BE5">
        <w:rPr>
          <w:b w:val="0"/>
          <w:sz w:val="24"/>
          <w:szCs w:val="24"/>
        </w:rPr>
        <w:t xml:space="preserve"> </w:t>
      </w:r>
      <w:r w:rsidR="00554BE5" w:rsidRPr="002C6612">
        <w:rPr>
          <w:b w:val="0"/>
          <w:sz w:val="24"/>
          <w:szCs w:val="24"/>
        </w:rPr>
        <w:t xml:space="preserve">– </w:t>
      </w:r>
      <w:r w:rsidR="00554BE5" w:rsidRPr="00554BE5">
        <w:rPr>
          <w:b w:val="0"/>
          <w:sz w:val="24"/>
          <w:szCs w:val="24"/>
        </w:rPr>
        <w:t>Provisional number of ECO measures installed by Local Authority per 1,000 households</w:t>
      </w:r>
      <w:bookmarkEnd w:id="39"/>
    </w:p>
    <w:p w:rsidR="00C877B7" w:rsidRPr="00CC11E0" w:rsidRDefault="0012033E" w:rsidP="0035303E">
      <w:pPr>
        <w:spacing w:before="0" w:after="0" w:line="270" w:lineRule="atLeast"/>
        <w:jc w:val="center"/>
      </w:pPr>
      <w:bookmarkStart w:id="40" w:name="TheSupplyChain"/>
      <w:bookmarkStart w:id="41" w:name="ECObrokerage"/>
      <w:bookmarkStart w:id="42" w:name="Map2"/>
      <w:bookmarkStart w:id="43" w:name="Map3"/>
      <w:bookmarkEnd w:id="40"/>
      <w:bookmarkEnd w:id="41"/>
      <w:r>
        <w:pict>
          <v:shape id="_x0000_i1029" type="#_x0000_t75" style="width:486pt;height:688.5pt">
            <v:imagedata r:id="rId33" o:title="ECO_Q3_by_household(2)"/>
          </v:shape>
        </w:pict>
      </w:r>
    </w:p>
    <w:p w:rsidR="00C877B7" w:rsidRDefault="00C877B7" w:rsidP="00CC11E0">
      <w:pPr>
        <w:spacing w:before="0" w:after="0" w:line="270" w:lineRule="atLeast"/>
        <w:jc w:val="both"/>
      </w:pPr>
      <w:r w:rsidRPr="003D1715">
        <w:rPr>
          <w:bCs/>
        </w:rPr>
        <w:lastRenderedPageBreak/>
        <w:t>Up to 30</w:t>
      </w:r>
      <w:r w:rsidRPr="003D1715">
        <w:rPr>
          <w:bCs/>
          <w:vertAlign w:val="superscript"/>
        </w:rPr>
        <w:t>th</w:t>
      </w:r>
      <w:r w:rsidRPr="003D1715">
        <w:rPr>
          <w:bCs/>
        </w:rPr>
        <w:t xml:space="preserve"> </w:t>
      </w:r>
      <w:r w:rsidR="00CC11E0">
        <w:rPr>
          <w:bCs/>
        </w:rPr>
        <w:t>September</w:t>
      </w:r>
      <w:r w:rsidRPr="003D1715">
        <w:rPr>
          <w:bCs/>
        </w:rPr>
        <w:t xml:space="preserve"> 2013, </w:t>
      </w:r>
      <w:r w:rsidR="00CC11E0">
        <w:rPr>
          <w:bCs/>
        </w:rPr>
        <w:t>266</w:t>
      </w:r>
      <w:r w:rsidRPr="003D1715">
        <w:rPr>
          <w:bCs/>
        </w:rPr>
        <w:t>,</w:t>
      </w:r>
      <w:r w:rsidR="00CC11E0">
        <w:rPr>
          <w:bCs/>
        </w:rPr>
        <w:t>016</w:t>
      </w:r>
      <w:r w:rsidRPr="003D1715">
        <w:rPr>
          <w:bCs/>
        </w:rPr>
        <w:t xml:space="preserve"> unique properties</w:t>
      </w:r>
      <w:r w:rsidRPr="003D1715">
        <w:rPr>
          <w:rStyle w:val="FootnoteReference"/>
          <w:bCs/>
        </w:rPr>
        <w:footnoteReference w:id="10"/>
      </w:r>
      <w:r w:rsidRPr="003D1715">
        <w:rPr>
          <w:bCs/>
        </w:rPr>
        <w:t xml:space="preserve"> had benefitted from having at least one ECO measure installed</w:t>
      </w:r>
      <w:r w:rsidR="00BB31B3">
        <w:rPr>
          <w:bCs/>
        </w:rPr>
        <w:t xml:space="preserve"> (Table 1.10</w:t>
      </w:r>
      <w:r>
        <w:rPr>
          <w:bCs/>
        </w:rPr>
        <w:t>)</w:t>
      </w:r>
      <w:r w:rsidRPr="003D1715">
        <w:rPr>
          <w:bCs/>
        </w:rPr>
        <w:t xml:space="preserve">. By ECO obligation, </w:t>
      </w:r>
      <w:r w:rsidR="003839B4">
        <w:rPr>
          <w:bCs/>
        </w:rPr>
        <w:t>114</w:t>
      </w:r>
      <w:r w:rsidRPr="003D1715">
        <w:rPr>
          <w:bCs/>
        </w:rPr>
        <w:t>,</w:t>
      </w:r>
      <w:r w:rsidR="003839B4">
        <w:rPr>
          <w:bCs/>
        </w:rPr>
        <w:t>155</w:t>
      </w:r>
      <w:r w:rsidRPr="003D1715">
        <w:rPr>
          <w:bCs/>
        </w:rPr>
        <w:t xml:space="preserve"> properties ha</w:t>
      </w:r>
      <w:bookmarkStart w:id="44" w:name="Map5"/>
      <w:bookmarkEnd w:id="44"/>
      <w:r>
        <w:rPr>
          <w:bCs/>
        </w:rPr>
        <w:t xml:space="preserve">d Affordable </w:t>
      </w:r>
      <w:r w:rsidRPr="003D1715">
        <w:rPr>
          <w:bCs/>
        </w:rPr>
        <w:t xml:space="preserve">Warmth (HHCRO) measures installed, </w:t>
      </w:r>
      <w:r w:rsidR="003839B4">
        <w:rPr>
          <w:bCs/>
        </w:rPr>
        <w:t>83</w:t>
      </w:r>
      <w:r w:rsidRPr="003D1715">
        <w:rPr>
          <w:bCs/>
        </w:rPr>
        <w:t>,</w:t>
      </w:r>
      <w:r w:rsidR="003839B4">
        <w:rPr>
          <w:bCs/>
        </w:rPr>
        <w:t>181</w:t>
      </w:r>
      <w:r w:rsidRPr="003D1715">
        <w:rPr>
          <w:bCs/>
        </w:rPr>
        <w:t xml:space="preserve"> properties had Carbon Saving Community measures installed, and </w:t>
      </w:r>
      <w:r w:rsidR="003839B4">
        <w:rPr>
          <w:bCs/>
        </w:rPr>
        <w:t xml:space="preserve">69,685 </w:t>
      </w:r>
      <w:r w:rsidRPr="003D1715">
        <w:rPr>
          <w:bCs/>
        </w:rPr>
        <w:t>unique properties had Carbon Savings Target measures installed.</w:t>
      </w:r>
      <w:r w:rsidRPr="003D1715">
        <w:t xml:space="preserve"> </w:t>
      </w:r>
    </w:p>
    <w:p w:rsidR="00CC11E0" w:rsidRPr="003D1715" w:rsidRDefault="00CC11E0" w:rsidP="00CC11E0">
      <w:pPr>
        <w:spacing w:before="0" w:after="0" w:line="270" w:lineRule="atLeast"/>
        <w:jc w:val="both"/>
        <w:rPr>
          <w:bCs/>
        </w:rPr>
      </w:pPr>
    </w:p>
    <w:p w:rsidR="00C877B7" w:rsidRDefault="00C877B7" w:rsidP="007C5903">
      <w:pPr>
        <w:spacing w:before="0" w:after="0" w:line="270" w:lineRule="atLeast"/>
        <w:jc w:val="both"/>
        <w:rPr>
          <w:b/>
          <w:bCs/>
          <w:u w:val="single"/>
        </w:rPr>
      </w:pPr>
      <w:r>
        <w:rPr>
          <w:bCs/>
          <w:u w:val="single"/>
        </w:rPr>
        <w:t>Fuel type of property</w:t>
      </w:r>
      <w:r w:rsidRPr="003D1715">
        <w:rPr>
          <w:bCs/>
          <w:u w:val="single"/>
        </w:rPr>
        <w:t xml:space="preserve"> of provisional measures installed under </w:t>
      </w:r>
      <w:r w:rsidRPr="0007126A">
        <w:rPr>
          <w:bCs/>
          <w:u w:val="single"/>
        </w:rPr>
        <w:t>ECO, up to 30</w:t>
      </w:r>
      <w:r w:rsidRPr="0007126A">
        <w:rPr>
          <w:bCs/>
          <w:u w:val="single"/>
          <w:vertAlign w:val="superscript"/>
        </w:rPr>
        <w:t>th</w:t>
      </w:r>
      <w:r w:rsidRPr="0007126A">
        <w:rPr>
          <w:bCs/>
          <w:u w:val="single"/>
        </w:rPr>
        <w:t xml:space="preserve"> </w:t>
      </w:r>
      <w:r w:rsidR="003839B4">
        <w:rPr>
          <w:bCs/>
          <w:u w:val="single"/>
        </w:rPr>
        <w:t xml:space="preserve">September </w:t>
      </w:r>
      <w:r w:rsidRPr="0007126A">
        <w:rPr>
          <w:bCs/>
          <w:u w:val="single"/>
        </w:rPr>
        <w:t xml:space="preserve">(Table </w:t>
      </w:r>
      <w:r w:rsidR="00BB31B3">
        <w:rPr>
          <w:bCs/>
          <w:u w:val="single"/>
        </w:rPr>
        <w:t>1.11</w:t>
      </w:r>
      <w:r w:rsidRPr="0007126A">
        <w:rPr>
          <w:bCs/>
          <w:u w:val="single"/>
        </w:rPr>
        <w:t>)</w:t>
      </w:r>
      <w:r w:rsidRPr="003D1715">
        <w:rPr>
          <w:b/>
          <w:bCs/>
          <w:u w:val="single"/>
        </w:rPr>
        <w:t xml:space="preserve"> </w:t>
      </w:r>
    </w:p>
    <w:p w:rsidR="00CC11E0" w:rsidRPr="003D1715" w:rsidRDefault="00CC11E0" w:rsidP="007C5903">
      <w:pPr>
        <w:spacing w:before="0" w:after="0" w:line="270" w:lineRule="atLeast"/>
        <w:jc w:val="both"/>
        <w:rPr>
          <w:b/>
          <w:bCs/>
          <w:u w:val="single"/>
        </w:rPr>
      </w:pPr>
    </w:p>
    <w:p w:rsidR="00C877B7" w:rsidRDefault="00C877B7" w:rsidP="007C5903">
      <w:pPr>
        <w:spacing w:before="0" w:after="0" w:line="270" w:lineRule="atLeast"/>
        <w:jc w:val="both"/>
        <w:rPr>
          <w:bCs/>
        </w:rPr>
      </w:pPr>
      <w:r>
        <w:rPr>
          <w:bCs/>
        </w:rPr>
        <w:t>Table 1</w:t>
      </w:r>
      <w:r w:rsidR="000F3D99">
        <w:rPr>
          <w:bCs/>
        </w:rPr>
        <w:t>.11</w:t>
      </w:r>
      <w:r w:rsidRPr="002C5B1F">
        <w:rPr>
          <w:bCs/>
        </w:rPr>
        <w:t xml:space="preserve"> presents the number of provisional measures installed under ECO up to 30</w:t>
      </w:r>
      <w:r w:rsidRPr="002C5B1F">
        <w:rPr>
          <w:bCs/>
          <w:vertAlign w:val="superscript"/>
        </w:rPr>
        <w:t>th</w:t>
      </w:r>
      <w:r w:rsidRPr="002C5B1F">
        <w:rPr>
          <w:bCs/>
        </w:rPr>
        <w:t xml:space="preserve"> </w:t>
      </w:r>
      <w:r w:rsidR="003839B4">
        <w:rPr>
          <w:bCs/>
        </w:rPr>
        <w:t>September</w:t>
      </w:r>
      <w:r w:rsidRPr="002C5B1F">
        <w:rPr>
          <w:bCs/>
        </w:rPr>
        <w:t xml:space="preserve">, broken down by </w:t>
      </w:r>
      <w:r>
        <w:rPr>
          <w:bCs/>
        </w:rPr>
        <w:t xml:space="preserve">the </w:t>
      </w:r>
      <w:r w:rsidRPr="002C5B1F">
        <w:rPr>
          <w:bCs/>
        </w:rPr>
        <w:t>main fuel type</w:t>
      </w:r>
      <w:r>
        <w:rPr>
          <w:bCs/>
        </w:rPr>
        <w:t xml:space="preserve"> of the property</w:t>
      </w:r>
      <w:r w:rsidRPr="002C5B1F">
        <w:rPr>
          <w:bCs/>
        </w:rPr>
        <w:t xml:space="preserve"> an</w:t>
      </w:r>
      <w:r w:rsidR="007C5903">
        <w:rPr>
          <w:bCs/>
        </w:rPr>
        <w:t>d obligation. This shows that 95</w:t>
      </w:r>
      <w:r w:rsidRPr="002C5B1F">
        <w:rPr>
          <w:bCs/>
        </w:rPr>
        <w:t xml:space="preserve"> per cent of all ECO measures were installed in gas-fu</w:t>
      </w:r>
      <w:r w:rsidR="007C5903">
        <w:rPr>
          <w:bCs/>
        </w:rPr>
        <w:t>elled properties, with 4</w:t>
      </w:r>
      <w:r w:rsidRPr="002C5B1F">
        <w:rPr>
          <w:bCs/>
        </w:rPr>
        <w:t xml:space="preserve"> per cent installed i</w:t>
      </w:r>
      <w:r>
        <w:rPr>
          <w:bCs/>
        </w:rPr>
        <w:t xml:space="preserve">n those fuelled by electricity and 1 per cent installed in those fuelled by other fuels. </w:t>
      </w:r>
      <w:r w:rsidRPr="002C5B1F">
        <w:rPr>
          <w:bCs/>
        </w:rPr>
        <w:t>This varies slightly by obligation, with more electricity-fuelled properties benefitting from measures installed under the Car</w:t>
      </w:r>
      <w:r>
        <w:rPr>
          <w:bCs/>
        </w:rPr>
        <w:t>b</w:t>
      </w:r>
      <w:r w:rsidRPr="002C5B1F">
        <w:rPr>
          <w:bCs/>
        </w:rPr>
        <w:t>on</w:t>
      </w:r>
      <w:r>
        <w:rPr>
          <w:bCs/>
        </w:rPr>
        <w:t xml:space="preserve"> Saving Obligation</w:t>
      </w:r>
      <w:r w:rsidR="007C5903">
        <w:rPr>
          <w:bCs/>
        </w:rPr>
        <w:t xml:space="preserve"> (10</w:t>
      </w:r>
      <w:r w:rsidRPr="002C5B1F">
        <w:rPr>
          <w:bCs/>
        </w:rPr>
        <w:t xml:space="preserve"> per cent) than under Affordable Warmth (1 per cent).</w:t>
      </w:r>
    </w:p>
    <w:p w:rsidR="00C877B7" w:rsidRDefault="00C877B7" w:rsidP="007C5903">
      <w:pPr>
        <w:spacing w:before="0" w:after="0" w:line="270" w:lineRule="atLeast"/>
        <w:jc w:val="both"/>
        <w:rPr>
          <w:bCs/>
        </w:rPr>
      </w:pPr>
    </w:p>
    <w:p w:rsidR="00C877B7" w:rsidRDefault="00C877B7" w:rsidP="007C5903">
      <w:pPr>
        <w:spacing w:before="0" w:after="0" w:line="270" w:lineRule="atLeast"/>
        <w:jc w:val="both"/>
      </w:pPr>
      <w:r>
        <w:t>Gas is the main source of heating in 84 per cent of households in England</w:t>
      </w:r>
      <w:r>
        <w:rPr>
          <w:rStyle w:val="FootnoteReference"/>
        </w:rPr>
        <w:footnoteReference w:id="11"/>
      </w:r>
      <w:r>
        <w:t>. This suggests that a higher proportion of measures installed under ECO were in gas-fuelled properties that would be expected from the housing stock.</w:t>
      </w:r>
    </w:p>
    <w:p w:rsidR="00BB31B3" w:rsidRDefault="00BB31B3" w:rsidP="007C5903">
      <w:pPr>
        <w:spacing w:before="0" w:after="0" w:line="270" w:lineRule="atLeast"/>
        <w:jc w:val="both"/>
      </w:pPr>
    </w:p>
    <w:p w:rsidR="00BB31B3" w:rsidRDefault="00BB31B3" w:rsidP="007C5903">
      <w:pPr>
        <w:spacing w:before="0" w:after="0" w:line="270" w:lineRule="atLeast"/>
        <w:jc w:val="both"/>
        <w:rPr>
          <w:bCs/>
        </w:rPr>
      </w:pPr>
      <w:r>
        <w:t xml:space="preserve">This release also includes </w:t>
      </w:r>
      <w:r w:rsidR="002201C1">
        <w:t xml:space="preserve">new </w:t>
      </w:r>
      <w:r>
        <w:t>information on the property type (1.11a) and tenure (1.11b) of measures installed under ECO. The percentage of ECO measures installed traded through brokerage (</w:t>
      </w:r>
      <w:r w:rsidR="002201C1">
        <w:t xml:space="preserve">1.11c) and the estimated bill savings for Affordable Warmth measures (1.11d) are also presented </w:t>
      </w:r>
      <w:r w:rsidR="00812F13">
        <w:t xml:space="preserve">for the first time </w:t>
      </w:r>
      <w:r w:rsidR="002201C1">
        <w:t xml:space="preserve">in </w:t>
      </w:r>
      <w:r w:rsidR="00531A97">
        <w:t xml:space="preserve">the </w:t>
      </w:r>
      <w:hyperlink w:anchor="GDECOTables" w:history="1">
        <w:r w:rsidR="00531A97" w:rsidRPr="005E7FA7">
          <w:rPr>
            <w:rStyle w:val="Hyperlink"/>
            <w:rFonts w:ascii="Arial" w:hAnsi="Arial"/>
          </w:rPr>
          <w:t>GD/ECO tables</w:t>
        </w:r>
      </w:hyperlink>
      <w:r w:rsidR="002201C1">
        <w:t>.</w:t>
      </w:r>
    </w:p>
    <w:p w:rsidR="00C877B7" w:rsidRDefault="00C877B7" w:rsidP="007C5903">
      <w:pPr>
        <w:spacing w:before="0" w:after="0" w:line="270" w:lineRule="atLeast"/>
        <w:jc w:val="both"/>
      </w:pPr>
    </w:p>
    <w:p w:rsidR="009840D5" w:rsidRDefault="002619A1" w:rsidP="002201C1">
      <w:pPr>
        <w:pStyle w:val="Heading2"/>
        <w:spacing w:after="0" w:line="240" w:lineRule="auto"/>
      </w:pPr>
      <w:bookmarkStart w:id="45" w:name="_Toc375046007"/>
      <w:r>
        <w:t>ECO delivery c</w:t>
      </w:r>
      <w:r w:rsidR="00AD44B6">
        <w:t>osts</w:t>
      </w:r>
      <w:bookmarkEnd w:id="45"/>
    </w:p>
    <w:p w:rsidR="00AD44B6" w:rsidRPr="00AD44B6" w:rsidRDefault="00AD44B6" w:rsidP="00AD44B6">
      <w:pPr>
        <w:spacing w:before="0" w:after="0"/>
      </w:pPr>
    </w:p>
    <w:p w:rsidR="002619A1" w:rsidRPr="00CA3DC6" w:rsidRDefault="00AD44B6" w:rsidP="002619A1">
      <w:pPr>
        <w:spacing w:before="0" w:after="0"/>
        <w:jc w:val="both"/>
        <w:rPr>
          <w:rStyle w:val="Hyperlink"/>
          <w:u w:val="none"/>
        </w:rPr>
      </w:pPr>
      <w:r>
        <w:t xml:space="preserve">DECC </w:t>
      </w:r>
      <w:r w:rsidRPr="0079196D">
        <w:t>r</w:t>
      </w:r>
      <w:r>
        <w:t>eceives monthly</w:t>
      </w:r>
      <w:r w:rsidRPr="0079196D">
        <w:t xml:space="preserve"> summary information from</w:t>
      </w:r>
      <w:r>
        <w:t xml:space="preserve"> the seven obligated</w:t>
      </w:r>
      <w:r w:rsidRPr="0079196D">
        <w:t xml:space="preserve"> </w:t>
      </w:r>
      <w:r>
        <w:t xml:space="preserve">energy </w:t>
      </w:r>
      <w:r w:rsidRPr="0079196D">
        <w:t>supp</w:t>
      </w:r>
      <w:r>
        <w:t>liers on their costs associated with delivering ECO</w:t>
      </w:r>
      <w:r w:rsidR="004E035F">
        <w:t>. It is important to note that these</w:t>
      </w:r>
      <w:r>
        <w:t xml:space="preserve"> figures relate to all costs </w:t>
      </w:r>
      <w:r w:rsidR="00175BD8">
        <w:t xml:space="preserve">as </w:t>
      </w:r>
      <w:r>
        <w:t xml:space="preserve">reported by suppliers as at the end of </w:t>
      </w:r>
      <w:r w:rsidR="00175BD8">
        <w:t>September</w:t>
      </w:r>
      <w:r>
        <w:t xml:space="preserve"> 2013</w:t>
      </w:r>
      <w:r w:rsidR="00175BD8">
        <w:t>.</w:t>
      </w:r>
      <w:r w:rsidR="00385EFB">
        <w:t xml:space="preserve"> For more information on ECO costs please see </w:t>
      </w:r>
      <w:hyperlink w:anchor="AnnexB" w:history="1">
        <w:r w:rsidR="00385EFB" w:rsidRPr="00385EFB">
          <w:rPr>
            <w:rStyle w:val="Hyperlink"/>
            <w:rFonts w:ascii="Arial" w:hAnsi="Arial"/>
          </w:rPr>
          <w:t>Annex B</w:t>
        </w:r>
      </w:hyperlink>
      <w:r w:rsidR="002619A1">
        <w:t xml:space="preserve"> and full definitions are </w:t>
      </w:r>
      <w:r w:rsidR="002619A1" w:rsidRPr="005806D6">
        <w:t>inclu</w:t>
      </w:r>
      <w:r w:rsidR="002619A1" w:rsidRPr="00812F13">
        <w:t xml:space="preserve">ded </w:t>
      </w:r>
      <w:hyperlink r:id="rId34" w:history="1">
        <w:r w:rsidR="002619A1" w:rsidRPr="00812F13">
          <w:rPr>
            <w:rStyle w:val="Hyperlink"/>
            <w:rFonts w:ascii="Arial" w:hAnsi="Arial"/>
          </w:rPr>
          <w:t>here</w:t>
        </w:r>
      </w:hyperlink>
      <w:r w:rsidR="00CA3DC6">
        <w:rPr>
          <w:rStyle w:val="Hyperlink"/>
          <w:rFonts w:ascii="Arial" w:hAnsi="Arial"/>
          <w:u w:val="none"/>
        </w:rPr>
        <w:t>.</w:t>
      </w:r>
    </w:p>
    <w:p w:rsidR="00AD44B6" w:rsidRPr="001A0AD3" w:rsidRDefault="00AD44B6" w:rsidP="00897897">
      <w:pPr>
        <w:spacing w:before="0" w:after="0" w:line="240" w:lineRule="auto"/>
        <w:ind w:left="-28"/>
        <w:jc w:val="both"/>
      </w:pPr>
    </w:p>
    <w:p w:rsidR="00175BD8" w:rsidRDefault="00AD44B6" w:rsidP="00175BD8">
      <w:pPr>
        <w:spacing w:before="0" w:after="0" w:line="240" w:lineRule="auto"/>
        <w:ind w:left="-28"/>
        <w:jc w:val="both"/>
      </w:pPr>
      <w:r w:rsidRPr="00175BD8">
        <w:t>The latest aggregate deliver</w:t>
      </w:r>
      <w:r w:rsidR="00175BD8" w:rsidRPr="00175BD8">
        <w:t>y costs (up to the end of September</w:t>
      </w:r>
      <w:r w:rsidRPr="00175BD8">
        <w:t xml:space="preserve"> 2013) are included in Table </w:t>
      </w:r>
      <w:r w:rsidR="002201C1">
        <w:t>1.12</w:t>
      </w:r>
      <w:r w:rsidRPr="00175BD8">
        <w:t xml:space="preserve">. These are historic costs and future costs may go up or down depending on a range of factors. Projected costs are based on scaling up </w:t>
      </w:r>
      <w:r w:rsidR="00175BD8">
        <w:t>information from the first nine</w:t>
      </w:r>
      <w:r w:rsidRPr="00175BD8">
        <w:t xml:space="preserve"> months of the scheme</w:t>
      </w:r>
      <w:r w:rsidR="00274669">
        <w:t xml:space="preserve"> up to March 2015</w:t>
      </w:r>
      <w:r w:rsidRPr="00175BD8">
        <w:t>. These are only indicative of the amount energy suppliers are likely to pass through to customers on their bills to fund their compliance with their share of the obligation. These figures suggest that custom</w:t>
      </w:r>
      <w:r w:rsidR="00175BD8">
        <w:t>ers</w:t>
      </w:r>
      <w:r w:rsidR="00E60EC7">
        <w:t xml:space="preserve"> currently</w:t>
      </w:r>
      <w:r w:rsidR="00175BD8">
        <w:t xml:space="preserve"> pay an average of around £55</w:t>
      </w:r>
      <w:r w:rsidRPr="00175BD8">
        <w:t xml:space="preserve"> per annum to fund ECO. Projected costs are </w:t>
      </w:r>
      <w:r w:rsidR="00E60EC7">
        <w:t xml:space="preserve">roughly </w:t>
      </w:r>
      <w:r w:rsidRPr="00175BD8">
        <w:t xml:space="preserve">in line with the central scenario in the </w:t>
      </w:r>
      <w:hyperlink r:id="rId35" w:history="1">
        <w:r w:rsidRPr="00175BD8">
          <w:rPr>
            <w:rStyle w:val="Hyperlink"/>
            <w:rFonts w:ascii="Arial" w:hAnsi="Arial"/>
          </w:rPr>
          <w:t>DECC Impact Assessment</w:t>
        </w:r>
      </w:hyperlink>
      <w:r w:rsidRPr="00175BD8">
        <w:t xml:space="preserve"> for ECO and with DECC’s estimates of the costs of delivering previous obligations.</w:t>
      </w:r>
    </w:p>
    <w:p w:rsidR="00175BD8" w:rsidRDefault="00175BD8" w:rsidP="00175BD8">
      <w:pPr>
        <w:spacing w:before="0" w:after="0" w:line="240" w:lineRule="auto"/>
        <w:ind w:left="-28"/>
        <w:jc w:val="both"/>
      </w:pPr>
    </w:p>
    <w:p w:rsidR="00AD44B6" w:rsidRDefault="002201C1" w:rsidP="00897897">
      <w:pPr>
        <w:spacing w:before="0" w:after="0" w:line="240" w:lineRule="auto"/>
        <w:ind w:left="-28"/>
        <w:jc w:val="both"/>
      </w:pPr>
      <w:r>
        <w:rPr>
          <w:bCs/>
        </w:rPr>
        <w:t>Table 1.12a</w:t>
      </w:r>
      <w:r w:rsidR="00AD44B6" w:rsidRPr="00175BD8">
        <w:rPr>
          <w:bCs/>
        </w:rPr>
        <w:t xml:space="preserve"> </w:t>
      </w:r>
      <w:r w:rsidR="00AD44B6" w:rsidRPr="00175BD8">
        <w:t>shows</w:t>
      </w:r>
      <w:r w:rsidR="00AD44B6" w:rsidRPr="00105B03">
        <w:t xml:space="preserve"> the average price by obligation and the highest and lowest prices reported by suppliers for each obligation as at the end of </w:t>
      </w:r>
      <w:r w:rsidR="00175BD8">
        <w:t>September 20</w:t>
      </w:r>
      <w:r w:rsidR="00E60EC7">
        <w:t xml:space="preserve">13. The suppliers have not been </w:t>
      </w:r>
      <w:r w:rsidR="00AD44B6" w:rsidRPr="00105B03">
        <w:t xml:space="preserve">identified to protect commercial confidentiality. This shows that some energy suppliers are </w:t>
      </w:r>
      <w:r w:rsidR="00AD44B6" w:rsidRPr="00105B03">
        <w:lastRenderedPageBreak/>
        <w:t>discharging their obligation more cost effectively than others. If the highest prices for each ECO obligation are scaled up, the overall scheme wo</w:t>
      </w:r>
      <w:r w:rsidR="00897897">
        <w:t xml:space="preserve">uld cost around £1.9bn per year. </w:t>
      </w:r>
      <w:r w:rsidR="00AD44B6" w:rsidRPr="00105B03">
        <w:t xml:space="preserve">Scaling up the lowest prices would bring the </w:t>
      </w:r>
      <w:r w:rsidR="00897897">
        <w:t>overall scheme in at around £1.2bn per year.</w:t>
      </w:r>
    </w:p>
    <w:p w:rsidR="00897897" w:rsidRDefault="00897897" w:rsidP="00897897">
      <w:pPr>
        <w:spacing w:before="0" w:after="0" w:line="240" w:lineRule="auto"/>
        <w:ind w:left="-28"/>
        <w:jc w:val="both"/>
      </w:pPr>
    </w:p>
    <w:p w:rsidR="00C877B7" w:rsidRDefault="00C877B7" w:rsidP="007C5903">
      <w:pPr>
        <w:pStyle w:val="Heading2"/>
        <w:spacing w:before="0" w:after="0"/>
      </w:pPr>
      <w:bookmarkStart w:id="46" w:name="_Toc375046008"/>
      <w:r>
        <w:t>ECO Brokerage</w:t>
      </w:r>
      <w:bookmarkEnd w:id="46"/>
    </w:p>
    <w:p w:rsidR="007C5903" w:rsidRPr="007C5903" w:rsidRDefault="007C5903" w:rsidP="007C5903">
      <w:pPr>
        <w:spacing w:before="0" w:after="0"/>
      </w:pPr>
    </w:p>
    <w:p w:rsidR="00945559" w:rsidRDefault="00945559" w:rsidP="007C5903">
      <w:pPr>
        <w:spacing w:before="0" w:after="0" w:line="270" w:lineRule="atLeast"/>
        <w:jc w:val="both"/>
      </w:pPr>
      <w:r w:rsidRPr="008A5812">
        <w:t xml:space="preserve">The </w:t>
      </w:r>
      <w:hyperlink r:id="rId36" w:history="1">
        <w:r w:rsidRPr="008A5812">
          <w:rPr>
            <w:rStyle w:val="Hyperlink"/>
            <w:rFonts w:ascii="Arial" w:hAnsi="Arial"/>
          </w:rPr>
          <w:t>ECO Brokerage</w:t>
        </w:r>
      </w:hyperlink>
      <w:r w:rsidRPr="008A5812">
        <w:t xml:space="preserve"> system operates as a fortnightly anonymous auction where providers can sell ‘lots’ of future measures of ECO Carbon Saving Obligation, ECO Carbon Saving Communities and ECO Affordable Warmth, to energy companies in return for ECO subsidy.</w:t>
      </w:r>
    </w:p>
    <w:p w:rsidR="0079586B" w:rsidRPr="00945559" w:rsidRDefault="0079586B" w:rsidP="005F2B90">
      <w:pPr>
        <w:spacing w:before="0" w:after="0" w:line="270" w:lineRule="atLeast"/>
        <w:jc w:val="both"/>
      </w:pPr>
    </w:p>
    <w:p w:rsidR="00C877B7" w:rsidRDefault="00C877B7" w:rsidP="005F2B90">
      <w:pPr>
        <w:spacing w:before="0" w:after="0" w:line="270" w:lineRule="atLeast"/>
        <w:jc w:val="both"/>
        <w:rPr>
          <w:bCs/>
          <w:u w:val="single"/>
        </w:rPr>
      </w:pPr>
      <w:r w:rsidRPr="009B0185">
        <w:rPr>
          <w:bCs/>
          <w:u w:val="single"/>
        </w:rPr>
        <w:t>ECO Broke</w:t>
      </w:r>
      <w:r>
        <w:rPr>
          <w:bCs/>
          <w:u w:val="single"/>
        </w:rPr>
        <w:t xml:space="preserve">rage clearing prices by ECO </w:t>
      </w:r>
      <w:r w:rsidRPr="009B0185">
        <w:rPr>
          <w:bCs/>
          <w:u w:val="single"/>
        </w:rPr>
        <w:t>obligation by</w:t>
      </w:r>
      <w:r>
        <w:rPr>
          <w:bCs/>
          <w:u w:val="single"/>
        </w:rPr>
        <w:t xml:space="preserve"> auction, up to 31</w:t>
      </w:r>
      <w:r w:rsidRPr="003D1715">
        <w:rPr>
          <w:bCs/>
          <w:u w:val="single"/>
          <w:vertAlign w:val="superscript"/>
        </w:rPr>
        <w:t>st</w:t>
      </w:r>
      <w:r>
        <w:rPr>
          <w:bCs/>
          <w:u w:val="single"/>
        </w:rPr>
        <w:t xml:space="preserve"> </w:t>
      </w:r>
      <w:r w:rsidR="005F5D2E">
        <w:rPr>
          <w:bCs/>
          <w:u w:val="single"/>
        </w:rPr>
        <w:t>October</w:t>
      </w:r>
      <w:r w:rsidR="002201C1">
        <w:rPr>
          <w:bCs/>
          <w:u w:val="single"/>
        </w:rPr>
        <w:t xml:space="preserve"> (Table 1.13</w:t>
      </w:r>
      <w:r>
        <w:rPr>
          <w:bCs/>
          <w:u w:val="single"/>
        </w:rPr>
        <w:t>)</w:t>
      </w:r>
    </w:p>
    <w:p w:rsidR="00C877B7" w:rsidRPr="009B0185" w:rsidRDefault="00C877B7" w:rsidP="007C5903">
      <w:pPr>
        <w:spacing w:before="0" w:after="0" w:line="270" w:lineRule="atLeast"/>
        <w:rPr>
          <w:bCs/>
          <w:u w:val="single"/>
        </w:rPr>
      </w:pPr>
    </w:p>
    <w:p w:rsidR="00C877B7" w:rsidRDefault="00C877B7" w:rsidP="005F2B90">
      <w:pPr>
        <w:spacing w:before="0" w:after="0" w:line="240" w:lineRule="auto"/>
        <w:jc w:val="both"/>
        <w:rPr>
          <w:bCs/>
        </w:rPr>
      </w:pPr>
      <w:r>
        <w:rPr>
          <w:bCs/>
        </w:rPr>
        <w:t>Table 1</w:t>
      </w:r>
      <w:r w:rsidR="002201C1">
        <w:rPr>
          <w:bCs/>
        </w:rPr>
        <w:t>.</w:t>
      </w:r>
      <w:r>
        <w:rPr>
          <w:bCs/>
        </w:rPr>
        <w:t>1</w:t>
      </w:r>
      <w:r w:rsidR="002201C1">
        <w:rPr>
          <w:bCs/>
        </w:rPr>
        <w:t>3</w:t>
      </w:r>
      <w:r>
        <w:rPr>
          <w:bCs/>
        </w:rPr>
        <w:t xml:space="preserve"> presents the clearing prices of all lots sold through ECO brokerage from </w:t>
      </w:r>
      <w:r w:rsidR="00945559">
        <w:rPr>
          <w:bCs/>
        </w:rPr>
        <w:t xml:space="preserve">all 21 </w:t>
      </w:r>
      <w:r>
        <w:rPr>
          <w:bCs/>
        </w:rPr>
        <w:t xml:space="preserve">auctions taking place up to the end of </w:t>
      </w:r>
      <w:r w:rsidR="00945559">
        <w:rPr>
          <w:bCs/>
        </w:rPr>
        <w:t>October</w:t>
      </w:r>
      <w:r w:rsidR="00945559" w:rsidRPr="008A5812">
        <w:t>, with a total v</w:t>
      </w:r>
      <w:r w:rsidR="00945559">
        <w:t>alue of contracts let worth £288.2</w:t>
      </w:r>
      <w:r w:rsidR="00945559" w:rsidRPr="008A5812">
        <w:t xml:space="preserve"> million.</w:t>
      </w:r>
      <w:r>
        <w:rPr>
          <w:bCs/>
        </w:rPr>
        <w:t xml:space="preserve"> This shows that the average price paid for lots is decreasing </w:t>
      </w:r>
      <w:r w:rsidR="00945559">
        <w:rPr>
          <w:bCs/>
        </w:rPr>
        <w:t xml:space="preserve">for the </w:t>
      </w:r>
      <w:r w:rsidR="00945559" w:rsidRPr="008A5812">
        <w:t>Carbon Saving Obligation</w:t>
      </w:r>
      <w:r w:rsidR="00945559">
        <w:t xml:space="preserve"> </w:t>
      </w:r>
      <w:r w:rsidR="00945559" w:rsidRPr="008A5812">
        <w:t>and ECO Affordable Warmth</w:t>
      </w:r>
      <w:r>
        <w:rPr>
          <w:bCs/>
        </w:rPr>
        <w:t>.</w:t>
      </w:r>
    </w:p>
    <w:p w:rsidR="00945559" w:rsidRPr="008A5812" w:rsidRDefault="00945559" w:rsidP="005F2B90">
      <w:pPr>
        <w:pStyle w:val="NormalWeb"/>
        <w:spacing w:line="270" w:lineRule="atLeast"/>
        <w:jc w:val="both"/>
        <w:rPr>
          <w:rFonts w:ascii="Arial" w:hAnsi="Arial" w:cs="Arial"/>
        </w:rPr>
      </w:pPr>
      <w:bookmarkStart w:id="47" w:name="Chart5"/>
      <w:bookmarkEnd w:id="47"/>
    </w:p>
    <w:p w:rsidR="00945559" w:rsidRPr="00945559" w:rsidRDefault="00945559" w:rsidP="005F2B90">
      <w:pPr>
        <w:spacing w:before="0" w:after="0" w:line="270" w:lineRule="atLeast"/>
        <w:jc w:val="both"/>
        <w:rPr>
          <w:color w:val="0000FF"/>
          <w:szCs w:val="24"/>
          <w:u w:val="single"/>
        </w:rPr>
      </w:pPr>
      <w:r w:rsidRPr="008A5812">
        <w:rPr>
          <w:bCs/>
          <w:szCs w:val="24"/>
        </w:rPr>
        <w:t xml:space="preserve">For more detail on the results of each auction, please see </w:t>
      </w:r>
      <w:hyperlink r:id="rId37" w:history="1">
        <w:r w:rsidRPr="008A5812">
          <w:rPr>
            <w:rStyle w:val="Hyperlink"/>
            <w:rFonts w:ascii="Arial" w:hAnsi="Arial"/>
            <w:szCs w:val="24"/>
          </w:rPr>
          <w:t>ECO Brokerage</w:t>
        </w:r>
      </w:hyperlink>
      <w:bookmarkStart w:id="48" w:name="OLE_LINK8"/>
      <w:bookmarkEnd w:id="48"/>
    </w:p>
    <w:p w:rsidR="00C877B7" w:rsidRDefault="00C877B7" w:rsidP="005F2B90">
      <w:pPr>
        <w:spacing w:after="0" w:line="240" w:lineRule="auto"/>
        <w:jc w:val="both"/>
        <w:rPr>
          <w:bCs/>
        </w:rPr>
      </w:pPr>
    </w:p>
    <w:p w:rsidR="00C877B7" w:rsidRDefault="00C877B7" w:rsidP="005F2B90">
      <w:pPr>
        <w:pStyle w:val="Heading2"/>
        <w:spacing w:before="0" w:after="0"/>
        <w:jc w:val="both"/>
      </w:pPr>
      <w:bookmarkStart w:id="49" w:name="_Toc375046009"/>
      <w:r>
        <w:t>Estimated c</w:t>
      </w:r>
      <w:r w:rsidRPr="00304DA7">
        <w:t xml:space="preserve">arbon </w:t>
      </w:r>
      <w:bookmarkStart w:id="50" w:name="estimated_carbon_savings_new"/>
      <w:bookmarkEnd w:id="50"/>
      <w:r>
        <w:t xml:space="preserve">and energy </w:t>
      </w:r>
      <w:r w:rsidRPr="00304DA7">
        <w:t>savings for measures installed through Cashback and ECO, up to 30</w:t>
      </w:r>
      <w:r w:rsidRPr="00304DA7">
        <w:rPr>
          <w:vertAlign w:val="superscript"/>
        </w:rPr>
        <w:t>th</w:t>
      </w:r>
      <w:r w:rsidRPr="00304DA7">
        <w:t xml:space="preserve"> </w:t>
      </w:r>
      <w:r w:rsidR="007C5903">
        <w:t>September</w:t>
      </w:r>
      <w:bookmarkEnd w:id="49"/>
    </w:p>
    <w:p w:rsidR="007C5903" w:rsidRPr="007C5903" w:rsidRDefault="007C5903" w:rsidP="007C5903">
      <w:pPr>
        <w:spacing w:before="0" w:after="0"/>
      </w:pPr>
    </w:p>
    <w:p w:rsidR="00C877B7" w:rsidRPr="007C5903" w:rsidRDefault="00C877B7" w:rsidP="007C5903">
      <w:pPr>
        <w:spacing w:before="0" w:after="0" w:line="240" w:lineRule="auto"/>
        <w:jc w:val="both"/>
        <w:rPr>
          <w:color w:val="000000"/>
        </w:rPr>
      </w:pPr>
      <w:r w:rsidRPr="007C5903">
        <w:rPr>
          <w:color w:val="000000"/>
        </w:rPr>
        <w:t xml:space="preserve">The </w:t>
      </w:r>
      <w:hyperlink r:id="rId38" w:history="1">
        <w:r w:rsidRPr="007C5903">
          <w:rPr>
            <w:rStyle w:val="Hyperlink"/>
            <w:rFonts w:ascii="Arial" w:hAnsi="Arial"/>
          </w:rPr>
          <w:t>Final Stage Impact Assessment</w:t>
        </w:r>
      </w:hyperlink>
      <w:r w:rsidRPr="007C5903">
        <w:rPr>
          <w:color w:val="000000"/>
        </w:rPr>
        <w:t xml:space="preserve"> for the Green Deal and Energy Company Obligation reported that both policies would lead to significant carbon and energy savings. This section estimates the carbon and energy savings derived from measures installed through these policy areas.</w:t>
      </w:r>
      <w:bookmarkStart w:id="51" w:name="ECO_brokerage_pg10"/>
      <w:bookmarkEnd w:id="51"/>
    </w:p>
    <w:p w:rsidR="00C877B7" w:rsidRPr="007C5903" w:rsidRDefault="00C877B7" w:rsidP="005F2B90">
      <w:pPr>
        <w:spacing w:after="0" w:line="270" w:lineRule="atLeast"/>
        <w:jc w:val="both"/>
        <w:rPr>
          <w:b/>
          <w:bCs/>
          <w:u w:val="single"/>
        </w:rPr>
      </w:pPr>
      <w:r w:rsidRPr="007C5903">
        <w:rPr>
          <w:bCs/>
          <w:u w:val="single"/>
        </w:rPr>
        <w:t xml:space="preserve">Estimated carbon and energy savings relating to measures installed through Cashback and ECO, up to 30th </w:t>
      </w:r>
      <w:r w:rsidR="007C5903">
        <w:rPr>
          <w:bCs/>
          <w:u w:val="single"/>
        </w:rPr>
        <w:t>September</w:t>
      </w:r>
      <w:r w:rsidRPr="007C5903">
        <w:rPr>
          <w:bCs/>
          <w:u w:val="single"/>
        </w:rPr>
        <w:t xml:space="preserve"> (Table 1</w:t>
      </w:r>
      <w:r w:rsidR="002201C1">
        <w:rPr>
          <w:bCs/>
          <w:u w:val="single"/>
        </w:rPr>
        <w:t>.14</w:t>
      </w:r>
      <w:r w:rsidRPr="007C5903">
        <w:rPr>
          <w:bCs/>
          <w:u w:val="single"/>
        </w:rPr>
        <w:t>)</w:t>
      </w:r>
      <w:r w:rsidRPr="007C5903">
        <w:rPr>
          <w:b/>
          <w:bCs/>
          <w:u w:val="single"/>
        </w:rPr>
        <w:t xml:space="preserve"> </w:t>
      </w:r>
    </w:p>
    <w:p w:rsidR="00C877B7" w:rsidRDefault="00C877B7" w:rsidP="00C877B7">
      <w:pPr>
        <w:spacing w:after="0" w:line="270" w:lineRule="atLeast"/>
        <w:rPr>
          <w:b/>
          <w:bCs/>
          <w:u w:val="single"/>
        </w:rPr>
      </w:pPr>
    </w:p>
    <w:p w:rsidR="00C877B7" w:rsidRPr="005806D6" w:rsidRDefault="00C877B7" w:rsidP="007C5903">
      <w:pPr>
        <w:spacing w:before="0" w:after="0" w:line="240" w:lineRule="auto"/>
        <w:jc w:val="both"/>
        <w:rPr>
          <w:color w:val="000000"/>
        </w:rPr>
      </w:pPr>
      <w:r w:rsidRPr="005806D6">
        <w:rPr>
          <w:color w:val="000000"/>
        </w:rPr>
        <w:t>Table 1</w:t>
      </w:r>
      <w:r w:rsidR="002201C1">
        <w:rPr>
          <w:color w:val="000000"/>
        </w:rPr>
        <w:t>.14</w:t>
      </w:r>
      <w:r w:rsidRPr="005806D6">
        <w:rPr>
          <w:color w:val="000000"/>
        </w:rPr>
        <w:t xml:space="preserve"> presents the estimated impact of measures installed through Cashback or under ECO (through the Carbon Saving Obligation and Carbon Sav</w:t>
      </w:r>
      <w:r w:rsidR="002201C1">
        <w:rPr>
          <w:color w:val="000000"/>
        </w:rPr>
        <w:t>ing Communities Obligation</w:t>
      </w:r>
      <w:r w:rsidR="00CB4CF1" w:rsidRPr="005806D6">
        <w:rPr>
          <w:color w:val="000000"/>
        </w:rPr>
        <w:t>) up to the end of September</w:t>
      </w:r>
      <w:r w:rsidRPr="005806D6">
        <w:rPr>
          <w:color w:val="000000"/>
        </w:rPr>
        <w:t xml:space="preserve"> 2013. </w:t>
      </w:r>
      <w:r w:rsidR="002201C1">
        <w:rPr>
          <w:color w:val="000000"/>
        </w:rPr>
        <w:t xml:space="preserve">Affordable Warmth is excluded </w:t>
      </w:r>
      <w:r w:rsidRPr="005806D6">
        <w:rPr>
          <w:color w:val="000000"/>
        </w:rPr>
        <w:t xml:space="preserve">because carbon reductions are not the stated aim of this policy and difficulties in accurately estimating their carbon impact. This obligation of ECO is anticipated to lead to a net reduction </w:t>
      </w:r>
      <w:r w:rsidR="003B2919">
        <w:rPr>
          <w:color w:val="000000"/>
        </w:rPr>
        <w:t>in carbon. H</w:t>
      </w:r>
      <w:r w:rsidRPr="005806D6">
        <w:rPr>
          <w:color w:val="000000"/>
        </w:rPr>
        <w:t xml:space="preserve">owever, this depends on reductions in the traded sector emissions out-weighing any increase in non-traded sector emissions. </w:t>
      </w:r>
    </w:p>
    <w:p w:rsidR="007C5903" w:rsidRPr="005806D6" w:rsidRDefault="007C5903" w:rsidP="007C5903">
      <w:pPr>
        <w:spacing w:before="0" w:after="0" w:line="240" w:lineRule="auto"/>
        <w:jc w:val="both"/>
        <w:rPr>
          <w:color w:val="000000"/>
        </w:rPr>
      </w:pPr>
    </w:p>
    <w:p w:rsidR="00C877B7" w:rsidRPr="005806D6" w:rsidRDefault="00C877B7" w:rsidP="007C5903">
      <w:pPr>
        <w:spacing w:before="0" w:after="0" w:line="240" w:lineRule="auto"/>
        <w:jc w:val="both"/>
        <w:rPr>
          <w:color w:val="000000"/>
        </w:rPr>
      </w:pPr>
      <w:r w:rsidRPr="005806D6">
        <w:rPr>
          <w:color w:val="000000"/>
        </w:rPr>
        <w:t>The estimated lifetime carbo</w:t>
      </w:r>
      <w:r w:rsidR="00CB4CF1" w:rsidRPr="005806D6">
        <w:rPr>
          <w:color w:val="000000"/>
        </w:rPr>
        <w:t>n savings of these measures is 3.03</w:t>
      </w:r>
      <w:r w:rsidRPr="005806D6">
        <w:rPr>
          <w:color w:val="000000"/>
        </w:rPr>
        <w:t xml:space="preserve"> MtCO2 with estima</w:t>
      </w:r>
      <w:r w:rsidR="00CB4CF1" w:rsidRPr="005806D6">
        <w:rPr>
          <w:color w:val="000000"/>
        </w:rPr>
        <w:t>ted lifetime energy savings of 14,175</w:t>
      </w:r>
      <w:r w:rsidRPr="005806D6">
        <w:rPr>
          <w:color w:val="000000"/>
        </w:rPr>
        <w:t xml:space="preserve"> GWh.</w:t>
      </w:r>
    </w:p>
    <w:p w:rsidR="007C5903" w:rsidRPr="005806D6" w:rsidRDefault="007C5903" w:rsidP="007C5903">
      <w:pPr>
        <w:spacing w:before="0" w:after="0" w:line="240" w:lineRule="auto"/>
        <w:jc w:val="both"/>
        <w:rPr>
          <w:color w:val="000000"/>
        </w:rPr>
      </w:pPr>
    </w:p>
    <w:p w:rsidR="00C877B7" w:rsidRPr="005806D6" w:rsidRDefault="00C877B7" w:rsidP="007C5903">
      <w:pPr>
        <w:spacing w:before="0" w:after="0" w:line="240" w:lineRule="auto"/>
        <w:jc w:val="both"/>
        <w:rPr>
          <w:color w:val="000000"/>
        </w:rPr>
      </w:pPr>
      <w:r w:rsidRPr="005806D6">
        <w:rPr>
          <w:color w:val="000000"/>
        </w:rPr>
        <w:t>For Cashback measures, the net estimated carbon savings has been calculated from the difference between that in the original EPC (pre-installation of measures) and the new EPC (post installation of measures). For ECO only measures, the estimated lifetime carbon savings has been revised to account for estimated levels of comfort taking, which better represent our understanding of the assumed net impact of the installed measures.</w:t>
      </w:r>
    </w:p>
    <w:p w:rsidR="007C5903" w:rsidRPr="005806D6" w:rsidRDefault="007C5903" w:rsidP="007C5903">
      <w:pPr>
        <w:spacing w:before="0" w:after="0" w:line="240" w:lineRule="auto"/>
        <w:jc w:val="both"/>
        <w:rPr>
          <w:color w:val="000000"/>
        </w:rPr>
      </w:pPr>
    </w:p>
    <w:p w:rsidR="00C877B7" w:rsidRPr="005806D6" w:rsidRDefault="00C877B7" w:rsidP="007C5903">
      <w:pPr>
        <w:spacing w:before="0" w:after="0" w:line="240" w:lineRule="auto"/>
        <w:jc w:val="both"/>
        <w:rPr>
          <w:color w:val="000000"/>
        </w:rPr>
      </w:pPr>
      <w:r w:rsidRPr="005806D6">
        <w:rPr>
          <w:color w:val="000000"/>
        </w:rPr>
        <w:t xml:space="preserve">This table will, in the future, try to account for the estimated carbon and energy savings through GD or combinations of GD and other delivery mechanisms. </w:t>
      </w:r>
    </w:p>
    <w:p w:rsidR="007C5903" w:rsidRPr="005806D6" w:rsidRDefault="007C5903" w:rsidP="007C5903">
      <w:pPr>
        <w:spacing w:before="0" w:after="0" w:line="240" w:lineRule="auto"/>
        <w:jc w:val="both"/>
        <w:rPr>
          <w:color w:val="000000"/>
        </w:rPr>
      </w:pPr>
    </w:p>
    <w:p w:rsidR="00C877B7" w:rsidRPr="00CA3DC6" w:rsidRDefault="00C877B7" w:rsidP="007C5903">
      <w:pPr>
        <w:spacing w:before="0" w:after="0"/>
        <w:jc w:val="both"/>
        <w:rPr>
          <w:rStyle w:val="Hyperlink"/>
          <w:u w:val="none"/>
        </w:rPr>
      </w:pPr>
      <w:r w:rsidRPr="005806D6">
        <w:t xml:space="preserve">More information on the methodology used is </w:t>
      </w:r>
      <w:r w:rsidRPr="00812F13">
        <w:t>incl</w:t>
      </w:r>
      <w:r w:rsidRPr="009D56C9">
        <w:t xml:space="preserve">uded </w:t>
      </w:r>
      <w:hyperlink r:id="rId39" w:history="1">
        <w:r w:rsidRPr="009D56C9">
          <w:rPr>
            <w:rStyle w:val="Hyperlink"/>
            <w:rFonts w:ascii="Arial" w:hAnsi="Arial"/>
          </w:rPr>
          <w:t>here</w:t>
        </w:r>
      </w:hyperlink>
      <w:r w:rsidR="00CA3DC6">
        <w:rPr>
          <w:rStyle w:val="Hyperlink"/>
          <w:rFonts w:ascii="Arial" w:hAnsi="Arial"/>
          <w:u w:val="none"/>
        </w:rPr>
        <w:t>.</w:t>
      </w:r>
    </w:p>
    <w:p w:rsidR="007C5903" w:rsidRDefault="007C5903" w:rsidP="007C5903">
      <w:pPr>
        <w:spacing w:before="0" w:after="0"/>
        <w:jc w:val="both"/>
        <w:rPr>
          <w:color w:val="002060"/>
        </w:rPr>
      </w:pPr>
    </w:p>
    <w:p w:rsidR="00C877B7" w:rsidRPr="006623B5" w:rsidRDefault="00C877B7" w:rsidP="007C5903">
      <w:pPr>
        <w:pStyle w:val="Heading2"/>
      </w:pPr>
      <w:bookmarkStart w:id="52" w:name="_Toc375046010"/>
      <w:r w:rsidRPr="006623B5">
        <w:lastRenderedPageBreak/>
        <w:t xml:space="preserve">The Supply </w:t>
      </w:r>
      <w:r>
        <w:t>C</w:t>
      </w:r>
      <w:r w:rsidRPr="006623B5">
        <w:t>hain</w:t>
      </w:r>
      <w:bookmarkStart w:id="53" w:name="Supply_chain_new"/>
      <w:bookmarkEnd w:id="52"/>
      <w:bookmarkEnd w:id="53"/>
    </w:p>
    <w:p w:rsidR="00C877B7" w:rsidRDefault="00C877B7" w:rsidP="00C6274E">
      <w:pPr>
        <w:spacing w:before="0" w:after="0" w:line="240" w:lineRule="auto"/>
        <w:jc w:val="both"/>
      </w:pPr>
      <w:r w:rsidRPr="00C6274E">
        <w:t>To understand more about the organisations and infrastructure underpinning the Green Deal, this report also includes a section on geographical coverage of the number of Assessor organisations and Green Deal Installer organisations.</w:t>
      </w:r>
    </w:p>
    <w:p w:rsidR="00C6274E" w:rsidRPr="00C6274E" w:rsidRDefault="00C6274E" w:rsidP="00C6274E">
      <w:pPr>
        <w:spacing w:before="0" w:after="0" w:line="240" w:lineRule="auto"/>
        <w:jc w:val="both"/>
      </w:pPr>
    </w:p>
    <w:p w:rsidR="00C877B7" w:rsidRDefault="00C877B7" w:rsidP="00C6274E">
      <w:pPr>
        <w:spacing w:before="0" w:after="0" w:line="270" w:lineRule="atLeast"/>
        <w:jc w:val="both"/>
        <w:rPr>
          <w:u w:val="single"/>
        </w:rPr>
      </w:pPr>
      <w:r w:rsidRPr="00C6274E">
        <w:rPr>
          <w:u w:val="single"/>
        </w:rPr>
        <w:t>Supply chain operational coverage, as at 28</w:t>
      </w:r>
      <w:r w:rsidRPr="00C6274E">
        <w:rPr>
          <w:u w:val="single"/>
          <w:vertAlign w:val="superscript"/>
        </w:rPr>
        <w:t>th</w:t>
      </w:r>
      <w:r w:rsidRPr="00C6274E">
        <w:rPr>
          <w:u w:val="single"/>
        </w:rPr>
        <w:t xml:space="preserve"> </w:t>
      </w:r>
      <w:r w:rsidR="00C6274E" w:rsidRPr="00C6274E">
        <w:rPr>
          <w:u w:val="single"/>
        </w:rPr>
        <w:t>October</w:t>
      </w:r>
      <w:r w:rsidRPr="00C6274E">
        <w:rPr>
          <w:u w:val="single"/>
        </w:rPr>
        <w:t xml:space="preserve"> (Table 1</w:t>
      </w:r>
      <w:r w:rsidR="003B2919">
        <w:rPr>
          <w:u w:val="single"/>
        </w:rPr>
        <w:t>.15</w:t>
      </w:r>
      <w:r w:rsidRPr="00C6274E">
        <w:rPr>
          <w:u w:val="single"/>
        </w:rPr>
        <w:t xml:space="preserve">, Maps </w:t>
      </w:r>
      <w:r w:rsidR="00170DD3">
        <w:rPr>
          <w:u w:val="single"/>
        </w:rPr>
        <w:t>1.</w:t>
      </w:r>
      <w:r w:rsidRPr="00C6274E">
        <w:rPr>
          <w:u w:val="single"/>
        </w:rPr>
        <w:t xml:space="preserve">3 and </w:t>
      </w:r>
      <w:r w:rsidR="00170DD3">
        <w:rPr>
          <w:u w:val="single"/>
        </w:rPr>
        <w:t>1.</w:t>
      </w:r>
      <w:r w:rsidRPr="00C6274E">
        <w:rPr>
          <w:u w:val="single"/>
        </w:rPr>
        <w:t>4)</w:t>
      </w:r>
    </w:p>
    <w:p w:rsidR="00C6274E" w:rsidRPr="00C6274E" w:rsidRDefault="00C6274E" w:rsidP="00C6274E">
      <w:pPr>
        <w:spacing w:before="0" w:after="0" w:line="270" w:lineRule="atLeast"/>
        <w:jc w:val="both"/>
        <w:rPr>
          <w:u w:val="single"/>
        </w:rPr>
      </w:pPr>
    </w:p>
    <w:p w:rsidR="00C877B7" w:rsidRDefault="00C877B7" w:rsidP="00C6274E">
      <w:pPr>
        <w:spacing w:before="0" w:after="0" w:line="240" w:lineRule="auto"/>
        <w:jc w:val="both"/>
      </w:pPr>
      <w:r w:rsidRPr="00C6274E">
        <w:t>The supply chain to support the Green Deal has been developing since October 2012. This includes individual Advisors (who carry out and produce Green Deal Advice Reports) and Assessor organisations (who employ authorised Green Deal Advisors), Green Deal Providers (who quote for and arrange Green Deal Plans with customers), and Installer organisations</w:t>
      </w:r>
      <w:r w:rsidRPr="00C6274E">
        <w:rPr>
          <w:rStyle w:val="FootnoteReference"/>
        </w:rPr>
        <w:footnoteReference w:id="12"/>
      </w:r>
      <w:r w:rsidRPr="00C6274E">
        <w:t xml:space="preserve"> (who install energy efficiency improvements under the GD finance mechanism). </w:t>
      </w:r>
    </w:p>
    <w:p w:rsidR="00C6274E" w:rsidRPr="00C6274E" w:rsidRDefault="00C6274E" w:rsidP="00C6274E">
      <w:pPr>
        <w:spacing w:before="0" w:after="0" w:line="240" w:lineRule="auto"/>
        <w:jc w:val="both"/>
      </w:pPr>
    </w:p>
    <w:p w:rsidR="00C877B7" w:rsidRDefault="00C877B7" w:rsidP="00C6274E">
      <w:pPr>
        <w:spacing w:before="0" w:after="0" w:line="240" w:lineRule="auto"/>
        <w:jc w:val="both"/>
        <w:rPr>
          <w:color w:val="FF0000"/>
        </w:rPr>
      </w:pPr>
      <w:r w:rsidRPr="00C6274E">
        <w:rPr>
          <w:color w:val="000000"/>
        </w:rPr>
        <w:t>The</w:t>
      </w:r>
      <w:r w:rsidRPr="00C6274E">
        <w:rPr>
          <w:color w:val="FF0000"/>
        </w:rPr>
        <w:t xml:space="preserve"> </w:t>
      </w:r>
      <w:r w:rsidRPr="00C6274E">
        <w:t xml:space="preserve">Green Deal Oversight and Regulation Body (ORB) </w:t>
      </w:r>
      <w:r w:rsidRPr="00C6274E">
        <w:rPr>
          <w:color w:val="000000"/>
        </w:rPr>
        <w:t xml:space="preserve">produces publically available information on the supply chain, and the latest figures are available by using the search tool on the </w:t>
      </w:r>
      <w:hyperlink r:id="rId40" w:history="1">
        <w:r w:rsidRPr="00C6274E">
          <w:rPr>
            <w:rStyle w:val="Hyperlink"/>
            <w:rFonts w:ascii="Arial" w:hAnsi="Arial"/>
          </w:rPr>
          <w:t>ORB website</w:t>
        </w:r>
      </w:hyperlink>
      <w:r w:rsidRPr="00C6274E">
        <w:rPr>
          <w:color w:val="000000"/>
        </w:rPr>
        <w:t xml:space="preserve">. There is also information available on </w:t>
      </w:r>
      <w:hyperlink r:id="rId41" w:history="1">
        <w:r w:rsidRPr="00C6274E">
          <w:rPr>
            <w:rStyle w:val="Hyperlink"/>
            <w:rFonts w:ascii="Arial" w:hAnsi="Arial"/>
          </w:rPr>
          <w:t>contacts in local areas.</w:t>
        </w:r>
      </w:hyperlink>
      <w:r w:rsidRPr="00C6274E">
        <w:rPr>
          <w:color w:val="FF0000"/>
        </w:rPr>
        <w:t xml:space="preserve"> </w:t>
      </w:r>
    </w:p>
    <w:p w:rsidR="00C6274E" w:rsidRPr="00C6274E" w:rsidRDefault="00C6274E" w:rsidP="00C6274E">
      <w:pPr>
        <w:spacing w:before="0" w:after="0" w:line="240" w:lineRule="auto"/>
        <w:jc w:val="both"/>
        <w:rPr>
          <w:color w:val="FF0000"/>
        </w:rPr>
      </w:pPr>
    </w:p>
    <w:p w:rsidR="00C877B7" w:rsidRDefault="00C877B7" w:rsidP="00BD3F5A">
      <w:pPr>
        <w:spacing w:before="0" w:after="0" w:line="240" w:lineRule="auto"/>
        <w:jc w:val="both"/>
      </w:pPr>
      <w:r w:rsidRPr="00C6274E">
        <w:t xml:space="preserve">These organisations operate in different geographical locations and provide a wide variety </w:t>
      </w:r>
      <w:r w:rsidR="003B2919">
        <w:t>of offers to consumers. Table 1.15</w:t>
      </w:r>
      <w:r w:rsidRPr="00C6274E">
        <w:t xml:space="preserve"> and Maps </w:t>
      </w:r>
      <w:r w:rsidR="00170DD3">
        <w:t>1.</w:t>
      </w:r>
      <w:r w:rsidRPr="00C6274E">
        <w:t xml:space="preserve">3 and </w:t>
      </w:r>
      <w:r w:rsidR="00170DD3">
        <w:t>1.</w:t>
      </w:r>
      <w:r w:rsidRPr="00C6274E">
        <w:t>4 show the self-reported operational coverage of Green Deal Providers, Assessor organisations and Installers by Local Authority. These figures are based on information submitted</w:t>
      </w:r>
      <w:r w:rsidRPr="00C6274E">
        <w:rPr>
          <w:rStyle w:val="FootnoteReference"/>
        </w:rPr>
        <w:footnoteReference w:id="13"/>
      </w:r>
      <w:r w:rsidRPr="00C6274E">
        <w:t xml:space="preserve"> onto the ORB consumer search tool by a number of these </w:t>
      </w:r>
      <w:r w:rsidR="00BD3F5A">
        <w:t>participating organisations. 36</w:t>
      </w:r>
      <w:r w:rsidRPr="00C6274E">
        <w:t xml:space="preserve"> of the </w:t>
      </w:r>
      <w:r w:rsidR="00BD3F5A">
        <w:t>112 (32</w:t>
      </w:r>
      <w:r w:rsidRPr="00C6274E">
        <w:t xml:space="preserve"> per cent) Green Deal Providers, 1</w:t>
      </w:r>
      <w:r w:rsidR="00BD3F5A">
        <w:t>82</w:t>
      </w:r>
      <w:r w:rsidRPr="00C6274E">
        <w:t xml:space="preserve"> of the </w:t>
      </w:r>
      <w:r w:rsidR="00BD3F5A">
        <w:t xml:space="preserve">339 </w:t>
      </w:r>
      <w:r w:rsidRPr="00C6274E">
        <w:t xml:space="preserve">(54 </w:t>
      </w:r>
      <w:r>
        <w:t>per cent)</w:t>
      </w:r>
      <w:r w:rsidRPr="00B92C23">
        <w:t xml:space="preserve"> Assessor organisations</w:t>
      </w:r>
      <w:r>
        <w:t xml:space="preserve"> and </w:t>
      </w:r>
      <w:r w:rsidR="00BD3F5A">
        <w:t>935</w:t>
      </w:r>
      <w:r>
        <w:t xml:space="preserve"> of the </w:t>
      </w:r>
      <w:r w:rsidR="00BD3F5A">
        <w:t>2,233 (42</w:t>
      </w:r>
      <w:r>
        <w:t xml:space="preserve"> per cent) Installers had</w:t>
      </w:r>
      <w:r w:rsidRPr="00B92C23">
        <w:t xml:space="preserve"> subm</w:t>
      </w:r>
      <w:r>
        <w:t>itted their information as at 28</w:t>
      </w:r>
      <w:r w:rsidRPr="00EB1B29">
        <w:rPr>
          <w:vertAlign w:val="superscript"/>
        </w:rPr>
        <w:t>th</w:t>
      </w:r>
      <w:r w:rsidRPr="00B92C23">
        <w:t xml:space="preserve"> </w:t>
      </w:r>
      <w:r w:rsidR="00BD3F5A">
        <w:t xml:space="preserve">October </w:t>
      </w:r>
      <w:r w:rsidRPr="00B92C23">
        <w:t>2013</w:t>
      </w:r>
      <w:r>
        <w:rPr>
          <w:rStyle w:val="FootnoteReference"/>
        </w:rPr>
        <w:footnoteReference w:id="14"/>
      </w:r>
      <w:r w:rsidRPr="00B92C23">
        <w:t>.</w:t>
      </w:r>
      <w:r>
        <w:t xml:space="preserve"> </w:t>
      </w:r>
    </w:p>
    <w:p w:rsidR="00BD3F5A" w:rsidRDefault="00BD3F5A" w:rsidP="00BD3F5A">
      <w:pPr>
        <w:spacing w:before="0" w:after="0" w:line="240" w:lineRule="auto"/>
        <w:jc w:val="both"/>
      </w:pPr>
    </w:p>
    <w:p w:rsidR="00C877B7" w:rsidRDefault="00C877B7" w:rsidP="00BD3F5A">
      <w:pPr>
        <w:spacing w:before="0" w:after="0" w:line="240" w:lineRule="auto"/>
        <w:jc w:val="both"/>
      </w:pPr>
      <w:r>
        <w:t xml:space="preserve">These figures and maps provide an indication of where these organisations are expecting to operate. However, businesses are flexible and may travel further to other areas as the market develops. Table </w:t>
      </w:r>
      <w:r w:rsidR="00170DD3">
        <w:t>1.</w:t>
      </w:r>
      <w:r>
        <w:t>1</w:t>
      </w:r>
      <w:r w:rsidR="00170DD3">
        <w:t>5</w:t>
      </w:r>
      <w:r>
        <w:t xml:space="preserve"> and Maps </w:t>
      </w:r>
      <w:r w:rsidR="00170DD3">
        <w:t>1.</w:t>
      </w:r>
      <w:r>
        <w:t xml:space="preserve">3 and </w:t>
      </w:r>
      <w:r w:rsidR="00170DD3">
        <w:t>1.</w:t>
      </w:r>
      <w:r>
        <w:t>4 indicate that there is good coverage of where these organisations are expecting to operate across all Local Authorities in Great Britain.</w:t>
      </w:r>
    </w:p>
    <w:p w:rsidR="00BD3F5A" w:rsidRDefault="00BD3F5A" w:rsidP="00BD3F5A">
      <w:pPr>
        <w:spacing w:before="0" w:after="0" w:line="240" w:lineRule="auto"/>
        <w:jc w:val="both"/>
      </w:pPr>
    </w:p>
    <w:p w:rsidR="00C877B7" w:rsidRDefault="00C877B7" w:rsidP="00BD3F5A">
      <w:pPr>
        <w:spacing w:before="0" w:after="0" w:line="240" w:lineRule="auto"/>
        <w:jc w:val="both"/>
      </w:pPr>
      <w:r>
        <w:t xml:space="preserve">There is some variation in the level of coverage in different administrative areas, with generally fewer Green Deal Providers, Assessor Organisations and installers in Scotland and Wales compared to England. LAs in the North West have the most complete coverage of the GD supply chain out of all regions in Great Britain. </w:t>
      </w:r>
    </w:p>
    <w:p w:rsidR="00BD3F5A" w:rsidRDefault="00BD3F5A" w:rsidP="00BD3F5A">
      <w:pPr>
        <w:spacing w:before="0" w:after="0" w:line="240" w:lineRule="auto"/>
        <w:jc w:val="both"/>
      </w:pPr>
    </w:p>
    <w:p w:rsidR="00C877B7" w:rsidRDefault="00C877B7" w:rsidP="00BD3F5A">
      <w:pPr>
        <w:spacing w:before="0" w:after="0" w:line="270" w:lineRule="atLeast"/>
        <w:jc w:val="both"/>
      </w:pPr>
      <w:r>
        <w:t xml:space="preserve">Overall, all LAs are covered by at least </w:t>
      </w:r>
      <w:r w:rsidR="00BD3F5A">
        <w:t>nine</w:t>
      </w:r>
      <w:r>
        <w:t xml:space="preserve"> Green Deal Providers, </w:t>
      </w:r>
      <w:r w:rsidR="00BD3F5A">
        <w:t>20</w:t>
      </w:r>
      <w:r>
        <w:t xml:space="preserve"> Assessor Organisations and </w:t>
      </w:r>
      <w:r w:rsidR="00BD3F5A">
        <w:t>74</w:t>
      </w:r>
      <w:r>
        <w:t xml:space="preserve"> installers.</w:t>
      </w:r>
    </w:p>
    <w:p w:rsidR="00C877B7" w:rsidRDefault="00C877B7" w:rsidP="00BD3F5A">
      <w:pPr>
        <w:spacing w:before="0" w:after="0" w:line="270" w:lineRule="atLeast"/>
        <w:jc w:val="both"/>
      </w:pPr>
      <w:r>
        <w:br w:type="page"/>
      </w:r>
      <w:bookmarkStart w:id="54" w:name="_Toc375046131"/>
      <w:bookmarkEnd w:id="42"/>
      <w:r w:rsidR="002C6612" w:rsidRPr="002C6612">
        <w:rPr>
          <w:szCs w:val="24"/>
        </w:rPr>
        <w:lastRenderedPageBreak/>
        <w:t xml:space="preserve">Map </w:t>
      </w:r>
      <w:r w:rsidR="00170DD3">
        <w:rPr>
          <w:szCs w:val="24"/>
        </w:rPr>
        <w:t>1.</w:t>
      </w:r>
      <w:r w:rsidR="002C6612" w:rsidRPr="002C6612">
        <w:rPr>
          <w:szCs w:val="24"/>
        </w:rPr>
        <w:fldChar w:fldCharType="begin"/>
      </w:r>
      <w:r w:rsidR="002C6612" w:rsidRPr="002C6612">
        <w:rPr>
          <w:szCs w:val="24"/>
        </w:rPr>
        <w:instrText xml:space="preserve"> SEQ Map \* ARABIC </w:instrText>
      </w:r>
      <w:r w:rsidR="002C6612" w:rsidRPr="002C6612">
        <w:rPr>
          <w:szCs w:val="24"/>
        </w:rPr>
        <w:fldChar w:fldCharType="separate"/>
      </w:r>
      <w:r w:rsidR="001E226F">
        <w:rPr>
          <w:noProof/>
          <w:szCs w:val="24"/>
        </w:rPr>
        <w:t>3</w:t>
      </w:r>
      <w:r w:rsidR="002C6612" w:rsidRPr="002C6612">
        <w:rPr>
          <w:szCs w:val="24"/>
        </w:rPr>
        <w:fldChar w:fldCharType="end"/>
      </w:r>
      <w:r w:rsidR="002C6612">
        <w:rPr>
          <w:b/>
          <w:szCs w:val="24"/>
        </w:rPr>
        <w:t xml:space="preserve"> </w:t>
      </w:r>
      <w:r w:rsidRPr="002F20D4">
        <w:t>– Number of A</w:t>
      </w:r>
      <w:bookmarkStart w:id="55" w:name="assessor_new"/>
      <w:bookmarkEnd w:id="55"/>
      <w:r w:rsidRPr="002F20D4">
        <w:t>ssessor organisations operating per Local Authority</w:t>
      </w:r>
      <w:bookmarkEnd w:id="43"/>
      <w:bookmarkEnd w:id="54"/>
    </w:p>
    <w:p w:rsidR="00C877B7" w:rsidRDefault="0012033E" w:rsidP="00C877B7">
      <w:pPr>
        <w:spacing w:line="270" w:lineRule="atLeast"/>
      </w:pPr>
      <w:r>
        <w:pict>
          <v:shape id="_x0000_i1030" type="#_x0000_t75" style="width:484.5pt;height:684.75pt">
            <v:imagedata r:id="rId42" o:title="AssessorOrgsOct13"/>
          </v:shape>
        </w:pict>
      </w:r>
    </w:p>
    <w:p w:rsidR="00C877B7" w:rsidRPr="005C1D9D" w:rsidRDefault="00C877B7" w:rsidP="00C877B7">
      <w:pPr>
        <w:tabs>
          <w:tab w:val="left" w:pos="7635"/>
        </w:tabs>
        <w:spacing w:line="270" w:lineRule="atLeast"/>
        <w:jc w:val="both"/>
      </w:pPr>
      <w:r>
        <w:br w:type="page"/>
      </w:r>
      <w:bookmarkStart w:id="56" w:name="_Toc375046132"/>
      <w:r w:rsidR="002C6612" w:rsidRPr="002C6612">
        <w:rPr>
          <w:szCs w:val="24"/>
        </w:rPr>
        <w:lastRenderedPageBreak/>
        <w:t xml:space="preserve">Map </w:t>
      </w:r>
      <w:r w:rsidR="00170DD3">
        <w:rPr>
          <w:szCs w:val="24"/>
        </w:rPr>
        <w:t>1.</w:t>
      </w:r>
      <w:r w:rsidR="002C6612" w:rsidRPr="002C6612">
        <w:rPr>
          <w:szCs w:val="24"/>
        </w:rPr>
        <w:fldChar w:fldCharType="begin"/>
      </w:r>
      <w:r w:rsidR="002C6612" w:rsidRPr="002C6612">
        <w:rPr>
          <w:szCs w:val="24"/>
        </w:rPr>
        <w:instrText xml:space="preserve"> SEQ Map \* ARABIC </w:instrText>
      </w:r>
      <w:r w:rsidR="002C6612" w:rsidRPr="002C6612">
        <w:rPr>
          <w:szCs w:val="24"/>
        </w:rPr>
        <w:fldChar w:fldCharType="separate"/>
      </w:r>
      <w:r w:rsidR="001E226F">
        <w:rPr>
          <w:noProof/>
          <w:szCs w:val="24"/>
        </w:rPr>
        <w:t>4</w:t>
      </w:r>
      <w:r w:rsidR="002C6612" w:rsidRPr="002C6612">
        <w:rPr>
          <w:szCs w:val="24"/>
        </w:rPr>
        <w:fldChar w:fldCharType="end"/>
      </w:r>
      <w:r w:rsidR="002C6612">
        <w:rPr>
          <w:b/>
          <w:szCs w:val="24"/>
        </w:rPr>
        <w:t xml:space="preserve"> </w:t>
      </w:r>
      <w:r w:rsidRPr="002F20D4">
        <w:t>– Number of Installers operating per Local Authority</w:t>
      </w:r>
      <w:bookmarkStart w:id="57" w:name="installer_new"/>
      <w:bookmarkEnd w:id="56"/>
      <w:bookmarkEnd w:id="57"/>
    </w:p>
    <w:p w:rsidR="00C877B7" w:rsidRDefault="0012033E" w:rsidP="00C877B7">
      <w:pPr>
        <w:pStyle w:val="NormalWeb"/>
        <w:spacing w:line="270" w:lineRule="atLeast"/>
        <w:jc w:val="both"/>
        <w:rPr>
          <w:rFonts w:ascii="Arial" w:hAnsi="Arial" w:cs="Arial"/>
          <w:sz w:val="22"/>
          <w:szCs w:val="22"/>
          <w:highlight w:val="yellow"/>
        </w:rPr>
      </w:pPr>
      <w:r>
        <w:rPr>
          <w:rFonts w:ascii="Arial" w:hAnsi="Arial" w:cs="Arial"/>
          <w:sz w:val="22"/>
          <w:szCs w:val="22"/>
        </w:rPr>
        <w:pict>
          <v:shape id="_x0000_i1031" type="#_x0000_t75" style="width:496.5pt;height:702.75pt">
            <v:imagedata r:id="rId43" o:title="InstallersOct13"/>
          </v:shape>
        </w:pict>
      </w:r>
    </w:p>
    <w:bookmarkEnd w:id="19"/>
    <w:p w:rsidR="00415EE4" w:rsidRPr="00C50FC5" w:rsidRDefault="00C06107" w:rsidP="00C50FC5">
      <w:pPr>
        <w:pStyle w:val="ChapterHead"/>
        <w:spacing w:before="0" w:after="100" w:afterAutospacing="1"/>
        <w:rPr>
          <w:rFonts w:cs="Arial"/>
          <w:szCs w:val="50"/>
        </w:rPr>
      </w:pPr>
      <w:r>
        <w:rPr>
          <w:rFonts w:cs="Arial"/>
          <w:szCs w:val="50"/>
        </w:rPr>
        <w:br w:type="page"/>
      </w:r>
      <w:bookmarkStart w:id="58" w:name="GDECOTables"/>
      <w:bookmarkStart w:id="59" w:name="_Toc375046011"/>
      <w:bookmarkEnd w:id="58"/>
      <w:r w:rsidR="000F3D99">
        <w:rPr>
          <w:rFonts w:cs="Arial"/>
          <w:szCs w:val="50"/>
        </w:rPr>
        <w:lastRenderedPageBreak/>
        <w:t>GD and ECO</w:t>
      </w:r>
      <w:r w:rsidR="00E90724" w:rsidRPr="008A5812">
        <w:rPr>
          <w:rFonts w:cs="Arial"/>
          <w:szCs w:val="50"/>
        </w:rPr>
        <w:t xml:space="preserve"> Tables</w:t>
      </w:r>
      <w:bookmarkStart w:id="60" w:name="AnnexA"/>
      <w:bookmarkStart w:id="61" w:name="AnnexB"/>
      <w:bookmarkEnd w:id="59"/>
      <w:bookmarkEnd w:id="60"/>
    </w:p>
    <w:p w:rsidR="00415EE4" w:rsidRDefault="00C50FC5" w:rsidP="00415EE4">
      <w:pPr>
        <w:spacing w:before="0" w:after="0" w:line="270" w:lineRule="atLeast"/>
        <w:jc w:val="both"/>
        <w:rPr>
          <w:b/>
          <w:bCs/>
          <w:highlight w:val="yellow"/>
        </w:rPr>
      </w:pPr>
      <w:r>
        <w:rPr>
          <w:b/>
          <w:bCs/>
        </w:rPr>
        <w:t>Table 1.1</w:t>
      </w:r>
      <w:r w:rsidR="00415EE4" w:rsidRPr="004D4BDA">
        <w:rPr>
          <w:b/>
          <w:bCs/>
        </w:rPr>
        <w:t>: Number of Green Deal Assessments by Energy Efficiency Band, up to 30</w:t>
      </w:r>
      <w:r w:rsidR="00415EE4" w:rsidRPr="007F67A0">
        <w:rPr>
          <w:b/>
          <w:bCs/>
          <w:vertAlign w:val="superscript"/>
        </w:rPr>
        <w:t>th</w:t>
      </w:r>
      <w:r w:rsidR="00415EE4">
        <w:rPr>
          <w:b/>
          <w:bCs/>
        </w:rPr>
        <w:t xml:space="preserve"> </w:t>
      </w:r>
      <w:r w:rsidR="00506630" w:rsidRPr="00506630">
        <w:rPr>
          <w:b/>
          <w:bCs/>
        </w:rPr>
        <w:t>September</w:t>
      </w:r>
      <w:r w:rsidR="00415EE4" w:rsidRPr="004D4BDA">
        <w:rPr>
          <w:b/>
          <w:bCs/>
        </w:rPr>
        <w:t xml:space="preserve"> 2013</w:t>
      </w:r>
      <w:r w:rsidR="008F084B">
        <w:rPr>
          <w:b/>
          <w:bCs/>
        </w:rPr>
        <w:t>, Great Britain</w:t>
      </w:r>
    </w:p>
    <w:p w:rsidR="00415EE4" w:rsidRDefault="00415EE4" w:rsidP="00415EE4">
      <w:pPr>
        <w:spacing w:before="0" w:after="0" w:line="270" w:lineRule="atLeast"/>
        <w:rPr>
          <w:b/>
          <w:bCs/>
          <w:highlight w:val="yellow"/>
        </w:rPr>
      </w:pPr>
    </w:p>
    <w:tbl>
      <w:tblPr>
        <w:tblW w:w="8840" w:type="dxa"/>
        <w:tblInd w:w="93" w:type="dxa"/>
        <w:tblLook w:val="04A0" w:firstRow="1" w:lastRow="0" w:firstColumn="1" w:lastColumn="0" w:noHBand="0" w:noVBand="1"/>
      </w:tblPr>
      <w:tblGrid>
        <w:gridCol w:w="4020"/>
        <w:gridCol w:w="1340"/>
        <w:gridCol w:w="1760"/>
        <w:gridCol w:w="1720"/>
      </w:tblGrid>
      <w:tr w:rsidR="00415EE4" w:rsidRPr="00E37C86" w:rsidTr="004955B3">
        <w:trPr>
          <w:trHeight w:val="555"/>
        </w:trPr>
        <w:tc>
          <w:tcPr>
            <w:tcW w:w="4020" w:type="dxa"/>
            <w:tcBorders>
              <w:top w:val="single" w:sz="4" w:space="0" w:color="auto"/>
              <w:left w:val="nil"/>
              <w:bottom w:val="single" w:sz="4" w:space="0" w:color="auto"/>
              <w:right w:val="nil"/>
            </w:tcBorders>
            <w:shd w:val="clear" w:color="auto" w:fill="auto"/>
            <w:noWrap/>
            <w:vAlign w:val="center"/>
            <w:hideMark/>
          </w:tcPr>
          <w:p w:rsidR="00415EE4" w:rsidRPr="00E37C86" w:rsidRDefault="00415EE4" w:rsidP="00415EE4">
            <w:pPr>
              <w:spacing w:before="0" w:after="0" w:line="240" w:lineRule="auto"/>
              <w:rPr>
                <w:color w:val="000000"/>
                <w:lang w:eastAsia="en-GB"/>
              </w:rPr>
            </w:pPr>
            <w:r w:rsidRPr="00E37C86">
              <w:rPr>
                <w:color w:val="000000"/>
                <w:lang w:eastAsia="en-GB"/>
              </w:rPr>
              <w:t>Energy Efficiency Band</w:t>
            </w:r>
          </w:p>
        </w:tc>
        <w:tc>
          <w:tcPr>
            <w:tcW w:w="1340" w:type="dxa"/>
            <w:tcBorders>
              <w:top w:val="single" w:sz="4" w:space="0" w:color="auto"/>
              <w:left w:val="nil"/>
              <w:bottom w:val="single" w:sz="4" w:space="0" w:color="auto"/>
              <w:right w:val="nil"/>
            </w:tcBorders>
            <w:shd w:val="clear" w:color="auto" w:fill="auto"/>
            <w:noWrap/>
            <w:vAlign w:val="bottom"/>
            <w:hideMark/>
          </w:tcPr>
          <w:p w:rsidR="00415EE4" w:rsidRPr="00E37C86" w:rsidRDefault="00415EE4" w:rsidP="00415EE4">
            <w:pPr>
              <w:spacing w:before="0" w:after="0" w:line="240" w:lineRule="auto"/>
              <w:rPr>
                <w:color w:val="000000"/>
                <w:lang w:eastAsia="en-GB"/>
              </w:rPr>
            </w:pPr>
            <w:r w:rsidRPr="00E37C86">
              <w:rPr>
                <w:color w:val="000000"/>
                <w:lang w:eastAsia="en-GB"/>
              </w:rPr>
              <w:t> </w:t>
            </w:r>
          </w:p>
        </w:tc>
        <w:tc>
          <w:tcPr>
            <w:tcW w:w="1760" w:type="dxa"/>
            <w:tcBorders>
              <w:top w:val="single" w:sz="4" w:space="0" w:color="auto"/>
              <w:left w:val="nil"/>
              <w:bottom w:val="single" w:sz="4" w:space="0" w:color="auto"/>
              <w:right w:val="nil"/>
            </w:tcBorders>
            <w:shd w:val="clear" w:color="auto" w:fill="auto"/>
            <w:vAlign w:val="bottom"/>
            <w:hideMark/>
          </w:tcPr>
          <w:p w:rsidR="00415EE4" w:rsidRPr="00E37C86" w:rsidRDefault="00415EE4" w:rsidP="00415EE4">
            <w:pPr>
              <w:spacing w:before="0" w:after="0" w:line="240" w:lineRule="auto"/>
              <w:jc w:val="right"/>
              <w:rPr>
                <w:color w:val="000000"/>
                <w:lang w:eastAsia="en-GB"/>
              </w:rPr>
            </w:pPr>
            <w:r w:rsidRPr="00E37C86">
              <w:rPr>
                <w:color w:val="000000"/>
                <w:lang w:eastAsia="en-GB"/>
              </w:rPr>
              <w:t>Green Deal Assessments</w:t>
            </w:r>
          </w:p>
        </w:tc>
        <w:tc>
          <w:tcPr>
            <w:tcW w:w="1720" w:type="dxa"/>
            <w:tcBorders>
              <w:top w:val="single" w:sz="4" w:space="0" w:color="auto"/>
              <w:left w:val="nil"/>
              <w:bottom w:val="single" w:sz="4" w:space="0" w:color="auto"/>
              <w:right w:val="nil"/>
            </w:tcBorders>
            <w:shd w:val="clear" w:color="auto" w:fill="auto"/>
            <w:vAlign w:val="bottom"/>
            <w:hideMark/>
          </w:tcPr>
          <w:p w:rsidR="00415EE4" w:rsidRPr="00E37C86" w:rsidRDefault="00415EE4" w:rsidP="00415EE4">
            <w:pPr>
              <w:spacing w:before="0" w:after="0" w:line="240" w:lineRule="auto"/>
              <w:jc w:val="right"/>
              <w:rPr>
                <w:color w:val="000000"/>
                <w:lang w:eastAsia="en-GB"/>
              </w:rPr>
            </w:pPr>
            <w:r w:rsidRPr="00E37C86">
              <w:rPr>
                <w:color w:val="000000"/>
                <w:lang w:eastAsia="en-GB"/>
              </w:rPr>
              <w:t>Percentage of Assessments</w:t>
            </w:r>
          </w:p>
        </w:tc>
      </w:tr>
      <w:tr w:rsidR="008F084B" w:rsidRPr="00E37C86" w:rsidTr="004955B3">
        <w:trPr>
          <w:trHeight w:val="285"/>
        </w:trPr>
        <w:tc>
          <w:tcPr>
            <w:tcW w:w="4020" w:type="dxa"/>
            <w:tcBorders>
              <w:top w:val="nil"/>
              <w:left w:val="nil"/>
              <w:bottom w:val="nil"/>
              <w:right w:val="nil"/>
            </w:tcBorders>
            <w:shd w:val="clear" w:color="000000" w:fill="FFFFFF"/>
            <w:noWrap/>
            <w:vAlign w:val="bottom"/>
            <w:hideMark/>
          </w:tcPr>
          <w:p w:rsidR="008F084B" w:rsidRPr="00E37C86" w:rsidRDefault="008F084B" w:rsidP="00415EE4">
            <w:pPr>
              <w:spacing w:before="0" w:after="0" w:line="240" w:lineRule="auto"/>
              <w:rPr>
                <w:color w:val="000000"/>
                <w:lang w:eastAsia="en-GB"/>
              </w:rPr>
            </w:pPr>
            <w:r w:rsidRPr="00E37C86">
              <w:rPr>
                <w:color w:val="000000"/>
                <w:lang w:eastAsia="en-GB"/>
              </w:rPr>
              <w:t>A</w:t>
            </w:r>
          </w:p>
        </w:tc>
        <w:tc>
          <w:tcPr>
            <w:tcW w:w="1340" w:type="dxa"/>
            <w:tcBorders>
              <w:top w:val="nil"/>
              <w:left w:val="nil"/>
              <w:bottom w:val="nil"/>
              <w:right w:val="nil"/>
            </w:tcBorders>
            <w:shd w:val="clear" w:color="auto" w:fill="auto"/>
            <w:noWrap/>
            <w:vAlign w:val="bottom"/>
            <w:hideMark/>
          </w:tcPr>
          <w:p w:rsidR="008F084B" w:rsidRPr="00E37C86" w:rsidRDefault="008F084B"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8F084B" w:rsidRPr="008F084B" w:rsidRDefault="008F084B" w:rsidP="008F084B">
            <w:pPr>
              <w:spacing w:before="0" w:after="0"/>
              <w:jc w:val="right"/>
              <w:rPr>
                <w:color w:val="000000"/>
                <w:szCs w:val="24"/>
              </w:rPr>
            </w:pPr>
            <w:r w:rsidRPr="008F084B">
              <w:rPr>
                <w:color w:val="000000"/>
                <w:szCs w:val="24"/>
              </w:rPr>
              <w:t>35</w:t>
            </w:r>
          </w:p>
        </w:tc>
        <w:tc>
          <w:tcPr>
            <w:tcW w:w="1720" w:type="dxa"/>
            <w:tcBorders>
              <w:top w:val="nil"/>
              <w:left w:val="nil"/>
              <w:bottom w:val="nil"/>
              <w:right w:val="nil"/>
            </w:tcBorders>
            <w:shd w:val="clear" w:color="auto" w:fill="auto"/>
            <w:noWrap/>
            <w:vAlign w:val="bottom"/>
            <w:hideMark/>
          </w:tcPr>
          <w:p w:rsidR="008F084B" w:rsidRPr="008F084B" w:rsidRDefault="008F084B" w:rsidP="008F084B">
            <w:pPr>
              <w:spacing w:before="0" w:after="0"/>
              <w:jc w:val="right"/>
              <w:rPr>
                <w:i/>
                <w:iCs/>
                <w:color w:val="000000"/>
                <w:szCs w:val="24"/>
              </w:rPr>
            </w:pPr>
            <w:r w:rsidRPr="008F084B">
              <w:rPr>
                <w:i/>
                <w:iCs/>
                <w:color w:val="000000"/>
                <w:szCs w:val="24"/>
              </w:rPr>
              <w:t>0</w:t>
            </w:r>
          </w:p>
        </w:tc>
      </w:tr>
      <w:tr w:rsidR="008F084B" w:rsidRPr="00E37C86" w:rsidTr="004955B3">
        <w:trPr>
          <w:trHeight w:val="285"/>
        </w:trPr>
        <w:tc>
          <w:tcPr>
            <w:tcW w:w="4020" w:type="dxa"/>
            <w:tcBorders>
              <w:top w:val="nil"/>
              <w:left w:val="nil"/>
              <w:bottom w:val="nil"/>
              <w:right w:val="nil"/>
            </w:tcBorders>
            <w:shd w:val="clear" w:color="000000" w:fill="FFFFFF"/>
            <w:noWrap/>
            <w:vAlign w:val="bottom"/>
            <w:hideMark/>
          </w:tcPr>
          <w:p w:rsidR="008F084B" w:rsidRPr="00E37C86" w:rsidRDefault="008F084B" w:rsidP="00415EE4">
            <w:pPr>
              <w:spacing w:before="0" w:after="0" w:line="240" w:lineRule="auto"/>
              <w:rPr>
                <w:color w:val="000000"/>
                <w:lang w:eastAsia="en-GB"/>
              </w:rPr>
            </w:pPr>
            <w:r w:rsidRPr="00E37C86">
              <w:rPr>
                <w:color w:val="000000"/>
                <w:lang w:eastAsia="en-GB"/>
              </w:rPr>
              <w:t>B</w:t>
            </w:r>
          </w:p>
        </w:tc>
        <w:tc>
          <w:tcPr>
            <w:tcW w:w="1340" w:type="dxa"/>
            <w:tcBorders>
              <w:top w:val="nil"/>
              <w:left w:val="nil"/>
              <w:bottom w:val="nil"/>
              <w:right w:val="nil"/>
            </w:tcBorders>
            <w:shd w:val="clear" w:color="auto" w:fill="auto"/>
            <w:noWrap/>
            <w:vAlign w:val="bottom"/>
            <w:hideMark/>
          </w:tcPr>
          <w:p w:rsidR="008F084B" w:rsidRPr="00E37C86" w:rsidRDefault="008F084B"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8F084B" w:rsidRPr="008F084B" w:rsidRDefault="008F084B" w:rsidP="008F084B">
            <w:pPr>
              <w:spacing w:before="0" w:after="0"/>
              <w:jc w:val="right"/>
              <w:rPr>
                <w:color w:val="000000"/>
                <w:szCs w:val="24"/>
              </w:rPr>
            </w:pPr>
            <w:r w:rsidRPr="008F084B">
              <w:rPr>
                <w:color w:val="000000"/>
                <w:szCs w:val="24"/>
              </w:rPr>
              <w:t>453</w:t>
            </w:r>
          </w:p>
        </w:tc>
        <w:tc>
          <w:tcPr>
            <w:tcW w:w="1720" w:type="dxa"/>
            <w:tcBorders>
              <w:top w:val="nil"/>
              <w:left w:val="nil"/>
              <w:bottom w:val="nil"/>
              <w:right w:val="nil"/>
            </w:tcBorders>
            <w:shd w:val="clear" w:color="auto" w:fill="auto"/>
            <w:noWrap/>
            <w:vAlign w:val="bottom"/>
            <w:hideMark/>
          </w:tcPr>
          <w:p w:rsidR="008F084B" w:rsidRPr="008F084B" w:rsidRDefault="008F084B" w:rsidP="008F084B">
            <w:pPr>
              <w:spacing w:before="0" w:after="0"/>
              <w:jc w:val="right"/>
              <w:rPr>
                <w:i/>
                <w:iCs/>
                <w:color w:val="000000"/>
                <w:szCs w:val="24"/>
              </w:rPr>
            </w:pPr>
            <w:r w:rsidRPr="008F084B">
              <w:rPr>
                <w:i/>
                <w:iCs/>
                <w:color w:val="000000"/>
                <w:szCs w:val="24"/>
              </w:rPr>
              <w:t>1</w:t>
            </w:r>
          </w:p>
        </w:tc>
      </w:tr>
      <w:tr w:rsidR="008F084B" w:rsidRPr="00E37C86" w:rsidTr="004955B3">
        <w:trPr>
          <w:trHeight w:val="285"/>
        </w:trPr>
        <w:tc>
          <w:tcPr>
            <w:tcW w:w="4020" w:type="dxa"/>
            <w:tcBorders>
              <w:top w:val="nil"/>
              <w:left w:val="nil"/>
              <w:bottom w:val="nil"/>
              <w:right w:val="nil"/>
            </w:tcBorders>
            <w:shd w:val="clear" w:color="000000" w:fill="FFFFFF"/>
            <w:noWrap/>
            <w:vAlign w:val="bottom"/>
            <w:hideMark/>
          </w:tcPr>
          <w:p w:rsidR="008F084B" w:rsidRPr="00E37C86" w:rsidRDefault="008F084B" w:rsidP="00415EE4">
            <w:pPr>
              <w:spacing w:before="0" w:after="0" w:line="240" w:lineRule="auto"/>
              <w:rPr>
                <w:color w:val="000000"/>
                <w:lang w:eastAsia="en-GB"/>
              </w:rPr>
            </w:pPr>
            <w:r w:rsidRPr="00E37C86">
              <w:rPr>
                <w:color w:val="000000"/>
                <w:lang w:eastAsia="en-GB"/>
              </w:rPr>
              <w:t>C</w:t>
            </w:r>
          </w:p>
        </w:tc>
        <w:tc>
          <w:tcPr>
            <w:tcW w:w="1340" w:type="dxa"/>
            <w:tcBorders>
              <w:top w:val="nil"/>
              <w:left w:val="nil"/>
              <w:bottom w:val="nil"/>
              <w:right w:val="nil"/>
            </w:tcBorders>
            <w:shd w:val="clear" w:color="auto" w:fill="auto"/>
            <w:noWrap/>
            <w:vAlign w:val="bottom"/>
            <w:hideMark/>
          </w:tcPr>
          <w:p w:rsidR="008F084B" w:rsidRPr="00E37C86" w:rsidRDefault="008F084B"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8F084B" w:rsidRPr="008F084B" w:rsidRDefault="008F084B" w:rsidP="008F084B">
            <w:pPr>
              <w:spacing w:before="0" w:after="0"/>
              <w:jc w:val="right"/>
              <w:rPr>
                <w:color w:val="000000"/>
                <w:szCs w:val="24"/>
              </w:rPr>
            </w:pPr>
            <w:r w:rsidRPr="008F084B">
              <w:rPr>
                <w:color w:val="000000"/>
                <w:szCs w:val="24"/>
              </w:rPr>
              <w:t>9,600</w:t>
            </w:r>
          </w:p>
        </w:tc>
        <w:tc>
          <w:tcPr>
            <w:tcW w:w="1720" w:type="dxa"/>
            <w:tcBorders>
              <w:top w:val="nil"/>
              <w:left w:val="nil"/>
              <w:bottom w:val="nil"/>
              <w:right w:val="nil"/>
            </w:tcBorders>
            <w:shd w:val="clear" w:color="auto" w:fill="auto"/>
            <w:noWrap/>
            <w:vAlign w:val="bottom"/>
            <w:hideMark/>
          </w:tcPr>
          <w:p w:rsidR="008F084B" w:rsidRPr="008F084B" w:rsidRDefault="008F084B" w:rsidP="008F084B">
            <w:pPr>
              <w:spacing w:before="0" w:after="0"/>
              <w:jc w:val="right"/>
              <w:rPr>
                <w:i/>
                <w:iCs/>
                <w:color w:val="000000"/>
                <w:szCs w:val="24"/>
              </w:rPr>
            </w:pPr>
            <w:r w:rsidRPr="008F084B">
              <w:rPr>
                <w:i/>
                <w:iCs/>
                <w:color w:val="000000"/>
                <w:szCs w:val="24"/>
              </w:rPr>
              <w:t>11</w:t>
            </w:r>
          </w:p>
        </w:tc>
      </w:tr>
      <w:tr w:rsidR="008F084B" w:rsidRPr="00E37C86" w:rsidTr="004955B3">
        <w:trPr>
          <w:trHeight w:val="285"/>
        </w:trPr>
        <w:tc>
          <w:tcPr>
            <w:tcW w:w="4020" w:type="dxa"/>
            <w:tcBorders>
              <w:top w:val="nil"/>
              <w:left w:val="nil"/>
              <w:bottom w:val="nil"/>
              <w:right w:val="nil"/>
            </w:tcBorders>
            <w:shd w:val="clear" w:color="000000" w:fill="FFFFFF"/>
            <w:noWrap/>
            <w:vAlign w:val="bottom"/>
            <w:hideMark/>
          </w:tcPr>
          <w:p w:rsidR="008F084B" w:rsidRPr="00E37C86" w:rsidRDefault="008F084B" w:rsidP="00415EE4">
            <w:pPr>
              <w:spacing w:before="0" w:after="0" w:line="240" w:lineRule="auto"/>
              <w:rPr>
                <w:color w:val="000000"/>
                <w:lang w:eastAsia="en-GB"/>
              </w:rPr>
            </w:pPr>
            <w:r w:rsidRPr="00E37C86">
              <w:rPr>
                <w:color w:val="000000"/>
                <w:lang w:eastAsia="en-GB"/>
              </w:rPr>
              <w:t>D</w:t>
            </w:r>
          </w:p>
        </w:tc>
        <w:tc>
          <w:tcPr>
            <w:tcW w:w="1340" w:type="dxa"/>
            <w:tcBorders>
              <w:top w:val="nil"/>
              <w:left w:val="nil"/>
              <w:bottom w:val="nil"/>
              <w:right w:val="nil"/>
            </w:tcBorders>
            <w:shd w:val="clear" w:color="auto" w:fill="auto"/>
            <w:noWrap/>
            <w:vAlign w:val="bottom"/>
            <w:hideMark/>
          </w:tcPr>
          <w:p w:rsidR="008F084B" w:rsidRPr="00E37C86" w:rsidRDefault="008F084B"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8F084B" w:rsidRPr="008F084B" w:rsidRDefault="008F084B" w:rsidP="008F084B">
            <w:pPr>
              <w:spacing w:before="0" w:after="0"/>
              <w:jc w:val="right"/>
              <w:rPr>
                <w:color w:val="000000"/>
                <w:szCs w:val="24"/>
              </w:rPr>
            </w:pPr>
            <w:r w:rsidRPr="008F084B">
              <w:rPr>
                <w:color w:val="000000"/>
                <w:szCs w:val="24"/>
              </w:rPr>
              <w:t>45,094</w:t>
            </w:r>
          </w:p>
        </w:tc>
        <w:tc>
          <w:tcPr>
            <w:tcW w:w="1720" w:type="dxa"/>
            <w:tcBorders>
              <w:top w:val="nil"/>
              <w:left w:val="nil"/>
              <w:bottom w:val="nil"/>
              <w:right w:val="nil"/>
            </w:tcBorders>
            <w:shd w:val="clear" w:color="auto" w:fill="auto"/>
            <w:noWrap/>
            <w:vAlign w:val="bottom"/>
            <w:hideMark/>
          </w:tcPr>
          <w:p w:rsidR="008F084B" w:rsidRPr="008F084B" w:rsidRDefault="008F084B" w:rsidP="008F084B">
            <w:pPr>
              <w:spacing w:before="0" w:after="0"/>
              <w:jc w:val="right"/>
              <w:rPr>
                <w:i/>
                <w:iCs/>
                <w:color w:val="000000"/>
                <w:szCs w:val="24"/>
              </w:rPr>
            </w:pPr>
            <w:r w:rsidRPr="008F084B">
              <w:rPr>
                <w:i/>
                <w:iCs/>
                <w:color w:val="000000"/>
                <w:szCs w:val="24"/>
              </w:rPr>
              <w:t>53</w:t>
            </w:r>
          </w:p>
        </w:tc>
      </w:tr>
      <w:tr w:rsidR="008F084B" w:rsidRPr="00E37C86" w:rsidTr="004955B3">
        <w:trPr>
          <w:trHeight w:val="285"/>
        </w:trPr>
        <w:tc>
          <w:tcPr>
            <w:tcW w:w="4020" w:type="dxa"/>
            <w:tcBorders>
              <w:top w:val="nil"/>
              <w:left w:val="nil"/>
              <w:bottom w:val="nil"/>
              <w:right w:val="nil"/>
            </w:tcBorders>
            <w:shd w:val="clear" w:color="000000" w:fill="FFFFFF"/>
            <w:noWrap/>
            <w:vAlign w:val="bottom"/>
            <w:hideMark/>
          </w:tcPr>
          <w:p w:rsidR="008F084B" w:rsidRPr="00E37C86" w:rsidRDefault="008F084B" w:rsidP="00415EE4">
            <w:pPr>
              <w:spacing w:before="0" w:after="0" w:line="240" w:lineRule="auto"/>
              <w:rPr>
                <w:color w:val="000000"/>
                <w:lang w:eastAsia="en-GB"/>
              </w:rPr>
            </w:pPr>
            <w:r w:rsidRPr="00E37C86">
              <w:rPr>
                <w:color w:val="000000"/>
                <w:lang w:eastAsia="en-GB"/>
              </w:rPr>
              <w:t>E</w:t>
            </w:r>
          </w:p>
        </w:tc>
        <w:tc>
          <w:tcPr>
            <w:tcW w:w="1340" w:type="dxa"/>
            <w:tcBorders>
              <w:top w:val="nil"/>
              <w:left w:val="nil"/>
              <w:bottom w:val="nil"/>
              <w:right w:val="nil"/>
            </w:tcBorders>
            <w:shd w:val="clear" w:color="auto" w:fill="auto"/>
            <w:noWrap/>
            <w:vAlign w:val="bottom"/>
            <w:hideMark/>
          </w:tcPr>
          <w:p w:rsidR="008F084B" w:rsidRPr="00E37C86" w:rsidRDefault="008F084B"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8F084B" w:rsidRPr="008F084B" w:rsidRDefault="008F084B" w:rsidP="008F084B">
            <w:pPr>
              <w:spacing w:before="0" w:after="0"/>
              <w:jc w:val="right"/>
              <w:rPr>
                <w:color w:val="000000"/>
                <w:szCs w:val="24"/>
              </w:rPr>
            </w:pPr>
            <w:r w:rsidRPr="008F084B">
              <w:rPr>
                <w:color w:val="000000"/>
                <w:szCs w:val="24"/>
              </w:rPr>
              <w:t>22,861</w:t>
            </w:r>
          </w:p>
        </w:tc>
        <w:tc>
          <w:tcPr>
            <w:tcW w:w="1720" w:type="dxa"/>
            <w:tcBorders>
              <w:top w:val="nil"/>
              <w:left w:val="nil"/>
              <w:bottom w:val="nil"/>
              <w:right w:val="nil"/>
            </w:tcBorders>
            <w:shd w:val="clear" w:color="auto" w:fill="auto"/>
            <w:noWrap/>
            <w:vAlign w:val="bottom"/>
            <w:hideMark/>
          </w:tcPr>
          <w:p w:rsidR="008F084B" w:rsidRPr="008F084B" w:rsidRDefault="008F084B" w:rsidP="008F084B">
            <w:pPr>
              <w:spacing w:before="0" w:after="0"/>
              <w:jc w:val="right"/>
              <w:rPr>
                <w:i/>
                <w:iCs/>
                <w:color w:val="000000"/>
                <w:szCs w:val="24"/>
              </w:rPr>
            </w:pPr>
            <w:r w:rsidRPr="008F084B">
              <w:rPr>
                <w:i/>
                <w:iCs/>
                <w:color w:val="000000"/>
                <w:szCs w:val="24"/>
              </w:rPr>
              <w:t>27</w:t>
            </w:r>
          </w:p>
        </w:tc>
      </w:tr>
      <w:tr w:rsidR="008F084B" w:rsidRPr="00E37C86" w:rsidTr="004955B3">
        <w:trPr>
          <w:trHeight w:val="285"/>
        </w:trPr>
        <w:tc>
          <w:tcPr>
            <w:tcW w:w="4020" w:type="dxa"/>
            <w:tcBorders>
              <w:top w:val="nil"/>
              <w:left w:val="nil"/>
              <w:bottom w:val="nil"/>
              <w:right w:val="nil"/>
            </w:tcBorders>
            <w:shd w:val="clear" w:color="000000" w:fill="FFFFFF"/>
            <w:noWrap/>
            <w:vAlign w:val="bottom"/>
            <w:hideMark/>
          </w:tcPr>
          <w:p w:rsidR="008F084B" w:rsidRPr="00E37C86" w:rsidRDefault="008F084B" w:rsidP="00415EE4">
            <w:pPr>
              <w:spacing w:before="0" w:after="0" w:line="240" w:lineRule="auto"/>
              <w:rPr>
                <w:color w:val="000000"/>
                <w:lang w:eastAsia="en-GB"/>
              </w:rPr>
            </w:pPr>
            <w:r w:rsidRPr="00E37C86">
              <w:rPr>
                <w:color w:val="000000"/>
                <w:lang w:eastAsia="en-GB"/>
              </w:rPr>
              <w:t>F</w:t>
            </w:r>
          </w:p>
        </w:tc>
        <w:tc>
          <w:tcPr>
            <w:tcW w:w="1340" w:type="dxa"/>
            <w:tcBorders>
              <w:top w:val="nil"/>
              <w:left w:val="nil"/>
              <w:bottom w:val="nil"/>
              <w:right w:val="nil"/>
            </w:tcBorders>
            <w:shd w:val="clear" w:color="auto" w:fill="auto"/>
            <w:noWrap/>
            <w:vAlign w:val="bottom"/>
            <w:hideMark/>
          </w:tcPr>
          <w:p w:rsidR="008F084B" w:rsidRPr="00E37C86" w:rsidRDefault="008F084B"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8F084B" w:rsidRPr="008F084B" w:rsidRDefault="008F084B" w:rsidP="008F084B">
            <w:pPr>
              <w:spacing w:before="0" w:after="0"/>
              <w:jc w:val="right"/>
              <w:rPr>
                <w:color w:val="000000"/>
                <w:szCs w:val="24"/>
              </w:rPr>
            </w:pPr>
            <w:r w:rsidRPr="008F084B">
              <w:rPr>
                <w:color w:val="000000"/>
                <w:szCs w:val="24"/>
              </w:rPr>
              <w:t>5,615</w:t>
            </w:r>
          </w:p>
        </w:tc>
        <w:tc>
          <w:tcPr>
            <w:tcW w:w="1720" w:type="dxa"/>
            <w:tcBorders>
              <w:top w:val="nil"/>
              <w:left w:val="nil"/>
              <w:bottom w:val="nil"/>
              <w:right w:val="nil"/>
            </w:tcBorders>
            <w:shd w:val="clear" w:color="auto" w:fill="auto"/>
            <w:noWrap/>
            <w:vAlign w:val="bottom"/>
            <w:hideMark/>
          </w:tcPr>
          <w:p w:rsidR="008F084B" w:rsidRPr="008F084B" w:rsidRDefault="008F084B" w:rsidP="008F084B">
            <w:pPr>
              <w:spacing w:before="0" w:after="0"/>
              <w:jc w:val="right"/>
              <w:rPr>
                <w:i/>
                <w:iCs/>
                <w:color w:val="000000"/>
                <w:szCs w:val="24"/>
              </w:rPr>
            </w:pPr>
            <w:r w:rsidRPr="008F084B">
              <w:rPr>
                <w:i/>
                <w:iCs/>
                <w:color w:val="000000"/>
                <w:szCs w:val="24"/>
              </w:rPr>
              <w:t>7</w:t>
            </w:r>
          </w:p>
        </w:tc>
      </w:tr>
      <w:tr w:rsidR="008F084B" w:rsidRPr="00E37C86" w:rsidTr="004955B3">
        <w:trPr>
          <w:trHeight w:val="285"/>
        </w:trPr>
        <w:tc>
          <w:tcPr>
            <w:tcW w:w="4020" w:type="dxa"/>
            <w:tcBorders>
              <w:top w:val="nil"/>
              <w:left w:val="nil"/>
              <w:bottom w:val="nil"/>
              <w:right w:val="nil"/>
            </w:tcBorders>
            <w:shd w:val="clear" w:color="000000" w:fill="FFFFFF"/>
            <w:noWrap/>
            <w:vAlign w:val="bottom"/>
            <w:hideMark/>
          </w:tcPr>
          <w:p w:rsidR="008F084B" w:rsidRPr="00E37C86" w:rsidRDefault="008F084B" w:rsidP="00415EE4">
            <w:pPr>
              <w:spacing w:before="0" w:after="0" w:line="240" w:lineRule="auto"/>
              <w:rPr>
                <w:color w:val="000000"/>
                <w:lang w:eastAsia="en-GB"/>
              </w:rPr>
            </w:pPr>
            <w:r w:rsidRPr="00E37C86">
              <w:rPr>
                <w:color w:val="000000"/>
                <w:lang w:eastAsia="en-GB"/>
              </w:rPr>
              <w:t>G</w:t>
            </w:r>
          </w:p>
        </w:tc>
        <w:tc>
          <w:tcPr>
            <w:tcW w:w="1340" w:type="dxa"/>
            <w:tcBorders>
              <w:top w:val="nil"/>
              <w:left w:val="nil"/>
              <w:bottom w:val="nil"/>
              <w:right w:val="nil"/>
            </w:tcBorders>
            <w:shd w:val="clear" w:color="auto" w:fill="auto"/>
            <w:noWrap/>
            <w:vAlign w:val="bottom"/>
            <w:hideMark/>
          </w:tcPr>
          <w:p w:rsidR="008F084B" w:rsidRPr="00E37C86" w:rsidRDefault="008F084B"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8F084B" w:rsidRPr="008F084B" w:rsidRDefault="008F084B" w:rsidP="008F084B">
            <w:pPr>
              <w:spacing w:before="0" w:after="0"/>
              <w:jc w:val="right"/>
              <w:rPr>
                <w:color w:val="000000"/>
                <w:szCs w:val="24"/>
              </w:rPr>
            </w:pPr>
            <w:r w:rsidRPr="008F084B">
              <w:rPr>
                <w:color w:val="000000"/>
                <w:szCs w:val="24"/>
              </w:rPr>
              <w:t>1,520</w:t>
            </w:r>
          </w:p>
        </w:tc>
        <w:tc>
          <w:tcPr>
            <w:tcW w:w="1720" w:type="dxa"/>
            <w:tcBorders>
              <w:top w:val="nil"/>
              <w:left w:val="nil"/>
              <w:bottom w:val="nil"/>
              <w:right w:val="nil"/>
            </w:tcBorders>
            <w:shd w:val="clear" w:color="auto" w:fill="auto"/>
            <w:noWrap/>
            <w:vAlign w:val="bottom"/>
            <w:hideMark/>
          </w:tcPr>
          <w:p w:rsidR="008F084B" w:rsidRPr="008F084B" w:rsidRDefault="008F084B" w:rsidP="008F084B">
            <w:pPr>
              <w:spacing w:before="0" w:after="0"/>
              <w:jc w:val="right"/>
              <w:rPr>
                <w:i/>
                <w:iCs/>
                <w:color w:val="000000"/>
                <w:szCs w:val="24"/>
              </w:rPr>
            </w:pPr>
            <w:r w:rsidRPr="008F084B">
              <w:rPr>
                <w:i/>
                <w:iCs/>
                <w:color w:val="000000"/>
                <w:szCs w:val="24"/>
              </w:rPr>
              <w:t>2</w:t>
            </w:r>
          </w:p>
        </w:tc>
      </w:tr>
      <w:tr w:rsidR="008F084B" w:rsidRPr="00E37C86" w:rsidTr="004955B3">
        <w:trPr>
          <w:trHeight w:val="285"/>
        </w:trPr>
        <w:tc>
          <w:tcPr>
            <w:tcW w:w="4020" w:type="dxa"/>
            <w:tcBorders>
              <w:top w:val="nil"/>
              <w:left w:val="nil"/>
              <w:bottom w:val="nil"/>
              <w:right w:val="nil"/>
            </w:tcBorders>
            <w:shd w:val="clear" w:color="000000" w:fill="FFFFFF"/>
            <w:noWrap/>
            <w:vAlign w:val="bottom"/>
            <w:hideMark/>
          </w:tcPr>
          <w:p w:rsidR="008F084B" w:rsidRPr="00E37C86" w:rsidRDefault="008F084B" w:rsidP="00415EE4">
            <w:pPr>
              <w:spacing w:before="0" w:after="0" w:line="240" w:lineRule="auto"/>
              <w:rPr>
                <w:color w:val="000000"/>
                <w:lang w:eastAsia="en-GB"/>
              </w:rPr>
            </w:pPr>
            <w:r w:rsidRPr="00E37C86">
              <w:rPr>
                <w:color w:val="000000"/>
                <w:lang w:eastAsia="en-GB"/>
              </w:rPr>
              <w:t> </w:t>
            </w:r>
          </w:p>
        </w:tc>
        <w:tc>
          <w:tcPr>
            <w:tcW w:w="1340" w:type="dxa"/>
            <w:tcBorders>
              <w:top w:val="nil"/>
              <w:left w:val="nil"/>
              <w:bottom w:val="nil"/>
              <w:right w:val="nil"/>
            </w:tcBorders>
            <w:shd w:val="clear" w:color="auto" w:fill="auto"/>
            <w:noWrap/>
            <w:vAlign w:val="bottom"/>
            <w:hideMark/>
          </w:tcPr>
          <w:p w:rsidR="008F084B" w:rsidRPr="00E37C86" w:rsidRDefault="008F084B"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8F084B" w:rsidRPr="008F084B" w:rsidRDefault="008F084B" w:rsidP="008F084B">
            <w:pPr>
              <w:spacing w:before="0" w:after="0"/>
              <w:rPr>
                <w:color w:val="000000"/>
                <w:szCs w:val="24"/>
              </w:rPr>
            </w:pPr>
          </w:p>
        </w:tc>
        <w:tc>
          <w:tcPr>
            <w:tcW w:w="1720" w:type="dxa"/>
            <w:tcBorders>
              <w:top w:val="nil"/>
              <w:left w:val="nil"/>
              <w:bottom w:val="nil"/>
              <w:right w:val="nil"/>
            </w:tcBorders>
            <w:shd w:val="clear" w:color="auto" w:fill="auto"/>
            <w:noWrap/>
            <w:vAlign w:val="bottom"/>
            <w:hideMark/>
          </w:tcPr>
          <w:p w:rsidR="008F084B" w:rsidRPr="008F084B" w:rsidRDefault="008F084B" w:rsidP="008F084B">
            <w:pPr>
              <w:spacing w:before="0" w:after="0"/>
              <w:rPr>
                <w:i/>
                <w:iCs/>
                <w:color w:val="000000"/>
                <w:szCs w:val="24"/>
              </w:rPr>
            </w:pPr>
          </w:p>
        </w:tc>
      </w:tr>
      <w:tr w:rsidR="008F084B" w:rsidRPr="00E37C86" w:rsidTr="004955B3">
        <w:trPr>
          <w:trHeight w:val="300"/>
        </w:trPr>
        <w:tc>
          <w:tcPr>
            <w:tcW w:w="4020" w:type="dxa"/>
            <w:tcBorders>
              <w:top w:val="nil"/>
              <w:left w:val="nil"/>
              <w:bottom w:val="single" w:sz="4" w:space="0" w:color="auto"/>
              <w:right w:val="nil"/>
            </w:tcBorders>
            <w:shd w:val="clear" w:color="000000" w:fill="FFFFFF"/>
            <w:noWrap/>
            <w:vAlign w:val="bottom"/>
            <w:hideMark/>
          </w:tcPr>
          <w:p w:rsidR="008F084B" w:rsidRPr="00E37C86" w:rsidRDefault="008F084B" w:rsidP="00415EE4">
            <w:pPr>
              <w:spacing w:before="0" w:after="0" w:line="240" w:lineRule="auto"/>
              <w:rPr>
                <w:b/>
                <w:bCs/>
                <w:color w:val="000000"/>
                <w:lang w:eastAsia="en-GB"/>
              </w:rPr>
            </w:pPr>
            <w:r w:rsidRPr="00E37C86">
              <w:rPr>
                <w:b/>
                <w:bCs/>
                <w:color w:val="000000"/>
                <w:lang w:eastAsia="en-GB"/>
              </w:rPr>
              <w:t>Total</w:t>
            </w:r>
          </w:p>
        </w:tc>
        <w:tc>
          <w:tcPr>
            <w:tcW w:w="1340" w:type="dxa"/>
            <w:tcBorders>
              <w:top w:val="nil"/>
              <w:left w:val="nil"/>
              <w:bottom w:val="single" w:sz="4" w:space="0" w:color="auto"/>
              <w:right w:val="nil"/>
            </w:tcBorders>
            <w:shd w:val="clear" w:color="auto" w:fill="auto"/>
            <w:noWrap/>
            <w:vAlign w:val="bottom"/>
            <w:hideMark/>
          </w:tcPr>
          <w:p w:rsidR="008F084B" w:rsidRPr="00E37C86" w:rsidRDefault="008F084B" w:rsidP="00415EE4">
            <w:pPr>
              <w:spacing w:before="0" w:after="0" w:line="240" w:lineRule="auto"/>
              <w:rPr>
                <w:b/>
                <w:bCs/>
                <w:color w:val="000000"/>
                <w:lang w:eastAsia="en-GB"/>
              </w:rPr>
            </w:pPr>
            <w:r w:rsidRPr="00E37C86">
              <w:rPr>
                <w:b/>
                <w:bCs/>
                <w:color w:val="000000"/>
                <w:lang w:eastAsia="en-GB"/>
              </w:rPr>
              <w:t> </w:t>
            </w:r>
          </w:p>
        </w:tc>
        <w:tc>
          <w:tcPr>
            <w:tcW w:w="1760" w:type="dxa"/>
            <w:tcBorders>
              <w:top w:val="nil"/>
              <w:left w:val="nil"/>
              <w:bottom w:val="single" w:sz="4" w:space="0" w:color="auto"/>
              <w:right w:val="nil"/>
            </w:tcBorders>
            <w:shd w:val="clear" w:color="auto" w:fill="auto"/>
            <w:noWrap/>
            <w:vAlign w:val="bottom"/>
            <w:hideMark/>
          </w:tcPr>
          <w:p w:rsidR="008F084B" w:rsidRPr="008F084B" w:rsidRDefault="008F084B" w:rsidP="008F084B">
            <w:pPr>
              <w:spacing w:before="0" w:after="0"/>
              <w:jc w:val="right"/>
              <w:rPr>
                <w:b/>
                <w:bCs/>
                <w:color w:val="000000"/>
                <w:szCs w:val="24"/>
              </w:rPr>
            </w:pPr>
            <w:r w:rsidRPr="008F084B">
              <w:rPr>
                <w:b/>
                <w:bCs/>
                <w:color w:val="000000"/>
                <w:szCs w:val="24"/>
              </w:rPr>
              <w:t>85,178</w:t>
            </w:r>
          </w:p>
        </w:tc>
        <w:tc>
          <w:tcPr>
            <w:tcW w:w="1720" w:type="dxa"/>
            <w:tcBorders>
              <w:top w:val="nil"/>
              <w:left w:val="nil"/>
              <w:bottom w:val="single" w:sz="4" w:space="0" w:color="auto"/>
              <w:right w:val="nil"/>
            </w:tcBorders>
            <w:shd w:val="clear" w:color="auto" w:fill="auto"/>
            <w:noWrap/>
            <w:vAlign w:val="bottom"/>
            <w:hideMark/>
          </w:tcPr>
          <w:p w:rsidR="008F084B" w:rsidRPr="008F084B" w:rsidRDefault="008F084B" w:rsidP="008F084B">
            <w:pPr>
              <w:spacing w:before="0" w:after="0"/>
              <w:jc w:val="right"/>
              <w:rPr>
                <w:b/>
                <w:bCs/>
                <w:i/>
                <w:iCs/>
                <w:color w:val="000000"/>
                <w:szCs w:val="24"/>
              </w:rPr>
            </w:pPr>
            <w:r w:rsidRPr="008F084B">
              <w:rPr>
                <w:b/>
                <w:bCs/>
                <w:i/>
                <w:iCs/>
                <w:color w:val="000000"/>
                <w:szCs w:val="24"/>
              </w:rPr>
              <w:t>100</w:t>
            </w:r>
          </w:p>
        </w:tc>
      </w:tr>
    </w:tbl>
    <w:p w:rsidR="00415EE4" w:rsidRDefault="00415EE4" w:rsidP="00415EE4">
      <w:pPr>
        <w:spacing w:before="0" w:after="0" w:line="270" w:lineRule="atLeast"/>
        <w:jc w:val="both"/>
        <w:rPr>
          <w:b/>
          <w:bCs/>
        </w:rPr>
      </w:pPr>
    </w:p>
    <w:p w:rsidR="00415EE4" w:rsidRDefault="00415EE4" w:rsidP="00415EE4">
      <w:pPr>
        <w:spacing w:before="0" w:after="0" w:line="270" w:lineRule="atLeast"/>
        <w:jc w:val="both"/>
        <w:rPr>
          <w:b/>
          <w:bCs/>
        </w:rPr>
      </w:pPr>
    </w:p>
    <w:p w:rsidR="00C32763" w:rsidRDefault="00C32763" w:rsidP="00415EE4">
      <w:pPr>
        <w:spacing w:before="0" w:after="0" w:line="270" w:lineRule="atLeast"/>
        <w:jc w:val="both"/>
        <w:rPr>
          <w:b/>
          <w:bCs/>
        </w:rPr>
      </w:pPr>
    </w:p>
    <w:p w:rsidR="002D15AF" w:rsidRDefault="002D15AF" w:rsidP="00415EE4">
      <w:pPr>
        <w:spacing w:before="0" w:after="0" w:line="270" w:lineRule="atLeast"/>
        <w:jc w:val="both"/>
        <w:rPr>
          <w:b/>
          <w:bCs/>
        </w:rPr>
      </w:pPr>
    </w:p>
    <w:p w:rsidR="00415EE4" w:rsidRDefault="00C50FC5" w:rsidP="00415EE4">
      <w:pPr>
        <w:spacing w:before="0" w:after="0" w:line="270" w:lineRule="atLeast"/>
        <w:jc w:val="both"/>
        <w:rPr>
          <w:b/>
          <w:bCs/>
        </w:rPr>
      </w:pPr>
      <w:r>
        <w:rPr>
          <w:b/>
          <w:bCs/>
        </w:rPr>
        <w:t>Table 1.2</w:t>
      </w:r>
      <w:r w:rsidR="00415EE4" w:rsidRPr="004D4BDA">
        <w:rPr>
          <w:b/>
          <w:bCs/>
        </w:rPr>
        <w:t>: Number of Green Deal Assessments by Property Type up to 30</w:t>
      </w:r>
      <w:r w:rsidR="00415EE4" w:rsidRPr="007F67A0">
        <w:rPr>
          <w:b/>
          <w:bCs/>
          <w:vertAlign w:val="superscript"/>
        </w:rPr>
        <w:t>th</w:t>
      </w:r>
      <w:r w:rsidR="00415EE4">
        <w:rPr>
          <w:b/>
          <w:bCs/>
        </w:rPr>
        <w:t xml:space="preserve"> </w:t>
      </w:r>
      <w:r w:rsidR="00506630" w:rsidRPr="00506630">
        <w:rPr>
          <w:b/>
          <w:bCs/>
        </w:rPr>
        <w:t>September</w:t>
      </w:r>
      <w:r w:rsidR="00415EE4" w:rsidRPr="004D4BDA">
        <w:rPr>
          <w:b/>
          <w:bCs/>
        </w:rPr>
        <w:t xml:space="preserve"> 2013</w:t>
      </w:r>
      <w:r w:rsidR="008F084B">
        <w:rPr>
          <w:b/>
          <w:bCs/>
        </w:rPr>
        <w:t>, Great Britain</w:t>
      </w:r>
    </w:p>
    <w:p w:rsidR="00415EE4" w:rsidRDefault="00415EE4" w:rsidP="00415EE4">
      <w:pPr>
        <w:spacing w:before="0" w:after="0" w:line="270" w:lineRule="atLeast"/>
        <w:rPr>
          <w:b/>
          <w:bCs/>
        </w:rPr>
      </w:pPr>
    </w:p>
    <w:tbl>
      <w:tblPr>
        <w:tblW w:w="8840" w:type="dxa"/>
        <w:tblInd w:w="93" w:type="dxa"/>
        <w:tblLook w:val="04A0" w:firstRow="1" w:lastRow="0" w:firstColumn="1" w:lastColumn="0" w:noHBand="0" w:noVBand="1"/>
      </w:tblPr>
      <w:tblGrid>
        <w:gridCol w:w="4020"/>
        <w:gridCol w:w="1340"/>
        <w:gridCol w:w="1760"/>
        <w:gridCol w:w="1720"/>
      </w:tblGrid>
      <w:tr w:rsidR="00415EE4" w:rsidRPr="00E37C86" w:rsidTr="004955B3">
        <w:trPr>
          <w:trHeight w:val="555"/>
        </w:trPr>
        <w:tc>
          <w:tcPr>
            <w:tcW w:w="4020" w:type="dxa"/>
            <w:tcBorders>
              <w:top w:val="single" w:sz="4" w:space="0" w:color="auto"/>
              <w:left w:val="nil"/>
              <w:bottom w:val="single" w:sz="4" w:space="0" w:color="auto"/>
              <w:right w:val="nil"/>
            </w:tcBorders>
            <w:shd w:val="clear" w:color="auto" w:fill="auto"/>
            <w:noWrap/>
            <w:vAlign w:val="center"/>
            <w:hideMark/>
          </w:tcPr>
          <w:p w:rsidR="00415EE4" w:rsidRPr="00E37C86" w:rsidRDefault="00415EE4" w:rsidP="00415EE4">
            <w:pPr>
              <w:spacing w:before="0" w:after="0" w:line="240" w:lineRule="auto"/>
              <w:rPr>
                <w:color w:val="000000"/>
                <w:lang w:eastAsia="en-GB"/>
              </w:rPr>
            </w:pPr>
            <w:r w:rsidRPr="00E37C86">
              <w:rPr>
                <w:color w:val="000000"/>
                <w:lang w:eastAsia="en-GB"/>
              </w:rPr>
              <w:t>Property Type</w:t>
            </w:r>
          </w:p>
        </w:tc>
        <w:tc>
          <w:tcPr>
            <w:tcW w:w="1340" w:type="dxa"/>
            <w:tcBorders>
              <w:top w:val="single" w:sz="4" w:space="0" w:color="auto"/>
              <w:left w:val="nil"/>
              <w:bottom w:val="single" w:sz="4" w:space="0" w:color="auto"/>
              <w:right w:val="nil"/>
            </w:tcBorders>
            <w:shd w:val="clear" w:color="auto" w:fill="auto"/>
            <w:noWrap/>
            <w:vAlign w:val="bottom"/>
            <w:hideMark/>
          </w:tcPr>
          <w:p w:rsidR="00415EE4" w:rsidRPr="00E37C86" w:rsidRDefault="00415EE4" w:rsidP="00415EE4">
            <w:pPr>
              <w:spacing w:before="0" w:after="0" w:line="240" w:lineRule="auto"/>
              <w:rPr>
                <w:color w:val="000000"/>
                <w:lang w:eastAsia="en-GB"/>
              </w:rPr>
            </w:pPr>
            <w:r w:rsidRPr="00E37C86">
              <w:rPr>
                <w:color w:val="000000"/>
                <w:lang w:eastAsia="en-GB"/>
              </w:rPr>
              <w:t> </w:t>
            </w:r>
          </w:p>
        </w:tc>
        <w:tc>
          <w:tcPr>
            <w:tcW w:w="1760" w:type="dxa"/>
            <w:tcBorders>
              <w:top w:val="single" w:sz="4" w:space="0" w:color="auto"/>
              <w:left w:val="nil"/>
              <w:bottom w:val="single" w:sz="4" w:space="0" w:color="auto"/>
              <w:right w:val="nil"/>
            </w:tcBorders>
            <w:shd w:val="clear" w:color="auto" w:fill="auto"/>
            <w:vAlign w:val="bottom"/>
            <w:hideMark/>
          </w:tcPr>
          <w:p w:rsidR="00415EE4" w:rsidRPr="00E37C86" w:rsidRDefault="00415EE4" w:rsidP="00415EE4">
            <w:pPr>
              <w:spacing w:before="0" w:after="0" w:line="240" w:lineRule="auto"/>
              <w:jc w:val="right"/>
              <w:rPr>
                <w:color w:val="000000"/>
                <w:lang w:eastAsia="en-GB"/>
              </w:rPr>
            </w:pPr>
            <w:r w:rsidRPr="00E37C86">
              <w:rPr>
                <w:color w:val="000000"/>
                <w:lang w:eastAsia="en-GB"/>
              </w:rPr>
              <w:t>Green Deal Assessments</w:t>
            </w:r>
          </w:p>
        </w:tc>
        <w:tc>
          <w:tcPr>
            <w:tcW w:w="1720" w:type="dxa"/>
            <w:tcBorders>
              <w:top w:val="single" w:sz="4" w:space="0" w:color="auto"/>
              <w:left w:val="nil"/>
              <w:bottom w:val="single" w:sz="4" w:space="0" w:color="auto"/>
              <w:right w:val="nil"/>
            </w:tcBorders>
            <w:shd w:val="clear" w:color="auto" w:fill="auto"/>
            <w:vAlign w:val="bottom"/>
            <w:hideMark/>
          </w:tcPr>
          <w:p w:rsidR="00415EE4" w:rsidRPr="00E37C86" w:rsidRDefault="00415EE4" w:rsidP="00415EE4">
            <w:pPr>
              <w:spacing w:before="0" w:after="0" w:line="240" w:lineRule="auto"/>
              <w:jc w:val="right"/>
              <w:rPr>
                <w:color w:val="000000"/>
                <w:lang w:eastAsia="en-GB"/>
              </w:rPr>
            </w:pPr>
            <w:r w:rsidRPr="00E37C86">
              <w:rPr>
                <w:color w:val="000000"/>
                <w:lang w:eastAsia="en-GB"/>
              </w:rPr>
              <w:t>Percentage of Assessments</w:t>
            </w:r>
          </w:p>
        </w:tc>
      </w:tr>
      <w:tr w:rsidR="008F084B" w:rsidRPr="00E37C86" w:rsidTr="004955B3">
        <w:trPr>
          <w:trHeight w:val="285"/>
        </w:trPr>
        <w:tc>
          <w:tcPr>
            <w:tcW w:w="4020" w:type="dxa"/>
            <w:tcBorders>
              <w:top w:val="nil"/>
              <w:left w:val="nil"/>
              <w:bottom w:val="nil"/>
              <w:right w:val="nil"/>
            </w:tcBorders>
            <w:shd w:val="clear" w:color="auto" w:fill="auto"/>
            <w:noWrap/>
            <w:vAlign w:val="bottom"/>
            <w:hideMark/>
          </w:tcPr>
          <w:p w:rsidR="008F084B" w:rsidRPr="00E37C86" w:rsidRDefault="008F084B" w:rsidP="00415EE4">
            <w:pPr>
              <w:spacing w:before="0" w:after="0" w:line="240" w:lineRule="auto"/>
              <w:rPr>
                <w:color w:val="000000"/>
                <w:lang w:eastAsia="en-GB"/>
              </w:rPr>
            </w:pPr>
            <w:r w:rsidRPr="00E37C86">
              <w:rPr>
                <w:color w:val="000000"/>
                <w:lang w:eastAsia="en-GB"/>
              </w:rPr>
              <w:t>House</w:t>
            </w:r>
          </w:p>
        </w:tc>
        <w:tc>
          <w:tcPr>
            <w:tcW w:w="1340" w:type="dxa"/>
            <w:tcBorders>
              <w:top w:val="nil"/>
              <w:left w:val="nil"/>
              <w:bottom w:val="nil"/>
              <w:right w:val="nil"/>
            </w:tcBorders>
            <w:shd w:val="clear" w:color="auto" w:fill="auto"/>
            <w:noWrap/>
            <w:vAlign w:val="bottom"/>
            <w:hideMark/>
          </w:tcPr>
          <w:p w:rsidR="008F084B" w:rsidRPr="00E37C86" w:rsidRDefault="008F084B"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8F084B" w:rsidRPr="008F084B" w:rsidRDefault="008F084B" w:rsidP="008F084B">
            <w:pPr>
              <w:spacing w:before="0" w:after="0"/>
              <w:jc w:val="right"/>
              <w:rPr>
                <w:color w:val="000000"/>
                <w:szCs w:val="24"/>
              </w:rPr>
            </w:pPr>
            <w:r w:rsidRPr="008F084B">
              <w:rPr>
                <w:color w:val="000000"/>
                <w:szCs w:val="24"/>
              </w:rPr>
              <w:t>67,054</w:t>
            </w:r>
          </w:p>
        </w:tc>
        <w:tc>
          <w:tcPr>
            <w:tcW w:w="1720" w:type="dxa"/>
            <w:tcBorders>
              <w:top w:val="nil"/>
              <w:left w:val="nil"/>
              <w:bottom w:val="nil"/>
              <w:right w:val="nil"/>
            </w:tcBorders>
            <w:shd w:val="clear" w:color="auto" w:fill="auto"/>
            <w:noWrap/>
            <w:vAlign w:val="bottom"/>
            <w:hideMark/>
          </w:tcPr>
          <w:p w:rsidR="008F084B" w:rsidRPr="008F084B" w:rsidRDefault="008F084B" w:rsidP="008F084B">
            <w:pPr>
              <w:spacing w:before="0" w:after="0"/>
              <w:jc w:val="right"/>
              <w:rPr>
                <w:i/>
                <w:iCs/>
                <w:color w:val="000000"/>
                <w:szCs w:val="24"/>
              </w:rPr>
            </w:pPr>
            <w:r w:rsidRPr="008F084B">
              <w:rPr>
                <w:i/>
                <w:iCs/>
                <w:color w:val="000000"/>
                <w:szCs w:val="24"/>
              </w:rPr>
              <w:t>79</w:t>
            </w:r>
          </w:p>
        </w:tc>
      </w:tr>
      <w:tr w:rsidR="008F084B" w:rsidRPr="00E37C86" w:rsidTr="004955B3">
        <w:trPr>
          <w:trHeight w:val="285"/>
        </w:trPr>
        <w:tc>
          <w:tcPr>
            <w:tcW w:w="4020" w:type="dxa"/>
            <w:tcBorders>
              <w:top w:val="nil"/>
              <w:left w:val="nil"/>
              <w:bottom w:val="nil"/>
              <w:right w:val="nil"/>
            </w:tcBorders>
            <w:shd w:val="clear" w:color="auto" w:fill="auto"/>
            <w:noWrap/>
            <w:vAlign w:val="bottom"/>
            <w:hideMark/>
          </w:tcPr>
          <w:p w:rsidR="008F084B" w:rsidRPr="00E37C86" w:rsidRDefault="008F084B" w:rsidP="00415EE4">
            <w:pPr>
              <w:spacing w:before="0" w:after="0" w:line="240" w:lineRule="auto"/>
              <w:rPr>
                <w:color w:val="000000"/>
                <w:lang w:eastAsia="en-GB"/>
              </w:rPr>
            </w:pPr>
            <w:r w:rsidRPr="00E37C86">
              <w:rPr>
                <w:color w:val="000000"/>
                <w:lang w:eastAsia="en-GB"/>
              </w:rPr>
              <w:t>Bungalow</w:t>
            </w:r>
          </w:p>
        </w:tc>
        <w:tc>
          <w:tcPr>
            <w:tcW w:w="1340" w:type="dxa"/>
            <w:tcBorders>
              <w:top w:val="nil"/>
              <w:left w:val="nil"/>
              <w:bottom w:val="nil"/>
              <w:right w:val="nil"/>
            </w:tcBorders>
            <w:shd w:val="clear" w:color="auto" w:fill="auto"/>
            <w:noWrap/>
            <w:vAlign w:val="bottom"/>
            <w:hideMark/>
          </w:tcPr>
          <w:p w:rsidR="008F084B" w:rsidRPr="00E37C86" w:rsidRDefault="008F084B"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8F084B" w:rsidRPr="008F084B" w:rsidRDefault="008F084B" w:rsidP="008F084B">
            <w:pPr>
              <w:spacing w:before="0" w:after="0"/>
              <w:jc w:val="right"/>
              <w:rPr>
                <w:color w:val="000000"/>
                <w:szCs w:val="24"/>
              </w:rPr>
            </w:pPr>
            <w:r w:rsidRPr="008F084B">
              <w:rPr>
                <w:color w:val="000000"/>
                <w:szCs w:val="24"/>
              </w:rPr>
              <w:t>6,678</w:t>
            </w:r>
          </w:p>
        </w:tc>
        <w:tc>
          <w:tcPr>
            <w:tcW w:w="1720" w:type="dxa"/>
            <w:tcBorders>
              <w:top w:val="nil"/>
              <w:left w:val="nil"/>
              <w:bottom w:val="nil"/>
              <w:right w:val="nil"/>
            </w:tcBorders>
            <w:shd w:val="clear" w:color="auto" w:fill="auto"/>
            <w:noWrap/>
            <w:vAlign w:val="bottom"/>
            <w:hideMark/>
          </w:tcPr>
          <w:p w:rsidR="008F084B" w:rsidRPr="008F084B" w:rsidRDefault="008F084B" w:rsidP="008F084B">
            <w:pPr>
              <w:spacing w:before="0" w:after="0"/>
              <w:jc w:val="right"/>
              <w:rPr>
                <w:i/>
                <w:iCs/>
                <w:color w:val="000000"/>
                <w:szCs w:val="24"/>
              </w:rPr>
            </w:pPr>
            <w:r w:rsidRPr="008F084B">
              <w:rPr>
                <w:i/>
                <w:iCs/>
                <w:color w:val="000000"/>
                <w:szCs w:val="24"/>
              </w:rPr>
              <w:t>8</w:t>
            </w:r>
          </w:p>
        </w:tc>
      </w:tr>
      <w:tr w:rsidR="008F084B" w:rsidRPr="00E37C86" w:rsidTr="004955B3">
        <w:trPr>
          <w:trHeight w:val="285"/>
        </w:trPr>
        <w:tc>
          <w:tcPr>
            <w:tcW w:w="4020" w:type="dxa"/>
            <w:tcBorders>
              <w:top w:val="nil"/>
              <w:left w:val="nil"/>
              <w:bottom w:val="nil"/>
              <w:right w:val="nil"/>
            </w:tcBorders>
            <w:shd w:val="clear" w:color="auto" w:fill="auto"/>
            <w:noWrap/>
            <w:vAlign w:val="bottom"/>
            <w:hideMark/>
          </w:tcPr>
          <w:p w:rsidR="008F084B" w:rsidRPr="00E37C86" w:rsidRDefault="008F084B" w:rsidP="00415EE4">
            <w:pPr>
              <w:spacing w:before="0" w:after="0" w:line="240" w:lineRule="auto"/>
              <w:rPr>
                <w:color w:val="000000"/>
                <w:lang w:eastAsia="en-GB"/>
              </w:rPr>
            </w:pPr>
            <w:r w:rsidRPr="00E37C86">
              <w:rPr>
                <w:color w:val="000000"/>
                <w:lang w:eastAsia="en-GB"/>
              </w:rPr>
              <w:t>Flat</w:t>
            </w:r>
          </w:p>
        </w:tc>
        <w:tc>
          <w:tcPr>
            <w:tcW w:w="1340" w:type="dxa"/>
            <w:tcBorders>
              <w:top w:val="nil"/>
              <w:left w:val="nil"/>
              <w:bottom w:val="nil"/>
              <w:right w:val="nil"/>
            </w:tcBorders>
            <w:shd w:val="clear" w:color="auto" w:fill="auto"/>
            <w:noWrap/>
            <w:vAlign w:val="bottom"/>
            <w:hideMark/>
          </w:tcPr>
          <w:p w:rsidR="008F084B" w:rsidRPr="00E37C86" w:rsidRDefault="008F084B"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8F084B" w:rsidRPr="008F084B" w:rsidRDefault="008F084B" w:rsidP="008F084B">
            <w:pPr>
              <w:spacing w:before="0" w:after="0"/>
              <w:jc w:val="right"/>
              <w:rPr>
                <w:color w:val="000000"/>
                <w:szCs w:val="24"/>
              </w:rPr>
            </w:pPr>
            <w:r w:rsidRPr="008F084B">
              <w:rPr>
                <w:color w:val="000000"/>
                <w:szCs w:val="24"/>
              </w:rPr>
              <w:t>9,799</w:t>
            </w:r>
          </w:p>
        </w:tc>
        <w:tc>
          <w:tcPr>
            <w:tcW w:w="1720" w:type="dxa"/>
            <w:tcBorders>
              <w:top w:val="nil"/>
              <w:left w:val="nil"/>
              <w:bottom w:val="nil"/>
              <w:right w:val="nil"/>
            </w:tcBorders>
            <w:shd w:val="clear" w:color="auto" w:fill="auto"/>
            <w:noWrap/>
            <w:vAlign w:val="bottom"/>
            <w:hideMark/>
          </w:tcPr>
          <w:p w:rsidR="008F084B" w:rsidRPr="008F084B" w:rsidRDefault="008F084B" w:rsidP="008F084B">
            <w:pPr>
              <w:spacing w:before="0" w:after="0"/>
              <w:jc w:val="right"/>
              <w:rPr>
                <w:i/>
                <w:iCs/>
                <w:color w:val="000000"/>
                <w:szCs w:val="24"/>
              </w:rPr>
            </w:pPr>
            <w:r w:rsidRPr="008F084B">
              <w:rPr>
                <w:i/>
                <w:iCs/>
                <w:color w:val="000000"/>
                <w:szCs w:val="24"/>
              </w:rPr>
              <w:t>12</w:t>
            </w:r>
          </w:p>
        </w:tc>
      </w:tr>
      <w:tr w:rsidR="008F084B" w:rsidRPr="00E37C86" w:rsidTr="004955B3">
        <w:trPr>
          <w:trHeight w:val="285"/>
        </w:trPr>
        <w:tc>
          <w:tcPr>
            <w:tcW w:w="4020" w:type="dxa"/>
            <w:tcBorders>
              <w:top w:val="nil"/>
              <w:left w:val="nil"/>
              <w:bottom w:val="nil"/>
              <w:right w:val="nil"/>
            </w:tcBorders>
            <w:shd w:val="clear" w:color="auto" w:fill="auto"/>
            <w:noWrap/>
            <w:vAlign w:val="bottom"/>
            <w:hideMark/>
          </w:tcPr>
          <w:p w:rsidR="008F084B" w:rsidRPr="00E37C86" w:rsidRDefault="008F084B" w:rsidP="00415EE4">
            <w:pPr>
              <w:spacing w:before="0" w:after="0" w:line="240" w:lineRule="auto"/>
              <w:rPr>
                <w:color w:val="000000"/>
                <w:lang w:eastAsia="en-GB"/>
              </w:rPr>
            </w:pPr>
            <w:r w:rsidRPr="00E37C86">
              <w:rPr>
                <w:color w:val="000000"/>
                <w:lang w:eastAsia="en-GB"/>
              </w:rPr>
              <w:t>Maisonette</w:t>
            </w:r>
          </w:p>
        </w:tc>
        <w:tc>
          <w:tcPr>
            <w:tcW w:w="1340" w:type="dxa"/>
            <w:tcBorders>
              <w:top w:val="nil"/>
              <w:left w:val="nil"/>
              <w:bottom w:val="nil"/>
              <w:right w:val="nil"/>
            </w:tcBorders>
            <w:shd w:val="clear" w:color="auto" w:fill="auto"/>
            <w:noWrap/>
            <w:vAlign w:val="bottom"/>
            <w:hideMark/>
          </w:tcPr>
          <w:p w:rsidR="008F084B" w:rsidRPr="00E37C86" w:rsidRDefault="008F084B"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8F084B" w:rsidRPr="008F084B" w:rsidRDefault="008F084B" w:rsidP="008F084B">
            <w:pPr>
              <w:spacing w:before="0" w:after="0"/>
              <w:jc w:val="right"/>
              <w:rPr>
                <w:color w:val="000000"/>
                <w:szCs w:val="24"/>
              </w:rPr>
            </w:pPr>
            <w:r w:rsidRPr="008F084B">
              <w:rPr>
                <w:color w:val="000000"/>
                <w:szCs w:val="24"/>
              </w:rPr>
              <w:t>1,647</w:t>
            </w:r>
          </w:p>
        </w:tc>
        <w:tc>
          <w:tcPr>
            <w:tcW w:w="1720" w:type="dxa"/>
            <w:tcBorders>
              <w:top w:val="nil"/>
              <w:left w:val="nil"/>
              <w:bottom w:val="nil"/>
              <w:right w:val="nil"/>
            </w:tcBorders>
            <w:shd w:val="clear" w:color="auto" w:fill="auto"/>
            <w:noWrap/>
            <w:vAlign w:val="bottom"/>
            <w:hideMark/>
          </w:tcPr>
          <w:p w:rsidR="008F084B" w:rsidRPr="008F084B" w:rsidRDefault="008F084B" w:rsidP="008F084B">
            <w:pPr>
              <w:spacing w:before="0" w:after="0"/>
              <w:jc w:val="right"/>
              <w:rPr>
                <w:i/>
                <w:iCs/>
                <w:color w:val="000000"/>
                <w:szCs w:val="24"/>
              </w:rPr>
            </w:pPr>
            <w:r w:rsidRPr="008F084B">
              <w:rPr>
                <w:i/>
                <w:iCs/>
                <w:color w:val="000000"/>
                <w:szCs w:val="24"/>
              </w:rPr>
              <w:t>2</w:t>
            </w:r>
          </w:p>
        </w:tc>
      </w:tr>
      <w:tr w:rsidR="008F084B" w:rsidRPr="00E37C86" w:rsidTr="004955B3">
        <w:trPr>
          <w:trHeight w:val="285"/>
        </w:trPr>
        <w:tc>
          <w:tcPr>
            <w:tcW w:w="4020" w:type="dxa"/>
            <w:tcBorders>
              <w:top w:val="nil"/>
              <w:left w:val="nil"/>
              <w:bottom w:val="nil"/>
              <w:right w:val="nil"/>
            </w:tcBorders>
            <w:shd w:val="clear" w:color="auto" w:fill="auto"/>
            <w:noWrap/>
            <w:vAlign w:val="bottom"/>
            <w:hideMark/>
          </w:tcPr>
          <w:p w:rsidR="008F084B" w:rsidRPr="00E37C86" w:rsidRDefault="008F084B" w:rsidP="00415EE4">
            <w:pPr>
              <w:spacing w:before="0" w:after="0" w:line="240" w:lineRule="auto"/>
              <w:rPr>
                <w:color w:val="000000"/>
                <w:lang w:eastAsia="en-GB"/>
              </w:rPr>
            </w:pPr>
          </w:p>
        </w:tc>
        <w:tc>
          <w:tcPr>
            <w:tcW w:w="1340" w:type="dxa"/>
            <w:tcBorders>
              <w:top w:val="nil"/>
              <w:left w:val="nil"/>
              <w:bottom w:val="nil"/>
              <w:right w:val="nil"/>
            </w:tcBorders>
            <w:shd w:val="clear" w:color="auto" w:fill="auto"/>
            <w:noWrap/>
            <w:vAlign w:val="bottom"/>
            <w:hideMark/>
          </w:tcPr>
          <w:p w:rsidR="008F084B" w:rsidRPr="00E37C86" w:rsidRDefault="008F084B"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8F084B" w:rsidRPr="008F084B" w:rsidRDefault="008F084B" w:rsidP="008F084B">
            <w:pPr>
              <w:spacing w:before="0" w:after="0"/>
              <w:rPr>
                <w:color w:val="000000"/>
                <w:szCs w:val="24"/>
              </w:rPr>
            </w:pPr>
          </w:p>
        </w:tc>
        <w:tc>
          <w:tcPr>
            <w:tcW w:w="1720" w:type="dxa"/>
            <w:tcBorders>
              <w:top w:val="nil"/>
              <w:left w:val="nil"/>
              <w:bottom w:val="nil"/>
              <w:right w:val="nil"/>
            </w:tcBorders>
            <w:shd w:val="clear" w:color="auto" w:fill="auto"/>
            <w:noWrap/>
            <w:vAlign w:val="bottom"/>
            <w:hideMark/>
          </w:tcPr>
          <w:p w:rsidR="008F084B" w:rsidRPr="008F084B" w:rsidRDefault="008F084B" w:rsidP="008F084B">
            <w:pPr>
              <w:spacing w:before="0" w:after="0"/>
              <w:rPr>
                <w:color w:val="000000"/>
                <w:szCs w:val="24"/>
              </w:rPr>
            </w:pPr>
          </w:p>
        </w:tc>
      </w:tr>
      <w:tr w:rsidR="008F084B" w:rsidRPr="00E37C86" w:rsidTr="004955B3">
        <w:trPr>
          <w:trHeight w:val="300"/>
        </w:trPr>
        <w:tc>
          <w:tcPr>
            <w:tcW w:w="4020" w:type="dxa"/>
            <w:tcBorders>
              <w:top w:val="nil"/>
              <w:left w:val="nil"/>
              <w:bottom w:val="single" w:sz="4" w:space="0" w:color="auto"/>
              <w:right w:val="nil"/>
            </w:tcBorders>
            <w:shd w:val="clear" w:color="000000" w:fill="FFFFFF"/>
            <w:noWrap/>
            <w:vAlign w:val="bottom"/>
            <w:hideMark/>
          </w:tcPr>
          <w:p w:rsidR="008F084B" w:rsidRPr="00E37C86" w:rsidRDefault="008F084B" w:rsidP="00415EE4">
            <w:pPr>
              <w:spacing w:before="0" w:after="0" w:line="240" w:lineRule="auto"/>
              <w:rPr>
                <w:b/>
                <w:bCs/>
                <w:color w:val="000000"/>
                <w:lang w:eastAsia="en-GB"/>
              </w:rPr>
            </w:pPr>
            <w:r w:rsidRPr="00E37C86">
              <w:rPr>
                <w:b/>
                <w:bCs/>
                <w:color w:val="000000"/>
                <w:lang w:eastAsia="en-GB"/>
              </w:rPr>
              <w:t>Total</w:t>
            </w:r>
          </w:p>
        </w:tc>
        <w:tc>
          <w:tcPr>
            <w:tcW w:w="1340" w:type="dxa"/>
            <w:tcBorders>
              <w:top w:val="nil"/>
              <w:left w:val="nil"/>
              <w:bottom w:val="single" w:sz="4" w:space="0" w:color="auto"/>
              <w:right w:val="nil"/>
            </w:tcBorders>
            <w:shd w:val="clear" w:color="auto" w:fill="auto"/>
            <w:noWrap/>
            <w:vAlign w:val="bottom"/>
            <w:hideMark/>
          </w:tcPr>
          <w:p w:rsidR="008F084B" w:rsidRPr="00E37C86" w:rsidRDefault="008F084B" w:rsidP="00415EE4">
            <w:pPr>
              <w:spacing w:before="0" w:after="0" w:line="240" w:lineRule="auto"/>
              <w:rPr>
                <w:b/>
                <w:bCs/>
                <w:color w:val="000000"/>
                <w:lang w:eastAsia="en-GB"/>
              </w:rPr>
            </w:pPr>
            <w:r w:rsidRPr="00E37C86">
              <w:rPr>
                <w:b/>
                <w:bCs/>
                <w:color w:val="000000"/>
                <w:lang w:eastAsia="en-GB"/>
              </w:rPr>
              <w:t> </w:t>
            </w:r>
          </w:p>
        </w:tc>
        <w:tc>
          <w:tcPr>
            <w:tcW w:w="1760" w:type="dxa"/>
            <w:tcBorders>
              <w:top w:val="nil"/>
              <w:left w:val="nil"/>
              <w:bottom w:val="single" w:sz="4" w:space="0" w:color="auto"/>
              <w:right w:val="nil"/>
            </w:tcBorders>
            <w:shd w:val="clear" w:color="auto" w:fill="auto"/>
            <w:noWrap/>
            <w:vAlign w:val="bottom"/>
            <w:hideMark/>
          </w:tcPr>
          <w:p w:rsidR="008F084B" w:rsidRPr="008F084B" w:rsidRDefault="008F084B" w:rsidP="008F084B">
            <w:pPr>
              <w:spacing w:before="0" w:after="0"/>
              <w:jc w:val="right"/>
              <w:rPr>
                <w:b/>
                <w:bCs/>
                <w:color w:val="000000"/>
                <w:szCs w:val="24"/>
              </w:rPr>
            </w:pPr>
            <w:r w:rsidRPr="008F084B">
              <w:rPr>
                <w:b/>
                <w:bCs/>
                <w:color w:val="000000"/>
                <w:szCs w:val="24"/>
              </w:rPr>
              <w:t>85,178</w:t>
            </w:r>
          </w:p>
        </w:tc>
        <w:tc>
          <w:tcPr>
            <w:tcW w:w="1720" w:type="dxa"/>
            <w:tcBorders>
              <w:top w:val="nil"/>
              <w:left w:val="nil"/>
              <w:bottom w:val="single" w:sz="4" w:space="0" w:color="auto"/>
              <w:right w:val="nil"/>
            </w:tcBorders>
            <w:shd w:val="clear" w:color="auto" w:fill="auto"/>
            <w:noWrap/>
            <w:vAlign w:val="bottom"/>
            <w:hideMark/>
          </w:tcPr>
          <w:p w:rsidR="008F084B" w:rsidRPr="008F084B" w:rsidRDefault="008F084B" w:rsidP="008F084B">
            <w:pPr>
              <w:spacing w:before="0" w:after="0"/>
              <w:jc w:val="right"/>
              <w:rPr>
                <w:b/>
                <w:bCs/>
                <w:i/>
                <w:iCs/>
                <w:color w:val="000000"/>
                <w:szCs w:val="24"/>
              </w:rPr>
            </w:pPr>
            <w:r w:rsidRPr="008F084B">
              <w:rPr>
                <w:b/>
                <w:bCs/>
                <w:i/>
                <w:iCs/>
                <w:color w:val="000000"/>
                <w:szCs w:val="24"/>
              </w:rPr>
              <w:t>100</w:t>
            </w:r>
          </w:p>
        </w:tc>
      </w:tr>
    </w:tbl>
    <w:p w:rsidR="00415EE4" w:rsidRDefault="00415EE4" w:rsidP="00415EE4">
      <w:pPr>
        <w:spacing w:before="0" w:after="0" w:line="270" w:lineRule="atLeast"/>
        <w:rPr>
          <w:b/>
          <w:bCs/>
          <w:highlight w:val="yellow"/>
        </w:rPr>
      </w:pPr>
    </w:p>
    <w:p w:rsidR="00415EE4" w:rsidRDefault="00415EE4" w:rsidP="00415EE4">
      <w:pPr>
        <w:spacing w:line="270" w:lineRule="atLeast"/>
        <w:jc w:val="both"/>
        <w:rPr>
          <w:b/>
          <w:bCs/>
          <w:highlight w:val="yellow"/>
        </w:rPr>
      </w:pPr>
    </w:p>
    <w:p w:rsidR="00CF39F4" w:rsidRDefault="00CF39F4" w:rsidP="00415EE4">
      <w:pPr>
        <w:spacing w:line="270" w:lineRule="atLeast"/>
        <w:jc w:val="both"/>
        <w:rPr>
          <w:b/>
          <w:bCs/>
          <w:highlight w:val="yellow"/>
        </w:rPr>
      </w:pPr>
    </w:p>
    <w:p w:rsidR="00C32763" w:rsidRDefault="00C32763" w:rsidP="00415EE4">
      <w:pPr>
        <w:spacing w:line="270" w:lineRule="atLeast"/>
        <w:jc w:val="both"/>
        <w:rPr>
          <w:b/>
          <w:bCs/>
          <w:highlight w:val="yellow"/>
        </w:rPr>
      </w:pPr>
    </w:p>
    <w:p w:rsidR="00415EE4" w:rsidRDefault="00C50FC5" w:rsidP="00415EE4">
      <w:pPr>
        <w:spacing w:before="0" w:after="0" w:line="270" w:lineRule="atLeast"/>
        <w:jc w:val="both"/>
        <w:rPr>
          <w:b/>
          <w:bCs/>
        </w:rPr>
      </w:pPr>
      <w:r>
        <w:rPr>
          <w:b/>
          <w:bCs/>
        </w:rPr>
        <w:t>Table 1.3</w:t>
      </w:r>
      <w:r w:rsidR="00415EE4" w:rsidRPr="007F67A0">
        <w:rPr>
          <w:b/>
          <w:bCs/>
        </w:rPr>
        <w:t>: Number of Green Deal Assessments by tenure, up to 30</w:t>
      </w:r>
      <w:r w:rsidR="00415EE4" w:rsidRPr="007F67A0">
        <w:rPr>
          <w:b/>
          <w:bCs/>
          <w:vertAlign w:val="superscript"/>
        </w:rPr>
        <w:t>th</w:t>
      </w:r>
      <w:r w:rsidR="00415EE4">
        <w:rPr>
          <w:b/>
          <w:bCs/>
        </w:rPr>
        <w:t xml:space="preserve"> </w:t>
      </w:r>
      <w:r w:rsidR="00506630" w:rsidRPr="00506630">
        <w:rPr>
          <w:b/>
          <w:bCs/>
        </w:rPr>
        <w:t>September</w:t>
      </w:r>
      <w:r w:rsidR="00415EE4" w:rsidRPr="007F67A0">
        <w:rPr>
          <w:b/>
          <w:bCs/>
        </w:rPr>
        <w:t xml:space="preserve"> 2013</w:t>
      </w:r>
      <w:r w:rsidR="008F084B">
        <w:rPr>
          <w:b/>
          <w:bCs/>
        </w:rPr>
        <w:t>, Great Britain</w:t>
      </w:r>
    </w:p>
    <w:p w:rsidR="00415EE4" w:rsidRDefault="00415EE4" w:rsidP="00415EE4">
      <w:pPr>
        <w:spacing w:before="0" w:after="0" w:line="270" w:lineRule="atLeast"/>
        <w:rPr>
          <w:b/>
          <w:bCs/>
        </w:rPr>
      </w:pPr>
    </w:p>
    <w:tbl>
      <w:tblPr>
        <w:tblW w:w="9095" w:type="dxa"/>
        <w:tblInd w:w="93" w:type="dxa"/>
        <w:tblLook w:val="04A0" w:firstRow="1" w:lastRow="0" w:firstColumn="1" w:lastColumn="0" w:noHBand="0" w:noVBand="1"/>
      </w:tblPr>
      <w:tblGrid>
        <w:gridCol w:w="3701"/>
        <w:gridCol w:w="1278"/>
        <w:gridCol w:w="2042"/>
        <w:gridCol w:w="2074"/>
      </w:tblGrid>
      <w:tr w:rsidR="00415EE4" w:rsidRPr="0068316D" w:rsidTr="004955B3">
        <w:trPr>
          <w:trHeight w:val="549"/>
        </w:trPr>
        <w:tc>
          <w:tcPr>
            <w:tcW w:w="3701" w:type="dxa"/>
            <w:tcBorders>
              <w:top w:val="single" w:sz="4" w:space="0" w:color="auto"/>
              <w:left w:val="nil"/>
              <w:bottom w:val="single" w:sz="4" w:space="0" w:color="auto"/>
              <w:right w:val="nil"/>
            </w:tcBorders>
            <w:shd w:val="clear" w:color="auto" w:fill="auto"/>
            <w:noWrap/>
            <w:vAlign w:val="center"/>
            <w:hideMark/>
          </w:tcPr>
          <w:p w:rsidR="00415EE4" w:rsidRPr="0068316D" w:rsidRDefault="00415EE4" w:rsidP="00415EE4">
            <w:pPr>
              <w:spacing w:before="0" w:after="0" w:line="240" w:lineRule="auto"/>
              <w:rPr>
                <w:color w:val="000000"/>
                <w:lang w:eastAsia="en-GB"/>
              </w:rPr>
            </w:pPr>
            <w:r w:rsidRPr="0068316D">
              <w:rPr>
                <w:color w:val="000000"/>
                <w:lang w:eastAsia="en-GB"/>
              </w:rPr>
              <w:t>Tenure</w:t>
            </w:r>
          </w:p>
        </w:tc>
        <w:tc>
          <w:tcPr>
            <w:tcW w:w="1278" w:type="dxa"/>
            <w:tcBorders>
              <w:top w:val="single" w:sz="4" w:space="0" w:color="auto"/>
              <w:left w:val="nil"/>
              <w:bottom w:val="single" w:sz="4" w:space="0" w:color="auto"/>
              <w:right w:val="nil"/>
            </w:tcBorders>
            <w:shd w:val="clear" w:color="auto" w:fill="auto"/>
            <w:noWrap/>
            <w:vAlign w:val="bottom"/>
            <w:hideMark/>
          </w:tcPr>
          <w:p w:rsidR="00415EE4" w:rsidRPr="0068316D" w:rsidRDefault="00415EE4" w:rsidP="00415EE4">
            <w:pPr>
              <w:spacing w:before="0" w:after="0" w:line="240" w:lineRule="auto"/>
              <w:rPr>
                <w:color w:val="000000"/>
                <w:lang w:eastAsia="en-GB"/>
              </w:rPr>
            </w:pPr>
            <w:r w:rsidRPr="0068316D">
              <w:rPr>
                <w:color w:val="000000"/>
                <w:lang w:eastAsia="en-GB"/>
              </w:rPr>
              <w:t> </w:t>
            </w:r>
          </w:p>
        </w:tc>
        <w:tc>
          <w:tcPr>
            <w:tcW w:w="2042" w:type="dxa"/>
            <w:tcBorders>
              <w:top w:val="single" w:sz="4" w:space="0" w:color="auto"/>
              <w:left w:val="nil"/>
              <w:bottom w:val="single" w:sz="4" w:space="0" w:color="auto"/>
              <w:right w:val="nil"/>
            </w:tcBorders>
            <w:shd w:val="clear" w:color="auto" w:fill="auto"/>
            <w:vAlign w:val="bottom"/>
            <w:hideMark/>
          </w:tcPr>
          <w:p w:rsidR="00415EE4" w:rsidRPr="0068316D" w:rsidRDefault="00415EE4" w:rsidP="00415EE4">
            <w:pPr>
              <w:spacing w:before="0" w:after="0" w:line="240" w:lineRule="auto"/>
              <w:jc w:val="right"/>
              <w:rPr>
                <w:color w:val="000000"/>
                <w:lang w:eastAsia="en-GB"/>
              </w:rPr>
            </w:pPr>
            <w:r w:rsidRPr="0068316D">
              <w:rPr>
                <w:color w:val="000000"/>
                <w:lang w:eastAsia="en-GB"/>
              </w:rPr>
              <w:t>Green Deal Assessments</w:t>
            </w:r>
          </w:p>
        </w:tc>
        <w:tc>
          <w:tcPr>
            <w:tcW w:w="2074" w:type="dxa"/>
            <w:tcBorders>
              <w:top w:val="single" w:sz="4" w:space="0" w:color="auto"/>
              <w:left w:val="nil"/>
              <w:bottom w:val="single" w:sz="4" w:space="0" w:color="auto"/>
              <w:right w:val="nil"/>
            </w:tcBorders>
            <w:shd w:val="clear" w:color="auto" w:fill="auto"/>
            <w:vAlign w:val="bottom"/>
            <w:hideMark/>
          </w:tcPr>
          <w:p w:rsidR="00415EE4" w:rsidRPr="0068316D" w:rsidRDefault="00415EE4" w:rsidP="00415EE4">
            <w:pPr>
              <w:spacing w:before="0" w:after="0" w:line="240" w:lineRule="auto"/>
              <w:jc w:val="right"/>
              <w:rPr>
                <w:color w:val="000000"/>
                <w:lang w:eastAsia="en-GB"/>
              </w:rPr>
            </w:pPr>
            <w:r w:rsidRPr="0068316D">
              <w:rPr>
                <w:color w:val="000000"/>
                <w:lang w:eastAsia="en-GB"/>
              </w:rPr>
              <w:t>Valid Percentage of Assessments</w:t>
            </w:r>
            <w:r w:rsidRPr="0068316D">
              <w:rPr>
                <w:color w:val="000000"/>
                <w:vertAlign w:val="superscript"/>
                <w:lang w:eastAsia="en-GB"/>
              </w:rPr>
              <w:t>1</w:t>
            </w:r>
          </w:p>
        </w:tc>
      </w:tr>
      <w:tr w:rsidR="008F084B" w:rsidRPr="0068316D" w:rsidTr="004955B3">
        <w:trPr>
          <w:trHeight w:val="281"/>
        </w:trPr>
        <w:tc>
          <w:tcPr>
            <w:tcW w:w="3701" w:type="dxa"/>
            <w:tcBorders>
              <w:top w:val="nil"/>
              <w:left w:val="nil"/>
              <w:bottom w:val="nil"/>
              <w:right w:val="nil"/>
            </w:tcBorders>
            <w:shd w:val="clear" w:color="000000" w:fill="FFFFFF"/>
            <w:noWrap/>
            <w:vAlign w:val="bottom"/>
            <w:hideMark/>
          </w:tcPr>
          <w:p w:rsidR="008F084B" w:rsidRPr="0068316D" w:rsidRDefault="008F084B" w:rsidP="00415EE4">
            <w:pPr>
              <w:spacing w:before="0" w:after="0" w:line="240" w:lineRule="auto"/>
              <w:rPr>
                <w:color w:val="000000"/>
                <w:lang w:eastAsia="en-GB"/>
              </w:rPr>
            </w:pPr>
            <w:r w:rsidRPr="0068316D">
              <w:rPr>
                <w:color w:val="000000"/>
                <w:lang w:eastAsia="en-GB"/>
              </w:rPr>
              <w:t>Owner-occupied</w:t>
            </w:r>
          </w:p>
        </w:tc>
        <w:tc>
          <w:tcPr>
            <w:tcW w:w="1278" w:type="dxa"/>
            <w:tcBorders>
              <w:top w:val="nil"/>
              <w:left w:val="nil"/>
              <w:bottom w:val="nil"/>
              <w:right w:val="nil"/>
            </w:tcBorders>
            <w:shd w:val="clear" w:color="auto" w:fill="auto"/>
            <w:noWrap/>
            <w:vAlign w:val="bottom"/>
            <w:hideMark/>
          </w:tcPr>
          <w:p w:rsidR="008F084B" w:rsidRPr="0068316D" w:rsidRDefault="008F084B" w:rsidP="00415EE4">
            <w:pPr>
              <w:spacing w:before="0" w:after="0" w:line="240" w:lineRule="auto"/>
              <w:rPr>
                <w:color w:val="000000"/>
                <w:lang w:eastAsia="en-GB"/>
              </w:rPr>
            </w:pPr>
          </w:p>
        </w:tc>
        <w:tc>
          <w:tcPr>
            <w:tcW w:w="2042" w:type="dxa"/>
            <w:tcBorders>
              <w:top w:val="nil"/>
              <w:left w:val="nil"/>
              <w:bottom w:val="nil"/>
              <w:right w:val="nil"/>
            </w:tcBorders>
            <w:shd w:val="clear" w:color="auto" w:fill="auto"/>
            <w:noWrap/>
            <w:vAlign w:val="bottom"/>
            <w:hideMark/>
          </w:tcPr>
          <w:p w:rsidR="008F084B" w:rsidRPr="008F084B" w:rsidRDefault="008F084B" w:rsidP="008F084B">
            <w:pPr>
              <w:spacing w:before="0" w:after="0"/>
              <w:jc w:val="right"/>
              <w:rPr>
                <w:color w:val="000000"/>
                <w:szCs w:val="24"/>
              </w:rPr>
            </w:pPr>
            <w:r w:rsidRPr="008F084B">
              <w:rPr>
                <w:color w:val="000000"/>
                <w:szCs w:val="24"/>
              </w:rPr>
              <w:t>64,635</w:t>
            </w:r>
          </w:p>
        </w:tc>
        <w:tc>
          <w:tcPr>
            <w:tcW w:w="2074" w:type="dxa"/>
            <w:tcBorders>
              <w:top w:val="nil"/>
              <w:left w:val="nil"/>
              <w:bottom w:val="nil"/>
              <w:right w:val="nil"/>
            </w:tcBorders>
            <w:shd w:val="clear" w:color="auto" w:fill="auto"/>
            <w:noWrap/>
            <w:vAlign w:val="bottom"/>
            <w:hideMark/>
          </w:tcPr>
          <w:p w:rsidR="008F084B" w:rsidRPr="008F084B" w:rsidRDefault="008F084B" w:rsidP="008F084B">
            <w:pPr>
              <w:spacing w:before="0" w:after="0"/>
              <w:jc w:val="right"/>
              <w:rPr>
                <w:i/>
                <w:iCs/>
                <w:color w:val="000000"/>
                <w:szCs w:val="24"/>
              </w:rPr>
            </w:pPr>
            <w:r w:rsidRPr="008F084B">
              <w:rPr>
                <w:i/>
                <w:iCs/>
                <w:color w:val="000000"/>
                <w:szCs w:val="24"/>
              </w:rPr>
              <w:t>76</w:t>
            </w:r>
          </w:p>
        </w:tc>
      </w:tr>
      <w:tr w:rsidR="008F084B" w:rsidRPr="0068316D" w:rsidTr="004955B3">
        <w:trPr>
          <w:trHeight w:val="281"/>
        </w:trPr>
        <w:tc>
          <w:tcPr>
            <w:tcW w:w="3701" w:type="dxa"/>
            <w:tcBorders>
              <w:top w:val="nil"/>
              <w:left w:val="nil"/>
              <w:bottom w:val="nil"/>
              <w:right w:val="nil"/>
            </w:tcBorders>
            <w:shd w:val="clear" w:color="000000" w:fill="FFFFFF"/>
            <w:noWrap/>
            <w:vAlign w:val="bottom"/>
            <w:hideMark/>
          </w:tcPr>
          <w:p w:rsidR="008F084B" w:rsidRPr="0068316D" w:rsidRDefault="008F084B" w:rsidP="00415EE4">
            <w:pPr>
              <w:spacing w:before="0" w:after="0" w:line="240" w:lineRule="auto"/>
              <w:rPr>
                <w:color w:val="000000"/>
                <w:lang w:eastAsia="en-GB"/>
              </w:rPr>
            </w:pPr>
            <w:r w:rsidRPr="0068316D">
              <w:rPr>
                <w:color w:val="000000"/>
                <w:lang w:eastAsia="en-GB"/>
              </w:rPr>
              <w:t>Rented (private)</w:t>
            </w:r>
          </w:p>
        </w:tc>
        <w:tc>
          <w:tcPr>
            <w:tcW w:w="1278" w:type="dxa"/>
            <w:tcBorders>
              <w:top w:val="nil"/>
              <w:left w:val="nil"/>
              <w:bottom w:val="nil"/>
              <w:right w:val="nil"/>
            </w:tcBorders>
            <w:shd w:val="clear" w:color="auto" w:fill="auto"/>
            <w:noWrap/>
            <w:vAlign w:val="bottom"/>
            <w:hideMark/>
          </w:tcPr>
          <w:p w:rsidR="008F084B" w:rsidRPr="0068316D" w:rsidRDefault="008F084B" w:rsidP="00415EE4">
            <w:pPr>
              <w:spacing w:before="0" w:after="0" w:line="240" w:lineRule="auto"/>
              <w:rPr>
                <w:color w:val="000000"/>
                <w:lang w:eastAsia="en-GB"/>
              </w:rPr>
            </w:pPr>
          </w:p>
        </w:tc>
        <w:tc>
          <w:tcPr>
            <w:tcW w:w="2042" w:type="dxa"/>
            <w:tcBorders>
              <w:top w:val="nil"/>
              <w:left w:val="nil"/>
              <w:bottom w:val="nil"/>
              <w:right w:val="nil"/>
            </w:tcBorders>
            <w:shd w:val="clear" w:color="auto" w:fill="auto"/>
            <w:noWrap/>
            <w:vAlign w:val="bottom"/>
            <w:hideMark/>
          </w:tcPr>
          <w:p w:rsidR="008F084B" w:rsidRPr="008F084B" w:rsidRDefault="008F084B" w:rsidP="008F084B">
            <w:pPr>
              <w:spacing w:before="0" w:after="0"/>
              <w:jc w:val="right"/>
              <w:rPr>
                <w:color w:val="000000"/>
                <w:szCs w:val="24"/>
              </w:rPr>
            </w:pPr>
            <w:r w:rsidRPr="008F084B">
              <w:rPr>
                <w:color w:val="000000"/>
                <w:szCs w:val="24"/>
              </w:rPr>
              <w:t>9,976</w:t>
            </w:r>
          </w:p>
        </w:tc>
        <w:tc>
          <w:tcPr>
            <w:tcW w:w="2074" w:type="dxa"/>
            <w:tcBorders>
              <w:top w:val="nil"/>
              <w:left w:val="nil"/>
              <w:bottom w:val="nil"/>
              <w:right w:val="nil"/>
            </w:tcBorders>
            <w:shd w:val="clear" w:color="auto" w:fill="auto"/>
            <w:noWrap/>
            <w:vAlign w:val="bottom"/>
            <w:hideMark/>
          </w:tcPr>
          <w:p w:rsidR="008F084B" w:rsidRPr="008F084B" w:rsidRDefault="008F084B" w:rsidP="008F084B">
            <w:pPr>
              <w:spacing w:before="0" w:after="0"/>
              <w:jc w:val="right"/>
              <w:rPr>
                <w:i/>
                <w:iCs/>
                <w:color w:val="000000"/>
                <w:szCs w:val="24"/>
              </w:rPr>
            </w:pPr>
            <w:r w:rsidRPr="008F084B">
              <w:rPr>
                <w:i/>
                <w:iCs/>
                <w:color w:val="000000"/>
                <w:szCs w:val="24"/>
              </w:rPr>
              <w:t>12</w:t>
            </w:r>
          </w:p>
        </w:tc>
      </w:tr>
      <w:tr w:rsidR="008F084B" w:rsidRPr="0068316D" w:rsidTr="004955B3">
        <w:trPr>
          <w:trHeight w:val="281"/>
        </w:trPr>
        <w:tc>
          <w:tcPr>
            <w:tcW w:w="3701" w:type="dxa"/>
            <w:tcBorders>
              <w:top w:val="nil"/>
              <w:left w:val="nil"/>
              <w:bottom w:val="nil"/>
              <w:right w:val="nil"/>
            </w:tcBorders>
            <w:shd w:val="clear" w:color="000000" w:fill="FFFFFF"/>
            <w:noWrap/>
            <w:vAlign w:val="bottom"/>
            <w:hideMark/>
          </w:tcPr>
          <w:p w:rsidR="008F084B" w:rsidRPr="0068316D" w:rsidRDefault="008F084B" w:rsidP="00415EE4">
            <w:pPr>
              <w:spacing w:before="0" w:after="0" w:line="240" w:lineRule="auto"/>
              <w:rPr>
                <w:color w:val="000000"/>
                <w:lang w:eastAsia="en-GB"/>
              </w:rPr>
            </w:pPr>
            <w:r w:rsidRPr="0068316D">
              <w:rPr>
                <w:color w:val="000000"/>
                <w:lang w:eastAsia="en-GB"/>
              </w:rPr>
              <w:t>Rented (social)</w:t>
            </w:r>
          </w:p>
        </w:tc>
        <w:tc>
          <w:tcPr>
            <w:tcW w:w="1278" w:type="dxa"/>
            <w:tcBorders>
              <w:top w:val="nil"/>
              <w:left w:val="nil"/>
              <w:bottom w:val="nil"/>
              <w:right w:val="nil"/>
            </w:tcBorders>
            <w:shd w:val="clear" w:color="auto" w:fill="auto"/>
            <w:noWrap/>
            <w:vAlign w:val="bottom"/>
            <w:hideMark/>
          </w:tcPr>
          <w:p w:rsidR="008F084B" w:rsidRPr="0068316D" w:rsidRDefault="008F084B" w:rsidP="00415EE4">
            <w:pPr>
              <w:spacing w:before="0" w:after="0" w:line="240" w:lineRule="auto"/>
              <w:rPr>
                <w:color w:val="000000"/>
                <w:lang w:eastAsia="en-GB"/>
              </w:rPr>
            </w:pPr>
          </w:p>
        </w:tc>
        <w:tc>
          <w:tcPr>
            <w:tcW w:w="2042" w:type="dxa"/>
            <w:tcBorders>
              <w:top w:val="nil"/>
              <w:left w:val="nil"/>
              <w:bottom w:val="nil"/>
              <w:right w:val="nil"/>
            </w:tcBorders>
            <w:shd w:val="clear" w:color="auto" w:fill="auto"/>
            <w:noWrap/>
            <w:vAlign w:val="bottom"/>
            <w:hideMark/>
          </w:tcPr>
          <w:p w:rsidR="008F084B" w:rsidRPr="008F084B" w:rsidRDefault="008F084B" w:rsidP="008F084B">
            <w:pPr>
              <w:spacing w:before="0" w:after="0"/>
              <w:jc w:val="right"/>
              <w:rPr>
                <w:color w:val="000000"/>
                <w:szCs w:val="24"/>
              </w:rPr>
            </w:pPr>
            <w:r w:rsidRPr="008F084B">
              <w:rPr>
                <w:color w:val="000000"/>
                <w:szCs w:val="24"/>
              </w:rPr>
              <w:t>10,042</w:t>
            </w:r>
          </w:p>
        </w:tc>
        <w:tc>
          <w:tcPr>
            <w:tcW w:w="2074" w:type="dxa"/>
            <w:tcBorders>
              <w:top w:val="nil"/>
              <w:left w:val="nil"/>
              <w:bottom w:val="nil"/>
              <w:right w:val="nil"/>
            </w:tcBorders>
            <w:shd w:val="clear" w:color="auto" w:fill="auto"/>
            <w:noWrap/>
            <w:vAlign w:val="bottom"/>
            <w:hideMark/>
          </w:tcPr>
          <w:p w:rsidR="008F084B" w:rsidRPr="008F084B" w:rsidRDefault="008F084B" w:rsidP="008F084B">
            <w:pPr>
              <w:spacing w:before="0" w:after="0"/>
              <w:jc w:val="right"/>
              <w:rPr>
                <w:i/>
                <w:iCs/>
                <w:color w:val="000000"/>
                <w:szCs w:val="24"/>
              </w:rPr>
            </w:pPr>
            <w:r w:rsidRPr="008F084B">
              <w:rPr>
                <w:i/>
                <w:iCs/>
                <w:color w:val="000000"/>
                <w:szCs w:val="24"/>
              </w:rPr>
              <w:t>12</w:t>
            </w:r>
          </w:p>
        </w:tc>
      </w:tr>
      <w:tr w:rsidR="008F084B" w:rsidRPr="0068316D" w:rsidTr="004955B3">
        <w:trPr>
          <w:trHeight w:val="281"/>
        </w:trPr>
        <w:tc>
          <w:tcPr>
            <w:tcW w:w="3701" w:type="dxa"/>
            <w:tcBorders>
              <w:top w:val="nil"/>
              <w:left w:val="nil"/>
              <w:bottom w:val="nil"/>
              <w:right w:val="nil"/>
            </w:tcBorders>
            <w:shd w:val="clear" w:color="000000" w:fill="FFFFFF"/>
            <w:noWrap/>
            <w:vAlign w:val="bottom"/>
            <w:hideMark/>
          </w:tcPr>
          <w:p w:rsidR="008F084B" w:rsidRPr="0068316D" w:rsidRDefault="008F084B" w:rsidP="00415EE4">
            <w:pPr>
              <w:spacing w:before="0" w:after="0" w:line="240" w:lineRule="auto"/>
              <w:rPr>
                <w:color w:val="000000"/>
                <w:lang w:eastAsia="en-GB"/>
              </w:rPr>
            </w:pPr>
            <w:r w:rsidRPr="0068316D">
              <w:rPr>
                <w:color w:val="000000"/>
                <w:lang w:eastAsia="en-GB"/>
              </w:rPr>
              <w:t> </w:t>
            </w:r>
          </w:p>
        </w:tc>
        <w:tc>
          <w:tcPr>
            <w:tcW w:w="1278" w:type="dxa"/>
            <w:tcBorders>
              <w:top w:val="nil"/>
              <w:left w:val="nil"/>
              <w:bottom w:val="nil"/>
              <w:right w:val="nil"/>
            </w:tcBorders>
            <w:shd w:val="clear" w:color="auto" w:fill="auto"/>
            <w:noWrap/>
            <w:vAlign w:val="bottom"/>
            <w:hideMark/>
          </w:tcPr>
          <w:p w:rsidR="008F084B" w:rsidRPr="0068316D" w:rsidRDefault="008F084B" w:rsidP="00415EE4">
            <w:pPr>
              <w:spacing w:before="0" w:after="0" w:line="240" w:lineRule="auto"/>
              <w:rPr>
                <w:color w:val="000000"/>
                <w:lang w:eastAsia="en-GB"/>
              </w:rPr>
            </w:pPr>
          </w:p>
        </w:tc>
        <w:tc>
          <w:tcPr>
            <w:tcW w:w="2042" w:type="dxa"/>
            <w:tcBorders>
              <w:top w:val="nil"/>
              <w:left w:val="nil"/>
              <w:bottom w:val="nil"/>
              <w:right w:val="nil"/>
            </w:tcBorders>
            <w:shd w:val="clear" w:color="auto" w:fill="auto"/>
            <w:noWrap/>
            <w:vAlign w:val="bottom"/>
            <w:hideMark/>
          </w:tcPr>
          <w:p w:rsidR="008F084B" w:rsidRPr="008F084B" w:rsidRDefault="008F084B" w:rsidP="008F084B">
            <w:pPr>
              <w:spacing w:before="0" w:after="0"/>
              <w:rPr>
                <w:color w:val="000000"/>
                <w:szCs w:val="24"/>
              </w:rPr>
            </w:pPr>
          </w:p>
        </w:tc>
        <w:tc>
          <w:tcPr>
            <w:tcW w:w="2074" w:type="dxa"/>
            <w:tcBorders>
              <w:top w:val="nil"/>
              <w:left w:val="nil"/>
              <w:bottom w:val="nil"/>
              <w:right w:val="nil"/>
            </w:tcBorders>
            <w:shd w:val="clear" w:color="auto" w:fill="auto"/>
            <w:noWrap/>
            <w:vAlign w:val="bottom"/>
            <w:hideMark/>
          </w:tcPr>
          <w:p w:rsidR="008F084B" w:rsidRPr="008F084B" w:rsidRDefault="008F084B" w:rsidP="008F084B">
            <w:pPr>
              <w:spacing w:before="0" w:after="0"/>
              <w:rPr>
                <w:i/>
                <w:iCs/>
                <w:color w:val="000000"/>
                <w:szCs w:val="24"/>
              </w:rPr>
            </w:pPr>
          </w:p>
        </w:tc>
      </w:tr>
      <w:tr w:rsidR="008F084B" w:rsidRPr="0068316D" w:rsidTr="004955B3">
        <w:trPr>
          <w:trHeight w:val="281"/>
        </w:trPr>
        <w:tc>
          <w:tcPr>
            <w:tcW w:w="3701" w:type="dxa"/>
            <w:tcBorders>
              <w:top w:val="nil"/>
              <w:left w:val="nil"/>
              <w:bottom w:val="nil"/>
              <w:right w:val="nil"/>
            </w:tcBorders>
            <w:shd w:val="clear" w:color="000000" w:fill="FFFFFF"/>
            <w:noWrap/>
            <w:vAlign w:val="bottom"/>
            <w:hideMark/>
          </w:tcPr>
          <w:p w:rsidR="008F084B" w:rsidRPr="0068316D" w:rsidRDefault="008F084B" w:rsidP="00415EE4">
            <w:pPr>
              <w:spacing w:before="0" w:after="0" w:line="240" w:lineRule="auto"/>
              <w:rPr>
                <w:color w:val="000000"/>
                <w:lang w:eastAsia="en-GB"/>
              </w:rPr>
            </w:pPr>
            <w:r w:rsidRPr="0068316D">
              <w:rPr>
                <w:color w:val="000000"/>
                <w:lang w:eastAsia="en-GB"/>
              </w:rPr>
              <w:t>Unknown</w:t>
            </w:r>
          </w:p>
        </w:tc>
        <w:tc>
          <w:tcPr>
            <w:tcW w:w="1278" w:type="dxa"/>
            <w:tcBorders>
              <w:top w:val="nil"/>
              <w:left w:val="nil"/>
              <w:bottom w:val="nil"/>
              <w:right w:val="nil"/>
            </w:tcBorders>
            <w:shd w:val="clear" w:color="auto" w:fill="auto"/>
            <w:noWrap/>
            <w:vAlign w:val="bottom"/>
            <w:hideMark/>
          </w:tcPr>
          <w:p w:rsidR="008F084B" w:rsidRPr="0068316D" w:rsidRDefault="008F084B" w:rsidP="00415EE4">
            <w:pPr>
              <w:spacing w:before="0" w:after="0" w:line="240" w:lineRule="auto"/>
              <w:rPr>
                <w:color w:val="000000"/>
                <w:lang w:eastAsia="en-GB"/>
              </w:rPr>
            </w:pPr>
          </w:p>
        </w:tc>
        <w:tc>
          <w:tcPr>
            <w:tcW w:w="2042" w:type="dxa"/>
            <w:tcBorders>
              <w:top w:val="nil"/>
              <w:left w:val="nil"/>
              <w:bottom w:val="nil"/>
              <w:right w:val="nil"/>
            </w:tcBorders>
            <w:shd w:val="clear" w:color="auto" w:fill="auto"/>
            <w:noWrap/>
            <w:vAlign w:val="bottom"/>
            <w:hideMark/>
          </w:tcPr>
          <w:p w:rsidR="008F084B" w:rsidRPr="008F084B" w:rsidRDefault="008F084B" w:rsidP="008F084B">
            <w:pPr>
              <w:spacing w:before="0" w:after="0"/>
              <w:jc w:val="right"/>
              <w:rPr>
                <w:color w:val="000000"/>
                <w:szCs w:val="24"/>
              </w:rPr>
            </w:pPr>
            <w:r w:rsidRPr="008F084B">
              <w:rPr>
                <w:color w:val="000000"/>
                <w:szCs w:val="24"/>
              </w:rPr>
              <w:t>525</w:t>
            </w:r>
          </w:p>
        </w:tc>
        <w:tc>
          <w:tcPr>
            <w:tcW w:w="2074" w:type="dxa"/>
            <w:tcBorders>
              <w:top w:val="nil"/>
              <w:left w:val="nil"/>
              <w:bottom w:val="nil"/>
              <w:right w:val="nil"/>
            </w:tcBorders>
            <w:shd w:val="clear" w:color="auto" w:fill="auto"/>
            <w:noWrap/>
            <w:vAlign w:val="bottom"/>
            <w:hideMark/>
          </w:tcPr>
          <w:p w:rsidR="008F084B" w:rsidRPr="008F084B" w:rsidRDefault="008F084B" w:rsidP="008F084B">
            <w:pPr>
              <w:spacing w:before="0" w:after="0"/>
              <w:jc w:val="right"/>
              <w:rPr>
                <w:i/>
                <w:iCs/>
                <w:color w:val="000000"/>
                <w:szCs w:val="24"/>
              </w:rPr>
            </w:pPr>
            <w:r w:rsidRPr="008F084B">
              <w:rPr>
                <w:i/>
                <w:iCs/>
                <w:color w:val="000000"/>
                <w:szCs w:val="24"/>
              </w:rPr>
              <w:t>-</w:t>
            </w:r>
          </w:p>
        </w:tc>
      </w:tr>
      <w:tr w:rsidR="008F084B" w:rsidRPr="0068316D" w:rsidTr="004955B3">
        <w:trPr>
          <w:trHeight w:val="281"/>
        </w:trPr>
        <w:tc>
          <w:tcPr>
            <w:tcW w:w="3701" w:type="dxa"/>
            <w:tcBorders>
              <w:top w:val="nil"/>
              <w:left w:val="nil"/>
              <w:bottom w:val="nil"/>
              <w:right w:val="nil"/>
            </w:tcBorders>
            <w:shd w:val="clear" w:color="auto" w:fill="auto"/>
            <w:noWrap/>
            <w:vAlign w:val="bottom"/>
            <w:hideMark/>
          </w:tcPr>
          <w:p w:rsidR="008F084B" w:rsidRPr="0068316D" w:rsidRDefault="008F084B" w:rsidP="00415EE4">
            <w:pPr>
              <w:spacing w:before="0" w:after="0" w:line="240" w:lineRule="auto"/>
              <w:rPr>
                <w:color w:val="000000"/>
                <w:lang w:eastAsia="en-GB"/>
              </w:rPr>
            </w:pPr>
          </w:p>
        </w:tc>
        <w:tc>
          <w:tcPr>
            <w:tcW w:w="1278" w:type="dxa"/>
            <w:tcBorders>
              <w:top w:val="nil"/>
              <w:left w:val="nil"/>
              <w:bottom w:val="nil"/>
              <w:right w:val="nil"/>
            </w:tcBorders>
            <w:shd w:val="clear" w:color="auto" w:fill="auto"/>
            <w:noWrap/>
            <w:vAlign w:val="bottom"/>
            <w:hideMark/>
          </w:tcPr>
          <w:p w:rsidR="008F084B" w:rsidRPr="0068316D" w:rsidRDefault="008F084B" w:rsidP="00415EE4">
            <w:pPr>
              <w:spacing w:before="0" w:after="0" w:line="240" w:lineRule="auto"/>
              <w:rPr>
                <w:color w:val="000000"/>
                <w:lang w:eastAsia="en-GB"/>
              </w:rPr>
            </w:pPr>
          </w:p>
        </w:tc>
        <w:tc>
          <w:tcPr>
            <w:tcW w:w="2042" w:type="dxa"/>
            <w:tcBorders>
              <w:top w:val="nil"/>
              <w:left w:val="nil"/>
              <w:bottom w:val="nil"/>
              <w:right w:val="nil"/>
            </w:tcBorders>
            <w:shd w:val="clear" w:color="auto" w:fill="auto"/>
            <w:noWrap/>
            <w:vAlign w:val="bottom"/>
            <w:hideMark/>
          </w:tcPr>
          <w:p w:rsidR="008F084B" w:rsidRPr="008F084B" w:rsidRDefault="008F084B" w:rsidP="008F084B">
            <w:pPr>
              <w:spacing w:before="0" w:after="0"/>
              <w:rPr>
                <w:color w:val="000000"/>
                <w:szCs w:val="24"/>
              </w:rPr>
            </w:pPr>
          </w:p>
        </w:tc>
        <w:tc>
          <w:tcPr>
            <w:tcW w:w="2074" w:type="dxa"/>
            <w:tcBorders>
              <w:top w:val="nil"/>
              <w:left w:val="nil"/>
              <w:bottom w:val="nil"/>
              <w:right w:val="nil"/>
            </w:tcBorders>
            <w:shd w:val="clear" w:color="auto" w:fill="auto"/>
            <w:noWrap/>
            <w:vAlign w:val="bottom"/>
            <w:hideMark/>
          </w:tcPr>
          <w:p w:rsidR="008F084B" w:rsidRPr="008F084B" w:rsidRDefault="008F084B" w:rsidP="008F084B">
            <w:pPr>
              <w:spacing w:before="0" w:after="0"/>
              <w:rPr>
                <w:color w:val="000000"/>
                <w:szCs w:val="24"/>
              </w:rPr>
            </w:pPr>
          </w:p>
        </w:tc>
      </w:tr>
      <w:tr w:rsidR="008F084B" w:rsidRPr="0068316D" w:rsidTr="004955B3">
        <w:trPr>
          <w:trHeight w:val="296"/>
        </w:trPr>
        <w:tc>
          <w:tcPr>
            <w:tcW w:w="3701" w:type="dxa"/>
            <w:tcBorders>
              <w:top w:val="nil"/>
              <w:left w:val="nil"/>
              <w:bottom w:val="single" w:sz="4" w:space="0" w:color="auto"/>
              <w:right w:val="nil"/>
            </w:tcBorders>
            <w:shd w:val="clear" w:color="000000" w:fill="FFFFFF"/>
            <w:noWrap/>
            <w:vAlign w:val="bottom"/>
            <w:hideMark/>
          </w:tcPr>
          <w:p w:rsidR="008F084B" w:rsidRPr="0068316D" w:rsidRDefault="008F084B" w:rsidP="00415EE4">
            <w:pPr>
              <w:spacing w:before="0" w:after="0" w:line="240" w:lineRule="auto"/>
              <w:rPr>
                <w:b/>
                <w:bCs/>
                <w:color w:val="000000"/>
                <w:lang w:eastAsia="en-GB"/>
              </w:rPr>
            </w:pPr>
            <w:r w:rsidRPr="0068316D">
              <w:rPr>
                <w:b/>
                <w:bCs/>
                <w:color w:val="000000"/>
                <w:lang w:eastAsia="en-GB"/>
              </w:rPr>
              <w:t>Total</w:t>
            </w:r>
          </w:p>
        </w:tc>
        <w:tc>
          <w:tcPr>
            <w:tcW w:w="1278" w:type="dxa"/>
            <w:tcBorders>
              <w:top w:val="nil"/>
              <w:left w:val="nil"/>
              <w:bottom w:val="single" w:sz="4" w:space="0" w:color="auto"/>
              <w:right w:val="nil"/>
            </w:tcBorders>
            <w:shd w:val="clear" w:color="auto" w:fill="auto"/>
            <w:noWrap/>
            <w:vAlign w:val="bottom"/>
            <w:hideMark/>
          </w:tcPr>
          <w:p w:rsidR="008F084B" w:rsidRPr="0068316D" w:rsidRDefault="008F084B" w:rsidP="00415EE4">
            <w:pPr>
              <w:spacing w:before="0" w:after="0" w:line="240" w:lineRule="auto"/>
              <w:rPr>
                <w:b/>
                <w:bCs/>
                <w:color w:val="000000"/>
                <w:lang w:eastAsia="en-GB"/>
              </w:rPr>
            </w:pPr>
            <w:r w:rsidRPr="0068316D">
              <w:rPr>
                <w:b/>
                <w:bCs/>
                <w:color w:val="000000"/>
                <w:lang w:eastAsia="en-GB"/>
              </w:rPr>
              <w:t> </w:t>
            </w:r>
          </w:p>
        </w:tc>
        <w:tc>
          <w:tcPr>
            <w:tcW w:w="2042" w:type="dxa"/>
            <w:tcBorders>
              <w:top w:val="nil"/>
              <w:left w:val="nil"/>
              <w:bottom w:val="single" w:sz="4" w:space="0" w:color="auto"/>
              <w:right w:val="nil"/>
            </w:tcBorders>
            <w:shd w:val="clear" w:color="auto" w:fill="auto"/>
            <w:noWrap/>
            <w:vAlign w:val="bottom"/>
            <w:hideMark/>
          </w:tcPr>
          <w:p w:rsidR="008F084B" w:rsidRPr="008F084B" w:rsidRDefault="008F084B" w:rsidP="008F084B">
            <w:pPr>
              <w:spacing w:before="0" w:after="0"/>
              <w:jc w:val="right"/>
              <w:rPr>
                <w:b/>
                <w:bCs/>
                <w:color w:val="000000"/>
                <w:szCs w:val="24"/>
              </w:rPr>
            </w:pPr>
            <w:r w:rsidRPr="008F084B">
              <w:rPr>
                <w:b/>
                <w:bCs/>
                <w:color w:val="000000"/>
                <w:szCs w:val="24"/>
              </w:rPr>
              <w:t>85,178</w:t>
            </w:r>
          </w:p>
        </w:tc>
        <w:tc>
          <w:tcPr>
            <w:tcW w:w="2074" w:type="dxa"/>
            <w:tcBorders>
              <w:top w:val="nil"/>
              <w:left w:val="nil"/>
              <w:bottom w:val="single" w:sz="4" w:space="0" w:color="auto"/>
              <w:right w:val="nil"/>
            </w:tcBorders>
            <w:shd w:val="clear" w:color="auto" w:fill="auto"/>
            <w:noWrap/>
            <w:vAlign w:val="bottom"/>
            <w:hideMark/>
          </w:tcPr>
          <w:p w:rsidR="008F084B" w:rsidRPr="008F084B" w:rsidRDefault="008F084B" w:rsidP="008F084B">
            <w:pPr>
              <w:spacing w:before="0" w:after="0"/>
              <w:jc w:val="right"/>
              <w:rPr>
                <w:b/>
                <w:bCs/>
                <w:i/>
                <w:iCs/>
                <w:color w:val="000000"/>
                <w:szCs w:val="24"/>
              </w:rPr>
            </w:pPr>
            <w:r w:rsidRPr="008F084B">
              <w:rPr>
                <w:b/>
                <w:bCs/>
                <w:i/>
                <w:iCs/>
                <w:color w:val="000000"/>
                <w:szCs w:val="24"/>
              </w:rPr>
              <w:t>100</w:t>
            </w:r>
          </w:p>
        </w:tc>
      </w:tr>
    </w:tbl>
    <w:p w:rsidR="00415EE4" w:rsidRDefault="00415EE4" w:rsidP="00415EE4">
      <w:pPr>
        <w:spacing w:before="0" w:after="0" w:line="270" w:lineRule="atLeast"/>
        <w:jc w:val="both"/>
        <w:rPr>
          <w:b/>
          <w:bCs/>
        </w:rPr>
      </w:pPr>
    </w:p>
    <w:p w:rsidR="00415EE4" w:rsidRPr="00CF39F4" w:rsidRDefault="00415EE4" w:rsidP="00415EE4">
      <w:pPr>
        <w:spacing w:before="0" w:after="0" w:line="270" w:lineRule="atLeast"/>
        <w:jc w:val="both"/>
        <w:rPr>
          <w:bCs/>
        </w:rPr>
      </w:pPr>
      <w:r w:rsidRPr="00FA515B">
        <w:rPr>
          <w:bCs/>
          <w:vertAlign w:val="superscript"/>
        </w:rPr>
        <w:t>1</w:t>
      </w:r>
      <w:r w:rsidRPr="00FA515B">
        <w:rPr>
          <w:bCs/>
        </w:rPr>
        <w:t xml:space="preserve"> Percentage of Assessments is calculated only for those Assessments where tenure is known.</w:t>
      </w:r>
    </w:p>
    <w:p w:rsidR="00415EE4" w:rsidRDefault="00C50FC5" w:rsidP="00415EE4">
      <w:pPr>
        <w:spacing w:before="0" w:after="0" w:line="270" w:lineRule="atLeast"/>
        <w:jc w:val="both"/>
        <w:rPr>
          <w:b/>
          <w:bCs/>
        </w:rPr>
      </w:pPr>
      <w:r>
        <w:rPr>
          <w:b/>
          <w:bCs/>
        </w:rPr>
        <w:lastRenderedPageBreak/>
        <w:t>Table 1.4</w:t>
      </w:r>
      <w:r w:rsidR="00415EE4" w:rsidRPr="00FD07CC">
        <w:rPr>
          <w:b/>
          <w:bCs/>
        </w:rPr>
        <w:t>: Number of Green Deal Assessments by whether property is on or off</w:t>
      </w:r>
      <w:r w:rsidR="00415EE4">
        <w:rPr>
          <w:b/>
          <w:bCs/>
        </w:rPr>
        <w:t xml:space="preserve"> the Mains Gas Grid, </w:t>
      </w:r>
      <w:r w:rsidR="00415EE4" w:rsidRPr="00FD07CC">
        <w:rPr>
          <w:b/>
          <w:bCs/>
        </w:rPr>
        <w:t>up to 30</w:t>
      </w:r>
      <w:r w:rsidR="00415EE4" w:rsidRPr="007F67A0">
        <w:rPr>
          <w:b/>
          <w:bCs/>
          <w:vertAlign w:val="superscript"/>
        </w:rPr>
        <w:t>th</w:t>
      </w:r>
      <w:r w:rsidR="00415EE4">
        <w:rPr>
          <w:b/>
          <w:bCs/>
        </w:rPr>
        <w:t xml:space="preserve"> </w:t>
      </w:r>
      <w:r w:rsidR="00506630" w:rsidRPr="00506630">
        <w:rPr>
          <w:b/>
          <w:bCs/>
        </w:rPr>
        <w:t>September</w:t>
      </w:r>
      <w:r w:rsidR="00415EE4" w:rsidRPr="00FD07CC">
        <w:rPr>
          <w:b/>
          <w:bCs/>
        </w:rPr>
        <w:t xml:space="preserve"> 2013, </w:t>
      </w:r>
      <w:r w:rsidR="008F084B">
        <w:rPr>
          <w:b/>
          <w:bCs/>
        </w:rPr>
        <w:t>Great Britain</w:t>
      </w:r>
    </w:p>
    <w:p w:rsidR="00415EE4" w:rsidRDefault="00415EE4" w:rsidP="00415EE4">
      <w:pPr>
        <w:spacing w:before="0" w:after="0" w:line="270" w:lineRule="atLeast"/>
        <w:rPr>
          <w:b/>
          <w:bCs/>
          <w:highlight w:val="yellow"/>
        </w:rPr>
      </w:pPr>
    </w:p>
    <w:tbl>
      <w:tblPr>
        <w:tblW w:w="9126" w:type="dxa"/>
        <w:tblInd w:w="93" w:type="dxa"/>
        <w:tblLook w:val="04A0" w:firstRow="1" w:lastRow="0" w:firstColumn="1" w:lastColumn="0" w:noHBand="0" w:noVBand="1"/>
      </w:tblPr>
      <w:tblGrid>
        <w:gridCol w:w="4955"/>
        <w:gridCol w:w="578"/>
        <w:gridCol w:w="1817"/>
        <w:gridCol w:w="1776"/>
      </w:tblGrid>
      <w:tr w:rsidR="00415EE4" w:rsidRPr="003A3ED6" w:rsidTr="004955B3">
        <w:trPr>
          <w:trHeight w:val="574"/>
        </w:trPr>
        <w:tc>
          <w:tcPr>
            <w:tcW w:w="5533" w:type="dxa"/>
            <w:gridSpan w:val="2"/>
            <w:tcBorders>
              <w:top w:val="single" w:sz="4" w:space="0" w:color="auto"/>
              <w:left w:val="nil"/>
              <w:bottom w:val="single" w:sz="4" w:space="0" w:color="auto"/>
              <w:right w:val="nil"/>
            </w:tcBorders>
            <w:shd w:val="clear" w:color="auto" w:fill="auto"/>
            <w:noWrap/>
            <w:vAlign w:val="center"/>
            <w:hideMark/>
          </w:tcPr>
          <w:p w:rsidR="00415EE4" w:rsidRPr="003A3ED6" w:rsidRDefault="00415EE4" w:rsidP="00415EE4">
            <w:pPr>
              <w:spacing w:before="0" w:after="0" w:line="240" w:lineRule="auto"/>
              <w:rPr>
                <w:color w:val="000000"/>
                <w:lang w:eastAsia="en-GB"/>
              </w:rPr>
            </w:pPr>
            <w:r w:rsidRPr="003A3ED6">
              <w:rPr>
                <w:color w:val="000000"/>
                <w:lang w:eastAsia="en-GB"/>
              </w:rPr>
              <w:t>Properties by whether on or off Mains Gas Grid</w:t>
            </w:r>
          </w:p>
        </w:tc>
        <w:tc>
          <w:tcPr>
            <w:tcW w:w="1817" w:type="dxa"/>
            <w:tcBorders>
              <w:top w:val="single" w:sz="4" w:space="0" w:color="auto"/>
              <w:left w:val="nil"/>
              <w:bottom w:val="single" w:sz="4" w:space="0" w:color="auto"/>
              <w:right w:val="nil"/>
            </w:tcBorders>
            <w:shd w:val="clear" w:color="auto" w:fill="auto"/>
            <w:vAlign w:val="bottom"/>
            <w:hideMark/>
          </w:tcPr>
          <w:p w:rsidR="00415EE4" w:rsidRPr="003A3ED6" w:rsidRDefault="00415EE4" w:rsidP="00415EE4">
            <w:pPr>
              <w:spacing w:before="0" w:after="0" w:line="240" w:lineRule="auto"/>
              <w:jc w:val="right"/>
              <w:rPr>
                <w:color w:val="000000"/>
                <w:lang w:eastAsia="en-GB"/>
              </w:rPr>
            </w:pPr>
            <w:r w:rsidRPr="003A3ED6">
              <w:rPr>
                <w:color w:val="000000"/>
                <w:lang w:eastAsia="en-GB"/>
              </w:rPr>
              <w:t>Green Deal Assessments</w:t>
            </w:r>
          </w:p>
        </w:tc>
        <w:tc>
          <w:tcPr>
            <w:tcW w:w="1776" w:type="dxa"/>
            <w:tcBorders>
              <w:top w:val="single" w:sz="4" w:space="0" w:color="auto"/>
              <w:left w:val="nil"/>
              <w:bottom w:val="single" w:sz="4" w:space="0" w:color="auto"/>
              <w:right w:val="nil"/>
            </w:tcBorders>
            <w:shd w:val="clear" w:color="auto" w:fill="auto"/>
            <w:vAlign w:val="bottom"/>
            <w:hideMark/>
          </w:tcPr>
          <w:p w:rsidR="00415EE4" w:rsidRPr="003A3ED6" w:rsidRDefault="00415EE4" w:rsidP="00415EE4">
            <w:pPr>
              <w:spacing w:before="0" w:after="0" w:line="240" w:lineRule="auto"/>
              <w:jc w:val="right"/>
              <w:rPr>
                <w:color w:val="000000"/>
                <w:lang w:eastAsia="en-GB"/>
              </w:rPr>
            </w:pPr>
            <w:r w:rsidRPr="003A3ED6">
              <w:rPr>
                <w:color w:val="000000"/>
                <w:lang w:eastAsia="en-GB"/>
              </w:rPr>
              <w:t>Percentage of Assessments</w:t>
            </w:r>
          </w:p>
        </w:tc>
      </w:tr>
      <w:tr w:rsidR="008F084B" w:rsidRPr="003A3ED6" w:rsidTr="004955B3">
        <w:trPr>
          <w:trHeight w:val="295"/>
        </w:trPr>
        <w:tc>
          <w:tcPr>
            <w:tcW w:w="4955" w:type="dxa"/>
            <w:tcBorders>
              <w:top w:val="nil"/>
              <w:left w:val="nil"/>
              <w:bottom w:val="nil"/>
              <w:right w:val="nil"/>
            </w:tcBorders>
            <w:shd w:val="clear" w:color="auto" w:fill="auto"/>
            <w:noWrap/>
            <w:vAlign w:val="bottom"/>
            <w:hideMark/>
          </w:tcPr>
          <w:p w:rsidR="008F084B" w:rsidRPr="003A3ED6" w:rsidRDefault="008F084B" w:rsidP="00415EE4">
            <w:pPr>
              <w:spacing w:before="0" w:after="0" w:line="240" w:lineRule="auto"/>
              <w:rPr>
                <w:color w:val="000000"/>
                <w:lang w:eastAsia="en-GB"/>
              </w:rPr>
            </w:pPr>
            <w:r w:rsidRPr="003A3ED6">
              <w:rPr>
                <w:color w:val="000000"/>
                <w:lang w:eastAsia="en-GB"/>
              </w:rPr>
              <w:t>Off Gas</w:t>
            </w:r>
          </w:p>
        </w:tc>
        <w:tc>
          <w:tcPr>
            <w:tcW w:w="578" w:type="dxa"/>
            <w:tcBorders>
              <w:top w:val="nil"/>
              <w:left w:val="nil"/>
              <w:bottom w:val="nil"/>
              <w:right w:val="nil"/>
            </w:tcBorders>
            <w:shd w:val="clear" w:color="auto" w:fill="auto"/>
            <w:noWrap/>
            <w:vAlign w:val="bottom"/>
            <w:hideMark/>
          </w:tcPr>
          <w:p w:rsidR="008F084B" w:rsidRPr="003A3ED6" w:rsidRDefault="008F084B" w:rsidP="00415EE4">
            <w:pPr>
              <w:spacing w:before="0" w:after="0" w:line="240" w:lineRule="auto"/>
              <w:rPr>
                <w:color w:val="000000"/>
                <w:lang w:eastAsia="en-GB"/>
              </w:rPr>
            </w:pPr>
          </w:p>
        </w:tc>
        <w:tc>
          <w:tcPr>
            <w:tcW w:w="1817" w:type="dxa"/>
            <w:tcBorders>
              <w:top w:val="nil"/>
              <w:left w:val="nil"/>
              <w:bottom w:val="nil"/>
              <w:right w:val="nil"/>
            </w:tcBorders>
            <w:shd w:val="clear" w:color="auto" w:fill="auto"/>
            <w:noWrap/>
            <w:vAlign w:val="bottom"/>
            <w:hideMark/>
          </w:tcPr>
          <w:p w:rsidR="008F084B" w:rsidRPr="008F084B" w:rsidRDefault="008F084B" w:rsidP="008F084B">
            <w:pPr>
              <w:spacing w:before="0" w:after="0"/>
              <w:jc w:val="right"/>
              <w:rPr>
                <w:color w:val="000000"/>
                <w:szCs w:val="24"/>
              </w:rPr>
            </w:pPr>
            <w:r w:rsidRPr="008F084B">
              <w:rPr>
                <w:color w:val="000000"/>
                <w:szCs w:val="24"/>
              </w:rPr>
              <w:t>9,878</w:t>
            </w:r>
          </w:p>
        </w:tc>
        <w:tc>
          <w:tcPr>
            <w:tcW w:w="1776" w:type="dxa"/>
            <w:tcBorders>
              <w:top w:val="nil"/>
              <w:left w:val="nil"/>
              <w:bottom w:val="nil"/>
              <w:right w:val="nil"/>
            </w:tcBorders>
            <w:shd w:val="clear" w:color="auto" w:fill="auto"/>
            <w:noWrap/>
            <w:vAlign w:val="bottom"/>
            <w:hideMark/>
          </w:tcPr>
          <w:p w:rsidR="008F084B" w:rsidRPr="008F084B" w:rsidRDefault="008F084B" w:rsidP="008F084B">
            <w:pPr>
              <w:spacing w:before="0" w:after="0"/>
              <w:jc w:val="right"/>
              <w:rPr>
                <w:i/>
                <w:iCs/>
                <w:color w:val="000000"/>
                <w:szCs w:val="24"/>
              </w:rPr>
            </w:pPr>
            <w:r w:rsidRPr="008F084B">
              <w:rPr>
                <w:i/>
                <w:iCs/>
                <w:color w:val="000000"/>
                <w:szCs w:val="24"/>
              </w:rPr>
              <w:t>12</w:t>
            </w:r>
          </w:p>
        </w:tc>
      </w:tr>
      <w:tr w:rsidR="008F084B" w:rsidRPr="003A3ED6" w:rsidTr="004955B3">
        <w:trPr>
          <w:trHeight w:val="295"/>
        </w:trPr>
        <w:tc>
          <w:tcPr>
            <w:tcW w:w="4955" w:type="dxa"/>
            <w:tcBorders>
              <w:top w:val="nil"/>
              <w:left w:val="nil"/>
              <w:bottom w:val="nil"/>
              <w:right w:val="nil"/>
            </w:tcBorders>
            <w:shd w:val="clear" w:color="auto" w:fill="auto"/>
            <w:noWrap/>
            <w:vAlign w:val="bottom"/>
            <w:hideMark/>
          </w:tcPr>
          <w:p w:rsidR="008F084B" w:rsidRPr="003A3ED6" w:rsidRDefault="008F084B" w:rsidP="00415EE4">
            <w:pPr>
              <w:spacing w:before="0" w:after="0" w:line="240" w:lineRule="auto"/>
              <w:rPr>
                <w:color w:val="000000"/>
                <w:lang w:eastAsia="en-GB"/>
              </w:rPr>
            </w:pPr>
            <w:r w:rsidRPr="003A3ED6">
              <w:rPr>
                <w:color w:val="000000"/>
                <w:lang w:eastAsia="en-GB"/>
              </w:rPr>
              <w:t>On Gas</w:t>
            </w:r>
          </w:p>
        </w:tc>
        <w:tc>
          <w:tcPr>
            <w:tcW w:w="578" w:type="dxa"/>
            <w:tcBorders>
              <w:top w:val="nil"/>
              <w:left w:val="nil"/>
              <w:bottom w:val="nil"/>
              <w:right w:val="nil"/>
            </w:tcBorders>
            <w:shd w:val="clear" w:color="auto" w:fill="auto"/>
            <w:noWrap/>
            <w:vAlign w:val="bottom"/>
            <w:hideMark/>
          </w:tcPr>
          <w:p w:rsidR="008F084B" w:rsidRPr="003A3ED6" w:rsidRDefault="008F084B" w:rsidP="00415EE4">
            <w:pPr>
              <w:spacing w:before="0" w:after="0" w:line="240" w:lineRule="auto"/>
              <w:rPr>
                <w:color w:val="000000"/>
                <w:lang w:eastAsia="en-GB"/>
              </w:rPr>
            </w:pPr>
          </w:p>
        </w:tc>
        <w:tc>
          <w:tcPr>
            <w:tcW w:w="1817" w:type="dxa"/>
            <w:tcBorders>
              <w:top w:val="nil"/>
              <w:left w:val="nil"/>
              <w:bottom w:val="nil"/>
              <w:right w:val="nil"/>
            </w:tcBorders>
            <w:shd w:val="clear" w:color="auto" w:fill="auto"/>
            <w:noWrap/>
            <w:vAlign w:val="bottom"/>
            <w:hideMark/>
          </w:tcPr>
          <w:p w:rsidR="008F084B" w:rsidRPr="008F084B" w:rsidRDefault="008F084B" w:rsidP="008F084B">
            <w:pPr>
              <w:spacing w:before="0" w:after="0"/>
              <w:jc w:val="right"/>
              <w:rPr>
                <w:color w:val="000000"/>
                <w:szCs w:val="24"/>
              </w:rPr>
            </w:pPr>
            <w:r w:rsidRPr="008F084B">
              <w:rPr>
                <w:color w:val="000000"/>
                <w:szCs w:val="24"/>
              </w:rPr>
              <w:t>75,300</w:t>
            </w:r>
          </w:p>
        </w:tc>
        <w:tc>
          <w:tcPr>
            <w:tcW w:w="1776" w:type="dxa"/>
            <w:tcBorders>
              <w:top w:val="nil"/>
              <w:left w:val="nil"/>
              <w:bottom w:val="nil"/>
              <w:right w:val="nil"/>
            </w:tcBorders>
            <w:shd w:val="clear" w:color="auto" w:fill="auto"/>
            <w:noWrap/>
            <w:vAlign w:val="bottom"/>
            <w:hideMark/>
          </w:tcPr>
          <w:p w:rsidR="008F084B" w:rsidRPr="008F084B" w:rsidRDefault="008F084B" w:rsidP="008F084B">
            <w:pPr>
              <w:spacing w:before="0" w:after="0"/>
              <w:jc w:val="right"/>
              <w:rPr>
                <w:i/>
                <w:iCs/>
                <w:color w:val="000000"/>
                <w:szCs w:val="24"/>
              </w:rPr>
            </w:pPr>
            <w:r w:rsidRPr="008F084B">
              <w:rPr>
                <w:i/>
                <w:iCs/>
                <w:color w:val="000000"/>
                <w:szCs w:val="24"/>
              </w:rPr>
              <w:t>88</w:t>
            </w:r>
          </w:p>
        </w:tc>
      </w:tr>
      <w:tr w:rsidR="008F084B" w:rsidRPr="003A3ED6" w:rsidTr="004955B3">
        <w:trPr>
          <w:trHeight w:val="295"/>
        </w:trPr>
        <w:tc>
          <w:tcPr>
            <w:tcW w:w="4955" w:type="dxa"/>
            <w:tcBorders>
              <w:top w:val="nil"/>
              <w:left w:val="nil"/>
              <w:bottom w:val="nil"/>
              <w:right w:val="nil"/>
            </w:tcBorders>
            <w:shd w:val="clear" w:color="auto" w:fill="auto"/>
            <w:noWrap/>
            <w:vAlign w:val="bottom"/>
            <w:hideMark/>
          </w:tcPr>
          <w:p w:rsidR="008F084B" w:rsidRPr="003A3ED6" w:rsidRDefault="008F084B" w:rsidP="00415EE4">
            <w:pPr>
              <w:spacing w:before="0" w:after="0" w:line="240" w:lineRule="auto"/>
              <w:rPr>
                <w:color w:val="000000"/>
                <w:lang w:eastAsia="en-GB"/>
              </w:rPr>
            </w:pPr>
          </w:p>
        </w:tc>
        <w:tc>
          <w:tcPr>
            <w:tcW w:w="578" w:type="dxa"/>
            <w:tcBorders>
              <w:top w:val="nil"/>
              <w:left w:val="nil"/>
              <w:bottom w:val="nil"/>
              <w:right w:val="nil"/>
            </w:tcBorders>
            <w:shd w:val="clear" w:color="auto" w:fill="auto"/>
            <w:noWrap/>
            <w:vAlign w:val="bottom"/>
            <w:hideMark/>
          </w:tcPr>
          <w:p w:rsidR="008F084B" w:rsidRPr="003A3ED6" w:rsidRDefault="008F084B" w:rsidP="00415EE4">
            <w:pPr>
              <w:spacing w:before="0" w:after="0" w:line="240" w:lineRule="auto"/>
              <w:rPr>
                <w:color w:val="000000"/>
                <w:lang w:eastAsia="en-GB"/>
              </w:rPr>
            </w:pPr>
          </w:p>
        </w:tc>
        <w:tc>
          <w:tcPr>
            <w:tcW w:w="1817" w:type="dxa"/>
            <w:tcBorders>
              <w:top w:val="nil"/>
              <w:left w:val="nil"/>
              <w:bottom w:val="nil"/>
              <w:right w:val="nil"/>
            </w:tcBorders>
            <w:shd w:val="clear" w:color="auto" w:fill="auto"/>
            <w:noWrap/>
            <w:vAlign w:val="bottom"/>
            <w:hideMark/>
          </w:tcPr>
          <w:p w:rsidR="008F084B" w:rsidRPr="008F084B" w:rsidRDefault="008F084B" w:rsidP="008F084B">
            <w:pPr>
              <w:spacing w:before="0" w:after="0"/>
              <w:rPr>
                <w:color w:val="000000"/>
                <w:szCs w:val="24"/>
              </w:rPr>
            </w:pPr>
          </w:p>
        </w:tc>
        <w:tc>
          <w:tcPr>
            <w:tcW w:w="1776" w:type="dxa"/>
            <w:tcBorders>
              <w:top w:val="nil"/>
              <w:left w:val="nil"/>
              <w:bottom w:val="nil"/>
              <w:right w:val="nil"/>
            </w:tcBorders>
            <w:shd w:val="clear" w:color="auto" w:fill="auto"/>
            <w:noWrap/>
            <w:vAlign w:val="bottom"/>
            <w:hideMark/>
          </w:tcPr>
          <w:p w:rsidR="008F084B" w:rsidRPr="008F084B" w:rsidRDefault="008F084B" w:rsidP="008F084B">
            <w:pPr>
              <w:spacing w:before="0" w:after="0"/>
              <w:rPr>
                <w:color w:val="000000"/>
                <w:szCs w:val="24"/>
              </w:rPr>
            </w:pPr>
          </w:p>
        </w:tc>
      </w:tr>
      <w:tr w:rsidR="008F084B" w:rsidRPr="003A3ED6" w:rsidTr="004955B3">
        <w:trPr>
          <w:trHeight w:val="310"/>
        </w:trPr>
        <w:tc>
          <w:tcPr>
            <w:tcW w:w="4955" w:type="dxa"/>
            <w:tcBorders>
              <w:top w:val="nil"/>
              <w:left w:val="nil"/>
              <w:bottom w:val="single" w:sz="4" w:space="0" w:color="auto"/>
              <w:right w:val="nil"/>
            </w:tcBorders>
            <w:shd w:val="clear" w:color="000000" w:fill="FFFFFF"/>
            <w:noWrap/>
            <w:vAlign w:val="bottom"/>
            <w:hideMark/>
          </w:tcPr>
          <w:p w:rsidR="008F084B" w:rsidRPr="003A3ED6" w:rsidRDefault="008F084B" w:rsidP="00415EE4">
            <w:pPr>
              <w:spacing w:before="0" w:after="0" w:line="240" w:lineRule="auto"/>
              <w:rPr>
                <w:b/>
                <w:bCs/>
                <w:color w:val="000000"/>
                <w:lang w:eastAsia="en-GB"/>
              </w:rPr>
            </w:pPr>
            <w:r w:rsidRPr="003A3ED6">
              <w:rPr>
                <w:b/>
                <w:bCs/>
                <w:color w:val="000000"/>
                <w:lang w:eastAsia="en-GB"/>
              </w:rPr>
              <w:t>Total</w:t>
            </w:r>
          </w:p>
        </w:tc>
        <w:tc>
          <w:tcPr>
            <w:tcW w:w="578" w:type="dxa"/>
            <w:tcBorders>
              <w:top w:val="nil"/>
              <w:left w:val="nil"/>
              <w:bottom w:val="single" w:sz="4" w:space="0" w:color="auto"/>
              <w:right w:val="nil"/>
            </w:tcBorders>
            <w:shd w:val="clear" w:color="auto" w:fill="auto"/>
            <w:noWrap/>
            <w:vAlign w:val="bottom"/>
            <w:hideMark/>
          </w:tcPr>
          <w:p w:rsidR="008F084B" w:rsidRPr="003A3ED6" w:rsidRDefault="008F084B" w:rsidP="00415EE4">
            <w:pPr>
              <w:spacing w:before="0" w:after="0" w:line="240" w:lineRule="auto"/>
              <w:rPr>
                <w:b/>
                <w:bCs/>
                <w:color w:val="000000"/>
                <w:lang w:eastAsia="en-GB"/>
              </w:rPr>
            </w:pPr>
            <w:r w:rsidRPr="003A3ED6">
              <w:rPr>
                <w:b/>
                <w:bCs/>
                <w:color w:val="000000"/>
                <w:lang w:eastAsia="en-GB"/>
              </w:rPr>
              <w:t> </w:t>
            </w:r>
          </w:p>
        </w:tc>
        <w:tc>
          <w:tcPr>
            <w:tcW w:w="1817" w:type="dxa"/>
            <w:tcBorders>
              <w:top w:val="nil"/>
              <w:left w:val="nil"/>
              <w:bottom w:val="single" w:sz="4" w:space="0" w:color="auto"/>
              <w:right w:val="nil"/>
            </w:tcBorders>
            <w:shd w:val="clear" w:color="auto" w:fill="auto"/>
            <w:noWrap/>
            <w:vAlign w:val="bottom"/>
            <w:hideMark/>
          </w:tcPr>
          <w:p w:rsidR="008F084B" w:rsidRPr="008F084B" w:rsidRDefault="008F084B" w:rsidP="008F084B">
            <w:pPr>
              <w:spacing w:before="0" w:after="0"/>
              <w:jc w:val="right"/>
              <w:rPr>
                <w:b/>
                <w:bCs/>
                <w:color w:val="000000"/>
                <w:szCs w:val="24"/>
              </w:rPr>
            </w:pPr>
            <w:r w:rsidRPr="008F084B">
              <w:rPr>
                <w:b/>
                <w:bCs/>
                <w:color w:val="000000"/>
                <w:szCs w:val="24"/>
              </w:rPr>
              <w:t>85,178</w:t>
            </w:r>
          </w:p>
        </w:tc>
        <w:tc>
          <w:tcPr>
            <w:tcW w:w="1776" w:type="dxa"/>
            <w:tcBorders>
              <w:top w:val="nil"/>
              <w:left w:val="nil"/>
              <w:bottom w:val="single" w:sz="4" w:space="0" w:color="auto"/>
              <w:right w:val="nil"/>
            </w:tcBorders>
            <w:shd w:val="clear" w:color="auto" w:fill="auto"/>
            <w:noWrap/>
            <w:vAlign w:val="bottom"/>
            <w:hideMark/>
          </w:tcPr>
          <w:p w:rsidR="008F084B" w:rsidRPr="008F084B" w:rsidRDefault="008F084B" w:rsidP="008F084B">
            <w:pPr>
              <w:spacing w:before="0" w:after="0"/>
              <w:jc w:val="right"/>
              <w:rPr>
                <w:b/>
                <w:bCs/>
                <w:i/>
                <w:iCs/>
                <w:color w:val="000000"/>
                <w:szCs w:val="24"/>
              </w:rPr>
            </w:pPr>
            <w:r w:rsidRPr="008F084B">
              <w:rPr>
                <w:b/>
                <w:bCs/>
                <w:i/>
                <w:iCs/>
                <w:color w:val="000000"/>
                <w:szCs w:val="24"/>
              </w:rPr>
              <w:t>100</w:t>
            </w:r>
          </w:p>
        </w:tc>
      </w:tr>
    </w:tbl>
    <w:p w:rsidR="00415EE4" w:rsidRDefault="00415EE4" w:rsidP="00415EE4">
      <w:pPr>
        <w:spacing w:before="0" w:after="0" w:line="270" w:lineRule="atLeast"/>
        <w:rPr>
          <w:b/>
          <w:bCs/>
          <w:highlight w:val="yellow"/>
        </w:rPr>
      </w:pPr>
      <w:r>
        <w:rPr>
          <w:b/>
          <w:bCs/>
          <w:highlight w:val="yellow"/>
        </w:rPr>
        <w:br/>
      </w:r>
    </w:p>
    <w:p w:rsidR="00415EE4" w:rsidRDefault="00415EE4" w:rsidP="00415EE4">
      <w:pPr>
        <w:spacing w:before="0" w:after="0" w:line="270" w:lineRule="atLeast"/>
        <w:jc w:val="both"/>
        <w:rPr>
          <w:b/>
          <w:bCs/>
        </w:rPr>
      </w:pPr>
      <w:r w:rsidRPr="005568FC">
        <w:rPr>
          <w:b/>
          <w:bCs/>
        </w:rPr>
        <w:t xml:space="preserve">Table </w:t>
      </w:r>
      <w:r w:rsidR="00C50FC5">
        <w:rPr>
          <w:b/>
          <w:bCs/>
        </w:rPr>
        <w:t>1.5</w:t>
      </w:r>
      <w:r w:rsidRPr="005568FC">
        <w:rPr>
          <w:b/>
          <w:bCs/>
        </w:rPr>
        <w:t>: Number of improveme</w:t>
      </w:r>
      <w:r>
        <w:rPr>
          <w:b/>
          <w:bCs/>
        </w:rPr>
        <w:t>nts recommended in Green Deal Assessments</w:t>
      </w:r>
      <w:r w:rsidRPr="005568FC">
        <w:rPr>
          <w:b/>
          <w:bCs/>
        </w:rPr>
        <w:t xml:space="preserve"> by measure type (grouped),</w:t>
      </w:r>
      <w:r>
        <w:rPr>
          <w:b/>
          <w:bCs/>
        </w:rPr>
        <w:t xml:space="preserve"> </w:t>
      </w:r>
      <w:r w:rsidRPr="005568FC">
        <w:rPr>
          <w:b/>
          <w:bCs/>
        </w:rPr>
        <w:t>up to 30</w:t>
      </w:r>
      <w:r w:rsidRPr="007F67A0">
        <w:rPr>
          <w:b/>
          <w:bCs/>
          <w:vertAlign w:val="superscript"/>
        </w:rPr>
        <w:t>th</w:t>
      </w:r>
      <w:r>
        <w:rPr>
          <w:b/>
          <w:bCs/>
        </w:rPr>
        <w:t xml:space="preserve"> </w:t>
      </w:r>
      <w:r w:rsidR="002D15AF" w:rsidRPr="002D15AF">
        <w:rPr>
          <w:b/>
          <w:bCs/>
        </w:rPr>
        <w:t xml:space="preserve">September </w:t>
      </w:r>
      <w:r w:rsidRPr="005568FC">
        <w:rPr>
          <w:b/>
          <w:bCs/>
        </w:rPr>
        <w:t xml:space="preserve">2013, </w:t>
      </w:r>
      <w:r w:rsidR="0056741B">
        <w:rPr>
          <w:b/>
          <w:bCs/>
        </w:rPr>
        <w:t>Great Britain</w:t>
      </w:r>
    </w:p>
    <w:p w:rsidR="00415EE4" w:rsidRDefault="00415EE4" w:rsidP="00415EE4">
      <w:pPr>
        <w:spacing w:before="0" w:after="0" w:line="270" w:lineRule="atLeast"/>
        <w:rPr>
          <w:b/>
          <w:bCs/>
        </w:rPr>
      </w:pPr>
    </w:p>
    <w:tbl>
      <w:tblPr>
        <w:tblW w:w="9115" w:type="dxa"/>
        <w:tblInd w:w="93" w:type="dxa"/>
        <w:tblLook w:val="04A0" w:firstRow="1" w:lastRow="0" w:firstColumn="1" w:lastColumn="0" w:noHBand="0" w:noVBand="1"/>
      </w:tblPr>
      <w:tblGrid>
        <w:gridCol w:w="3559"/>
        <w:gridCol w:w="1814"/>
        <w:gridCol w:w="1991"/>
        <w:gridCol w:w="1751"/>
      </w:tblGrid>
      <w:tr w:rsidR="00415EE4" w:rsidRPr="00115E33" w:rsidTr="00556BEC">
        <w:trPr>
          <w:trHeight w:val="550"/>
        </w:trPr>
        <w:tc>
          <w:tcPr>
            <w:tcW w:w="3559" w:type="dxa"/>
            <w:tcBorders>
              <w:top w:val="single" w:sz="4" w:space="0" w:color="auto"/>
              <w:left w:val="nil"/>
              <w:bottom w:val="single" w:sz="4" w:space="0" w:color="auto"/>
              <w:right w:val="nil"/>
            </w:tcBorders>
            <w:shd w:val="clear" w:color="auto" w:fill="auto"/>
            <w:noWrap/>
            <w:vAlign w:val="center"/>
            <w:hideMark/>
          </w:tcPr>
          <w:p w:rsidR="00415EE4" w:rsidRPr="00115E33" w:rsidRDefault="00415EE4" w:rsidP="00415EE4">
            <w:pPr>
              <w:spacing w:before="0" w:after="0" w:line="240" w:lineRule="auto"/>
              <w:rPr>
                <w:color w:val="000000"/>
                <w:lang w:eastAsia="en-GB"/>
              </w:rPr>
            </w:pPr>
            <w:r w:rsidRPr="00115E33">
              <w:rPr>
                <w:color w:val="000000"/>
                <w:lang w:eastAsia="en-GB"/>
              </w:rPr>
              <w:t>Measure Types</w:t>
            </w:r>
          </w:p>
        </w:tc>
        <w:tc>
          <w:tcPr>
            <w:tcW w:w="1814" w:type="dxa"/>
            <w:tcBorders>
              <w:top w:val="single" w:sz="4" w:space="0" w:color="auto"/>
              <w:left w:val="nil"/>
              <w:bottom w:val="single" w:sz="4" w:space="0" w:color="auto"/>
              <w:right w:val="nil"/>
            </w:tcBorders>
            <w:shd w:val="clear" w:color="auto" w:fill="auto"/>
            <w:noWrap/>
            <w:vAlign w:val="bottom"/>
            <w:hideMark/>
          </w:tcPr>
          <w:p w:rsidR="00415EE4" w:rsidRPr="00115E33" w:rsidRDefault="00415EE4" w:rsidP="00415EE4">
            <w:pPr>
              <w:spacing w:before="0" w:after="0" w:line="240" w:lineRule="auto"/>
              <w:rPr>
                <w:color w:val="000000"/>
                <w:lang w:eastAsia="en-GB"/>
              </w:rPr>
            </w:pPr>
            <w:r w:rsidRPr="00115E33">
              <w:rPr>
                <w:color w:val="000000"/>
                <w:lang w:eastAsia="en-GB"/>
              </w:rPr>
              <w:t> </w:t>
            </w:r>
          </w:p>
        </w:tc>
        <w:tc>
          <w:tcPr>
            <w:tcW w:w="1991" w:type="dxa"/>
            <w:tcBorders>
              <w:top w:val="single" w:sz="4" w:space="0" w:color="auto"/>
              <w:left w:val="nil"/>
              <w:bottom w:val="single" w:sz="4" w:space="0" w:color="auto"/>
              <w:right w:val="nil"/>
            </w:tcBorders>
            <w:shd w:val="clear" w:color="auto" w:fill="auto"/>
            <w:vAlign w:val="bottom"/>
            <w:hideMark/>
          </w:tcPr>
          <w:p w:rsidR="00415EE4" w:rsidRPr="00115E33" w:rsidRDefault="00415EE4" w:rsidP="00415EE4">
            <w:pPr>
              <w:spacing w:before="0" w:after="0" w:line="240" w:lineRule="auto"/>
              <w:jc w:val="right"/>
              <w:rPr>
                <w:color w:val="000000"/>
                <w:lang w:eastAsia="en-GB"/>
              </w:rPr>
            </w:pPr>
            <w:r w:rsidRPr="00115E33">
              <w:rPr>
                <w:color w:val="000000"/>
                <w:lang w:eastAsia="en-GB"/>
              </w:rPr>
              <w:t xml:space="preserve">Number of improvements recommended </w:t>
            </w:r>
            <w:r w:rsidRPr="00115E33">
              <w:rPr>
                <w:color w:val="000000"/>
                <w:vertAlign w:val="superscript"/>
                <w:lang w:eastAsia="en-GB"/>
              </w:rPr>
              <w:t>1</w:t>
            </w:r>
          </w:p>
        </w:tc>
        <w:tc>
          <w:tcPr>
            <w:tcW w:w="1751" w:type="dxa"/>
            <w:tcBorders>
              <w:top w:val="single" w:sz="4" w:space="0" w:color="auto"/>
              <w:left w:val="nil"/>
              <w:bottom w:val="single" w:sz="4" w:space="0" w:color="auto"/>
              <w:right w:val="nil"/>
            </w:tcBorders>
            <w:shd w:val="clear" w:color="auto" w:fill="auto"/>
            <w:vAlign w:val="bottom"/>
            <w:hideMark/>
          </w:tcPr>
          <w:p w:rsidR="00415EE4" w:rsidRPr="00115E33" w:rsidRDefault="00415EE4" w:rsidP="00415EE4">
            <w:pPr>
              <w:spacing w:before="0" w:after="0" w:line="240" w:lineRule="auto"/>
              <w:jc w:val="right"/>
              <w:rPr>
                <w:color w:val="000000"/>
                <w:lang w:eastAsia="en-GB"/>
              </w:rPr>
            </w:pPr>
            <w:r w:rsidRPr="00115E33">
              <w:rPr>
                <w:color w:val="000000"/>
                <w:lang w:eastAsia="en-GB"/>
              </w:rPr>
              <w:t>Percentage of improvements recommended</w:t>
            </w:r>
          </w:p>
        </w:tc>
      </w:tr>
      <w:tr w:rsidR="00E00A55" w:rsidRPr="00115E33" w:rsidTr="00556BEC">
        <w:trPr>
          <w:trHeight w:val="283"/>
        </w:trPr>
        <w:tc>
          <w:tcPr>
            <w:tcW w:w="3559" w:type="dxa"/>
            <w:tcBorders>
              <w:top w:val="nil"/>
              <w:left w:val="nil"/>
              <w:bottom w:val="nil"/>
              <w:right w:val="nil"/>
            </w:tcBorders>
            <w:shd w:val="clear" w:color="auto" w:fill="auto"/>
            <w:noWrap/>
            <w:vAlign w:val="bottom"/>
            <w:hideMark/>
          </w:tcPr>
          <w:p w:rsidR="00E00A55" w:rsidRPr="00115E33" w:rsidRDefault="00E00A55" w:rsidP="00415EE4">
            <w:pPr>
              <w:spacing w:before="0" w:after="0" w:line="240" w:lineRule="auto"/>
              <w:rPr>
                <w:color w:val="000000"/>
                <w:lang w:eastAsia="en-GB"/>
              </w:rPr>
            </w:pPr>
            <w:r w:rsidRPr="00115E33">
              <w:rPr>
                <w:color w:val="000000"/>
                <w:lang w:eastAsia="en-GB"/>
              </w:rPr>
              <w:t>Boiler</w:t>
            </w:r>
          </w:p>
        </w:tc>
        <w:tc>
          <w:tcPr>
            <w:tcW w:w="1814" w:type="dxa"/>
            <w:tcBorders>
              <w:top w:val="nil"/>
              <w:left w:val="nil"/>
              <w:bottom w:val="nil"/>
              <w:right w:val="nil"/>
            </w:tcBorders>
            <w:shd w:val="clear" w:color="auto" w:fill="auto"/>
            <w:noWrap/>
            <w:vAlign w:val="bottom"/>
            <w:hideMark/>
          </w:tcPr>
          <w:p w:rsidR="00E00A55" w:rsidRPr="00115E33" w:rsidRDefault="00E00A55" w:rsidP="00415EE4">
            <w:pPr>
              <w:spacing w:before="0" w:after="0" w:line="240" w:lineRule="auto"/>
              <w:rPr>
                <w:color w:val="000000"/>
                <w:lang w:eastAsia="en-GB"/>
              </w:rPr>
            </w:pPr>
          </w:p>
        </w:tc>
        <w:tc>
          <w:tcPr>
            <w:tcW w:w="1991" w:type="dxa"/>
            <w:tcBorders>
              <w:top w:val="nil"/>
              <w:left w:val="nil"/>
              <w:bottom w:val="nil"/>
              <w:right w:val="nil"/>
            </w:tcBorders>
            <w:shd w:val="clear" w:color="auto" w:fill="auto"/>
            <w:noWrap/>
            <w:vAlign w:val="bottom"/>
            <w:hideMark/>
          </w:tcPr>
          <w:p w:rsidR="00E00A55" w:rsidRPr="004E44B6" w:rsidRDefault="00E00A55" w:rsidP="004E44B6">
            <w:pPr>
              <w:spacing w:before="0" w:after="0"/>
              <w:jc w:val="right"/>
              <w:rPr>
                <w:color w:val="000000"/>
                <w:szCs w:val="24"/>
              </w:rPr>
            </w:pPr>
            <w:r w:rsidRPr="004E44B6">
              <w:rPr>
                <w:color w:val="000000"/>
                <w:szCs w:val="24"/>
              </w:rPr>
              <w:t>30,822</w:t>
            </w:r>
          </w:p>
        </w:tc>
        <w:tc>
          <w:tcPr>
            <w:tcW w:w="1751" w:type="dxa"/>
            <w:tcBorders>
              <w:top w:val="nil"/>
              <w:left w:val="nil"/>
              <w:bottom w:val="nil"/>
              <w:right w:val="nil"/>
            </w:tcBorders>
            <w:shd w:val="clear" w:color="auto" w:fill="auto"/>
            <w:noWrap/>
            <w:vAlign w:val="bottom"/>
            <w:hideMark/>
          </w:tcPr>
          <w:p w:rsidR="00E00A55" w:rsidRPr="00E00A55" w:rsidRDefault="00E00A55" w:rsidP="00E00A55">
            <w:pPr>
              <w:spacing w:before="0" w:after="0"/>
              <w:jc w:val="right"/>
              <w:rPr>
                <w:i/>
                <w:iCs/>
                <w:color w:val="000000"/>
                <w:szCs w:val="24"/>
              </w:rPr>
            </w:pPr>
            <w:r w:rsidRPr="00E00A55">
              <w:rPr>
                <w:i/>
                <w:iCs/>
                <w:color w:val="000000"/>
                <w:szCs w:val="24"/>
              </w:rPr>
              <w:t>13.7</w:t>
            </w:r>
          </w:p>
        </w:tc>
      </w:tr>
      <w:tr w:rsidR="00E00A55" w:rsidRPr="00115E33" w:rsidTr="00556BEC">
        <w:trPr>
          <w:trHeight w:val="283"/>
        </w:trPr>
        <w:tc>
          <w:tcPr>
            <w:tcW w:w="3559" w:type="dxa"/>
            <w:tcBorders>
              <w:top w:val="nil"/>
              <w:left w:val="nil"/>
              <w:bottom w:val="nil"/>
              <w:right w:val="nil"/>
            </w:tcBorders>
            <w:shd w:val="clear" w:color="auto" w:fill="auto"/>
            <w:noWrap/>
            <w:vAlign w:val="bottom"/>
            <w:hideMark/>
          </w:tcPr>
          <w:p w:rsidR="00E00A55" w:rsidRPr="00115E33" w:rsidRDefault="00E00A55" w:rsidP="00415EE4">
            <w:pPr>
              <w:spacing w:before="0" w:after="0" w:line="240" w:lineRule="auto"/>
              <w:rPr>
                <w:color w:val="000000"/>
                <w:lang w:eastAsia="en-GB"/>
              </w:rPr>
            </w:pPr>
            <w:r w:rsidRPr="00115E33">
              <w:rPr>
                <w:color w:val="000000"/>
                <w:lang w:eastAsia="en-GB"/>
              </w:rPr>
              <w:t>Cavity Wall Insulation</w:t>
            </w:r>
          </w:p>
        </w:tc>
        <w:tc>
          <w:tcPr>
            <w:tcW w:w="1814" w:type="dxa"/>
            <w:tcBorders>
              <w:top w:val="nil"/>
              <w:left w:val="nil"/>
              <w:bottom w:val="nil"/>
              <w:right w:val="nil"/>
            </w:tcBorders>
            <w:shd w:val="clear" w:color="auto" w:fill="auto"/>
            <w:noWrap/>
            <w:vAlign w:val="bottom"/>
            <w:hideMark/>
          </w:tcPr>
          <w:p w:rsidR="00E00A55" w:rsidRPr="00115E33" w:rsidRDefault="00E00A55" w:rsidP="00415EE4">
            <w:pPr>
              <w:spacing w:before="0" w:after="0" w:line="240" w:lineRule="auto"/>
              <w:rPr>
                <w:color w:val="000000"/>
                <w:lang w:eastAsia="en-GB"/>
              </w:rPr>
            </w:pPr>
          </w:p>
        </w:tc>
        <w:tc>
          <w:tcPr>
            <w:tcW w:w="1991" w:type="dxa"/>
            <w:tcBorders>
              <w:top w:val="nil"/>
              <w:left w:val="nil"/>
              <w:bottom w:val="nil"/>
              <w:right w:val="nil"/>
            </w:tcBorders>
            <w:shd w:val="clear" w:color="auto" w:fill="auto"/>
            <w:noWrap/>
            <w:vAlign w:val="bottom"/>
            <w:hideMark/>
          </w:tcPr>
          <w:p w:rsidR="00E00A55" w:rsidRPr="004E44B6" w:rsidRDefault="00E00A55" w:rsidP="004E44B6">
            <w:pPr>
              <w:spacing w:before="0" w:after="0"/>
              <w:jc w:val="right"/>
              <w:rPr>
                <w:color w:val="000000"/>
                <w:szCs w:val="24"/>
              </w:rPr>
            </w:pPr>
            <w:r w:rsidRPr="004E44B6">
              <w:rPr>
                <w:color w:val="000000"/>
                <w:szCs w:val="24"/>
              </w:rPr>
              <w:t>29,356</w:t>
            </w:r>
          </w:p>
        </w:tc>
        <w:tc>
          <w:tcPr>
            <w:tcW w:w="1751" w:type="dxa"/>
            <w:tcBorders>
              <w:top w:val="nil"/>
              <w:left w:val="nil"/>
              <w:bottom w:val="nil"/>
              <w:right w:val="nil"/>
            </w:tcBorders>
            <w:shd w:val="clear" w:color="auto" w:fill="auto"/>
            <w:noWrap/>
            <w:vAlign w:val="bottom"/>
            <w:hideMark/>
          </w:tcPr>
          <w:p w:rsidR="00E00A55" w:rsidRPr="00E00A55" w:rsidRDefault="00E00A55" w:rsidP="00E00A55">
            <w:pPr>
              <w:spacing w:before="0" w:after="0"/>
              <w:jc w:val="right"/>
              <w:rPr>
                <w:i/>
                <w:iCs/>
                <w:color w:val="000000"/>
                <w:szCs w:val="24"/>
              </w:rPr>
            </w:pPr>
            <w:r w:rsidRPr="00E00A55">
              <w:rPr>
                <w:i/>
                <w:iCs/>
                <w:color w:val="000000"/>
                <w:szCs w:val="24"/>
              </w:rPr>
              <w:t>13.0</w:t>
            </w:r>
          </w:p>
        </w:tc>
      </w:tr>
      <w:tr w:rsidR="00E00A55" w:rsidRPr="00115E33" w:rsidTr="00556BEC">
        <w:trPr>
          <w:trHeight w:val="283"/>
        </w:trPr>
        <w:tc>
          <w:tcPr>
            <w:tcW w:w="3559" w:type="dxa"/>
            <w:tcBorders>
              <w:top w:val="nil"/>
              <w:left w:val="nil"/>
              <w:bottom w:val="nil"/>
              <w:right w:val="nil"/>
            </w:tcBorders>
            <w:shd w:val="clear" w:color="auto" w:fill="auto"/>
            <w:noWrap/>
            <w:vAlign w:val="bottom"/>
            <w:hideMark/>
          </w:tcPr>
          <w:p w:rsidR="00E00A55" w:rsidRPr="00115E33" w:rsidRDefault="00E00A55" w:rsidP="00415EE4">
            <w:pPr>
              <w:spacing w:before="0" w:after="0" w:line="240" w:lineRule="auto"/>
              <w:rPr>
                <w:color w:val="000000"/>
                <w:lang w:eastAsia="en-GB"/>
              </w:rPr>
            </w:pPr>
            <w:r w:rsidRPr="00115E33">
              <w:rPr>
                <w:color w:val="000000"/>
                <w:lang w:eastAsia="en-GB"/>
              </w:rPr>
              <w:t>Loft Insulation</w:t>
            </w:r>
          </w:p>
        </w:tc>
        <w:tc>
          <w:tcPr>
            <w:tcW w:w="1814" w:type="dxa"/>
            <w:tcBorders>
              <w:top w:val="nil"/>
              <w:left w:val="nil"/>
              <w:bottom w:val="nil"/>
              <w:right w:val="nil"/>
            </w:tcBorders>
            <w:shd w:val="clear" w:color="auto" w:fill="auto"/>
            <w:noWrap/>
            <w:vAlign w:val="bottom"/>
            <w:hideMark/>
          </w:tcPr>
          <w:p w:rsidR="00E00A55" w:rsidRPr="00115E33" w:rsidRDefault="00E00A55" w:rsidP="00415EE4">
            <w:pPr>
              <w:spacing w:before="0" w:after="0" w:line="240" w:lineRule="auto"/>
              <w:rPr>
                <w:color w:val="000000"/>
                <w:lang w:eastAsia="en-GB"/>
              </w:rPr>
            </w:pPr>
          </w:p>
        </w:tc>
        <w:tc>
          <w:tcPr>
            <w:tcW w:w="1991" w:type="dxa"/>
            <w:tcBorders>
              <w:top w:val="nil"/>
              <w:left w:val="nil"/>
              <w:bottom w:val="nil"/>
              <w:right w:val="nil"/>
            </w:tcBorders>
            <w:shd w:val="clear" w:color="auto" w:fill="auto"/>
            <w:noWrap/>
            <w:vAlign w:val="bottom"/>
            <w:hideMark/>
          </w:tcPr>
          <w:p w:rsidR="00E00A55" w:rsidRPr="004E44B6" w:rsidRDefault="00E00A55" w:rsidP="004E44B6">
            <w:pPr>
              <w:spacing w:before="0" w:after="0"/>
              <w:jc w:val="right"/>
              <w:rPr>
                <w:color w:val="000000"/>
                <w:szCs w:val="24"/>
              </w:rPr>
            </w:pPr>
            <w:r w:rsidRPr="004E44B6">
              <w:rPr>
                <w:color w:val="000000"/>
                <w:szCs w:val="24"/>
              </w:rPr>
              <w:t>34,352</w:t>
            </w:r>
          </w:p>
        </w:tc>
        <w:tc>
          <w:tcPr>
            <w:tcW w:w="1751" w:type="dxa"/>
            <w:tcBorders>
              <w:top w:val="nil"/>
              <w:left w:val="nil"/>
              <w:bottom w:val="nil"/>
              <w:right w:val="nil"/>
            </w:tcBorders>
            <w:shd w:val="clear" w:color="auto" w:fill="auto"/>
            <w:noWrap/>
            <w:vAlign w:val="bottom"/>
            <w:hideMark/>
          </w:tcPr>
          <w:p w:rsidR="00E00A55" w:rsidRPr="00E00A55" w:rsidRDefault="00E00A55" w:rsidP="00E00A55">
            <w:pPr>
              <w:spacing w:before="0" w:after="0"/>
              <w:jc w:val="right"/>
              <w:rPr>
                <w:i/>
                <w:iCs/>
                <w:color w:val="000000"/>
                <w:szCs w:val="24"/>
              </w:rPr>
            </w:pPr>
            <w:r w:rsidRPr="00E00A55">
              <w:rPr>
                <w:i/>
                <w:iCs/>
                <w:color w:val="000000"/>
                <w:szCs w:val="24"/>
              </w:rPr>
              <w:t>15.2</w:t>
            </w:r>
          </w:p>
        </w:tc>
      </w:tr>
      <w:tr w:rsidR="00E00A55" w:rsidRPr="00115E33" w:rsidTr="00556BEC">
        <w:trPr>
          <w:trHeight w:val="283"/>
        </w:trPr>
        <w:tc>
          <w:tcPr>
            <w:tcW w:w="3559" w:type="dxa"/>
            <w:tcBorders>
              <w:top w:val="nil"/>
              <w:left w:val="nil"/>
              <w:bottom w:val="nil"/>
              <w:right w:val="nil"/>
            </w:tcBorders>
            <w:shd w:val="clear" w:color="auto" w:fill="auto"/>
            <w:noWrap/>
            <w:vAlign w:val="bottom"/>
            <w:hideMark/>
          </w:tcPr>
          <w:p w:rsidR="00E00A55" w:rsidRPr="00115E33" w:rsidRDefault="00E00A55" w:rsidP="00415EE4">
            <w:pPr>
              <w:spacing w:before="0" w:after="0" w:line="240" w:lineRule="auto"/>
              <w:rPr>
                <w:color w:val="000000"/>
                <w:lang w:eastAsia="en-GB"/>
              </w:rPr>
            </w:pPr>
            <w:r w:rsidRPr="00115E33">
              <w:rPr>
                <w:color w:val="000000"/>
                <w:lang w:eastAsia="en-GB"/>
              </w:rPr>
              <w:t>Micro-generation</w:t>
            </w:r>
          </w:p>
        </w:tc>
        <w:tc>
          <w:tcPr>
            <w:tcW w:w="1814" w:type="dxa"/>
            <w:tcBorders>
              <w:top w:val="nil"/>
              <w:left w:val="nil"/>
              <w:bottom w:val="nil"/>
              <w:right w:val="nil"/>
            </w:tcBorders>
            <w:shd w:val="clear" w:color="auto" w:fill="auto"/>
            <w:noWrap/>
            <w:vAlign w:val="bottom"/>
            <w:hideMark/>
          </w:tcPr>
          <w:p w:rsidR="00E00A55" w:rsidRPr="00115E33" w:rsidRDefault="00E00A55" w:rsidP="00415EE4">
            <w:pPr>
              <w:spacing w:before="0" w:after="0" w:line="240" w:lineRule="auto"/>
              <w:rPr>
                <w:color w:val="000000"/>
                <w:lang w:eastAsia="en-GB"/>
              </w:rPr>
            </w:pPr>
          </w:p>
        </w:tc>
        <w:tc>
          <w:tcPr>
            <w:tcW w:w="1991" w:type="dxa"/>
            <w:tcBorders>
              <w:top w:val="nil"/>
              <w:left w:val="nil"/>
              <w:bottom w:val="nil"/>
              <w:right w:val="nil"/>
            </w:tcBorders>
            <w:shd w:val="clear" w:color="auto" w:fill="auto"/>
            <w:noWrap/>
            <w:vAlign w:val="bottom"/>
            <w:hideMark/>
          </w:tcPr>
          <w:p w:rsidR="00E00A55" w:rsidRPr="004E44B6" w:rsidRDefault="00E00A55" w:rsidP="004E44B6">
            <w:pPr>
              <w:spacing w:before="0" w:after="0"/>
              <w:jc w:val="right"/>
              <w:rPr>
                <w:color w:val="000000"/>
                <w:szCs w:val="24"/>
              </w:rPr>
            </w:pPr>
            <w:r w:rsidRPr="004E44B6">
              <w:rPr>
                <w:color w:val="000000"/>
                <w:szCs w:val="24"/>
              </w:rPr>
              <w:t>34,074</w:t>
            </w:r>
          </w:p>
        </w:tc>
        <w:tc>
          <w:tcPr>
            <w:tcW w:w="1751" w:type="dxa"/>
            <w:tcBorders>
              <w:top w:val="nil"/>
              <w:left w:val="nil"/>
              <w:bottom w:val="nil"/>
              <w:right w:val="nil"/>
            </w:tcBorders>
            <w:shd w:val="clear" w:color="auto" w:fill="auto"/>
            <w:noWrap/>
            <w:vAlign w:val="bottom"/>
            <w:hideMark/>
          </w:tcPr>
          <w:p w:rsidR="00E00A55" w:rsidRPr="00E00A55" w:rsidRDefault="00E00A55" w:rsidP="00E00A55">
            <w:pPr>
              <w:spacing w:before="0" w:after="0"/>
              <w:jc w:val="right"/>
              <w:rPr>
                <w:i/>
                <w:iCs/>
                <w:color w:val="000000"/>
                <w:szCs w:val="24"/>
              </w:rPr>
            </w:pPr>
            <w:r w:rsidRPr="00E00A55">
              <w:rPr>
                <w:i/>
                <w:iCs/>
                <w:color w:val="000000"/>
                <w:szCs w:val="24"/>
              </w:rPr>
              <w:t>15.1</w:t>
            </w:r>
          </w:p>
        </w:tc>
      </w:tr>
      <w:tr w:rsidR="00E00A55" w:rsidRPr="00115E33" w:rsidTr="00556BEC">
        <w:trPr>
          <w:trHeight w:val="283"/>
        </w:trPr>
        <w:tc>
          <w:tcPr>
            <w:tcW w:w="3559" w:type="dxa"/>
            <w:tcBorders>
              <w:top w:val="nil"/>
              <w:left w:val="nil"/>
              <w:bottom w:val="nil"/>
              <w:right w:val="nil"/>
            </w:tcBorders>
            <w:shd w:val="clear" w:color="auto" w:fill="auto"/>
            <w:noWrap/>
            <w:vAlign w:val="bottom"/>
            <w:hideMark/>
          </w:tcPr>
          <w:p w:rsidR="00E00A55" w:rsidRPr="00115E33" w:rsidRDefault="00E00A55" w:rsidP="00415EE4">
            <w:pPr>
              <w:spacing w:before="0" w:after="0" w:line="240" w:lineRule="auto"/>
              <w:rPr>
                <w:color w:val="000000"/>
                <w:lang w:eastAsia="en-GB"/>
              </w:rPr>
            </w:pPr>
            <w:r w:rsidRPr="00115E33">
              <w:rPr>
                <w:color w:val="000000"/>
                <w:lang w:eastAsia="en-GB"/>
              </w:rPr>
              <w:t>Other Heating</w:t>
            </w:r>
          </w:p>
        </w:tc>
        <w:tc>
          <w:tcPr>
            <w:tcW w:w="1814" w:type="dxa"/>
            <w:tcBorders>
              <w:top w:val="nil"/>
              <w:left w:val="nil"/>
              <w:bottom w:val="nil"/>
              <w:right w:val="nil"/>
            </w:tcBorders>
            <w:shd w:val="clear" w:color="auto" w:fill="auto"/>
            <w:noWrap/>
            <w:vAlign w:val="bottom"/>
            <w:hideMark/>
          </w:tcPr>
          <w:p w:rsidR="00E00A55" w:rsidRPr="00115E33" w:rsidRDefault="00E00A55" w:rsidP="00415EE4">
            <w:pPr>
              <w:spacing w:before="0" w:after="0" w:line="240" w:lineRule="auto"/>
              <w:rPr>
                <w:color w:val="000000"/>
                <w:lang w:eastAsia="en-GB"/>
              </w:rPr>
            </w:pPr>
          </w:p>
        </w:tc>
        <w:tc>
          <w:tcPr>
            <w:tcW w:w="1991" w:type="dxa"/>
            <w:tcBorders>
              <w:top w:val="nil"/>
              <w:left w:val="nil"/>
              <w:bottom w:val="nil"/>
              <w:right w:val="nil"/>
            </w:tcBorders>
            <w:shd w:val="clear" w:color="auto" w:fill="auto"/>
            <w:noWrap/>
            <w:vAlign w:val="bottom"/>
            <w:hideMark/>
          </w:tcPr>
          <w:p w:rsidR="00E00A55" w:rsidRPr="004E44B6" w:rsidRDefault="00E00A55" w:rsidP="004E44B6">
            <w:pPr>
              <w:spacing w:before="0" w:after="0"/>
              <w:jc w:val="right"/>
              <w:rPr>
                <w:color w:val="000000"/>
                <w:szCs w:val="24"/>
              </w:rPr>
            </w:pPr>
            <w:r w:rsidRPr="004E44B6">
              <w:rPr>
                <w:color w:val="000000"/>
                <w:szCs w:val="24"/>
              </w:rPr>
              <w:t>22,287</w:t>
            </w:r>
          </w:p>
        </w:tc>
        <w:tc>
          <w:tcPr>
            <w:tcW w:w="1751" w:type="dxa"/>
            <w:tcBorders>
              <w:top w:val="nil"/>
              <w:left w:val="nil"/>
              <w:bottom w:val="nil"/>
              <w:right w:val="nil"/>
            </w:tcBorders>
            <w:shd w:val="clear" w:color="auto" w:fill="auto"/>
            <w:noWrap/>
            <w:vAlign w:val="bottom"/>
            <w:hideMark/>
          </w:tcPr>
          <w:p w:rsidR="00E00A55" w:rsidRPr="00E00A55" w:rsidRDefault="00E00A55" w:rsidP="00E00A55">
            <w:pPr>
              <w:spacing w:before="0" w:after="0"/>
              <w:jc w:val="right"/>
              <w:rPr>
                <w:i/>
                <w:iCs/>
                <w:color w:val="000000"/>
                <w:szCs w:val="24"/>
              </w:rPr>
            </w:pPr>
            <w:r w:rsidRPr="00E00A55">
              <w:rPr>
                <w:i/>
                <w:iCs/>
                <w:color w:val="000000"/>
                <w:szCs w:val="24"/>
              </w:rPr>
              <w:t>9.9</w:t>
            </w:r>
          </w:p>
        </w:tc>
      </w:tr>
      <w:tr w:rsidR="00E00A55" w:rsidRPr="00115E33" w:rsidTr="00556BEC">
        <w:trPr>
          <w:trHeight w:val="283"/>
        </w:trPr>
        <w:tc>
          <w:tcPr>
            <w:tcW w:w="3559" w:type="dxa"/>
            <w:tcBorders>
              <w:top w:val="nil"/>
              <w:left w:val="nil"/>
              <w:bottom w:val="nil"/>
              <w:right w:val="nil"/>
            </w:tcBorders>
            <w:shd w:val="clear" w:color="auto" w:fill="auto"/>
            <w:noWrap/>
            <w:vAlign w:val="bottom"/>
            <w:hideMark/>
          </w:tcPr>
          <w:p w:rsidR="00E00A55" w:rsidRPr="00115E33" w:rsidRDefault="00E00A55" w:rsidP="00415EE4">
            <w:pPr>
              <w:spacing w:before="0" w:after="0" w:line="240" w:lineRule="auto"/>
              <w:rPr>
                <w:color w:val="000000"/>
                <w:lang w:eastAsia="en-GB"/>
              </w:rPr>
            </w:pPr>
            <w:r w:rsidRPr="00115E33">
              <w:rPr>
                <w:color w:val="000000"/>
                <w:lang w:eastAsia="en-GB"/>
              </w:rPr>
              <w:t>Other Insulation</w:t>
            </w:r>
          </w:p>
        </w:tc>
        <w:tc>
          <w:tcPr>
            <w:tcW w:w="1814" w:type="dxa"/>
            <w:tcBorders>
              <w:top w:val="nil"/>
              <w:left w:val="nil"/>
              <w:bottom w:val="nil"/>
              <w:right w:val="nil"/>
            </w:tcBorders>
            <w:shd w:val="clear" w:color="auto" w:fill="auto"/>
            <w:noWrap/>
            <w:vAlign w:val="bottom"/>
            <w:hideMark/>
          </w:tcPr>
          <w:p w:rsidR="00E00A55" w:rsidRPr="00115E33" w:rsidRDefault="00E00A55" w:rsidP="00415EE4">
            <w:pPr>
              <w:spacing w:before="0" w:after="0" w:line="240" w:lineRule="auto"/>
              <w:rPr>
                <w:color w:val="000000"/>
                <w:lang w:eastAsia="en-GB"/>
              </w:rPr>
            </w:pPr>
          </w:p>
        </w:tc>
        <w:tc>
          <w:tcPr>
            <w:tcW w:w="1991" w:type="dxa"/>
            <w:tcBorders>
              <w:top w:val="nil"/>
              <w:left w:val="nil"/>
              <w:bottom w:val="nil"/>
              <w:right w:val="nil"/>
            </w:tcBorders>
            <w:shd w:val="clear" w:color="auto" w:fill="auto"/>
            <w:noWrap/>
            <w:vAlign w:val="bottom"/>
            <w:hideMark/>
          </w:tcPr>
          <w:p w:rsidR="00E00A55" w:rsidRPr="004E44B6" w:rsidRDefault="00E00A55" w:rsidP="004E44B6">
            <w:pPr>
              <w:spacing w:before="0" w:after="0"/>
              <w:jc w:val="right"/>
              <w:rPr>
                <w:color w:val="000000"/>
                <w:szCs w:val="24"/>
              </w:rPr>
            </w:pPr>
            <w:r w:rsidRPr="004E44B6">
              <w:rPr>
                <w:color w:val="000000"/>
                <w:szCs w:val="24"/>
              </w:rPr>
              <w:t>42,800</w:t>
            </w:r>
          </w:p>
        </w:tc>
        <w:tc>
          <w:tcPr>
            <w:tcW w:w="1751" w:type="dxa"/>
            <w:tcBorders>
              <w:top w:val="nil"/>
              <w:left w:val="nil"/>
              <w:bottom w:val="nil"/>
              <w:right w:val="nil"/>
            </w:tcBorders>
            <w:shd w:val="clear" w:color="auto" w:fill="auto"/>
            <w:noWrap/>
            <w:vAlign w:val="bottom"/>
            <w:hideMark/>
          </w:tcPr>
          <w:p w:rsidR="00E00A55" w:rsidRPr="00E00A55" w:rsidRDefault="00E00A55" w:rsidP="00E00A55">
            <w:pPr>
              <w:spacing w:before="0" w:after="0"/>
              <w:jc w:val="right"/>
              <w:rPr>
                <w:i/>
                <w:iCs/>
                <w:color w:val="000000"/>
                <w:szCs w:val="24"/>
              </w:rPr>
            </w:pPr>
            <w:r w:rsidRPr="00E00A55">
              <w:rPr>
                <w:i/>
                <w:iCs/>
                <w:color w:val="000000"/>
                <w:szCs w:val="24"/>
              </w:rPr>
              <w:t>19.0</w:t>
            </w:r>
          </w:p>
        </w:tc>
      </w:tr>
      <w:tr w:rsidR="00E00A55" w:rsidRPr="00115E33" w:rsidTr="00556BEC">
        <w:trPr>
          <w:trHeight w:val="283"/>
        </w:trPr>
        <w:tc>
          <w:tcPr>
            <w:tcW w:w="3559" w:type="dxa"/>
            <w:tcBorders>
              <w:top w:val="nil"/>
              <w:left w:val="nil"/>
              <w:bottom w:val="nil"/>
              <w:right w:val="nil"/>
            </w:tcBorders>
            <w:shd w:val="clear" w:color="auto" w:fill="auto"/>
            <w:noWrap/>
            <w:vAlign w:val="bottom"/>
            <w:hideMark/>
          </w:tcPr>
          <w:p w:rsidR="00E00A55" w:rsidRPr="00115E33" w:rsidRDefault="00E00A55" w:rsidP="00415EE4">
            <w:pPr>
              <w:spacing w:before="0" w:after="0" w:line="240" w:lineRule="auto"/>
              <w:rPr>
                <w:color w:val="000000"/>
                <w:lang w:eastAsia="en-GB"/>
              </w:rPr>
            </w:pPr>
            <w:r w:rsidRPr="00115E33">
              <w:rPr>
                <w:color w:val="000000"/>
                <w:lang w:eastAsia="en-GB"/>
              </w:rPr>
              <w:t>Solid Wall Insulation</w:t>
            </w:r>
          </w:p>
        </w:tc>
        <w:tc>
          <w:tcPr>
            <w:tcW w:w="1814" w:type="dxa"/>
            <w:tcBorders>
              <w:top w:val="nil"/>
              <w:left w:val="nil"/>
              <w:bottom w:val="nil"/>
              <w:right w:val="nil"/>
            </w:tcBorders>
            <w:shd w:val="clear" w:color="auto" w:fill="auto"/>
            <w:noWrap/>
            <w:vAlign w:val="bottom"/>
            <w:hideMark/>
          </w:tcPr>
          <w:p w:rsidR="00E00A55" w:rsidRPr="00115E33" w:rsidRDefault="00E00A55" w:rsidP="00415EE4">
            <w:pPr>
              <w:spacing w:before="0" w:after="0" w:line="240" w:lineRule="auto"/>
              <w:rPr>
                <w:color w:val="000000"/>
                <w:lang w:eastAsia="en-GB"/>
              </w:rPr>
            </w:pPr>
          </w:p>
        </w:tc>
        <w:tc>
          <w:tcPr>
            <w:tcW w:w="1991" w:type="dxa"/>
            <w:tcBorders>
              <w:top w:val="nil"/>
              <w:left w:val="nil"/>
              <w:bottom w:val="nil"/>
              <w:right w:val="nil"/>
            </w:tcBorders>
            <w:shd w:val="clear" w:color="auto" w:fill="auto"/>
            <w:noWrap/>
            <w:vAlign w:val="bottom"/>
            <w:hideMark/>
          </w:tcPr>
          <w:p w:rsidR="00E00A55" w:rsidRPr="004E44B6" w:rsidRDefault="00E00A55" w:rsidP="004E44B6">
            <w:pPr>
              <w:spacing w:before="0" w:after="0"/>
              <w:jc w:val="right"/>
              <w:rPr>
                <w:color w:val="000000"/>
                <w:szCs w:val="24"/>
              </w:rPr>
            </w:pPr>
            <w:r w:rsidRPr="004E44B6">
              <w:rPr>
                <w:color w:val="000000"/>
                <w:szCs w:val="24"/>
              </w:rPr>
              <w:t>23,960</w:t>
            </w:r>
          </w:p>
        </w:tc>
        <w:tc>
          <w:tcPr>
            <w:tcW w:w="1751" w:type="dxa"/>
            <w:tcBorders>
              <w:top w:val="nil"/>
              <w:left w:val="nil"/>
              <w:bottom w:val="nil"/>
              <w:right w:val="nil"/>
            </w:tcBorders>
            <w:shd w:val="clear" w:color="auto" w:fill="auto"/>
            <w:noWrap/>
            <w:vAlign w:val="bottom"/>
            <w:hideMark/>
          </w:tcPr>
          <w:p w:rsidR="00E00A55" w:rsidRPr="00E00A55" w:rsidRDefault="00E00A55" w:rsidP="00E00A55">
            <w:pPr>
              <w:spacing w:before="0" w:after="0"/>
              <w:jc w:val="right"/>
              <w:rPr>
                <w:i/>
                <w:iCs/>
                <w:color w:val="000000"/>
                <w:szCs w:val="24"/>
              </w:rPr>
            </w:pPr>
            <w:r w:rsidRPr="00E00A55">
              <w:rPr>
                <w:i/>
                <w:iCs/>
                <w:color w:val="000000"/>
                <w:szCs w:val="24"/>
              </w:rPr>
              <w:t>10.6</w:t>
            </w:r>
          </w:p>
        </w:tc>
      </w:tr>
      <w:tr w:rsidR="00E00A55" w:rsidRPr="00115E33" w:rsidTr="00556BEC">
        <w:trPr>
          <w:trHeight w:val="283"/>
        </w:trPr>
        <w:tc>
          <w:tcPr>
            <w:tcW w:w="3559" w:type="dxa"/>
            <w:tcBorders>
              <w:top w:val="nil"/>
              <w:left w:val="nil"/>
              <w:bottom w:val="nil"/>
              <w:right w:val="nil"/>
            </w:tcBorders>
            <w:shd w:val="clear" w:color="auto" w:fill="auto"/>
            <w:noWrap/>
            <w:vAlign w:val="bottom"/>
            <w:hideMark/>
          </w:tcPr>
          <w:p w:rsidR="00E00A55" w:rsidRPr="00115E33" w:rsidRDefault="00E00A55" w:rsidP="00415EE4">
            <w:pPr>
              <w:spacing w:before="0" w:after="0" w:line="240" w:lineRule="auto"/>
              <w:rPr>
                <w:color w:val="000000"/>
                <w:lang w:eastAsia="en-GB"/>
              </w:rPr>
            </w:pPr>
            <w:r w:rsidRPr="00115E33">
              <w:rPr>
                <w:color w:val="000000"/>
                <w:lang w:eastAsia="en-GB"/>
              </w:rPr>
              <w:t>Window Glazing</w:t>
            </w:r>
          </w:p>
        </w:tc>
        <w:tc>
          <w:tcPr>
            <w:tcW w:w="1814" w:type="dxa"/>
            <w:tcBorders>
              <w:top w:val="nil"/>
              <w:left w:val="nil"/>
              <w:bottom w:val="nil"/>
              <w:right w:val="nil"/>
            </w:tcBorders>
            <w:shd w:val="clear" w:color="auto" w:fill="auto"/>
            <w:noWrap/>
            <w:vAlign w:val="bottom"/>
            <w:hideMark/>
          </w:tcPr>
          <w:p w:rsidR="00E00A55" w:rsidRPr="00115E33" w:rsidRDefault="00E00A55" w:rsidP="00415EE4">
            <w:pPr>
              <w:spacing w:before="0" w:after="0" w:line="240" w:lineRule="auto"/>
              <w:rPr>
                <w:color w:val="000000"/>
                <w:lang w:eastAsia="en-GB"/>
              </w:rPr>
            </w:pPr>
          </w:p>
        </w:tc>
        <w:tc>
          <w:tcPr>
            <w:tcW w:w="1991" w:type="dxa"/>
            <w:tcBorders>
              <w:top w:val="nil"/>
              <w:left w:val="nil"/>
              <w:bottom w:val="nil"/>
              <w:right w:val="nil"/>
            </w:tcBorders>
            <w:shd w:val="clear" w:color="auto" w:fill="auto"/>
            <w:noWrap/>
            <w:vAlign w:val="bottom"/>
            <w:hideMark/>
          </w:tcPr>
          <w:p w:rsidR="00E00A55" w:rsidRPr="004E44B6" w:rsidRDefault="00E00A55" w:rsidP="004E44B6">
            <w:pPr>
              <w:spacing w:before="0" w:after="0"/>
              <w:jc w:val="right"/>
              <w:rPr>
                <w:color w:val="000000"/>
                <w:szCs w:val="24"/>
              </w:rPr>
            </w:pPr>
            <w:r w:rsidRPr="004E44B6">
              <w:rPr>
                <w:color w:val="000000"/>
                <w:szCs w:val="24"/>
              </w:rPr>
              <w:t>7,861</w:t>
            </w:r>
          </w:p>
        </w:tc>
        <w:tc>
          <w:tcPr>
            <w:tcW w:w="1751" w:type="dxa"/>
            <w:tcBorders>
              <w:top w:val="nil"/>
              <w:left w:val="nil"/>
              <w:bottom w:val="nil"/>
              <w:right w:val="nil"/>
            </w:tcBorders>
            <w:shd w:val="clear" w:color="auto" w:fill="auto"/>
            <w:noWrap/>
            <w:vAlign w:val="bottom"/>
            <w:hideMark/>
          </w:tcPr>
          <w:p w:rsidR="00E00A55" w:rsidRPr="00E00A55" w:rsidRDefault="00E00A55" w:rsidP="00E00A55">
            <w:pPr>
              <w:spacing w:before="0" w:after="0"/>
              <w:jc w:val="right"/>
              <w:rPr>
                <w:i/>
                <w:iCs/>
                <w:color w:val="000000"/>
                <w:szCs w:val="24"/>
              </w:rPr>
            </w:pPr>
            <w:r w:rsidRPr="00E00A55">
              <w:rPr>
                <w:i/>
                <w:iCs/>
                <w:color w:val="000000"/>
                <w:szCs w:val="24"/>
              </w:rPr>
              <w:t>3.5</w:t>
            </w:r>
          </w:p>
        </w:tc>
      </w:tr>
      <w:tr w:rsidR="004E44B6" w:rsidRPr="00115E33" w:rsidTr="00556BEC">
        <w:trPr>
          <w:trHeight w:val="283"/>
        </w:trPr>
        <w:tc>
          <w:tcPr>
            <w:tcW w:w="3559" w:type="dxa"/>
            <w:tcBorders>
              <w:top w:val="nil"/>
              <w:left w:val="nil"/>
              <w:bottom w:val="nil"/>
              <w:right w:val="nil"/>
            </w:tcBorders>
            <w:shd w:val="clear" w:color="auto" w:fill="auto"/>
            <w:noWrap/>
            <w:vAlign w:val="bottom"/>
            <w:hideMark/>
          </w:tcPr>
          <w:p w:rsidR="004E44B6" w:rsidRPr="00115E33" w:rsidRDefault="004E44B6" w:rsidP="00415EE4">
            <w:pPr>
              <w:spacing w:before="0" w:after="0" w:line="240" w:lineRule="auto"/>
              <w:rPr>
                <w:color w:val="000000"/>
                <w:lang w:eastAsia="en-GB"/>
              </w:rPr>
            </w:pPr>
          </w:p>
        </w:tc>
        <w:tc>
          <w:tcPr>
            <w:tcW w:w="1814" w:type="dxa"/>
            <w:tcBorders>
              <w:top w:val="nil"/>
              <w:left w:val="nil"/>
              <w:bottom w:val="nil"/>
              <w:right w:val="nil"/>
            </w:tcBorders>
            <w:shd w:val="clear" w:color="auto" w:fill="auto"/>
            <w:noWrap/>
            <w:vAlign w:val="bottom"/>
            <w:hideMark/>
          </w:tcPr>
          <w:p w:rsidR="004E44B6" w:rsidRPr="00115E33" w:rsidRDefault="004E44B6" w:rsidP="00415EE4">
            <w:pPr>
              <w:spacing w:before="0" w:after="0" w:line="240" w:lineRule="auto"/>
              <w:rPr>
                <w:color w:val="000000"/>
                <w:lang w:eastAsia="en-GB"/>
              </w:rPr>
            </w:pPr>
          </w:p>
        </w:tc>
        <w:tc>
          <w:tcPr>
            <w:tcW w:w="1991" w:type="dxa"/>
            <w:tcBorders>
              <w:top w:val="nil"/>
              <w:left w:val="nil"/>
              <w:bottom w:val="nil"/>
              <w:right w:val="nil"/>
            </w:tcBorders>
            <w:shd w:val="clear" w:color="auto" w:fill="auto"/>
            <w:noWrap/>
            <w:vAlign w:val="bottom"/>
            <w:hideMark/>
          </w:tcPr>
          <w:p w:rsidR="004E44B6" w:rsidRPr="004E44B6" w:rsidRDefault="004E44B6" w:rsidP="004E44B6">
            <w:pPr>
              <w:spacing w:before="0" w:after="0"/>
              <w:rPr>
                <w:color w:val="000000"/>
                <w:szCs w:val="24"/>
              </w:rPr>
            </w:pPr>
          </w:p>
        </w:tc>
        <w:tc>
          <w:tcPr>
            <w:tcW w:w="1751" w:type="dxa"/>
            <w:tcBorders>
              <w:top w:val="nil"/>
              <w:left w:val="nil"/>
              <w:bottom w:val="nil"/>
              <w:right w:val="nil"/>
            </w:tcBorders>
            <w:shd w:val="clear" w:color="auto" w:fill="auto"/>
            <w:noWrap/>
            <w:vAlign w:val="bottom"/>
            <w:hideMark/>
          </w:tcPr>
          <w:p w:rsidR="004E44B6" w:rsidRPr="004E44B6" w:rsidRDefault="004E44B6" w:rsidP="004E44B6">
            <w:pPr>
              <w:spacing w:before="0" w:after="0"/>
              <w:rPr>
                <w:i/>
                <w:iCs/>
                <w:color w:val="000000"/>
                <w:szCs w:val="24"/>
              </w:rPr>
            </w:pPr>
          </w:p>
        </w:tc>
      </w:tr>
      <w:tr w:rsidR="004E44B6" w:rsidRPr="00115E33" w:rsidTr="00556BEC">
        <w:trPr>
          <w:trHeight w:val="298"/>
        </w:trPr>
        <w:tc>
          <w:tcPr>
            <w:tcW w:w="3559" w:type="dxa"/>
            <w:tcBorders>
              <w:top w:val="nil"/>
              <w:left w:val="nil"/>
              <w:bottom w:val="single" w:sz="4" w:space="0" w:color="auto"/>
              <w:right w:val="nil"/>
            </w:tcBorders>
            <w:shd w:val="clear" w:color="000000" w:fill="FFFFFF"/>
            <w:noWrap/>
            <w:vAlign w:val="bottom"/>
            <w:hideMark/>
          </w:tcPr>
          <w:p w:rsidR="004E44B6" w:rsidRPr="00115E33" w:rsidRDefault="004E44B6" w:rsidP="00415EE4">
            <w:pPr>
              <w:spacing w:before="0" w:after="0" w:line="240" w:lineRule="auto"/>
              <w:rPr>
                <w:b/>
                <w:bCs/>
                <w:color w:val="000000"/>
                <w:lang w:eastAsia="en-GB"/>
              </w:rPr>
            </w:pPr>
            <w:r w:rsidRPr="00115E33">
              <w:rPr>
                <w:b/>
                <w:bCs/>
                <w:color w:val="000000"/>
                <w:lang w:eastAsia="en-GB"/>
              </w:rPr>
              <w:t>Total</w:t>
            </w:r>
          </w:p>
        </w:tc>
        <w:tc>
          <w:tcPr>
            <w:tcW w:w="1814" w:type="dxa"/>
            <w:tcBorders>
              <w:top w:val="nil"/>
              <w:left w:val="nil"/>
              <w:bottom w:val="single" w:sz="4" w:space="0" w:color="auto"/>
              <w:right w:val="nil"/>
            </w:tcBorders>
            <w:shd w:val="clear" w:color="auto" w:fill="auto"/>
            <w:noWrap/>
            <w:vAlign w:val="bottom"/>
            <w:hideMark/>
          </w:tcPr>
          <w:p w:rsidR="004E44B6" w:rsidRPr="00115E33" w:rsidRDefault="004E44B6" w:rsidP="00415EE4">
            <w:pPr>
              <w:spacing w:before="0" w:after="0" w:line="240" w:lineRule="auto"/>
              <w:rPr>
                <w:b/>
                <w:bCs/>
                <w:color w:val="000000"/>
                <w:lang w:eastAsia="en-GB"/>
              </w:rPr>
            </w:pPr>
            <w:r w:rsidRPr="00115E33">
              <w:rPr>
                <w:b/>
                <w:bCs/>
                <w:color w:val="000000"/>
                <w:lang w:eastAsia="en-GB"/>
              </w:rPr>
              <w:t> </w:t>
            </w:r>
          </w:p>
        </w:tc>
        <w:tc>
          <w:tcPr>
            <w:tcW w:w="1991" w:type="dxa"/>
            <w:tcBorders>
              <w:top w:val="nil"/>
              <w:left w:val="nil"/>
              <w:bottom w:val="single" w:sz="4" w:space="0" w:color="auto"/>
              <w:right w:val="nil"/>
            </w:tcBorders>
            <w:shd w:val="clear" w:color="auto" w:fill="auto"/>
            <w:noWrap/>
            <w:vAlign w:val="bottom"/>
            <w:hideMark/>
          </w:tcPr>
          <w:p w:rsidR="004E44B6" w:rsidRPr="004E44B6" w:rsidRDefault="004E44B6" w:rsidP="004E44B6">
            <w:pPr>
              <w:spacing w:before="0" w:after="0"/>
              <w:jc w:val="right"/>
              <w:rPr>
                <w:b/>
                <w:bCs/>
                <w:color w:val="000000"/>
                <w:szCs w:val="24"/>
              </w:rPr>
            </w:pPr>
            <w:r w:rsidRPr="004E44B6">
              <w:rPr>
                <w:b/>
                <w:bCs/>
                <w:color w:val="000000"/>
                <w:szCs w:val="24"/>
              </w:rPr>
              <w:t>225,512</w:t>
            </w:r>
          </w:p>
        </w:tc>
        <w:tc>
          <w:tcPr>
            <w:tcW w:w="1751" w:type="dxa"/>
            <w:tcBorders>
              <w:top w:val="nil"/>
              <w:left w:val="nil"/>
              <w:bottom w:val="single" w:sz="4" w:space="0" w:color="auto"/>
              <w:right w:val="nil"/>
            </w:tcBorders>
            <w:shd w:val="clear" w:color="auto" w:fill="auto"/>
            <w:noWrap/>
            <w:vAlign w:val="bottom"/>
            <w:hideMark/>
          </w:tcPr>
          <w:p w:rsidR="004E44B6" w:rsidRPr="004E44B6" w:rsidRDefault="004E44B6" w:rsidP="004E44B6">
            <w:pPr>
              <w:spacing w:before="0" w:after="0"/>
              <w:jc w:val="right"/>
              <w:rPr>
                <w:b/>
                <w:bCs/>
                <w:i/>
                <w:iCs/>
                <w:color w:val="000000"/>
                <w:szCs w:val="24"/>
              </w:rPr>
            </w:pPr>
            <w:r w:rsidRPr="004E44B6">
              <w:rPr>
                <w:b/>
                <w:bCs/>
                <w:i/>
                <w:iCs/>
                <w:color w:val="000000"/>
                <w:szCs w:val="24"/>
              </w:rPr>
              <w:t>100</w:t>
            </w:r>
          </w:p>
        </w:tc>
      </w:tr>
    </w:tbl>
    <w:p w:rsidR="00415EE4" w:rsidRDefault="00415EE4" w:rsidP="00415EE4">
      <w:pPr>
        <w:spacing w:before="0" w:after="0" w:line="270" w:lineRule="atLeast"/>
        <w:jc w:val="both"/>
        <w:rPr>
          <w:bCs/>
          <w:vertAlign w:val="superscript"/>
        </w:rPr>
      </w:pPr>
    </w:p>
    <w:p w:rsidR="00415EE4" w:rsidRDefault="00415EE4" w:rsidP="00415EE4">
      <w:pPr>
        <w:spacing w:before="0" w:after="0" w:line="270" w:lineRule="atLeast"/>
        <w:jc w:val="both"/>
        <w:rPr>
          <w:bCs/>
        </w:rPr>
      </w:pPr>
      <w:r w:rsidRPr="00020667">
        <w:rPr>
          <w:bCs/>
          <w:vertAlign w:val="superscript"/>
        </w:rPr>
        <w:t>1</w:t>
      </w:r>
      <w:r w:rsidRPr="00020667">
        <w:rPr>
          <w:bCs/>
        </w:rPr>
        <w:t xml:space="preserve"> More than one improvement can be recommended per Assessment. On </w:t>
      </w:r>
      <w:r>
        <w:rPr>
          <w:bCs/>
        </w:rPr>
        <w:t>average,</w:t>
      </w:r>
      <w:r w:rsidRPr="00020667">
        <w:rPr>
          <w:bCs/>
        </w:rPr>
        <w:t xml:space="preserve"> there are around</w:t>
      </w:r>
      <w:r w:rsidR="004E44B6">
        <w:rPr>
          <w:bCs/>
        </w:rPr>
        <w:t xml:space="preserve"> two to</w:t>
      </w:r>
      <w:r w:rsidRPr="00020667">
        <w:rPr>
          <w:bCs/>
        </w:rPr>
        <w:t xml:space="preserve"> three improvements recommended per Assessment.</w:t>
      </w:r>
    </w:p>
    <w:p w:rsidR="00415EE4" w:rsidRPr="00020667" w:rsidRDefault="00415EE4" w:rsidP="00415EE4">
      <w:pPr>
        <w:spacing w:before="0" w:after="0" w:line="270" w:lineRule="atLeast"/>
        <w:jc w:val="both"/>
        <w:rPr>
          <w:bCs/>
        </w:rPr>
      </w:pPr>
    </w:p>
    <w:p w:rsidR="002D15AF" w:rsidRDefault="002D15AF" w:rsidP="00415EE4">
      <w:pPr>
        <w:spacing w:before="0" w:after="0" w:line="270" w:lineRule="atLeast"/>
        <w:jc w:val="both"/>
        <w:rPr>
          <w:b/>
          <w:bCs/>
        </w:rPr>
      </w:pPr>
    </w:p>
    <w:p w:rsidR="00415EE4" w:rsidRDefault="00556BEC" w:rsidP="00415EE4">
      <w:pPr>
        <w:spacing w:before="0" w:after="0" w:line="270" w:lineRule="atLeast"/>
        <w:jc w:val="both"/>
        <w:rPr>
          <w:b/>
          <w:bCs/>
          <w:highlight w:val="yellow"/>
        </w:rPr>
      </w:pPr>
      <w:r>
        <w:rPr>
          <w:b/>
          <w:bCs/>
        </w:rPr>
        <w:t>Table 1.5</w:t>
      </w:r>
      <w:r w:rsidR="00415EE4" w:rsidRPr="00750A1C">
        <w:rPr>
          <w:b/>
          <w:bCs/>
        </w:rPr>
        <w:t>a: Number of improvements by measures recommended in Green Deal A</w:t>
      </w:r>
      <w:r w:rsidR="00415EE4">
        <w:rPr>
          <w:b/>
          <w:bCs/>
        </w:rPr>
        <w:t>ssessments</w:t>
      </w:r>
      <w:r w:rsidR="00415EE4" w:rsidRPr="00750A1C">
        <w:rPr>
          <w:b/>
          <w:bCs/>
        </w:rPr>
        <w:t>, up to 30</w:t>
      </w:r>
      <w:r w:rsidR="00415EE4" w:rsidRPr="00750A1C">
        <w:rPr>
          <w:b/>
          <w:bCs/>
          <w:vertAlign w:val="superscript"/>
        </w:rPr>
        <w:t>th</w:t>
      </w:r>
      <w:r w:rsidR="00415EE4" w:rsidRPr="00750A1C">
        <w:rPr>
          <w:b/>
          <w:bCs/>
        </w:rPr>
        <w:t xml:space="preserve"> </w:t>
      </w:r>
      <w:r w:rsidR="002D15AF" w:rsidRPr="002D15AF">
        <w:rPr>
          <w:b/>
          <w:bCs/>
        </w:rPr>
        <w:t xml:space="preserve">September </w:t>
      </w:r>
      <w:r w:rsidR="00415EE4" w:rsidRPr="00750A1C">
        <w:rPr>
          <w:b/>
          <w:bCs/>
        </w:rPr>
        <w:t xml:space="preserve">2013, </w:t>
      </w:r>
      <w:r w:rsidR="004E44B6">
        <w:rPr>
          <w:b/>
          <w:bCs/>
        </w:rPr>
        <w:t>Great Britain</w:t>
      </w:r>
      <w:r w:rsidR="00415EE4">
        <w:rPr>
          <w:b/>
          <w:bCs/>
        </w:rPr>
        <w:t xml:space="preserve"> </w:t>
      </w:r>
    </w:p>
    <w:p w:rsidR="00415EE4" w:rsidRDefault="00415EE4" w:rsidP="00415EE4">
      <w:pPr>
        <w:spacing w:before="0" w:after="0" w:line="270" w:lineRule="atLeast"/>
        <w:rPr>
          <w:b/>
          <w:bCs/>
          <w:highlight w:val="yellow"/>
        </w:rPr>
      </w:pPr>
    </w:p>
    <w:tbl>
      <w:tblPr>
        <w:tblW w:w="10267" w:type="dxa"/>
        <w:tblInd w:w="93" w:type="dxa"/>
        <w:tblLook w:val="04A0" w:firstRow="1" w:lastRow="0" w:firstColumn="1" w:lastColumn="0" w:noHBand="0" w:noVBand="1"/>
      </w:tblPr>
      <w:tblGrid>
        <w:gridCol w:w="6676"/>
        <w:gridCol w:w="1840"/>
        <w:gridCol w:w="1751"/>
      </w:tblGrid>
      <w:tr w:rsidR="00415EE4" w:rsidRPr="00CE7DE3" w:rsidTr="004E44B6">
        <w:trPr>
          <w:trHeight w:val="577"/>
        </w:trPr>
        <w:tc>
          <w:tcPr>
            <w:tcW w:w="6676" w:type="dxa"/>
            <w:tcBorders>
              <w:top w:val="single" w:sz="4" w:space="0" w:color="auto"/>
              <w:left w:val="nil"/>
              <w:bottom w:val="single" w:sz="4" w:space="0" w:color="auto"/>
              <w:right w:val="nil"/>
            </w:tcBorders>
            <w:shd w:val="clear" w:color="auto" w:fill="auto"/>
            <w:noWrap/>
            <w:vAlign w:val="center"/>
            <w:hideMark/>
          </w:tcPr>
          <w:p w:rsidR="00415EE4" w:rsidRPr="00CE7DE3" w:rsidRDefault="00415EE4" w:rsidP="00415EE4">
            <w:pPr>
              <w:spacing w:before="0" w:after="0" w:line="240" w:lineRule="auto"/>
              <w:rPr>
                <w:color w:val="000000"/>
                <w:lang w:eastAsia="en-GB"/>
              </w:rPr>
            </w:pPr>
            <w:r w:rsidRPr="00CE7DE3">
              <w:rPr>
                <w:color w:val="000000"/>
                <w:lang w:eastAsia="en-GB"/>
              </w:rPr>
              <w:t xml:space="preserve">Measure Type by Measures </w:t>
            </w:r>
          </w:p>
        </w:tc>
        <w:tc>
          <w:tcPr>
            <w:tcW w:w="1840" w:type="dxa"/>
            <w:tcBorders>
              <w:top w:val="single" w:sz="4" w:space="0" w:color="auto"/>
              <w:left w:val="nil"/>
              <w:bottom w:val="single" w:sz="4" w:space="0" w:color="auto"/>
              <w:right w:val="nil"/>
            </w:tcBorders>
            <w:shd w:val="clear" w:color="auto" w:fill="auto"/>
            <w:vAlign w:val="bottom"/>
            <w:hideMark/>
          </w:tcPr>
          <w:p w:rsidR="00415EE4" w:rsidRPr="00CE7DE3" w:rsidRDefault="00415EE4" w:rsidP="00415EE4">
            <w:pPr>
              <w:spacing w:before="0" w:after="0" w:line="240" w:lineRule="auto"/>
              <w:jc w:val="right"/>
              <w:rPr>
                <w:color w:val="000000"/>
                <w:lang w:eastAsia="en-GB"/>
              </w:rPr>
            </w:pPr>
            <w:r w:rsidRPr="00CE7DE3">
              <w:rPr>
                <w:color w:val="000000"/>
                <w:lang w:eastAsia="en-GB"/>
              </w:rPr>
              <w:t>Number of improvements recommended</w:t>
            </w:r>
            <w:r w:rsidRPr="00CE7DE3">
              <w:rPr>
                <w:color w:val="000000"/>
                <w:vertAlign w:val="superscript"/>
                <w:lang w:eastAsia="en-GB"/>
              </w:rPr>
              <w:t>1</w:t>
            </w:r>
          </w:p>
        </w:tc>
        <w:tc>
          <w:tcPr>
            <w:tcW w:w="1751" w:type="dxa"/>
            <w:tcBorders>
              <w:top w:val="single" w:sz="4" w:space="0" w:color="auto"/>
              <w:left w:val="nil"/>
              <w:bottom w:val="single" w:sz="4" w:space="0" w:color="auto"/>
              <w:right w:val="nil"/>
            </w:tcBorders>
            <w:shd w:val="clear" w:color="auto" w:fill="auto"/>
            <w:vAlign w:val="bottom"/>
            <w:hideMark/>
          </w:tcPr>
          <w:p w:rsidR="00415EE4" w:rsidRPr="00CE7DE3" w:rsidRDefault="00415EE4" w:rsidP="00415EE4">
            <w:pPr>
              <w:spacing w:before="0" w:after="0" w:line="240" w:lineRule="auto"/>
              <w:jc w:val="right"/>
              <w:rPr>
                <w:color w:val="000000"/>
                <w:lang w:eastAsia="en-GB"/>
              </w:rPr>
            </w:pPr>
            <w:r w:rsidRPr="00CE7DE3">
              <w:rPr>
                <w:color w:val="000000"/>
                <w:lang w:eastAsia="en-GB"/>
              </w:rPr>
              <w:t>Percentage of improvements recommended</w:t>
            </w:r>
          </w:p>
        </w:tc>
      </w:tr>
      <w:tr w:rsidR="004448E5" w:rsidRPr="00CE7DE3" w:rsidTr="004E44B6">
        <w:trPr>
          <w:trHeight w:val="312"/>
        </w:trPr>
        <w:tc>
          <w:tcPr>
            <w:tcW w:w="6676" w:type="dxa"/>
            <w:tcBorders>
              <w:top w:val="nil"/>
              <w:left w:val="nil"/>
              <w:bottom w:val="nil"/>
              <w:right w:val="nil"/>
            </w:tcBorders>
            <w:shd w:val="clear" w:color="auto" w:fill="auto"/>
            <w:noWrap/>
            <w:vAlign w:val="center"/>
            <w:hideMark/>
          </w:tcPr>
          <w:p w:rsidR="004448E5" w:rsidRDefault="004448E5" w:rsidP="00415EE4">
            <w:pPr>
              <w:spacing w:before="0" w:after="0" w:line="240" w:lineRule="auto"/>
              <w:rPr>
                <w:b/>
                <w:bCs/>
                <w:color w:val="000000"/>
                <w:lang w:eastAsia="en-GB"/>
              </w:rPr>
            </w:pPr>
          </w:p>
          <w:p w:rsidR="004448E5" w:rsidRPr="00CE7DE3" w:rsidRDefault="004448E5" w:rsidP="00415EE4">
            <w:pPr>
              <w:spacing w:before="0" w:after="0" w:line="240" w:lineRule="auto"/>
              <w:rPr>
                <w:b/>
                <w:bCs/>
                <w:color w:val="000000"/>
                <w:lang w:eastAsia="en-GB"/>
              </w:rPr>
            </w:pPr>
            <w:r w:rsidRPr="00CE7DE3">
              <w:rPr>
                <w:b/>
                <w:bCs/>
                <w:color w:val="000000"/>
                <w:lang w:eastAsia="en-GB"/>
              </w:rPr>
              <w:t>Boiler</w:t>
            </w:r>
          </w:p>
        </w:tc>
        <w:tc>
          <w:tcPr>
            <w:tcW w:w="1840" w:type="dxa"/>
            <w:tcBorders>
              <w:top w:val="nil"/>
              <w:left w:val="nil"/>
              <w:bottom w:val="nil"/>
              <w:right w:val="nil"/>
            </w:tcBorders>
            <w:shd w:val="clear" w:color="auto" w:fill="auto"/>
            <w:vAlign w:val="bottom"/>
            <w:hideMark/>
          </w:tcPr>
          <w:p w:rsidR="004448E5" w:rsidRPr="004E44B6" w:rsidRDefault="004448E5" w:rsidP="004E44B6">
            <w:pPr>
              <w:spacing w:before="0" w:after="0"/>
              <w:jc w:val="right"/>
              <w:rPr>
                <w:b/>
                <w:bCs/>
                <w:color w:val="000000"/>
                <w:szCs w:val="24"/>
              </w:rPr>
            </w:pPr>
            <w:r w:rsidRPr="004E44B6">
              <w:rPr>
                <w:b/>
                <w:bCs/>
                <w:color w:val="000000"/>
                <w:szCs w:val="24"/>
              </w:rPr>
              <w:t>30,822</w:t>
            </w:r>
          </w:p>
        </w:tc>
        <w:tc>
          <w:tcPr>
            <w:tcW w:w="1751" w:type="dxa"/>
            <w:tcBorders>
              <w:top w:val="nil"/>
              <w:left w:val="nil"/>
              <w:bottom w:val="nil"/>
              <w:right w:val="nil"/>
            </w:tcBorders>
            <w:shd w:val="clear" w:color="auto" w:fill="auto"/>
            <w:vAlign w:val="bottom"/>
            <w:hideMark/>
          </w:tcPr>
          <w:p w:rsidR="004448E5" w:rsidRPr="004448E5" w:rsidRDefault="004448E5" w:rsidP="004448E5">
            <w:pPr>
              <w:spacing w:before="0" w:after="0"/>
              <w:jc w:val="right"/>
              <w:rPr>
                <w:b/>
                <w:bCs/>
                <w:i/>
                <w:iCs/>
                <w:color w:val="000000"/>
                <w:szCs w:val="24"/>
              </w:rPr>
            </w:pPr>
            <w:r w:rsidRPr="004448E5">
              <w:rPr>
                <w:b/>
                <w:bCs/>
                <w:i/>
                <w:iCs/>
                <w:color w:val="000000"/>
                <w:szCs w:val="24"/>
              </w:rPr>
              <w:t>13.7</w:t>
            </w:r>
          </w:p>
        </w:tc>
      </w:tr>
      <w:tr w:rsidR="004448E5" w:rsidRPr="00CE7DE3" w:rsidTr="004E44B6">
        <w:trPr>
          <w:trHeight w:val="530"/>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color w:val="000000"/>
                <w:lang w:eastAsia="en-GB"/>
              </w:rPr>
            </w:pPr>
            <w:r w:rsidRPr="00CE7DE3">
              <w:rPr>
                <w:color w:val="000000"/>
                <w:lang w:eastAsia="en-GB"/>
              </w:rPr>
              <w:t>Change heating to gas condensing boiler (fuel switch)</w:t>
            </w: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color w:val="000000"/>
                <w:szCs w:val="24"/>
              </w:rPr>
            </w:pPr>
            <w:r w:rsidRPr="004E44B6">
              <w:rPr>
                <w:color w:val="000000"/>
                <w:szCs w:val="24"/>
              </w:rPr>
              <w:t>1,333</w:t>
            </w: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i/>
                <w:iCs/>
                <w:color w:val="000000"/>
                <w:szCs w:val="24"/>
              </w:rPr>
            </w:pPr>
            <w:r w:rsidRPr="004448E5">
              <w:rPr>
                <w:i/>
                <w:iCs/>
                <w:color w:val="000000"/>
                <w:szCs w:val="24"/>
              </w:rPr>
              <w:t>0.6</w:t>
            </w:r>
          </w:p>
        </w:tc>
      </w:tr>
      <w:tr w:rsidR="004448E5" w:rsidRPr="00CE7DE3" w:rsidTr="004E44B6">
        <w:trPr>
          <w:trHeight w:val="296"/>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color w:val="000000"/>
                <w:lang w:eastAsia="en-GB"/>
              </w:rPr>
            </w:pPr>
            <w:r w:rsidRPr="00CE7DE3">
              <w:rPr>
                <w:color w:val="000000"/>
                <w:lang w:eastAsia="en-GB"/>
              </w:rPr>
              <w:t>Change heating to gas condensing boiler (fuel switch), and flue gas heat recovery</w:t>
            </w: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color w:val="000000"/>
                <w:szCs w:val="24"/>
              </w:rPr>
            </w:pPr>
            <w:r w:rsidRPr="004E44B6">
              <w:rPr>
                <w:color w:val="000000"/>
                <w:szCs w:val="24"/>
              </w:rPr>
              <w:t>67</w:t>
            </w: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i/>
                <w:iCs/>
                <w:color w:val="000000"/>
                <w:szCs w:val="24"/>
              </w:rPr>
            </w:pPr>
            <w:r w:rsidRPr="004448E5">
              <w:rPr>
                <w:i/>
                <w:iCs/>
                <w:color w:val="000000"/>
                <w:szCs w:val="24"/>
              </w:rPr>
              <w:t>0.0</w:t>
            </w:r>
          </w:p>
        </w:tc>
      </w:tr>
      <w:tr w:rsidR="004448E5" w:rsidRPr="00CE7DE3" w:rsidTr="004E44B6">
        <w:trPr>
          <w:trHeight w:val="296"/>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color w:val="000000"/>
                <w:lang w:eastAsia="en-GB"/>
              </w:rPr>
            </w:pPr>
            <w:r w:rsidRPr="00CE7DE3">
              <w:rPr>
                <w:color w:val="000000"/>
                <w:lang w:eastAsia="en-GB"/>
              </w:rPr>
              <w:t>Change heating to gas condensing boiler (no fuel switch)</w:t>
            </w: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color w:val="000000"/>
                <w:szCs w:val="24"/>
              </w:rPr>
            </w:pPr>
            <w:r w:rsidRPr="004E44B6">
              <w:rPr>
                <w:color w:val="000000"/>
                <w:szCs w:val="24"/>
              </w:rPr>
              <w:t>518</w:t>
            </w: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i/>
                <w:iCs/>
                <w:color w:val="000000"/>
                <w:szCs w:val="24"/>
              </w:rPr>
            </w:pPr>
            <w:r w:rsidRPr="004448E5">
              <w:rPr>
                <w:i/>
                <w:iCs/>
                <w:color w:val="000000"/>
                <w:szCs w:val="24"/>
              </w:rPr>
              <w:t>0.2</w:t>
            </w:r>
          </w:p>
        </w:tc>
      </w:tr>
      <w:tr w:rsidR="004448E5" w:rsidRPr="00CE7DE3" w:rsidTr="004E44B6">
        <w:trPr>
          <w:trHeight w:val="296"/>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color w:val="000000"/>
                <w:lang w:eastAsia="en-GB"/>
              </w:rPr>
            </w:pPr>
            <w:r w:rsidRPr="00CE7DE3">
              <w:rPr>
                <w:color w:val="000000"/>
                <w:lang w:eastAsia="en-GB"/>
              </w:rPr>
              <w:t>Change heating to gas condensing boiler (no fuel switch), and flue gas heat recovery</w:t>
            </w: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color w:val="000000"/>
                <w:szCs w:val="24"/>
              </w:rPr>
            </w:pPr>
            <w:r w:rsidRPr="004E44B6">
              <w:rPr>
                <w:color w:val="000000"/>
                <w:szCs w:val="24"/>
              </w:rPr>
              <w:t>17</w:t>
            </w: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i/>
                <w:iCs/>
                <w:color w:val="000000"/>
                <w:szCs w:val="24"/>
              </w:rPr>
            </w:pPr>
            <w:r w:rsidRPr="004448E5">
              <w:rPr>
                <w:i/>
                <w:iCs/>
                <w:color w:val="000000"/>
                <w:szCs w:val="24"/>
              </w:rPr>
              <w:t>0.0</w:t>
            </w:r>
          </w:p>
        </w:tc>
      </w:tr>
      <w:tr w:rsidR="004448E5" w:rsidRPr="00CE7DE3" w:rsidTr="004E44B6">
        <w:trPr>
          <w:trHeight w:val="296"/>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color w:val="000000"/>
                <w:lang w:eastAsia="en-GB"/>
              </w:rPr>
            </w:pPr>
            <w:r w:rsidRPr="00CE7DE3">
              <w:rPr>
                <w:color w:val="000000"/>
                <w:lang w:eastAsia="en-GB"/>
              </w:rPr>
              <w:t>Condensing oil boiler</w:t>
            </w: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color w:val="000000"/>
                <w:szCs w:val="24"/>
              </w:rPr>
            </w:pPr>
            <w:r w:rsidRPr="004E44B6">
              <w:rPr>
                <w:color w:val="000000"/>
                <w:szCs w:val="24"/>
              </w:rPr>
              <w:t>444</w:t>
            </w: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i/>
                <w:iCs/>
                <w:color w:val="000000"/>
                <w:szCs w:val="24"/>
              </w:rPr>
            </w:pPr>
            <w:r w:rsidRPr="004448E5">
              <w:rPr>
                <w:i/>
                <w:iCs/>
                <w:color w:val="000000"/>
                <w:szCs w:val="24"/>
              </w:rPr>
              <w:t>0.2</w:t>
            </w:r>
          </w:p>
        </w:tc>
      </w:tr>
      <w:tr w:rsidR="004448E5" w:rsidRPr="00CE7DE3" w:rsidTr="004E44B6">
        <w:trPr>
          <w:trHeight w:val="296"/>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color w:val="000000"/>
                <w:lang w:eastAsia="en-GB"/>
              </w:rPr>
            </w:pPr>
            <w:r w:rsidRPr="00CE7DE3">
              <w:rPr>
                <w:color w:val="000000"/>
                <w:lang w:eastAsia="en-GB"/>
              </w:rPr>
              <w:t>Upgrade boiler, same fuel</w:t>
            </w: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color w:val="000000"/>
                <w:szCs w:val="24"/>
              </w:rPr>
            </w:pPr>
            <w:r w:rsidRPr="004E44B6">
              <w:rPr>
                <w:color w:val="000000"/>
                <w:szCs w:val="24"/>
              </w:rPr>
              <w:t>27,571</w:t>
            </w: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i/>
                <w:iCs/>
                <w:color w:val="000000"/>
                <w:szCs w:val="24"/>
              </w:rPr>
            </w:pPr>
            <w:r w:rsidRPr="004448E5">
              <w:rPr>
                <w:i/>
                <w:iCs/>
                <w:color w:val="000000"/>
                <w:szCs w:val="24"/>
              </w:rPr>
              <w:t>12.2</w:t>
            </w:r>
          </w:p>
        </w:tc>
      </w:tr>
      <w:tr w:rsidR="004448E5" w:rsidRPr="00CE7DE3" w:rsidTr="004E44B6">
        <w:trPr>
          <w:trHeight w:val="296"/>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color w:val="000000"/>
                <w:lang w:eastAsia="en-GB"/>
              </w:rPr>
            </w:pPr>
            <w:r w:rsidRPr="00CE7DE3">
              <w:rPr>
                <w:color w:val="000000"/>
                <w:lang w:eastAsia="en-GB"/>
              </w:rPr>
              <w:t>Upgrade boiler, same fuel, and flue gas heat recovery</w:t>
            </w: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color w:val="000000"/>
                <w:szCs w:val="24"/>
              </w:rPr>
            </w:pPr>
            <w:r w:rsidRPr="004E44B6">
              <w:rPr>
                <w:color w:val="000000"/>
                <w:szCs w:val="24"/>
              </w:rPr>
              <w:t>872</w:t>
            </w: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i/>
                <w:iCs/>
                <w:color w:val="000000"/>
                <w:szCs w:val="24"/>
              </w:rPr>
            </w:pPr>
            <w:r w:rsidRPr="004448E5">
              <w:rPr>
                <w:i/>
                <w:iCs/>
                <w:color w:val="000000"/>
                <w:szCs w:val="24"/>
              </w:rPr>
              <w:t>0.4</w:t>
            </w:r>
          </w:p>
        </w:tc>
      </w:tr>
      <w:tr w:rsidR="004448E5" w:rsidRPr="00CE7DE3" w:rsidTr="004E44B6">
        <w:trPr>
          <w:trHeight w:val="296"/>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color w:val="000000"/>
                <w:lang w:eastAsia="en-GB"/>
              </w:rPr>
            </w:pP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color w:val="000000"/>
                <w:szCs w:val="24"/>
              </w:rPr>
            </w:pP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b/>
                <w:bCs/>
                <w:i/>
                <w:iCs/>
                <w:color w:val="000000"/>
                <w:szCs w:val="24"/>
              </w:rPr>
            </w:pPr>
          </w:p>
        </w:tc>
      </w:tr>
      <w:tr w:rsidR="004448E5" w:rsidRPr="00CE7DE3" w:rsidTr="004E44B6">
        <w:trPr>
          <w:trHeight w:val="312"/>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b/>
                <w:bCs/>
                <w:color w:val="000000"/>
                <w:lang w:eastAsia="en-GB"/>
              </w:rPr>
            </w:pPr>
            <w:r w:rsidRPr="00CE7DE3">
              <w:rPr>
                <w:b/>
                <w:bCs/>
                <w:color w:val="000000"/>
                <w:lang w:eastAsia="en-GB"/>
              </w:rPr>
              <w:lastRenderedPageBreak/>
              <w:t>Cavity wall insulation</w:t>
            </w: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b/>
                <w:bCs/>
                <w:color w:val="000000"/>
                <w:szCs w:val="24"/>
              </w:rPr>
            </w:pPr>
            <w:r w:rsidRPr="004E44B6">
              <w:rPr>
                <w:b/>
                <w:bCs/>
                <w:color w:val="000000"/>
                <w:szCs w:val="24"/>
              </w:rPr>
              <w:t>29,356</w:t>
            </w: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b/>
                <w:bCs/>
                <w:i/>
                <w:iCs/>
                <w:color w:val="000000"/>
                <w:szCs w:val="24"/>
              </w:rPr>
            </w:pPr>
            <w:r w:rsidRPr="004448E5">
              <w:rPr>
                <w:b/>
                <w:bCs/>
                <w:i/>
                <w:iCs/>
                <w:color w:val="000000"/>
                <w:szCs w:val="24"/>
              </w:rPr>
              <w:t>13.0</w:t>
            </w:r>
          </w:p>
        </w:tc>
      </w:tr>
      <w:tr w:rsidR="004448E5" w:rsidRPr="00CE7DE3" w:rsidTr="004E44B6">
        <w:trPr>
          <w:trHeight w:val="296"/>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color w:val="000000"/>
                <w:lang w:eastAsia="en-GB"/>
              </w:rPr>
            </w:pP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color w:val="000000"/>
                <w:szCs w:val="24"/>
              </w:rPr>
            </w:pP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b/>
                <w:bCs/>
                <w:i/>
                <w:iCs/>
                <w:color w:val="000000"/>
                <w:szCs w:val="24"/>
              </w:rPr>
            </w:pPr>
          </w:p>
        </w:tc>
      </w:tr>
      <w:tr w:rsidR="004448E5" w:rsidRPr="00CE7DE3" w:rsidTr="004E44B6">
        <w:trPr>
          <w:trHeight w:val="312"/>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b/>
                <w:bCs/>
                <w:color w:val="000000"/>
                <w:lang w:eastAsia="en-GB"/>
              </w:rPr>
            </w:pPr>
            <w:r w:rsidRPr="00CE7DE3">
              <w:rPr>
                <w:b/>
                <w:bCs/>
                <w:color w:val="000000"/>
                <w:lang w:eastAsia="en-GB"/>
              </w:rPr>
              <w:t>Loft Insulation</w:t>
            </w: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b/>
                <w:bCs/>
                <w:color w:val="000000"/>
                <w:szCs w:val="24"/>
              </w:rPr>
            </w:pPr>
            <w:r w:rsidRPr="004E44B6">
              <w:rPr>
                <w:b/>
                <w:bCs/>
                <w:color w:val="000000"/>
                <w:szCs w:val="24"/>
              </w:rPr>
              <w:t>34,352</w:t>
            </w: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b/>
                <w:bCs/>
                <w:i/>
                <w:iCs/>
                <w:color w:val="000000"/>
                <w:szCs w:val="24"/>
              </w:rPr>
            </w:pPr>
            <w:r w:rsidRPr="004448E5">
              <w:rPr>
                <w:b/>
                <w:bCs/>
                <w:i/>
                <w:iCs/>
                <w:color w:val="000000"/>
                <w:szCs w:val="24"/>
              </w:rPr>
              <w:t>15.2</w:t>
            </w:r>
          </w:p>
        </w:tc>
      </w:tr>
      <w:tr w:rsidR="004448E5" w:rsidRPr="00CE7DE3" w:rsidTr="004E44B6">
        <w:trPr>
          <w:trHeight w:val="296"/>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color w:val="000000"/>
                <w:lang w:eastAsia="en-GB"/>
              </w:rPr>
            </w:pPr>
            <w:r w:rsidRPr="00CE7DE3">
              <w:rPr>
                <w:color w:val="000000"/>
                <w:lang w:eastAsia="en-GB"/>
              </w:rPr>
              <w:t>Loft Insulation</w:t>
            </w: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color w:val="000000"/>
                <w:szCs w:val="24"/>
              </w:rPr>
            </w:pPr>
            <w:r w:rsidRPr="004E44B6">
              <w:rPr>
                <w:color w:val="000000"/>
                <w:szCs w:val="24"/>
              </w:rPr>
              <w:t>32,681</w:t>
            </w: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i/>
                <w:iCs/>
                <w:color w:val="000000"/>
                <w:szCs w:val="24"/>
              </w:rPr>
            </w:pPr>
            <w:r w:rsidRPr="004448E5">
              <w:rPr>
                <w:i/>
                <w:iCs/>
                <w:color w:val="000000"/>
                <w:szCs w:val="24"/>
              </w:rPr>
              <w:t>14.5</w:t>
            </w:r>
          </w:p>
        </w:tc>
      </w:tr>
      <w:tr w:rsidR="004448E5" w:rsidRPr="00CE7DE3" w:rsidTr="004E44B6">
        <w:trPr>
          <w:trHeight w:val="296"/>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color w:val="000000"/>
                <w:lang w:eastAsia="en-GB"/>
              </w:rPr>
            </w:pPr>
            <w:r w:rsidRPr="00CE7DE3">
              <w:rPr>
                <w:color w:val="000000"/>
                <w:lang w:eastAsia="en-GB"/>
              </w:rPr>
              <w:t>Room-in-roof insulation</w:t>
            </w: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color w:val="000000"/>
                <w:szCs w:val="24"/>
              </w:rPr>
            </w:pPr>
            <w:r w:rsidRPr="004E44B6">
              <w:rPr>
                <w:color w:val="000000"/>
                <w:szCs w:val="24"/>
              </w:rPr>
              <w:t>1,671</w:t>
            </w: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i/>
                <w:iCs/>
                <w:color w:val="000000"/>
                <w:szCs w:val="24"/>
              </w:rPr>
            </w:pPr>
            <w:r w:rsidRPr="004448E5">
              <w:rPr>
                <w:i/>
                <w:iCs/>
                <w:color w:val="000000"/>
                <w:szCs w:val="24"/>
              </w:rPr>
              <w:t>0.7</w:t>
            </w:r>
          </w:p>
        </w:tc>
      </w:tr>
      <w:tr w:rsidR="004448E5" w:rsidRPr="00CE7DE3" w:rsidTr="004E44B6">
        <w:trPr>
          <w:trHeight w:val="312"/>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b/>
                <w:bCs/>
                <w:color w:val="000000"/>
                <w:lang w:eastAsia="en-GB"/>
              </w:rPr>
            </w:pP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color w:val="000000"/>
                <w:szCs w:val="24"/>
              </w:rPr>
            </w:pP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b/>
                <w:bCs/>
                <w:i/>
                <w:iCs/>
                <w:color w:val="000000"/>
                <w:szCs w:val="24"/>
              </w:rPr>
            </w:pPr>
          </w:p>
        </w:tc>
      </w:tr>
      <w:tr w:rsidR="004448E5" w:rsidRPr="00CE7DE3" w:rsidTr="004E44B6">
        <w:trPr>
          <w:trHeight w:val="312"/>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b/>
                <w:bCs/>
                <w:color w:val="000000"/>
                <w:lang w:eastAsia="en-GB"/>
              </w:rPr>
            </w:pPr>
            <w:r w:rsidRPr="00CE7DE3">
              <w:rPr>
                <w:b/>
                <w:bCs/>
                <w:color w:val="000000"/>
                <w:lang w:eastAsia="en-GB"/>
              </w:rPr>
              <w:t>Micro-generation</w:t>
            </w: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b/>
                <w:bCs/>
                <w:color w:val="000000"/>
                <w:szCs w:val="24"/>
              </w:rPr>
            </w:pPr>
            <w:r w:rsidRPr="004E44B6">
              <w:rPr>
                <w:b/>
                <w:bCs/>
                <w:color w:val="000000"/>
                <w:szCs w:val="24"/>
              </w:rPr>
              <w:t>34,074</w:t>
            </w: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b/>
                <w:bCs/>
                <w:i/>
                <w:iCs/>
                <w:color w:val="000000"/>
                <w:szCs w:val="24"/>
              </w:rPr>
            </w:pPr>
            <w:r w:rsidRPr="004448E5">
              <w:rPr>
                <w:b/>
                <w:bCs/>
                <w:i/>
                <w:iCs/>
                <w:color w:val="000000"/>
                <w:szCs w:val="24"/>
              </w:rPr>
              <w:t>15.1</w:t>
            </w:r>
          </w:p>
        </w:tc>
      </w:tr>
      <w:tr w:rsidR="004448E5" w:rsidRPr="00CE7DE3" w:rsidTr="004E44B6">
        <w:trPr>
          <w:trHeight w:val="296"/>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color w:val="000000"/>
                <w:lang w:eastAsia="en-GB"/>
              </w:rPr>
            </w:pPr>
            <w:r w:rsidRPr="00CE7DE3">
              <w:rPr>
                <w:color w:val="000000"/>
                <w:lang w:eastAsia="en-GB"/>
              </w:rPr>
              <w:t>Air source heat pump with radiators</w:t>
            </w: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color w:val="000000"/>
                <w:szCs w:val="24"/>
              </w:rPr>
            </w:pPr>
            <w:r w:rsidRPr="004E44B6">
              <w:rPr>
                <w:color w:val="000000"/>
                <w:szCs w:val="24"/>
              </w:rPr>
              <w:t>591</w:t>
            </w: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i/>
                <w:iCs/>
                <w:color w:val="000000"/>
                <w:szCs w:val="24"/>
              </w:rPr>
            </w:pPr>
            <w:r w:rsidRPr="004448E5">
              <w:rPr>
                <w:i/>
                <w:iCs/>
                <w:color w:val="000000"/>
                <w:szCs w:val="24"/>
              </w:rPr>
              <w:t>0.3</w:t>
            </w:r>
          </w:p>
        </w:tc>
      </w:tr>
      <w:tr w:rsidR="004448E5" w:rsidRPr="00CE7DE3" w:rsidTr="004E44B6">
        <w:trPr>
          <w:trHeight w:val="296"/>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color w:val="000000"/>
                <w:lang w:eastAsia="en-GB"/>
              </w:rPr>
            </w:pPr>
            <w:r w:rsidRPr="00CE7DE3">
              <w:rPr>
                <w:color w:val="000000"/>
                <w:lang w:eastAsia="en-GB"/>
              </w:rPr>
              <w:t>Air source heat pump with underfloor heating</w:t>
            </w: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color w:val="000000"/>
                <w:szCs w:val="24"/>
              </w:rPr>
            </w:pPr>
            <w:r w:rsidRPr="004E44B6">
              <w:rPr>
                <w:color w:val="000000"/>
                <w:szCs w:val="24"/>
              </w:rPr>
              <w:t>69</w:t>
            </w: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i/>
                <w:iCs/>
                <w:color w:val="000000"/>
                <w:szCs w:val="24"/>
              </w:rPr>
            </w:pPr>
            <w:r w:rsidRPr="004448E5">
              <w:rPr>
                <w:i/>
                <w:iCs/>
                <w:color w:val="000000"/>
                <w:szCs w:val="24"/>
              </w:rPr>
              <w:t>0.0</w:t>
            </w:r>
          </w:p>
        </w:tc>
      </w:tr>
      <w:tr w:rsidR="004448E5" w:rsidRPr="00CE7DE3" w:rsidTr="004E44B6">
        <w:trPr>
          <w:trHeight w:val="296"/>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color w:val="000000"/>
                <w:lang w:eastAsia="en-GB"/>
              </w:rPr>
            </w:pPr>
            <w:r w:rsidRPr="00CE7DE3">
              <w:rPr>
                <w:color w:val="000000"/>
                <w:lang w:eastAsia="en-GB"/>
              </w:rPr>
              <w:t>Biomass wood logs boiler</w:t>
            </w: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color w:val="000000"/>
                <w:szCs w:val="24"/>
              </w:rPr>
            </w:pPr>
            <w:r w:rsidRPr="004E44B6">
              <w:rPr>
                <w:color w:val="000000"/>
                <w:szCs w:val="24"/>
              </w:rPr>
              <w:t>369</w:t>
            </w: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i/>
                <w:iCs/>
                <w:color w:val="000000"/>
                <w:szCs w:val="24"/>
              </w:rPr>
            </w:pPr>
            <w:r w:rsidRPr="004448E5">
              <w:rPr>
                <w:i/>
                <w:iCs/>
                <w:color w:val="000000"/>
                <w:szCs w:val="24"/>
              </w:rPr>
              <w:t>0.2</w:t>
            </w:r>
          </w:p>
        </w:tc>
      </w:tr>
      <w:tr w:rsidR="004448E5" w:rsidRPr="00CE7DE3" w:rsidTr="004E44B6">
        <w:trPr>
          <w:trHeight w:val="296"/>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color w:val="000000"/>
                <w:lang w:eastAsia="en-GB"/>
              </w:rPr>
            </w:pPr>
            <w:r w:rsidRPr="00CE7DE3">
              <w:rPr>
                <w:color w:val="000000"/>
                <w:lang w:eastAsia="en-GB"/>
              </w:rPr>
              <w:t>Biomass wood pellets room heater with boiler</w:t>
            </w: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color w:val="000000"/>
                <w:szCs w:val="24"/>
              </w:rPr>
            </w:pPr>
            <w:r w:rsidRPr="004E44B6">
              <w:rPr>
                <w:color w:val="000000"/>
                <w:szCs w:val="24"/>
              </w:rPr>
              <w:t>223</w:t>
            </w: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i/>
                <w:iCs/>
                <w:color w:val="000000"/>
                <w:szCs w:val="24"/>
              </w:rPr>
            </w:pPr>
            <w:r w:rsidRPr="004448E5">
              <w:rPr>
                <w:i/>
                <w:iCs/>
                <w:color w:val="000000"/>
                <w:szCs w:val="24"/>
              </w:rPr>
              <w:t>0.1</w:t>
            </w:r>
          </w:p>
        </w:tc>
      </w:tr>
      <w:tr w:rsidR="004448E5" w:rsidRPr="00CE7DE3" w:rsidTr="004E44B6">
        <w:trPr>
          <w:trHeight w:val="296"/>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color w:val="000000"/>
                <w:lang w:eastAsia="en-GB"/>
              </w:rPr>
            </w:pPr>
            <w:r w:rsidRPr="00CE7DE3">
              <w:rPr>
                <w:color w:val="000000"/>
                <w:lang w:eastAsia="en-GB"/>
              </w:rPr>
              <w:t>Ground source heat pump with radiators</w:t>
            </w: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color w:val="000000"/>
                <w:szCs w:val="24"/>
              </w:rPr>
            </w:pPr>
            <w:r w:rsidRPr="004E44B6">
              <w:rPr>
                <w:color w:val="000000"/>
                <w:szCs w:val="24"/>
              </w:rPr>
              <w:t>158</w:t>
            </w: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i/>
                <w:iCs/>
                <w:color w:val="000000"/>
                <w:szCs w:val="24"/>
              </w:rPr>
            </w:pPr>
            <w:r w:rsidRPr="004448E5">
              <w:rPr>
                <w:i/>
                <w:iCs/>
                <w:color w:val="000000"/>
                <w:szCs w:val="24"/>
              </w:rPr>
              <w:t>0.1</w:t>
            </w:r>
          </w:p>
        </w:tc>
      </w:tr>
      <w:tr w:rsidR="004448E5" w:rsidRPr="00CE7DE3" w:rsidTr="004E44B6">
        <w:trPr>
          <w:trHeight w:val="296"/>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color w:val="000000"/>
                <w:lang w:eastAsia="en-GB"/>
              </w:rPr>
            </w:pPr>
            <w:r w:rsidRPr="00CE7DE3">
              <w:rPr>
                <w:color w:val="000000"/>
                <w:lang w:eastAsia="en-GB"/>
              </w:rPr>
              <w:t>Ground source heat pump with underfloor heating</w:t>
            </w: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color w:val="000000"/>
                <w:szCs w:val="24"/>
              </w:rPr>
            </w:pPr>
            <w:r w:rsidRPr="004E44B6">
              <w:rPr>
                <w:color w:val="000000"/>
                <w:szCs w:val="24"/>
              </w:rPr>
              <w:t>44</w:t>
            </w: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i/>
                <w:iCs/>
                <w:color w:val="000000"/>
                <w:szCs w:val="24"/>
              </w:rPr>
            </w:pPr>
            <w:r w:rsidRPr="004448E5">
              <w:rPr>
                <w:i/>
                <w:iCs/>
                <w:color w:val="000000"/>
                <w:szCs w:val="24"/>
              </w:rPr>
              <w:t>0.0</w:t>
            </w:r>
          </w:p>
        </w:tc>
      </w:tr>
      <w:tr w:rsidR="004448E5" w:rsidRPr="00CE7DE3" w:rsidTr="004E44B6">
        <w:trPr>
          <w:trHeight w:val="296"/>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color w:val="000000"/>
                <w:lang w:eastAsia="en-GB"/>
              </w:rPr>
            </w:pPr>
            <w:r w:rsidRPr="00CE7DE3">
              <w:rPr>
                <w:color w:val="000000"/>
                <w:lang w:eastAsia="en-GB"/>
              </w:rPr>
              <w:t>Micro-CHP</w:t>
            </w: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color w:val="000000"/>
                <w:szCs w:val="24"/>
              </w:rPr>
            </w:pPr>
            <w:r w:rsidRPr="004E44B6">
              <w:rPr>
                <w:color w:val="000000"/>
                <w:szCs w:val="24"/>
              </w:rPr>
              <w:t>61</w:t>
            </w: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i/>
                <w:iCs/>
                <w:color w:val="000000"/>
                <w:szCs w:val="24"/>
              </w:rPr>
            </w:pPr>
            <w:r w:rsidRPr="004448E5">
              <w:rPr>
                <w:i/>
                <w:iCs/>
                <w:color w:val="000000"/>
                <w:szCs w:val="24"/>
              </w:rPr>
              <w:t>0.0</w:t>
            </w:r>
          </w:p>
        </w:tc>
      </w:tr>
      <w:tr w:rsidR="004448E5" w:rsidRPr="00CE7DE3" w:rsidTr="004E44B6">
        <w:trPr>
          <w:trHeight w:val="296"/>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color w:val="000000"/>
                <w:lang w:eastAsia="en-GB"/>
              </w:rPr>
            </w:pPr>
            <w:r w:rsidRPr="00CE7DE3">
              <w:rPr>
                <w:color w:val="000000"/>
                <w:lang w:eastAsia="en-GB"/>
              </w:rPr>
              <w:t>Photovoltaics</w:t>
            </w: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color w:val="000000"/>
                <w:szCs w:val="24"/>
              </w:rPr>
            </w:pPr>
            <w:r w:rsidRPr="004E44B6">
              <w:rPr>
                <w:color w:val="000000"/>
                <w:szCs w:val="24"/>
              </w:rPr>
              <w:t>19,704</w:t>
            </w: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i/>
                <w:iCs/>
                <w:color w:val="000000"/>
                <w:szCs w:val="24"/>
              </w:rPr>
            </w:pPr>
            <w:r w:rsidRPr="004448E5">
              <w:rPr>
                <w:i/>
                <w:iCs/>
                <w:color w:val="000000"/>
                <w:szCs w:val="24"/>
              </w:rPr>
              <w:t>8.7</w:t>
            </w:r>
          </w:p>
        </w:tc>
      </w:tr>
      <w:tr w:rsidR="004448E5" w:rsidRPr="00CE7DE3" w:rsidTr="004E44B6">
        <w:trPr>
          <w:trHeight w:val="296"/>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color w:val="000000"/>
                <w:lang w:eastAsia="en-GB"/>
              </w:rPr>
            </w:pPr>
            <w:r w:rsidRPr="00CE7DE3">
              <w:rPr>
                <w:color w:val="000000"/>
                <w:lang w:eastAsia="en-GB"/>
              </w:rPr>
              <w:t>Solar water heating</w:t>
            </w: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color w:val="000000"/>
                <w:szCs w:val="24"/>
              </w:rPr>
            </w:pPr>
            <w:r w:rsidRPr="004E44B6">
              <w:rPr>
                <w:color w:val="000000"/>
                <w:szCs w:val="24"/>
              </w:rPr>
              <w:t>11,645</w:t>
            </w: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i/>
                <w:iCs/>
                <w:color w:val="000000"/>
                <w:szCs w:val="24"/>
              </w:rPr>
            </w:pPr>
            <w:r w:rsidRPr="004448E5">
              <w:rPr>
                <w:i/>
                <w:iCs/>
                <w:color w:val="000000"/>
                <w:szCs w:val="24"/>
              </w:rPr>
              <w:t>5.2</w:t>
            </w:r>
          </w:p>
        </w:tc>
      </w:tr>
      <w:tr w:rsidR="004448E5" w:rsidRPr="00CE7DE3" w:rsidTr="004E44B6">
        <w:trPr>
          <w:trHeight w:val="296"/>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color w:val="000000"/>
                <w:lang w:eastAsia="en-GB"/>
              </w:rPr>
            </w:pPr>
            <w:r w:rsidRPr="00CE7DE3">
              <w:rPr>
                <w:color w:val="000000"/>
                <w:lang w:eastAsia="en-GB"/>
              </w:rPr>
              <w:t>Wind turbine (on mast)</w:t>
            </w: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color w:val="000000"/>
                <w:szCs w:val="24"/>
              </w:rPr>
            </w:pPr>
            <w:r w:rsidRPr="004E44B6">
              <w:rPr>
                <w:color w:val="000000"/>
                <w:szCs w:val="24"/>
              </w:rPr>
              <w:t>154</w:t>
            </w: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i/>
                <w:iCs/>
                <w:color w:val="000000"/>
                <w:szCs w:val="24"/>
              </w:rPr>
            </w:pPr>
            <w:r w:rsidRPr="004448E5">
              <w:rPr>
                <w:i/>
                <w:iCs/>
                <w:color w:val="000000"/>
                <w:szCs w:val="24"/>
              </w:rPr>
              <w:t>0.1</w:t>
            </w:r>
          </w:p>
        </w:tc>
      </w:tr>
      <w:tr w:rsidR="004448E5" w:rsidRPr="00CE7DE3" w:rsidTr="004E44B6">
        <w:trPr>
          <w:trHeight w:val="296"/>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color w:val="000000"/>
                <w:lang w:eastAsia="en-GB"/>
              </w:rPr>
            </w:pPr>
            <w:r w:rsidRPr="00CE7DE3">
              <w:rPr>
                <w:color w:val="000000"/>
                <w:lang w:eastAsia="en-GB"/>
              </w:rPr>
              <w:t>Wind turbine (roof mounted)</w:t>
            </w: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color w:val="000000"/>
                <w:szCs w:val="24"/>
              </w:rPr>
            </w:pPr>
            <w:r w:rsidRPr="004E44B6">
              <w:rPr>
                <w:color w:val="000000"/>
                <w:szCs w:val="24"/>
              </w:rPr>
              <w:t>1,056</w:t>
            </w: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i/>
                <w:iCs/>
                <w:color w:val="000000"/>
                <w:szCs w:val="24"/>
              </w:rPr>
            </w:pPr>
            <w:r w:rsidRPr="004448E5">
              <w:rPr>
                <w:i/>
                <w:iCs/>
                <w:color w:val="000000"/>
                <w:szCs w:val="24"/>
              </w:rPr>
              <w:t>0.5</w:t>
            </w:r>
          </w:p>
        </w:tc>
      </w:tr>
      <w:tr w:rsidR="004448E5" w:rsidRPr="00CE7DE3" w:rsidTr="004E44B6">
        <w:trPr>
          <w:trHeight w:val="312"/>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b/>
                <w:bCs/>
                <w:color w:val="000000"/>
                <w:lang w:eastAsia="en-GB"/>
              </w:rPr>
            </w:pP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color w:val="000000"/>
                <w:szCs w:val="24"/>
              </w:rPr>
            </w:pP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b/>
                <w:bCs/>
                <w:i/>
                <w:iCs/>
                <w:color w:val="000000"/>
                <w:szCs w:val="24"/>
              </w:rPr>
            </w:pPr>
          </w:p>
        </w:tc>
      </w:tr>
      <w:tr w:rsidR="004448E5" w:rsidRPr="00CE7DE3" w:rsidTr="004E44B6">
        <w:trPr>
          <w:trHeight w:val="312"/>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b/>
                <w:bCs/>
                <w:color w:val="000000"/>
                <w:lang w:eastAsia="en-GB"/>
              </w:rPr>
            </w:pPr>
            <w:r w:rsidRPr="00CE7DE3">
              <w:rPr>
                <w:b/>
                <w:bCs/>
                <w:color w:val="000000"/>
                <w:lang w:eastAsia="en-GB"/>
              </w:rPr>
              <w:t>Other Heating</w:t>
            </w: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b/>
                <w:bCs/>
                <w:color w:val="000000"/>
                <w:szCs w:val="24"/>
              </w:rPr>
            </w:pPr>
            <w:r w:rsidRPr="004E44B6">
              <w:rPr>
                <w:b/>
                <w:bCs/>
                <w:color w:val="000000"/>
                <w:szCs w:val="24"/>
              </w:rPr>
              <w:t>22,287</w:t>
            </w: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b/>
                <w:bCs/>
                <w:i/>
                <w:iCs/>
                <w:color w:val="000000"/>
                <w:szCs w:val="24"/>
              </w:rPr>
            </w:pPr>
            <w:r w:rsidRPr="004448E5">
              <w:rPr>
                <w:b/>
                <w:bCs/>
                <w:i/>
                <w:iCs/>
                <w:color w:val="000000"/>
                <w:szCs w:val="24"/>
              </w:rPr>
              <w:t>9.9</w:t>
            </w:r>
          </w:p>
        </w:tc>
      </w:tr>
      <w:tr w:rsidR="004448E5" w:rsidRPr="00CE7DE3" w:rsidTr="004E44B6">
        <w:trPr>
          <w:trHeight w:val="296"/>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color w:val="000000"/>
                <w:lang w:eastAsia="en-GB"/>
              </w:rPr>
            </w:pPr>
            <w:r w:rsidRPr="00CE7DE3">
              <w:rPr>
                <w:color w:val="000000"/>
                <w:lang w:eastAsia="en-GB"/>
              </w:rPr>
              <w:t>Cylinder thermostat</w:t>
            </w: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color w:val="000000"/>
                <w:szCs w:val="24"/>
              </w:rPr>
            </w:pPr>
            <w:r w:rsidRPr="004E44B6">
              <w:rPr>
                <w:color w:val="000000"/>
                <w:szCs w:val="24"/>
              </w:rPr>
              <w:t>3,032</w:t>
            </w: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i/>
                <w:iCs/>
                <w:color w:val="000000"/>
                <w:szCs w:val="24"/>
              </w:rPr>
            </w:pPr>
            <w:r w:rsidRPr="004448E5">
              <w:rPr>
                <w:i/>
                <w:iCs/>
                <w:color w:val="000000"/>
                <w:szCs w:val="24"/>
              </w:rPr>
              <w:t>1.3</w:t>
            </w:r>
          </w:p>
        </w:tc>
      </w:tr>
      <w:tr w:rsidR="004448E5" w:rsidRPr="00CE7DE3" w:rsidTr="004E44B6">
        <w:trPr>
          <w:trHeight w:val="296"/>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color w:val="000000"/>
                <w:lang w:eastAsia="en-GB"/>
              </w:rPr>
            </w:pPr>
            <w:r w:rsidRPr="00CE7DE3">
              <w:rPr>
                <w:color w:val="000000"/>
                <w:lang w:eastAsia="en-GB"/>
              </w:rPr>
              <w:t>Heating controls for warm air system</w:t>
            </w: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color w:val="000000"/>
                <w:szCs w:val="24"/>
              </w:rPr>
            </w:pPr>
            <w:r w:rsidRPr="004E44B6">
              <w:rPr>
                <w:color w:val="000000"/>
                <w:szCs w:val="24"/>
              </w:rPr>
              <w:t>282</w:t>
            </w: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i/>
                <w:iCs/>
                <w:color w:val="000000"/>
                <w:szCs w:val="24"/>
              </w:rPr>
            </w:pPr>
            <w:r w:rsidRPr="004448E5">
              <w:rPr>
                <w:i/>
                <w:iCs/>
                <w:color w:val="000000"/>
                <w:szCs w:val="24"/>
              </w:rPr>
              <w:t>0.1</w:t>
            </w:r>
          </w:p>
        </w:tc>
      </w:tr>
      <w:tr w:rsidR="004448E5" w:rsidRPr="00CE7DE3" w:rsidTr="004E44B6">
        <w:trPr>
          <w:trHeight w:val="296"/>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color w:val="000000"/>
                <w:lang w:eastAsia="en-GB"/>
              </w:rPr>
            </w:pPr>
            <w:r w:rsidRPr="00CE7DE3">
              <w:rPr>
                <w:color w:val="000000"/>
                <w:lang w:eastAsia="en-GB"/>
              </w:rPr>
              <w:t>Heating controls for wet central heating system</w:t>
            </w: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color w:val="000000"/>
                <w:szCs w:val="24"/>
              </w:rPr>
            </w:pPr>
            <w:r w:rsidRPr="004E44B6">
              <w:rPr>
                <w:color w:val="000000"/>
                <w:szCs w:val="24"/>
              </w:rPr>
              <w:t>17,155</w:t>
            </w: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i/>
                <w:iCs/>
                <w:color w:val="000000"/>
                <w:szCs w:val="24"/>
              </w:rPr>
            </w:pPr>
            <w:r w:rsidRPr="004448E5">
              <w:rPr>
                <w:i/>
                <w:iCs/>
                <w:color w:val="000000"/>
                <w:szCs w:val="24"/>
              </w:rPr>
              <w:t>7.6</w:t>
            </w:r>
          </w:p>
        </w:tc>
      </w:tr>
      <w:tr w:rsidR="004448E5" w:rsidRPr="00CE7DE3" w:rsidTr="004E44B6">
        <w:trPr>
          <w:trHeight w:val="296"/>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color w:val="000000"/>
                <w:lang w:eastAsia="en-GB"/>
              </w:rPr>
            </w:pPr>
            <w:r w:rsidRPr="00CE7DE3">
              <w:rPr>
                <w:color w:val="000000"/>
                <w:lang w:eastAsia="en-GB"/>
              </w:rPr>
              <w:t>New or replacement storage heaters</w:t>
            </w: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color w:val="000000"/>
                <w:szCs w:val="24"/>
              </w:rPr>
            </w:pPr>
            <w:r w:rsidRPr="004E44B6">
              <w:rPr>
                <w:color w:val="000000"/>
                <w:szCs w:val="24"/>
              </w:rPr>
              <w:t>1,155</w:t>
            </w: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i/>
                <w:iCs/>
                <w:color w:val="000000"/>
                <w:szCs w:val="24"/>
              </w:rPr>
            </w:pPr>
            <w:r w:rsidRPr="004448E5">
              <w:rPr>
                <w:i/>
                <w:iCs/>
                <w:color w:val="000000"/>
                <w:szCs w:val="24"/>
              </w:rPr>
              <w:t>0.5</w:t>
            </w:r>
          </w:p>
        </w:tc>
      </w:tr>
      <w:tr w:rsidR="004448E5" w:rsidRPr="00CE7DE3" w:rsidTr="004E44B6">
        <w:trPr>
          <w:trHeight w:val="296"/>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color w:val="000000"/>
                <w:lang w:eastAsia="en-GB"/>
              </w:rPr>
            </w:pPr>
            <w:r w:rsidRPr="00CE7DE3">
              <w:rPr>
                <w:color w:val="000000"/>
                <w:lang w:eastAsia="en-GB"/>
              </w:rPr>
              <w:t>Replacement warm-air unit</w:t>
            </w: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color w:val="000000"/>
                <w:szCs w:val="24"/>
              </w:rPr>
            </w:pPr>
            <w:r w:rsidRPr="004E44B6">
              <w:rPr>
                <w:color w:val="000000"/>
                <w:szCs w:val="24"/>
              </w:rPr>
              <w:t>110</w:t>
            </w: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i/>
                <w:iCs/>
                <w:color w:val="000000"/>
                <w:szCs w:val="24"/>
              </w:rPr>
            </w:pPr>
            <w:r w:rsidRPr="004448E5">
              <w:rPr>
                <w:i/>
                <w:iCs/>
                <w:color w:val="000000"/>
                <w:szCs w:val="24"/>
              </w:rPr>
              <w:t>0.0</w:t>
            </w:r>
          </w:p>
        </w:tc>
      </w:tr>
      <w:tr w:rsidR="004448E5" w:rsidRPr="00CE7DE3" w:rsidTr="004E44B6">
        <w:trPr>
          <w:trHeight w:val="296"/>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color w:val="000000"/>
                <w:lang w:eastAsia="en-GB"/>
              </w:rPr>
            </w:pPr>
            <w:r w:rsidRPr="00CE7DE3">
              <w:rPr>
                <w:color w:val="000000"/>
                <w:lang w:eastAsia="en-GB"/>
              </w:rPr>
              <w:t>Waste water heat recovery</w:t>
            </w: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color w:val="000000"/>
                <w:szCs w:val="24"/>
              </w:rPr>
            </w:pPr>
            <w:r w:rsidRPr="004E44B6">
              <w:rPr>
                <w:color w:val="000000"/>
                <w:szCs w:val="24"/>
              </w:rPr>
              <w:t>553</w:t>
            </w: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i/>
                <w:iCs/>
                <w:color w:val="000000"/>
                <w:szCs w:val="24"/>
              </w:rPr>
            </w:pPr>
            <w:r w:rsidRPr="004448E5">
              <w:rPr>
                <w:i/>
                <w:iCs/>
                <w:color w:val="000000"/>
                <w:szCs w:val="24"/>
              </w:rPr>
              <w:t>0.2</w:t>
            </w:r>
          </w:p>
        </w:tc>
      </w:tr>
      <w:tr w:rsidR="004448E5" w:rsidRPr="00CE7DE3" w:rsidTr="004E44B6">
        <w:trPr>
          <w:trHeight w:val="312"/>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b/>
                <w:bCs/>
                <w:color w:val="000000"/>
                <w:lang w:eastAsia="en-GB"/>
              </w:rPr>
            </w:pP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color w:val="000000"/>
                <w:szCs w:val="24"/>
              </w:rPr>
            </w:pP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b/>
                <w:bCs/>
                <w:i/>
                <w:iCs/>
                <w:color w:val="000000"/>
                <w:szCs w:val="24"/>
              </w:rPr>
            </w:pPr>
          </w:p>
        </w:tc>
      </w:tr>
      <w:tr w:rsidR="004448E5" w:rsidRPr="00CE7DE3" w:rsidTr="004E44B6">
        <w:trPr>
          <w:trHeight w:val="312"/>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b/>
                <w:bCs/>
                <w:color w:val="000000"/>
                <w:lang w:eastAsia="en-GB"/>
              </w:rPr>
            </w:pPr>
            <w:r w:rsidRPr="00CE7DE3">
              <w:rPr>
                <w:b/>
                <w:bCs/>
                <w:color w:val="000000"/>
                <w:lang w:eastAsia="en-GB"/>
              </w:rPr>
              <w:t>Other Insulation</w:t>
            </w: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b/>
                <w:bCs/>
                <w:color w:val="000000"/>
                <w:szCs w:val="24"/>
              </w:rPr>
            </w:pPr>
            <w:r w:rsidRPr="004E44B6">
              <w:rPr>
                <w:b/>
                <w:bCs/>
                <w:color w:val="000000"/>
                <w:szCs w:val="24"/>
              </w:rPr>
              <w:t>42,800</w:t>
            </w: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b/>
                <w:bCs/>
                <w:i/>
                <w:iCs/>
                <w:color w:val="000000"/>
                <w:szCs w:val="24"/>
              </w:rPr>
            </w:pPr>
            <w:r w:rsidRPr="004448E5">
              <w:rPr>
                <w:b/>
                <w:bCs/>
                <w:i/>
                <w:iCs/>
                <w:color w:val="000000"/>
                <w:szCs w:val="24"/>
              </w:rPr>
              <w:t>19.0</w:t>
            </w:r>
          </w:p>
        </w:tc>
      </w:tr>
      <w:tr w:rsidR="004448E5" w:rsidRPr="00CE7DE3" w:rsidTr="004E44B6">
        <w:trPr>
          <w:trHeight w:val="296"/>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color w:val="000000"/>
                <w:lang w:eastAsia="en-GB"/>
              </w:rPr>
            </w:pPr>
            <w:r w:rsidRPr="00CE7DE3">
              <w:rPr>
                <w:color w:val="000000"/>
                <w:lang w:eastAsia="en-GB"/>
              </w:rPr>
              <w:t>Draughtproofing</w:t>
            </w: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color w:val="000000"/>
                <w:szCs w:val="24"/>
              </w:rPr>
            </w:pPr>
            <w:r w:rsidRPr="004E44B6">
              <w:rPr>
                <w:color w:val="000000"/>
                <w:szCs w:val="24"/>
              </w:rPr>
              <w:t>9,072</w:t>
            </w: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i/>
                <w:iCs/>
                <w:color w:val="000000"/>
                <w:szCs w:val="24"/>
              </w:rPr>
            </w:pPr>
            <w:r w:rsidRPr="004448E5">
              <w:rPr>
                <w:i/>
                <w:iCs/>
                <w:color w:val="000000"/>
                <w:szCs w:val="24"/>
              </w:rPr>
              <w:t>4.0</w:t>
            </w:r>
          </w:p>
        </w:tc>
      </w:tr>
      <w:tr w:rsidR="004448E5" w:rsidRPr="00CE7DE3" w:rsidTr="004E44B6">
        <w:trPr>
          <w:trHeight w:val="296"/>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color w:val="000000"/>
                <w:lang w:eastAsia="en-GB"/>
              </w:rPr>
            </w:pPr>
            <w:r w:rsidRPr="00CE7DE3">
              <w:rPr>
                <w:color w:val="000000"/>
                <w:lang w:eastAsia="en-GB"/>
              </w:rPr>
              <w:t>Flat roof insulation</w:t>
            </w: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color w:val="000000"/>
                <w:szCs w:val="24"/>
              </w:rPr>
            </w:pPr>
            <w:r w:rsidRPr="004E44B6">
              <w:rPr>
                <w:color w:val="000000"/>
                <w:szCs w:val="24"/>
              </w:rPr>
              <w:t>1,992</w:t>
            </w: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i/>
                <w:iCs/>
                <w:color w:val="000000"/>
                <w:szCs w:val="24"/>
              </w:rPr>
            </w:pPr>
            <w:r w:rsidRPr="004448E5">
              <w:rPr>
                <w:i/>
                <w:iCs/>
                <w:color w:val="000000"/>
                <w:szCs w:val="24"/>
              </w:rPr>
              <w:t>0.9</w:t>
            </w:r>
          </w:p>
        </w:tc>
      </w:tr>
      <w:tr w:rsidR="004448E5" w:rsidRPr="00CE7DE3" w:rsidTr="004E44B6">
        <w:trPr>
          <w:trHeight w:val="296"/>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color w:val="000000"/>
                <w:lang w:eastAsia="en-GB"/>
              </w:rPr>
            </w:pPr>
            <w:r w:rsidRPr="00CE7DE3">
              <w:rPr>
                <w:color w:val="000000"/>
                <w:lang w:eastAsia="en-GB"/>
              </w:rPr>
              <w:t>Floor insulation</w:t>
            </w: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color w:val="000000"/>
                <w:szCs w:val="24"/>
              </w:rPr>
            </w:pPr>
            <w:r w:rsidRPr="004E44B6">
              <w:rPr>
                <w:color w:val="000000"/>
                <w:szCs w:val="24"/>
              </w:rPr>
              <w:t>18,572</w:t>
            </w: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i/>
                <w:iCs/>
                <w:color w:val="000000"/>
                <w:szCs w:val="24"/>
              </w:rPr>
            </w:pPr>
            <w:r w:rsidRPr="004448E5">
              <w:rPr>
                <w:i/>
                <w:iCs/>
                <w:color w:val="000000"/>
                <w:szCs w:val="24"/>
              </w:rPr>
              <w:t>8.2</w:t>
            </w:r>
          </w:p>
        </w:tc>
      </w:tr>
      <w:tr w:rsidR="004448E5" w:rsidRPr="00CE7DE3" w:rsidTr="004E44B6">
        <w:trPr>
          <w:trHeight w:val="296"/>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color w:val="000000"/>
                <w:lang w:eastAsia="en-GB"/>
              </w:rPr>
            </w:pPr>
            <w:r w:rsidRPr="00CE7DE3">
              <w:rPr>
                <w:color w:val="000000"/>
                <w:lang w:eastAsia="en-GB"/>
              </w:rPr>
              <w:t>Hot water cylinder insulation</w:t>
            </w: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color w:val="000000"/>
                <w:szCs w:val="24"/>
              </w:rPr>
            </w:pPr>
            <w:r w:rsidRPr="004E44B6">
              <w:rPr>
                <w:color w:val="000000"/>
                <w:szCs w:val="24"/>
              </w:rPr>
              <w:t>6,094</w:t>
            </w: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i/>
                <w:iCs/>
                <w:color w:val="000000"/>
                <w:szCs w:val="24"/>
              </w:rPr>
            </w:pPr>
            <w:r w:rsidRPr="004448E5">
              <w:rPr>
                <w:i/>
                <w:iCs/>
                <w:color w:val="000000"/>
                <w:szCs w:val="24"/>
              </w:rPr>
              <w:t>2.7</w:t>
            </w:r>
          </w:p>
        </w:tc>
      </w:tr>
      <w:tr w:rsidR="004448E5" w:rsidRPr="00CE7DE3" w:rsidTr="004E44B6">
        <w:trPr>
          <w:trHeight w:val="296"/>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color w:val="000000"/>
                <w:lang w:eastAsia="en-GB"/>
              </w:rPr>
            </w:pPr>
            <w:r w:rsidRPr="00CE7DE3">
              <w:rPr>
                <w:color w:val="000000"/>
                <w:lang w:eastAsia="en-GB"/>
              </w:rPr>
              <w:t>Insulated doors</w:t>
            </w: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color w:val="000000"/>
                <w:szCs w:val="24"/>
              </w:rPr>
            </w:pPr>
            <w:r w:rsidRPr="004E44B6">
              <w:rPr>
                <w:color w:val="000000"/>
                <w:szCs w:val="24"/>
              </w:rPr>
              <w:t>7,070</w:t>
            </w: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i/>
                <w:iCs/>
                <w:color w:val="000000"/>
                <w:szCs w:val="24"/>
              </w:rPr>
            </w:pPr>
            <w:r w:rsidRPr="004448E5">
              <w:rPr>
                <w:i/>
                <w:iCs/>
                <w:color w:val="000000"/>
                <w:szCs w:val="24"/>
              </w:rPr>
              <w:t>3.1</w:t>
            </w:r>
          </w:p>
        </w:tc>
      </w:tr>
      <w:tr w:rsidR="004448E5" w:rsidRPr="00CE7DE3" w:rsidTr="004E44B6">
        <w:trPr>
          <w:trHeight w:val="312"/>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b/>
                <w:bCs/>
                <w:color w:val="000000"/>
                <w:lang w:eastAsia="en-GB"/>
              </w:rPr>
            </w:pPr>
          </w:p>
        </w:tc>
        <w:tc>
          <w:tcPr>
            <w:tcW w:w="1840"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color w:val="000000"/>
                <w:lang w:eastAsia="en-GB"/>
              </w:rPr>
            </w:pP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b/>
                <w:bCs/>
                <w:i/>
                <w:iCs/>
                <w:color w:val="000000"/>
                <w:szCs w:val="24"/>
              </w:rPr>
            </w:pPr>
          </w:p>
        </w:tc>
      </w:tr>
      <w:tr w:rsidR="004448E5" w:rsidRPr="00CE7DE3" w:rsidTr="004E44B6">
        <w:trPr>
          <w:trHeight w:val="312"/>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b/>
                <w:bCs/>
                <w:color w:val="000000"/>
                <w:lang w:eastAsia="en-GB"/>
              </w:rPr>
            </w:pPr>
            <w:r w:rsidRPr="00CE7DE3">
              <w:rPr>
                <w:b/>
                <w:bCs/>
                <w:color w:val="000000"/>
                <w:lang w:eastAsia="en-GB"/>
              </w:rPr>
              <w:t>Solid Wall Insulation</w:t>
            </w: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b/>
                <w:bCs/>
                <w:color w:val="000000"/>
                <w:szCs w:val="24"/>
              </w:rPr>
            </w:pPr>
            <w:r w:rsidRPr="004E44B6">
              <w:rPr>
                <w:b/>
                <w:bCs/>
                <w:color w:val="000000"/>
                <w:szCs w:val="24"/>
              </w:rPr>
              <w:t>23,960</w:t>
            </w: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b/>
                <w:bCs/>
                <w:i/>
                <w:iCs/>
                <w:color w:val="000000"/>
                <w:szCs w:val="24"/>
              </w:rPr>
            </w:pPr>
            <w:r w:rsidRPr="004448E5">
              <w:rPr>
                <w:b/>
                <w:bCs/>
                <w:i/>
                <w:iCs/>
                <w:color w:val="000000"/>
                <w:szCs w:val="24"/>
              </w:rPr>
              <w:t>10.6</w:t>
            </w:r>
          </w:p>
        </w:tc>
      </w:tr>
      <w:tr w:rsidR="004448E5" w:rsidRPr="00CE7DE3" w:rsidTr="004E44B6">
        <w:trPr>
          <w:trHeight w:val="296"/>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color w:val="000000"/>
                <w:lang w:eastAsia="en-GB"/>
              </w:rPr>
            </w:pPr>
            <w:r w:rsidRPr="00CE7DE3">
              <w:rPr>
                <w:color w:val="000000"/>
                <w:lang w:eastAsia="en-GB"/>
              </w:rPr>
              <w:t>External insulation with cavity wall insulation</w:t>
            </w: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color w:val="000000"/>
                <w:szCs w:val="24"/>
              </w:rPr>
            </w:pPr>
            <w:r w:rsidRPr="004E44B6">
              <w:rPr>
                <w:color w:val="000000"/>
                <w:szCs w:val="24"/>
              </w:rPr>
              <w:t>1,091</w:t>
            </w: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i/>
                <w:iCs/>
                <w:color w:val="000000"/>
                <w:szCs w:val="24"/>
              </w:rPr>
            </w:pPr>
            <w:r w:rsidRPr="004448E5">
              <w:rPr>
                <w:i/>
                <w:iCs/>
                <w:color w:val="000000"/>
                <w:szCs w:val="24"/>
              </w:rPr>
              <w:t>0.5</w:t>
            </w:r>
          </w:p>
        </w:tc>
      </w:tr>
      <w:tr w:rsidR="004448E5" w:rsidRPr="00CE7DE3" w:rsidTr="004E44B6">
        <w:trPr>
          <w:trHeight w:val="296"/>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color w:val="000000"/>
                <w:lang w:eastAsia="en-GB"/>
              </w:rPr>
            </w:pPr>
            <w:r w:rsidRPr="00CE7DE3">
              <w:rPr>
                <w:color w:val="000000"/>
                <w:lang w:eastAsia="en-GB"/>
              </w:rPr>
              <w:t>Solid wall insulation (pre 1967 England &amp; Wales, pre 1965 Scotland)</w:t>
            </w: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color w:val="000000"/>
                <w:szCs w:val="24"/>
              </w:rPr>
            </w:pPr>
            <w:r w:rsidRPr="004E44B6">
              <w:rPr>
                <w:color w:val="000000"/>
                <w:szCs w:val="24"/>
              </w:rPr>
              <w:t>15,305</w:t>
            </w: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i/>
                <w:iCs/>
                <w:color w:val="000000"/>
                <w:szCs w:val="24"/>
              </w:rPr>
            </w:pPr>
            <w:r w:rsidRPr="004448E5">
              <w:rPr>
                <w:i/>
                <w:iCs/>
                <w:color w:val="000000"/>
                <w:szCs w:val="24"/>
              </w:rPr>
              <w:t>6.8</w:t>
            </w:r>
          </w:p>
        </w:tc>
      </w:tr>
      <w:tr w:rsidR="004448E5" w:rsidRPr="00CE7DE3" w:rsidTr="004E44B6">
        <w:trPr>
          <w:trHeight w:val="296"/>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color w:val="000000"/>
                <w:lang w:eastAsia="en-GB"/>
              </w:rPr>
            </w:pPr>
            <w:r w:rsidRPr="00CE7DE3">
              <w:rPr>
                <w:color w:val="000000"/>
                <w:lang w:eastAsia="en-GB"/>
              </w:rPr>
              <w:t>Solid wall insulation (from 1967 E&amp;W, from 1965 Scotland)</w:t>
            </w: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color w:val="000000"/>
                <w:szCs w:val="24"/>
              </w:rPr>
            </w:pPr>
            <w:r w:rsidRPr="004E44B6">
              <w:rPr>
                <w:color w:val="000000"/>
                <w:szCs w:val="24"/>
              </w:rPr>
              <w:t>7,564</w:t>
            </w: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i/>
                <w:iCs/>
                <w:color w:val="000000"/>
                <w:szCs w:val="24"/>
              </w:rPr>
            </w:pPr>
            <w:r w:rsidRPr="004448E5">
              <w:rPr>
                <w:i/>
                <w:iCs/>
                <w:color w:val="000000"/>
                <w:szCs w:val="24"/>
              </w:rPr>
              <w:t>3.4</w:t>
            </w:r>
          </w:p>
        </w:tc>
      </w:tr>
      <w:tr w:rsidR="004448E5" w:rsidRPr="00CE7DE3" w:rsidTr="004E44B6">
        <w:trPr>
          <w:trHeight w:val="296"/>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color w:val="000000"/>
                <w:lang w:eastAsia="en-GB"/>
              </w:rPr>
            </w:pP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color w:val="000000"/>
                <w:szCs w:val="24"/>
              </w:rPr>
            </w:pP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b/>
                <w:bCs/>
                <w:i/>
                <w:iCs/>
                <w:color w:val="000000"/>
                <w:szCs w:val="24"/>
              </w:rPr>
            </w:pPr>
          </w:p>
        </w:tc>
      </w:tr>
      <w:tr w:rsidR="004448E5" w:rsidRPr="00CE7DE3" w:rsidTr="004E44B6">
        <w:trPr>
          <w:trHeight w:val="312"/>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b/>
                <w:bCs/>
                <w:color w:val="000000"/>
                <w:lang w:eastAsia="en-GB"/>
              </w:rPr>
            </w:pPr>
            <w:r w:rsidRPr="00CE7DE3">
              <w:rPr>
                <w:b/>
                <w:bCs/>
                <w:color w:val="000000"/>
                <w:lang w:eastAsia="en-GB"/>
              </w:rPr>
              <w:t>Window Glazing</w:t>
            </w: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b/>
                <w:bCs/>
                <w:color w:val="000000"/>
                <w:szCs w:val="24"/>
              </w:rPr>
            </w:pPr>
            <w:r w:rsidRPr="004E44B6">
              <w:rPr>
                <w:b/>
                <w:bCs/>
                <w:color w:val="000000"/>
                <w:szCs w:val="24"/>
              </w:rPr>
              <w:t>7,861</w:t>
            </w: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b/>
                <w:bCs/>
                <w:i/>
                <w:iCs/>
                <w:color w:val="000000"/>
                <w:szCs w:val="24"/>
              </w:rPr>
            </w:pPr>
            <w:r w:rsidRPr="004448E5">
              <w:rPr>
                <w:b/>
                <w:bCs/>
                <w:i/>
                <w:iCs/>
                <w:color w:val="000000"/>
                <w:szCs w:val="24"/>
              </w:rPr>
              <w:t>3.5</w:t>
            </w:r>
          </w:p>
        </w:tc>
      </w:tr>
      <w:tr w:rsidR="004448E5" w:rsidRPr="00CE7DE3" w:rsidTr="004E44B6">
        <w:trPr>
          <w:trHeight w:val="296"/>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color w:val="000000"/>
                <w:lang w:eastAsia="en-GB"/>
              </w:rPr>
            </w:pPr>
            <w:r w:rsidRPr="00CE7DE3">
              <w:rPr>
                <w:color w:val="000000"/>
                <w:lang w:eastAsia="en-GB"/>
              </w:rPr>
              <w:t>Double glazing</w:t>
            </w: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color w:val="000000"/>
                <w:szCs w:val="24"/>
              </w:rPr>
            </w:pPr>
            <w:r w:rsidRPr="004E44B6">
              <w:rPr>
                <w:color w:val="000000"/>
                <w:szCs w:val="24"/>
              </w:rPr>
              <w:t>7,059</w:t>
            </w: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i/>
                <w:iCs/>
                <w:color w:val="000000"/>
                <w:szCs w:val="24"/>
              </w:rPr>
            </w:pPr>
            <w:r w:rsidRPr="004448E5">
              <w:rPr>
                <w:i/>
                <w:iCs/>
                <w:color w:val="000000"/>
                <w:szCs w:val="24"/>
              </w:rPr>
              <w:t>3.1</w:t>
            </w:r>
          </w:p>
        </w:tc>
      </w:tr>
      <w:tr w:rsidR="004448E5" w:rsidRPr="00CE7DE3" w:rsidTr="004E44B6">
        <w:trPr>
          <w:trHeight w:val="296"/>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color w:val="000000"/>
                <w:lang w:eastAsia="en-GB"/>
              </w:rPr>
            </w:pPr>
            <w:r w:rsidRPr="00CE7DE3">
              <w:rPr>
                <w:color w:val="000000"/>
                <w:lang w:eastAsia="en-GB"/>
              </w:rPr>
              <w:t>Secondary glazing</w:t>
            </w: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color w:val="000000"/>
                <w:szCs w:val="24"/>
              </w:rPr>
            </w:pPr>
            <w:r w:rsidRPr="004E44B6">
              <w:rPr>
                <w:color w:val="000000"/>
                <w:szCs w:val="24"/>
              </w:rPr>
              <w:t>607</w:t>
            </w: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i/>
                <w:iCs/>
                <w:color w:val="000000"/>
                <w:szCs w:val="24"/>
              </w:rPr>
            </w:pPr>
            <w:r w:rsidRPr="004448E5">
              <w:rPr>
                <w:i/>
                <w:iCs/>
                <w:color w:val="000000"/>
                <w:szCs w:val="24"/>
              </w:rPr>
              <w:t>0.3</w:t>
            </w:r>
          </w:p>
        </w:tc>
      </w:tr>
      <w:tr w:rsidR="004448E5" w:rsidRPr="00CE7DE3" w:rsidTr="004E44B6">
        <w:trPr>
          <w:trHeight w:val="296"/>
        </w:trPr>
        <w:tc>
          <w:tcPr>
            <w:tcW w:w="6676" w:type="dxa"/>
            <w:tcBorders>
              <w:top w:val="nil"/>
              <w:left w:val="nil"/>
              <w:bottom w:val="nil"/>
              <w:right w:val="nil"/>
            </w:tcBorders>
            <w:shd w:val="clear" w:color="auto" w:fill="auto"/>
            <w:noWrap/>
            <w:vAlign w:val="bottom"/>
            <w:hideMark/>
          </w:tcPr>
          <w:p w:rsidR="004448E5" w:rsidRPr="00CE7DE3" w:rsidRDefault="004448E5" w:rsidP="00415EE4">
            <w:pPr>
              <w:spacing w:before="0" w:after="0" w:line="240" w:lineRule="auto"/>
              <w:rPr>
                <w:color w:val="000000"/>
                <w:lang w:eastAsia="en-GB"/>
              </w:rPr>
            </w:pPr>
            <w:r w:rsidRPr="00CE7DE3">
              <w:rPr>
                <w:color w:val="000000"/>
                <w:lang w:eastAsia="en-GB"/>
              </w:rPr>
              <w:t>Triple glazing</w:t>
            </w:r>
          </w:p>
        </w:tc>
        <w:tc>
          <w:tcPr>
            <w:tcW w:w="1840" w:type="dxa"/>
            <w:tcBorders>
              <w:top w:val="nil"/>
              <w:left w:val="nil"/>
              <w:bottom w:val="nil"/>
              <w:right w:val="nil"/>
            </w:tcBorders>
            <w:shd w:val="clear" w:color="auto" w:fill="auto"/>
            <w:noWrap/>
            <w:vAlign w:val="bottom"/>
            <w:hideMark/>
          </w:tcPr>
          <w:p w:rsidR="004448E5" w:rsidRPr="004E44B6" w:rsidRDefault="004448E5" w:rsidP="004E44B6">
            <w:pPr>
              <w:spacing w:before="0" w:after="0"/>
              <w:jc w:val="right"/>
              <w:rPr>
                <w:color w:val="000000"/>
                <w:szCs w:val="24"/>
              </w:rPr>
            </w:pPr>
            <w:r w:rsidRPr="004E44B6">
              <w:rPr>
                <w:color w:val="000000"/>
                <w:szCs w:val="24"/>
              </w:rPr>
              <w:t>195</w:t>
            </w:r>
          </w:p>
        </w:tc>
        <w:tc>
          <w:tcPr>
            <w:tcW w:w="1751"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i/>
                <w:iCs/>
                <w:color w:val="000000"/>
                <w:szCs w:val="24"/>
              </w:rPr>
            </w:pPr>
            <w:r w:rsidRPr="004448E5">
              <w:rPr>
                <w:i/>
                <w:iCs/>
                <w:color w:val="000000"/>
                <w:szCs w:val="24"/>
              </w:rPr>
              <w:t>0.1</w:t>
            </w:r>
          </w:p>
        </w:tc>
      </w:tr>
      <w:tr w:rsidR="004E44B6" w:rsidRPr="00CE7DE3" w:rsidTr="004E44B6">
        <w:trPr>
          <w:trHeight w:val="296"/>
        </w:trPr>
        <w:tc>
          <w:tcPr>
            <w:tcW w:w="6676" w:type="dxa"/>
            <w:tcBorders>
              <w:top w:val="nil"/>
              <w:left w:val="nil"/>
              <w:bottom w:val="nil"/>
              <w:right w:val="nil"/>
            </w:tcBorders>
            <w:shd w:val="clear" w:color="auto" w:fill="auto"/>
            <w:noWrap/>
            <w:vAlign w:val="bottom"/>
            <w:hideMark/>
          </w:tcPr>
          <w:p w:rsidR="004E44B6" w:rsidRPr="00CE7DE3" w:rsidRDefault="004E44B6" w:rsidP="00415EE4">
            <w:pPr>
              <w:spacing w:before="0" w:after="0" w:line="240" w:lineRule="auto"/>
              <w:rPr>
                <w:color w:val="000000"/>
                <w:lang w:eastAsia="en-GB"/>
              </w:rPr>
            </w:pPr>
          </w:p>
        </w:tc>
        <w:tc>
          <w:tcPr>
            <w:tcW w:w="1840" w:type="dxa"/>
            <w:tcBorders>
              <w:top w:val="nil"/>
              <w:left w:val="nil"/>
              <w:bottom w:val="nil"/>
              <w:right w:val="nil"/>
            </w:tcBorders>
            <w:shd w:val="clear" w:color="auto" w:fill="auto"/>
            <w:noWrap/>
            <w:vAlign w:val="bottom"/>
            <w:hideMark/>
          </w:tcPr>
          <w:p w:rsidR="004E44B6" w:rsidRPr="004E44B6" w:rsidRDefault="004E44B6" w:rsidP="004E44B6">
            <w:pPr>
              <w:spacing w:before="0" w:after="0"/>
              <w:jc w:val="right"/>
              <w:rPr>
                <w:color w:val="000000"/>
                <w:szCs w:val="24"/>
              </w:rPr>
            </w:pPr>
          </w:p>
        </w:tc>
        <w:tc>
          <w:tcPr>
            <w:tcW w:w="1751" w:type="dxa"/>
            <w:tcBorders>
              <w:top w:val="nil"/>
              <w:left w:val="nil"/>
              <w:bottom w:val="nil"/>
              <w:right w:val="nil"/>
            </w:tcBorders>
            <w:shd w:val="clear" w:color="auto" w:fill="auto"/>
            <w:noWrap/>
            <w:vAlign w:val="bottom"/>
            <w:hideMark/>
          </w:tcPr>
          <w:p w:rsidR="004E44B6" w:rsidRPr="004E44B6" w:rsidRDefault="004E44B6" w:rsidP="004E44B6">
            <w:pPr>
              <w:spacing w:before="0" w:after="0"/>
              <w:rPr>
                <w:color w:val="000000"/>
                <w:szCs w:val="24"/>
              </w:rPr>
            </w:pPr>
          </w:p>
        </w:tc>
      </w:tr>
      <w:tr w:rsidR="004E44B6" w:rsidRPr="00CE7DE3" w:rsidTr="004E44B6">
        <w:trPr>
          <w:trHeight w:val="312"/>
        </w:trPr>
        <w:tc>
          <w:tcPr>
            <w:tcW w:w="6676" w:type="dxa"/>
            <w:tcBorders>
              <w:top w:val="nil"/>
              <w:left w:val="nil"/>
              <w:bottom w:val="single" w:sz="4" w:space="0" w:color="auto"/>
              <w:right w:val="nil"/>
            </w:tcBorders>
            <w:shd w:val="clear" w:color="000000" w:fill="FFFFFF"/>
            <w:noWrap/>
            <w:vAlign w:val="bottom"/>
            <w:hideMark/>
          </w:tcPr>
          <w:p w:rsidR="004E44B6" w:rsidRPr="00CE7DE3" w:rsidRDefault="004E44B6" w:rsidP="00415EE4">
            <w:pPr>
              <w:spacing w:before="0" w:after="0" w:line="240" w:lineRule="auto"/>
              <w:rPr>
                <w:b/>
                <w:bCs/>
                <w:color w:val="000000"/>
                <w:lang w:eastAsia="en-GB"/>
              </w:rPr>
            </w:pPr>
            <w:r w:rsidRPr="00CE7DE3">
              <w:rPr>
                <w:b/>
                <w:bCs/>
                <w:color w:val="000000"/>
                <w:lang w:eastAsia="en-GB"/>
              </w:rPr>
              <w:t>Total</w:t>
            </w:r>
          </w:p>
        </w:tc>
        <w:tc>
          <w:tcPr>
            <w:tcW w:w="1840" w:type="dxa"/>
            <w:tcBorders>
              <w:top w:val="nil"/>
              <w:left w:val="nil"/>
              <w:bottom w:val="single" w:sz="4" w:space="0" w:color="auto"/>
              <w:right w:val="nil"/>
            </w:tcBorders>
            <w:shd w:val="clear" w:color="auto" w:fill="auto"/>
            <w:noWrap/>
            <w:vAlign w:val="bottom"/>
            <w:hideMark/>
          </w:tcPr>
          <w:p w:rsidR="004E44B6" w:rsidRPr="004E44B6" w:rsidRDefault="004E44B6" w:rsidP="004E44B6">
            <w:pPr>
              <w:spacing w:before="0" w:after="0"/>
              <w:jc w:val="right"/>
              <w:rPr>
                <w:b/>
                <w:bCs/>
                <w:color w:val="000000"/>
                <w:szCs w:val="24"/>
              </w:rPr>
            </w:pPr>
            <w:r w:rsidRPr="004E44B6">
              <w:rPr>
                <w:b/>
                <w:bCs/>
                <w:color w:val="000000"/>
                <w:szCs w:val="24"/>
              </w:rPr>
              <w:t>225,512</w:t>
            </w:r>
          </w:p>
        </w:tc>
        <w:tc>
          <w:tcPr>
            <w:tcW w:w="1751" w:type="dxa"/>
            <w:tcBorders>
              <w:top w:val="nil"/>
              <w:left w:val="nil"/>
              <w:bottom w:val="single" w:sz="4" w:space="0" w:color="auto"/>
              <w:right w:val="nil"/>
            </w:tcBorders>
            <w:shd w:val="clear" w:color="auto" w:fill="auto"/>
            <w:noWrap/>
            <w:vAlign w:val="bottom"/>
            <w:hideMark/>
          </w:tcPr>
          <w:p w:rsidR="004E44B6" w:rsidRPr="004E44B6" w:rsidRDefault="004E44B6" w:rsidP="004E44B6">
            <w:pPr>
              <w:spacing w:before="0" w:after="0"/>
              <w:jc w:val="right"/>
              <w:rPr>
                <w:b/>
                <w:bCs/>
                <w:color w:val="000000"/>
                <w:szCs w:val="24"/>
              </w:rPr>
            </w:pPr>
            <w:r w:rsidRPr="004E44B6">
              <w:rPr>
                <w:b/>
                <w:bCs/>
                <w:color w:val="000000"/>
                <w:szCs w:val="24"/>
              </w:rPr>
              <w:t>100</w:t>
            </w:r>
          </w:p>
        </w:tc>
      </w:tr>
    </w:tbl>
    <w:p w:rsidR="00415EE4" w:rsidRDefault="00415EE4" w:rsidP="00415EE4">
      <w:pPr>
        <w:spacing w:before="0" w:after="0" w:line="270" w:lineRule="atLeast"/>
        <w:jc w:val="both"/>
        <w:rPr>
          <w:b/>
          <w:bCs/>
          <w:highlight w:val="yellow"/>
        </w:rPr>
      </w:pPr>
    </w:p>
    <w:p w:rsidR="00415EE4" w:rsidRPr="00581891" w:rsidRDefault="00415EE4" w:rsidP="00415EE4">
      <w:pPr>
        <w:spacing w:before="0" w:after="0" w:line="270" w:lineRule="atLeast"/>
        <w:jc w:val="both"/>
        <w:rPr>
          <w:bCs/>
        </w:rPr>
      </w:pPr>
      <w:r w:rsidRPr="00581891">
        <w:rPr>
          <w:bCs/>
          <w:vertAlign w:val="superscript"/>
        </w:rPr>
        <w:t>1</w:t>
      </w:r>
      <w:r w:rsidRPr="00581891">
        <w:rPr>
          <w:bCs/>
        </w:rPr>
        <w:t xml:space="preserve"> More than one measure can be recommended per Assessment. On </w:t>
      </w:r>
      <w:r>
        <w:rPr>
          <w:bCs/>
        </w:rPr>
        <w:t>a</w:t>
      </w:r>
      <w:r w:rsidRPr="00581891">
        <w:rPr>
          <w:bCs/>
        </w:rPr>
        <w:t>verage</w:t>
      </w:r>
      <w:r>
        <w:rPr>
          <w:bCs/>
        </w:rPr>
        <w:t>,</w:t>
      </w:r>
      <w:r w:rsidRPr="00581891">
        <w:rPr>
          <w:bCs/>
        </w:rPr>
        <w:t xml:space="preserve"> there are around </w:t>
      </w:r>
      <w:r w:rsidR="004E44B6">
        <w:rPr>
          <w:bCs/>
        </w:rPr>
        <w:t xml:space="preserve">two to </w:t>
      </w:r>
      <w:r w:rsidRPr="00581891">
        <w:rPr>
          <w:bCs/>
        </w:rPr>
        <w:t>three recommendations per Assessment.</w:t>
      </w:r>
    </w:p>
    <w:p w:rsidR="00415EE4" w:rsidRDefault="00556BEC" w:rsidP="00415EE4">
      <w:pPr>
        <w:spacing w:before="0" w:after="0" w:line="270" w:lineRule="atLeast"/>
        <w:jc w:val="both"/>
        <w:rPr>
          <w:b/>
          <w:bCs/>
        </w:rPr>
      </w:pPr>
      <w:r>
        <w:rPr>
          <w:b/>
          <w:bCs/>
        </w:rPr>
        <w:lastRenderedPageBreak/>
        <w:t>Table 1.5b</w:t>
      </w:r>
      <w:r w:rsidR="00415EE4" w:rsidRPr="00750A1C">
        <w:rPr>
          <w:b/>
          <w:bCs/>
        </w:rPr>
        <w:t xml:space="preserve">: </w:t>
      </w:r>
      <w:r w:rsidR="00415EE4" w:rsidRPr="00C72A20">
        <w:rPr>
          <w:b/>
          <w:bCs/>
        </w:rPr>
        <w:t xml:space="preserve">Number of improvements recommended per Green Deal Assessment, up to 30th </w:t>
      </w:r>
      <w:r w:rsidR="002D15AF" w:rsidRPr="002D15AF">
        <w:rPr>
          <w:b/>
          <w:bCs/>
        </w:rPr>
        <w:t xml:space="preserve">September </w:t>
      </w:r>
      <w:r w:rsidR="00415EE4" w:rsidRPr="00C72A20">
        <w:rPr>
          <w:b/>
          <w:bCs/>
        </w:rPr>
        <w:t xml:space="preserve">2013, </w:t>
      </w:r>
      <w:r w:rsidR="00346104">
        <w:rPr>
          <w:b/>
          <w:bCs/>
        </w:rPr>
        <w:t>Great Britain</w:t>
      </w:r>
    </w:p>
    <w:p w:rsidR="00415EE4" w:rsidRPr="00C72A20" w:rsidRDefault="00415EE4" w:rsidP="00415EE4">
      <w:pPr>
        <w:spacing w:before="0" w:after="0" w:line="270" w:lineRule="atLeast"/>
        <w:rPr>
          <w:b/>
          <w:bCs/>
        </w:rPr>
      </w:pPr>
    </w:p>
    <w:tbl>
      <w:tblPr>
        <w:tblW w:w="9371" w:type="dxa"/>
        <w:tblInd w:w="93" w:type="dxa"/>
        <w:tblLook w:val="04A0" w:firstRow="1" w:lastRow="0" w:firstColumn="1" w:lastColumn="0" w:noHBand="0" w:noVBand="1"/>
      </w:tblPr>
      <w:tblGrid>
        <w:gridCol w:w="3782"/>
        <w:gridCol w:w="358"/>
        <w:gridCol w:w="2540"/>
        <w:gridCol w:w="2691"/>
      </w:tblGrid>
      <w:tr w:rsidR="00415EE4" w:rsidRPr="00E35530" w:rsidTr="004955B3">
        <w:trPr>
          <w:trHeight w:val="555"/>
        </w:trPr>
        <w:tc>
          <w:tcPr>
            <w:tcW w:w="4140" w:type="dxa"/>
            <w:gridSpan w:val="2"/>
            <w:tcBorders>
              <w:top w:val="single" w:sz="4" w:space="0" w:color="auto"/>
              <w:left w:val="nil"/>
              <w:bottom w:val="single" w:sz="4" w:space="0" w:color="auto"/>
              <w:right w:val="nil"/>
            </w:tcBorders>
            <w:shd w:val="clear" w:color="auto" w:fill="auto"/>
            <w:noWrap/>
            <w:vAlign w:val="center"/>
            <w:hideMark/>
          </w:tcPr>
          <w:p w:rsidR="00415EE4" w:rsidRPr="00E35530" w:rsidRDefault="00415EE4" w:rsidP="00415EE4">
            <w:pPr>
              <w:spacing w:before="0" w:after="0" w:line="240" w:lineRule="auto"/>
              <w:rPr>
                <w:color w:val="000000"/>
                <w:lang w:eastAsia="en-GB"/>
              </w:rPr>
            </w:pPr>
            <w:r w:rsidRPr="00E35530">
              <w:rPr>
                <w:color w:val="000000"/>
                <w:lang w:eastAsia="en-GB"/>
              </w:rPr>
              <w:t>Number of improvements recommended</w:t>
            </w:r>
            <w:r w:rsidRPr="00E35530">
              <w:rPr>
                <w:color w:val="000000"/>
                <w:vertAlign w:val="superscript"/>
                <w:lang w:eastAsia="en-GB"/>
              </w:rPr>
              <w:t>1</w:t>
            </w:r>
          </w:p>
        </w:tc>
        <w:tc>
          <w:tcPr>
            <w:tcW w:w="2540" w:type="dxa"/>
            <w:tcBorders>
              <w:top w:val="single" w:sz="4" w:space="0" w:color="auto"/>
              <w:left w:val="nil"/>
              <w:bottom w:val="single" w:sz="4" w:space="0" w:color="auto"/>
              <w:right w:val="nil"/>
            </w:tcBorders>
            <w:shd w:val="clear" w:color="auto" w:fill="auto"/>
            <w:vAlign w:val="center"/>
            <w:hideMark/>
          </w:tcPr>
          <w:p w:rsidR="00415EE4" w:rsidRPr="00E35530" w:rsidRDefault="00415EE4" w:rsidP="00415EE4">
            <w:pPr>
              <w:spacing w:before="0" w:after="0" w:line="240" w:lineRule="auto"/>
              <w:jc w:val="right"/>
              <w:rPr>
                <w:color w:val="000000"/>
                <w:lang w:eastAsia="en-GB"/>
              </w:rPr>
            </w:pPr>
            <w:r w:rsidRPr="00E35530">
              <w:rPr>
                <w:color w:val="000000"/>
                <w:lang w:eastAsia="en-GB"/>
              </w:rPr>
              <w:t>Number of Green Deal Assessments</w:t>
            </w:r>
          </w:p>
        </w:tc>
        <w:tc>
          <w:tcPr>
            <w:tcW w:w="2691" w:type="dxa"/>
            <w:tcBorders>
              <w:top w:val="single" w:sz="4" w:space="0" w:color="auto"/>
              <w:left w:val="nil"/>
              <w:bottom w:val="single" w:sz="4" w:space="0" w:color="auto"/>
              <w:right w:val="nil"/>
            </w:tcBorders>
            <w:shd w:val="clear" w:color="auto" w:fill="auto"/>
            <w:vAlign w:val="center"/>
            <w:hideMark/>
          </w:tcPr>
          <w:p w:rsidR="00415EE4" w:rsidRPr="00E35530" w:rsidRDefault="00415EE4" w:rsidP="00415EE4">
            <w:pPr>
              <w:spacing w:before="0" w:after="0" w:line="240" w:lineRule="auto"/>
              <w:jc w:val="right"/>
              <w:rPr>
                <w:color w:val="000000"/>
                <w:lang w:eastAsia="en-GB"/>
              </w:rPr>
            </w:pPr>
            <w:r w:rsidRPr="00E35530">
              <w:rPr>
                <w:color w:val="000000"/>
                <w:lang w:eastAsia="en-GB"/>
              </w:rPr>
              <w:t>Percentage of Green Deal Assessments</w:t>
            </w:r>
          </w:p>
        </w:tc>
      </w:tr>
      <w:tr w:rsidR="00346104" w:rsidRPr="00E35530" w:rsidTr="004955B3">
        <w:trPr>
          <w:trHeight w:val="285"/>
        </w:trPr>
        <w:tc>
          <w:tcPr>
            <w:tcW w:w="3782" w:type="dxa"/>
            <w:tcBorders>
              <w:top w:val="nil"/>
              <w:left w:val="nil"/>
              <w:bottom w:val="nil"/>
              <w:right w:val="nil"/>
            </w:tcBorders>
            <w:shd w:val="clear" w:color="auto" w:fill="auto"/>
            <w:noWrap/>
            <w:vAlign w:val="bottom"/>
            <w:hideMark/>
          </w:tcPr>
          <w:p w:rsidR="00346104" w:rsidRPr="00E35530" w:rsidRDefault="00346104" w:rsidP="00415EE4">
            <w:pPr>
              <w:spacing w:before="0" w:after="0" w:line="240" w:lineRule="auto"/>
              <w:rPr>
                <w:color w:val="000000"/>
                <w:lang w:eastAsia="en-GB"/>
              </w:rPr>
            </w:pPr>
            <w:r w:rsidRPr="00E35530">
              <w:rPr>
                <w:color w:val="000000"/>
                <w:lang w:eastAsia="en-GB"/>
              </w:rPr>
              <w:t>1</w:t>
            </w:r>
          </w:p>
        </w:tc>
        <w:tc>
          <w:tcPr>
            <w:tcW w:w="358" w:type="dxa"/>
            <w:tcBorders>
              <w:top w:val="nil"/>
              <w:left w:val="nil"/>
              <w:bottom w:val="nil"/>
              <w:right w:val="nil"/>
            </w:tcBorders>
            <w:shd w:val="clear" w:color="auto" w:fill="auto"/>
            <w:noWrap/>
            <w:vAlign w:val="bottom"/>
            <w:hideMark/>
          </w:tcPr>
          <w:p w:rsidR="00346104" w:rsidRPr="00E35530" w:rsidRDefault="00346104" w:rsidP="00415EE4">
            <w:pPr>
              <w:spacing w:before="0" w:after="0" w:line="240" w:lineRule="auto"/>
              <w:rPr>
                <w:color w:val="000000"/>
                <w:lang w:eastAsia="en-GB"/>
              </w:rPr>
            </w:pPr>
          </w:p>
        </w:tc>
        <w:tc>
          <w:tcPr>
            <w:tcW w:w="2540" w:type="dxa"/>
            <w:tcBorders>
              <w:top w:val="nil"/>
              <w:left w:val="nil"/>
              <w:bottom w:val="nil"/>
              <w:right w:val="nil"/>
            </w:tcBorders>
            <w:shd w:val="clear" w:color="auto" w:fill="auto"/>
            <w:noWrap/>
            <w:vAlign w:val="bottom"/>
            <w:hideMark/>
          </w:tcPr>
          <w:p w:rsidR="00346104" w:rsidRPr="00346104" w:rsidRDefault="00346104" w:rsidP="00346104">
            <w:pPr>
              <w:spacing w:before="0" w:after="0"/>
              <w:jc w:val="right"/>
              <w:rPr>
                <w:color w:val="000000"/>
                <w:szCs w:val="24"/>
              </w:rPr>
            </w:pPr>
            <w:r w:rsidRPr="00346104">
              <w:rPr>
                <w:color w:val="000000"/>
                <w:szCs w:val="24"/>
              </w:rPr>
              <w:t>34,215</w:t>
            </w:r>
          </w:p>
        </w:tc>
        <w:tc>
          <w:tcPr>
            <w:tcW w:w="2691" w:type="dxa"/>
            <w:tcBorders>
              <w:top w:val="nil"/>
              <w:left w:val="nil"/>
              <w:bottom w:val="nil"/>
              <w:right w:val="nil"/>
            </w:tcBorders>
            <w:shd w:val="clear" w:color="auto" w:fill="auto"/>
            <w:noWrap/>
            <w:vAlign w:val="bottom"/>
            <w:hideMark/>
          </w:tcPr>
          <w:p w:rsidR="00346104" w:rsidRPr="00346104" w:rsidRDefault="00346104" w:rsidP="00346104">
            <w:pPr>
              <w:spacing w:before="0" w:after="0"/>
              <w:jc w:val="right"/>
              <w:rPr>
                <w:i/>
                <w:iCs/>
                <w:color w:val="000000"/>
                <w:szCs w:val="24"/>
              </w:rPr>
            </w:pPr>
            <w:r w:rsidRPr="00346104">
              <w:rPr>
                <w:i/>
                <w:iCs/>
                <w:color w:val="000000"/>
                <w:szCs w:val="24"/>
              </w:rPr>
              <w:t>40</w:t>
            </w:r>
          </w:p>
        </w:tc>
      </w:tr>
      <w:tr w:rsidR="00346104" w:rsidRPr="00E35530" w:rsidTr="004955B3">
        <w:trPr>
          <w:trHeight w:val="285"/>
        </w:trPr>
        <w:tc>
          <w:tcPr>
            <w:tcW w:w="3782" w:type="dxa"/>
            <w:tcBorders>
              <w:top w:val="nil"/>
              <w:left w:val="nil"/>
              <w:bottom w:val="nil"/>
              <w:right w:val="nil"/>
            </w:tcBorders>
            <w:shd w:val="clear" w:color="auto" w:fill="auto"/>
            <w:noWrap/>
            <w:vAlign w:val="bottom"/>
            <w:hideMark/>
          </w:tcPr>
          <w:p w:rsidR="00346104" w:rsidRPr="00E35530" w:rsidRDefault="00346104" w:rsidP="00415EE4">
            <w:pPr>
              <w:spacing w:before="0" w:after="0" w:line="240" w:lineRule="auto"/>
              <w:rPr>
                <w:color w:val="000000"/>
                <w:lang w:eastAsia="en-GB"/>
              </w:rPr>
            </w:pPr>
            <w:r w:rsidRPr="00E35530">
              <w:rPr>
                <w:color w:val="000000"/>
                <w:lang w:eastAsia="en-GB"/>
              </w:rPr>
              <w:t>2</w:t>
            </w:r>
          </w:p>
        </w:tc>
        <w:tc>
          <w:tcPr>
            <w:tcW w:w="358" w:type="dxa"/>
            <w:tcBorders>
              <w:top w:val="nil"/>
              <w:left w:val="nil"/>
              <w:bottom w:val="nil"/>
              <w:right w:val="nil"/>
            </w:tcBorders>
            <w:shd w:val="clear" w:color="auto" w:fill="auto"/>
            <w:noWrap/>
            <w:vAlign w:val="bottom"/>
            <w:hideMark/>
          </w:tcPr>
          <w:p w:rsidR="00346104" w:rsidRPr="00E35530" w:rsidRDefault="00346104" w:rsidP="00415EE4">
            <w:pPr>
              <w:spacing w:before="0" w:after="0" w:line="240" w:lineRule="auto"/>
              <w:rPr>
                <w:color w:val="000000"/>
                <w:lang w:eastAsia="en-GB"/>
              </w:rPr>
            </w:pPr>
          </w:p>
        </w:tc>
        <w:tc>
          <w:tcPr>
            <w:tcW w:w="2540" w:type="dxa"/>
            <w:tcBorders>
              <w:top w:val="nil"/>
              <w:left w:val="nil"/>
              <w:bottom w:val="nil"/>
              <w:right w:val="nil"/>
            </w:tcBorders>
            <w:shd w:val="clear" w:color="auto" w:fill="auto"/>
            <w:noWrap/>
            <w:vAlign w:val="bottom"/>
            <w:hideMark/>
          </w:tcPr>
          <w:p w:rsidR="00346104" w:rsidRPr="00346104" w:rsidRDefault="00346104" w:rsidP="00346104">
            <w:pPr>
              <w:spacing w:before="0" w:after="0"/>
              <w:jc w:val="right"/>
              <w:rPr>
                <w:color w:val="000000"/>
                <w:szCs w:val="24"/>
              </w:rPr>
            </w:pPr>
            <w:r w:rsidRPr="00346104">
              <w:rPr>
                <w:color w:val="000000"/>
                <w:szCs w:val="24"/>
              </w:rPr>
              <w:t>18,414</w:t>
            </w:r>
          </w:p>
        </w:tc>
        <w:tc>
          <w:tcPr>
            <w:tcW w:w="2691" w:type="dxa"/>
            <w:tcBorders>
              <w:top w:val="nil"/>
              <w:left w:val="nil"/>
              <w:bottom w:val="nil"/>
              <w:right w:val="nil"/>
            </w:tcBorders>
            <w:shd w:val="clear" w:color="auto" w:fill="auto"/>
            <w:noWrap/>
            <w:vAlign w:val="bottom"/>
            <w:hideMark/>
          </w:tcPr>
          <w:p w:rsidR="00346104" w:rsidRPr="00346104" w:rsidRDefault="00346104" w:rsidP="00346104">
            <w:pPr>
              <w:spacing w:before="0" w:after="0"/>
              <w:jc w:val="right"/>
              <w:rPr>
                <w:i/>
                <w:iCs/>
                <w:color w:val="000000"/>
                <w:szCs w:val="24"/>
              </w:rPr>
            </w:pPr>
            <w:r w:rsidRPr="00346104">
              <w:rPr>
                <w:i/>
                <w:iCs/>
                <w:color w:val="000000"/>
                <w:szCs w:val="24"/>
              </w:rPr>
              <w:t>22</w:t>
            </w:r>
          </w:p>
        </w:tc>
      </w:tr>
      <w:tr w:rsidR="00346104" w:rsidRPr="00E35530" w:rsidTr="004955B3">
        <w:trPr>
          <w:trHeight w:val="285"/>
        </w:trPr>
        <w:tc>
          <w:tcPr>
            <w:tcW w:w="3782" w:type="dxa"/>
            <w:tcBorders>
              <w:top w:val="nil"/>
              <w:left w:val="nil"/>
              <w:bottom w:val="nil"/>
              <w:right w:val="nil"/>
            </w:tcBorders>
            <w:shd w:val="clear" w:color="auto" w:fill="auto"/>
            <w:noWrap/>
            <w:vAlign w:val="bottom"/>
            <w:hideMark/>
          </w:tcPr>
          <w:p w:rsidR="00346104" w:rsidRPr="00E35530" w:rsidRDefault="00346104" w:rsidP="00415EE4">
            <w:pPr>
              <w:spacing w:before="0" w:after="0" w:line="240" w:lineRule="auto"/>
              <w:rPr>
                <w:color w:val="000000"/>
                <w:lang w:eastAsia="en-GB"/>
              </w:rPr>
            </w:pPr>
            <w:r w:rsidRPr="00E35530">
              <w:rPr>
                <w:color w:val="000000"/>
                <w:lang w:eastAsia="en-GB"/>
              </w:rPr>
              <w:t>3</w:t>
            </w:r>
          </w:p>
        </w:tc>
        <w:tc>
          <w:tcPr>
            <w:tcW w:w="358" w:type="dxa"/>
            <w:tcBorders>
              <w:top w:val="nil"/>
              <w:left w:val="nil"/>
              <w:bottom w:val="nil"/>
              <w:right w:val="nil"/>
            </w:tcBorders>
            <w:shd w:val="clear" w:color="auto" w:fill="auto"/>
            <w:noWrap/>
            <w:vAlign w:val="bottom"/>
            <w:hideMark/>
          </w:tcPr>
          <w:p w:rsidR="00346104" w:rsidRPr="00E35530" w:rsidRDefault="00346104" w:rsidP="00415EE4">
            <w:pPr>
              <w:spacing w:before="0" w:after="0" w:line="240" w:lineRule="auto"/>
              <w:rPr>
                <w:color w:val="000000"/>
                <w:lang w:eastAsia="en-GB"/>
              </w:rPr>
            </w:pPr>
          </w:p>
        </w:tc>
        <w:tc>
          <w:tcPr>
            <w:tcW w:w="2540" w:type="dxa"/>
            <w:tcBorders>
              <w:top w:val="nil"/>
              <w:left w:val="nil"/>
              <w:bottom w:val="nil"/>
              <w:right w:val="nil"/>
            </w:tcBorders>
            <w:shd w:val="clear" w:color="auto" w:fill="auto"/>
            <w:noWrap/>
            <w:vAlign w:val="bottom"/>
            <w:hideMark/>
          </w:tcPr>
          <w:p w:rsidR="00346104" w:rsidRPr="00346104" w:rsidRDefault="00346104" w:rsidP="00346104">
            <w:pPr>
              <w:spacing w:before="0" w:after="0"/>
              <w:jc w:val="right"/>
              <w:rPr>
                <w:color w:val="000000"/>
                <w:szCs w:val="24"/>
              </w:rPr>
            </w:pPr>
            <w:r w:rsidRPr="00346104">
              <w:rPr>
                <w:color w:val="000000"/>
                <w:szCs w:val="24"/>
              </w:rPr>
              <w:t>9,522</w:t>
            </w:r>
          </w:p>
        </w:tc>
        <w:tc>
          <w:tcPr>
            <w:tcW w:w="2691" w:type="dxa"/>
            <w:tcBorders>
              <w:top w:val="nil"/>
              <w:left w:val="nil"/>
              <w:bottom w:val="nil"/>
              <w:right w:val="nil"/>
            </w:tcBorders>
            <w:shd w:val="clear" w:color="auto" w:fill="auto"/>
            <w:noWrap/>
            <w:vAlign w:val="bottom"/>
            <w:hideMark/>
          </w:tcPr>
          <w:p w:rsidR="00346104" w:rsidRPr="00346104" w:rsidRDefault="00346104" w:rsidP="00346104">
            <w:pPr>
              <w:spacing w:before="0" w:after="0"/>
              <w:jc w:val="right"/>
              <w:rPr>
                <w:i/>
                <w:iCs/>
                <w:color w:val="000000"/>
                <w:szCs w:val="24"/>
              </w:rPr>
            </w:pPr>
            <w:r w:rsidRPr="00346104">
              <w:rPr>
                <w:i/>
                <w:iCs/>
                <w:color w:val="000000"/>
                <w:szCs w:val="24"/>
              </w:rPr>
              <w:t>11</w:t>
            </w:r>
          </w:p>
        </w:tc>
      </w:tr>
      <w:tr w:rsidR="00346104" w:rsidRPr="00E35530" w:rsidTr="004955B3">
        <w:trPr>
          <w:trHeight w:val="285"/>
        </w:trPr>
        <w:tc>
          <w:tcPr>
            <w:tcW w:w="3782" w:type="dxa"/>
            <w:tcBorders>
              <w:top w:val="nil"/>
              <w:left w:val="nil"/>
              <w:bottom w:val="nil"/>
              <w:right w:val="nil"/>
            </w:tcBorders>
            <w:shd w:val="clear" w:color="auto" w:fill="auto"/>
            <w:noWrap/>
            <w:vAlign w:val="bottom"/>
            <w:hideMark/>
          </w:tcPr>
          <w:p w:rsidR="00346104" w:rsidRPr="00E35530" w:rsidRDefault="00346104" w:rsidP="00415EE4">
            <w:pPr>
              <w:spacing w:before="0" w:after="0" w:line="240" w:lineRule="auto"/>
              <w:rPr>
                <w:color w:val="000000"/>
                <w:lang w:eastAsia="en-GB"/>
              </w:rPr>
            </w:pPr>
            <w:r>
              <w:rPr>
                <w:color w:val="000000"/>
                <w:lang w:eastAsia="en-GB"/>
              </w:rPr>
              <w:t>4</w:t>
            </w:r>
          </w:p>
        </w:tc>
        <w:tc>
          <w:tcPr>
            <w:tcW w:w="358" w:type="dxa"/>
            <w:tcBorders>
              <w:top w:val="nil"/>
              <w:left w:val="nil"/>
              <w:bottom w:val="nil"/>
              <w:right w:val="nil"/>
            </w:tcBorders>
            <w:shd w:val="clear" w:color="auto" w:fill="auto"/>
            <w:noWrap/>
            <w:vAlign w:val="bottom"/>
            <w:hideMark/>
          </w:tcPr>
          <w:p w:rsidR="00346104" w:rsidRPr="00E35530" w:rsidRDefault="00346104" w:rsidP="00415EE4">
            <w:pPr>
              <w:spacing w:before="0" w:after="0" w:line="240" w:lineRule="auto"/>
              <w:rPr>
                <w:color w:val="000000"/>
                <w:lang w:eastAsia="en-GB"/>
              </w:rPr>
            </w:pPr>
          </w:p>
        </w:tc>
        <w:tc>
          <w:tcPr>
            <w:tcW w:w="2540" w:type="dxa"/>
            <w:tcBorders>
              <w:top w:val="nil"/>
              <w:left w:val="nil"/>
              <w:bottom w:val="nil"/>
              <w:right w:val="nil"/>
            </w:tcBorders>
            <w:shd w:val="clear" w:color="auto" w:fill="auto"/>
            <w:noWrap/>
            <w:vAlign w:val="bottom"/>
            <w:hideMark/>
          </w:tcPr>
          <w:p w:rsidR="00346104" w:rsidRPr="00346104" w:rsidRDefault="00346104" w:rsidP="00346104">
            <w:pPr>
              <w:spacing w:before="0" w:after="0"/>
              <w:jc w:val="right"/>
              <w:rPr>
                <w:color w:val="000000"/>
                <w:szCs w:val="24"/>
              </w:rPr>
            </w:pPr>
            <w:r w:rsidRPr="00346104">
              <w:rPr>
                <w:color w:val="000000"/>
                <w:szCs w:val="24"/>
              </w:rPr>
              <w:t>7,890</w:t>
            </w:r>
          </w:p>
        </w:tc>
        <w:tc>
          <w:tcPr>
            <w:tcW w:w="2691" w:type="dxa"/>
            <w:tcBorders>
              <w:top w:val="nil"/>
              <w:left w:val="nil"/>
              <w:bottom w:val="nil"/>
              <w:right w:val="nil"/>
            </w:tcBorders>
            <w:shd w:val="clear" w:color="auto" w:fill="auto"/>
            <w:noWrap/>
            <w:vAlign w:val="bottom"/>
            <w:hideMark/>
          </w:tcPr>
          <w:p w:rsidR="00346104" w:rsidRPr="00346104" w:rsidRDefault="00346104" w:rsidP="00346104">
            <w:pPr>
              <w:spacing w:before="0" w:after="0"/>
              <w:jc w:val="right"/>
              <w:rPr>
                <w:i/>
                <w:iCs/>
                <w:color w:val="000000"/>
                <w:szCs w:val="24"/>
              </w:rPr>
            </w:pPr>
            <w:r w:rsidRPr="00346104">
              <w:rPr>
                <w:i/>
                <w:iCs/>
                <w:color w:val="000000"/>
                <w:szCs w:val="24"/>
              </w:rPr>
              <w:t>9</w:t>
            </w:r>
          </w:p>
        </w:tc>
      </w:tr>
      <w:tr w:rsidR="00346104" w:rsidRPr="00E35530" w:rsidTr="004955B3">
        <w:trPr>
          <w:trHeight w:val="285"/>
        </w:trPr>
        <w:tc>
          <w:tcPr>
            <w:tcW w:w="3782" w:type="dxa"/>
            <w:tcBorders>
              <w:top w:val="nil"/>
              <w:left w:val="nil"/>
              <w:bottom w:val="nil"/>
              <w:right w:val="nil"/>
            </w:tcBorders>
            <w:shd w:val="clear" w:color="auto" w:fill="auto"/>
            <w:noWrap/>
            <w:vAlign w:val="bottom"/>
          </w:tcPr>
          <w:p w:rsidR="00346104" w:rsidRPr="00E35530" w:rsidRDefault="00346104" w:rsidP="00415EE4">
            <w:pPr>
              <w:spacing w:before="0" w:after="0" w:line="240" w:lineRule="auto"/>
              <w:rPr>
                <w:color w:val="000000"/>
                <w:lang w:eastAsia="en-GB"/>
              </w:rPr>
            </w:pPr>
            <w:r>
              <w:rPr>
                <w:color w:val="000000"/>
                <w:lang w:eastAsia="en-GB"/>
              </w:rPr>
              <w:t>5 or more</w:t>
            </w:r>
          </w:p>
        </w:tc>
        <w:tc>
          <w:tcPr>
            <w:tcW w:w="358" w:type="dxa"/>
            <w:tcBorders>
              <w:top w:val="nil"/>
              <w:left w:val="nil"/>
              <w:bottom w:val="nil"/>
              <w:right w:val="nil"/>
            </w:tcBorders>
            <w:shd w:val="clear" w:color="auto" w:fill="auto"/>
            <w:noWrap/>
            <w:vAlign w:val="bottom"/>
          </w:tcPr>
          <w:p w:rsidR="00346104" w:rsidRPr="00E35530" w:rsidRDefault="00346104" w:rsidP="00415EE4">
            <w:pPr>
              <w:spacing w:before="0" w:after="0" w:line="240" w:lineRule="auto"/>
              <w:rPr>
                <w:color w:val="000000"/>
                <w:lang w:eastAsia="en-GB"/>
              </w:rPr>
            </w:pPr>
          </w:p>
        </w:tc>
        <w:tc>
          <w:tcPr>
            <w:tcW w:w="2540" w:type="dxa"/>
            <w:tcBorders>
              <w:top w:val="nil"/>
              <w:left w:val="nil"/>
              <w:bottom w:val="nil"/>
              <w:right w:val="nil"/>
            </w:tcBorders>
            <w:shd w:val="clear" w:color="auto" w:fill="auto"/>
            <w:noWrap/>
            <w:vAlign w:val="bottom"/>
          </w:tcPr>
          <w:p w:rsidR="00346104" w:rsidRPr="00346104" w:rsidRDefault="00346104" w:rsidP="00346104">
            <w:pPr>
              <w:spacing w:before="0" w:after="0"/>
              <w:jc w:val="right"/>
              <w:rPr>
                <w:color w:val="000000"/>
                <w:szCs w:val="24"/>
              </w:rPr>
            </w:pPr>
            <w:r w:rsidRPr="00346104">
              <w:rPr>
                <w:color w:val="000000"/>
                <w:szCs w:val="24"/>
              </w:rPr>
              <w:t>15,137</w:t>
            </w:r>
          </w:p>
        </w:tc>
        <w:tc>
          <w:tcPr>
            <w:tcW w:w="2691" w:type="dxa"/>
            <w:tcBorders>
              <w:top w:val="nil"/>
              <w:left w:val="nil"/>
              <w:bottom w:val="nil"/>
              <w:right w:val="nil"/>
            </w:tcBorders>
            <w:shd w:val="clear" w:color="auto" w:fill="auto"/>
            <w:noWrap/>
            <w:vAlign w:val="bottom"/>
          </w:tcPr>
          <w:p w:rsidR="00346104" w:rsidRPr="00346104" w:rsidRDefault="00346104" w:rsidP="00346104">
            <w:pPr>
              <w:spacing w:before="0" w:after="0"/>
              <w:jc w:val="right"/>
              <w:rPr>
                <w:i/>
                <w:iCs/>
                <w:color w:val="000000"/>
                <w:szCs w:val="24"/>
              </w:rPr>
            </w:pPr>
            <w:r w:rsidRPr="00346104">
              <w:rPr>
                <w:i/>
                <w:iCs/>
                <w:color w:val="000000"/>
                <w:szCs w:val="24"/>
              </w:rPr>
              <w:t>18</w:t>
            </w:r>
          </w:p>
        </w:tc>
      </w:tr>
      <w:tr w:rsidR="00346104" w:rsidRPr="00E35530" w:rsidTr="004955B3">
        <w:trPr>
          <w:trHeight w:val="285"/>
        </w:trPr>
        <w:tc>
          <w:tcPr>
            <w:tcW w:w="3782" w:type="dxa"/>
            <w:tcBorders>
              <w:top w:val="nil"/>
              <w:left w:val="nil"/>
              <w:bottom w:val="nil"/>
              <w:right w:val="nil"/>
            </w:tcBorders>
            <w:shd w:val="clear" w:color="auto" w:fill="auto"/>
            <w:noWrap/>
            <w:vAlign w:val="bottom"/>
            <w:hideMark/>
          </w:tcPr>
          <w:p w:rsidR="00346104" w:rsidRPr="00E35530" w:rsidRDefault="00346104" w:rsidP="00415EE4">
            <w:pPr>
              <w:spacing w:before="0" w:after="0" w:line="240" w:lineRule="auto"/>
              <w:rPr>
                <w:color w:val="000000"/>
                <w:lang w:eastAsia="en-GB"/>
              </w:rPr>
            </w:pPr>
          </w:p>
        </w:tc>
        <w:tc>
          <w:tcPr>
            <w:tcW w:w="358" w:type="dxa"/>
            <w:tcBorders>
              <w:top w:val="nil"/>
              <w:left w:val="nil"/>
              <w:bottom w:val="nil"/>
              <w:right w:val="nil"/>
            </w:tcBorders>
            <w:shd w:val="clear" w:color="auto" w:fill="auto"/>
            <w:noWrap/>
            <w:vAlign w:val="bottom"/>
            <w:hideMark/>
          </w:tcPr>
          <w:p w:rsidR="00346104" w:rsidRPr="00E35530" w:rsidRDefault="00346104" w:rsidP="00415EE4">
            <w:pPr>
              <w:spacing w:before="0" w:after="0" w:line="240" w:lineRule="auto"/>
              <w:rPr>
                <w:color w:val="000000"/>
                <w:lang w:eastAsia="en-GB"/>
              </w:rPr>
            </w:pPr>
          </w:p>
        </w:tc>
        <w:tc>
          <w:tcPr>
            <w:tcW w:w="2540" w:type="dxa"/>
            <w:tcBorders>
              <w:top w:val="nil"/>
              <w:left w:val="nil"/>
              <w:bottom w:val="nil"/>
              <w:right w:val="nil"/>
            </w:tcBorders>
            <w:shd w:val="clear" w:color="auto" w:fill="auto"/>
            <w:noWrap/>
            <w:vAlign w:val="bottom"/>
            <w:hideMark/>
          </w:tcPr>
          <w:p w:rsidR="00346104" w:rsidRPr="00346104" w:rsidRDefault="00346104" w:rsidP="00346104">
            <w:pPr>
              <w:spacing w:before="0" w:after="0"/>
              <w:rPr>
                <w:color w:val="000000"/>
                <w:szCs w:val="24"/>
              </w:rPr>
            </w:pPr>
          </w:p>
        </w:tc>
        <w:tc>
          <w:tcPr>
            <w:tcW w:w="2691" w:type="dxa"/>
            <w:tcBorders>
              <w:top w:val="nil"/>
              <w:left w:val="nil"/>
              <w:bottom w:val="nil"/>
              <w:right w:val="nil"/>
            </w:tcBorders>
            <w:shd w:val="clear" w:color="auto" w:fill="auto"/>
            <w:noWrap/>
            <w:vAlign w:val="bottom"/>
            <w:hideMark/>
          </w:tcPr>
          <w:p w:rsidR="00346104" w:rsidRPr="00346104" w:rsidRDefault="00346104" w:rsidP="00346104">
            <w:pPr>
              <w:spacing w:before="0" w:after="0"/>
              <w:rPr>
                <w:i/>
                <w:iCs/>
                <w:color w:val="000000"/>
                <w:szCs w:val="24"/>
              </w:rPr>
            </w:pPr>
          </w:p>
        </w:tc>
      </w:tr>
      <w:tr w:rsidR="00346104" w:rsidRPr="00E35530" w:rsidTr="004955B3">
        <w:trPr>
          <w:trHeight w:val="300"/>
        </w:trPr>
        <w:tc>
          <w:tcPr>
            <w:tcW w:w="3782" w:type="dxa"/>
            <w:tcBorders>
              <w:top w:val="nil"/>
              <w:left w:val="nil"/>
              <w:bottom w:val="single" w:sz="4" w:space="0" w:color="auto"/>
              <w:right w:val="nil"/>
            </w:tcBorders>
            <w:shd w:val="clear" w:color="000000" w:fill="FFFFFF"/>
            <w:noWrap/>
            <w:vAlign w:val="bottom"/>
            <w:hideMark/>
          </w:tcPr>
          <w:p w:rsidR="00346104" w:rsidRPr="00E35530" w:rsidRDefault="00346104" w:rsidP="00415EE4">
            <w:pPr>
              <w:spacing w:before="0" w:after="0" w:line="240" w:lineRule="auto"/>
              <w:rPr>
                <w:b/>
                <w:bCs/>
                <w:color w:val="000000"/>
                <w:lang w:eastAsia="en-GB"/>
              </w:rPr>
            </w:pPr>
            <w:r w:rsidRPr="00E35530">
              <w:rPr>
                <w:b/>
                <w:bCs/>
                <w:color w:val="000000"/>
                <w:lang w:eastAsia="en-GB"/>
              </w:rPr>
              <w:t>Total</w:t>
            </w:r>
          </w:p>
        </w:tc>
        <w:tc>
          <w:tcPr>
            <w:tcW w:w="358" w:type="dxa"/>
            <w:tcBorders>
              <w:top w:val="nil"/>
              <w:left w:val="nil"/>
              <w:bottom w:val="single" w:sz="4" w:space="0" w:color="auto"/>
              <w:right w:val="nil"/>
            </w:tcBorders>
            <w:shd w:val="clear" w:color="auto" w:fill="auto"/>
            <w:noWrap/>
            <w:vAlign w:val="bottom"/>
            <w:hideMark/>
          </w:tcPr>
          <w:p w:rsidR="00346104" w:rsidRPr="00E35530" w:rsidRDefault="00346104" w:rsidP="00415EE4">
            <w:pPr>
              <w:spacing w:before="0" w:after="0" w:line="240" w:lineRule="auto"/>
              <w:rPr>
                <w:b/>
                <w:bCs/>
                <w:color w:val="000000"/>
                <w:lang w:eastAsia="en-GB"/>
              </w:rPr>
            </w:pPr>
            <w:r w:rsidRPr="00E35530">
              <w:rPr>
                <w:b/>
                <w:bCs/>
                <w:color w:val="000000"/>
                <w:lang w:eastAsia="en-GB"/>
              </w:rPr>
              <w:t> </w:t>
            </w:r>
          </w:p>
        </w:tc>
        <w:tc>
          <w:tcPr>
            <w:tcW w:w="2540" w:type="dxa"/>
            <w:tcBorders>
              <w:top w:val="nil"/>
              <w:left w:val="nil"/>
              <w:bottom w:val="single" w:sz="4" w:space="0" w:color="auto"/>
              <w:right w:val="nil"/>
            </w:tcBorders>
            <w:shd w:val="clear" w:color="auto" w:fill="auto"/>
            <w:noWrap/>
            <w:vAlign w:val="bottom"/>
            <w:hideMark/>
          </w:tcPr>
          <w:p w:rsidR="00346104" w:rsidRPr="00346104" w:rsidRDefault="00346104" w:rsidP="00346104">
            <w:pPr>
              <w:spacing w:before="0" w:after="0"/>
              <w:jc w:val="right"/>
              <w:rPr>
                <w:b/>
                <w:bCs/>
                <w:color w:val="000000"/>
                <w:szCs w:val="24"/>
              </w:rPr>
            </w:pPr>
            <w:r w:rsidRPr="00346104">
              <w:rPr>
                <w:b/>
                <w:bCs/>
                <w:color w:val="000000"/>
                <w:szCs w:val="24"/>
              </w:rPr>
              <w:t>85,178</w:t>
            </w:r>
          </w:p>
        </w:tc>
        <w:tc>
          <w:tcPr>
            <w:tcW w:w="2691" w:type="dxa"/>
            <w:tcBorders>
              <w:top w:val="nil"/>
              <w:left w:val="nil"/>
              <w:bottom w:val="single" w:sz="4" w:space="0" w:color="auto"/>
              <w:right w:val="nil"/>
            </w:tcBorders>
            <w:shd w:val="clear" w:color="auto" w:fill="auto"/>
            <w:noWrap/>
            <w:vAlign w:val="bottom"/>
            <w:hideMark/>
          </w:tcPr>
          <w:p w:rsidR="00346104" w:rsidRPr="00346104" w:rsidRDefault="00346104" w:rsidP="00346104">
            <w:pPr>
              <w:spacing w:before="0" w:after="0"/>
              <w:jc w:val="right"/>
              <w:rPr>
                <w:b/>
                <w:bCs/>
                <w:i/>
                <w:iCs/>
                <w:color w:val="000000"/>
                <w:szCs w:val="24"/>
              </w:rPr>
            </w:pPr>
            <w:r w:rsidRPr="00346104">
              <w:rPr>
                <w:b/>
                <w:bCs/>
                <w:i/>
                <w:iCs/>
                <w:color w:val="000000"/>
                <w:szCs w:val="24"/>
              </w:rPr>
              <w:t>100</w:t>
            </w:r>
          </w:p>
        </w:tc>
      </w:tr>
    </w:tbl>
    <w:p w:rsidR="00415EE4" w:rsidRDefault="00415EE4" w:rsidP="00415EE4">
      <w:pPr>
        <w:spacing w:before="0" w:after="0" w:line="270" w:lineRule="atLeast"/>
        <w:jc w:val="both"/>
        <w:rPr>
          <w:bCs/>
          <w:vertAlign w:val="superscript"/>
        </w:rPr>
      </w:pPr>
    </w:p>
    <w:p w:rsidR="00415EE4" w:rsidRDefault="00415EE4" w:rsidP="00415EE4">
      <w:pPr>
        <w:spacing w:before="0" w:after="0" w:line="270" w:lineRule="atLeast"/>
        <w:jc w:val="both"/>
        <w:rPr>
          <w:b/>
          <w:bCs/>
        </w:rPr>
      </w:pPr>
    </w:p>
    <w:p w:rsidR="00415EE4" w:rsidRDefault="00415EE4" w:rsidP="00415EE4">
      <w:pPr>
        <w:spacing w:after="0" w:line="270" w:lineRule="atLeast"/>
        <w:jc w:val="both"/>
        <w:rPr>
          <w:b/>
          <w:bCs/>
        </w:rPr>
      </w:pPr>
    </w:p>
    <w:p w:rsidR="00C50FC5" w:rsidRPr="006B0E47" w:rsidRDefault="00C50FC5" w:rsidP="00C50FC5">
      <w:pPr>
        <w:spacing w:before="0" w:after="0" w:line="270" w:lineRule="atLeast"/>
        <w:jc w:val="both"/>
        <w:rPr>
          <w:b/>
          <w:bCs/>
        </w:rPr>
      </w:pPr>
      <w:r w:rsidRPr="006B0E47">
        <w:rPr>
          <w:b/>
          <w:bCs/>
        </w:rPr>
        <w:t>Table 1</w:t>
      </w:r>
      <w:r w:rsidR="00556BEC">
        <w:rPr>
          <w:b/>
          <w:bCs/>
        </w:rPr>
        <w:t>.6</w:t>
      </w:r>
      <w:r w:rsidRPr="006B0E47">
        <w:rPr>
          <w:b/>
          <w:bCs/>
        </w:rPr>
        <w:t>: Number of Green Deal Assessments lodged by region, up to 30</w:t>
      </w:r>
      <w:r w:rsidRPr="007F67A0">
        <w:rPr>
          <w:b/>
          <w:bCs/>
          <w:vertAlign w:val="superscript"/>
        </w:rPr>
        <w:t>th</w:t>
      </w:r>
      <w:r>
        <w:rPr>
          <w:b/>
          <w:bCs/>
        </w:rPr>
        <w:t xml:space="preserve"> September</w:t>
      </w:r>
      <w:r w:rsidRPr="006B0E47">
        <w:rPr>
          <w:b/>
          <w:bCs/>
        </w:rPr>
        <w:t xml:space="preserve"> 2013</w:t>
      </w:r>
    </w:p>
    <w:p w:rsidR="00C50FC5" w:rsidRDefault="00C50FC5" w:rsidP="00C50FC5">
      <w:pPr>
        <w:spacing w:before="0" w:after="0" w:line="270" w:lineRule="atLeast"/>
        <w:rPr>
          <w:b/>
          <w:bCs/>
        </w:rPr>
      </w:pPr>
    </w:p>
    <w:tbl>
      <w:tblPr>
        <w:tblW w:w="10363" w:type="dxa"/>
        <w:tblInd w:w="93" w:type="dxa"/>
        <w:tblLayout w:type="fixed"/>
        <w:tblLook w:val="04A0" w:firstRow="1" w:lastRow="0" w:firstColumn="1" w:lastColumn="0" w:noHBand="0" w:noVBand="1"/>
      </w:tblPr>
      <w:tblGrid>
        <w:gridCol w:w="1433"/>
        <w:gridCol w:w="775"/>
        <w:gridCol w:w="773"/>
        <w:gridCol w:w="1287"/>
        <w:gridCol w:w="1559"/>
        <w:gridCol w:w="1559"/>
        <w:gridCol w:w="1418"/>
        <w:gridCol w:w="1559"/>
      </w:tblGrid>
      <w:tr w:rsidR="00C50FC5" w:rsidRPr="00E80130" w:rsidTr="00291E07">
        <w:trPr>
          <w:trHeight w:val="1050"/>
        </w:trPr>
        <w:tc>
          <w:tcPr>
            <w:tcW w:w="1433" w:type="dxa"/>
            <w:tcBorders>
              <w:top w:val="nil"/>
              <w:left w:val="nil"/>
              <w:bottom w:val="single" w:sz="4" w:space="0" w:color="auto"/>
              <w:right w:val="nil"/>
            </w:tcBorders>
            <w:shd w:val="clear" w:color="000000" w:fill="FFFFFF"/>
            <w:vAlign w:val="bottom"/>
            <w:hideMark/>
          </w:tcPr>
          <w:p w:rsidR="00C50FC5" w:rsidRPr="00E80130" w:rsidRDefault="00C50FC5" w:rsidP="00291E07">
            <w:pPr>
              <w:spacing w:before="0" w:after="0" w:line="240" w:lineRule="auto"/>
              <w:rPr>
                <w:sz w:val="22"/>
                <w:szCs w:val="22"/>
                <w:lang w:eastAsia="en-GB"/>
              </w:rPr>
            </w:pPr>
            <w:r w:rsidRPr="00E80130">
              <w:rPr>
                <w:sz w:val="22"/>
                <w:szCs w:val="22"/>
                <w:lang w:eastAsia="en-GB"/>
              </w:rPr>
              <w:t>Area Codes</w:t>
            </w:r>
          </w:p>
        </w:tc>
        <w:tc>
          <w:tcPr>
            <w:tcW w:w="2835" w:type="dxa"/>
            <w:gridSpan w:val="3"/>
            <w:tcBorders>
              <w:top w:val="nil"/>
              <w:left w:val="nil"/>
              <w:bottom w:val="single" w:sz="4" w:space="0" w:color="auto"/>
              <w:right w:val="nil"/>
            </w:tcBorders>
            <w:shd w:val="clear" w:color="000000" w:fill="FFFFFF"/>
            <w:noWrap/>
            <w:vAlign w:val="bottom"/>
            <w:hideMark/>
          </w:tcPr>
          <w:p w:rsidR="00C50FC5" w:rsidRPr="00E80130" w:rsidRDefault="00C50FC5" w:rsidP="00291E07">
            <w:pPr>
              <w:spacing w:before="0" w:after="0" w:line="240" w:lineRule="auto"/>
              <w:rPr>
                <w:sz w:val="22"/>
                <w:szCs w:val="22"/>
                <w:lang w:eastAsia="en-GB"/>
              </w:rPr>
            </w:pPr>
            <w:r w:rsidRPr="00E80130">
              <w:rPr>
                <w:sz w:val="22"/>
                <w:szCs w:val="22"/>
                <w:lang w:eastAsia="en-GB"/>
              </w:rPr>
              <w:t>Area names</w:t>
            </w:r>
          </w:p>
        </w:tc>
        <w:tc>
          <w:tcPr>
            <w:tcW w:w="1559" w:type="dxa"/>
            <w:tcBorders>
              <w:top w:val="nil"/>
              <w:left w:val="nil"/>
              <w:bottom w:val="single" w:sz="4" w:space="0" w:color="auto"/>
              <w:right w:val="nil"/>
            </w:tcBorders>
            <w:shd w:val="clear" w:color="000000" w:fill="FFFFFF"/>
            <w:vAlign w:val="bottom"/>
            <w:hideMark/>
          </w:tcPr>
          <w:p w:rsidR="00C50FC5" w:rsidRPr="00E80130" w:rsidRDefault="00C50FC5" w:rsidP="00291E07">
            <w:pPr>
              <w:spacing w:before="0" w:after="0" w:line="240" w:lineRule="auto"/>
              <w:jc w:val="right"/>
              <w:rPr>
                <w:sz w:val="22"/>
                <w:szCs w:val="22"/>
                <w:lang w:eastAsia="en-GB"/>
              </w:rPr>
            </w:pPr>
            <w:r w:rsidRPr="00E80130">
              <w:rPr>
                <w:sz w:val="22"/>
                <w:szCs w:val="22"/>
                <w:lang w:eastAsia="en-GB"/>
              </w:rPr>
              <w:t>Green Deal Assessments</w:t>
            </w:r>
          </w:p>
        </w:tc>
        <w:tc>
          <w:tcPr>
            <w:tcW w:w="1559" w:type="dxa"/>
            <w:tcBorders>
              <w:top w:val="nil"/>
              <w:left w:val="nil"/>
              <w:bottom w:val="single" w:sz="4" w:space="0" w:color="auto"/>
              <w:right w:val="nil"/>
            </w:tcBorders>
            <w:shd w:val="clear" w:color="auto" w:fill="auto"/>
            <w:vAlign w:val="bottom"/>
            <w:hideMark/>
          </w:tcPr>
          <w:p w:rsidR="00C50FC5" w:rsidRPr="00E80130" w:rsidRDefault="00C50FC5" w:rsidP="00291E07">
            <w:pPr>
              <w:spacing w:before="0" w:after="0" w:line="240" w:lineRule="auto"/>
              <w:jc w:val="right"/>
              <w:rPr>
                <w:color w:val="000000"/>
                <w:sz w:val="22"/>
                <w:szCs w:val="22"/>
                <w:lang w:eastAsia="en-GB"/>
              </w:rPr>
            </w:pPr>
            <w:r w:rsidRPr="00E80130">
              <w:rPr>
                <w:color w:val="000000"/>
                <w:sz w:val="22"/>
                <w:szCs w:val="22"/>
                <w:lang w:eastAsia="en-GB"/>
              </w:rPr>
              <w:t>Percentage of Assessments</w:t>
            </w:r>
          </w:p>
        </w:tc>
        <w:tc>
          <w:tcPr>
            <w:tcW w:w="1418" w:type="dxa"/>
            <w:tcBorders>
              <w:top w:val="nil"/>
              <w:left w:val="nil"/>
              <w:bottom w:val="single" w:sz="4" w:space="0" w:color="auto"/>
              <w:right w:val="nil"/>
            </w:tcBorders>
            <w:shd w:val="clear" w:color="000000" w:fill="FFFFFF"/>
            <w:vAlign w:val="bottom"/>
            <w:hideMark/>
          </w:tcPr>
          <w:p w:rsidR="00C50FC5" w:rsidRPr="00E80130" w:rsidRDefault="00C50FC5" w:rsidP="00291E07">
            <w:pPr>
              <w:spacing w:before="0" w:after="0" w:line="240" w:lineRule="auto"/>
              <w:jc w:val="right"/>
              <w:rPr>
                <w:sz w:val="22"/>
                <w:szCs w:val="22"/>
                <w:lang w:eastAsia="en-GB"/>
              </w:rPr>
            </w:pPr>
            <w:r w:rsidRPr="00E80130">
              <w:rPr>
                <w:sz w:val="22"/>
                <w:szCs w:val="22"/>
                <w:lang w:eastAsia="en-GB"/>
              </w:rPr>
              <w:t>Households with at least one usual resident</w:t>
            </w:r>
            <w:r w:rsidRPr="00E80130">
              <w:rPr>
                <w:sz w:val="22"/>
                <w:szCs w:val="22"/>
                <w:vertAlign w:val="superscript"/>
                <w:lang w:eastAsia="en-GB"/>
              </w:rPr>
              <w:t>1</w:t>
            </w:r>
          </w:p>
        </w:tc>
        <w:tc>
          <w:tcPr>
            <w:tcW w:w="1559" w:type="dxa"/>
            <w:tcBorders>
              <w:top w:val="nil"/>
              <w:left w:val="nil"/>
              <w:bottom w:val="single" w:sz="4" w:space="0" w:color="auto"/>
              <w:right w:val="nil"/>
            </w:tcBorders>
            <w:shd w:val="clear" w:color="000000" w:fill="FFFFFF"/>
            <w:vAlign w:val="bottom"/>
            <w:hideMark/>
          </w:tcPr>
          <w:p w:rsidR="00C50FC5" w:rsidRPr="00E80130" w:rsidRDefault="00C50FC5" w:rsidP="00291E07">
            <w:pPr>
              <w:spacing w:before="0" w:after="0" w:line="240" w:lineRule="auto"/>
              <w:jc w:val="right"/>
              <w:rPr>
                <w:sz w:val="22"/>
                <w:szCs w:val="22"/>
                <w:lang w:eastAsia="en-GB"/>
              </w:rPr>
            </w:pPr>
            <w:r w:rsidRPr="00E80130">
              <w:rPr>
                <w:sz w:val="22"/>
                <w:szCs w:val="22"/>
                <w:lang w:eastAsia="en-GB"/>
              </w:rPr>
              <w:t>Green Deal Assessments per 1,000 households</w:t>
            </w:r>
          </w:p>
        </w:tc>
      </w:tr>
      <w:tr w:rsidR="00C50FC5" w:rsidRPr="00E80130" w:rsidTr="00291E07">
        <w:trPr>
          <w:trHeight w:val="255"/>
        </w:trPr>
        <w:tc>
          <w:tcPr>
            <w:tcW w:w="1433"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rPr>
                <w:sz w:val="22"/>
                <w:szCs w:val="22"/>
                <w:lang w:eastAsia="en-GB"/>
              </w:rPr>
            </w:pPr>
            <w:r w:rsidRPr="00E80130">
              <w:rPr>
                <w:sz w:val="22"/>
                <w:szCs w:val="22"/>
                <w:lang w:eastAsia="en-GB"/>
              </w:rPr>
              <w:t> </w:t>
            </w:r>
          </w:p>
        </w:tc>
        <w:tc>
          <w:tcPr>
            <w:tcW w:w="775"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rPr>
                <w:b/>
                <w:bCs/>
                <w:sz w:val="22"/>
                <w:szCs w:val="22"/>
                <w:lang w:eastAsia="en-GB"/>
              </w:rPr>
            </w:pPr>
            <w:r w:rsidRPr="00E80130">
              <w:rPr>
                <w:b/>
                <w:bCs/>
                <w:sz w:val="22"/>
                <w:szCs w:val="22"/>
                <w:lang w:eastAsia="en-GB"/>
              </w:rPr>
              <w:t> </w:t>
            </w:r>
          </w:p>
        </w:tc>
        <w:tc>
          <w:tcPr>
            <w:tcW w:w="773"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rPr>
                <w:sz w:val="22"/>
                <w:szCs w:val="22"/>
                <w:lang w:eastAsia="en-GB"/>
              </w:rPr>
            </w:pPr>
            <w:r w:rsidRPr="00E80130">
              <w:rPr>
                <w:sz w:val="22"/>
                <w:szCs w:val="22"/>
                <w:lang w:eastAsia="en-GB"/>
              </w:rPr>
              <w:t> </w:t>
            </w:r>
          </w:p>
        </w:tc>
        <w:tc>
          <w:tcPr>
            <w:tcW w:w="1287"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rPr>
                <w:sz w:val="22"/>
                <w:szCs w:val="22"/>
                <w:lang w:eastAsia="en-GB"/>
              </w:rPr>
            </w:pPr>
            <w:r w:rsidRPr="00E80130">
              <w:rPr>
                <w:sz w:val="22"/>
                <w:szCs w:val="22"/>
                <w:lang w:eastAsia="en-GB"/>
              </w:rPr>
              <w:t> </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rPr>
                <w:sz w:val="22"/>
                <w:szCs w:val="22"/>
                <w:lang w:eastAsia="en-GB"/>
              </w:rPr>
            </w:pPr>
            <w:r w:rsidRPr="00E80130">
              <w:rPr>
                <w:sz w:val="22"/>
                <w:szCs w:val="22"/>
                <w:lang w:eastAsia="en-GB"/>
              </w:rPr>
              <w:t> </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rPr>
                <w:sz w:val="22"/>
                <w:szCs w:val="22"/>
                <w:lang w:eastAsia="en-GB"/>
              </w:rPr>
            </w:pPr>
            <w:r w:rsidRPr="00E80130">
              <w:rPr>
                <w:sz w:val="22"/>
                <w:szCs w:val="22"/>
                <w:lang w:eastAsia="en-GB"/>
              </w:rPr>
              <w:t> </w:t>
            </w:r>
          </w:p>
        </w:tc>
        <w:tc>
          <w:tcPr>
            <w:tcW w:w="1418"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rPr>
                <w:sz w:val="22"/>
                <w:szCs w:val="22"/>
                <w:lang w:eastAsia="en-GB"/>
              </w:rPr>
            </w:pPr>
            <w:r w:rsidRPr="00E80130">
              <w:rPr>
                <w:sz w:val="22"/>
                <w:szCs w:val="22"/>
                <w:lang w:eastAsia="en-GB"/>
              </w:rPr>
              <w:t> </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rPr>
                <w:sz w:val="22"/>
                <w:szCs w:val="22"/>
                <w:lang w:eastAsia="en-GB"/>
              </w:rPr>
            </w:pPr>
            <w:r w:rsidRPr="00E80130">
              <w:rPr>
                <w:sz w:val="22"/>
                <w:szCs w:val="22"/>
                <w:lang w:eastAsia="en-GB"/>
              </w:rPr>
              <w:t> </w:t>
            </w:r>
          </w:p>
        </w:tc>
      </w:tr>
      <w:tr w:rsidR="00C50FC5" w:rsidRPr="00E80130" w:rsidTr="00291E07">
        <w:trPr>
          <w:trHeight w:val="255"/>
        </w:trPr>
        <w:tc>
          <w:tcPr>
            <w:tcW w:w="1433"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rPr>
                <w:b/>
                <w:bCs/>
                <w:sz w:val="22"/>
                <w:szCs w:val="22"/>
                <w:lang w:eastAsia="en-GB"/>
              </w:rPr>
            </w:pPr>
            <w:r w:rsidRPr="00E80130">
              <w:rPr>
                <w:b/>
                <w:bCs/>
                <w:sz w:val="22"/>
                <w:szCs w:val="22"/>
                <w:lang w:eastAsia="en-GB"/>
              </w:rPr>
              <w:t>K03000001</w:t>
            </w:r>
          </w:p>
        </w:tc>
        <w:tc>
          <w:tcPr>
            <w:tcW w:w="2835" w:type="dxa"/>
            <w:gridSpan w:val="3"/>
            <w:tcBorders>
              <w:top w:val="nil"/>
              <w:left w:val="nil"/>
              <w:bottom w:val="nil"/>
              <w:right w:val="nil"/>
            </w:tcBorders>
            <w:shd w:val="clear" w:color="000000" w:fill="FFFFFF"/>
            <w:noWrap/>
            <w:vAlign w:val="center"/>
            <w:hideMark/>
          </w:tcPr>
          <w:p w:rsidR="00C50FC5" w:rsidRPr="00E80130" w:rsidRDefault="00C50FC5" w:rsidP="00291E07">
            <w:pPr>
              <w:spacing w:before="0" w:after="0" w:line="240" w:lineRule="auto"/>
              <w:rPr>
                <w:b/>
                <w:bCs/>
                <w:color w:val="000000"/>
                <w:sz w:val="22"/>
                <w:szCs w:val="22"/>
                <w:lang w:eastAsia="en-GB"/>
              </w:rPr>
            </w:pPr>
            <w:r w:rsidRPr="00E80130">
              <w:rPr>
                <w:b/>
                <w:bCs/>
                <w:color w:val="000000"/>
                <w:sz w:val="22"/>
                <w:szCs w:val="22"/>
                <w:lang w:eastAsia="en-GB"/>
              </w:rPr>
              <w:t>Great Britain</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b/>
                <w:bCs/>
                <w:sz w:val="22"/>
                <w:szCs w:val="22"/>
                <w:lang w:eastAsia="en-GB"/>
              </w:rPr>
            </w:pPr>
            <w:r>
              <w:rPr>
                <w:b/>
                <w:bCs/>
                <w:sz w:val="22"/>
                <w:szCs w:val="22"/>
                <w:lang w:eastAsia="en-GB"/>
              </w:rPr>
              <w:t>85,178</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b/>
                <w:bCs/>
                <w:i/>
                <w:iCs/>
                <w:sz w:val="22"/>
                <w:szCs w:val="22"/>
                <w:lang w:eastAsia="en-GB"/>
              </w:rPr>
            </w:pPr>
            <w:r w:rsidRPr="00E80130">
              <w:rPr>
                <w:b/>
                <w:bCs/>
                <w:i/>
                <w:iCs/>
                <w:sz w:val="22"/>
                <w:szCs w:val="22"/>
                <w:lang w:eastAsia="en-GB"/>
              </w:rPr>
              <w:t>100</w:t>
            </w:r>
          </w:p>
        </w:tc>
        <w:tc>
          <w:tcPr>
            <w:tcW w:w="1418"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b/>
                <w:bCs/>
                <w:sz w:val="22"/>
                <w:szCs w:val="22"/>
                <w:lang w:eastAsia="en-GB"/>
              </w:rPr>
            </w:pPr>
            <w:r w:rsidRPr="00E80130">
              <w:rPr>
                <w:b/>
                <w:bCs/>
                <w:sz w:val="22"/>
                <w:szCs w:val="22"/>
                <w:lang w:eastAsia="en-GB"/>
              </w:rPr>
              <w:t>25,738,820</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b/>
                <w:bCs/>
                <w:sz w:val="22"/>
                <w:szCs w:val="22"/>
                <w:lang w:eastAsia="en-GB"/>
              </w:rPr>
            </w:pPr>
            <w:r w:rsidRPr="00E80130">
              <w:rPr>
                <w:b/>
                <w:bCs/>
                <w:sz w:val="22"/>
                <w:szCs w:val="22"/>
                <w:lang w:eastAsia="en-GB"/>
              </w:rPr>
              <w:t>3.3</w:t>
            </w:r>
          </w:p>
        </w:tc>
      </w:tr>
      <w:tr w:rsidR="00C50FC5" w:rsidRPr="00E80130" w:rsidTr="00291E07">
        <w:trPr>
          <w:trHeight w:val="255"/>
        </w:trPr>
        <w:tc>
          <w:tcPr>
            <w:tcW w:w="1433"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rPr>
                <w:sz w:val="22"/>
                <w:szCs w:val="22"/>
                <w:lang w:eastAsia="en-GB"/>
              </w:rPr>
            </w:pPr>
            <w:r w:rsidRPr="00E80130">
              <w:rPr>
                <w:sz w:val="22"/>
                <w:szCs w:val="22"/>
                <w:lang w:eastAsia="en-GB"/>
              </w:rPr>
              <w:t> </w:t>
            </w:r>
          </w:p>
        </w:tc>
        <w:tc>
          <w:tcPr>
            <w:tcW w:w="775" w:type="dxa"/>
            <w:tcBorders>
              <w:top w:val="nil"/>
              <w:left w:val="nil"/>
              <w:bottom w:val="nil"/>
              <w:right w:val="nil"/>
            </w:tcBorders>
            <w:shd w:val="clear" w:color="000000" w:fill="FFFFFF"/>
            <w:noWrap/>
            <w:vAlign w:val="center"/>
            <w:hideMark/>
          </w:tcPr>
          <w:p w:rsidR="00C50FC5" w:rsidRPr="00E80130" w:rsidRDefault="00C50FC5" w:rsidP="00291E07">
            <w:pPr>
              <w:spacing w:before="0" w:after="0" w:line="240" w:lineRule="auto"/>
              <w:rPr>
                <w:color w:val="000000"/>
                <w:sz w:val="22"/>
                <w:szCs w:val="22"/>
                <w:lang w:eastAsia="en-GB"/>
              </w:rPr>
            </w:pPr>
            <w:r w:rsidRPr="00E80130">
              <w:rPr>
                <w:color w:val="000000"/>
                <w:sz w:val="22"/>
                <w:szCs w:val="22"/>
                <w:lang w:eastAsia="en-GB"/>
              </w:rPr>
              <w:t> </w:t>
            </w:r>
          </w:p>
        </w:tc>
        <w:tc>
          <w:tcPr>
            <w:tcW w:w="773" w:type="dxa"/>
            <w:tcBorders>
              <w:top w:val="nil"/>
              <w:left w:val="nil"/>
              <w:bottom w:val="nil"/>
              <w:right w:val="nil"/>
            </w:tcBorders>
            <w:shd w:val="clear" w:color="000000" w:fill="FFFFFF"/>
            <w:noWrap/>
            <w:vAlign w:val="center"/>
            <w:hideMark/>
          </w:tcPr>
          <w:p w:rsidR="00C50FC5" w:rsidRPr="00E80130" w:rsidRDefault="00C50FC5" w:rsidP="00291E07">
            <w:pPr>
              <w:spacing w:before="0" w:after="0" w:line="240" w:lineRule="auto"/>
              <w:rPr>
                <w:color w:val="000000"/>
                <w:sz w:val="22"/>
                <w:szCs w:val="22"/>
                <w:lang w:eastAsia="en-GB"/>
              </w:rPr>
            </w:pPr>
            <w:r w:rsidRPr="00E80130">
              <w:rPr>
                <w:color w:val="000000"/>
                <w:sz w:val="22"/>
                <w:szCs w:val="22"/>
                <w:lang w:eastAsia="en-GB"/>
              </w:rPr>
              <w:t> </w:t>
            </w:r>
          </w:p>
        </w:tc>
        <w:tc>
          <w:tcPr>
            <w:tcW w:w="1287" w:type="dxa"/>
            <w:tcBorders>
              <w:top w:val="nil"/>
              <w:left w:val="nil"/>
              <w:bottom w:val="nil"/>
              <w:right w:val="nil"/>
            </w:tcBorders>
            <w:shd w:val="clear" w:color="000000" w:fill="FFFFFF"/>
            <w:noWrap/>
            <w:vAlign w:val="center"/>
            <w:hideMark/>
          </w:tcPr>
          <w:p w:rsidR="00C50FC5" w:rsidRPr="00E80130" w:rsidRDefault="00C50FC5" w:rsidP="00291E07">
            <w:pPr>
              <w:spacing w:before="0" w:after="0" w:line="240" w:lineRule="auto"/>
              <w:rPr>
                <w:color w:val="000000"/>
                <w:sz w:val="22"/>
                <w:szCs w:val="22"/>
                <w:lang w:eastAsia="en-GB"/>
              </w:rPr>
            </w:pPr>
            <w:r w:rsidRPr="00E80130">
              <w:rPr>
                <w:color w:val="000000"/>
                <w:sz w:val="22"/>
                <w:szCs w:val="22"/>
                <w:lang w:eastAsia="en-GB"/>
              </w:rPr>
              <w:t> </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rPr>
                <w:b/>
                <w:bCs/>
                <w:sz w:val="22"/>
                <w:szCs w:val="22"/>
                <w:lang w:eastAsia="en-GB"/>
              </w:rPr>
            </w:pPr>
            <w:r w:rsidRPr="00E80130">
              <w:rPr>
                <w:b/>
                <w:bCs/>
                <w:sz w:val="22"/>
                <w:szCs w:val="22"/>
                <w:lang w:eastAsia="en-GB"/>
              </w:rPr>
              <w:t> </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rPr>
                <w:b/>
                <w:bCs/>
                <w:i/>
                <w:iCs/>
                <w:sz w:val="22"/>
                <w:szCs w:val="22"/>
                <w:lang w:eastAsia="en-GB"/>
              </w:rPr>
            </w:pPr>
            <w:r w:rsidRPr="00E80130">
              <w:rPr>
                <w:b/>
                <w:bCs/>
                <w:i/>
                <w:iCs/>
                <w:sz w:val="22"/>
                <w:szCs w:val="22"/>
                <w:lang w:eastAsia="en-GB"/>
              </w:rPr>
              <w:t> </w:t>
            </w:r>
          </w:p>
        </w:tc>
        <w:tc>
          <w:tcPr>
            <w:tcW w:w="1418"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rPr>
                <w:sz w:val="22"/>
                <w:szCs w:val="22"/>
                <w:lang w:eastAsia="en-GB"/>
              </w:rPr>
            </w:pPr>
            <w:r w:rsidRPr="00E80130">
              <w:rPr>
                <w:sz w:val="22"/>
                <w:szCs w:val="22"/>
                <w:lang w:eastAsia="en-GB"/>
              </w:rPr>
              <w:t> </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rPr>
                <w:sz w:val="22"/>
                <w:szCs w:val="22"/>
                <w:lang w:eastAsia="en-GB"/>
              </w:rPr>
            </w:pPr>
            <w:r w:rsidRPr="00E80130">
              <w:rPr>
                <w:sz w:val="22"/>
                <w:szCs w:val="22"/>
                <w:lang w:eastAsia="en-GB"/>
              </w:rPr>
              <w:t> </w:t>
            </w:r>
          </w:p>
        </w:tc>
      </w:tr>
      <w:tr w:rsidR="00C50FC5" w:rsidRPr="00E80130" w:rsidTr="00291E07">
        <w:trPr>
          <w:trHeight w:val="255"/>
        </w:trPr>
        <w:tc>
          <w:tcPr>
            <w:tcW w:w="1433"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rPr>
                <w:b/>
                <w:bCs/>
                <w:sz w:val="22"/>
                <w:szCs w:val="22"/>
                <w:lang w:eastAsia="en-GB"/>
              </w:rPr>
            </w:pPr>
            <w:r w:rsidRPr="00E80130">
              <w:rPr>
                <w:b/>
                <w:bCs/>
                <w:sz w:val="22"/>
                <w:szCs w:val="22"/>
                <w:lang w:eastAsia="en-GB"/>
              </w:rPr>
              <w:t>E92000001</w:t>
            </w:r>
          </w:p>
        </w:tc>
        <w:tc>
          <w:tcPr>
            <w:tcW w:w="2835" w:type="dxa"/>
            <w:gridSpan w:val="3"/>
            <w:tcBorders>
              <w:top w:val="nil"/>
              <w:left w:val="nil"/>
              <w:bottom w:val="nil"/>
              <w:right w:val="nil"/>
            </w:tcBorders>
            <w:shd w:val="clear" w:color="000000" w:fill="FFFFFF"/>
            <w:noWrap/>
            <w:vAlign w:val="center"/>
            <w:hideMark/>
          </w:tcPr>
          <w:p w:rsidR="00C50FC5" w:rsidRPr="00E80130" w:rsidRDefault="00C50FC5" w:rsidP="00291E07">
            <w:pPr>
              <w:spacing w:before="0" w:after="0" w:line="240" w:lineRule="auto"/>
              <w:rPr>
                <w:b/>
                <w:bCs/>
                <w:color w:val="000000"/>
                <w:sz w:val="22"/>
                <w:szCs w:val="22"/>
                <w:lang w:eastAsia="en-GB"/>
              </w:rPr>
            </w:pPr>
            <w:r w:rsidRPr="00E80130">
              <w:rPr>
                <w:b/>
                <w:bCs/>
                <w:color w:val="000000"/>
                <w:sz w:val="22"/>
                <w:szCs w:val="22"/>
                <w:lang w:eastAsia="en-GB"/>
              </w:rPr>
              <w:t>England</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b/>
                <w:bCs/>
                <w:sz w:val="22"/>
                <w:szCs w:val="22"/>
                <w:lang w:eastAsia="en-GB"/>
              </w:rPr>
            </w:pPr>
            <w:r w:rsidRPr="00E80130">
              <w:rPr>
                <w:b/>
                <w:bCs/>
                <w:sz w:val="22"/>
                <w:szCs w:val="22"/>
                <w:lang w:eastAsia="en-GB"/>
              </w:rPr>
              <w:t>75,873</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b/>
                <w:bCs/>
                <w:i/>
                <w:iCs/>
                <w:sz w:val="22"/>
                <w:szCs w:val="22"/>
                <w:lang w:eastAsia="en-GB"/>
              </w:rPr>
            </w:pPr>
            <w:r w:rsidRPr="00E80130">
              <w:rPr>
                <w:b/>
                <w:bCs/>
                <w:i/>
                <w:iCs/>
                <w:sz w:val="22"/>
                <w:szCs w:val="22"/>
                <w:lang w:eastAsia="en-GB"/>
              </w:rPr>
              <w:t>89</w:t>
            </w:r>
          </w:p>
        </w:tc>
        <w:tc>
          <w:tcPr>
            <w:tcW w:w="1418"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b/>
                <w:bCs/>
                <w:sz w:val="22"/>
                <w:szCs w:val="22"/>
                <w:lang w:eastAsia="en-GB"/>
              </w:rPr>
            </w:pPr>
            <w:r w:rsidRPr="00E80130">
              <w:rPr>
                <w:b/>
                <w:bCs/>
                <w:sz w:val="22"/>
                <w:szCs w:val="22"/>
                <w:lang w:eastAsia="en-GB"/>
              </w:rPr>
              <w:t>22,063,368</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b/>
                <w:bCs/>
                <w:sz w:val="22"/>
                <w:szCs w:val="22"/>
                <w:lang w:eastAsia="en-GB"/>
              </w:rPr>
            </w:pPr>
            <w:r w:rsidRPr="00E80130">
              <w:rPr>
                <w:b/>
                <w:bCs/>
                <w:sz w:val="22"/>
                <w:szCs w:val="22"/>
                <w:lang w:eastAsia="en-GB"/>
              </w:rPr>
              <w:t>3.4</w:t>
            </w:r>
          </w:p>
        </w:tc>
      </w:tr>
      <w:tr w:rsidR="00C50FC5" w:rsidRPr="00E80130" w:rsidTr="00291E07">
        <w:trPr>
          <w:trHeight w:val="255"/>
        </w:trPr>
        <w:tc>
          <w:tcPr>
            <w:tcW w:w="1433"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rPr>
                <w:sz w:val="22"/>
                <w:szCs w:val="22"/>
                <w:lang w:eastAsia="en-GB"/>
              </w:rPr>
            </w:pPr>
            <w:r w:rsidRPr="00E80130">
              <w:rPr>
                <w:sz w:val="22"/>
                <w:szCs w:val="22"/>
                <w:lang w:eastAsia="en-GB"/>
              </w:rPr>
              <w:t> </w:t>
            </w:r>
          </w:p>
        </w:tc>
        <w:tc>
          <w:tcPr>
            <w:tcW w:w="775" w:type="dxa"/>
            <w:tcBorders>
              <w:top w:val="nil"/>
              <w:left w:val="nil"/>
              <w:bottom w:val="nil"/>
              <w:right w:val="nil"/>
            </w:tcBorders>
            <w:shd w:val="clear" w:color="000000" w:fill="FFFFFF"/>
            <w:noWrap/>
            <w:vAlign w:val="center"/>
            <w:hideMark/>
          </w:tcPr>
          <w:p w:rsidR="00C50FC5" w:rsidRPr="00E80130" w:rsidRDefault="00C50FC5" w:rsidP="00291E07">
            <w:pPr>
              <w:spacing w:before="0" w:after="0" w:line="240" w:lineRule="auto"/>
              <w:rPr>
                <w:color w:val="000000"/>
                <w:sz w:val="22"/>
                <w:szCs w:val="22"/>
                <w:lang w:eastAsia="en-GB"/>
              </w:rPr>
            </w:pPr>
            <w:r w:rsidRPr="00E80130">
              <w:rPr>
                <w:color w:val="000000"/>
                <w:sz w:val="22"/>
                <w:szCs w:val="22"/>
                <w:lang w:eastAsia="en-GB"/>
              </w:rPr>
              <w:t> </w:t>
            </w:r>
          </w:p>
        </w:tc>
        <w:tc>
          <w:tcPr>
            <w:tcW w:w="773" w:type="dxa"/>
            <w:tcBorders>
              <w:top w:val="nil"/>
              <w:left w:val="nil"/>
              <w:bottom w:val="nil"/>
              <w:right w:val="nil"/>
            </w:tcBorders>
            <w:shd w:val="clear" w:color="000000" w:fill="FFFFFF"/>
            <w:noWrap/>
            <w:vAlign w:val="center"/>
            <w:hideMark/>
          </w:tcPr>
          <w:p w:rsidR="00C50FC5" w:rsidRPr="00E80130" w:rsidRDefault="00C50FC5" w:rsidP="00291E07">
            <w:pPr>
              <w:spacing w:before="0" w:after="0" w:line="240" w:lineRule="auto"/>
              <w:rPr>
                <w:color w:val="000000"/>
                <w:sz w:val="22"/>
                <w:szCs w:val="22"/>
                <w:lang w:eastAsia="en-GB"/>
              </w:rPr>
            </w:pPr>
            <w:r w:rsidRPr="00E80130">
              <w:rPr>
                <w:color w:val="000000"/>
                <w:sz w:val="22"/>
                <w:szCs w:val="22"/>
                <w:lang w:eastAsia="en-GB"/>
              </w:rPr>
              <w:t> </w:t>
            </w:r>
          </w:p>
        </w:tc>
        <w:tc>
          <w:tcPr>
            <w:tcW w:w="1287" w:type="dxa"/>
            <w:tcBorders>
              <w:top w:val="nil"/>
              <w:left w:val="nil"/>
              <w:bottom w:val="nil"/>
              <w:right w:val="nil"/>
            </w:tcBorders>
            <w:shd w:val="clear" w:color="000000" w:fill="FFFFFF"/>
            <w:noWrap/>
            <w:vAlign w:val="center"/>
            <w:hideMark/>
          </w:tcPr>
          <w:p w:rsidR="00C50FC5" w:rsidRPr="00E80130" w:rsidRDefault="00C50FC5" w:rsidP="00291E07">
            <w:pPr>
              <w:spacing w:before="0" w:after="0" w:line="240" w:lineRule="auto"/>
              <w:rPr>
                <w:color w:val="000000"/>
                <w:sz w:val="22"/>
                <w:szCs w:val="22"/>
                <w:lang w:eastAsia="en-GB"/>
              </w:rPr>
            </w:pPr>
            <w:r w:rsidRPr="00E80130">
              <w:rPr>
                <w:color w:val="000000"/>
                <w:sz w:val="22"/>
                <w:szCs w:val="22"/>
                <w:lang w:eastAsia="en-GB"/>
              </w:rPr>
              <w:t> </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rPr>
                <w:b/>
                <w:bCs/>
                <w:sz w:val="22"/>
                <w:szCs w:val="22"/>
                <w:lang w:eastAsia="en-GB"/>
              </w:rPr>
            </w:pPr>
            <w:r w:rsidRPr="00E80130">
              <w:rPr>
                <w:b/>
                <w:bCs/>
                <w:sz w:val="22"/>
                <w:szCs w:val="22"/>
                <w:lang w:eastAsia="en-GB"/>
              </w:rPr>
              <w:t> </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rPr>
                <w:b/>
                <w:bCs/>
                <w:i/>
                <w:iCs/>
                <w:sz w:val="22"/>
                <w:szCs w:val="22"/>
                <w:lang w:eastAsia="en-GB"/>
              </w:rPr>
            </w:pPr>
            <w:r w:rsidRPr="00E80130">
              <w:rPr>
                <w:b/>
                <w:bCs/>
                <w:i/>
                <w:iCs/>
                <w:sz w:val="22"/>
                <w:szCs w:val="22"/>
                <w:lang w:eastAsia="en-GB"/>
              </w:rPr>
              <w:t> </w:t>
            </w:r>
          </w:p>
        </w:tc>
        <w:tc>
          <w:tcPr>
            <w:tcW w:w="1418"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rPr>
                <w:sz w:val="22"/>
                <w:szCs w:val="22"/>
                <w:lang w:eastAsia="en-GB"/>
              </w:rPr>
            </w:pPr>
            <w:r w:rsidRPr="00E80130">
              <w:rPr>
                <w:sz w:val="22"/>
                <w:szCs w:val="22"/>
                <w:lang w:eastAsia="en-GB"/>
              </w:rPr>
              <w:t> </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rPr>
                <w:sz w:val="22"/>
                <w:szCs w:val="22"/>
                <w:lang w:eastAsia="en-GB"/>
              </w:rPr>
            </w:pPr>
            <w:r w:rsidRPr="00E80130">
              <w:rPr>
                <w:sz w:val="22"/>
                <w:szCs w:val="22"/>
                <w:lang w:eastAsia="en-GB"/>
              </w:rPr>
              <w:t> </w:t>
            </w:r>
          </w:p>
        </w:tc>
      </w:tr>
      <w:tr w:rsidR="00C50FC5" w:rsidRPr="00E80130" w:rsidTr="00291E07">
        <w:trPr>
          <w:trHeight w:val="255"/>
        </w:trPr>
        <w:tc>
          <w:tcPr>
            <w:tcW w:w="1433"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rPr>
                <w:sz w:val="22"/>
                <w:szCs w:val="22"/>
                <w:lang w:eastAsia="en-GB"/>
              </w:rPr>
            </w:pPr>
            <w:r w:rsidRPr="00E80130">
              <w:rPr>
                <w:sz w:val="22"/>
                <w:szCs w:val="22"/>
                <w:lang w:eastAsia="en-GB"/>
              </w:rPr>
              <w:t>E12000001</w:t>
            </w:r>
          </w:p>
        </w:tc>
        <w:tc>
          <w:tcPr>
            <w:tcW w:w="2835" w:type="dxa"/>
            <w:gridSpan w:val="3"/>
            <w:tcBorders>
              <w:top w:val="nil"/>
              <w:left w:val="nil"/>
              <w:bottom w:val="nil"/>
              <w:right w:val="nil"/>
            </w:tcBorders>
            <w:shd w:val="clear" w:color="000000" w:fill="FFFFFF"/>
            <w:noWrap/>
            <w:vAlign w:val="center"/>
            <w:hideMark/>
          </w:tcPr>
          <w:p w:rsidR="00C50FC5" w:rsidRPr="00E80130" w:rsidRDefault="00C50FC5" w:rsidP="00291E07">
            <w:pPr>
              <w:spacing w:before="0" w:after="0" w:line="240" w:lineRule="auto"/>
              <w:rPr>
                <w:color w:val="000000"/>
                <w:sz w:val="22"/>
                <w:szCs w:val="22"/>
                <w:lang w:eastAsia="en-GB"/>
              </w:rPr>
            </w:pPr>
            <w:r w:rsidRPr="00E80130">
              <w:rPr>
                <w:color w:val="000000"/>
                <w:sz w:val="22"/>
                <w:szCs w:val="22"/>
                <w:lang w:eastAsia="en-GB"/>
              </w:rPr>
              <w:t>North East</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sz w:val="22"/>
                <w:szCs w:val="22"/>
                <w:lang w:eastAsia="en-GB"/>
              </w:rPr>
            </w:pPr>
            <w:r w:rsidRPr="00E80130">
              <w:rPr>
                <w:sz w:val="22"/>
                <w:szCs w:val="22"/>
                <w:lang w:eastAsia="en-GB"/>
              </w:rPr>
              <w:t>2,594</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i/>
                <w:iCs/>
                <w:sz w:val="22"/>
                <w:szCs w:val="22"/>
                <w:lang w:eastAsia="en-GB"/>
              </w:rPr>
            </w:pPr>
            <w:r w:rsidRPr="00E80130">
              <w:rPr>
                <w:i/>
                <w:iCs/>
                <w:sz w:val="22"/>
                <w:szCs w:val="22"/>
                <w:lang w:eastAsia="en-GB"/>
              </w:rPr>
              <w:t>3</w:t>
            </w:r>
          </w:p>
        </w:tc>
        <w:tc>
          <w:tcPr>
            <w:tcW w:w="1418"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sz w:val="22"/>
                <w:szCs w:val="22"/>
                <w:lang w:eastAsia="en-GB"/>
              </w:rPr>
            </w:pPr>
            <w:r w:rsidRPr="00E80130">
              <w:rPr>
                <w:sz w:val="22"/>
                <w:szCs w:val="22"/>
                <w:lang w:eastAsia="en-GB"/>
              </w:rPr>
              <w:t>1,129,935</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sz w:val="22"/>
                <w:szCs w:val="22"/>
                <w:lang w:eastAsia="en-GB"/>
              </w:rPr>
            </w:pPr>
            <w:r w:rsidRPr="00E80130">
              <w:rPr>
                <w:sz w:val="22"/>
                <w:szCs w:val="22"/>
                <w:lang w:eastAsia="en-GB"/>
              </w:rPr>
              <w:t>2.3</w:t>
            </w:r>
          </w:p>
        </w:tc>
      </w:tr>
      <w:tr w:rsidR="00C50FC5" w:rsidRPr="00E80130" w:rsidTr="00291E07">
        <w:trPr>
          <w:trHeight w:val="255"/>
        </w:trPr>
        <w:tc>
          <w:tcPr>
            <w:tcW w:w="1433"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rPr>
                <w:sz w:val="22"/>
                <w:szCs w:val="22"/>
                <w:lang w:eastAsia="en-GB"/>
              </w:rPr>
            </w:pPr>
            <w:r w:rsidRPr="00E80130">
              <w:rPr>
                <w:sz w:val="22"/>
                <w:szCs w:val="22"/>
                <w:lang w:eastAsia="en-GB"/>
              </w:rPr>
              <w:t>E12000002</w:t>
            </w:r>
          </w:p>
        </w:tc>
        <w:tc>
          <w:tcPr>
            <w:tcW w:w="2835" w:type="dxa"/>
            <w:gridSpan w:val="3"/>
            <w:tcBorders>
              <w:top w:val="nil"/>
              <w:left w:val="nil"/>
              <w:bottom w:val="nil"/>
              <w:right w:val="nil"/>
            </w:tcBorders>
            <w:shd w:val="clear" w:color="000000" w:fill="FFFFFF"/>
            <w:noWrap/>
            <w:vAlign w:val="center"/>
            <w:hideMark/>
          </w:tcPr>
          <w:p w:rsidR="00C50FC5" w:rsidRPr="00E80130" w:rsidRDefault="00C50FC5" w:rsidP="00291E07">
            <w:pPr>
              <w:spacing w:before="0" w:after="0" w:line="240" w:lineRule="auto"/>
              <w:rPr>
                <w:color w:val="000000"/>
                <w:sz w:val="22"/>
                <w:szCs w:val="22"/>
                <w:lang w:eastAsia="en-GB"/>
              </w:rPr>
            </w:pPr>
            <w:r w:rsidRPr="00E80130">
              <w:rPr>
                <w:color w:val="000000"/>
                <w:sz w:val="22"/>
                <w:szCs w:val="22"/>
                <w:lang w:eastAsia="en-GB"/>
              </w:rPr>
              <w:t xml:space="preserve">North West </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sz w:val="22"/>
                <w:szCs w:val="22"/>
                <w:lang w:eastAsia="en-GB"/>
              </w:rPr>
            </w:pPr>
            <w:r w:rsidRPr="00E80130">
              <w:rPr>
                <w:sz w:val="22"/>
                <w:szCs w:val="22"/>
                <w:lang w:eastAsia="en-GB"/>
              </w:rPr>
              <w:t>11,986</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i/>
                <w:iCs/>
                <w:sz w:val="22"/>
                <w:szCs w:val="22"/>
                <w:lang w:eastAsia="en-GB"/>
              </w:rPr>
            </w:pPr>
            <w:r w:rsidRPr="00E80130">
              <w:rPr>
                <w:i/>
                <w:iCs/>
                <w:sz w:val="22"/>
                <w:szCs w:val="22"/>
                <w:lang w:eastAsia="en-GB"/>
              </w:rPr>
              <w:t>14</w:t>
            </w:r>
          </w:p>
        </w:tc>
        <w:tc>
          <w:tcPr>
            <w:tcW w:w="1418"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sz w:val="22"/>
                <w:szCs w:val="22"/>
                <w:lang w:eastAsia="en-GB"/>
              </w:rPr>
            </w:pPr>
            <w:r w:rsidRPr="00E80130">
              <w:rPr>
                <w:sz w:val="22"/>
                <w:szCs w:val="22"/>
                <w:lang w:eastAsia="en-GB"/>
              </w:rPr>
              <w:t>3,009,549</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sz w:val="22"/>
                <w:szCs w:val="22"/>
                <w:lang w:eastAsia="en-GB"/>
              </w:rPr>
            </w:pPr>
            <w:r w:rsidRPr="00E80130">
              <w:rPr>
                <w:sz w:val="22"/>
                <w:szCs w:val="22"/>
                <w:lang w:eastAsia="en-GB"/>
              </w:rPr>
              <w:t>4.0</w:t>
            </w:r>
          </w:p>
        </w:tc>
      </w:tr>
      <w:tr w:rsidR="00C50FC5" w:rsidRPr="00E80130" w:rsidTr="00291E07">
        <w:trPr>
          <w:trHeight w:val="255"/>
        </w:trPr>
        <w:tc>
          <w:tcPr>
            <w:tcW w:w="1433"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rPr>
                <w:sz w:val="22"/>
                <w:szCs w:val="22"/>
                <w:lang w:eastAsia="en-GB"/>
              </w:rPr>
            </w:pPr>
            <w:r w:rsidRPr="00E80130">
              <w:rPr>
                <w:sz w:val="22"/>
                <w:szCs w:val="22"/>
                <w:lang w:eastAsia="en-GB"/>
              </w:rPr>
              <w:t>E12000003</w:t>
            </w:r>
          </w:p>
        </w:tc>
        <w:tc>
          <w:tcPr>
            <w:tcW w:w="2835" w:type="dxa"/>
            <w:gridSpan w:val="3"/>
            <w:tcBorders>
              <w:top w:val="nil"/>
              <w:left w:val="nil"/>
              <w:bottom w:val="nil"/>
              <w:right w:val="nil"/>
            </w:tcBorders>
            <w:shd w:val="clear" w:color="000000" w:fill="FFFFFF"/>
            <w:noWrap/>
            <w:vAlign w:val="center"/>
            <w:hideMark/>
          </w:tcPr>
          <w:p w:rsidR="00C50FC5" w:rsidRPr="00E80130" w:rsidRDefault="00C50FC5" w:rsidP="00291E07">
            <w:pPr>
              <w:spacing w:before="0" w:after="0" w:line="240" w:lineRule="auto"/>
              <w:rPr>
                <w:color w:val="000000"/>
                <w:sz w:val="21"/>
                <w:szCs w:val="21"/>
                <w:lang w:eastAsia="en-GB"/>
              </w:rPr>
            </w:pPr>
            <w:r w:rsidRPr="00E80130">
              <w:rPr>
                <w:color w:val="000000"/>
                <w:sz w:val="21"/>
                <w:szCs w:val="21"/>
                <w:lang w:eastAsia="en-GB"/>
              </w:rPr>
              <w:t>Yorkshire and The Humber</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sz w:val="22"/>
                <w:szCs w:val="22"/>
                <w:lang w:eastAsia="en-GB"/>
              </w:rPr>
            </w:pPr>
            <w:r w:rsidRPr="00E80130">
              <w:rPr>
                <w:sz w:val="22"/>
                <w:szCs w:val="22"/>
                <w:lang w:eastAsia="en-GB"/>
              </w:rPr>
              <w:t>9,069</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i/>
                <w:iCs/>
                <w:sz w:val="22"/>
                <w:szCs w:val="22"/>
                <w:lang w:eastAsia="en-GB"/>
              </w:rPr>
            </w:pPr>
            <w:r w:rsidRPr="00E80130">
              <w:rPr>
                <w:i/>
                <w:iCs/>
                <w:sz w:val="22"/>
                <w:szCs w:val="22"/>
                <w:lang w:eastAsia="en-GB"/>
              </w:rPr>
              <w:t>11</w:t>
            </w:r>
          </w:p>
        </w:tc>
        <w:tc>
          <w:tcPr>
            <w:tcW w:w="1418"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sz w:val="22"/>
                <w:szCs w:val="22"/>
                <w:lang w:eastAsia="en-GB"/>
              </w:rPr>
            </w:pPr>
            <w:r w:rsidRPr="00E80130">
              <w:rPr>
                <w:sz w:val="22"/>
                <w:szCs w:val="22"/>
                <w:lang w:eastAsia="en-GB"/>
              </w:rPr>
              <w:t>2,224,059</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sz w:val="22"/>
                <w:szCs w:val="22"/>
                <w:lang w:eastAsia="en-GB"/>
              </w:rPr>
            </w:pPr>
            <w:r w:rsidRPr="00E80130">
              <w:rPr>
                <w:sz w:val="22"/>
                <w:szCs w:val="22"/>
                <w:lang w:eastAsia="en-GB"/>
              </w:rPr>
              <w:t>4.1</w:t>
            </w:r>
          </w:p>
        </w:tc>
      </w:tr>
      <w:tr w:rsidR="00C50FC5" w:rsidRPr="00E80130" w:rsidTr="00291E07">
        <w:trPr>
          <w:trHeight w:val="255"/>
        </w:trPr>
        <w:tc>
          <w:tcPr>
            <w:tcW w:w="1433"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rPr>
                <w:sz w:val="22"/>
                <w:szCs w:val="22"/>
                <w:lang w:eastAsia="en-GB"/>
              </w:rPr>
            </w:pPr>
            <w:r w:rsidRPr="00E80130">
              <w:rPr>
                <w:sz w:val="22"/>
                <w:szCs w:val="22"/>
                <w:lang w:eastAsia="en-GB"/>
              </w:rPr>
              <w:t>E12000004</w:t>
            </w:r>
          </w:p>
        </w:tc>
        <w:tc>
          <w:tcPr>
            <w:tcW w:w="2835" w:type="dxa"/>
            <w:gridSpan w:val="3"/>
            <w:tcBorders>
              <w:top w:val="nil"/>
              <w:left w:val="nil"/>
              <w:bottom w:val="nil"/>
              <w:right w:val="nil"/>
            </w:tcBorders>
            <w:shd w:val="clear" w:color="000000" w:fill="FFFFFF"/>
            <w:noWrap/>
            <w:vAlign w:val="center"/>
            <w:hideMark/>
          </w:tcPr>
          <w:p w:rsidR="00C50FC5" w:rsidRPr="00E80130" w:rsidRDefault="00C50FC5" w:rsidP="00291E07">
            <w:pPr>
              <w:spacing w:before="0" w:after="0" w:line="240" w:lineRule="auto"/>
              <w:rPr>
                <w:color w:val="000000"/>
                <w:sz w:val="22"/>
                <w:szCs w:val="22"/>
                <w:lang w:eastAsia="en-GB"/>
              </w:rPr>
            </w:pPr>
            <w:r w:rsidRPr="00E80130">
              <w:rPr>
                <w:color w:val="000000"/>
                <w:sz w:val="22"/>
                <w:szCs w:val="22"/>
                <w:lang w:eastAsia="en-GB"/>
              </w:rPr>
              <w:t>East Midlands</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sz w:val="22"/>
                <w:szCs w:val="22"/>
                <w:lang w:eastAsia="en-GB"/>
              </w:rPr>
            </w:pPr>
            <w:r w:rsidRPr="00E80130">
              <w:rPr>
                <w:sz w:val="22"/>
                <w:szCs w:val="22"/>
                <w:lang w:eastAsia="en-GB"/>
              </w:rPr>
              <w:t>6,436</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i/>
                <w:iCs/>
                <w:sz w:val="22"/>
                <w:szCs w:val="22"/>
                <w:lang w:eastAsia="en-GB"/>
              </w:rPr>
            </w:pPr>
            <w:r w:rsidRPr="00E80130">
              <w:rPr>
                <w:i/>
                <w:iCs/>
                <w:sz w:val="22"/>
                <w:szCs w:val="22"/>
                <w:lang w:eastAsia="en-GB"/>
              </w:rPr>
              <w:t>8</w:t>
            </w:r>
          </w:p>
        </w:tc>
        <w:tc>
          <w:tcPr>
            <w:tcW w:w="1418"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sz w:val="22"/>
                <w:szCs w:val="22"/>
                <w:lang w:eastAsia="en-GB"/>
              </w:rPr>
            </w:pPr>
            <w:r w:rsidRPr="00E80130">
              <w:rPr>
                <w:sz w:val="22"/>
                <w:szCs w:val="22"/>
                <w:lang w:eastAsia="en-GB"/>
              </w:rPr>
              <w:t>1,895,604</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sz w:val="22"/>
                <w:szCs w:val="22"/>
                <w:lang w:eastAsia="en-GB"/>
              </w:rPr>
            </w:pPr>
            <w:r w:rsidRPr="00E80130">
              <w:rPr>
                <w:sz w:val="22"/>
                <w:szCs w:val="22"/>
                <w:lang w:eastAsia="en-GB"/>
              </w:rPr>
              <w:t>3.4</w:t>
            </w:r>
          </w:p>
        </w:tc>
      </w:tr>
      <w:tr w:rsidR="00C50FC5" w:rsidRPr="00E80130" w:rsidTr="00291E07">
        <w:trPr>
          <w:trHeight w:val="255"/>
        </w:trPr>
        <w:tc>
          <w:tcPr>
            <w:tcW w:w="1433"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rPr>
                <w:sz w:val="22"/>
                <w:szCs w:val="22"/>
                <w:lang w:eastAsia="en-GB"/>
              </w:rPr>
            </w:pPr>
            <w:r w:rsidRPr="00E80130">
              <w:rPr>
                <w:sz w:val="22"/>
                <w:szCs w:val="22"/>
                <w:lang w:eastAsia="en-GB"/>
              </w:rPr>
              <w:t>E12000005</w:t>
            </w:r>
          </w:p>
        </w:tc>
        <w:tc>
          <w:tcPr>
            <w:tcW w:w="2835" w:type="dxa"/>
            <w:gridSpan w:val="3"/>
            <w:tcBorders>
              <w:top w:val="nil"/>
              <w:left w:val="nil"/>
              <w:bottom w:val="nil"/>
              <w:right w:val="nil"/>
            </w:tcBorders>
            <w:shd w:val="clear" w:color="000000" w:fill="FFFFFF"/>
            <w:noWrap/>
            <w:vAlign w:val="center"/>
            <w:hideMark/>
          </w:tcPr>
          <w:p w:rsidR="00C50FC5" w:rsidRPr="00E80130" w:rsidRDefault="00C50FC5" w:rsidP="00291E07">
            <w:pPr>
              <w:spacing w:before="0" w:after="0" w:line="240" w:lineRule="auto"/>
              <w:rPr>
                <w:color w:val="000000"/>
                <w:sz w:val="22"/>
                <w:szCs w:val="22"/>
                <w:lang w:eastAsia="en-GB"/>
              </w:rPr>
            </w:pPr>
            <w:r w:rsidRPr="00E80130">
              <w:rPr>
                <w:color w:val="000000"/>
                <w:sz w:val="22"/>
                <w:szCs w:val="22"/>
                <w:lang w:eastAsia="en-GB"/>
              </w:rPr>
              <w:t>West Midlands</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sz w:val="22"/>
                <w:szCs w:val="22"/>
                <w:lang w:eastAsia="en-GB"/>
              </w:rPr>
            </w:pPr>
            <w:r w:rsidRPr="00E80130">
              <w:rPr>
                <w:sz w:val="22"/>
                <w:szCs w:val="22"/>
                <w:lang w:eastAsia="en-GB"/>
              </w:rPr>
              <w:t>12,087</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i/>
                <w:iCs/>
                <w:sz w:val="22"/>
                <w:szCs w:val="22"/>
                <w:lang w:eastAsia="en-GB"/>
              </w:rPr>
            </w:pPr>
            <w:r w:rsidRPr="00E80130">
              <w:rPr>
                <w:i/>
                <w:iCs/>
                <w:sz w:val="22"/>
                <w:szCs w:val="22"/>
                <w:lang w:eastAsia="en-GB"/>
              </w:rPr>
              <w:t>14</w:t>
            </w:r>
          </w:p>
        </w:tc>
        <w:tc>
          <w:tcPr>
            <w:tcW w:w="1418"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sz w:val="22"/>
                <w:szCs w:val="22"/>
                <w:lang w:eastAsia="en-GB"/>
              </w:rPr>
            </w:pPr>
            <w:r w:rsidRPr="00E80130">
              <w:rPr>
                <w:sz w:val="22"/>
                <w:szCs w:val="22"/>
                <w:lang w:eastAsia="en-GB"/>
              </w:rPr>
              <w:t>2,294,909</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sz w:val="22"/>
                <w:szCs w:val="22"/>
                <w:lang w:eastAsia="en-GB"/>
              </w:rPr>
            </w:pPr>
            <w:r w:rsidRPr="00E80130">
              <w:rPr>
                <w:sz w:val="22"/>
                <w:szCs w:val="22"/>
                <w:lang w:eastAsia="en-GB"/>
              </w:rPr>
              <w:t>5.3</w:t>
            </w:r>
          </w:p>
        </w:tc>
      </w:tr>
      <w:tr w:rsidR="00C50FC5" w:rsidRPr="00E80130" w:rsidTr="00291E07">
        <w:trPr>
          <w:trHeight w:val="255"/>
        </w:trPr>
        <w:tc>
          <w:tcPr>
            <w:tcW w:w="1433"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rPr>
                <w:sz w:val="22"/>
                <w:szCs w:val="22"/>
                <w:lang w:eastAsia="en-GB"/>
              </w:rPr>
            </w:pPr>
            <w:r w:rsidRPr="00E80130">
              <w:rPr>
                <w:sz w:val="22"/>
                <w:szCs w:val="22"/>
                <w:lang w:eastAsia="en-GB"/>
              </w:rPr>
              <w:t>E12000006</w:t>
            </w:r>
          </w:p>
        </w:tc>
        <w:tc>
          <w:tcPr>
            <w:tcW w:w="1548" w:type="dxa"/>
            <w:gridSpan w:val="2"/>
            <w:tcBorders>
              <w:top w:val="nil"/>
              <w:left w:val="nil"/>
              <w:bottom w:val="nil"/>
              <w:right w:val="nil"/>
            </w:tcBorders>
            <w:shd w:val="clear" w:color="000000" w:fill="FFFFFF"/>
            <w:noWrap/>
            <w:vAlign w:val="center"/>
            <w:hideMark/>
          </w:tcPr>
          <w:p w:rsidR="00C50FC5" w:rsidRPr="00E80130" w:rsidRDefault="00C50FC5" w:rsidP="00291E07">
            <w:pPr>
              <w:spacing w:before="0" w:after="0" w:line="240" w:lineRule="auto"/>
              <w:rPr>
                <w:color w:val="000000"/>
                <w:sz w:val="22"/>
                <w:szCs w:val="22"/>
                <w:lang w:eastAsia="en-GB"/>
              </w:rPr>
            </w:pPr>
            <w:r w:rsidRPr="00E80130">
              <w:rPr>
                <w:color w:val="000000"/>
                <w:sz w:val="22"/>
                <w:szCs w:val="22"/>
                <w:lang w:eastAsia="en-GB"/>
              </w:rPr>
              <w:t>East</w:t>
            </w:r>
          </w:p>
        </w:tc>
        <w:tc>
          <w:tcPr>
            <w:tcW w:w="1287" w:type="dxa"/>
            <w:tcBorders>
              <w:top w:val="nil"/>
              <w:left w:val="nil"/>
              <w:bottom w:val="nil"/>
              <w:right w:val="nil"/>
            </w:tcBorders>
            <w:shd w:val="clear" w:color="000000" w:fill="FFFFFF"/>
            <w:noWrap/>
            <w:vAlign w:val="center"/>
            <w:hideMark/>
          </w:tcPr>
          <w:p w:rsidR="00C50FC5" w:rsidRPr="00E80130" w:rsidRDefault="00C50FC5" w:rsidP="00291E07">
            <w:pPr>
              <w:spacing w:before="0" w:after="0" w:line="240" w:lineRule="auto"/>
              <w:rPr>
                <w:color w:val="000000"/>
                <w:sz w:val="22"/>
                <w:szCs w:val="22"/>
                <w:lang w:eastAsia="en-GB"/>
              </w:rPr>
            </w:pPr>
            <w:r w:rsidRPr="00E80130">
              <w:rPr>
                <w:color w:val="000000"/>
                <w:sz w:val="22"/>
                <w:szCs w:val="22"/>
                <w:lang w:eastAsia="en-GB"/>
              </w:rPr>
              <w:t> </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sz w:val="22"/>
                <w:szCs w:val="22"/>
                <w:lang w:eastAsia="en-GB"/>
              </w:rPr>
            </w:pPr>
            <w:r w:rsidRPr="00E80130">
              <w:rPr>
                <w:sz w:val="22"/>
                <w:szCs w:val="22"/>
                <w:lang w:eastAsia="en-GB"/>
              </w:rPr>
              <w:t>5,970</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i/>
                <w:iCs/>
                <w:sz w:val="22"/>
                <w:szCs w:val="22"/>
                <w:lang w:eastAsia="en-GB"/>
              </w:rPr>
            </w:pPr>
            <w:r w:rsidRPr="00E80130">
              <w:rPr>
                <w:i/>
                <w:iCs/>
                <w:sz w:val="22"/>
                <w:szCs w:val="22"/>
                <w:lang w:eastAsia="en-GB"/>
              </w:rPr>
              <w:t>7</w:t>
            </w:r>
          </w:p>
        </w:tc>
        <w:tc>
          <w:tcPr>
            <w:tcW w:w="1418"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sz w:val="22"/>
                <w:szCs w:val="22"/>
                <w:lang w:eastAsia="en-GB"/>
              </w:rPr>
            </w:pPr>
            <w:r w:rsidRPr="00E80130">
              <w:rPr>
                <w:sz w:val="22"/>
                <w:szCs w:val="22"/>
                <w:lang w:eastAsia="en-GB"/>
              </w:rPr>
              <w:t>2,423,035</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sz w:val="22"/>
                <w:szCs w:val="22"/>
                <w:lang w:eastAsia="en-GB"/>
              </w:rPr>
            </w:pPr>
            <w:r w:rsidRPr="00E80130">
              <w:rPr>
                <w:sz w:val="22"/>
                <w:szCs w:val="22"/>
                <w:lang w:eastAsia="en-GB"/>
              </w:rPr>
              <w:t>2.5</w:t>
            </w:r>
          </w:p>
        </w:tc>
      </w:tr>
      <w:tr w:rsidR="00C50FC5" w:rsidRPr="00E80130" w:rsidTr="00291E07">
        <w:trPr>
          <w:trHeight w:val="255"/>
        </w:trPr>
        <w:tc>
          <w:tcPr>
            <w:tcW w:w="1433"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rPr>
                <w:sz w:val="22"/>
                <w:szCs w:val="22"/>
                <w:lang w:eastAsia="en-GB"/>
              </w:rPr>
            </w:pPr>
            <w:r w:rsidRPr="00E80130">
              <w:rPr>
                <w:sz w:val="22"/>
                <w:szCs w:val="22"/>
                <w:lang w:eastAsia="en-GB"/>
              </w:rPr>
              <w:t>E12000007</w:t>
            </w:r>
          </w:p>
        </w:tc>
        <w:tc>
          <w:tcPr>
            <w:tcW w:w="2835" w:type="dxa"/>
            <w:gridSpan w:val="3"/>
            <w:tcBorders>
              <w:top w:val="nil"/>
              <w:left w:val="nil"/>
              <w:bottom w:val="nil"/>
              <w:right w:val="nil"/>
            </w:tcBorders>
            <w:shd w:val="clear" w:color="000000" w:fill="FFFFFF"/>
            <w:noWrap/>
            <w:vAlign w:val="center"/>
            <w:hideMark/>
          </w:tcPr>
          <w:p w:rsidR="00C50FC5" w:rsidRPr="00E80130" w:rsidRDefault="00C50FC5" w:rsidP="00291E07">
            <w:pPr>
              <w:spacing w:before="0" w:after="0" w:line="240" w:lineRule="auto"/>
              <w:rPr>
                <w:color w:val="000000"/>
                <w:sz w:val="22"/>
                <w:szCs w:val="22"/>
                <w:lang w:eastAsia="en-GB"/>
              </w:rPr>
            </w:pPr>
            <w:r w:rsidRPr="00E80130">
              <w:rPr>
                <w:color w:val="000000"/>
                <w:sz w:val="22"/>
                <w:szCs w:val="22"/>
                <w:lang w:eastAsia="en-GB"/>
              </w:rPr>
              <w:t>London</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sz w:val="22"/>
                <w:szCs w:val="22"/>
                <w:lang w:eastAsia="en-GB"/>
              </w:rPr>
            </w:pPr>
            <w:r w:rsidRPr="00E80130">
              <w:rPr>
                <w:sz w:val="22"/>
                <w:szCs w:val="22"/>
                <w:lang w:eastAsia="en-GB"/>
              </w:rPr>
              <w:t>9,371</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i/>
                <w:iCs/>
                <w:sz w:val="22"/>
                <w:szCs w:val="22"/>
                <w:lang w:eastAsia="en-GB"/>
              </w:rPr>
            </w:pPr>
            <w:r w:rsidRPr="00E80130">
              <w:rPr>
                <w:i/>
                <w:iCs/>
                <w:sz w:val="22"/>
                <w:szCs w:val="22"/>
                <w:lang w:eastAsia="en-GB"/>
              </w:rPr>
              <w:t>11</w:t>
            </w:r>
          </w:p>
        </w:tc>
        <w:tc>
          <w:tcPr>
            <w:tcW w:w="1418"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sz w:val="22"/>
                <w:szCs w:val="22"/>
                <w:lang w:eastAsia="en-GB"/>
              </w:rPr>
            </w:pPr>
            <w:r w:rsidRPr="00E80130">
              <w:rPr>
                <w:sz w:val="22"/>
                <w:szCs w:val="22"/>
                <w:lang w:eastAsia="en-GB"/>
              </w:rPr>
              <w:t>3,266,173</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sz w:val="22"/>
                <w:szCs w:val="22"/>
                <w:lang w:eastAsia="en-GB"/>
              </w:rPr>
            </w:pPr>
            <w:r w:rsidRPr="00E80130">
              <w:rPr>
                <w:sz w:val="22"/>
                <w:szCs w:val="22"/>
                <w:lang w:eastAsia="en-GB"/>
              </w:rPr>
              <w:t>2.9</w:t>
            </w:r>
          </w:p>
        </w:tc>
      </w:tr>
      <w:tr w:rsidR="00C50FC5" w:rsidRPr="00E80130" w:rsidTr="00291E07">
        <w:trPr>
          <w:trHeight w:val="255"/>
        </w:trPr>
        <w:tc>
          <w:tcPr>
            <w:tcW w:w="1433"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rPr>
                <w:sz w:val="22"/>
                <w:szCs w:val="22"/>
                <w:lang w:eastAsia="en-GB"/>
              </w:rPr>
            </w:pPr>
            <w:r w:rsidRPr="00E80130">
              <w:rPr>
                <w:sz w:val="22"/>
                <w:szCs w:val="22"/>
                <w:lang w:eastAsia="en-GB"/>
              </w:rPr>
              <w:t>E12000008</w:t>
            </w:r>
          </w:p>
        </w:tc>
        <w:tc>
          <w:tcPr>
            <w:tcW w:w="2835" w:type="dxa"/>
            <w:gridSpan w:val="3"/>
            <w:tcBorders>
              <w:top w:val="nil"/>
              <w:left w:val="nil"/>
              <w:bottom w:val="nil"/>
              <w:right w:val="nil"/>
            </w:tcBorders>
            <w:shd w:val="clear" w:color="000000" w:fill="FFFFFF"/>
            <w:noWrap/>
            <w:vAlign w:val="center"/>
            <w:hideMark/>
          </w:tcPr>
          <w:p w:rsidR="00C50FC5" w:rsidRPr="00E80130" w:rsidRDefault="00C50FC5" w:rsidP="00291E07">
            <w:pPr>
              <w:spacing w:before="0" w:after="0" w:line="240" w:lineRule="auto"/>
              <w:rPr>
                <w:color w:val="000000"/>
                <w:sz w:val="22"/>
                <w:szCs w:val="22"/>
                <w:lang w:eastAsia="en-GB"/>
              </w:rPr>
            </w:pPr>
            <w:r w:rsidRPr="00E80130">
              <w:rPr>
                <w:color w:val="000000"/>
                <w:sz w:val="22"/>
                <w:szCs w:val="22"/>
                <w:lang w:eastAsia="en-GB"/>
              </w:rPr>
              <w:t>South East</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sz w:val="22"/>
                <w:szCs w:val="22"/>
                <w:lang w:eastAsia="en-GB"/>
              </w:rPr>
            </w:pPr>
            <w:r w:rsidRPr="00E80130">
              <w:rPr>
                <w:sz w:val="22"/>
                <w:szCs w:val="22"/>
                <w:lang w:eastAsia="en-GB"/>
              </w:rPr>
              <w:t>11,897</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i/>
                <w:iCs/>
                <w:sz w:val="22"/>
                <w:szCs w:val="22"/>
                <w:lang w:eastAsia="en-GB"/>
              </w:rPr>
            </w:pPr>
            <w:r w:rsidRPr="00E80130">
              <w:rPr>
                <w:i/>
                <w:iCs/>
                <w:sz w:val="22"/>
                <w:szCs w:val="22"/>
                <w:lang w:eastAsia="en-GB"/>
              </w:rPr>
              <w:t>14</w:t>
            </w:r>
          </w:p>
        </w:tc>
        <w:tc>
          <w:tcPr>
            <w:tcW w:w="1418"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sz w:val="22"/>
                <w:szCs w:val="22"/>
                <w:lang w:eastAsia="en-GB"/>
              </w:rPr>
            </w:pPr>
            <w:r w:rsidRPr="00E80130">
              <w:rPr>
                <w:sz w:val="22"/>
                <w:szCs w:val="22"/>
                <w:lang w:eastAsia="en-GB"/>
              </w:rPr>
              <w:t>3,555,463</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sz w:val="22"/>
                <w:szCs w:val="22"/>
                <w:lang w:eastAsia="en-GB"/>
              </w:rPr>
            </w:pPr>
            <w:r w:rsidRPr="00E80130">
              <w:rPr>
                <w:sz w:val="22"/>
                <w:szCs w:val="22"/>
                <w:lang w:eastAsia="en-GB"/>
              </w:rPr>
              <w:t>3.3</w:t>
            </w:r>
          </w:p>
        </w:tc>
      </w:tr>
      <w:tr w:rsidR="00C50FC5" w:rsidRPr="00E80130" w:rsidTr="00291E07">
        <w:trPr>
          <w:trHeight w:val="255"/>
        </w:trPr>
        <w:tc>
          <w:tcPr>
            <w:tcW w:w="1433"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rPr>
                <w:sz w:val="22"/>
                <w:szCs w:val="22"/>
                <w:lang w:eastAsia="en-GB"/>
              </w:rPr>
            </w:pPr>
            <w:r w:rsidRPr="00E80130">
              <w:rPr>
                <w:sz w:val="22"/>
                <w:szCs w:val="22"/>
                <w:lang w:eastAsia="en-GB"/>
              </w:rPr>
              <w:t>E12000009</w:t>
            </w:r>
          </w:p>
        </w:tc>
        <w:tc>
          <w:tcPr>
            <w:tcW w:w="2835" w:type="dxa"/>
            <w:gridSpan w:val="3"/>
            <w:tcBorders>
              <w:top w:val="nil"/>
              <w:left w:val="nil"/>
              <w:bottom w:val="nil"/>
              <w:right w:val="nil"/>
            </w:tcBorders>
            <w:shd w:val="clear" w:color="000000" w:fill="FFFFFF"/>
            <w:noWrap/>
            <w:vAlign w:val="center"/>
            <w:hideMark/>
          </w:tcPr>
          <w:p w:rsidR="00C50FC5" w:rsidRPr="00E80130" w:rsidRDefault="00C50FC5" w:rsidP="00291E07">
            <w:pPr>
              <w:spacing w:before="0" w:after="0" w:line="240" w:lineRule="auto"/>
              <w:rPr>
                <w:color w:val="000000"/>
                <w:sz w:val="22"/>
                <w:szCs w:val="22"/>
                <w:lang w:eastAsia="en-GB"/>
              </w:rPr>
            </w:pPr>
            <w:r w:rsidRPr="00E80130">
              <w:rPr>
                <w:color w:val="000000"/>
                <w:sz w:val="22"/>
                <w:szCs w:val="22"/>
                <w:lang w:eastAsia="en-GB"/>
              </w:rPr>
              <w:t>South West</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sz w:val="22"/>
                <w:szCs w:val="22"/>
                <w:lang w:eastAsia="en-GB"/>
              </w:rPr>
            </w:pPr>
            <w:r w:rsidRPr="00E80130">
              <w:rPr>
                <w:sz w:val="22"/>
                <w:szCs w:val="22"/>
                <w:lang w:eastAsia="en-GB"/>
              </w:rPr>
              <w:t>6,463</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i/>
                <w:iCs/>
                <w:sz w:val="22"/>
                <w:szCs w:val="22"/>
                <w:lang w:eastAsia="en-GB"/>
              </w:rPr>
            </w:pPr>
            <w:r w:rsidRPr="00E80130">
              <w:rPr>
                <w:i/>
                <w:iCs/>
                <w:sz w:val="22"/>
                <w:szCs w:val="22"/>
                <w:lang w:eastAsia="en-GB"/>
              </w:rPr>
              <w:t>8</w:t>
            </w:r>
          </w:p>
        </w:tc>
        <w:tc>
          <w:tcPr>
            <w:tcW w:w="1418"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sz w:val="22"/>
                <w:szCs w:val="22"/>
                <w:lang w:eastAsia="en-GB"/>
              </w:rPr>
            </w:pPr>
            <w:r w:rsidRPr="00E80130">
              <w:rPr>
                <w:sz w:val="22"/>
                <w:szCs w:val="22"/>
                <w:lang w:eastAsia="en-GB"/>
              </w:rPr>
              <w:t>2,264,641</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sz w:val="22"/>
                <w:szCs w:val="22"/>
                <w:lang w:eastAsia="en-GB"/>
              </w:rPr>
            </w:pPr>
            <w:r w:rsidRPr="00E80130">
              <w:rPr>
                <w:sz w:val="22"/>
                <w:szCs w:val="22"/>
                <w:lang w:eastAsia="en-GB"/>
              </w:rPr>
              <w:t>2.9</w:t>
            </w:r>
          </w:p>
        </w:tc>
      </w:tr>
      <w:tr w:rsidR="00C50FC5" w:rsidRPr="00E80130" w:rsidTr="00291E07">
        <w:trPr>
          <w:trHeight w:val="255"/>
        </w:trPr>
        <w:tc>
          <w:tcPr>
            <w:tcW w:w="1433"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rPr>
                <w:sz w:val="22"/>
                <w:szCs w:val="22"/>
                <w:lang w:eastAsia="en-GB"/>
              </w:rPr>
            </w:pPr>
            <w:r w:rsidRPr="00E80130">
              <w:rPr>
                <w:sz w:val="22"/>
                <w:szCs w:val="22"/>
                <w:lang w:eastAsia="en-GB"/>
              </w:rPr>
              <w:t> </w:t>
            </w:r>
          </w:p>
        </w:tc>
        <w:tc>
          <w:tcPr>
            <w:tcW w:w="775" w:type="dxa"/>
            <w:tcBorders>
              <w:top w:val="nil"/>
              <w:left w:val="nil"/>
              <w:bottom w:val="nil"/>
              <w:right w:val="nil"/>
            </w:tcBorders>
            <w:shd w:val="clear" w:color="000000" w:fill="FFFFFF"/>
            <w:noWrap/>
            <w:vAlign w:val="center"/>
            <w:hideMark/>
          </w:tcPr>
          <w:p w:rsidR="00C50FC5" w:rsidRPr="00E80130" w:rsidRDefault="00C50FC5" w:rsidP="00291E07">
            <w:pPr>
              <w:spacing w:before="0" w:after="0" w:line="240" w:lineRule="auto"/>
              <w:rPr>
                <w:color w:val="000000"/>
                <w:sz w:val="22"/>
                <w:szCs w:val="22"/>
                <w:lang w:eastAsia="en-GB"/>
              </w:rPr>
            </w:pPr>
            <w:r w:rsidRPr="00E80130">
              <w:rPr>
                <w:color w:val="000000"/>
                <w:sz w:val="22"/>
                <w:szCs w:val="22"/>
                <w:lang w:eastAsia="en-GB"/>
              </w:rPr>
              <w:t> </w:t>
            </w:r>
          </w:p>
        </w:tc>
        <w:tc>
          <w:tcPr>
            <w:tcW w:w="773" w:type="dxa"/>
            <w:tcBorders>
              <w:top w:val="nil"/>
              <w:left w:val="nil"/>
              <w:bottom w:val="nil"/>
              <w:right w:val="nil"/>
            </w:tcBorders>
            <w:shd w:val="clear" w:color="000000" w:fill="FFFFFF"/>
            <w:noWrap/>
            <w:vAlign w:val="center"/>
            <w:hideMark/>
          </w:tcPr>
          <w:p w:rsidR="00C50FC5" w:rsidRPr="00E80130" w:rsidRDefault="00C50FC5" w:rsidP="00291E07">
            <w:pPr>
              <w:spacing w:before="0" w:after="0" w:line="240" w:lineRule="auto"/>
              <w:rPr>
                <w:color w:val="000000"/>
                <w:sz w:val="22"/>
                <w:szCs w:val="22"/>
                <w:lang w:eastAsia="en-GB"/>
              </w:rPr>
            </w:pPr>
            <w:r w:rsidRPr="00E80130">
              <w:rPr>
                <w:color w:val="000000"/>
                <w:sz w:val="22"/>
                <w:szCs w:val="22"/>
                <w:lang w:eastAsia="en-GB"/>
              </w:rPr>
              <w:t> </w:t>
            </w:r>
          </w:p>
        </w:tc>
        <w:tc>
          <w:tcPr>
            <w:tcW w:w="1287" w:type="dxa"/>
            <w:tcBorders>
              <w:top w:val="nil"/>
              <w:left w:val="nil"/>
              <w:bottom w:val="nil"/>
              <w:right w:val="nil"/>
            </w:tcBorders>
            <w:shd w:val="clear" w:color="000000" w:fill="FFFFFF"/>
            <w:noWrap/>
            <w:vAlign w:val="center"/>
            <w:hideMark/>
          </w:tcPr>
          <w:p w:rsidR="00C50FC5" w:rsidRPr="00E80130" w:rsidRDefault="00C50FC5" w:rsidP="00291E07">
            <w:pPr>
              <w:spacing w:before="0" w:after="0" w:line="240" w:lineRule="auto"/>
              <w:rPr>
                <w:color w:val="000000"/>
                <w:sz w:val="22"/>
                <w:szCs w:val="22"/>
                <w:lang w:eastAsia="en-GB"/>
              </w:rPr>
            </w:pPr>
            <w:r w:rsidRPr="00E80130">
              <w:rPr>
                <w:color w:val="000000"/>
                <w:sz w:val="22"/>
                <w:szCs w:val="22"/>
                <w:lang w:eastAsia="en-GB"/>
              </w:rPr>
              <w:t> </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rPr>
                <w:b/>
                <w:bCs/>
                <w:sz w:val="22"/>
                <w:szCs w:val="22"/>
                <w:lang w:eastAsia="en-GB"/>
              </w:rPr>
            </w:pPr>
            <w:r w:rsidRPr="00E80130">
              <w:rPr>
                <w:b/>
                <w:bCs/>
                <w:sz w:val="22"/>
                <w:szCs w:val="22"/>
                <w:lang w:eastAsia="en-GB"/>
              </w:rPr>
              <w:t> </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rPr>
                <w:b/>
                <w:bCs/>
                <w:i/>
                <w:iCs/>
                <w:sz w:val="22"/>
                <w:szCs w:val="22"/>
                <w:lang w:eastAsia="en-GB"/>
              </w:rPr>
            </w:pPr>
            <w:r w:rsidRPr="00E80130">
              <w:rPr>
                <w:b/>
                <w:bCs/>
                <w:i/>
                <w:iCs/>
                <w:sz w:val="22"/>
                <w:szCs w:val="22"/>
                <w:lang w:eastAsia="en-GB"/>
              </w:rPr>
              <w:t> </w:t>
            </w:r>
          </w:p>
        </w:tc>
        <w:tc>
          <w:tcPr>
            <w:tcW w:w="1418"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rPr>
                <w:sz w:val="22"/>
                <w:szCs w:val="22"/>
                <w:lang w:eastAsia="en-GB"/>
              </w:rPr>
            </w:pPr>
            <w:r w:rsidRPr="00E80130">
              <w:rPr>
                <w:sz w:val="22"/>
                <w:szCs w:val="22"/>
                <w:lang w:eastAsia="en-GB"/>
              </w:rPr>
              <w:t> </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rPr>
                <w:sz w:val="22"/>
                <w:szCs w:val="22"/>
                <w:lang w:eastAsia="en-GB"/>
              </w:rPr>
            </w:pPr>
            <w:r w:rsidRPr="00E80130">
              <w:rPr>
                <w:sz w:val="22"/>
                <w:szCs w:val="22"/>
                <w:lang w:eastAsia="en-GB"/>
              </w:rPr>
              <w:t> </w:t>
            </w:r>
          </w:p>
        </w:tc>
      </w:tr>
      <w:tr w:rsidR="00C50FC5" w:rsidRPr="00E80130" w:rsidTr="00291E07">
        <w:trPr>
          <w:trHeight w:val="255"/>
        </w:trPr>
        <w:tc>
          <w:tcPr>
            <w:tcW w:w="1433"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rPr>
                <w:b/>
                <w:bCs/>
                <w:sz w:val="22"/>
                <w:szCs w:val="22"/>
                <w:lang w:eastAsia="en-GB"/>
              </w:rPr>
            </w:pPr>
            <w:r w:rsidRPr="00E80130">
              <w:rPr>
                <w:b/>
                <w:bCs/>
                <w:sz w:val="22"/>
                <w:szCs w:val="22"/>
                <w:lang w:eastAsia="en-GB"/>
              </w:rPr>
              <w:t>W92000004</w:t>
            </w:r>
          </w:p>
        </w:tc>
        <w:tc>
          <w:tcPr>
            <w:tcW w:w="1548" w:type="dxa"/>
            <w:gridSpan w:val="2"/>
            <w:tcBorders>
              <w:top w:val="nil"/>
              <w:left w:val="nil"/>
              <w:bottom w:val="nil"/>
              <w:right w:val="nil"/>
            </w:tcBorders>
            <w:shd w:val="clear" w:color="000000" w:fill="FFFFFF"/>
            <w:noWrap/>
            <w:vAlign w:val="center"/>
            <w:hideMark/>
          </w:tcPr>
          <w:p w:rsidR="00C50FC5" w:rsidRPr="00E80130" w:rsidRDefault="00C50FC5" w:rsidP="00291E07">
            <w:pPr>
              <w:spacing w:before="0" w:after="0" w:line="240" w:lineRule="auto"/>
              <w:rPr>
                <w:b/>
                <w:bCs/>
                <w:color w:val="000000"/>
                <w:sz w:val="22"/>
                <w:szCs w:val="22"/>
                <w:lang w:eastAsia="en-GB"/>
              </w:rPr>
            </w:pPr>
            <w:r w:rsidRPr="00E80130">
              <w:rPr>
                <w:b/>
                <w:bCs/>
                <w:color w:val="000000"/>
                <w:sz w:val="22"/>
                <w:szCs w:val="22"/>
                <w:lang w:eastAsia="en-GB"/>
              </w:rPr>
              <w:t>Wales</w:t>
            </w:r>
          </w:p>
        </w:tc>
        <w:tc>
          <w:tcPr>
            <w:tcW w:w="1287" w:type="dxa"/>
            <w:tcBorders>
              <w:top w:val="nil"/>
              <w:left w:val="nil"/>
              <w:bottom w:val="nil"/>
              <w:right w:val="nil"/>
            </w:tcBorders>
            <w:shd w:val="clear" w:color="000000" w:fill="FFFFFF"/>
            <w:noWrap/>
            <w:vAlign w:val="center"/>
            <w:hideMark/>
          </w:tcPr>
          <w:p w:rsidR="00C50FC5" w:rsidRPr="00E80130" w:rsidRDefault="00C50FC5" w:rsidP="00291E07">
            <w:pPr>
              <w:spacing w:before="0" w:after="0" w:line="240" w:lineRule="auto"/>
              <w:rPr>
                <w:b/>
                <w:bCs/>
                <w:color w:val="000000"/>
                <w:sz w:val="22"/>
                <w:szCs w:val="22"/>
                <w:lang w:eastAsia="en-GB"/>
              </w:rPr>
            </w:pPr>
            <w:r w:rsidRPr="00E80130">
              <w:rPr>
                <w:b/>
                <w:bCs/>
                <w:color w:val="000000"/>
                <w:sz w:val="22"/>
                <w:szCs w:val="22"/>
                <w:lang w:eastAsia="en-GB"/>
              </w:rPr>
              <w:t> </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b/>
                <w:bCs/>
                <w:sz w:val="22"/>
                <w:szCs w:val="22"/>
                <w:lang w:eastAsia="en-GB"/>
              </w:rPr>
            </w:pPr>
            <w:r w:rsidRPr="00E80130">
              <w:rPr>
                <w:b/>
                <w:bCs/>
                <w:sz w:val="22"/>
                <w:szCs w:val="22"/>
                <w:lang w:eastAsia="en-GB"/>
              </w:rPr>
              <w:t>4,202</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b/>
                <w:bCs/>
                <w:i/>
                <w:iCs/>
                <w:sz w:val="22"/>
                <w:szCs w:val="22"/>
                <w:lang w:eastAsia="en-GB"/>
              </w:rPr>
            </w:pPr>
            <w:r w:rsidRPr="00E80130">
              <w:rPr>
                <w:b/>
                <w:bCs/>
                <w:i/>
                <w:iCs/>
                <w:sz w:val="22"/>
                <w:szCs w:val="22"/>
                <w:lang w:eastAsia="en-GB"/>
              </w:rPr>
              <w:t>5</w:t>
            </w:r>
          </w:p>
        </w:tc>
        <w:tc>
          <w:tcPr>
            <w:tcW w:w="1418"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b/>
                <w:bCs/>
                <w:sz w:val="22"/>
                <w:szCs w:val="22"/>
                <w:lang w:eastAsia="en-GB"/>
              </w:rPr>
            </w:pPr>
            <w:r w:rsidRPr="00E80130">
              <w:rPr>
                <w:b/>
                <w:bCs/>
                <w:sz w:val="22"/>
                <w:szCs w:val="22"/>
                <w:lang w:eastAsia="en-GB"/>
              </w:rPr>
              <w:t>1,302,676</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jc w:val="right"/>
              <w:rPr>
                <w:b/>
                <w:bCs/>
                <w:sz w:val="22"/>
                <w:szCs w:val="22"/>
                <w:lang w:eastAsia="en-GB"/>
              </w:rPr>
            </w:pPr>
            <w:r w:rsidRPr="00E80130">
              <w:rPr>
                <w:b/>
                <w:bCs/>
                <w:sz w:val="22"/>
                <w:szCs w:val="22"/>
                <w:lang w:eastAsia="en-GB"/>
              </w:rPr>
              <w:t>3.2</w:t>
            </w:r>
          </w:p>
        </w:tc>
      </w:tr>
      <w:tr w:rsidR="00C50FC5" w:rsidRPr="00E80130" w:rsidTr="00291E07">
        <w:trPr>
          <w:trHeight w:val="255"/>
        </w:trPr>
        <w:tc>
          <w:tcPr>
            <w:tcW w:w="1433"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rPr>
                <w:sz w:val="22"/>
                <w:szCs w:val="22"/>
                <w:lang w:eastAsia="en-GB"/>
              </w:rPr>
            </w:pPr>
            <w:r w:rsidRPr="00E80130">
              <w:rPr>
                <w:sz w:val="22"/>
                <w:szCs w:val="22"/>
                <w:lang w:eastAsia="en-GB"/>
              </w:rPr>
              <w:t> </w:t>
            </w:r>
          </w:p>
        </w:tc>
        <w:tc>
          <w:tcPr>
            <w:tcW w:w="775" w:type="dxa"/>
            <w:tcBorders>
              <w:top w:val="nil"/>
              <w:left w:val="nil"/>
              <w:bottom w:val="nil"/>
              <w:right w:val="nil"/>
            </w:tcBorders>
            <w:shd w:val="clear" w:color="000000" w:fill="FFFFFF"/>
            <w:noWrap/>
            <w:vAlign w:val="center"/>
            <w:hideMark/>
          </w:tcPr>
          <w:p w:rsidR="00C50FC5" w:rsidRPr="00E80130" w:rsidRDefault="00C50FC5" w:rsidP="00291E07">
            <w:pPr>
              <w:spacing w:before="0" w:after="0" w:line="240" w:lineRule="auto"/>
              <w:rPr>
                <w:color w:val="000000"/>
                <w:sz w:val="22"/>
                <w:szCs w:val="22"/>
                <w:lang w:eastAsia="en-GB"/>
              </w:rPr>
            </w:pPr>
            <w:r w:rsidRPr="00E80130">
              <w:rPr>
                <w:color w:val="000000"/>
                <w:sz w:val="22"/>
                <w:szCs w:val="22"/>
                <w:lang w:eastAsia="en-GB"/>
              </w:rPr>
              <w:t> </w:t>
            </w:r>
          </w:p>
        </w:tc>
        <w:tc>
          <w:tcPr>
            <w:tcW w:w="773" w:type="dxa"/>
            <w:tcBorders>
              <w:top w:val="nil"/>
              <w:left w:val="nil"/>
              <w:bottom w:val="nil"/>
              <w:right w:val="nil"/>
            </w:tcBorders>
            <w:shd w:val="clear" w:color="000000" w:fill="FFFFFF"/>
            <w:noWrap/>
            <w:vAlign w:val="center"/>
            <w:hideMark/>
          </w:tcPr>
          <w:p w:rsidR="00C50FC5" w:rsidRPr="00E80130" w:rsidRDefault="00C50FC5" w:rsidP="00291E07">
            <w:pPr>
              <w:spacing w:before="0" w:after="0" w:line="240" w:lineRule="auto"/>
              <w:rPr>
                <w:color w:val="000000"/>
                <w:sz w:val="22"/>
                <w:szCs w:val="22"/>
                <w:lang w:eastAsia="en-GB"/>
              </w:rPr>
            </w:pPr>
            <w:r w:rsidRPr="00E80130">
              <w:rPr>
                <w:color w:val="000000"/>
                <w:sz w:val="22"/>
                <w:szCs w:val="22"/>
                <w:lang w:eastAsia="en-GB"/>
              </w:rPr>
              <w:t> </w:t>
            </w:r>
          </w:p>
        </w:tc>
        <w:tc>
          <w:tcPr>
            <w:tcW w:w="1287" w:type="dxa"/>
            <w:tcBorders>
              <w:top w:val="nil"/>
              <w:left w:val="nil"/>
              <w:bottom w:val="nil"/>
              <w:right w:val="nil"/>
            </w:tcBorders>
            <w:shd w:val="clear" w:color="000000" w:fill="FFFFFF"/>
            <w:noWrap/>
            <w:vAlign w:val="center"/>
            <w:hideMark/>
          </w:tcPr>
          <w:p w:rsidR="00C50FC5" w:rsidRPr="00E80130" w:rsidRDefault="00C50FC5" w:rsidP="00291E07">
            <w:pPr>
              <w:spacing w:before="0" w:after="0" w:line="240" w:lineRule="auto"/>
              <w:rPr>
                <w:color w:val="000000"/>
                <w:sz w:val="22"/>
                <w:szCs w:val="22"/>
                <w:lang w:eastAsia="en-GB"/>
              </w:rPr>
            </w:pPr>
            <w:r w:rsidRPr="00E80130">
              <w:rPr>
                <w:color w:val="000000"/>
                <w:sz w:val="22"/>
                <w:szCs w:val="22"/>
                <w:lang w:eastAsia="en-GB"/>
              </w:rPr>
              <w:t> </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rPr>
                <w:b/>
                <w:bCs/>
                <w:sz w:val="22"/>
                <w:szCs w:val="22"/>
                <w:lang w:eastAsia="en-GB"/>
              </w:rPr>
            </w:pPr>
            <w:r w:rsidRPr="00E80130">
              <w:rPr>
                <w:b/>
                <w:bCs/>
                <w:sz w:val="22"/>
                <w:szCs w:val="22"/>
                <w:lang w:eastAsia="en-GB"/>
              </w:rPr>
              <w:t> </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rPr>
                <w:b/>
                <w:bCs/>
                <w:i/>
                <w:iCs/>
                <w:sz w:val="22"/>
                <w:szCs w:val="22"/>
                <w:lang w:eastAsia="en-GB"/>
              </w:rPr>
            </w:pPr>
            <w:r w:rsidRPr="00E80130">
              <w:rPr>
                <w:b/>
                <w:bCs/>
                <w:i/>
                <w:iCs/>
                <w:sz w:val="22"/>
                <w:szCs w:val="22"/>
                <w:lang w:eastAsia="en-GB"/>
              </w:rPr>
              <w:t> </w:t>
            </w:r>
          </w:p>
        </w:tc>
        <w:tc>
          <w:tcPr>
            <w:tcW w:w="1418"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rPr>
                <w:b/>
                <w:bCs/>
                <w:sz w:val="22"/>
                <w:szCs w:val="22"/>
                <w:lang w:eastAsia="en-GB"/>
              </w:rPr>
            </w:pPr>
            <w:r w:rsidRPr="00E80130">
              <w:rPr>
                <w:b/>
                <w:bCs/>
                <w:sz w:val="22"/>
                <w:szCs w:val="22"/>
                <w:lang w:eastAsia="en-GB"/>
              </w:rPr>
              <w:t> </w:t>
            </w:r>
          </w:p>
        </w:tc>
        <w:tc>
          <w:tcPr>
            <w:tcW w:w="1559" w:type="dxa"/>
            <w:tcBorders>
              <w:top w:val="nil"/>
              <w:left w:val="nil"/>
              <w:bottom w:val="nil"/>
              <w:right w:val="nil"/>
            </w:tcBorders>
            <w:shd w:val="clear" w:color="000000" w:fill="FFFFFF"/>
            <w:noWrap/>
            <w:vAlign w:val="bottom"/>
            <w:hideMark/>
          </w:tcPr>
          <w:p w:rsidR="00C50FC5" w:rsidRPr="00E80130" w:rsidRDefault="00C50FC5" w:rsidP="00291E07">
            <w:pPr>
              <w:spacing w:before="0" w:after="0" w:line="240" w:lineRule="auto"/>
              <w:rPr>
                <w:b/>
                <w:bCs/>
                <w:sz w:val="22"/>
                <w:szCs w:val="22"/>
                <w:lang w:eastAsia="en-GB"/>
              </w:rPr>
            </w:pPr>
            <w:r w:rsidRPr="00E80130">
              <w:rPr>
                <w:b/>
                <w:bCs/>
                <w:sz w:val="22"/>
                <w:szCs w:val="22"/>
                <w:lang w:eastAsia="en-GB"/>
              </w:rPr>
              <w:t> </w:t>
            </w:r>
          </w:p>
        </w:tc>
      </w:tr>
      <w:tr w:rsidR="00C50FC5" w:rsidRPr="00E80130" w:rsidTr="00291E07">
        <w:trPr>
          <w:trHeight w:val="255"/>
        </w:trPr>
        <w:tc>
          <w:tcPr>
            <w:tcW w:w="1433" w:type="dxa"/>
            <w:tcBorders>
              <w:top w:val="nil"/>
              <w:left w:val="nil"/>
              <w:bottom w:val="single" w:sz="4" w:space="0" w:color="auto"/>
              <w:right w:val="nil"/>
            </w:tcBorders>
            <w:shd w:val="clear" w:color="000000" w:fill="FFFFFF"/>
            <w:noWrap/>
            <w:vAlign w:val="bottom"/>
            <w:hideMark/>
          </w:tcPr>
          <w:p w:rsidR="00C50FC5" w:rsidRPr="00E80130" w:rsidRDefault="00C50FC5" w:rsidP="00291E07">
            <w:pPr>
              <w:spacing w:before="0" w:after="0" w:line="240" w:lineRule="auto"/>
              <w:rPr>
                <w:b/>
                <w:bCs/>
                <w:sz w:val="22"/>
                <w:szCs w:val="22"/>
                <w:lang w:eastAsia="en-GB"/>
              </w:rPr>
            </w:pPr>
            <w:r w:rsidRPr="00E80130">
              <w:rPr>
                <w:b/>
                <w:bCs/>
                <w:sz w:val="22"/>
                <w:szCs w:val="22"/>
                <w:lang w:eastAsia="en-GB"/>
              </w:rPr>
              <w:t>S92000003</w:t>
            </w:r>
          </w:p>
        </w:tc>
        <w:tc>
          <w:tcPr>
            <w:tcW w:w="2835" w:type="dxa"/>
            <w:gridSpan w:val="3"/>
            <w:tcBorders>
              <w:top w:val="nil"/>
              <w:left w:val="nil"/>
              <w:bottom w:val="single" w:sz="4" w:space="0" w:color="auto"/>
              <w:right w:val="nil"/>
            </w:tcBorders>
            <w:shd w:val="clear" w:color="000000" w:fill="FFFFFF"/>
            <w:noWrap/>
            <w:vAlign w:val="center"/>
            <w:hideMark/>
          </w:tcPr>
          <w:p w:rsidR="00C50FC5" w:rsidRPr="00E80130" w:rsidRDefault="00C50FC5" w:rsidP="00291E07">
            <w:pPr>
              <w:spacing w:before="0" w:after="0" w:line="240" w:lineRule="auto"/>
              <w:rPr>
                <w:b/>
                <w:bCs/>
                <w:color w:val="000000"/>
                <w:sz w:val="22"/>
                <w:szCs w:val="22"/>
                <w:lang w:eastAsia="en-GB"/>
              </w:rPr>
            </w:pPr>
            <w:r w:rsidRPr="00E80130">
              <w:rPr>
                <w:b/>
                <w:bCs/>
                <w:color w:val="000000"/>
                <w:sz w:val="22"/>
                <w:szCs w:val="22"/>
                <w:lang w:eastAsia="en-GB"/>
              </w:rPr>
              <w:t>Scotland</w:t>
            </w:r>
          </w:p>
        </w:tc>
        <w:tc>
          <w:tcPr>
            <w:tcW w:w="1559" w:type="dxa"/>
            <w:tcBorders>
              <w:top w:val="nil"/>
              <w:left w:val="nil"/>
              <w:bottom w:val="single" w:sz="4" w:space="0" w:color="auto"/>
              <w:right w:val="nil"/>
            </w:tcBorders>
            <w:shd w:val="clear" w:color="000000" w:fill="FFFFFF"/>
            <w:noWrap/>
            <w:vAlign w:val="bottom"/>
            <w:hideMark/>
          </w:tcPr>
          <w:p w:rsidR="00C50FC5" w:rsidRPr="00E80130" w:rsidRDefault="00C50FC5" w:rsidP="00291E07">
            <w:pPr>
              <w:spacing w:before="0" w:after="0" w:line="240" w:lineRule="auto"/>
              <w:jc w:val="right"/>
              <w:rPr>
                <w:b/>
                <w:bCs/>
                <w:sz w:val="22"/>
                <w:szCs w:val="22"/>
                <w:lang w:eastAsia="en-GB"/>
              </w:rPr>
            </w:pPr>
            <w:r>
              <w:rPr>
                <w:b/>
                <w:bCs/>
                <w:sz w:val="22"/>
                <w:szCs w:val="22"/>
                <w:lang w:eastAsia="en-GB"/>
              </w:rPr>
              <w:t>5,103</w:t>
            </w:r>
          </w:p>
        </w:tc>
        <w:tc>
          <w:tcPr>
            <w:tcW w:w="1559" w:type="dxa"/>
            <w:tcBorders>
              <w:top w:val="nil"/>
              <w:left w:val="nil"/>
              <w:bottom w:val="single" w:sz="4" w:space="0" w:color="auto"/>
              <w:right w:val="nil"/>
            </w:tcBorders>
            <w:shd w:val="clear" w:color="000000" w:fill="FFFFFF"/>
            <w:noWrap/>
            <w:vAlign w:val="bottom"/>
            <w:hideMark/>
          </w:tcPr>
          <w:p w:rsidR="00C50FC5" w:rsidRPr="00E80130" w:rsidRDefault="00C50FC5" w:rsidP="00291E07">
            <w:pPr>
              <w:spacing w:before="0" w:after="0" w:line="240" w:lineRule="auto"/>
              <w:jc w:val="right"/>
              <w:rPr>
                <w:b/>
                <w:bCs/>
                <w:i/>
                <w:iCs/>
                <w:sz w:val="22"/>
                <w:szCs w:val="22"/>
                <w:lang w:eastAsia="en-GB"/>
              </w:rPr>
            </w:pPr>
            <w:r w:rsidRPr="00E80130">
              <w:rPr>
                <w:b/>
                <w:bCs/>
                <w:i/>
                <w:iCs/>
                <w:sz w:val="22"/>
                <w:szCs w:val="22"/>
                <w:lang w:eastAsia="en-GB"/>
              </w:rPr>
              <w:t>6</w:t>
            </w:r>
          </w:p>
        </w:tc>
        <w:tc>
          <w:tcPr>
            <w:tcW w:w="1418" w:type="dxa"/>
            <w:tcBorders>
              <w:top w:val="nil"/>
              <w:left w:val="nil"/>
              <w:bottom w:val="single" w:sz="4" w:space="0" w:color="auto"/>
              <w:right w:val="nil"/>
            </w:tcBorders>
            <w:shd w:val="clear" w:color="000000" w:fill="FFFFFF"/>
            <w:noWrap/>
            <w:vAlign w:val="bottom"/>
            <w:hideMark/>
          </w:tcPr>
          <w:p w:rsidR="00C50FC5" w:rsidRPr="00E80130" w:rsidRDefault="00C50FC5" w:rsidP="00291E07">
            <w:pPr>
              <w:spacing w:before="0" w:after="0" w:line="240" w:lineRule="auto"/>
              <w:jc w:val="right"/>
              <w:rPr>
                <w:b/>
                <w:bCs/>
                <w:sz w:val="22"/>
                <w:szCs w:val="22"/>
                <w:lang w:eastAsia="en-GB"/>
              </w:rPr>
            </w:pPr>
            <w:r w:rsidRPr="00E80130">
              <w:rPr>
                <w:b/>
                <w:bCs/>
                <w:sz w:val="22"/>
                <w:szCs w:val="22"/>
                <w:lang w:eastAsia="en-GB"/>
              </w:rPr>
              <w:t>2,372,780</w:t>
            </w:r>
          </w:p>
        </w:tc>
        <w:tc>
          <w:tcPr>
            <w:tcW w:w="1559" w:type="dxa"/>
            <w:tcBorders>
              <w:top w:val="nil"/>
              <w:left w:val="nil"/>
              <w:bottom w:val="single" w:sz="4" w:space="0" w:color="auto"/>
              <w:right w:val="nil"/>
            </w:tcBorders>
            <w:shd w:val="clear" w:color="000000" w:fill="FFFFFF"/>
            <w:noWrap/>
            <w:vAlign w:val="bottom"/>
            <w:hideMark/>
          </w:tcPr>
          <w:p w:rsidR="00C50FC5" w:rsidRPr="00E80130" w:rsidRDefault="00C50FC5" w:rsidP="00291E07">
            <w:pPr>
              <w:spacing w:before="0" w:after="0" w:line="240" w:lineRule="auto"/>
              <w:jc w:val="right"/>
              <w:rPr>
                <w:b/>
                <w:bCs/>
                <w:sz w:val="22"/>
                <w:szCs w:val="22"/>
                <w:lang w:eastAsia="en-GB"/>
              </w:rPr>
            </w:pPr>
            <w:r w:rsidRPr="00E80130">
              <w:rPr>
                <w:b/>
                <w:bCs/>
                <w:sz w:val="22"/>
                <w:szCs w:val="22"/>
                <w:lang w:eastAsia="en-GB"/>
              </w:rPr>
              <w:t>2.2</w:t>
            </w:r>
          </w:p>
        </w:tc>
      </w:tr>
    </w:tbl>
    <w:p w:rsidR="00C50FC5" w:rsidRPr="00415EE4" w:rsidRDefault="00C50FC5" w:rsidP="00C50FC5">
      <w:pPr>
        <w:spacing w:line="270" w:lineRule="atLeast"/>
        <w:rPr>
          <w:b/>
          <w:bCs/>
        </w:rPr>
      </w:pPr>
    </w:p>
    <w:p w:rsidR="00C50FC5" w:rsidRPr="00415EE4" w:rsidRDefault="00C50FC5" w:rsidP="00C50FC5">
      <w:pPr>
        <w:spacing w:line="270" w:lineRule="atLeast"/>
        <w:jc w:val="both"/>
        <w:rPr>
          <w:b/>
          <w:bCs/>
        </w:rPr>
      </w:pPr>
      <w:r w:rsidRPr="00415EE4">
        <w:rPr>
          <w:b/>
          <w:bCs/>
        </w:rPr>
        <w:t>Table 1</w:t>
      </w:r>
      <w:r w:rsidR="00556BEC">
        <w:rPr>
          <w:b/>
          <w:bCs/>
        </w:rPr>
        <w:t>.6</w:t>
      </w:r>
      <w:r w:rsidRPr="00415EE4">
        <w:rPr>
          <w:b/>
          <w:bCs/>
        </w:rPr>
        <w:t>a: Number of Green Deal Assessments lodged by administrative area, up to 30</w:t>
      </w:r>
      <w:r w:rsidRPr="00415EE4">
        <w:rPr>
          <w:b/>
          <w:bCs/>
          <w:vertAlign w:val="superscript"/>
        </w:rPr>
        <w:t>th</w:t>
      </w:r>
      <w:r w:rsidRPr="00415EE4">
        <w:rPr>
          <w:b/>
          <w:bCs/>
        </w:rPr>
        <w:t xml:space="preserve"> </w:t>
      </w:r>
      <w:r w:rsidRPr="00506630">
        <w:rPr>
          <w:b/>
          <w:bCs/>
        </w:rPr>
        <w:t>September</w:t>
      </w:r>
      <w:r w:rsidRPr="00415EE4">
        <w:rPr>
          <w:b/>
          <w:bCs/>
        </w:rPr>
        <w:t xml:space="preserve"> 2013 </w:t>
      </w:r>
      <w:r w:rsidRPr="00415EE4">
        <w:rPr>
          <w:bCs/>
        </w:rPr>
        <w:t xml:space="preserve">(Table available </w:t>
      </w:r>
      <w:r w:rsidRPr="00415EE4">
        <w:t xml:space="preserve">in </w:t>
      </w:r>
      <w:r w:rsidRPr="009D56C9">
        <w:t xml:space="preserve">Excel </w:t>
      </w:r>
      <w:hyperlink r:id="rId44" w:history="1">
        <w:r w:rsidRPr="009D56C9">
          <w:rPr>
            <w:rStyle w:val="Hyperlink"/>
            <w:rFonts w:ascii="Arial" w:hAnsi="Arial"/>
          </w:rPr>
          <w:t>here</w:t>
        </w:r>
      </w:hyperlink>
      <w:r w:rsidRPr="009D56C9">
        <w:rPr>
          <w:bCs/>
        </w:rPr>
        <w:t>).</w:t>
      </w:r>
    </w:p>
    <w:p w:rsidR="00C50FC5" w:rsidRPr="00415EE4" w:rsidRDefault="00C50FC5" w:rsidP="00C50FC5">
      <w:pPr>
        <w:spacing w:line="270" w:lineRule="atLeast"/>
        <w:jc w:val="both"/>
        <w:rPr>
          <w:b/>
          <w:bCs/>
        </w:rPr>
      </w:pPr>
    </w:p>
    <w:p w:rsidR="00C50FC5" w:rsidRPr="00415EE4" w:rsidRDefault="00C50FC5" w:rsidP="00C50FC5">
      <w:pPr>
        <w:spacing w:line="270" w:lineRule="atLeast"/>
        <w:jc w:val="both"/>
        <w:rPr>
          <w:b/>
          <w:bCs/>
        </w:rPr>
      </w:pPr>
      <w:r w:rsidRPr="00415EE4">
        <w:rPr>
          <w:b/>
          <w:bCs/>
        </w:rPr>
        <w:t>Table 1</w:t>
      </w:r>
      <w:r w:rsidR="00556BEC">
        <w:rPr>
          <w:b/>
          <w:bCs/>
        </w:rPr>
        <w:t>.6</w:t>
      </w:r>
      <w:r w:rsidRPr="00415EE4">
        <w:rPr>
          <w:b/>
          <w:bCs/>
        </w:rPr>
        <w:t>b: Number of Green Deal Assessments lodged by Parliamentary Constituency, up to 30</w:t>
      </w:r>
      <w:r w:rsidRPr="00415EE4">
        <w:rPr>
          <w:b/>
          <w:bCs/>
          <w:vertAlign w:val="superscript"/>
        </w:rPr>
        <w:t>th</w:t>
      </w:r>
      <w:r w:rsidRPr="00415EE4">
        <w:rPr>
          <w:b/>
          <w:bCs/>
        </w:rPr>
        <w:t xml:space="preserve"> </w:t>
      </w:r>
      <w:r w:rsidRPr="00506630">
        <w:rPr>
          <w:b/>
          <w:bCs/>
        </w:rPr>
        <w:t>September</w:t>
      </w:r>
      <w:r w:rsidRPr="00415EE4">
        <w:rPr>
          <w:b/>
          <w:bCs/>
        </w:rPr>
        <w:t xml:space="preserve"> 2013 </w:t>
      </w:r>
      <w:r w:rsidRPr="00415EE4">
        <w:rPr>
          <w:bCs/>
        </w:rPr>
        <w:t xml:space="preserve">(Table available </w:t>
      </w:r>
      <w:r w:rsidRPr="00415EE4">
        <w:t xml:space="preserve">in </w:t>
      </w:r>
      <w:r w:rsidRPr="009D56C9">
        <w:t xml:space="preserve">Excel </w:t>
      </w:r>
      <w:hyperlink r:id="rId45" w:history="1">
        <w:r w:rsidRPr="009D56C9">
          <w:rPr>
            <w:rStyle w:val="Hyperlink"/>
            <w:rFonts w:ascii="Arial" w:hAnsi="Arial"/>
          </w:rPr>
          <w:t>here</w:t>
        </w:r>
      </w:hyperlink>
      <w:r w:rsidRPr="009D56C9">
        <w:rPr>
          <w:bCs/>
        </w:rPr>
        <w:t>).</w:t>
      </w:r>
    </w:p>
    <w:p w:rsidR="00C50FC5" w:rsidRPr="00415EE4" w:rsidRDefault="00C50FC5" w:rsidP="00C50FC5">
      <w:pPr>
        <w:spacing w:line="270" w:lineRule="atLeast"/>
        <w:jc w:val="both"/>
        <w:rPr>
          <w:b/>
          <w:bCs/>
          <w:highlight w:val="yellow"/>
        </w:rPr>
      </w:pPr>
    </w:p>
    <w:p w:rsidR="00556BEC" w:rsidRDefault="00556BEC" w:rsidP="00556BEC">
      <w:pPr>
        <w:pStyle w:val="Paragraphtext"/>
      </w:pPr>
      <w:r>
        <w:rPr>
          <w:b/>
        </w:rPr>
        <w:t>Table 1.7</w:t>
      </w:r>
      <w:r w:rsidRPr="00DC34CA">
        <w:rPr>
          <w:b/>
        </w:rPr>
        <w:t>: Number of Green Deal Assessments delivered u</w:t>
      </w:r>
      <w:r>
        <w:rPr>
          <w:b/>
        </w:rPr>
        <w:t>nder the Pioneer Places Project</w:t>
      </w:r>
      <w:r w:rsidRPr="00DC34CA">
        <w:rPr>
          <w:b/>
        </w:rPr>
        <w:t>, by Pioneer Place Area</w:t>
      </w:r>
      <w:r>
        <w:t xml:space="preserve"> </w:t>
      </w:r>
      <w:r w:rsidRPr="00A21277">
        <w:rPr>
          <w:bCs/>
        </w:rPr>
        <w:t xml:space="preserve">(Table available </w:t>
      </w:r>
      <w:r w:rsidRPr="00A21277">
        <w:t xml:space="preserve">in </w:t>
      </w:r>
      <w:r w:rsidRPr="009D56C9">
        <w:t xml:space="preserve">Excel </w:t>
      </w:r>
      <w:hyperlink r:id="rId46" w:history="1">
        <w:r w:rsidRPr="009D56C9">
          <w:rPr>
            <w:rStyle w:val="Hyperlink"/>
            <w:rFonts w:ascii="Arial" w:hAnsi="Arial"/>
          </w:rPr>
          <w:t>here</w:t>
        </w:r>
      </w:hyperlink>
      <w:r w:rsidRPr="009D56C9">
        <w:rPr>
          <w:bCs/>
        </w:rPr>
        <w:t>).</w:t>
      </w:r>
    </w:p>
    <w:p w:rsidR="00556BEC" w:rsidRDefault="00556BEC" w:rsidP="00556BEC">
      <w:pPr>
        <w:pStyle w:val="Paragraphtext"/>
      </w:pPr>
    </w:p>
    <w:tbl>
      <w:tblPr>
        <w:tblW w:w="9729" w:type="dxa"/>
        <w:tblInd w:w="93" w:type="dxa"/>
        <w:tblLook w:val="04A0" w:firstRow="1" w:lastRow="0" w:firstColumn="1" w:lastColumn="0" w:noHBand="0" w:noVBand="1"/>
      </w:tblPr>
      <w:tblGrid>
        <w:gridCol w:w="2615"/>
        <w:gridCol w:w="283"/>
        <w:gridCol w:w="283"/>
        <w:gridCol w:w="283"/>
        <w:gridCol w:w="3450"/>
        <w:gridCol w:w="2815"/>
      </w:tblGrid>
      <w:tr w:rsidR="00556BEC" w:rsidRPr="00575ED4" w:rsidTr="00291E07">
        <w:trPr>
          <w:trHeight w:val="285"/>
        </w:trPr>
        <w:tc>
          <w:tcPr>
            <w:tcW w:w="9729" w:type="dxa"/>
            <w:gridSpan w:val="6"/>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b/>
                <w:bCs/>
                <w:szCs w:val="24"/>
                <w:lang w:eastAsia="en-GB"/>
              </w:rPr>
            </w:pPr>
            <w:bookmarkStart w:id="62" w:name="RANGE!A1:F4"/>
            <w:r>
              <w:rPr>
                <w:b/>
                <w:bCs/>
                <w:szCs w:val="24"/>
                <w:lang w:eastAsia="en-GB"/>
              </w:rPr>
              <w:lastRenderedPageBreak/>
              <w:t>Table 1.8</w:t>
            </w:r>
            <w:r w:rsidRPr="00575ED4">
              <w:rPr>
                <w:b/>
                <w:bCs/>
                <w:szCs w:val="24"/>
                <w:lang w:eastAsia="en-GB"/>
              </w:rPr>
              <w:t>: Provisional number of properties with energy efficiency work delivered under Core Cities Project</w:t>
            </w:r>
            <w:r w:rsidRPr="00575ED4">
              <w:rPr>
                <w:b/>
                <w:bCs/>
                <w:szCs w:val="24"/>
                <w:vertAlign w:val="superscript"/>
                <w:lang w:eastAsia="en-GB"/>
              </w:rPr>
              <w:t>1</w:t>
            </w:r>
            <w:r w:rsidRPr="00575ED4">
              <w:rPr>
                <w:b/>
                <w:bCs/>
                <w:szCs w:val="24"/>
                <w:lang w:eastAsia="en-GB"/>
              </w:rPr>
              <w:t>, by Core City Area</w:t>
            </w:r>
            <w:bookmarkEnd w:id="62"/>
          </w:p>
        </w:tc>
      </w:tr>
      <w:tr w:rsidR="00556BEC" w:rsidRPr="00575ED4" w:rsidTr="00291E07">
        <w:trPr>
          <w:trHeight w:val="255"/>
        </w:trPr>
        <w:tc>
          <w:tcPr>
            <w:tcW w:w="2615" w:type="dxa"/>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b/>
                <w:bCs/>
                <w:szCs w:val="24"/>
                <w:lang w:eastAsia="en-GB"/>
              </w:rPr>
            </w:pPr>
            <w:r w:rsidRPr="00575ED4">
              <w:rPr>
                <w:b/>
                <w:bCs/>
                <w:szCs w:val="24"/>
                <w:lang w:eastAsia="en-GB"/>
              </w:rPr>
              <w:t> </w:t>
            </w:r>
          </w:p>
        </w:tc>
        <w:tc>
          <w:tcPr>
            <w:tcW w:w="283" w:type="dxa"/>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3" w:type="dxa"/>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3" w:type="dxa"/>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3450" w:type="dxa"/>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15" w:type="dxa"/>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r>
      <w:tr w:rsidR="00556BEC" w:rsidRPr="00575ED4" w:rsidTr="00291E07">
        <w:trPr>
          <w:trHeight w:val="765"/>
        </w:trPr>
        <w:tc>
          <w:tcPr>
            <w:tcW w:w="2615" w:type="dxa"/>
            <w:tcBorders>
              <w:top w:val="nil"/>
              <w:left w:val="nil"/>
              <w:bottom w:val="single" w:sz="4" w:space="0" w:color="auto"/>
              <w:right w:val="nil"/>
            </w:tcBorders>
            <w:shd w:val="clear" w:color="000000" w:fill="FFFFFF"/>
            <w:noWrap/>
            <w:vAlign w:val="center"/>
            <w:hideMark/>
          </w:tcPr>
          <w:p w:rsidR="00556BEC" w:rsidRPr="00575ED4" w:rsidRDefault="00556BEC" w:rsidP="00291E07">
            <w:pPr>
              <w:spacing w:before="0" w:after="0" w:line="240" w:lineRule="auto"/>
              <w:rPr>
                <w:szCs w:val="24"/>
                <w:lang w:eastAsia="en-GB"/>
              </w:rPr>
            </w:pPr>
            <w:r w:rsidRPr="00575ED4">
              <w:rPr>
                <w:szCs w:val="24"/>
                <w:lang w:eastAsia="en-GB"/>
              </w:rPr>
              <w:t>Core City Area</w:t>
            </w:r>
          </w:p>
        </w:tc>
        <w:tc>
          <w:tcPr>
            <w:tcW w:w="283" w:type="dxa"/>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3" w:type="dxa"/>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3" w:type="dxa"/>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3450" w:type="dxa"/>
            <w:tcBorders>
              <w:top w:val="nil"/>
              <w:left w:val="nil"/>
              <w:bottom w:val="single" w:sz="4" w:space="0" w:color="auto"/>
              <w:right w:val="nil"/>
            </w:tcBorders>
            <w:shd w:val="clear" w:color="000000" w:fill="FFFFFF"/>
            <w:vAlign w:val="bottom"/>
            <w:hideMark/>
          </w:tcPr>
          <w:p w:rsidR="00556BEC" w:rsidRPr="00575ED4" w:rsidRDefault="00556BEC" w:rsidP="00291E07">
            <w:pPr>
              <w:spacing w:before="0" w:after="0" w:line="240" w:lineRule="auto"/>
              <w:jc w:val="right"/>
              <w:rPr>
                <w:szCs w:val="24"/>
                <w:lang w:eastAsia="en-GB"/>
              </w:rPr>
            </w:pPr>
            <w:r w:rsidRPr="00575ED4">
              <w:rPr>
                <w:szCs w:val="24"/>
                <w:lang w:eastAsia="en-GB"/>
              </w:rPr>
              <w:t>Number of properties with energy efficiency measures funded by Core Cities</w:t>
            </w:r>
            <w:r w:rsidR="00EC7641" w:rsidRPr="00EC7641">
              <w:rPr>
                <w:szCs w:val="24"/>
                <w:vertAlign w:val="superscript"/>
                <w:lang w:eastAsia="en-GB"/>
              </w:rPr>
              <w:t>2</w:t>
            </w:r>
          </w:p>
        </w:tc>
        <w:tc>
          <w:tcPr>
            <w:tcW w:w="2815" w:type="dxa"/>
            <w:tcBorders>
              <w:top w:val="nil"/>
              <w:left w:val="nil"/>
              <w:bottom w:val="single" w:sz="4" w:space="0" w:color="auto"/>
              <w:right w:val="nil"/>
            </w:tcBorders>
            <w:shd w:val="clear" w:color="000000" w:fill="FFFFFF"/>
            <w:vAlign w:val="bottom"/>
            <w:hideMark/>
          </w:tcPr>
          <w:p w:rsidR="00556BEC" w:rsidRPr="00575ED4" w:rsidRDefault="00556BEC" w:rsidP="00291E07">
            <w:pPr>
              <w:spacing w:before="0" w:after="0" w:line="240" w:lineRule="auto"/>
              <w:jc w:val="right"/>
              <w:rPr>
                <w:szCs w:val="24"/>
                <w:lang w:eastAsia="en-GB"/>
              </w:rPr>
            </w:pPr>
            <w:r w:rsidRPr="00575ED4">
              <w:rPr>
                <w:szCs w:val="24"/>
                <w:lang w:eastAsia="en-GB"/>
              </w:rPr>
              <w:t>Number of measures installed</w:t>
            </w:r>
            <w:r w:rsidR="00EC7641" w:rsidRPr="00EC7641">
              <w:rPr>
                <w:szCs w:val="24"/>
                <w:vertAlign w:val="superscript"/>
                <w:lang w:eastAsia="en-GB"/>
              </w:rPr>
              <w:t>3</w:t>
            </w:r>
          </w:p>
        </w:tc>
      </w:tr>
      <w:tr w:rsidR="00556BEC" w:rsidRPr="00575ED4" w:rsidTr="00291E07">
        <w:trPr>
          <w:trHeight w:val="285"/>
        </w:trPr>
        <w:tc>
          <w:tcPr>
            <w:tcW w:w="2615"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Birmingham</w:t>
            </w:r>
            <w:r w:rsidR="00EC7641">
              <w:rPr>
                <w:szCs w:val="24"/>
                <w:vertAlign w:val="superscript"/>
                <w:lang w:eastAsia="en-GB"/>
              </w:rPr>
              <w:t>4</w:t>
            </w:r>
          </w:p>
        </w:tc>
        <w:tc>
          <w:tcPr>
            <w:tcW w:w="283"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3"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3"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3450" w:type="dxa"/>
            <w:tcBorders>
              <w:top w:val="nil"/>
              <w:left w:val="nil"/>
              <w:bottom w:val="nil"/>
              <w:right w:val="nil"/>
            </w:tcBorders>
            <w:shd w:val="clear" w:color="000000" w:fill="FFFFFF"/>
            <w:noWrap/>
            <w:vAlign w:val="bottom"/>
            <w:hideMark/>
          </w:tcPr>
          <w:p w:rsidR="00556BEC" w:rsidRPr="00FB4A95" w:rsidRDefault="00556BEC" w:rsidP="00291E07">
            <w:pPr>
              <w:spacing w:before="0" w:after="0"/>
              <w:jc w:val="right"/>
              <w:rPr>
                <w:sz w:val="22"/>
                <w:szCs w:val="22"/>
              </w:rPr>
            </w:pPr>
            <w:r w:rsidRPr="00FB4A95">
              <w:rPr>
                <w:sz w:val="22"/>
                <w:szCs w:val="22"/>
              </w:rPr>
              <w:t>506</w:t>
            </w:r>
          </w:p>
        </w:tc>
        <w:tc>
          <w:tcPr>
            <w:tcW w:w="2815" w:type="dxa"/>
            <w:tcBorders>
              <w:top w:val="nil"/>
              <w:left w:val="nil"/>
              <w:bottom w:val="nil"/>
              <w:right w:val="nil"/>
            </w:tcBorders>
            <w:shd w:val="clear" w:color="000000" w:fill="FFFFFF"/>
            <w:noWrap/>
            <w:vAlign w:val="bottom"/>
            <w:hideMark/>
          </w:tcPr>
          <w:p w:rsidR="00556BEC" w:rsidRPr="00FB4A95" w:rsidRDefault="00556BEC" w:rsidP="00291E07">
            <w:pPr>
              <w:spacing w:before="0" w:after="0"/>
              <w:jc w:val="right"/>
              <w:rPr>
                <w:sz w:val="22"/>
                <w:szCs w:val="22"/>
              </w:rPr>
            </w:pPr>
            <w:r w:rsidRPr="00FB4A95">
              <w:rPr>
                <w:sz w:val="22"/>
                <w:szCs w:val="22"/>
              </w:rPr>
              <w:t>528</w:t>
            </w:r>
          </w:p>
        </w:tc>
      </w:tr>
      <w:tr w:rsidR="00556BEC" w:rsidRPr="00575ED4" w:rsidTr="00291E07">
        <w:trPr>
          <w:trHeight w:val="255"/>
        </w:trPr>
        <w:tc>
          <w:tcPr>
            <w:tcW w:w="2615"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Bristol</w:t>
            </w:r>
          </w:p>
        </w:tc>
        <w:tc>
          <w:tcPr>
            <w:tcW w:w="283"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3"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3"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3450" w:type="dxa"/>
            <w:tcBorders>
              <w:top w:val="nil"/>
              <w:left w:val="nil"/>
              <w:bottom w:val="nil"/>
              <w:right w:val="nil"/>
            </w:tcBorders>
            <w:shd w:val="clear" w:color="000000" w:fill="FFFFFF"/>
            <w:noWrap/>
            <w:vAlign w:val="bottom"/>
            <w:hideMark/>
          </w:tcPr>
          <w:p w:rsidR="00556BEC" w:rsidRPr="00FB4A95" w:rsidRDefault="00556BEC" w:rsidP="00291E07">
            <w:pPr>
              <w:spacing w:before="0" w:after="0"/>
              <w:jc w:val="right"/>
              <w:rPr>
                <w:sz w:val="22"/>
                <w:szCs w:val="22"/>
              </w:rPr>
            </w:pPr>
            <w:r w:rsidRPr="00FB4A95">
              <w:rPr>
                <w:sz w:val="22"/>
                <w:szCs w:val="22"/>
              </w:rPr>
              <w:t>93</w:t>
            </w:r>
          </w:p>
        </w:tc>
        <w:tc>
          <w:tcPr>
            <w:tcW w:w="2815" w:type="dxa"/>
            <w:tcBorders>
              <w:top w:val="nil"/>
              <w:left w:val="nil"/>
              <w:bottom w:val="nil"/>
              <w:right w:val="nil"/>
            </w:tcBorders>
            <w:shd w:val="clear" w:color="000000" w:fill="FFFFFF"/>
            <w:noWrap/>
            <w:vAlign w:val="bottom"/>
            <w:hideMark/>
          </w:tcPr>
          <w:p w:rsidR="00556BEC" w:rsidRPr="00FB4A95" w:rsidRDefault="00556BEC" w:rsidP="00291E07">
            <w:pPr>
              <w:spacing w:before="0" w:after="0"/>
              <w:jc w:val="right"/>
              <w:rPr>
                <w:sz w:val="22"/>
                <w:szCs w:val="22"/>
              </w:rPr>
            </w:pPr>
            <w:r w:rsidRPr="00FB4A95">
              <w:rPr>
                <w:sz w:val="22"/>
                <w:szCs w:val="22"/>
              </w:rPr>
              <w:t>93</w:t>
            </w:r>
          </w:p>
        </w:tc>
      </w:tr>
      <w:tr w:rsidR="00556BEC" w:rsidRPr="00575ED4" w:rsidTr="00291E07">
        <w:trPr>
          <w:trHeight w:val="255"/>
        </w:trPr>
        <w:tc>
          <w:tcPr>
            <w:tcW w:w="2615"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Leeds</w:t>
            </w:r>
          </w:p>
        </w:tc>
        <w:tc>
          <w:tcPr>
            <w:tcW w:w="283"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3"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3"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3450" w:type="dxa"/>
            <w:tcBorders>
              <w:top w:val="nil"/>
              <w:left w:val="nil"/>
              <w:bottom w:val="nil"/>
              <w:right w:val="nil"/>
            </w:tcBorders>
            <w:shd w:val="clear" w:color="000000" w:fill="FFFFFF"/>
            <w:noWrap/>
            <w:vAlign w:val="bottom"/>
            <w:hideMark/>
          </w:tcPr>
          <w:p w:rsidR="00556BEC" w:rsidRPr="00FB4A95" w:rsidRDefault="00556BEC" w:rsidP="00291E07">
            <w:pPr>
              <w:spacing w:before="0" w:after="0"/>
              <w:jc w:val="right"/>
              <w:rPr>
                <w:sz w:val="22"/>
                <w:szCs w:val="22"/>
              </w:rPr>
            </w:pPr>
            <w:r w:rsidRPr="00FB4A95">
              <w:rPr>
                <w:sz w:val="22"/>
                <w:szCs w:val="22"/>
              </w:rPr>
              <w:t>535</w:t>
            </w:r>
          </w:p>
        </w:tc>
        <w:tc>
          <w:tcPr>
            <w:tcW w:w="2815" w:type="dxa"/>
            <w:tcBorders>
              <w:top w:val="nil"/>
              <w:left w:val="nil"/>
              <w:bottom w:val="nil"/>
              <w:right w:val="nil"/>
            </w:tcBorders>
            <w:shd w:val="clear" w:color="000000" w:fill="FFFFFF"/>
            <w:noWrap/>
            <w:vAlign w:val="bottom"/>
            <w:hideMark/>
          </w:tcPr>
          <w:p w:rsidR="00556BEC" w:rsidRPr="00FB4A95" w:rsidRDefault="00556BEC" w:rsidP="00291E07">
            <w:pPr>
              <w:spacing w:before="0" w:after="0"/>
              <w:jc w:val="right"/>
              <w:rPr>
                <w:sz w:val="22"/>
                <w:szCs w:val="22"/>
              </w:rPr>
            </w:pPr>
            <w:r w:rsidRPr="00FB4A95">
              <w:rPr>
                <w:sz w:val="22"/>
                <w:szCs w:val="22"/>
              </w:rPr>
              <w:t>621</w:t>
            </w:r>
          </w:p>
        </w:tc>
      </w:tr>
      <w:tr w:rsidR="00556BEC" w:rsidRPr="00575ED4" w:rsidTr="00291E07">
        <w:trPr>
          <w:trHeight w:val="255"/>
        </w:trPr>
        <w:tc>
          <w:tcPr>
            <w:tcW w:w="2615"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Liverpool</w:t>
            </w:r>
          </w:p>
        </w:tc>
        <w:tc>
          <w:tcPr>
            <w:tcW w:w="283"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3"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3"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3450" w:type="dxa"/>
            <w:tcBorders>
              <w:top w:val="nil"/>
              <w:left w:val="nil"/>
              <w:bottom w:val="nil"/>
              <w:right w:val="nil"/>
            </w:tcBorders>
            <w:shd w:val="clear" w:color="000000" w:fill="FFFFFF"/>
            <w:noWrap/>
            <w:vAlign w:val="bottom"/>
            <w:hideMark/>
          </w:tcPr>
          <w:p w:rsidR="00556BEC" w:rsidRPr="00FB4A95" w:rsidRDefault="00556BEC" w:rsidP="00291E07">
            <w:pPr>
              <w:spacing w:before="0" w:after="0"/>
              <w:jc w:val="right"/>
              <w:rPr>
                <w:sz w:val="22"/>
                <w:szCs w:val="22"/>
              </w:rPr>
            </w:pPr>
            <w:r w:rsidRPr="00FB4A95">
              <w:rPr>
                <w:sz w:val="22"/>
                <w:szCs w:val="22"/>
              </w:rPr>
              <w:t>93</w:t>
            </w:r>
          </w:p>
        </w:tc>
        <w:tc>
          <w:tcPr>
            <w:tcW w:w="2815" w:type="dxa"/>
            <w:tcBorders>
              <w:top w:val="nil"/>
              <w:left w:val="nil"/>
              <w:bottom w:val="nil"/>
              <w:right w:val="nil"/>
            </w:tcBorders>
            <w:shd w:val="clear" w:color="000000" w:fill="FFFFFF"/>
            <w:noWrap/>
            <w:vAlign w:val="bottom"/>
            <w:hideMark/>
          </w:tcPr>
          <w:p w:rsidR="00556BEC" w:rsidRPr="00FB4A95" w:rsidRDefault="00556BEC" w:rsidP="00291E07">
            <w:pPr>
              <w:spacing w:before="0" w:after="0"/>
              <w:jc w:val="right"/>
              <w:rPr>
                <w:sz w:val="22"/>
                <w:szCs w:val="22"/>
              </w:rPr>
            </w:pPr>
            <w:r w:rsidRPr="00FB4A95">
              <w:rPr>
                <w:sz w:val="22"/>
                <w:szCs w:val="22"/>
              </w:rPr>
              <w:t>120</w:t>
            </w:r>
          </w:p>
        </w:tc>
      </w:tr>
      <w:tr w:rsidR="00556BEC" w:rsidRPr="00575ED4" w:rsidTr="00291E07">
        <w:trPr>
          <w:trHeight w:val="255"/>
        </w:trPr>
        <w:tc>
          <w:tcPr>
            <w:tcW w:w="2615"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Manchester</w:t>
            </w:r>
          </w:p>
        </w:tc>
        <w:tc>
          <w:tcPr>
            <w:tcW w:w="283"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3"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3"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3450" w:type="dxa"/>
            <w:tcBorders>
              <w:top w:val="nil"/>
              <w:left w:val="nil"/>
              <w:bottom w:val="nil"/>
              <w:right w:val="nil"/>
            </w:tcBorders>
            <w:shd w:val="clear" w:color="000000" w:fill="FFFFFF"/>
            <w:noWrap/>
            <w:vAlign w:val="bottom"/>
            <w:hideMark/>
          </w:tcPr>
          <w:p w:rsidR="00556BEC" w:rsidRPr="00FB4A95" w:rsidRDefault="00556BEC" w:rsidP="00291E07">
            <w:pPr>
              <w:spacing w:before="0" w:after="0"/>
              <w:jc w:val="right"/>
              <w:rPr>
                <w:sz w:val="22"/>
                <w:szCs w:val="22"/>
              </w:rPr>
            </w:pPr>
            <w:r w:rsidRPr="00FB4A95">
              <w:rPr>
                <w:sz w:val="22"/>
                <w:szCs w:val="22"/>
              </w:rPr>
              <w:t>578</w:t>
            </w:r>
          </w:p>
        </w:tc>
        <w:tc>
          <w:tcPr>
            <w:tcW w:w="2815" w:type="dxa"/>
            <w:tcBorders>
              <w:top w:val="nil"/>
              <w:left w:val="nil"/>
              <w:bottom w:val="nil"/>
              <w:right w:val="nil"/>
            </w:tcBorders>
            <w:shd w:val="clear" w:color="000000" w:fill="FFFFFF"/>
            <w:noWrap/>
            <w:vAlign w:val="bottom"/>
            <w:hideMark/>
          </w:tcPr>
          <w:p w:rsidR="00556BEC" w:rsidRPr="00FB4A95" w:rsidRDefault="00556BEC" w:rsidP="00291E07">
            <w:pPr>
              <w:spacing w:before="0" w:after="0"/>
              <w:jc w:val="right"/>
              <w:rPr>
                <w:sz w:val="22"/>
                <w:szCs w:val="22"/>
              </w:rPr>
            </w:pPr>
            <w:r w:rsidRPr="00FB4A95">
              <w:rPr>
                <w:sz w:val="22"/>
                <w:szCs w:val="22"/>
              </w:rPr>
              <w:t>1,083</w:t>
            </w:r>
          </w:p>
        </w:tc>
      </w:tr>
      <w:tr w:rsidR="00556BEC" w:rsidRPr="00575ED4" w:rsidTr="00291E07">
        <w:trPr>
          <w:trHeight w:val="255"/>
        </w:trPr>
        <w:tc>
          <w:tcPr>
            <w:tcW w:w="2615"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Newcastle</w:t>
            </w:r>
          </w:p>
        </w:tc>
        <w:tc>
          <w:tcPr>
            <w:tcW w:w="283"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3"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3"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3450" w:type="dxa"/>
            <w:tcBorders>
              <w:top w:val="nil"/>
              <w:left w:val="nil"/>
              <w:bottom w:val="nil"/>
              <w:right w:val="nil"/>
            </w:tcBorders>
            <w:shd w:val="clear" w:color="000000" w:fill="FFFFFF"/>
            <w:noWrap/>
            <w:vAlign w:val="bottom"/>
            <w:hideMark/>
          </w:tcPr>
          <w:p w:rsidR="00556BEC" w:rsidRPr="00FB4A95" w:rsidRDefault="00556BEC" w:rsidP="00291E07">
            <w:pPr>
              <w:spacing w:before="0" w:after="0"/>
              <w:jc w:val="right"/>
              <w:rPr>
                <w:sz w:val="22"/>
                <w:szCs w:val="22"/>
              </w:rPr>
            </w:pPr>
            <w:r w:rsidRPr="00FB4A95">
              <w:rPr>
                <w:sz w:val="22"/>
                <w:szCs w:val="22"/>
              </w:rPr>
              <w:t>137</w:t>
            </w:r>
          </w:p>
        </w:tc>
        <w:tc>
          <w:tcPr>
            <w:tcW w:w="2815" w:type="dxa"/>
            <w:tcBorders>
              <w:top w:val="nil"/>
              <w:left w:val="nil"/>
              <w:bottom w:val="nil"/>
              <w:right w:val="nil"/>
            </w:tcBorders>
            <w:shd w:val="clear" w:color="000000" w:fill="FFFFFF"/>
            <w:noWrap/>
            <w:vAlign w:val="bottom"/>
            <w:hideMark/>
          </w:tcPr>
          <w:p w:rsidR="00556BEC" w:rsidRPr="00FB4A95" w:rsidRDefault="00556BEC" w:rsidP="00291E07">
            <w:pPr>
              <w:spacing w:before="0" w:after="0"/>
              <w:jc w:val="right"/>
              <w:rPr>
                <w:sz w:val="22"/>
                <w:szCs w:val="22"/>
              </w:rPr>
            </w:pPr>
            <w:r w:rsidRPr="00FB4A95">
              <w:rPr>
                <w:sz w:val="22"/>
                <w:szCs w:val="22"/>
              </w:rPr>
              <w:t>312</w:t>
            </w:r>
          </w:p>
        </w:tc>
      </w:tr>
      <w:tr w:rsidR="00556BEC" w:rsidRPr="00575ED4" w:rsidTr="00291E07">
        <w:trPr>
          <w:trHeight w:val="255"/>
        </w:trPr>
        <w:tc>
          <w:tcPr>
            <w:tcW w:w="2615"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Nottingham</w:t>
            </w:r>
          </w:p>
        </w:tc>
        <w:tc>
          <w:tcPr>
            <w:tcW w:w="283"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3"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3"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3450" w:type="dxa"/>
            <w:tcBorders>
              <w:top w:val="nil"/>
              <w:left w:val="nil"/>
              <w:bottom w:val="nil"/>
              <w:right w:val="nil"/>
            </w:tcBorders>
            <w:shd w:val="clear" w:color="000000" w:fill="FFFFFF"/>
            <w:noWrap/>
            <w:vAlign w:val="bottom"/>
            <w:hideMark/>
          </w:tcPr>
          <w:p w:rsidR="00556BEC" w:rsidRPr="00FB4A95" w:rsidRDefault="00556BEC" w:rsidP="00291E07">
            <w:pPr>
              <w:spacing w:before="0" w:after="0"/>
              <w:jc w:val="right"/>
              <w:rPr>
                <w:sz w:val="22"/>
                <w:szCs w:val="22"/>
              </w:rPr>
            </w:pPr>
            <w:r w:rsidRPr="00FB4A95">
              <w:rPr>
                <w:sz w:val="22"/>
                <w:szCs w:val="22"/>
              </w:rPr>
              <w:t>97</w:t>
            </w:r>
          </w:p>
        </w:tc>
        <w:tc>
          <w:tcPr>
            <w:tcW w:w="2815" w:type="dxa"/>
            <w:tcBorders>
              <w:top w:val="nil"/>
              <w:left w:val="nil"/>
              <w:bottom w:val="nil"/>
              <w:right w:val="nil"/>
            </w:tcBorders>
            <w:shd w:val="clear" w:color="000000" w:fill="FFFFFF"/>
            <w:noWrap/>
            <w:vAlign w:val="bottom"/>
            <w:hideMark/>
          </w:tcPr>
          <w:p w:rsidR="00556BEC" w:rsidRPr="00FB4A95" w:rsidRDefault="00556BEC" w:rsidP="00291E07">
            <w:pPr>
              <w:spacing w:before="0" w:after="0"/>
              <w:jc w:val="right"/>
              <w:rPr>
                <w:sz w:val="22"/>
                <w:szCs w:val="22"/>
              </w:rPr>
            </w:pPr>
            <w:r w:rsidRPr="00FB4A95">
              <w:rPr>
                <w:sz w:val="22"/>
                <w:szCs w:val="22"/>
              </w:rPr>
              <w:t>131</w:t>
            </w:r>
          </w:p>
        </w:tc>
      </w:tr>
      <w:tr w:rsidR="00556BEC" w:rsidRPr="00575ED4" w:rsidTr="00291E07">
        <w:trPr>
          <w:trHeight w:val="255"/>
        </w:trPr>
        <w:tc>
          <w:tcPr>
            <w:tcW w:w="2615"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Sheffield</w:t>
            </w:r>
          </w:p>
        </w:tc>
        <w:tc>
          <w:tcPr>
            <w:tcW w:w="283"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3"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3"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3450" w:type="dxa"/>
            <w:tcBorders>
              <w:top w:val="nil"/>
              <w:left w:val="nil"/>
              <w:bottom w:val="nil"/>
              <w:right w:val="nil"/>
            </w:tcBorders>
            <w:shd w:val="clear" w:color="000000" w:fill="FFFFFF"/>
            <w:noWrap/>
            <w:vAlign w:val="bottom"/>
            <w:hideMark/>
          </w:tcPr>
          <w:p w:rsidR="00556BEC" w:rsidRPr="00FB4A95" w:rsidRDefault="00556BEC" w:rsidP="00291E07">
            <w:pPr>
              <w:spacing w:before="0" w:after="0"/>
              <w:jc w:val="right"/>
              <w:rPr>
                <w:sz w:val="22"/>
                <w:szCs w:val="22"/>
              </w:rPr>
            </w:pPr>
            <w:r w:rsidRPr="00FB4A95">
              <w:rPr>
                <w:sz w:val="22"/>
                <w:szCs w:val="22"/>
              </w:rPr>
              <w:t>67</w:t>
            </w:r>
          </w:p>
        </w:tc>
        <w:tc>
          <w:tcPr>
            <w:tcW w:w="2815" w:type="dxa"/>
            <w:tcBorders>
              <w:top w:val="nil"/>
              <w:left w:val="nil"/>
              <w:bottom w:val="nil"/>
              <w:right w:val="nil"/>
            </w:tcBorders>
            <w:shd w:val="clear" w:color="000000" w:fill="FFFFFF"/>
            <w:noWrap/>
            <w:vAlign w:val="bottom"/>
            <w:hideMark/>
          </w:tcPr>
          <w:p w:rsidR="00556BEC" w:rsidRPr="00FB4A95" w:rsidRDefault="00556BEC" w:rsidP="00291E07">
            <w:pPr>
              <w:spacing w:before="0" w:after="0"/>
              <w:jc w:val="right"/>
              <w:rPr>
                <w:sz w:val="22"/>
                <w:szCs w:val="22"/>
              </w:rPr>
            </w:pPr>
            <w:r w:rsidRPr="00FB4A95">
              <w:rPr>
                <w:sz w:val="22"/>
                <w:szCs w:val="22"/>
              </w:rPr>
              <w:t>117</w:t>
            </w:r>
          </w:p>
        </w:tc>
      </w:tr>
      <w:tr w:rsidR="00556BEC" w:rsidRPr="00575ED4" w:rsidTr="00291E07">
        <w:trPr>
          <w:trHeight w:val="255"/>
        </w:trPr>
        <w:tc>
          <w:tcPr>
            <w:tcW w:w="2615"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3"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3"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3"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3450" w:type="dxa"/>
            <w:tcBorders>
              <w:top w:val="nil"/>
              <w:left w:val="nil"/>
              <w:bottom w:val="nil"/>
              <w:right w:val="nil"/>
            </w:tcBorders>
            <w:shd w:val="clear" w:color="000000" w:fill="FFFFFF"/>
            <w:noWrap/>
            <w:vAlign w:val="bottom"/>
            <w:hideMark/>
          </w:tcPr>
          <w:p w:rsidR="00556BEC" w:rsidRPr="00FB4A95" w:rsidRDefault="00556BEC" w:rsidP="00291E07">
            <w:pPr>
              <w:spacing w:before="0" w:after="0"/>
              <w:rPr>
                <w:sz w:val="22"/>
                <w:szCs w:val="22"/>
              </w:rPr>
            </w:pPr>
            <w:r w:rsidRPr="00FB4A95">
              <w:rPr>
                <w:sz w:val="22"/>
                <w:szCs w:val="22"/>
              </w:rPr>
              <w:t> </w:t>
            </w:r>
          </w:p>
        </w:tc>
        <w:tc>
          <w:tcPr>
            <w:tcW w:w="2815" w:type="dxa"/>
            <w:tcBorders>
              <w:top w:val="nil"/>
              <w:left w:val="nil"/>
              <w:bottom w:val="nil"/>
              <w:right w:val="nil"/>
            </w:tcBorders>
            <w:shd w:val="clear" w:color="000000" w:fill="FFFFFF"/>
            <w:noWrap/>
            <w:vAlign w:val="bottom"/>
            <w:hideMark/>
          </w:tcPr>
          <w:p w:rsidR="00556BEC" w:rsidRPr="00FB4A95" w:rsidRDefault="00556BEC" w:rsidP="00291E07">
            <w:pPr>
              <w:spacing w:before="0" w:after="0"/>
              <w:rPr>
                <w:sz w:val="22"/>
                <w:szCs w:val="22"/>
              </w:rPr>
            </w:pPr>
            <w:r w:rsidRPr="00FB4A95">
              <w:rPr>
                <w:sz w:val="22"/>
                <w:szCs w:val="22"/>
              </w:rPr>
              <w:t> </w:t>
            </w:r>
          </w:p>
        </w:tc>
      </w:tr>
      <w:tr w:rsidR="00556BEC" w:rsidRPr="00575ED4" w:rsidTr="00291E07">
        <w:trPr>
          <w:trHeight w:val="255"/>
        </w:trPr>
        <w:tc>
          <w:tcPr>
            <w:tcW w:w="2615" w:type="dxa"/>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b/>
                <w:bCs/>
                <w:szCs w:val="24"/>
                <w:lang w:eastAsia="en-GB"/>
              </w:rPr>
            </w:pPr>
            <w:r w:rsidRPr="00575ED4">
              <w:rPr>
                <w:b/>
                <w:bCs/>
                <w:szCs w:val="24"/>
                <w:lang w:eastAsia="en-GB"/>
              </w:rPr>
              <w:t>Total</w:t>
            </w:r>
          </w:p>
        </w:tc>
        <w:tc>
          <w:tcPr>
            <w:tcW w:w="283" w:type="dxa"/>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b/>
                <w:bCs/>
                <w:szCs w:val="24"/>
                <w:lang w:eastAsia="en-GB"/>
              </w:rPr>
            </w:pPr>
            <w:r w:rsidRPr="00575ED4">
              <w:rPr>
                <w:b/>
                <w:bCs/>
                <w:szCs w:val="24"/>
                <w:lang w:eastAsia="en-GB"/>
              </w:rPr>
              <w:t> </w:t>
            </w:r>
          </w:p>
        </w:tc>
        <w:tc>
          <w:tcPr>
            <w:tcW w:w="283" w:type="dxa"/>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b/>
                <w:bCs/>
                <w:szCs w:val="24"/>
                <w:lang w:eastAsia="en-GB"/>
              </w:rPr>
            </w:pPr>
            <w:r w:rsidRPr="00575ED4">
              <w:rPr>
                <w:b/>
                <w:bCs/>
                <w:szCs w:val="24"/>
                <w:lang w:eastAsia="en-GB"/>
              </w:rPr>
              <w:t> </w:t>
            </w:r>
          </w:p>
        </w:tc>
        <w:tc>
          <w:tcPr>
            <w:tcW w:w="283" w:type="dxa"/>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b/>
                <w:bCs/>
                <w:szCs w:val="24"/>
                <w:lang w:eastAsia="en-GB"/>
              </w:rPr>
            </w:pPr>
            <w:r w:rsidRPr="00575ED4">
              <w:rPr>
                <w:b/>
                <w:bCs/>
                <w:szCs w:val="24"/>
                <w:lang w:eastAsia="en-GB"/>
              </w:rPr>
              <w:t> </w:t>
            </w:r>
          </w:p>
        </w:tc>
        <w:tc>
          <w:tcPr>
            <w:tcW w:w="3450" w:type="dxa"/>
            <w:tcBorders>
              <w:top w:val="nil"/>
              <w:left w:val="nil"/>
              <w:bottom w:val="single" w:sz="4" w:space="0" w:color="auto"/>
              <w:right w:val="nil"/>
            </w:tcBorders>
            <w:shd w:val="clear" w:color="000000" w:fill="FFFFFF"/>
            <w:noWrap/>
            <w:vAlign w:val="bottom"/>
            <w:hideMark/>
          </w:tcPr>
          <w:p w:rsidR="00556BEC" w:rsidRPr="00FB4A95" w:rsidRDefault="00556BEC" w:rsidP="00291E07">
            <w:pPr>
              <w:spacing w:before="0" w:after="0"/>
              <w:jc w:val="right"/>
              <w:rPr>
                <w:b/>
                <w:bCs/>
                <w:sz w:val="22"/>
                <w:szCs w:val="22"/>
              </w:rPr>
            </w:pPr>
            <w:r w:rsidRPr="00FB4A95">
              <w:rPr>
                <w:b/>
                <w:bCs/>
                <w:sz w:val="22"/>
                <w:szCs w:val="22"/>
              </w:rPr>
              <w:t>2,106</w:t>
            </w:r>
          </w:p>
        </w:tc>
        <w:tc>
          <w:tcPr>
            <w:tcW w:w="2815" w:type="dxa"/>
            <w:tcBorders>
              <w:top w:val="nil"/>
              <w:left w:val="nil"/>
              <w:bottom w:val="single" w:sz="4" w:space="0" w:color="auto"/>
              <w:right w:val="nil"/>
            </w:tcBorders>
            <w:shd w:val="clear" w:color="000000" w:fill="FFFFFF"/>
            <w:noWrap/>
            <w:vAlign w:val="bottom"/>
            <w:hideMark/>
          </w:tcPr>
          <w:p w:rsidR="00556BEC" w:rsidRPr="00FB4A95" w:rsidRDefault="00556BEC" w:rsidP="00291E07">
            <w:pPr>
              <w:spacing w:before="0" w:after="0"/>
              <w:jc w:val="right"/>
              <w:rPr>
                <w:b/>
                <w:bCs/>
                <w:sz w:val="22"/>
                <w:szCs w:val="22"/>
              </w:rPr>
            </w:pPr>
            <w:r w:rsidRPr="00FB4A95">
              <w:rPr>
                <w:b/>
                <w:bCs/>
                <w:sz w:val="22"/>
                <w:szCs w:val="22"/>
              </w:rPr>
              <w:t>3,005</w:t>
            </w:r>
          </w:p>
        </w:tc>
      </w:tr>
      <w:tr w:rsidR="00556BEC" w:rsidRPr="00575ED4" w:rsidTr="00291E07">
        <w:trPr>
          <w:trHeight w:val="255"/>
        </w:trPr>
        <w:tc>
          <w:tcPr>
            <w:tcW w:w="2615"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3"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3"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3"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3450"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15"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r>
      <w:tr w:rsidR="00556BEC" w:rsidRPr="00575ED4" w:rsidTr="00291E07">
        <w:trPr>
          <w:trHeight w:val="255"/>
        </w:trPr>
        <w:tc>
          <w:tcPr>
            <w:tcW w:w="9729" w:type="dxa"/>
            <w:gridSpan w:val="6"/>
            <w:tcBorders>
              <w:top w:val="nil"/>
              <w:left w:val="nil"/>
              <w:bottom w:val="nil"/>
              <w:right w:val="nil"/>
            </w:tcBorders>
            <w:shd w:val="clear" w:color="000000" w:fill="FFFFFF"/>
            <w:vAlign w:val="bottom"/>
            <w:hideMark/>
          </w:tcPr>
          <w:p w:rsidR="00556BEC" w:rsidRPr="00575ED4" w:rsidRDefault="00556BEC" w:rsidP="00291E07">
            <w:pPr>
              <w:spacing w:before="0" w:after="0" w:line="240" w:lineRule="auto"/>
              <w:jc w:val="both"/>
              <w:rPr>
                <w:szCs w:val="24"/>
                <w:lang w:eastAsia="en-GB"/>
              </w:rPr>
            </w:pPr>
            <w:r w:rsidRPr="00575ED4">
              <w:rPr>
                <w:szCs w:val="24"/>
                <w:vertAlign w:val="superscript"/>
                <w:lang w:eastAsia="en-GB"/>
              </w:rPr>
              <w:t xml:space="preserve">1 </w:t>
            </w:r>
            <w:r w:rsidRPr="00575ED4">
              <w:rPr>
                <w:szCs w:val="24"/>
                <w:lang w:eastAsia="en-GB"/>
              </w:rPr>
              <w:t>Based on returns received up to 14th November 2013.</w:t>
            </w:r>
          </w:p>
        </w:tc>
      </w:tr>
      <w:tr w:rsidR="00556BEC" w:rsidRPr="00575ED4" w:rsidTr="00291E07">
        <w:trPr>
          <w:trHeight w:val="285"/>
        </w:trPr>
        <w:tc>
          <w:tcPr>
            <w:tcW w:w="9729" w:type="dxa"/>
            <w:gridSpan w:val="6"/>
            <w:tcBorders>
              <w:top w:val="nil"/>
              <w:left w:val="nil"/>
              <w:bottom w:val="nil"/>
              <w:right w:val="nil"/>
            </w:tcBorders>
            <w:shd w:val="clear" w:color="000000" w:fill="FFFFFF"/>
            <w:noWrap/>
            <w:vAlign w:val="bottom"/>
            <w:hideMark/>
          </w:tcPr>
          <w:p w:rsidR="00556BEC" w:rsidRPr="00575ED4" w:rsidRDefault="00EC7641" w:rsidP="00291E07">
            <w:pPr>
              <w:spacing w:before="0" w:after="0" w:line="240" w:lineRule="auto"/>
              <w:jc w:val="both"/>
              <w:rPr>
                <w:szCs w:val="24"/>
                <w:lang w:eastAsia="en-GB"/>
              </w:rPr>
            </w:pPr>
            <w:r>
              <w:rPr>
                <w:szCs w:val="24"/>
                <w:vertAlign w:val="superscript"/>
                <w:lang w:eastAsia="en-GB"/>
              </w:rPr>
              <w:t>2</w:t>
            </w:r>
            <w:r w:rsidRPr="00575ED4">
              <w:rPr>
                <w:szCs w:val="24"/>
                <w:vertAlign w:val="superscript"/>
                <w:lang w:eastAsia="en-GB"/>
              </w:rPr>
              <w:t xml:space="preserve"> </w:t>
            </w:r>
            <w:r w:rsidRPr="00575ED4">
              <w:rPr>
                <w:szCs w:val="24"/>
                <w:lang w:eastAsia="en-GB"/>
              </w:rPr>
              <w:t>This excludes any properties that had an assessment but where no reported measures were installed.</w:t>
            </w:r>
          </w:p>
        </w:tc>
      </w:tr>
      <w:tr w:rsidR="00556BEC" w:rsidRPr="00575ED4" w:rsidTr="00291E07">
        <w:trPr>
          <w:trHeight w:val="285"/>
        </w:trPr>
        <w:tc>
          <w:tcPr>
            <w:tcW w:w="9729" w:type="dxa"/>
            <w:gridSpan w:val="6"/>
            <w:tcBorders>
              <w:top w:val="nil"/>
              <w:left w:val="nil"/>
              <w:bottom w:val="nil"/>
              <w:right w:val="nil"/>
            </w:tcBorders>
            <w:shd w:val="clear" w:color="000000" w:fill="FFFFFF"/>
            <w:noWrap/>
            <w:vAlign w:val="bottom"/>
            <w:hideMark/>
          </w:tcPr>
          <w:p w:rsidR="00EC7641" w:rsidRDefault="00EC7641" w:rsidP="00291E07">
            <w:pPr>
              <w:spacing w:before="0" w:after="0" w:line="240" w:lineRule="auto"/>
              <w:jc w:val="both"/>
              <w:rPr>
                <w:szCs w:val="24"/>
                <w:lang w:eastAsia="en-GB"/>
              </w:rPr>
            </w:pPr>
            <w:r>
              <w:rPr>
                <w:szCs w:val="24"/>
                <w:vertAlign w:val="superscript"/>
                <w:lang w:eastAsia="en-GB"/>
              </w:rPr>
              <w:t>3</w:t>
            </w:r>
            <w:r w:rsidR="00556BEC" w:rsidRPr="00575ED4">
              <w:rPr>
                <w:szCs w:val="24"/>
                <w:vertAlign w:val="superscript"/>
                <w:lang w:eastAsia="en-GB"/>
              </w:rPr>
              <w:t xml:space="preserve"> </w:t>
            </w:r>
            <w:r w:rsidRPr="00EC7641">
              <w:rPr>
                <w:szCs w:val="24"/>
                <w:lang w:eastAsia="en-GB"/>
              </w:rPr>
              <w:t>This includes a number of measures which were also reported as ECO measures.</w:t>
            </w:r>
          </w:p>
          <w:p w:rsidR="00EC7641" w:rsidRPr="00575ED4" w:rsidRDefault="00EC7641" w:rsidP="00291E07">
            <w:pPr>
              <w:spacing w:before="0" w:after="0" w:line="240" w:lineRule="auto"/>
              <w:jc w:val="both"/>
              <w:rPr>
                <w:szCs w:val="24"/>
                <w:lang w:eastAsia="en-GB"/>
              </w:rPr>
            </w:pPr>
            <w:r>
              <w:rPr>
                <w:szCs w:val="24"/>
                <w:vertAlign w:val="superscript"/>
                <w:lang w:eastAsia="en-GB"/>
              </w:rPr>
              <w:t>4</w:t>
            </w:r>
            <w:r w:rsidRPr="00575ED4">
              <w:rPr>
                <w:szCs w:val="24"/>
                <w:lang w:eastAsia="en-GB"/>
              </w:rPr>
              <w:t xml:space="preserve"> Includes number of individual address in tower blocks that have benefitted from a communal Eco Pod installation.</w:t>
            </w:r>
          </w:p>
        </w:tc>
      </w:tr>
    </w:tbl>
    <w:p w:rsidR="00556BEC" w:rsidRDefault="00556BEC" w:rsidP="00556BEC">
      <w:pPr>
        <w:pStyle w:val="Paragraphtext"/>
      </w:pPr>
    </w:p>
    <w:tbl>
      <w:tblPr>
        <w:tblW w:w="9636" w:type="dxa"/>
        <w:tblInd w:w="93" w:type="dxa"/>
        <w:tblLook w:val="04A0" w:firstRow="1" w:lastRow="0" w:firstColumn="1" w:lastColumn="0" w:noHBand="0" w:noVBand="1"/>
      </w:tblPr>
      <w:tblGrid>
        <w:gridCol w:w="2869"/>
        <w:gridCol w:w="283"/>
        <w:gridCol w:w="283"/>
        <w:gridCol w:w="1258"/>
        <w:gridCol w:w="3499"/>
        <w:gridCol w:w="895"/>
        <w:gridCol w:w="549"/>
      </w:tblGrid>
      <w:tr w:rsidR="00556BEC" w:rsidRPr="00575ED4" w:rsidTr="00291E07">
        <w:trPr>
          <w:trHeight w:val="285"/>
        </w:trPr>
        <w:tc>
          <w:tcPr>
            <w:tcW w:w="9636" w:type="dxa"/>
            <w:gridSpan w:val="7"/>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b/>
                <w:bCs/>
                <w:szCs w:val="24"/>
                <w:lang w:eastAsia="en-GB"/>
              </w:rPr>
            </w:pPr>
            <w:bookmarkStart w:id="63" w:name="RANGE!A1:E4"/>
            <w:r>
              <w:rPr>
                <w:b/>
                <w:bCs/>
                <w:szCs w:val="24"/>
                <w:lang w:eastAsia="en-GB"/>
              </w:rPr>
              <w:t>Table 1.8</w:t>
            </w:r>
            <w:r w:rsidRPr="00575ED4">
              <w:rPr>
                <w:b/>
                <w:bCs/>
                <w:szCs w:val="24"/>
                <w:lang w:eastAsia="en-GB"/>
              </w:rPr>
              <w:t>a: Provisional number of energy efficiency measures installed under Core Cities Project</w:t>
            </w:r>
            <w:r w:rsidRPr="00575ED4">
              <w:rPr>
                <w:b/>
                <w:bCs/>
                <w:szCs w:val="24"/>
                <w:vertAlign w:val="superscript"/>
                <w:lang w:eastAsia="en-GB"/>
              </w:rPr>
              <w:t>1</w:t>
            </w:r>
            <w:r w:rsidRPr="00575ED4">
              <w:rPr>
                <w:b/>
                <w:bCs/>
                <w:szCs w:val="24"/>
                <w:lang w:eastAsia="en-GB"/>
              </w:rPr>
              <w:t>, by measure type</w:t>
            </w:r>
            <w:bookmarkEnd w:id="63"/>
          </w:p>
        </w:tc>
      </w:tr>
      <w:tr w:rsidR="00556BEC" w:rsidRPr="00575ED4" w:rsidTr="00D2633D">
        <w:trPr>
          <w:trHeight w:val="255"/>
        </w:trPr>
        <w:tc>
          <w:tcPr>
            <w:tcW w:w="2869" w:type="dxa"/>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b/>
                <w:bCs/>
                <w:szCs w:val="24"/>
                <w:lang w:eastAsia="en-GB"/>
              </w:rPr>
            </w:pPr>
            <w:r w:rsidRPr="00575ED4">
              <w:rPr>
                <w:b/>
                <w:bCs/>
                <w:szCs w:val="24"/>
                <w:lang w:eastAsia="en-GB"/>
              </w:rPr>
              <w:t> </w:t>
            </w:r>
          </w:p>
        </w:tc>
        <w:tc>
          <w:tcPr>
            <w:tcW w:w="283" w:type="dxa"/>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3" w:type="dxa"/>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1258" w:type="dxa"/>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3499" w:type="dxa"/>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1444" w:type="dxa"/>
            <w:gridSpan w:val="2"/>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r>
      <w:tr w:rsidR="00556BEC" w:rsidRPr="00575ED4" w:rsidTr="00D2633D">
        <w:trPr>
          <w:trHeight w:val="510"/>
        </w:trPr>
        <w:tc>
          <w:tcPr>
            <w:tcW w:w="2869" w:type="dxa"/>
            <w:tcBorders>
              <w:top w:val="nil"/>
              <w:left w:val="nil"/>
              <w:bottom w:val="single" w:sz="4" w:space="0" w:color="auto"/>
              <w:right w:val="nil"/>
            </w:tcBorders>
            <w:shd w:val="clear" w:color="000000" w:fill="FFFFFF"/>
            <w:noWrap/>
            <w:vAlign w:val="center"/>
            <w:hideMark/>
          </w:tcPr>
          <w:p w:rsidR="00556BEC" w:rsidRPr="00575ED4" w:rsidRDefault="00556BEC" w:rsidP="00291E07">
            <w:pPr>
              <w:spacing w:before="0" w:after="0" w:line="240" w:lineRule="auto"/>
              <w:rPr>
                <w:szCs w:val="24"/>
                <w:lang w:eastAsia="en-GB"/>
              </w:rPr>
            </w:pPr>
            <w:r w:rsidRPr="00575ED4">
              <w:rPr>
                <w:szCs w:val="24"/>
                <w:lang w:eastAsia="en-GB"/>
              </w:rPr>
              <w:t>Measure type</w:t>
            </w:r>
          </w:p>
        </w:tc>
        <w:tc>
          <w:tcPr>
            <w:tcW w:w="283" w:type="dxa"/>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3" w:type="dxa"/>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1258" w:type="dxa"/>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3499" w:type="dxa"/>
            <w:tcBorders>
              <w:top w:val="nil"/>
              <w:left w:val="nil"/>
              <w:bottom w:val="single" w:sz="4" w:space="0" w:color="auto"/>
              <w:right w:val="nil"/>
            </w:tcBorders>
            <w:shd w:val="clear" w:color="000000" w:fill="FFFFFF"/>
            <w:vAlign w:val="bottom"/>
            <w:hideMark/>
          </w:tcPr>
          <w:p w:rsidR="00556BEC" w:rsidRPr="00575ED4" w:rsidRDefault="00556BEC" w:rsidP="00291E07">
            <w:pPr>
              <w:spacing w:before="0" w:after="0" w:line="240" w:lineRule="auto"/>
              <w:jc w:val="right"/>
              <w:rPr>
                <w:szCs w:val="24"/>
                <w:lang w:eastAsia="en-GB"/>
              </w:rPr>
            </w:pPr>
            <w:r w:rsidRPr="00575ED4">
              <w:rPr>
                <w:szCs w:val="24"/>
                <w:lang w:eastAsia="en-GB"/>
              </w:rPr>
              <w:t>Number of measures installed</w:t>
            </w:r>
            <w:r w:rsidR="00D2633D" w:rsidRPr="00D2633D">
              <w:rPr>
                <w:szCs w:val="24"/>
                <w:vertAlign w:val="superscript"/>
                <w:lang w:eastAsia="en-GB"/>
              </w:rPr>
              <w:t>2</w:t>
            </w:r>
          </w:p>
        </w:tc>
        <w:tc>
          <w:tcPr>
            <w:tcW w:w="1444" w:type="dxa"/>
            <w:gridSpan w:val="2"/>
            <w:tcBorders>
              <w:top w:val="single" w:sz="4" w:space="0" w:color="auto"/>
              <w:left w:val="nil"/>
              <w:bottom w:val="single" w:sz="4" w:space="0" w:color="auto"/>
              <w:right w:val="nil"/>
            </w:tcBorders>
            <w:shd w:val="clear" w:color="auto" w:fill="auto"/>
            <w:vAlign w:val="bottom"/>
            <w:hideMark/>
          </w:tcPr>
          <w:p w:rsidR="00556BEC" w:rsidRPr="00575ED4" w:rsidRDefault="00556BEC" w:rsidP="00291E07">
            <w:pPr>
              <w:spacing w:before="0" w:after="0" w:line="240" w:lineRule="auto"/>
              <w:jc w:val="right"/>
              <w:rPr>
                <w:color w:val="000000"/>
                <w:szCs w:val="24"/>
                <w:lang w:eastAsia="en-GB"/>
              </w:rPr>
            </w:pPr>
            <w:r w:rsidRPr="00575ED4">
              <w:rPr>
                <w:color w:val="000000"/>
                <w:szCs w:val="24"/>
                <w:lang w:eastAsia="en-GB"/>
              </w:rPr>
              <w:t>Percentage of measures</w:t>
            </w:r>
          </w:p>
        </w:tc>
      </w:tr>
      <w:tr w:rsidR="00556BEC" w:rsidRPr="00575ED4" w:rsidTr="00D2633D">
        <w:trPr>
          <w:trHeight w:val="255"/>
        </w:trPr>
        <w:tc>
          <w:tcPr>
            <w:tcW w:w="3435" w:type="dxa"/>
            <w:gridSpan w:val="3"/>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Air Source Heat Pump</w:t>
            </w:r>
          </w:p>
        </w:tc>
        <w:tc>
          <w:tcPr>
            <w:tcW w:w="1258"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3499"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jc w:val="right"/>
              <w:rPr>
                <w:szCs w:val="24"/>
                <w:lang w:eastAsia="en-GB"/>
              </w:rPr>
            </w:pPr>
            <w:r w:rsidRPr="00575ED4">
              <w:rPr>
                <w:szCs w:val="24"/>
                <w:lang w:eastAsia="en-GB"/>
              </w:rPr>
              <w:t>16</w:t>
            </w:r>
          </w:p>
        </w:tc>
        <w:tc>
          <w:tcPr>
            <w:tcW w:w="1444" w:type="dxa"/>
            <w:gridSpan w:val="2"/>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jc w:val="right"/>
              <w:rPr>
                <w:i/>
                <w:iCs/>
                <w:szCs w:val="24"/>
                <w:lang w:eastAsia="en-GB"/>
              </w:rPr>
            </w:pPr>
            <w:r w:rsidRPr="00575ED4">
              <w:rPr>
                <w:i/>
                <w:iCs/>
                <w:szCs w:val="24"/>
                <w:lang w:eastAsia="en-GB"/>
              </w:rPr>
              <w:t>0.5</w:t>
            </w:r>
          </w:p>
        </w:tc>
      </w:tr>
      <w:tr w:rsidR="00556BEC" w:rsidRPr="00575ED4" w:rsidTr="00D2633D">
        <w:trPr>
          <w:trHeight w:val="255"/>
        </w:trPr>
        <w:tc>
          <w:tcPr>
            <w:tcW w:w="2869"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Boiler</w:t>
            </w:r>
          </w:p>
        </w:tc>
        <w:tc>
          <w:tcPr>
            <w:tcW w:w="283"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3"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1258"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3499"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jc w:val="right"/>
              <w:rPr>
                <w:szCs w:val="24"/>
                <w:lang w:eastAsia="en-GB"/>
              </w:rPr>
            </w:pPr>
            <w:r>
              <w:rPr>
                <w:szCs w:val="24"/>
                <w:lang w:eastAsia="en-GB"/>
              </w:rPr>
              <w:t>484</w:t>
            </w:r>
          </w:p>
        </w:tc>
        <w:tc>
          <w:tcPr>
            <w:tcW w:w="1444" w:type="dxa"/>
            <w:gridSpan w:val="2"/>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jc w:val="right"/>
              <w:rPr>
                <w:i/>
                <w:iCs/>
                <w:szCs w:val="24"/>
                <w:lang w:eastAsia="en-GB"/>
              </w:rPr>
            </w:pPr>
            <w:r>
              <w:rPr>
                <w:i/>
                <w:iCs/>
                <w:szCs w:val="24"/>
                <w:lang w:eastAsia="en-GB"/>
              </w:rPr>
              <w:t>16.1</w:t>
            </w:r>
          </w:p>
        </w:tc>
      </w:tr>
      <w:tr w:rsidR="00556BEC" w:rsidRPr="00575ED4" w:rsidTr="00D2633D">
        <w:trPr>
          <w:trHeight w:val="255"/>
        </w:trPr>
        <w:tc>
          <w:tcPr>
            <w:tcW w:w="3435" w:type="dxa"/>
            <w:gridSpan w:val="3"/>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Cavity Wall Insulation</w:t>
            </w:r>
          </w:p>
        </w:tc>
        <w:tc>
          <w:tcPr>
            <w:tcW w:w="1258"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3499"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jc w:val="right"/>
              <w:rPr>
                <w:szCs w:val="24"/>
                <w:lang w:eastAsia="en-GB"/>
              </w:rPr>
            </w:pPr>
            <w:r w:rsidRPr="00575ED4">
              <w:rPr>
                <w:szCs w:val="24"/>
                <w:lang w:eastAsia="en-GB"/>
              </w:rPr>
              <w:t>30</w:t>
            </w:r>
          </w:p>
        </w:tc>
        <w:tc>
          <w:tcPr>
            <w:tcW w:w="1444" w:type="dxa"/>
            <w:gridSpan w:val="2"/>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jc w:val="right"/>
              <w:rPr>
                <w:i/>
                <w:iCs/>
                <w:szCs w:val="24"/>
                <w:lang w:eastAsia="en-GB"/>
              </w:rPr>
            </w:pPr>
            <w:r w:rsidRPr="00575ED4">
              <w:rPr>
                <w:i/>
                <w:iCs/>
                <w:szCs w:val="24"/>
                <w:lang w:eastAsia="en-GB"/>
              </w:rPr>
              <w:t>1</w:t>
            </w:r>
            <w:r>
              <w:rPr>
                <w:i/>
                <w:iCs/>
                <w:szCs w:val="24"/>
                <w:lang w:eastAsia="en-GB"/>
              </w:rPr>
              <w:t>.0</w:t>
            </w:r>
          </w:p>
        </w:tc>
      </w:tr>
      <w:tr w:rsidR="00556BEC" w:rsidRPr="00575ED4" w:rsidTr="00D2633D">
        <w:trPr>
          <w:trHeight w:val="255"/>
        </w:trPr>
        <w:tc>
          <w:tcPr>
            <w:tcW w:w="3152" w:type="dxa"/>
            <w:gridSpan w:val="2"/>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Cellar Insulation</w:t>
            </w:r>
          </w:p>
        </w:tc>
        <w:tc>
          <w:tcPr>
            <w:tcW w:w="283"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1258"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3499"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jc w:val="right"/>
              <w:rPr>
                <w:szCs w:val="24"/>
                <w:lang w:eastAsia="en-GB"/>
              </w:rPr>
            </w:pPr>
            <w:r w:rsidRPr="00575ED4">
              <w:rPr>
                <w:szCs w:val="24"/>
                <w:lang w:eastAsia="en-GB"/>
              </w:rPr>
              <w:t>23</w:t>
            </w:r>
          </w:p>
        </w:tc>
        <w:tc>
          <w:tcPr>
            <w:tcW w:w="1444" w:type="dxa"/>
            <w:gridSpan w:val="2"/>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jc w:val="right"/>
              <w:rPr>
                <w:i/>
                <w:iCs/>
                <w:szCs w:val="24"/>
                <w:lang w:eastAsia="en-GB"/>
              </w:rPr>
            </w:pPr>
            <w:r w:rsidRPr="00575ED4">
              <w:rPr>
                <w:i/>
                <w:iCs/>
                <w:szCs w:val="24"/>
                <w:lang w:eastAsia="en-GB"/>
              </w:rPr>
              <w:t>0.8</w:t>
            </w:r>
          </w:p>
        </w:tc>
      </w:tr>
      <w:tr w:rsidR="00556BEC" w:rsidRPr="00575ED4" w:rsidTr="00D2633D">
        <w:trPr>
          <w:trHeight w:val="255"/>
        </w:trPr>
        <w:tc>
          <w:tcPr>
            <w:tcW w:w="3152" w:type="dxa"/>
            <w:gridSpan w:val="2"/>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Draughtproofing</w:t>
            </w:r>
          </w:p>
        </w:tc>
        <w:tc>
          <w:tcPr>
            <w:tcW w:w="283"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1258"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3499"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jc w:val="right"/>
              <w:rPr>
                <w:szCs w:val="24"/>
                <w:lang w:eastAsia="en-GB"/>
              </w:rPr>
            </w:pPr>
            <w:r w:rsidRPr="00575ED4">
              <w:rPr>
                <w:szCs w:val="24"/>
                <w:lang w:eastAsia="en-GB"/>
              </w:rPr>
              <w:t>41</w:t>
            </w:r>
          </w:p>
        </w:tc>
        <w:tc>
          <w:tcPr>
            <w:tcW w:w="1444" w:type="dxa"/>
            <w:gridSpan w:val="2"/>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jc w:val="right"/>
              <w:rPr>
                <w:i/>
                <w:iCs/>
                <w:szCs w:val="24"/>
                <w:lang w:eastAsia="en-GB"/>
              </w:rPr>
            </w:pPr>
            <w:r w:rsidRPr="00575ED4">
              <w:rPr>
                <w:i/>
                <w:iCs/>
                <w:szCs w:val="24"/>
                <w:lang w:eastAsia="en-GB"/>
              </w:rPr>
              <w:t>1.4</w:t>
            </w:r>
          </w:p>
        </w:tc>
      </w:tr>
      <w:tr w:rsidR="00556BEC" w:rsidRPr="00575ED4" w:rsidTr="00D2633D">
        <w:trPr>
          <w:trHeight w:val="285"/>
        </w:trPr>
        <w:tc>
          <w:tcPr>
            <w:tcW w:w="2869"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ECO Pod</w:t>
            </w:r>
            <w:r w:rsidR="00D2633D">
              <w:rPr>
                <w:szCs w:val="24"/>
                <w:vertAlign w:val="superscript"/>
                <w:lang w:eastAsia="en-GB"/>
              </w:rPr>
              <w:t>3</w:t>
            </w:r>
          </w:p>
        </w:tc>
        <w:tc>
          <w:tcPr>
            <w:tcW w:w="283"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3"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1258"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3499"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jc w:val="right"/>
              <w:rPr>
                <w:szCs w:val="24"/>
                <w:lang w:eastAsia="en-GB"/>
              </w:rPr>
            </w:pPr>
            <w:r w:rsidRPr="00575ED4">
              <w:rPr>
                <w:szCs w:val="24"/>
                <w:lang w:eastAsia="en-GB"/>
              </w:rPr>
              <w:t>426</w:t>
            </w:r>
          </w:p>
        </w:tc>
        <w:tc>
          <w:tcPr>
            <w:tcW w:w="1444" w:type="dxa"/>
            <w:gridSpan w:val="2"/>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jc w:val="right"/>
              <w:rPr>
                <w:i/>
                <w:iCs/>
                <w:szCs w:val="24"/>
                <w:lang w:eastAsia="en-GB"/>
              </w:rPr>
            </w:pPr>
            <w:r w:rsidRPr="00575ED4">
              <w:rPr>
                <w:i/>
                <w:iCs/>
                <w:szCs w:val="24"/>
                <w:lang w:eastAsia="en-GB"/>
              </w:rPr>
              <w:t>14.</w:t>
            </w:r>
            <w:r>
              <w:rPr>
                <w:i/>
                <w:iCs/>
                <w:szCs w:val="24"/>
                <w:lang w:eastAsia="en-GB"/>
              </w:rPr>
              <w:t>2</w:t>
            </w:r>
          </w:p>
        </w:tc>
      </w:tr>
      <w:tr w:rsidR="00556BEC" w:rsidRPr="00575ED4" w:rsidTr="00D2633D">
        <w:trPr>
          <w:trHeight w:val="255"/>
        </w:trPr>
        <w:tc>
          <w:tcPr>
            <w:tcW w:w="3435" w:type="dxa"/>
            <w:gridSpan w:val="3"/>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External Wall Insulation</w:t>
            </w:r>
          </w:p>
        </w:tc>
        <w:tc>
          <w:tcPr>
            <w:tcW w:w="1258"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3499"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jc w:val="right"/>
              <w:rPr>
                <w:szCs w:val="24"/>
                <w:lang w:eastAsia="en-GB"/>
              </w:rPr>
            </w:pPr>
            <w:r>
              <w:rPr>
                <w:szCs w:val="24"/>
                <w:lang w:eastAsia="en-GB"/>
              </w:rPr>
              <w:t>1,086</w:t>
            </w:r>
          </w:p>
        </w:tc>
        <w:tc>
          <w:tcPr>
            <w:tcW w:w="1444" w:type="dxa"/>
            <w:gridSpan w:val="2"/>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jc w:val="right"/>
              <w:rPr>
                <w:i/>
                <w:iCs/>
                <w:szCs w:val="24"/>
                <w:lang w:eastAsia="en-GB"/>
              </w:rPr>
            </w:pPr>
            <w:r>
              <w:rPr>
                <w:i/>
                <w:iCs/>
                <w:szCs w:val="24"/>
                <w:lang w:eastAsia="en-GB"/>
              </w:rPr>
              <w:t>36.1</w:t>
            </w:r>
          </w:p>
        </w:tc>
      </w:tr>
      <w:tr w:rsidR="00556BEC" w:rsidRPr="00575ED4" w:rsidTr="00D2633D">
        <w:trPr>
          <w:trHeight w:val="255"/>
        </w:trPr>
        <w:tc>
          <w:tcPr>
            <w:tcW w:w="3152" w:type="dxa"/>
            <w:gridSpan w:val="2"/>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Heating controls</w:t>
            </w:r>
          </w:p>
        </w:tc>
        <w:tc>
          <w:tcPr>
            <w:tcW w:w="283"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1258"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3499"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jc w:val="right"/>
              <w:rPr>
                <w:szCs w:val="24"/>
                <w:lang w:eastAsia="en-GB"/>
              </w:rPr>
            </w:pPr>
            <w:r w:rsidRPr="00575ED4">
              <w:rPr>
                <w:szCs w:val="24"/>
                <w:lang w:eastAsia="en-GB"/>
              </w:rPr>
              <w:t>12</w:t>
            </w:r>
          </w:p>
        </w:tc>
        <w:tc>
          <w:tcPr>
            <w:tcW w:w="1444" w:type="dxa"/>
            <w:gridSpan w:val="2"/>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jc w:val="right"/>
              <w:rPr>
                <w:i/>
                <w:iCs/>
                <w:szCs w:val="24"/>
                <w:lang w:eastAsia="en-GB"/>
              </w:rPr>
            </w:pPr>
            <w:r w:rsidRPr="00575ED4">
              <w:rPr>
                <w:i/>
                <w:iCs/>
                <w:szCs w:val="24"/>
                <w:lang w:eastAsia="en-GB"/>
              </w:rPr>
              <w:t>0.4</w:t>
            </w:r>
          </w:p>
        </w:tc>
      </w:tr>
      <w:tr w:rsidR="00556BEC" w:rsidRPr="00575ED4" w:rsidTr="00D2633D">
        <w:trPr>
          <w:trHeight w:val="255"/>
        </w:trPr>
        <w:tc>
          <w:tcPr>
            <w:tcW w:w="4693" w:type="dxa"/>
            <w:gridSpan w:val="4"/>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High Performance External Doors</w:t>
            </w:r>
          </w:p>
        </w:tc>
        <w:tc>
          <w:tcPr>
            <w:tcW w:w="3499"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jc w:val="right"/>
              <w:rPr>
                <w:szCs w:val="24"/>
                <w:lang w:eastAsia="en-GB"/>
              </w:rPr>
            </w:pPr>
            <w:r>
              <w:rPr>
                <w:szCs w:val="24"/>
                <w:lang w:eastAsia="en-GB"/>
              </w:rPr>
              <w:t>182</w:t>
            </w:r>
          </w:p>
        </w:tc>
        <w:tc>
          <w:tcPr>
            <w:tcW w:w="1444" w:type="dxa"/>
            <w:gridSpan w:val="2"/>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jc w:val="right"/>
              <w:rPr>
                <w:i/>
                <w:iCs/>
                <w:szCs w:val="24"/>
                <w:lang w:eastAsia="en-GB"/>
              </w:rPr>
            </w:pPr>
            <w:r>
              <w:rPr>
                <w:i/>
                <w:iCs/>
                <w:szCs w:val="24"/>
                <w:lang w:eastAsia="en-GB"/>
              </w:rPr>
              <w:t>6.1</w:t>
            </w:r>
          </w:p>
        </w:tc>
      </w:tr>
      <w:tr w:rsidR="00556BEC" w:rsidRPr="00575ED4" w:rsidTr="00D2633D">
        <w:trPr>
          <w:trHeight w:val="255"/>
        </w:trPr>
        <w:tc>
          <w:tcPr>
            <w:tcW w:w="3435" w:type="dxa"/>
            <w:gridSpan w:val="3"/>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Internal Wall Insulation</w:t>
            </w:r>
          </w:p>
        </w:tc>
        <w:tc>
          <w:tcPr>
            <w:tcW w:w="1258"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3499"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jc w:val="right"/>
              <w:rPr>
                <w:szCs w:val="24"/>
                <w:lang w:eastAsia="en-GB"/>
              </w:rPr>
            </w:pPr>
            <w:r w:rsidRPr="00575ED4">
              <w:rPr>
                <w:szCs w:val="24"/>
                <w:lang w:eastAsia="en-GB"/>
              </w:rPr>
              <w:t>95</w:t>
            </w:r>
          </w:p>
        </w:tc>
        <w:tc>
          <w:tcPr>
            <w:tcW w:w="1444" w:type="dxa"/>
            <w:gridSpan w:val="2"/>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jc w:val="right"/>
              <w:rPr>
                <w:i/>
                <w:iCs/>
                <w:szCs w:val="24"/>
                <w:lang w:eastAsia="en-GB"/>
              </w:rPr>
            </w:pPr>
            <w:r w:rsidRPr="00575ED4">
              <w:rPr>
                <w:i/>
                <w:iCs/>
                <w:szCs w:val="24"/>
                <w:lang w:eastAsia="en-GB"/>
              </w:rPr>
              <w:t>3.2</w:t>
            </w:r>
          </w:p>
        </w:tc>
      </w:tr>
      <w:tr w:rsidR="00556BEC" w:rsidRPr="00575ED4" w:rsidTr="00D2633D">
        <w:trPr>
          <w:trHeight w:val="255"/>
        </w:trPr>
        <w:tc>
          <w:tcPr>
            <w:tcW w:w="2869"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Loft Insulation</w:t>
            </w:r>
          </w:p>
        </w:tc>
        <w:tc>
          <w:tcPr>
            <w:tcW w:w="283"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3"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1258"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3499"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jc w:val="right"/>
              <w:rPr>
                <w:szCs w:val="24"/>
                <w:lang w:eastAsia="en-GB"/>
              </w:rPr>
            </w:pPr>
            <w:r>
              <w:rPr>
                <w:szCs w:val="24"/>
                <w:lang w:eastAsia="en-GB"/>
              </w:rPr>
              <w:t>230</w:t>
            </w:r>
          </w:p>
        </w:tc>
        <w:tc>
          <w:tcPr>
            <w:tcW w:w="1444" w:type="dxa"/>
            <w:gridSpan w:val="2"/>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jc w:val="right"/>
              <w:rPr>
                <w:i/>
                <w:iCs/>
                <w:szCs w:val="24"/>
                <w:lang w:eastAsia="en-GB"/>
              </w:rPr>
            </w:pPr>
            <w:r>
              <w:rPr>
                <w:i/>
                <w:iCs/>
                <w:szCs w:val="24"/>
                <w:lang w:eastAsia="en-GB"/>
              </w:rPr>
              <w:t>7.7</w:t>
            </w:r>
          </w:p>
        </w:tc>
      </w:tr>
      <w:tr w:rsidR="00556BEC" w:rsidRPr="00575ED4" w:rsidTr="00D2633D">
        <w:trPr>
          <w:trHeight w:val="255"/>
        </w:trPr>
        <w:tc>
          <w:tcPr>
            <w:tcW w:w="4693" w:type="dxa"/>
            <w:gridSpan w:val="4"/>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Mechanical Ventilation Heat Recovery</w:t>
            </w:r>
          </w:p>
        </w:tc>
        <w:tc>
          <w:tcPr>
            <w:tcW w:w="3499"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jc w:val="right"/>
              <w:rPr>
                <w:szCs w:val="24"/>
                <w:lang w:eastAsia="en-GB"/>
              </w:rPr>
            </w:pPr>
            <w:r w:rsidRPr="00575ED4">
              <w:rPr>
                <w:szCs w:val="24"/>
                <w:lang w:eastAsia="en-GB"/>
              </w:rPr>
              <w:t>9</w:t>
            </w:r>
          </w:p>
        </w:tc>
        <w:tc>
          <w:tcPr>
            <w:tcW w:w="1444" w:type="dxa"/>
            <w:gridSpan w:val="2"/>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jc w:val="right"/>
              <w:rPr>
                <w:i/>
                <w:iCs/>
                <w:szCs w:val="24"/>
                <w:lang w:eastAsia="en-GB"/>
              </w:rPr>
            </w:pPr>
            <w:r w:rsidRPr="00575ED4">
              <w:rPr>
                <w:i/>
                <w:iCs/>
                <w:szCs w:val="24"/>
                <w:lang w:eastAsia="en-GB"/>
              </w:rPr>
              <w:t>0.3</w:t>
            </w:r>
          </w:p>
        </w:tc>
      </w:tr>
      <w:tr w:rsidR="00556BEC" w:rsidRPr="00575ED4" w:rsidTr="00D2633D">
        <w:trPr>
          <w:trHeight w:val="255"/>
        </w:trPr>
        <w:tc>
          <w:tcPr>
            <w:tcW w:w="4693" w:type="dxa"/>
            <w:gridSpan w:val="4"/>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VPhase voltage optimisation</w:t>
            </w:r>
          </w:p>
        </w:tc>
        <w:tc>
          <w:tcPr>
            <w:tcW w:w="3499"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jc w:val="right"/>
              <w:rPr>
                <w:szCs w:val="24"/>
                <w:lang w:eastAsia="en-GB"/>
              </w:rPr>
            </w:pPr>
            <w:r w:rsidRPr="00575ED4">
              <w:rPr>
                <w:szCs w:val="24"/>
                <w:lang w:eastAsia="en-GB"/>
              </w:rPr>
              <w:t>16</w:t>
            </w:r>
          </w:p>
        </w:tc>
        <w:tc>
          <w:tcPr>
            <w:tcW w:w="1444" w:type="dxa"/>
            <w:gridSpan w:val="2"/>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jc w:val="right"/>
              <w:rPr>
                <w:i/>
                <w:iCs/>
                <w:szCs w:val="24"/>
                <w:lang w:eastAsia="en-GB"/>
              </w:rPr>
            </w:pPr>
            <w:r w:rsidRPr="00575ED4">
              <w:rPr>
                <w:i/>
                <w:iCs/>
                <w:szCs w:val="24"/>
                <w:lang w:eastAsia="en-GB"/>
              </w:rPr>
              <w:t>0.5</w:t>
            </w:r>
          </w:p>
        </w:tc>
      </w:tr>
      <w:tr w:rsidR="00556BEC" w:rsidRPr="00575ED4" w:rsidTr="00D2633D">
        <w:trPr>
          <w:trHeight w:val="255"/>
        </w:trPr>
        <w:tc>
          <w:tcPr>
            <w:tcW w:w="3152" w:type="dxa"/>
            <w:gridSpan w:val="2"/>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Window Glazing</w:t>
            </w:r>
          </w:p>
        </w:tc>
        <w:tc>
          <w:tcPr>
            <w:tcW w:w="283"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1258"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3499"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jc w:val="right"/>
              <w:rPr>
                <w:szCs w:val="24"/>
                <w:lang w:eastAsia="en-GB"/>
              </w:rPr>
            </w:pPr>
            <w:r>
              <w:rPr>
                <w:szCs w:val="24"/>
                <w:lang w:eastAsia="en-GB"/>
              </w:rPr>
              <w:t>329</w:t>
            </w:r>
          </w:p>
        </w:tc>
        <w:tc>
          <w:tcPr>
            <w:tcW w:w="1444" w:type="dxa"/>
            <w:gridSpan w:val="2"/>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jc w:val="right"/>
              <w:rPr>
                <w:i/>
                <w:iCs/>
                <w:szCs w:val="24"/>
                <w:lang w:eastAsia="en-GB"/>
              </w:rPr>
            </w:pPr>
            <w:r>
              <w:rPr>
                <w:i/>
                <w:iCs/>
                <w:szCs w:val="24"/>
                <w:lang w:eastAsia="en-GB"/>
              </w:rPr>
              <w:t>10.9</w:t>
            </w:r>
          </w:p>
        </w:tc>
      </w:tr>
      <w:tr w:rsidR="00556BEC" w:rsidRPr="00AC5646" w:rsidTr="00AC5646">
        <w:trPr>
          <w:trHeight w:val="134"/>
        </w:trPr>
        <w:tc>
          <w:tcPr>
            <w:tcW w:w="2869" w:type="dxa"/>
            <w:tcBorders>
              <w:top w:val="nil"/>
              <w:left w:val="nil"/>
              <w:bottom w:val="nil"/>
              <w:right w:val="nil"/>
            </w:tcBorders>
            <w:shd w:val="clear" w:color="000000" w:fill="FFFFFF"/>
            <w:noWrap/>
            <w:vAlign w:val="bottom"/>
            <w:hideMark/>
          </w:tcPr>
          <w:p w:rsidR="00556BEC" w:rsidRPr="00AC5646" w:rsidRDefault="00556BEC" w:rsidP="00291E07">
            <w:pPr>
              <w:spacing w:before="0" w:after="0" w:line="240" w:lineRule="auto"/>
              <w:rPr>
                <w:sz w:val="16"/>
                <w:szCs w:val="16"/>
                <w:lang w:eastAsia="en-GB"/>
              </w:rPr>
            </w:pPr>
            <w:r w:rsidRPr="00AC5646">
              <w:rPr>
                <w:sz w:val="16"/>
                <w:szCs w:val="16"/>
                <w:lang w:eastAsia="en-GB"/>
              </w:rPr>
              <w:t> </w:t>
            </w:r>
          </w:p>
        </w:tc>
        <w:tc>
          <w:tcPr>
            <w:tcW w:w="283" w:type="dxa"/>
            <w:tcBorders>
              <w:top w:val="nil"/>
              <w:left w:val="nil"/>
              <w:bottom w:val="nil"/>
              <w:right w:val="nil"/>
            </w:tcBorders>
            <w:shd w:val="clear" w:color="000000" w:fill="FFFFFF"/>
            <w:noWrap/>
            <w:vAlign w:val="bottom"/>
            <w:hideMark/>
          </w:tcPr>
          <w:p w:rsidR="00556BEC" w:rsidRPr="00AC5646" w:rsidRDefault="00556BEC" w:rsidP="00291E07">
            <w:pPr>
              <w:spacing w:before="0" w:after="0" w:line="240" w:lineRule="auto"/>
              <w:rPr>
                <w:sz w:val="16"/>
                <w:szCs w:val="16"/>
                <w:lang w:eastAsia="en-GB"/>
              </w:rPr>
            </w:pPr>
            <w:r w:rsidRPr="00AC5646">
              <w:rPr>
                <w:sz w:val="16"/>
                <w:szCs w:val="16"/>
                <w:lang w:eastAsia="en-GB"/>
              </w:rPr>
              <w:t> </w:t>
            </w:r>
          </w:p>
        </w:tc>
        <w:tc>
          <w:tcPr>
            <w:tcW w:w="283" w:type="dxa"/>
            <w:tcBorders>
              <w:top w:val="nil"/>
              <w:left w:val="nil"/>
              <w:bottom w:val="nil"/>
              <w:right w:val="nil"/>
            </w:tcBorders>
            <w:shd w:val="clear" w:color="000000" w:fill="FFFFFF"/>
            <w:noWrap/>
            <w:vAlign w:val="bottom"/>
            <w:hideMark/>
          </w:tcPr>
          <w:p w:rsidR="00556BEC" w:rsidRPr="00AC5646" w:rsidRDefault="00556BEC" w:rsidP="00291E07">
            <w:pPr>
              <w:spacing w:before="0" w:after="0" w:line="240" w:lineRule="auto"/>
              <w:rPr>
                <w:sz w:val="16"/>
                <w:szCs w:val="16"/>
                <w:lang w:eastAsia="en-GB"/>
              </w:rPr>
            </w:pPr>
            <w:r w:rsidRPr="00AC5646">
              <w:rPr>
                <w:sz w:val="16"/>
                <w:szCs w:val="16"/>
                <w:lang w:eastAsia="en-GB"/>
              </w:rPr>
              <w:t> </w:t>
            </w:r>
          </w:p>
        </w:tc>
        <w:tc>
          <w:tcPr>
            <w:tcW w:w="1258" w:type="dxa"/>
            <w:tcBorders>
              <w:top w:val="nil"/>
              <w:left w:val="nil"/>
              <w:bottom w:val="nil"/>
              <w:right w:val="nil"/>
            </w:tcBorders>
            <w:shd w:val="clear" w:color="000000" w:fill="FFFFFF"/>
            <w:noWrap/>
            <w:vAlign w:val="bottom"/>
            <w:hideMark/>
          </w:tcPr>
          <w:p w:rsidR="00556BEC" w:rsidRPr="00AC5646" w:rsidRDefault="00556BEC" w:rsidP="00291E07">
            <w:pPr>
              <w:spacing w:before="0" w:after="0" w:line="240" w:lineRule="auto"/>
              <w:rPr>
                <w:sz w:val="16"/>
                <w:szCs w:val="16"/>
                <w:lang w:eastAsia="en-GB"/>
              </w:rPr>
            </w:pPr>
            <w:r w:rsidRPr="00AC5646">
              <w:rPr>
                <w:sz w:val="16"/>
                <w:szCs w:val="16"/>
                <w:lang w:eastAsia="en-GB"/>
              </w:rPr>
              <w:t> </w:t>
            </w:r>
          </w:p>
        </w:tc>
        <w:tc>
          <w:tcPr>
            <w:tcW w:w="3499" w:type="dxa"/>
            <w:tcBorders>
              <w:top w:val="nil"/>
              <w:left w:val="nil"/>
              <w:bottom w:val="nil"/>
              <w:right w:val="nil"/>
            </w:tcBorders>
            <w:shd w:val="clear" w:color="000000" w:fill="FFFFFF"/>
            <w:noWrap/>
            <w:vAlign w:val="bottom"/>
            <w:hideMark/>
          </w:tcPr>
          <w:p w:rsidR="00556BEC" w:rsidRPr="00AC5646" w:rsidRDefault="00556BEC" w:rsidP="00291E07">
            <w:pPr>
              <w:spacing w:before="0" w:after="0" w:line="240" w:lineRule="auto"/>
              <w:rPr>
                <w:sz w:val="16"/>
                <w:szCs w:val="16"/>
                <w:lang w:eastAsia="en-GB"/>
              </w:rPr>
            </w:pPr>
            <w:r w:rsidRPr="00AC5646">
              <w:rPr>
                <w:sz w:val="16"/>
                <w:szCs w:val="16"/>
                <w:lang w:eastAsia="en-GB"/>
              </w:rPr>
              <w:t> </w:t>
            </w:r>
          </w:p>
        </w:tc>
        <w:tc>
          <w:tcPr>
            <w:tcW w:w="1444" w:type="dxa"/>
            <w:gridSpan w:val="2"/>
            <w:tcBorders>
              <w:top w:val="nil"/>
              <w:left w:val="nil"/>
              <w:bottom w:val="nil"/>
              <w:right w:val="nil"/>
            </w:tcBorders>
            <w:shd w:val="clear" w:color="000000" w:fill="FFFFFF"/>
            <w:noWrap/>
            <w:vAlign w:val="bottom"/>
            <w:hideMark/>
          </w:tcPr>
          <w:p w:rsidR="00556BEC" w:rsidRPr="00AC5646" w:rsidRDefault="00556BEC" w:rsidP="00291E07">
            <w:pPr>
              <w:spacing w:before="0" w:after="0" w:line="240" w:lineRule="auto"/>
              <w:rPr>
                <w:i/>
                <w:iCs/>
                <w:sz w:val="16"/>
                <w:szCs w:val="16"/>
                <w:lang w:eastAsia="en-GB"/>
              </w:rPr>
            </w:pPr>
            <w:r w:rsidRPr="00AC5646">
              <w:rPr>
                <w:i/>
                <w:iCs/>
                <w:sz w:val="16"/>
                <w:szCs w:val="16"/>
                <w:lang w:eastAsia="en-GB"/>
              </w:rPr>
              <w:t> </w:t>
            </w:r>
          </w:p>
        </w:tc>
      </w:tr>
      <w:tr w:rsidR="00556BEC" w:rsidRPr="00575ED4" w:rsidTr="00D2633D">
        <w:trPr>
          <w:trHeight w:val="255"/>
        </w:trPr>
        <w:tc>
          <w:tcPr>
            <w:tcW w:w="2869"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Unknown</w:t>
            </w:r>
          </w:p>
        </w:tc>
        <w:tc>
          <w:tcPr>
            <w:tcW w:w="283"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3"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1258"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3499"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jc w:val="right"/>
              <w:rPr>
                <w:szCs w:val="24"/>
                <w:lang w:eastAsia="en-GB"/>
              </w:rPr>
            </w:pPr>
            <w:r w:rsidRPr="00575ED4">
              <w:rPr>
                <w:szCs w:val="24"/>
                <w:lang w:eastAsia="en-GB"/>
              </w:rPr>
              <w:t>26</w:t>
            </w:r>
          </w:p>
        </w:tc>
        <w:tc>
          <w:tcPr>
            <w:tcW w:w="1444" w:type="dxa"/>
            <w:gridSpan w:val="2"/>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jc w:val="right"/>
              <w:rPr>
                <w:i/>
                <w:iCs/>
                <w:szCs w:val="24"/>
                <w:lang w:eastAsia="en-GB"/>
              </w:rPr>
            </w:pPr>
            <w:r w:rsidRPr="00575ED4">
              <w:rPr>
                <w:i/>
                <w:iCs/>
                <w:szCs w:val="24"/>
                <w:lang w:eastAsia="en-GB"/>
              </w:rPr>
              <w:t>0.9</w:t>
            </w:r>
          </w:p>
        </w:tc>
      </w:tr>
      <w:tr w:rsidR="00556BEC" w:rsidRPr="00AC5646" w:rsidTr="00AC5646">
        <w:trPr>
          <w:trHeight w:val="142"/>
        </w:trPr>
        <w:tc>
          <w:tcPr>
            <w:tcW w:w="2869" w:type="dxa"/>
            <w:tcBorders>
              <w:top w:val="nil"/>
              <w:left w:val="nil"/>
              <w:bottom w:val="nil"/>
              <w:right w:val="nil"/>
            </w:tcBorders>
            <w:shd w:val="clear" w:color="000000" w:fill="FFFFFF"/>
            <w:noWrap/>
            <w:vAlign w:val="bottom"/>
            <w:hideMark/>
          </w:tcPr>
          <w:p w:rsidR="00556BEC" w:rsidRPr="00AC5646" w:rsidRDefault="00556BEC" w:rsidP="00291E07">
            <w:pPr>
              <w:spacing w:before="0" w:after="0" w:line="240" w:lineRule="auto"/>
              <w:rPr>
                <w:sz w:val="16"/>
                <w:szCs w:val="16"/>
                <w:lang w:eastAsia="en-GB"/>
              </w:rPr>
            </w:pPr>
            <w:r w:rsidRPr="00AC5646">
              <w:rPr>
                <w:sz w:val="16"/>
                <w:szCs w:val="16"/>
                <w:lang w:eastAsia="en-GB"/>
              </w:rPr>
              <w:t> </w:t>
            </w:r>
          </w:p>
        </w:tc>
        <w:tc>
          <w:tcPr>
            <w:tcW w:w="283" w:type="dxa"/>
            <w:tcBorders>
              <w:top w:val="nil"/>
              <w:left w:val="nil"/>
              <w:bottom w:val="nil"/>
              <w:right w:val="nil"/>
            </w:tcBorders>
            <w:shd w:val="clear" w:color="000000" w:fill="FFFFFF"/>
            <w:noWrap/>
            <w:vAlign w:val="bottom"/>
            <w:hideMark/>
          </w:tcPr>
          <w:p w:rsidR="00556BEC" w:rsidRPr="00AC5646" w:rsidRDefault="00556BEC" w:rsidP="00291E07">
            <w:pPr>
              <w:spacing w:before="0" w:after="0" w:line="240" w:lineRule="auto"/>
              <w:rPr>
                <w:sz w:val="16"/>
                <w:szCs w:val="16"/>
                <w:lang w:eastAsia="en-GB"/>
              </w:rPr>
            </w:pPr>
            <w:r w:rsidRPr="00AC5646">
              <w:rPr>
                <w:sz w:val="16"/>
                <w:szCs w:val="16"/>
                <w:lang w:eastAsia="en-GB"/>
              </w:rPr>
              <w:t> </w:t>
            </w:r>
          </w:p>
        </w:tc>
        <w:tc>
          <w:tcPr>
            <w:tcW w:w="283" w:type="dxa"/>
            <w:tcBorders>
              <w:top w:val="nil"/>
              <w:left w:val="nil"/>
              <w:bottom w:val="nil"/>
              <w:right w:val="nil"/>
            </w:tcBorders>
            <w:shd w:val="clear" w:color="000000" w:fill="FFFFFF"/>
            <w:noWrap/>
            <w:vAlign w:val="bottom"/>
            <w:hideMark/>
          </w:tcPr>
          <w:p w:rsidR="00556BEC" w:rsidRPr="00AC5646" w:rsidRDefault="00556BEC" w:rsidP="00291E07">
            <w:pPr>
              <w:spacing w:before="0" w:after="0" w:line="240" w:lineRule="auto"/>
              <w:rPr>
                <w:sz w:val="16"/>
                <w:szCs w:val="16"/>
                <w:lang w:eastAsia="en-GB"/>
              </w:rPr>
            </w:pPr>
            <w:r w:rsidRPr="00AC5646">
              <w:rPr>
                <w:sz w:val="16"/>
                <w:szCs w:val="16"/>
                <w:lang w:eastAsia="en-GB"/>
              </w:rPr>
              <w:t> </w:t>
            </w:r>
          </w:p>
        </w:tc>
        <w:tc>
          <w:tcPr>
            <w:tcW w:w="1258" w:type="dxa"/>
            <w:tcBorders>
              <w:top w:val="nil"/>
              <w:left w:val="nil"/>
              <w:bottom w:val="nil"/>
              <w:right w:val="nil"/>
            </w:tcBorders>
            <w:shd w:val="clear" w:color="000000" w:fill="FFFFFF"/>
            <w:noWrap/>
            <w:vAlign w:val="bottom"/>
            <w:hideMark/>
          </w:tcPr>
          <w:p w:rsidR="00556BEC" w:rsidRPr="00AC5646" w:rsidRDefault="00556BEC" w:rsidP="00291E07">
            <w:pPr>
              <w:spacing w:before="0" w:after="0" w:line="240" w:lineRule="auto"/>
              <w:rPr>
                <w:sz w:val="16"/>
                <w:szCs w:val="16"/>
                <w:lang w:eastAsia="en-GB"/>
              </w:rPr>
            </w:pPr>
            <w:r w:rsidRPr="00AC5646">
              <w:rPr>
                <w:sz w:val="16"/>
                <w:szCs w:val="16"/>
                <w:lang w:eastAsia="en-GB"/>
              </w:rPr>
              <w:t> </w:t>
            </w:r>
          </w:p>
        </w:tc>
        <w:tc>
          <w:tcPr>
            <w:tcW w:w="3499" w:type="dxa"/>
            <w:tcBorders>
              <w:top w:val="nil"/>
              <w:left w:val="nil"/>
              <w:bottom w:val="nil"/>
              <w:right w:val="nil"/>
            </w:tcBorders>
            <w:shd w:val="clear" w:color="000000" w:fill="FFFFFF"/>
            <w:noWrap/>
            <w:vAlign w:val="bottom"/>
            <w:hideMark/>
          </w:tcPr>
          <w:p w:rsidR="00556BEC" w:rsidRPr="00AC5646" w:rsidRDefault="00556BEC" w:rsidP="00291E07">
            <w:pPr>
              <w:spacing w:before="0" w:after="0" w:line="240" w:lineRule="auto"/>
              <w:rPr>
                <w:sz w:val="16"/>
                <w:szCs w:val="16"/>
                <w:lang w:eastAsia="en-GB"/>
              </w:rPr>
            </w:pPr>
            <w:r w:rsidRPr="00AC5646">
              <w:rPr>
                <w:sz w:val="16"/>
                <w:szCs w:val="16"/>
                <w:lang w:eastAsia="en-GB"/>
              </w:rPr>
              <w:t> </w:t>
            </w:r>
          </w:p>
        </w:tc>
        <w:tc>
          <w:tcPr>
            <w:tcW w:w="1444" w:type="dxa"/>
            <w:gridSpan w:val="2"/>
            <w:tcBorders>
              <w:top w:val="nil"/>
              <w:left w:val="nil"/>
              <w:bottom w:val="nil"/>
              <w:right w:val="nil"/>
            </w:tcBorders>
            <w:shd w:val="clear" w:color="000000" w:fill="FFFFFF"/>
            <w:noWrap/>
            <w:vAlign w:val="bottom"/>
            <w:hideMark/>
          </w:tcPr>
          <w:p w:rsidR="00556BEC" w:rsidRPr="00AC5646" w:rsidRDefault="00556BEC" w:rsidP="00291E07">
            <w:pPr>
              <w:spacing w:before="0" w:after="0" w:line="240" w:lineRule="auto"/>
              <w:rPr>
                <w:i/>
                <w:iCs/>
                <w:sz w:val="16"/>
                <w:szCs w:val="16"/>
                <w:lang w:eastAsia="en-GB"/>
              </w:rPr>
            </w:pPr>
            <w:r w:rsidRPr="00AC5646">
              <w:rPr>
                <w:i/>
                <w:iCs/>
                <w:sz w:val="16"/>
                <w:szCs w:val="16"/>
                <w:lang w:eastAsia="en-GB"/>
              </w:rPr>
              <w:t> </w:t>
            </w:r>
          </w:p>
        </w:tc>
      </w:tr>
      <w:tr w:rsidR="00556BEC" w:rsidRPr="00575ED4" w:rsidTr="00D2633D">
        <w:trPr>
          <w:trHeight w:val="255"/>
        </w:trPr>
        <w:tc>
          <w:tcPr>
            <w:tcW w:w="2869" w:type="dxa"/>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b/>
                <w:bCs/>
                <w:szCs w:val="24"/>
                <w:lang w:eastAsia="en-GB"/>
              </w:rPr>
            </w:pPr>
            <w:r w:rsidRPr="00575ED4">
              <w:rPr>
                <w:b/>
                <w:bCs/>
                <w:szCs w:val="24"/>
                <w:lang w:eastAsia="en-GB"/>
              </w:rPr>
              <w:t>Total</w:t>
            </w:r>
          </w:p>
        </w:tc>
        <w:tc>
          <w:tcPr>
            <w:tcW w:w="283" w:type="dxa"/>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b/>
                <w:bCs/>
                <w:szCs w:val="24"/>
                <w:lang w:eastAsia="en-GB"/>
              </w:rPr>
            </w:pPr>
            <w:r w:rsidRPr="00575ED4">
              <w:rPr>
                <w:b/>
                <w:bCs/>
                <w:szCs w:val="24"/>
                <w:lang w:eastAsia="en-GB"/>
              </w:rPr>
              <w:t> </w:t>
            </w:r>
          </w:p>
        </w:tc>
        <w:tc>
          <w:tcPr>
            <w:tcW w:w="283" w:type="dxa"/>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b/>
                <w:bCs/>
                <w:szCs w:val="24"/>
                <w:lang w:eastAsia="en-GB"/>
              </w:rPr>
            </w:pPr>
            <w:r w:rsidRPr="00575ED4">
              <w:rPr>
                <w:b/>
                <w:bCs/>
                <w:szCs w:val="24"/>
                <w:lang w:eastAsia="en-GB"/>
              </w:rPr>
              <w:t> </w:t>
            </w:r>
          </w:p>
        </w:tc>
        <w:tc>
          <w:tcPr>
            <w:tcW w:w="1258" w:type="dxa"/>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b/>
                <w:bCs/>
                <w:szCs w:val="24"/>
                <w:lang w:eastAsia="en-GB"/>
              </w:rPr>
            </w:pPr>
            <w:r w:rsidRPr="00575ED4">
              <w:rPr>
                <w:b/>
                <w:bCs/>
                <w:szCs w:val="24"/>
                <w:lang w:eastAsia="en-GB"/>
              </w:rPr>
              <w:t> </w:t>
            </w:r>
          </w:p>
        </w:tc>
        <w:tc>
          <w:tcPr>
            <w:tcW w:w="3499" w:type="dxa"/>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jc w:val="right"/>
              <w:rPr>
                <w:b/>
                <w:bCs/>
                <w:szCs w:val="24"/>
                <w:lang w:eastAsia="en-GB"/>
              </w:rPr>
            </w:pPr>
            <w:r>
              <w:rPr>
                <w:b/>
                <w:bCs/>
                <w:szCs w:val="24"/>
                <w:lang w:eastAsia="en-GB"/>
              </w:rPr>
              <w:t>3,005</w:t>
            </w:r>
          </w:p>
        </w:tc>
        <w:tc>
          <w:tcPr>
            <w:tcW w:w="1444" w:type="dxa"/>
            <w:gridSpan w:val="2"/>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jc w:val="right"/>
              <w:rPr>
                <w:b/>
                <w:bCs/>
                <w:i/>
                <w:iCs/>
                <w:szCs w:val="24"/>
                <w:lang w:eastAsia="en-GB"/>
              </w:rPr>
            </w:pPr>
            <w:r w:rsidRPr="00575ED4">
              <w:rPr>
                <w:b/>
                <w:bCs/>
                <w:i/>
                <w:iCs/>
                <w:szCs w:val="24"/>
                <w:lang w:eastAsia="en-GB"/>
              </w:rPr>
              <w:t>100</w:t>
            </w:r>
          </w:p>
        </w:tc>
      </w:tr>
      <w:tr w:rsidR="00556BEC" w:rsidRPr="00AC5646" w:rsidTr="00AC5646">
        <w:trPr>
          <w:trHeight w:val="123"/>
        </w:trPr>
        <w:tc>
          <w:tcPr>
            <w:tcW w:w="2869" w:type="dxa"/>
            <w:tcBorders>
              <w:top w:val="nil"/>
              <w:left w:val="nil"/>
              <w:bottom w:val="nil"/>
              <w:right w:val="nil"/>
            </w:tcBorders>
            <w:shd w:val="clear" w:color="000000" w:fill="FFFFFF"/>
            <w:noWrap/>
            <w:vAlign w:val="bottom"/>
            <w:hideMark/>
          </w:tcPr>
          <w:p w:rsidR="00556BEC" w:rsidRPr="00AC5646" w:rsidRDefault="00556BEC" w:rsidP="00291E07">
            <w:pPr>
              <w:spacing w:before="0" w:after="0" w:line="240" w:lineRule="auto"/>
              <w:rPr>
                <w:sz w:val="16"/>
                <w:szCs w:val="16"/>
                <w:lang w:eastAsia="en-GB"/>
              </w:rPr>
            </w:pPr>
            <w:r w:rsidRPr="00AC5646">
              <w:rPr>
                <w:sz w:val="16"/>
                <w:szCs w:val="16"/>
                <w:lang w:eastAsia="en-GB"/>
              </w:rPr>
              <w:t> </w:t>
            </w:r>
          </w:p>
        </w:tc>
        <w:tc>
          <w:tcPr>
            <w:tcW w:w="283" w:type="dxa"/>
            <w:tcBorders>
              <w:top w:val="nil"/>
              <w:left w:val="nil"/>
              <w:bottom w:val="nil"/>
              <w:right w:val="nil"/>
            </w:tcBorders>
            <w:shd w:val="clear" w:color="000000" w:fill="FFFFFF"/>
            <w:noWrap/>
            <w:vAlign w:val="bottom"/>
            <w:hideMark/>
          </w:tcPr>
          <w:p w:rsidR="00556BEC" w:rsidRPr="00AC5646" w:rsidRDefault="00556BEC" w:rsidP="00291E07">
            <w:pPr>
              <w:spacing w:before="0" w:after="0" w:line="240" w:lineRule="auto"/>
              <w:rPr>
                <w:sz w:val="16"/>
                <w:szCs w:val="16"/>
                <w:lang w:eastAsia="en-GB"/>
              </w:rPr>
            </w:pPr>
            <w:r w:rsidRPr="00AC5646">
              <w:rPr>
                <w:sz w:val="16"/>
                <w:szCs w:val="16"/>
                <w:lang w:eastAsia="en-GB"/>
              </w:rPr>
              <w:t> </w:t>
            </w:r>
          </w:p>
        </w:tc>
        <w:tc>
          <w:tcPr>
            <w:tcW w:w="283" w:type="dxa"/>
            <w:tcBorders>
              <w:top w:val="nil"/>
              <w:left w:val="nil"/>
              <w:bottom w:val="nil"/>
              <w:right w:val="nil"/>
            </w:tcBorders>
            <w:shd w:val="clear" w:color="000000" w:fill="FFFFFF"/>
            <w:noWrap/>
            <w:vAlign w:val="bottom"/>
            <w:hideMark/>
          </w:tcPr>
          <w:p w:rsidR="00556BEC" w:rsidRPr="00AC5646" w:rsidRDefault="00556BEC" w:rsidP="00291E07">
            <w:pPr>
              <w:spacing w:before="0" w:after="0" w:line="240" w:lineRule="auto"/>
              <w:rPr>
                <w:sz w:val="16"/>
                <w:szCs w:val="16"/>
                <w:lang w:eastAsia="en-GB"/>
              </w:rPr>
            </w:pPr>
            <w:r w:rsidRPr="00AC5646">
              <w:rPr>
                <w:sz w:val="16"/>
                <w:szCs w:val="16"/>
                <w:lang w:eastAsia="en-GB"/>
              </w:rPr>
              <w:t> </w:t>
            </w:r>
          </w:p>
        </w:tc>
        <w:tc>
          <w:tcPr>
            <w:tcW w:w="1258" w:type="dxa"/>
            <w:tcBorders>
              <w:top w:val="nil"/>
              <w:left w:val="nil"/>
              <w:bottom w:val="nil"/>
              <w:right w:val="nil"/>
            </w:tcBorders>
            <w:shd w:val="clear" w:color="000000" w:fill="FFFFFF"/>
            <w:noWrap/>
            <w:vAlign w:val="bottom"/>
            <w:hideMark/>
          </w:tcPr>
          <w:p w:rsidR="00556BEC" w:rsidRPr="00AC5646" w:rsidRDefault="00556BEC" w:rsidP="00291E07">
            <w:pPr>
              <w:spacing w:before="0" w:after="0" w:line="240" w:lineRule="auto"/>
              <w:rPr>
                <w:sz w:val="16"/>
                <w:szCs w:val="16"/>
                <w:lang w:eastAsia="en-GB"/>
              </w:rPr>
            </w:pPr>
            <w:r w:rsidRPr="00AC5646">
              <w:rPr>
                <w:sz w:val="16"/>
                <w:szCs w:val="16"/>
                <w:lang w:eastAsia="en-GB"/>
              </w:rPr>
              <w:t> </w:t>
            </w:r>
          </w:p>
        </w:tc>
        <w:tc>
          <w:tcPr>
            <w:tcW w:w="4394" w:type="dxa"/>
            <w:gridSpan w:val="2"/>
            <w:tcBorders>
              <w:top w:val="nil"/>
              <w:left w:val="nil"/>
              <w:bottom w:val="nil"/>
              <w:right w:val="nil"/>
            </w:tcBorders>
            <w:shd w:val="clear" w:color="000000" w:fill="FFFFFF"/>
            <w:noWrap/>
            <w:vAlign w:val="bottom"/>
            <w:hideMark/>
          </w:tcPr>
          <w:p w:rsidR="00556BEC" w:rsidRPr="00AC5646" w:rsidRDefault="00556BEC" w:rsidP="00291E07">
            <w:pPr>
              <w:spacing w:before="0" w:after="0" w:line="240" w:lineRule="auto"/>
              <w:rPr>
                <w:sz w:val="16"/>
                <w:szCs w:val="16"/>
                <w:lang w:eastAsia="en-GB"/>
              </w:rPr>
            </w:pPr>
            <w:r w:rsidRPr="00AC5646">
              <w:rPr>
                <w:sz w:val="16"/>
                <w:szCs w:val="16"/>
                <w:lang w:eastAsia="en-GB"/>
              </w:rPr>
              <w:t> </w:t>
            </w:r>
          </w:p>
        </w:tc>
        <w:tc>
          <w:tcPr>
            <w:tcW w:w="549" w:type="dxa"/>
            <w:tcBorders>
              <w:top w:val="nil"/>
              <w:left w:val="nil"/>
              <w:bottom w:val="nil"/>
              <w:right w:val="nil"/>
            </w:tcBorders>
            <w:shd w:val="clear" w:color="000000" w:fill="FFFFFF"/>
            <w:noWrap/>
            <w:vAlign w:val="bottom"/>
            <w:hideMark/>
          </w:tcPr>
          <w:p w:rsidR="00556BEC" w:rsidRPr="00AC5646" w:rsidRDefault="00556BEC" w:rsidP="00291E07">
            <w:pPr>
              <w:spacing w:before="0" w:after="0" w:line="240" w:lineRule="auto"/>
              <w:rPr>
                <w:sz w:val="16"/>
                <w:szCs w:val="16"/>
                <w:lang w:eastAsia="en-GB"/>
              </w:rPr>
            </w:pPr>
            <w:r w:rsidRPr="00AC5646">
              <w:rPr>
                <w:sz w:val="16"/>
                <w:szCs w:val="16"/>
                <w:lang w:eastAsia="en-GB"/>
              </w:rPr>
              <w:t> </w:t>
            </w:r>
          </w:p>
        </w:tc>
      </w:tr>
      <w:tr w:rsidR="00556BEC" w:rsidRPr="00575ED4" w:rsidTr="00D2633D">
        <w:trPr>
          <w:trHeight w:val="255"/>
        </w:trPr>
        <w:tc>
          <w:tcPr>
            <w:tcW w:w="9087" w:type="dxa"/>
            <w:gridSpan w:val="6"/>
            <w:tcBorders>
              <w:top w:val="nil"/>
              <w:left w:val="nil"/>
              <w:bottom w:val="nil"/>
              <w:right w:val="nil"/>
            </w:tcBorders>
            <w:shd w:val="clear" w:color="000000" w:fill="FFFFFF"/>
            <w:vAlign w:val="bottom"/>
            <w:hideMark/>
          </w:tcPr>
          <w:p w:rsidR="00556BEC" w:rsidRDefault="00556BEC" w:rsidP="00291E07">
            <w:pPr>
              <w:spacing w:before="0" w:after="0" w:line="240" w:lineRule="auto"/>
              <w:jc w:val="both"/>
              <w:rPr>
                <w:szCs w:val="24"/>
                <w:lang w:eastAsia="en-GB"/>
              </w:rPr>
            </w:pPr>
            <w:r w:rsidRPr="00575ED4">
              <w:rPr>
                <w:szCs w:val="24"/>
                <w:vertAlign w:val="superscript"/>
                <w:lang w:eastAsia="en-GB"/>
              </w:rPr>
              <w:t xml:space="preserve">1 </w:t>
            </w:r>
            <w:r w:rsidRPr="00575ED4">
              <w:rPr>
                <w:szCs w:val="24"/>
                <w:lang w:eastAsia="en-GB"/>
              </w:rPr>
              <w:t>Based on returns received up to 14th November 2013.</w:t>
            </w:r>
          </w:p>
          <w:p w:rsidR="00D2633D" w:rsidRPr="00575ED4" w:rsidRDefault="00D2633D" w:rsidP="00291E07">
            <w:pPr>
              <w:spacing w:before="0" w:after="0" w:line="240" w:lineRule="auto"/>
              <w:jc w:val="both"/>
              <w:rPr>
                <w:szCs w:val="24"/>
                <w:lang w:eastAsia="en-GB"/>
              </w:rPr>
            </w:pPr>
            <w:r w:rsidRPr="00D2633D">
              <w:rPr>
                <w:szCs w:val="24"/>
                <w:vertAlign w:val="superscript"/>
                <w:lang w:eastAsia="en-GB"/>
              </w:rPr>
              <w:t xml:space="preserve">2 </w:t>
            </w:r>
            <w:r w:rsidRPr="00D2633D">
              <w:rPr>
                <w:szCs w:val="24"/>
                <w:lang w:eastAsia="en-GB"/>
              </w:rPr>
              <w:t>This includes a number of measures which were also reported as ECO measures.</w:t>
            </w:r>
          </w:p>
        </w:tc>
        <w:tc>
          <w:tcPr>
            <w:tcW w:w="549"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r>
      <w:tr w:rsidR="00556BEC" w:rsidRPr="00575ED4" w:rsidTr="00291E07">
        <w:trPr>
          <w:trHeight w:val="285"/>
        </w:trPr>
        <w:tc>
          <w:tcPr>
            <w:tcW w:w="9636" w:type="dxa"/>
            <w:gridSpan w:val="7"/>
            <w:tcBorders>
              <w:top w:val="nil"/>
              <w:left w:val="nil"/>
              <w:bottom w:val="nil"/>
              <w:right w:val="nil"/>
            </w:tcBorders>
            <w:shd w:val="clear" w:color="000000" w:fill="FFFFFF"/>
            <w:noWrap/>
            <w:vAlign w:val="bottom"/>
            <w:hideMark/>
          </w:tcPr>
          <w:p w:rsidR="00D2633D" w:rsidRPr="00575ED4" w:rsidRDefault="00AC5646" w:rsidP="00291E07">
            <w:pPr>
              <w:spacing w:before="0" w:after="0" w:line="240" w:lineRule="auto"/>
              <w:jc w:val="both"/>
              <w:rPr>
                <w:szCs w:val="24"/>
                <w:lang w:eastAsia="en-GB"/>
              </w:rPr>
            </w:pPr>
            <w:r>
              <w:rPr>
                <w:szCs w:val="24"/>
                <w:vertAlign w:val="superscript"/>
                <w:lang w:eastAsia="en-GB"/>
              </w:rPr>
              <w:t>3</w:t>
            </w:r>
            <w:r w:rsidR="00556BEC" w:rsidRPr="00575ED4">
              <w:rPr>
                <w:szCs w:val="24"/>
                <w:lang w:eastAsia="en-GB"/>
              </w:rPr>
              <w:t xml:space="preserve"> This number of Eco Pod installations is measured by the number of individual addresses that are connected to the ECO Pod installation.</w:t>
            </w:r>
          </w:p>
        </w:tc>
      </w:tr>
    </w:tbl>
    <w:p w:rsidR="00415EE4" w:rsidRPr="00A21277" w:rsidRDefault="00817954" w:rsidP="00415EE4">
      <w:pPr>
        <w:spacing w:before="0" w:after="0" w:line="270" w:lineRule="atLeast"/>
        <w:jc w:val="both"/>
        <w:rPr>
          <w:b/>
          <w:bCs/>
        </w:rPr>
      </w:pPr>
      <w:r>
        <w:rPr>
          <w:b/>
          <w:bCs/>
        </w:rPr>
        <w:lastRenderedPageBreak/>
        <w:t>Table 1.9</w:t>
      </w:r>
      <w:r w:rsidR="00415EE4" w:rsidRPr="00A21277">
        <w:rPr>
          <w:b/>
          <w:bCs/>
        </w:rPr>
        <w:t>: Number of Cashback vouchers paid by region, up to 30</w:t>
      </w:r>
      <w:r w:rsidR="00415EE4" w:rsidRPr="00A21277">
        <w:rPr>
          <w:b/>
          <w:bCs/>
          <w:vertAlign w:val="superscript"/>
        </w:rPr>
        <w:t>th</w:t>
      </w:r>
      <w:r w:rsidR="00415EE4" w:rsidRPr="00A21277">
        <w:rPr>
          <w:b/>
          <w:bCs/>
        </w:rPr>
        <w:t xml:space="preserve"> </w:t>
      </w:r>
      <w:r w:rsidR="002D15AF" w:rsidRPr="002D15AF">
        <w:rPr>
          <w:b/>
          <w:bCs/>
        </w:rPr>
        <w:t>September</w:t>
      </w:r>
      <w:r w:rsidR="00415EE4" w:rsidRPr="00A21277">
        <w:rPr>
          <w:b/>
          <w:bCs/>
        </w:rPr>
        <w:t xml:space="preserve"> 2013, England and Wales</w:t>
      </w:r>
    </w:p>
    <w:p w:rsidR="00415EE4" w:rsidRPr="00A21277" w:rsidRDefault="00415EE4" w:rsidP="00415EE4">
      <w:pPr>
        <w:spacing w:before="0" w:after="0" w:line="270" w:lineRule="atLeast"/>
        <w:rPr>
          <w:b/>
          <w:bCs/>
        </w:rPr>
      </w:pPr>
    </w:p>
    <w:tbl>
      <w:tblPr>
        <w:tblW w:w="10080" w:type="dxa"/>
        <w:tblInd w:w="93" w:type="dxa"/>
        <w:tblLayout w:type="fixed"/>
        <w:tblLook w:val="04A0" w:firstRow="1" w:lastRow="0" w:firstColumn="1" w:lastColumn="0" w:noHBand="0" w:noVBand="1"/>
      </w:tblPr>
      <w:tblGrid>
        <w:gridCol w:w="1403"/>
        <w:gridCol w:w="958"/>
        <w:gridCol w:w="957"/>
        <w:gridCol w:w="957"/>
        <w:gridCol w:w="1410"/>
        <w:gridCol w:w="1560"/>
        <w:gridCol w:w="1417"/>
        <w:gridCol w:w="1151"/>
        <w:gridCol w:w="267"/>
      </w:tblGrid>
      <w:tr w:rsidR="00802ACB" w:rsidRPr="00802ACB" w:rsidTr="00802ACB">
        <w:trPr>
          <w:trHeight w:val="1560"/>
        </w:trPr>
        <w:tc>
          <w:tcPr>
            <w:tcW w:w="1403" w:type="dxa"/>
            <w:tcBorders>
              <w:top w:val="single" w:sz="4" w:space="0" w:color="auto"/>
              <w:left w:val="nil"/>
              <w:bottom w:val="single" w:sz="4" w:space="0" w:color="auto"/>
              <w:right w:val="nil"/>
            </w:tcBorders>
            <w:shd w:val="clear" w:color="000000" w:fill="FFFFFF"/>
            <w:vAlign w:val="bottom"/>
            <w:hideMark/>
          </w:tcPr>
          <w:p w:rsidR="00802ACB" w:rsidRPr="00802ACB" w:rsidRDefault="00802ACB" w:rsidP="00802ACB">
            <w:pPr>
              <w:spacing w:before="0" w:after="0" w:line="240" w:lineRule="auto"/>
              <w:rPr>
                <w:sz w:val="22"/>
                <w:szCs w:val="22"/>
                <w:lang w:eastAsia="en-GB"/>
              </w:rPr>
            </w:pPr>
            <w:r w:rsidRPr="00802ACB">
              <w:rPr>
                <w:sz w:val="22"/>
                <w:szCs w:val="22"/>
                <w:lang w:eastAsia="en-GB"/>
              </w:rPr>
              <w:t>Area Codes</w:t>
            </w:r>
          </w:p>
        </w:tc>
        <w:tc>
          <w:tcPr>
            <w:tcW w:w="2872" w:type="dxa"/>
            <w:gridSpan w:val="3"/>
            <w:tcBorders>
              <w:top w:val="single" w:sz="4" w:space="0" w:color="auto"/>
              <w:left w:val="nil"/>
              <w:bottom w:val="single" w:sz="4" w:space="0" w:color="auto"/>
              <w:right w:val="nil"/>
            </w:tcBorders>
            <w:shd w:val="clear" w:color="000000" w:fill="FFFFFF"/>
            <w:noWrap/>
            <w:vAlign w:val="bottom"/>
            <w:hideMark/>
          </w:tcPr>
          <w:p w:rsidR="00802ACB" w:rsidRPr="00802ACB" w:rsidRDefault="00802ACB" w:rsidP="00802ACB">
            <w:pPr>
              <w:spacing w:before="0" w:after="0" w:line="240" w:lineRule="auto"/>
              <w:rPr>
                <w:sz w:val="22"/>
                <w:szCs w:val="22"/>
                <w:lang w:eastAsia="en-GB"/>
              </w:rPr>
            </w:pPr>
            <w:r w:rsidRPr="00802ACB">
              <w:rPr>
                <w:sz w:val="22"/>
                <w:szCs w:val="22"/>
                <w:lang w:eastAsia="en-GB"/>
              </w:rPr>
              <w:t>Area names</w:t>
            </w:r>
          </w:p>
        </w:tc>
        <w:tc>
          <w:tcPr>
            <w:tcW w:w="1410" w:type="dxa"/>
            <w:tcBorders>
              <w:top w:val="single" w:sz="4" w:space="0" w:color="auto"/>
              <w:left w:val="nil"/>
              <w:bottom w:val="single" w:sz="4" w:space="0" w:color="auto"/>
              <w:right w:val="nil"/>
            </w:tcBorders>
            <w:shd w:val="clear" w:color="000000" w:fill="FFFFFF"/>
            <w:vAlign w:val="bottom"/>
            <w:hideMark/>
          </w:tcPr>
          <w:p w:rsidR="00802ACB" w:rsidRPr="00802ACB" w:rsidRDefault="00802ACB" w:rsidP="00802ACB">
            <w:pPr>
              <w:spacing w:before="0" w:after="0" w:line="240" w:lineRule="auto"/>
              <w:jc w:val="right"/>
              <w:rPr>
                <w:color w:val="000000"/>
                <w:sz w:val="22"/>
                <w:szCs w:val="22"/>
                <w:lang w:eastAsia="en-GB"/>
              </w:rPr>
            </w:pPr>
            <w:r w:rsidRPr="00802ACB">
              <w:rPr>
                <w:color w:val="000000"/>
                <w:sz w:val="22"/>
                <w:szCs w:val="22"/>
                <w:lang w:eastAsia="en-GB"/>
              </w:rPr>
              <w:t>Total number of Cashback vouchers paid</w:t>
            </w:r>
          </w:p>
        </w:tc>
        <w:tc>
          <w:tcPr>
            <w:tcW w:w="1560" w:type="dxa"/>
            <w:tcBorders>
              <w:top w:val="single" w:sz="4" w:space="0" w:color="auto"/>
              <w:left w:val="nil"/>
              <w:bottom w:val="single" w:sz="4" w:space="0" w:color="auto"/>
              <w:right w:val="nil"/>
            </w:tcBorders>
            <w:shd w:val="clear" w:color="000000" w:fill="FFFFFF"/>
            <w:vAlign w:val="bottom"/>
            <w:hideMark/>
          </w:tcPr>
          <w:p w:rsidR="00802ACB" w:rsidRPr="00802ACB" w:rsidRDefault="00802ACB" w:rsidP="00802ACB">
            <w:pPr>
              <w:spacing w:before="0" w:after="0" w:line="240" w:lineRule="auto"/>
              <w:jc w:val="right"/>
              <w:rPr>
                <w:sz w:val="22"/>
                <w:szCs w:val="22"/>
                <w:lang w:eastAsia="en-GB"/>
              </w:rPr>
            </w:pPr>
            <w:r w:rsidRPr="00802ACB">
              <w:rPr>
                <w:sz w:val="22"/>
                <w:szCs w:val="22"/>
                <w:lang w:eastAsia="en-GB"/>
              </w:rPr>
              <w:t xml:space="preserve"> Valid percentage of Cashback vouchers paid</w:t>
            </w:r>
            <w:r w:rsidRPr="00802ACB">
              <w:rPr>
                <w:sz w:val="22"/>
                <w:szCs w:val="22"/>
                <w:vertAlign w:val="superscript"/>
                <w:lang w:eastAsia="en-GB"/>
              </w:rPr>
              <w:t>1 2</w:t>
            </w:r>
          </w:p>
        </w:tc>
        <w:tc>
          <w:tcPr>
            <w:tcW w:w="1417" w:type="dxa"/>
            <w:tcBorders>
              <w:top w:val="single" w:sz="4" w:space="0" w:color="auto"/>
              <w:left w:val="nil"/>
              <w:bottom w:val="single" w:sz="4" w:space="0" w:color="auto"/>
              <w:right w:val="nil"/>
            </w:tcBorders>
            <w:shd w:val="clear" w:color="000000" w:fill="FFFFFF"/>
            <w:vAlign w:val="bottom"/>
            <w:hideMark/>
          </w:tcPr>
          <w:p w:rsidR="00802ACB" w:rsidRPr="00802ACB" w:rsidRDefault="00802ACB" w:rsidP="00802ACB">
            <w:pPr>
              <w:spacing w:before="0" w:after="0" w:line="240" w:lineRule="auto"/>
              <w:jc w:val="right"/>
              <w:rPr>
                <w:sz w:val="22"/>
                <w:szCs w:val="22"/>
                <w:lang w:eastAsia="en-GB"/>
              </w:rPr>
            </w:pPr>
            <w:r w:rsidRPr="00802ACB">
              <w:rPr>
                <w:sz w:val="22"/>
                <w:szCs w:val="22"/>
                <w:lang w:eastAsia="en-GB"/>
              </w:rPr>
              <w:t>Households with at least one usual resident</w:t>
            </w:r>
            <w:r w:rsidRPr="00802ACB">
              <w:rPr>
                <w:sz w:val="22"/>
                <w:szCs w:val="22"/>
                <w:vertAlign w:val="superscript"/>
                <w:lang w:eastAsia="en-GB"/>
              </w:rPr>
              <w:t>3</w:t>
            </w:r>
          </w:p>
        </w:tc>
        <w:tc>
          <w:tcPr>
            <w:tcW w:w="1418" w:type="dxa"/>
            <w:gridSpan w:val="2"/>
            <w:tcBorders>
              <w:top w:val="single" w:sz="4" w:space="0" w:color="auto"/>
              <w:left w:val="nil"/>
              <w:bottom w:val="single" w:sz="4" w:space="0" w:color="auto"/>
              <w:right w:val="nil"/>
            </w:tcBorders>
            <w:shd w:val="clear" w:color="000000" w:fill="FFFFFF"/>
            <w:vAlign w:val="bottom"/>
            <w:hideMark/>
          </w:tcPr>
          <w:p w:rsidR="00802ACB" w:rsidRPr="00802ACB" w:rsidRDefault="00802ACB" w:rsidP="00802ACB">
            <w:pPr>
              <w:spacing w:before="0" w:after="0" w:line="240" w:lineRule="auto"/>
              <w:jc w:val="right"/>
              <w:rPr>
                <w:sz w:val="22"/>
                <w:szCs w:val="22"/>
                <w:lang w:eastAsia="en-GB"/>
              </w:rPr>
            </w:pPr>
            <w:r w:rsidRPr="00802ACB">
              <w:rPr>
                <w:sz w:val="22"/>
                <w:szCs w:val="22"/>
                <w:lang w:eastAsia="en-GB"/>
              </w:rPr>
              <w:t>Cashback vouchers paid per 10,000 households</w:t>
            </w:r>
          </w:p>
        </w:tc>
      </w:tr>
      <w:tr w:rsidR="00802ACB" w:rsidRPr="00802ACB" w:rsidTr="00802ACB">
        <w:trPr>
          <w:trHeight w:val="255"/>
        </w:trPr>
        <w:tc>
          <w:tcPr>
            <w:tcW w:w="1403"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rPr>
                <w:sz w:val="22"/>
                <w:szCs w:val="22"/>
                <w:lang w:eastAsia="en-GB"/>
              </w:rPr>
            </w:pPr>
            <w:r w:rsidRPr="00802ACB">
              <w:rPr>
                <w:sz w:val="22"/>
                <w:szCs w:val="22"/>
                <w:lang w:eastAsia="en-GB"/>
              </w:rPr>
              <w:t> </w:t>
            </w:r>
          </w:p>
        </w:tc>
        <w:tc>
          <w:tcPr>
            <w:tcW w:w="958"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rPr>
                <w:b/>
                <w:bCs/>
                <w:sz w:val="22"/>
                <w:szCs w:val="22"/>
                <w:lang w:eastAsia="en-GB"/>
              </w:rPr>
            </w:pPr>
            <w:r w:rsidRPr="00802ACB">
              <w:rPr>
                <w:b/>
                <w:bCs/>
                <w:sz w:val="22"/>
                <w:szCs w:val="22"/>
                <w:lang w:eastAsia="en-GB"/>
              </w:rPr>
              <w:t> </w:t>
            </w:r>
          </w:p>
        </w:tc>
        <w:tc>
          <w:tcPr>
            <w:tcW w:w="957"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rPr>
                <w:sz w:val="22"/>
                <w:szCs w:val="22"/>
                <w:lang w:eastAsia="en-GB"/>
              </w:rPr>
            </w:pPr>
            <w:r w:rsidRPr="00802ACB">
              <w:rPr>
                <w:sz w:val="22"/>
                <w:szCs w:val="22"/>
                <w:lang w:eastAsia="en-GB"/>
              </w:rPr>
              <w:t> </w:t>
            </w:r>
          </w:p>
        </w:tc>
        <w:tc>
          <w:tcPr>
            <w:tcW w:w="957"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rPr>
                <w:sz w:val="22"/>
                <w:szCs w:val="22"/>
                <w:lang w:eastAsia="en-GB"/>
              </w:rPr>
            </w:pPr>
            <w:r w:rsidRPr="00802ACB">
              <w:rPr>
                <w:sz w:val="22"/>
                <w:szCs w:val="22"/>
                <w:lang w:eastAsia="en-GB"/>
              </w:rPr>
              <w:t> </w:t>
            </w:r>
          </w:p>
        </w:tc>
        <w:tc>
          <w:tcPr>
            <w:tcW w:w="1410"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rPr>
                <w:sz w:val="22"/>
                <w:szCs w:val="22"/>
                <w:lang w:eastAsia="en-GB"/>
              </w:rPr>
            </w:pPr>
            <w:r w:rsidRPr="00802ACB">
              <w:rPr>
                <w:sz w:val="22"/>
                <w:szCs w:val="22"/>
                <w:lang w:eastAsia="en-GB"/>
              </w:rPr>
              <w:t> </w:t>
            </w:r>
          </w:p>
        </w:tc>
        <w:tc>
          <w:tcPr>
            <w:tcW w:w="1560"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rPr>
                <w:sz w:val="22"/>
                <w:szCs w:val="22"/>
                <w:lang w:eastAsia="en-GB"/>
              </w:rPr>
            </w:pPr>
            <w:r w:rsidRPr="00802ACB">
              <w:rPr>
                <w:sz w:val="22"/>
                <w:szCs w:val="22"/>
                <w:lang w:eastAsia="en-GB"/>
              </w:rPr>
              <w:t> </w:t>
            </w:r>
          </w:p>
        </w:tc>
        <w:tc>
          <w:tcPr>
            <w:tcW w:w="1417"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rPr>
                <w:sz w:val="22"/>
                <w:szCs w:val="22"/>
                <w:lang w:eastAsia="en-GB"/>
              </w:rPr>
            </w:pPr>
            <w:r w:rsidRPr="00802ACB">
              <w:rPr>
                <w:sz w:val="22"/>
                <w:szCs w:val="22"/>
                <w:lang w:eastAsia="en-GB"/>
              </w:rPr>
              <w:t> </w:t>
            </w:r>
          </w:p>
        </w:tc>
        <w:tc>
          <w:tcPr>
            <w:tcW w:w="1418" w:type="dxa"/>
            <w:gridSpan w:val="2"/>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rPr>
                <w:sz w:val="22"/>
                <w:szCs w:val="22"/>
                <w:lang w:eastAsia="en-GB"/>
              </w:rPr>
            </w:pPr>
            <w:r w:rsidRPr="00802ACB">
              <w:rPr>
                <w:sz w:val="22"/>
                <w:szCs w:val="22"/>
                <w:lang w:eastAsia="en-GB"/>
              </w:rPr>
              <w:t> </w:t>
            </w:r>
          </w:p>
        </w:tc>
      </w:tr>
      <w:tr w:rsidR="00802ACB" w:rsidRPr="00802ACB" w:rsidTr="00802ACB">
        <w:trPr>
          <w:trHeight w:val="255"/>
        </w:trPr>
        <w:tc>
          <w:tcPr>
            <w:tcW w:w="1403" w:type="dxa"/>
            <w:tcBorders>
              <w:top w:val="nil"/>
              <w:left w:val="nil"/>
              <w:bottom w:val="nil"/>
              <w:right w:val="nil"/>
            </w:tcBorders>
            <w:shd w:val="clear" w:color="auto" w:fill="auto"/>
            <w:noWrap/>
            <w:vAlign w:val="bottom"/>
            <w:hideMark/>
          </w:tcPr>
          <w:p w:rsidR="00802ACB" w:rsidRPr="00802ACB" w:rsidRDefault="00802ACB" w:rsidP="00802ACB">
            <w:pPr>
              <w:spacing w:before="0" w:after="0" w:line="240" w:lineRule="auto"/>
              <w:rPr>
                <w:b/>
                <w:bCs/>
                <w:color w:val="000000"/>
                <w:sz w:val="22"/>
                <w:szCs w:val="22"/>
                <w:lang w:eastAsia="en-GB"/>
              </w:rPr>
            </w:pPr>
            <w:r w:rsidRPr="00802ACB">
              <w:rPr>
                <w:b/>
                <w:bCs/>
                <w:color w:val="000000"/>
                <w:sz w:val="22"/>
                <w:szCs w:val="22"/>
                <w:lang w:eastAsia="en-GB"/>
              </w:rPr>
              <w:t>K04000001</w:t>
            </w:r>
          </w:p>
        </w:tc>
        <w:tc>
          <w:tcPr>
            <w:tcW w:w="2872" w:type="dxa"/>
            <w:gridSpan w:val="3"/>
            <w:tcBorders>
              <w:top w:val="nil"/>
              <w:left w:val="nil"/>
              <w:bottom w:val="nil"/>
              <w:right w:val="nil"/>
            </w:tcBorders>
            <w:shd w:val="clear" w:color="000000" w:fill="FFFFFF"/>
            <w:noWrap/>
            <w:vAlign w:val="center"/>
            <w:hideMark/>
          </w:tcPr>
          <w:p w:rsidR="00802ACB" w:rsidRPr="00802ACB" w:rsidRDefault="00802ACB" w:rsidP="00802ACB">
            <w:pPr>
              <w:spacing w:before="0" w:after="0" w:line="240" w:lineRule="auto"/>
              <w:rPr>
                <w:b/>
                <w:bCs/>
                <w:color w:val="000000"/>
                <w:sz w:val="22"/>
                <w:szCs w:val="22"/>
                <w:lang w:eastAsia="en-GB"/>
              </w:rPr>
            </w:pPr>
            <w:r w:rsidRPr="00802ACB">
              <w:rPr>
                <w:b/>
                <w:bCs/>
                <w:color w:val="000000"/>
                <w:sz w:val="22"/>
                <w:szCs w:val="22"/>
                <w:lang w:eastAsia="en-GB"/>
              </w:rPr>
              <w:t>England and Wales</w:t>
            </w:r>
          </w:p>
        </w:tc>
        <w:tc>
          <w:tcPr>
            <w:tcW w:w="1410"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b/>
                <w:bCs/>
                <w:sz w:val="22"/>
                <w:szCs w:val="22"/>
                <w:lang w:eastAsia="en-GB"/>
              </w:rPr>
            </w:pPr>
            <w:r w:rsidRPr="00802ACB">
              <w:rPr>
                <w:b/>
                <w:bCs/>
                <w:sz w:val="22"/>
                <w:szCs w:val="22"/>
                <w:lang w:eastAsia="en-GB"/>
              </w:rPr>
              <w:t>6,994</w:t>
            </w:r>
          </w:p>
        </w:tc>
        <w:tc>
          <w:tcPr>
            <w:tcW w:w="1560"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b/>
                <w:bCs/>
                <w:i/>
                <w:iCs/>
                <w:sz w:val="22"/>
                <w:szCs w:val="22"/>
                <w:lang w:eastAsia="en-GB"/>
              </w:rPr>
            </w:pPr>
            <w:r w:rsidRPr="00802ACB">
              <w:rPr>
                <w:b/>
                <w:bCs/>
                <w:i/>
                <w:iCs/>
                <w:sz w:val="22"/>
                <w:szCs w:val="22"/>
                <w:lang w:eastAsia="en-GB"/>
              </w:rPr>
              <w:t>100</w:t>
            </w:r>
          </w:p>
        </w:tc>
        <w:tc>
          <w:tcPr>
            <w:tcW w:w="1417"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b/>
                <w:bCs/>
                <w:sz w:val="22"/>
                <w:szCs w:val="22"/>
                <w:lang w:eastAsia="en-GB"/>
              </w:rPr>
            </w:pPr>
            <w:r w:rsidRPr="00802ACB">
              <w:rPr>
                <w:b/>
                <w:bCs/>
                <w:sz w:val="22"/>
                <w:szCs w:val="22"/>
                <w:lang w:eastAsia="en-GB"/>
              </w:rPr>
              <w:t>23,366,044</w:t>
            </w:r>
          </w:p>
        </w:tc>
        <w:tc>
          <w:tcPr>
            <w:tcW w:w="1418" w:type="dxa"/>
            <w:gridSpan w:val="2"/>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sz w:val="22"/>
                <w:szCs w:val="22"/>
                <w:lang w:eastAsia="en-GB"/>
              </w:rPr>
            </w:pPr>
            <w:r w:rsidRPr="00802ACB">
              <w:rPr>
                <w:sz w:val="22"/>
                <w:szCs w:val="22"/>
                <w:lang w:eastAsia="en-GB"/>
              </w:rPr>
              <w:t>3.0</w:t>
            </w:r>
          </w:p>
        </w:tc>
      </w:tr>
      <w:tr w:rsidR="00802ACB" w:rsidRPr="00802ACB" w:rsidTr="00802ACB">
        <w:trPr>
          <w:trHeight w:val="255"/>
        </w:trPr>
        <w:tc>
          <w:tcPr>
            <w:tcW w:w="1403"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rPr>
                <w:b/>
                <w:bCs/>
                <w:sz w:val="22"/>
                <w:szCs w:val="22"/>
                <w:lang w:eastAsia="en-GB"/>
              </w:rPr>
            </w:pPr>
            <w:r w:rsidRPr="00802ACB">
              <w:rPr>
                <w:b/>
                <w:bCs/>
                <w:sz w:val="22"/>
                <w:szCs w:val="22"/>
                <w:lang w:eastAsia="en-GB"/>
              </w:rPr>
              <w:t> </w:t>
            </w:r>
          </w:p>
        </w:tc>
        <w:tc>
          <w:tcPr>
            <w:tcW w:w="958" w:type="dxa"/>
            <w:tcBorders>
              <w:top w:val="nil"/>
              <w:left w:val="nil"/>
              <w:bottom w:val="nil"/>
              <w:right w:val="nil"/>
            </w:tcBorders>
            <w:shd w:val="clear" w:color="000000" w:fill="FFFFFF"/>
            <w:noWrap/>
            <w:vAlign w:val="center"/>
            <w:hideMark/>
          </w:tcPr>
          <w:p w:rsidR="00802ACB" w:rsidRPr="00802ACB" w:rsidRDefault="00802ACB" w:rsidP="00802ACB">
            <w:pPr>
              <w:spacing w:before="0" w:after="0" w:line="240" w:lineRule="auto"/>
              <w:rPr>
                <w:b/>
                <w:bCs/>
                <w:color w:val="000000"/>
                <w:sz w:val="22"/>
                <w:szCs w:val="22"/>
                <w:lang w:eastAsia="en-GB"/>
              </w:rPr>
            </w:pPr>
            <w:r w:rsidRPr="00802ACB">
              <w:rPr>
                <w:b/>
                <w:bCs/>
                <w:color w:val="000000"/>
                <w:sz w:val="22"/>
                <w:szCs w:val="22"/>
                <w:lang w:eastAsia="en-GB"/>
              </w:rPr>
              <w:t> </w:t>
            </w:r>
          </w:p>
        </w:tc>
        <w:tc>
          <w:tcPr>
            <w:tcW w:w="957" w:type="dxa"/>
            <w:tcBorders>
              <w:top w:val="nil"/>
              <w:left w:val="nil"/>
              <w:bottom w:val="nil"/>
              <w:right w:val="nil"/>
            </w:tcBorders>
            <w:shd w:val="clear" w:color="000000" w:fill="FFFFFF"/>
            <w:noWrap/>
            <w:vAlign w:val="center"/>
            <w:hideMark/>
          </w:tcPr>
          <w:p w:rsidR="00802ACB" w:rsidRPr="00802ACB" w:rsidRDefault="00802ACB" w:rsidP="00802ACB">
            <w:pPr>
              <w:spacing w:before="0" w:after="0" w:line="240" w:lineRule="auto"/>
              <w:rPr>
                <w:b/>
                <w:bCs/>
                <w:color w:val="000000"/>
                <w:sz w:val="22"/>
                <w:szCs w:val="22"/>
                <w:lang w:eastAsia="en-GB"/>
              </w:rPr>
            </w:pPr>
            <w:r w:rsidRPr="00802ACB">
              <w:rPr>
                <w:b/>
                <w:bCs/>
                <w:color w:val="000000"/>
                <w:sz w:val="22"/>
                <w:szCs w:val="22"/>
                <w:lang w:eastAsia="en-GB"/>
              </w:rPr>
              <w:t> </w:t>
            </w:r>
          </w:p>
        </w:tc>
        <w:tc>
          <w:tcPr>
            <w:tcW w:w="957" w:type="dxa"/>
            <w:tcBorders>
              <w:top w:val="nil"/>
              <w:left w:val="nil"/>
              <w:bottom w:val="nil"/>
              <w:right w:val="nil"/>
            </w:tcBorders>
            <w:shd w:val="clear" w:color="000000" w:fill="FFFFFF"/>
            <w:noWrap/>
            <w:vAlign w:val="center"/>
            <w:hideMark/>
          </w:tcPr>
          <w:p w:rsidR="00802ACB" w:rsidRPr="00802ACB" w:rsidRDefault="00802ACB" w:rsidP="00802ACB">
            <w:pPr>
              <w:spacing w:before="0" w:after="0" w:line="240" w:lineRule="auto"/>
              <w:rPr>
                <w:b/>
                <w:bCs/>
                <w:color w:val="000000"/>
                <w:sz w:val="22"/>
                <w:szCs w:val="22"/>
                <w:lang w:eastAsia="en-GB"/>
              </w:rPr>
            </w:pPr>
            <w:r w:rsidRPr="00802ACB">
              <w:rPr>
                <w:b/>
                <w:bCs/>
                <w:color w:val="000000"/>
                <w:sz w:val="22"/>
                <w:szCs w:val="22"/>
                <w:lang w:eastAsia="en-GB"/>
              </w:rPr>
              <w:t> </w:t>
            </w:r>
          </w:p>
        </w:tc>
        <w:tc>
          <w:tcPr>
            <w:tcW w:w="1410"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rPr>
                <w:b/>
                <w:bCs/>
                <w:sz w:val="22"/>
                <w:szCs w:val="22"/>
                <w:lang w:eastAsia="en-GB"/>
              </w:rPr>
            </w:pPr>
            <w:r w:rsidRPr="00802ACB">
              <w:rPr>
                <w:b/>
                <w:bCs/>
                <w:sz w:val="22"/>
                <w:szCs w:val="22"/>
                <w:lang w:eastAsia="en-GB"/>
              </w:rPr>
              <w:t> </w:t>
            </w:r>
          </w:p>
        </w:tc>
        <w:tc>
          <w:tcPr>
            <w:tcW w:w="1560"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rPr>
                <w:i/>
                <w:iCs/>
                <w:sz w:val="22"/>
                <w:szCs w:val="22"/>
                <w:lang w:eastAsia="en-GB"/>
              </w:rPr>
            </w:pPr>
            <w:r w:rsidRPr="00802ACB">
              <w:rPr>
                <w:i/>
                <w:iCs/>
                <w:sz w:val="22"/>
                <w:szCs w:val="22"/>
                <w:lang w:eastAsia="en-GB"/>
              </w:rPr>
              <w:t> </w:t>
            </w:r>
          </w:p>
        </w:tc>
        <w:tc>
          <w:tcPr>
            <w:tcW w:w="1417"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rPr>
                <w:sz w:val="22"/>
                <w:szCs w:val="22"/>
                <w:lang w:eastAsia="en-GB"/>
              </w:rPr>
            </w:pPr>
            <w:r w:rsidRPr="00802ACB">
              <w:rPr>
                <w:sz w:val="22"/>
                <w:szCs w:val="22"/>
                <w:lang w:eastAsia="en-GB"/>
              </w:rPr>
              <w:t> </w:t>
            </w:r>
          </w:p>
        </w:tc>
        <w:tc>
          <w:tcPr>
            <w:tcW w:w="1418" w:type="dxa"/>
            <w:gridSpan w:val="2"/>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rPr>
                <w:sz w:val="22"/>
                <w:szCs w:val="22"/>
                <w:lang w:eastAsia="en-GB"/>
              </w:rPr>
            </w:pPr>
            <w:r w:rsidRPr="00802ACB">
              <w:rPr>
                <w:sz w:val="22"/>
                <w:szCs w:val="22"/>
                <w:lang w:eastAsia="en-GB"/>
              </w:rPr>
              <w:t> </w:t>
            </w:r>
          </w:p>
        </w:tc>
      </w:tr>
      <w:tr w:rsidR="00802ACB" w:rsidRPr="00802ACB" w:rsidTr="00802ACB">
        <w:trPr>
          <w:trHeight w:val="255"/>
        </w:trPr>
        <w:tc>
          <w:tcPr>
            <w:tcW w:w="1403"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rPr>
                <w:b/>
                <w:bCs/>
                <w:sz w:val="22"/>
                <w:szCs w:val="22"/>
                <w:lang w:eastAsia="en-GB"/>
              </w:rPr>
            </w:pPr>
            <w:r w:rsidRPr="00802ACB">
              <w:rPr>
                <w:b/>
                <w:bCs/>
                <w:sz w:val="22"/>
                <w:szCs w:val="22"/>
                <w:lang w:eastAsia="en-GB"/>
              </w:rPr>
              <w:t>E92000001</w:t>
            </w:r>
          </w:p>
        </w:tc>
        <w:tc>
          <w:tcPr>
            <w:tcW w:w="2872" w:type="dxa"/>
            <w:gridSpan w:val="3"/>
            <w:tcBorders>
              <w:top w:val="nil"/>
              <w:left w:val="nil"/>
              <w:bottom w:val="nil"/>
              <w:right w:val="nil"/>
            </w:tcBorders>
            <w:shd w:val="clear" w:color="000000" w:fill="FFFFFF"/>
            <w:noWrap/>
            <w:vAlign w:val="center"/>
            <w:hideMark/>
          </w:tcPr>
          <w:p w:rsidR="00802ACB" w:rsidRPr="00802ACB" w:rsidRDefault="00802ACB" w:rsidP="00802ACB">
            <w:pPr>
              <w:spacing w:before="0" w:after="0" w:line="240" w:lineRule="auto"/>
              <w:rPr>
                <w:b/>
                <w:bCs/>
                <w:color w:val="000000"/>
                <w:sz w:val="22"/>
                <w:szCs w:val="22"/>
                <w:lang w:eastAsia="en-GB"/>
              </w:rPr>
            </w:pPr>
            <w:r w:rsidRPr="00802ACB">
              <w:rPr>
                <w:b/>
                <w:bCs/>
                <w:color w:val="000000"/>
                <w:sz w:val="22"/>
                <w:szCs w:val="22"/>
                <w:lang w:eastAsia="en-GB"/>
              </w:rPr>
              <w:t>England</w:t>
            </w:r>
          </w:p>
        </w:tc>
        <w:tc>
          <w:tcPr>
            <w:tcW w:w="1410"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b/>
                <w:bCs/>
                <w:sz w:val="22"/>
                <w:szCs w:val="22"/>
                <w:lang w:eastAsia="en-GB"/>
              </w:rPr>
            </w:pPr>
            <w:r w:rsidRPr="00802ACB">
              <w:rPr>
                <w:b/>
                <w:bCs/>
                <w:sz w:val="22"/>
                <w:szCs w:val="22"/>
                <w:lang w:eastAsia="en-GB"/>
              </w:rPr>
              <w:t>6,383</w:t>
            </w:r>
          </w:p>
        </w:tc>
        <w:tc>
          <w:tcPr>
            <w:tcW w:w="1560"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b/>
                <w:bCs/>
                <w:i/>
                <w:iCs/>
                <w:sz w:val="22"/>
                <w:szCs w:val="22"/>
                <w:lang w:eastAsia="en-GB"/>
              </w:rPr>
            </w:pPr>
            <w:r w:rsidRPr="00802ACB">
              <w:rPr>
                <w:b/>
                <w:bCs/>
                <w:i/>
                <w:iCs/>
                <w:sz w:val="22"/>
                <w:szCs w:val="22"/>
                <w:lang w:eastAsia="en-GB"/>
              </w:rPr>
              <w:t>94</w:t>
            </w:r>
          </w:p>
        </w:tc>
        <w:tc>
          <w:tcPr>
            <w:tcW w:w="1417"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b/>
                <w:bCs/>
                <w:sz w:val="22"/>
                <w:szCs w:val="22"/>
                <w:lang w:eastAsia="en-GB"/>
              </w:rPr>
            </w:pPr>
            <w:r w:rsidRPr="00802ACB">
              <w:rPr>
                <w:b/>
                <w:bCs/>
                <w:sz w:val="22"/>
                <w:szCs w:val="22"/>
                <w:lang w:eastAsia="en-GB"/>
              </w:rPr>
              <w:t>22,063,368</w:t>
            </w:r>
          </w:p>
        </w:tc>
        <w:tc>
          <w:tcPr>
            <w:tcW w:w="1418" w:type="dxa"/>
            <w:gridSpan w:val="2"/>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sz w:val="22"/>
                <w:szCs w:val="22"/>
                <w:lang w:eastAsia="en-GB"/>
              </w:rPr>
            </w:pPr>
            <w:r w:rsidRPr="00802ACB">
              <w:rPr>
                <w:sz w:val="22"/>
                <w:szCs w:val="22"/>
                <w:lang w:eastAsia="en-GB"/>
              </w:rPr>
              <w:t>2.9</w:t>
            </w:r>
          </w:p>
        </w:tc>
      </w:tr>
      <w:tr w:rsidR="00802ACB" w:rsidRPr="00802ACB" w:rsidTr="00802ACB">
        <w:trPr>
          <w:trHeight w:val="255"/>
        </w:trPr>
        <w:tc>
          <w:tcPr>
            <w:tcW w:w="1403"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rPr>
                <w:sz w:val="22"/>
                <w:szCs w:val="22"/>
                <w:lang w:eastAsia="en-GB"/>
              </w:rPr>
            </w:pPr>
            <w:r w:rsidRPr="00802ACB">
              <w:rPr>
                <w:sz w:val="22"/>
                <w:szCs w:val="22"/>
                <w:lang w:eastAsia="en-GB"/>
              </w:rPr>
              <w:t> </w:t>
            </w:r>
          </w:p>
        </w:tc>
        <w:tc>
          <w:tcPr>
            <w:tcW w:w="958" w:type="dxa"/>
            <w:tcBorders>
              <w:top w:val="nil"/>
              <w:left w:val="nil"/>
              <w:bottom w:val="nil"/>
              <w:right w:val="nil"/>
            </w:tcBorders>
            <w:shd w:val="clear" w:color="000000" w:fill="FFFFFF"/>
            <w:noWrap/>
            <w:vAlign w:val="center"/>
            <w:hideMark/>
          </w:tcPr>
          <w:p w:rsidR="00802ACB" w:rsidRPr="00802ACB" w:rsidRDefault="00802ACB" w:rsidP="00802ACB">
            <w:pPr>
              <w:spacing w:before="0" w:after="0" w:line="240" w:lineRule="auto"/>
              <w:rPr>
                <w:color w:val="000000"/>
                <w:sz w:val="22"/>
                <w:szCs w:val="22"/>
                <w:lang w:eastAsia="en-GB"/>
              </w:rPr>
            </w:pPr>
            <w:r w:rsidRPr="00802ACB">
              <w:rPr>
                <w:color w:val="000000"/>
                <w:sz w:val="22"/>
                <w:szCs w:val="22"/>
                <w:lang w:eastAsia="en-GB"/>
              </w:rPr>
              <w:t> </w:t>
            </w:r>
          </w:p>
        </w:tc>
        <w:tc>
          <w:tcPr>
            <w:tcW w:w="957" w:type="dxa"/>
            <w:tcBorders>
              <w:top w:val="nil"/>
              <w:left w:val="nil"/>
              <w:bottom w:val="nil"/>
              <w:right w:val="nil"/>
            </w:tcBorders>
            <w:shd w:val="clear" w:color="000000" w:fill="FFFFFF"/>
            <w:noWrap/>
            <w:vAlign w:val="center"/>
            <w:hideMark/>
          </w:tcPr>
          <w:p w:rsidR="00802ACB" w:rsidRPr="00802ACB" w:rsidRDefault="00802ACB" w:rsidP="00802ACB">
            <w:pPr>
              <w:spacing w:before="0" w:after="0" w:line="240" w:lineRule="auto"/>
              <w:rPr>
                <w:color w:val="000000"/>
                <w:sz w:val="22"/>
                <w:szCs w:val="22"/>
                <w:lang w:eastAsia="en-GB"/>
              </w:rPr>
            </w:pPr>
            <w:r w:rsidRPr="00802ACB">
              <w:rPr>
                <w:color w:val="000000"/>
                <w:sz w:val="22"/>
                <w:szCs w:val="22"/>
                <w:lang w:eastAsia="en-GB"/>
              </w:rPr>
              <w:t> </w:t>
            </w:r>
          </w:p>
        </w:tc>
        <w:tc>
          <w:tcPr>
            <w:tcW w:w="957" w:type="dxa"/>
            <w:tcBorders>
              <w:top w:val="nil"/>
              <w:left w:val="nil"/>
              <w:bottom w:val="nil"/>
              <w:right w:val="nil"/>
            </w:tcBorders>
            <w:shd w:val="clear" w:color="000000" w:fill="FFFFFF"/>
            <w:noWrap/>
            <w:vAlign w:val="center"/>
            <w:hideMark/>
          </w:tcPr>
          <w:p w:rsidR="00802ACB" w:rsidRPr="00802ACB" w:rsidRDefault="00802ACB" w:rsidP="00802ACB">
            <w:pPr>
              <w:spacing w:before="0" w:after="0" w:line="240" w:lineRule="auto"/>
              <w:rPr>
                <w:color w:val="000000"/>
                <w:sz w:val="22"/>
                <w:szCs w:val="22"/>
                <w:lang w:eastAsia="en-GB"/>
              </w:rPr>
            </w:pPr>
            <w:r w:rsidRPr="00802ACB">
              <w:rPr>
                <w:color w:val="000000"/>
                <w:sz w:val="22"/>
                <w:szCs w:val="22"/>
                <w:lang w:eastAsia="en-GB"/>
              </w:rPr>
              <w:t> </w:t>
            </w:r>
          </w:p>
        </w:tc>
        <w:tc>
          <w:tcPr>
            <w:tcW w:w="1410"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rPr>
                <w:b/>
                <w:bCs/>
                <w:sz w:val="22"/>
                <w:szCs w:val="22"/>
                <w:lang w:eastAsia="en-GB"/>
              </w:rPr>
            </w:pPr>
            <w:r w:rsidRPr="00802ACB">
              <w:rPr>
                <w:b/>
                <w:bCs/>
                <w:sz w:val="22"/>
                <w:szCs w:val="22"/>
                <w:lang w:eastAsia="en-GB"/>
              </w:rPr>
              <w:t> </w:t>
            </w:r>
          </w:p>
        </w:tc>
        <w:tc>
          <w:tcPr>
            <w:tcW w:w="1560"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rPr>
                <w:i/>
                <w:iCs/>
                <w:sz w:val="22"/>
                <w:szCs w:val="22"/>
                <w:lang w:eastAsia="en-GB"/>
              </w:rPr>
            </w:pPr>
            <w:r w:rsidRPr="00802ACB">
              <w:rPr>
                <w:i/>
                <w:iCs/>
                <w:sz w:val="22"/>
                <w:szCs w:val="22"/>
                <w:lang w:eastAsia="en-GB"/>
              </w:rPr>
              <w:t> </w:t>
            </w:r>
          </w:p>
        </w:tc>
        <w:tc>
          <w:tcPr>
            <w:tcW w:w="1417"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rPr>
                <w:sz w:val="22"/>
                <w:szCs w:val="22"/>
                <w:lang w:eastAsia="en-GB"/>
              </w:rPr>
            </w:pPr>
            <w:r w:rsidRPr="00802ACB">
              <w:rPr>
                <w:sz w:val="22"/>
                <w:szCs w:val="22"/>
                <w:lang w:eastAsia="en-GB"/>
              </w:rPr>
              <w:t> </w:t>
            </w:r>
          </w:p>
        </w:tc>
        <w:tc>
          <w:tcPr>
            <w:tcW w:w="1418" w:type="dxa"/>
            <w:gridSpan w:val="2"/>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rPr>
                <w:sz w:val="22"/>
                <w:szCs w:val="22"/>
                <w:lang w:eastAsia="en-GB"/>
              </w:rPr>
            </w:pPr>
            <w:r w:rsidRPr="00802ACB">
              <w:rPr>
                <w:sz w:val="22"/>
                <w:szCs w:val="22"/>
                <w:lang w:eastAsia="en-GB"/>
              </w:rPr>
              <w:t> </w:t>
            </w:r>
          </w:p>
        </w:tc>
      </w:tr>
      <w:tr w:rsidR="00802ACB" w:rsidRPr="00802ACB" w:rsidTr="00802ACB">
        <w:trPr>
          <w:trHeight w:val="255"/>
        </w:trPr>
        <w:tc>
          <w:tcPr>
            <w:tcW w:w="1403"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rPr>
                <w:sz w:val="22"/>
                <w:szCs w:val="22"/>
                <w:lang w:eastAsia="en-GB"/>
              </w:rPr>
            </w:pPr>
            <w:r w:rsidRPr="00802ACB">
              <w:rPr>
                <w:sz w:val="22"/>
                <w:szCs w:val="22"/>
                <w:lang w:eastAsia="en-GB"/>
              </w:rPr>
              <w:t>E12000001</w:t>
            </w:r>
          </w:p>
        </w:tc>
        <w:tc>
          <w:tcPr>
            <w:tcW w:w="2872" w:type="dxa"/>
            <w:gridSpan w:val="3"/>
            <w:tcBorders>
              <w:top w:val="nil"/>
              <w:left w:val="nil"/>
              <w:bottom w:val="nil"/>
              <w:right w:val="nil"/>
            </w:tcBorders>
            <w:shd w:val="clear" w:color="000000" w:fill="FFFFFF"/>
            <w:noWrap/>
            <w:vAlign w:val="center"/>
            <w:hideMark/>
          </w:tcPr>
          <w:p w:rsidR="00802ACB" w:rsidRPr="00802ACB" w:rsidRDefault="00802ACB" w:rsidP="00802ACB">
            <w:pPr>
              <w:spacing w:before="0" w:after="0" w:line="240" w:lineRule="auto"/>
              <w:rPr>
                <w:color w:val="000000"/>
                <w:sz w:val="22"/>
                <w:szCs w:val="22"/>
                <w:lang w:eastAsia="en-GB"/>
              </w:rPr>
            </w:pPr>
            <w:r w:rsidRPr="00802ACB">
              <w:rPr>
                <w:color w:val="000000"/>
                <w:sz w:val="22"/>
                <w:szCs w:val="22"/>
                <w:lang w:eastAsia="en-GB"/>
              </w:rPr>
              <w:t>North East</w:t>
            </w:r>
          </w:p>
        </w:tc>
        <w:tc>
          <w:tcPr>
            <w:tcW w:w="1410"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sz w:val="22"/>
                <w:szCs w:val="22"/>
                <w:lang w:eastAsia="en-GB"/>
              </w:rPr>
            </w:pPr>
            <w:r w:rsidRPr="00802ACB">
              <w:rPr>
                <w:sz w:val="22"/>
                <w:szCs w:val="22"/>
                <w:lang w:eastAsia="en-GB"/>
              </w:rPr>
              <w:t>197</w:t>
            </w:r>
          </w:p>
        </w:tc>
        <w:tc>
          <w:tcPr>
            <w:tcW w:w="1560"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i/>
                <w:iCs/>
                <w:sz w:val="22"/>
                <w:szCs w:val="22"/>
                <w:lang w:eastAsia="en-GB"/>
              </w:rPr>
            </w:pPr>
            <w:r w:rsidRPr="00802ACB">
              <w:rPr>
                <w:i/>
                <w:iCs/>
                <w:sz w:val="22"/>
                <w:szCs w:val="22"/>
                <w:lang w:eastAsia="en-GB"/>
              </w:rPr>
              <w:t>3</w:t>
            </w:r>
          </w:p>
        </w:tc>
        <w:tc>
          <w:tcPr>
            <w:tcW w:w="1417"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sz w:val="22"/>
                <w:szCs w:val="22"/>
                <w:lang w:eastAsia="en-GB"/>
              </w:rPr>
            </w:pPr>
            <w:r w:rsidRPr="00802ACB">
              <w:rPr>
                <w:sz w:val="22"/>
                <w:szCs w:val="22"/>
                <w:lang w:eastAsia="en-GB"/>
              </w:rPr>
              <w:t>1,129,935</w:t>
            </w:r>
          </w:p>
        </w:tc>
        <w:tc>
          <w:tcPr>
            <w:tcW w:w="1418" w:type="dxa"/>
            <w:gridSpan w:val="2"/>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sz w:val="22"/>
                <w:szCs w:val="22"/>
                <w:lang w:eastAsia="en-GB"/>
              </w:rPr>
            </w:pPr>
            <w:r w:rsidRPr="00802ACB">
              <w:rPr>
                <w:sz w:val="22"/>
                <w:szCs w:val="22"/>
                <w:lang w:eastAsia="en-GB"/>
              </w:rPr>
              <w:t>1.7</w:t>
            </w:r>
          </w:p>
        </w:tc>
      </w:tr>
      <w:tr w:rsidR="00802ACB" w:rsidRPr="00802ACB" w:rsidTr="00802ACB">
        <w:trPr>
          <w:trHeight w:val="255"/>
        </w:trPr>
        <w:tc>
          <w:tcPr>
            <w:tcW w:w="1403"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rPr>
                <w:sz w:val="22"/>
                <w:szCs w:val="22"/>
                <w:lang w:eastAsia="en-GB"/>
              </w:rPr>
            </w:pPr>
            <w:r w:rsidRPr="00802ACB">
              <w:rPr>
                <w:sz w:val="22"/>
                <w:szCs w:val="22"/>
                <w:lang w:eastAsia="en-GB"/>
              </w:rPr>
              <w:t>E12000002</w:t>
            </w:r>
          </w:p>
        </w:tc>
        <w:tc>
          <w:tcPr>
            <w:tcW w:w="2872" w:type="dxa"/>
            <w:gridSpan w:val="3"/>
            <w:tcBorders>
              <w:top w:val="nil"/>
              <w:left w:val="nil"/>
              <w:bottom w:val="nil"/>
              <w:right w:val="nil"/>
            </w:tcBorders>
            <w:shd w:val="clear" w:color="000000" w:fill="FFFFFF"/>
            <w:noWrap/>
            <w:vAlign w:val="center"/>
            <w:hideMark/>
          </w:tcPr>
          <w:p w:rsidR="00802ACB" w:rsidRPr="00802ACB" w:rsidRDefault="00802ACB" w:rsidP="00802ACB">
            <w:pPr>
              <w:spacing w:before="0" w:after="0" w:line="240" w:lineRule="auto"/>
              <w:rPr>
                <w:color w:val="000000"/>
                <w:sz w:val="22"/>
                <w:szCs w:val="22"/>
                <w:lang w:eastAsia="en-GB"/>
              </w:rPr>
            </w:pPr>
            <w:r w:rsidRPr="00802ACB">
              <w:rPr>
                <w:color w:val="000000"/>
                <w:sz w:val="22"/>
                <w:szCs w:val="22"/>
                <w:lang w:eastAsia="en-GB"/>
              </w:rPr>
              <w:t xml:space="preserve">North West </w:t>
            </w:r>
          </w:p>
        </w:tc>
        <w:tc>
          <w:tcPr>
            <w:tcW w:w="1410"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sz w:val="22"/>
                <w:szCs w:val="22"/>
                <w:lang w:eastAsia="en-GB"/>
              </w:rPr>
            </w:pPr>
            <w:r w:rsidRPr="00802ACB">
              <w:rPr>
                <w:sz w:val="22"/>
                <w:szCs w:val="22"/>
                <w:lang w:eastAsia="en-GB"/>
              </w:rPr>
              <w:t>1,607</w:t>
            </w:r>
          </w:p>
        </w:tc>
        <w:tc>
          <w:tcPr>
            <w:tcW w:w="1560"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i/>
                <w:iCs/>
                <w:sz w:val="22"/>
                <w:szCs w:val="22"/>
                <w:lang w:eastAsia="en-GB"/>
              </w:rPr>
            </w:pPr>
            <w:r w:rsidRPr="00802ACB">
              <w:rPr>
                <w:i/>
                <w:iCs/>
                <w:sz w:val="22"/>
                <w:szCs w:val="22"/>
                <w:lang w:eastAsia="en-GB"/>
              </w:rPr>
              <w:t>24</w:t>
            </w:r>
          </w:p>
        </w:tc>
        <w:tc>
          <w:tcPr>
            <w:tcW w:w="1417"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sz w:val="22"/>
                <w:szCs w:val="22"/>
                <w:lang w:eastAsia="en-GB"/>
              </w:rPr>
            </w:pPr>
            <w:r w:rsidRPr="00802ACB">
              <w:rPr>
                <w:sz w:val="22"/>
                <w:szCs w:val="22"/>
                <w:lang w:eastAsia="en-GB"/>
              </w:rPr>
              <w:t>3,009,549</w:t>
            </w:r>
          </w:p>
        </w:tc>
        <w:tc>
          <w:tcPr>
            <w:tcW w:w="1418" w:type="dxa"/>
            <w:gridSpan w:val="2"/>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sz w:val="22"/>
                <w:szCs w:val="22"/>
                <w:lang w:eastAsia="en-GB"/>
              </w:rPr>
            </w:pPr>
            <w:r w:rsidRPr="00802ACB">
              <w:rPr>
                <w:sz w:val="22"/>
                <w:szCs w:val="22"/>
                <w:lang w:eastAsia="en-GB"/>
              </w:rPr>
              <w:t>5.3</w:t>
            </w:r>
          </w:p>
        </w:tc>
      </w:tr>
      <w:tr w:rsidR="00802ACB" w:rsidRPr="00802ACB" w:rsidTr="00802ACB">
        <w:trPr>
          <w:trHeight w:val="255"/>
        </w:trPr>
        <w:tc>
          <w:tcPr>
            <w:tcW w:w="1403"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rPr>
                <w:sz w:val="22"/>
                <w:szCs w:val="22"/>
                <w:lang w:eastAsia="en-GB"/>
              </w:rPr>
            </w:pPr>
            <w:r w:rsidRPr="00802ACB">
              <w:rPr>
                <w:sz w:val="22"/>
                <w:szCs w:val="22"/>
                <w:lang w:eastAsia="en-GB"/>
              </w:rPr>
              <w:t>E12000003</w:t>
            </w:r>
          </w:p>
        </w:tc>
        <w:tc>
          <w:tcPr>
            <w:tcW w:w="2872" w:type="dxa"/>
            <w:gridSpan w:val="3"/>
            <w:tcBorders>
              <w:top w:val="nil"/>
              <w:left w:val="nil"/>
              <w:bottom w:val="nil"/>
              <w:right w:val="nil"/>
            </w:tcBorders>
            <w:shd w:val="clear" w:color="000000" w:fill="FFFFFF"/>
            <w:noWrap/>
            <w:vAlign w:val="center"/>
            <w:hideMark/>
          </w:tcPr>
          <w:p w:rsidR="00802ACB" w:rsidRPr="00802ACB" w:rsidRDefault="00802ACB" w:rsidP="00802ACB">
            <w:pPr>
              <w:spacing w:before="0" w:after="0" w:line="240" w:lineRule="auto"/>
              <w:rPr>
                <w:color w:val="000000"/>
                <w:sz w:val="22"/>
                <w:szCs w:val="22"/>
                <w:lang w:eastAsia="en-GB"/>
              </w:rPr>
            </w:pPr>
            <w:r w:rsidRPr="00802ACB">
              <w:rPr>
                <w:color w:val="000000"/>
                <w:sz w:val="22"/>
                <w:szCs w:val="22"/>
                <w:lang w:eastAsia="en-GB"/>
              </w:rPr>
              <w:t>Yorkshire and The Humber</w:t>
            </w:r>
          </w:p>
        </w:tc>
        <w:tc>
          <w:tcPr>
            <w:tcW w:w="1410"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sz w:val="22"/>
                <w:szCs w:val="22"/>
                <w:lang w:eastAsia="en-GB"/>
              </w:rPr>
            </w:pPr>
            <w:r w:rsidRPr="00802ACB">
              <w:rPr>
                <w:sz w:val="22"/>
                <w:szCs w:val="22"/>
                <w:lang w:eastAsia="en-GB"/>
              </w:rPr>
              <w:t>703</w:t>
            </w:r>
          </w:p>
        </w:tc>
        <w:tc>
          <w:tcPr>
            <w:tcW w:w="1560"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i/>
                <w:iCs/>
                <w:sz w:val="22"/>
                <w:szCs w:val="22"/>
                <w:lang w:eastAsia="en-GB"/>
              </w:rPr>
            </w:pPr>
            <w:r w:rsidRPr="00802ACB">
              <w:rPr>
                <w:i/>
                <w:iCs/>
                <w:sz w:val="22"/>
                <w:szCs w:val="22"/>
                <w:lang w:eastAsia="en-GB"/>
              </w:rPr>
              <w:t>10</w:t>
            </w:r>
          </w:p>
        </w:tc>
        <w:tc>
          <w:tcPr>
            <w:tcW w:w="1417"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sz w:val="22"/>
                <w:szCs w:val="22"/>
                <w:lang w:eastAsia="en-GB"/>
              </w:rPr>
            </w:pPr>
            <w:r w:rsidRPr="00802ACB">
              <w:rPr>
                <w:sz w:val="22"/>
                <w:szCs w:val="22"/>
                <w:lang w:eastAsia="en-GB"/>
              </w:rPr>
              <w:t>2,224,059</w:t>
            </w:r>
          </w:p>
        </w:tc>
        <w:tc>
          <w:tcPr>
            <w:tcW w:w="1418" w:type="dxa"/>
            <w:gridSpan w:val="2"/>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sz w:val="22"/>
                <w:szCs w:val="22"/>
                <w:lang w:eastAsia="en-GB"/>
              </w:rPr>
            </w:pPr>
            <w:r w:rsidRPr="00802ACB">
              <w:rPr>
                <w:sz w:val="22"/>
                <w:szCs w:val="22"/>
                <w:lang w:eastAsia="en-GB"/>
              </w:rPr>
              <w:t>3.2</w:t>
            </w:r>
          </w:p>
        </w:tc>
      </w:tr>
      <w:tr w:rsidR="00802ACB" w:rsidRPr="00802ACB" w:rsidTr="00802ACB">
        <w:trPr>
          <w:trHeight w:val="255"/>
        </w:trPr>
        <w:tc>
          <w:tcPr>
            <w:tcW w:w="1403"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rPr>
                <w:sz w:val="22"/>
                <w:szCs w:val="22"/>
                <w:lang w:eastAsia="en-GB"/>
              </w:rPr>
            </w:pPr>
            <w:r w:rsidRPr="00802ACB">
              <w:rPr>
                <w:sz w:val="22"/>
                <w:szCs w:val="22"/>
                <w:lang w:eastAsia="en-GB"/>
              </w:rPr>
              <w:t>E12000004</w:t>
            </w:r>
          </w:p>
        </w:tc>
        <w:tc>
          <w:tcPr>
            <w:tcW w:w="2872" w:type="dxa"/>
            <w:gridSpan w:val="3"/>
            <w:tcBorders>
              <w:top w:val="nil"/>
              <w:left w:val="nil"/>
              <w:bottom w:val="nil"/>
              <w:right w:val="nil"/>
            </w:tcBorders>
            <w:shd w:val="clear" w:color="000000" w:fill="FFFFFF"/>
            <w:noWrap/>
            <w:vAlign w:val="center"/>
            <w:hideMark/>
          </w:tcPr>
          <w:p w:rsidR="00802ACB" w:rsidRPr="00802ACB" w:rsidRDefault="00802ACB" w:rsidP="00802ACB">
            <w:pPr>
              <w:spacing w:before="0" w:after="0" w:line="240" w:lineRule="auto"/>
              <w:rPr>
                <w:color w:val="000000"/>
                <w:sz w:val="22"/>
                <w:szCs w:val="22"/>
                <w:lang w:eastAsia="en-GB"/>
              </w:rPr>
            </w:pPr>
            <w:r w:rsidRPr="00802ACB">
              <w:rPr>
                <w:color w:val="000000"/>
                <w:sz w:val="22"/>
                <w:szCs w:val="22"/>
                <w:lang w:eastAsia="en-GB"/>
              </w:rPr>
              <w:t>East Midlands</w:t>
            </w:r>
          </w:p>
        </w:tc>
        <w:tc>
          <w:tcPr>
            <w:tcW w:w="1410"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sz w:val="22"/>
                <w:szCs w:val="22"/>
                <w:lang w:eastAsia="en-GB"/>
              </w:rPr>
            </w:pPr>
            <w:r w:rsidRPr="00802ACB">
              <w:rPr>
                <w:sz w:val="22"/>
                <w:szCs w:val="22"/>
                <w:lang w:eastAsia="en-GB"/>
              </w:rPr>
              <w:t>656</w:t>
            </w:r>
          </w:p>
        </w:tc>
        <w:tc>
          <w:tcPr>
            <w:tcW w:w="1560"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i/>
                <w:iCs/>
                <w:sz w:val="22"/>
                <w:szCs w:val="22"/>
                <w:lang w:eastAsia="en-GB"/>
              </w:rPr>
            </w:pPr>
            <w:r w:rsidRPr="00802ACB">
              <w:rPr>
                <w:i/>
                <w:iCs/>
                <w:sz w:val="22"/>
                <w:szCs w:val="22"/>
                <w:lang w:eastAsia="en-GB"/>
              </w:rPr>
              <w:t>10</w:t>
            </w:r>
          </w:p>
        </w:tc>
        <w:tc>
          <w:tcPr>
            <w:tcW w:w="1417"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sz w:val="22"/>
                <w:szCs w:val="22"/>
                <w:lang w:eastAsia="en-GB"/>
              </w:rPr>
            </w:pPr>
            <w:r w:rsidRPr="00802ACB">
              <w:rPr>
                <w:sz w:val="22"/>
                <w:szCs w:val="22"/>
                <w:lang w:eastAsia="en-GB"/>
              </w:rPr>
              <w:t>1,895,604</w:t>
            </w:r>
          </w:p>
        </w:tc>
        <w:tc>
          <w:tcPr>
            <w:tcW w:w="1418" w:type="dxa"/>
            <w:gridSpan w:val="2"/>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sz w:val="22"/>
                <w:szCs w:val="22"/>
                <w:lang w:eastAsia="en-GB"/>
              </w:rPr>
            </w:pPr>
            <w:r w:rsidRPr="00802ACB">
              <w:rPr>
                <w:sz w:val="22"/>
                <w:szCs w:val="22"/>
                <w:lang w:eastAsia="en-GB"/>
              </w:rPr>
              <w:t>3.5</w:t>
            </w:r>
          </w:p>
        </w:tc>
      </w:tr>
      <w:tr w:rsidR="00802ACB" w:rsidRPr="00802ACB" w:rsidTr="00802ACB">
        <w:trPr>
          <w:trHeight w:val="255"/>
        </w:trPr>
        <w:tc>
          <w:tcPr>
            <w:tcW w:w="1403"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rPr>
                <w:sz w:val="22"/>
                <w:szCs w:val="22"/>
                <w:lang w:eastAsia="en-GB"/>
              </w:rPr>
            </w:pPr>
            <w:r w:rsidRPr="00802ACB">
              <w:rPr>
                <w:sz w:val="22"/>
                <w:szCs w:val="22"/>
                <w:lang w:eastAsia="en-GB"/>
              </w:rPr>
              <w:t>E12000005</w:t>
            </w:r>
          </w:p>
        </w:tc>
        <w:tc>
          <w:tcPr>
            <w:tcW w:w="2872" w:type="dxa"/>
            <w:gridSpan w:val="3"/>
            <w:tcBorders>
              <w:top w:val="nil"/>
              <w:left w:val="nil"/>
              <w:bottom w:val="nil"/>
              <w:right w:val="nil"/>
            </w:tcBorders>
            <w:shd w:val="clear" w:color="000000" w:fill="FFFFFF"/>
            <w:noWrap/>
            <w:vAlign w:val="center"/>
            <w:hideMark/>
          </w:tcPr>
          <w:p w:rsidR="00802ACB" w:rsidRPr="00802ACB" w:rsidRDefault="00802ACB" w:rsidP="00802ACB">
            <w:pPr>
              <w:spacing w:before="0" w:after="0" w:line="240" w:lineRule="auto"/>
              <w:rPr>
                <w:color w:val="000000"/>
                <w:sz w:val="22"/>
                <w:szCs w:val="22"/>
                <w:lang w:eastAsia="en-GB"/>
              </w:rPr>
            </w:pPr>
            <w:r w:rsidRPr="00802ACB">
              <w:rPr>
                <w:color w:val="000000"/>
                <w:sz w:val="22"/>
                <w:szCs w:val="22"/>
                <w:lang w:eastAsia="en-GB"/>
              </w:rPr>
              <w:t>West Midlands</w:t>
            </w:r>
          </w:p>
        </w:tc>
        <w:tc>
          <w:tcPr>
            <w:tcW w:w="1410"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sz w:val="22"/>
                <w:szCs w:val="22"/>
                <w:lang w:eastAsia="en-GB"/>
              </w:rPr>
            </w:pPr>
            <w:r w:rsidRPr="00802ACB">
              <w:rPr>
                <w:sz w:val="22"/>
                <w:szCs w:val="22"/>
                <w:lang w:eastAsia="en-GB"/>
              </w:rPr>
              <w:t>687</w:t>
            </w:r>
          </w:p>
        </w:tc>
        <w:tc>
          <w:tcPr>
            <w:tcW w:w="1560"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i/>
                <w:iCs/>
                <w:sz w:val="22"/>
                <w:szCs w:val="22"/>
                <w:lang w:eastAsia="en-GB"/>
              </w:rPr>
            </w:pPr>
            <w:r w:rsidRPr="00802ACB">
              <w:rPr>
                <w:i/>
                <w:iCs/>
                <w:sz w:val="22"/>
                <w:szCs w:val="22"/>
                <w:lang w:eastAsia="en-GB"/>
              </w:rPr>
              <w:t>10</w:t>
            </w:r>
          </w:p>
        </w:tc>
        <w:tc>
          <w:tcPr>
            <w:tcW w:w="1417"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sz w:val="22"/>
                <w:szCs w:val="22"/>
                <w:lang w:eastAsia="en-GB"/>
              </w:rPr>
            </w:pPr>
            <w:r w:rsidRPr="00802ACB">
              <w:rPr>
                <w:sz w:val="22"/>
                <w:szCs w:val="22"/>
                <w:lang w:eastAsia="en-GB"/>
              </w:rPr>
              <w:t>2,294,909</w:t>
            </w:r>
          </w:p>
        </w:tc>
        <w:tc>
          <w:tcPr>
            <w:tcW w:w="1418" w:type="dxa"/>
            <w:gridSpan w:val="2"/>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sz w:val="22"/>
                <w:szCs w:val="22"/>
                <w:lang w:eastAsia="en-GB"/>
              </w:rPr>
            </w:pPr>
            <w:r w:rsidRPr="00802ACB">
              <w:rPr>
                <w:sz w:val="22"/>
                <w:szCs w:val="22"/>
                <w:lang w:eastAsia="en-GB"/>
              </w:rPr>
              <w:t>3.0</w:t>
            </w:r>
          </w:p>
        </w:tc>
      </w:tr>
      <w:tr w:rsidR="00802ACB" w:rsidRPr="00802ACB" w:rsidTr="00802ACB">
        <w:trPr>
          <w:trHeight w:val="255"/>
        </w:trPr>
        <w:tc>
          <w:tcPr>
            <w:tcW w:w="1403"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rPr>
                <w:sz w:val="22"/>
                <w:szCs w:val="22"/>
                <w:lang w:eastAsia="en-GB"/>
              </w:rPr>
            </w:pPr>
            <w:r w:rsidRPr="00802ACB">
              <w:rPr>
                <w:sz w:val="22"/>
                <w:szCs w:val="22"/>
                <w:lang w:eastAsia="en-GB"/>
              </w:rPr>
              <w:t>E12000006</w:t>
            </w:r>
          </w:p>
        </w:tc>
        <w:tc>
          <w:tcPr>
            <w:tcW w:w="1915" w:type="dxa"/>
            <w:gridSpan w:val="2"/>
            <w:tcBorders>
              <w:top w:val="nil"/>
              <w:left w:val="nil"/>
              <w:bottom w:val="nil"/>
              <w:right w:val="nil"/>
            </w:tcBorders>
            <w:shd w:val="clear" w:color="000000" w:fill="FFFFFF"/>
            <w:noWrap/>
            <w:vAlign w:val="center"/>
            <w:hideMark/>
          </w:tcPr>
          <w:p w:rsidR="00802ACB" w:rsidRPr="00802ACB" w:rsidRDefault="00802ACB" w:rsidP="00802ACB">
            <w:pPr>
              <w:spacing w:before="0" w:after="0" w:line="240" w:lineRule="auto"/>
              <w:rPr>
                <w:color w:val="000000"/>
                <w:sz w:val="22"/>
                <w:szCs w:val="22"/>
                <w:lang w:eastAsia="en-GB"/>
              </w:rPr>
            </w:pPr>
            <w:r w:rsidRPr="00802ACB">
              <w:rPr>
                <w:color w:val="000000"/>
                <w:sz w:val="22"/>
                <w:szCs w:val="22"/>
                <w:lang w:eastAsia="en-GB"/>
              </w:rPr>
              <w:t>East</w:t>
            </w:r>
          </w:p>
        </w:tc>
        <w:tc>
          <w:tcPr>
            <w:tcW w:w="957" w:type="dxa"/>
            <w:tcBorders>
              <w:top w:val="nil"/>
              <w:left w:val="nil"/>
              <w:bottom w:val="nil"/>
              <w:right w:val="nil"/>
            </w:tcBorders>
            <w:shd w:val="clear" w:color="000000" w:fill="FFFFFF"/>
            <w:noWrap/>
            <w:vAlign w:val="center"/>
            <w:hideMark/>
          </w:tcPr>
          <w:p w:rsidR="00802ACB" w:rsidRPr="00802ACB" w:rsidRDefault="00802ACB" w:rsidP="00802ACB">
            <w:pPr>
              <w:spacing w:before="0" w:after="0" w:line="240" w:lineRule="auto"/>
              <w:rPr>
                <w:color w:val="000000"/>
                <w:sz w:val="22"/>
                <w:szCs w:val="22"/>
                <w:lang w:eastAsia="en-GB"/>
              </w:rPr>
            </w:pPr>
            <w:r w:rsidRPr="00802ACB">
              <w:rPr>
                <w:color w:val="000000"/>
                <w:sz w:val="22"/>
                <w:szCs w:val="22"/>
                <w:lang w:eastAsia="en-GB"/>
              </w:rPr>
              <w:t> </w:t>
            </w:r>
          </w:p>
        </w:tc>
        <w:tc>
          <w:tcPr>
            <w:tcW w:w="1410"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sz w:val="22"/>
                <w:szCs w:val="22"/>
                <w:lang w:eastAsia="en-GB"/>
              </w:rPr>
            </w:pPr>
            <w:r w:rsidRPr="00802ACB">
              <w:rPr>
                <w:sz w:val="22"/>
                <w:szCs w:val="22"/>
                <w:lang w:eastAsia="en-GB"/>
              </w:rPr>
              <w:t>302</w:t>
            </w:r>
          </w:p>
        </w:tc>
        <w:tc>
          <w:tcPr>
            <w:tcW w:w="1560"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i/>
                <w:iCs/>
                <w:sz w:val="22"/>
                <w:szCs w:val="22"/>
                <w:lang w:eastAsia="en-GB"/>
              </w:rPr>
            </w:pPr>
            <w:r w:rsidRPr="00802ACB">
              <w:rPr>
                <w:i/>
                <w:iCs/>
                <w:sz w:val="22"/>
                <w:szCs w:val="22"/>
                <w:lang w:eastAsia="en-GB"/>
              </w:rPr>
              <w:t>4</w:t>
            </w:r>
          </w:p>
        </w:tc>
        <w:tc>
          <w:tcPr>
            <w:tcW w:w="1417"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sz w:val="22"/>
                <w:szCs w:val="22"/>
                <w:lang w:eastAsia="en-GB"/>
              </w:rPr>
            </w:pPr>
            <w:r w:rsidRPr="00802ACB">
              <w:rPr>
                <w:sz w:val="22"/>
                <w:szCs w:val="22"/>
                <w:lang w:eastAsia="en-GB"/>
              </w:rPr>
              <w:t>2,423,035</w:t>
            </w:r>
          </w:p>
        </w:tc>
        <w:tc>
          <w:tcPr>
            <w:tcW w:w="1418" w:type="dxa"/>
            <w:gridSpan w:val="2"/>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sz w:val="22"/>
                <w:szCs w:val="22"/>
                <w:lang w:eastAsia="en-GB"/>
              </w:rPr>
            </w:pPr>
            <w:r w:rsidRPr="00802ACB">
              <w:rPr>
                <w:sz w:val="22"/>
                <w:szCs w:val="22"/>
                <w:lang w:eastAsia="en-GB"/>
              </w:rPr>
              <w:t>1.2</w:t>
            </w:r>
          </w:p>
        </w:tc>
      </w:tr>
      <w:tr w:rsidR="00802ACB" w:rsidRPr="00802ACB" w:rsidTr="00802ACB">
        <w:trPr>
          <w:trHeight w:val="255"/>
        </w:trPr>
        <w:tc>
          <w:tcPr>
            <w:tcW w:w="1403"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rPr>
                <w:sz w:val="22"/>
                <w:szCs w:val="22"/>
                <w:lang w:eastAsia="en-GB"/>
              </w:rPr>
            </w:pPr>
            <w:r w:rsidRPr="00802ACB">
              <w:rPr>
                <w:sz w:val="22"/>
                <w:szCs w:val="22"/>
                <w:lang w:eastAsia="en-GB"/>
              </w:rPr>
              <w:t>E12000007</w:t>
            </w:r>
          </w:p>
        </w:tc>
        <w:tc>
          <w:tcPr>
            <w:tcW w:w="2872" w:type="dxa"/>
            <w:gridSpan w:val="3"/>
            <w:tcBorders>
              <w:top w:val="nil"/>
              <w:left w:val="nil"/>
              <w:bottom w:val="nil"/>
              <w:right w:val="nil"/>
            </w:tcBorders>
            <w:shd w:val="clear" w:color="000000" w:fill="FFFFFF"/>
            <w:noWrap/>
            <w:vAlign w:val="center"/>
            <w:hideMark/>
          </w:tcPr>
          <w:p w:rsidR="00802ACB" w:rsidRPr="00802ACB" w:rsidRDefault="00802ACB" w:rsidP="00802ACB">
            <w:pPr>
              <w:spacing w:before="0" w:after="0" w:line="240" w:lineRule="auto"/>
              <w:rPr>
                <w:color w:val="000000"/>
                <w:sz w:val="22"/>
                <w:szCs w:val="22"/>
                <w:lang w:eastAsia="en-GB"/>
              </w:rPr>
            </w:pPr>
            <w:r w:rsidRPr="00802ACB">
              <w:rPr>
                <w:color w:val="000000"/>
                <w:sz w:val="22"/>
                <w:szCs w:val="22"/>
                <w:lang w:eastAsia="en-GB"/>
              </w:rPr>
              <w:t>London</w:t>
            </w:r>
          </w:p>
        </w:tc>
        <w:tc>
          <w:tcPr>
            <w:tcW w:w="1410"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sz w:val="22"/>
                <w:szCs w:val="22"/>
                <w:lang w:eastAsia="en-GB"/>
              </w:rPr>
            </w:pPr>
            <w:r w:rsidRPr="00802ACB">
              <w:rPr>
                <w:sz w:val="22"/>
                <w:szCs w:val="22"/>
                <w:lang w:eastAsia="en-GB"/>
              </w:rPr>
              <w:t>529</w:t>
            </w:r>
          </w:p>
        </w:tc>
        <w:tc>
          <w:tcPr>
            <w:tcW w:w="1560"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i/>
                <w:iCs/>
                <w:sz w:val="22"/>
                <w:szCs w:val="22"/>
                <w:lang w:eastAsia="en-GB"/>
              </w:rPr>
            </w:pPr>
            <w:r w:rsidRPr="00802ACB">
              <w:rPr>
                <w:i/>
                <w:iCs/>
                <w:sz w:val="22"/>
                <w:szCs w:val="22"/>
                <w:lang w:eastAsia="en-GB"/>
              </w:rPr>
              <w:t>8</w:t>
            </w:r>
          </w:p>
        </w:tc>
        <w:tc>
          <w:tcPr>
            <w:tcW w:w="1417"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sz w:val="22"/>
                <w:szCs w:val="22"/>
                <w:lang w:eastAsia="en-GB"/>
              </w:rPr>
            </w:pPr>
            <w:r w:rsidRPr="00802ACB">
              <w:rPr>
                <w:sz w:val="22"/>
                <w:szCs w:val="22"/>
                <w:lang w:eastAsia="en-GB"/>
              </w:rPr>
              <w:t>3,266,173</w:t>
            </w:r>
          </w:p>
        </w:tc>
        <w:tc>
          <w:tcPr>
            <w:tcW w:w="1418" w:type="dxa"/>
            <w:gridSpan w:val="2"/>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sz w:val="22"/>
                <w:szCs w:val="22"/>
                <w:lang w:eastAsia="en-GB"/>
              </w:rPr>
            </w:pPr>
            <w:r w:rsidRPr="00802ACB">
              <w:rPr>
                <w:sz w:val="22"/>
                <w:szCs w:val="22"/>
                <w:lang w:eastAsia="en-GB"/>
              </w:rPr>
              <w:t>1.6</w:t>
            </w:r>
          </w:p>
        </w:tc>
      </w:tr>
      <w:tr w:rsidR="00802ACB" w:rsidRPr="00802ACB" w:rsidTr="00802ACB">
        <w:trPr>
          <w:trHeight w:val="255"/>
        </w:trPr>
        <w:tc>
          <w:tcPr>
            <w:tcW w:w="1403"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rPr>
                <w:sz w:val="22"/>
                <w:szCs w:val="22"/>
                <w:lang w:eastAsia="en-GB"/>
              </w:rPr>
            </w:pPr>
            <w:r w:rsidRPr="00802ACB">
              <w:rPr>
                <w:sz w:val="22"/>
                <w:szCs w:val="22"/>
                <w:lang w:eastAsia="en-GB"/>
              </w:rPr>
              <w:t>E12000008</w:t>
            </w:r>
          </w:p>
        </w:tc>
        <w:tc>
          <w:tcPr>
            <w:tcW w:w="2872" w:type="dxa"/>
            <w:gridSpan w:val="3"/>
            <w:tcBorders>
              <w:top w:val="nil"/>
              <w:left w:val="nil"/>
              <w:bottom w:val="nil"/>
              <w:right w:val="nil"/>
            </w:tcBorders>
            <w:shd w:val="clear" w:color="000000" w:fill="FFFFFF"/>
            <w:noWrap/>
            <w:vAlign w:val="center"/>
            <w:hideMark/>
          </w:tcPr>
          <w:p w:rsidR="00802ACB" w:rsidRPr="00802ACB" w:rsidRDefault="00802ACB" w:rsidP="00802ACB">
            <w:pPr>
              <w:spacing w:before="0" w:after="0" w:line="240" w:lineRule="auto"/>
              <w:rPr>
                <w:color w:val="000000"/>
                <w:sz w:val="22"/>
                <w:szCs w:val="22"/>
                <w:lang w:eastAsia="en-GB"/>
              </w:rPr>
            </w:pPr>
            <w:r w:rsidRPr="00802ACB">
              <w:rPr>
                <w:color w:val="000000"/>
                <w:sz w:val="22"/>
                <w:szCs w:val="22"/>
                <w:lang w:eastAsia="en-GB"/>
              </w:rPr>
              <w:t>South East</w:t>
            </w:r>
          </w:p>
        </w:tc>
        <w:tc>
          <w:tcPr>
            <w:tcW w:w="1410"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sz w:val="22"/>
                <w:szCs w:val="22"/>
                <w:lang w:eastAsia="en-GB"/>
              </w:rPr>
            </w:pPr>
            <w:r w:rsidRPr="00802ACB">
              <w:rPr>
                <w:sz w:val="22"/>
                <w:szCs w:val="22"/>
                <w:lang w:eastAsia="en-GB"/>
              </w:rPr>
              <w:t>1,030</w:t>
            </w:r>
          </w:p>
        </w:tc>
        <w:tc>
          <w:tcPr>
            <w:tcW w:w="1560"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i/>
                <w:iCs/>
                <w:sz w:val="22"/>
                <w:szCs w:val="22"/>
                <w:lang w:eastAsia="en-GB"/>
              </w:rPr>
            </w:pPr>
            <w:r w:rsidRPr="00802ACB">
              <w:rPr>
                <w:i/>
                <w:iCs/>
                <w:sz w:val="22"/>
                <w:szCs w:val="22"/>
                <w:lang w:eastAsia="en-GB"/>
              </w:rPr>
              <w:t>15</w:t>
            </w:r>
          </w:p>
        </w:tc>
        <w:tc>
          <w:tcPr>
            <w:tcW w:w="1417"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sz w:val="22"/>
                <w:szCs w:val="22"/>
                <w:lang w:eastAsia="en-GB"/>
              </w:rPr>
            </w:pPr>
            <w:r w:rsidRPr="00802ACB">
              <w:rPr>
                <w:sz w:val="22"/>
                <w:szCs w:val="22"/>
                <w:lang w:eastAsia="en-GB"/>
              </w:rPr>
              <w:t>3,555,463</w:t>
            </w:r>
          </w:p>
        </w:tc>
        <w:tc>
          <w:tcPr>
            <w:tcW w:w="1418" w:type="dxa"/>
            <w:gridSpan w:val="2"/>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sz w:val="22"/>
                <w:szCs w:val="22"/>
                <w:lang w:eastAsia="en-GB"/>
              </w:rPr>
            </w:pPr>
            <w:r w:rsidRPr="00802ACB">
              <w:rPr>
                <w:sz w:val="22"/>
                <w:szCs w:val="22"/>
                <w:lang w:eastAsia="en-GB"/>
              </w:rPr>
              <w:t>2.9</w:t>
            </w:r>
          </w:p>
        </w:tc>
      </w:tr>
      <w:tr w:rsidR="00802ACB" w:rsidRPr="00802ACB" w:rsidTr="00802ACB">
        <w:trPr>
          <w:trHeight w:val="255"/>
        </w:trPr>
        <w:tc>
          <w:tcPr>
            <w:tcW w:w="1403"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rPr>
                <w:sz w:val="22"/>
                <w:szCs w:val="22"/>
                <w:lang w:eastAsia="en-GB"/>
              </w:rPr>
            </w:pPr>
            <w:r w:rsidRPr="00802ACB">
              <w:rPr>
                <w:sz w:val="22"/>
                <w:szCs w:val="22"/>
                <w:lang w:eastAsia="en-GB"/>
              </w:rPr>
              <w:t>E12000009</w:t>
            </w:r>
          </w:p>
        </w:tc>
        <w:tc>
          <w:tcPr>
            <w:tcW w:w="2872" w:type="dxa"/>
            <w:gridSpan w:val="3"/>
            <w:tcBorders>
              <w:top w:val="nil"/>
              <w:left w:val="nil"/>
              <w:bottom w:val="nil"/>
              <w:right w:val="nil"/>
            </w:tcBorders>
            <w:shd w:val="clear" w:color="000000" w:fill="FFFFFF"/>
            <w:noWrap/>
            <w:vAlign w:val="center"/>
            <w:hideMark/>
          </w:tcPr>
          <w:p w:rsidR="00802ACB" w:rsidRPr="00802ACB" w:rsidRDefault="00802ACB" w:rsidP="00802ACB">
            <w:pPr>
              <w:spacing w:before="0" w:after="0" w:line="240" w:lineRule="auto"/>
              <w:rPr>
                <w:color w:val="000000"/>
                <w:sz w:val="22"/>
                <w:szCs w:val="22"/>
                <w:lang w:eastAsia="en-GB"/>
              </w:rPr>
            </w:pPr>
            <w:r w:rsidRPr="00802ACB">
              <w:rPr>
                <w:color w:val="000000"/>
                <w:sz w:val="22"/>
                <w:szCs w:val="22"/>
                <w:lang w:eastAsia="en-GB"/>
              </w:rPr>
              <w:t>South West</w:t>
            </w:r>
          </w:p>
        </w:tc>
        <w:tc>
          <w:tcPr>
            <w:tcW w:w="1410"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sz w:val="22"/>
                <w:szCs w:val="22"/>
                <w:lang w:eastAsia="en-GB"/>
              </w:rPr>
            </w:pPr>
            <w:r w:rsidRPr="00802ACB">
              <w:rPr>
                <w:sz w:val="22"/>
                <w:szCs w:val="22"/>
                <w:lang w:eastAsia="en-GB"/>
              </w:rPr>
              <w:t>672</w:t>
            </w:r>
          </w:p>
        </w:tc>
        <w:tc>
          <w:tcPr>
            <w:tcW w:w="1560"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i/>
                <w:iCs/>
                <w:sz w:val="22"/>
                <w:szCs w:val="22"/>
                <w:lang w:eastAsia="en-GB"/>
              </w:rPr>
            </w:pPr>
            <w:r w:rsidRPr="00802ACB">
              <w:rPr>
                <w:i/>
                <w:iCs/>
                <w:sz w:val="22"/>
                <w:szCs w:val="22"/>
                <w:lang w:eastAsia="en-GB"/>
              </w:rPr>
              <w:t>10</w:t>
            </w:r>
          </w:p>
        </w:tc>
        <w:tc>
          <w:tcPr>
            <w:tcW w:w="1417"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sz w:val="22"/>
                <w:szCs w:val="22"/>
                <w:lang w:eastAsia="en-GB"/>
              </w:rPr>
            </w:pPr>
            <w:r w:rsidRPr="00802ACB">
              <w:rPr>
                <w:sz w:val="22"/>
                <w:szCs w:val="22"/>
                <w:lang w:eastAsia="en-GB"/>
              </w:rPr>
              <w:t>2,264,641</w:t>
            </w:r>
          </w:p>
        </w:tc>
        <w:tc>
          <w:tcPr>
            <w:tcW w:w="1418" w:type="dxa"/>
            <w:gridSpan w:val="2"/>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sz w:val="22"/>
                <w:szCs w:val="22"/>
                <w:lang w:eastAsia="en-GB"/>
              </w:rPr>
            </w:pPr>
            <w:r w:rsidRPr="00802ACB">
              <w:rPr>
                <w:sz w:val="22"/>
                <w:szCs w:val="22"/>
                <w:lang w:eastAsia="en-GB"/>
              </w:rPr>
              <w:t>3.0</w:t>
            </w:r>
          </w:p>
        </w:tc>
      </w:tr>
      <w:tr w:rsidR="00802ACB" w:rsidRPr="00802ACB" w:rsidTr="00802ACB">
        <w:trPr>
          <w:trHeight w:val="255"/>
        </w:trPr>
        <w:tc>
          <w:tcPr>
            <w:tcW w:w="1403"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rPr>
                <w:sz w:val="22"/>
                <w:szCs w:val="22"/>
                <w:lang w:eastAsia="en-GB"/>
              </w:rPr>
            </w:pPr>
            <w:r w:rsidRPr="00802ACB">
              <w:rPr>
                <w:sz w:val="22"/>
                <w:szCs w:val="22"/>
                <w:lang w:eastAsia="en-GB"/>
              </w:rPr>
              <w:t> </w:t>
            </w:r>
          </w:p>
        </w:tc>
        <w:tc>
          <w:tcPr>
            <w:tcW w:w="958" w:type="dxa"/>
            <w:tcBorders>
              <w:top w:val="nil"/>
              <w:left w:val="nil"/>
              <w:bottom w:val="nil"/>
              <w:right w:val="nil"/>
            </w:tcBorders>
            <w:shd w:val="clear" w:color="000000" w:fill="FFFFFF"/>
            <w:noWrap/>
            <w:vAlign w:val="center"/>
            <w:hideMark/>
          </w:tcPr>
          <w:p w:rsidR="00802ACB" w:rsidRPr="00802ACB" w:rsidRDefault="00802ACB" w:rsidP="00802ACB">
            <w:pPr>
              <w:spacing w:before="0" w:after="0" w:line="240" w:lineRule="auto"/>
              <w:rPr>
                <w:color w:val="000000"/>
                <w:sz w:val="22"/>
                <w:szCs w:val="22"/>
                <w:lang w:eastAsia="en-GB"/>
              </w:rPr>
            </w:pPr>
            <w:r w:rsidRPr="00802ACB">
              <w:rPr>
                <w:color w:val="000000"/>
                <w:sz w:val="22"/>
                <w:szCs w:val="22"/>
                <w:lang w:eastAsia="en-GB"/>
              </w:rPr>
              <w:t> </w:t>
            </w:r>
          </w:p>
        </w:tc>
        <w:tc>
          <w:tcPr>
            <w:tcW w:w="957" w:type="dxa"/>
            <w:tcBorders>
              <w:top w:val="nil"/>
              <w:left w:val="nil"/>
              <w:bottom w:val="nil"/>
              <w:right w:val="nil"/>
            </w:tcBorders>
            <w:shd w:val="clear" w:color="000000" w:fill="FFFFFF"/>
            <w:noWrap/>
            <w:vAlign w:val="center"/>
            <w:hideMark/>
          </w:tcPr>
          <w:p w:rsidR="00802ACB" w:rsidRPr="00802ACB" w:rsidRDefault="00802ACB" w:rsidP="00802ACB">
            <w:pPr>
              <w:spacing w:before="0" w:after="0" w:line="240" w:lineRule="auto"/>
              <w:rPr>
                <w:color w:val="000000"/>
                <w:sz w:val="22"/>
                <w:szCs w:val="22"/>
                <w:lang w:eastAsia="en-GB"/>
              </w:rPr>
            </w:pPr>
            <w:r w:rsidRPr="00802ACB">
              <w:rPr>
                <w:color w:val="000000"/>
                <w:sz w:val="22"/>
                <w:szCs w:val="22"/>
                <w:lang w:eastAsia="en-GB"/>
              </w:rPr>
              <w:t> </w:t>
            </w:r>
          </w:p>
        </w:tc>
        <w:tc>
          <w:tcPr>
            <w:tcW w:w="957" w:type="dxa"/>
            <w:tcBorders>
              <w:top w:val="nil"/>
              <w:left w:val="nil"/>
              <w:bottom w:val="nil"/>
              <w:right w:val="nil"/>
            </w:tcBorders>
            <w:shd w:val="clear" w:color="000000" w:fill="FFFFFF"/>
            <w:noWrap/>
            <w:vAlign w:val="center"/>
            <w:hideMark/>
          </w:tcPr>
          <w:p w:rsidR="00802ACB" w:rsidRPr="00802ACB" w:rsidRDefault="00802ACB" w:rsidP="00802ACB">
            <w:pPr>
              <w:spacing w:before="0" w:after="0" w:line="240" w:lineRule="auto"/>
              <w:rPr>
                <w:color w:val="000000"/>
                <w:sz w:val="22"/>
                <w:szCs w:val="22"/>
                <w:lang w:eastAsia="en-GB"/>
              </w:rPr>
            </w:pPr>
            <w:r w:rsidRPr="00802ACB">
              <w:rPr>
                <w:color w:val="000000"/>
                <w:sz w:val="22"/>
                <w:szCs w:val="22"/>
                <w:lang w:eastAsia="en-GB"/>
              </w:rPr>
              <w:t> </w:t>
            </w:r>
          </w:p>
        </w:tc>
        <w:tc>
          <w:tcPr>
            <w:tcW w:w="1410"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rPr>
                <w:b/>
                <w:bCs/>
                <w:sz w:val="22"/>
                <w:szCs w:val="22"/>
                <w:lang w:eastAsia="en-GB"/>
              </w:rPr>
            </w:pPr>
            <w:r w:rsidRPr="00802ACB">
              <w:rPr>
                <w:b/>
                <w:bCs/>
                <w:sz w:val="22"/>
                <w:szCs w:val="22"/>
                <w:lang w:eastAsia="en-GB"/>
              </w:rPr>
              <w:t> </w:t>
            </w:r>
          </w:p>
        </w:tc>
        <w:tc>
          <w:tcPr>
            <w:tcW w:w="1560"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rPr>
                <w:i/>
                <w:iCs/>
                <w:sz w:val="22"/>
                <w:szCs w:val="22"/>
                <w:lang w:eastAsia="en-GB"/>
              </w:rPr>
            </w:pPr>
            <w:r w:rsidRPr="00802ACB">
              <w:rPr>
                <w:i/>
                <w:iCs/>
                <w:sz w:val="22"/>
                <w:szCs w:val="22"/>
                <w:lang w:eastAsia="en-GB"/>
              </w:rPr>
              <w:t> </w:t>
            </w:r>
          </w:p>
        </w:tc>
        <w:tc>
          <w:tcPr>
            <w:tcW w:w="1417"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rPr>
                <w:sz w:val="22"/>
                <w:szCs w:val="22"/>
                <w:lang w:eastAsia="en-GB"/>
              </w:rPr>
            </w:pPr>
            <w:r w:rsidRPr="00802ACB">
              <w:rPr>
                <w:sz w:val="22"/>
                <w:szCs w:val="22"/>
                <w:lang w:eastAsia="en-GB"/>
              </w:rPr>
              <w:t> </w:t>
            </w:r>
          </w:p>
        </w:tc>
        <w:tc>
          <w:tcPr>
            <w:tcW w:w="1418" w:type="dxa"/>
            <w:gridSpan w:val="2"/>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rPr>
                <w:sz w:val="22"/>
                <w:szCs w:val="22"/>
                <w:lang w:eastAsia="en-GB"/>
              </w:rPr>
            </w:pPr>
            <w:r w:rsidRPr="00802ACB">
              <w:rPr>
                <w:sz w:val="22"/>
                <w:szCs w:val="22"/>
                <w:lang w:eastAsia="en-GB"/>
              </w:rPr>
              <w:t> </w:t>
            </w:r>
          </w:p>
        </w:tc>
      </w:tr>
      <w:tr w:rsidR="00802ACB" w:rsidRPr="00802ACB" w:rsidTr="00802ACB">
        <w:trPr>
          <w:trHeight w:val="255"/>
        </w:trPr>
        <w:tc>
          <w:tcPr>
            <w:tcW w:w="1403"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rPr>
                <w:b/>
                <w:bCs/>
                <w:sz w:val="22"/>
                <w:szCs w:val="22"/>
                <w:lang w:eastAsia="en-GB"/>
              </w:rPr>
            </w:pPr>
            <w:r w:rsidRPr="00802ACB">
              <w:rPr>
                <w:b/>
                <w:bCs/>
                <w:sz w:val="22"/>
                <w:szCs w:val="22"/>
                <w:lang w:eastAsia="en-GB"/>
              </w:rPr>
              <w:t>W92000004</w:t>
            </w:r>
          </w:p>
        </w:tc>
        <w:tc>
          <w:tcPr>
            <w:tcW w:w="1915" w:type="dxa"/>
            <w:gridSpan w:val="2"/>
            <w:tcBorders>
              <w:top w:val="nil"/>
              <w:left w:val="nil"/>
              <w:bottom w:val="nil"/>
              <w:right w:val="nil"/>
            </w:tcBorders>
            <w:shd w:val="clear" w:color="000000" w:fill="FFFFFF"/>
            <w:noWrap/>
            <w:vAlign w:val="center"/>
            <w:hideMark/>
          </w:tcPr>
          <w:p w:rsidR="00802ACB" w:rsidRPr="00802ACB" w:rsidRDefault="00802ACB" w:rsidP="00802ACB">
            <w:pPr>
              <w:spacing w:before="0" w:after="0" w:line="240" w:lineRule="auto"/>
              <w:rPr>
                <w:b/>
                <w:bCs/>
                <w:color w:val="000000"/>
                <w:sz w:val="22"/>
                <w:szCs w:val="22"/>
                <w:lang w:eastAsia="en-GB"/>
              </w:rPr>
            </w:pPr>
            <w:r w:rsidRPr="00802ACB">
              <w:rPr>
                <w:b/>
                <w:bCs/>
                <w:color w:val="000000"/>
                <w:sz w:val="22"/>
                <w:szCs w:val="22"/>
                <w:lang w:eastAsia="en-GB"/>
              </w:rPr>
              <w:t>Wales</w:t>
            </w:r>
          </w:p>
        </w:tc>
        <w:tc>
          <w:tcPr>
            <w:tcW w:w="957" w:type="dxa"/>
            <w:tcBorders>
              <w:top w:val="nil"/>
              <w:left w:val="nil"/>
              <w:bottom w:val="nil"/>
              <w:right w:val="nil"/>
            </w:tcBorders>
            <w:shd w:val="clear" w:color="000000" w:fill="FFFFFF"/>
            <w:noWrap/>
            <w:vAlign w:val="center"/>
            <w:hideMark/>
          </w:tcPr>
          <w:p w:rsidR="00802ACB" w:rsidRPr="00802ACB" w:rsidRDefault="00802ACB" w:rsidP="00802ACB">
            <w:pPr>
              <w:spacing w:before="0" w:after="0" w:line="240" w:lineRule="auto"/>
              <w:rPr>
                <w:b/>
                <w:bCs/>
                <w:color w:val="000000"/>
                <w:sz w:val="22"/>
                <w:szCs w:val="22"/>
                <w:lang w:eastAsia="en-GB"/>
              </w:rPr>
            </w:pPr>
            <w:r w:rsidRPr="00802ACB">
              <w:rPr>
                <w:b/>
                <w:bCs/>
                <w:color w:val="000000"/>
                <w:sz w:val="22"/>
                <w:szCs w:val="22"/>
                <w:lang w:eastAsia="en-GB"/>
              </w:rPr>
              <w:t> </w:t>
            </w:r>
          </w:p>
        </w:tc>
        <w:tc>
          <w:tcPr>
            <w:tcW w:w="1410"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b/>
                <w:bCs/>
                <w:sz w:val="22"/>
                <w:szCs w:val="22"/>
                <w:lang w:eastAsia="en-GB"/>
              </w:rPr>
            </w:pPr>
            <w:r w:rsidRPr="00802ACB">
              <w:rPr>
                <w:b/>
                <w:bCs/>
                <w:sz w:val="22"/>
                <w:szCs w:val="22"/>
                <w:lang w:eastAsia="en-GB"/>
              </w:rPr>
              <w:t>382</w:t>
            </w:r>
          </w:p>
        </w:tc>
        <w:tc>
          <w:tcPr>
            <w:tcW w:w="1560"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b/>
                <w:bCs/>
                <w:i/>
                <w:iCs/>
                <w:sz w:val="22"/>
                <w:szCs w:val="22"/>
                <w:lang w:eastAsia="en-GB"/>
              </w:rPr>
            </w:pPr>
            <w:r w:rsidRPr="00802ACB">
              <w:rPr>
                <w:b/>
                <w:bCs/>
                <w:i/>
                <w:iCs/>
                <w:sz w:val="22"/>
                <w:szCs w:val="22"/>
                <w:lang w:eastAsia="en-GB"/>
              </w:rPr>
              <w:t>6</w:t>
            </w:r>
          </w:p>
        </w:tc>
        <w:tc>
          <w:tcPr>
            <w:tcW w:w="1417"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b/>
                <w:bCs/>
                <w:sz w:val="22"/>
                <w:szCs w:val="22"/>
                <w:lang w:eastAsia="en-GB"/>
              </w:rPr>
            </w:pPr>
            <w:r w:rsidRPr="00802ACB">
              <w:rPr>
                <w:b/>
                <w:bCs/>
                <w:sz w:val="22"/>
                <w:szCs w:val="22"/>
                <w:lang w:eastAsia="en-GB"/>
              </w:rPr>
              <w:t>1,302,676</w:t>
            </w:r>
          </w:p>
        </w:tc>
        <w:tc>
          <w:tcPr>
            <w:tcW w:w="1418" w:type="dxa"/>
            <w:gridSpan w:val="2"/>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jc w:val="right"/>
              <w:rPr>
                <w:sz w:val="22"/>
                <w:szCs w:val="22"/>
                <w:lang w:eastAsia="en-GB"/>
              </w:rPr>
            </w:pPr>
            <w:r w:rsidRPr="00802ACB">
              <w:rPr>
                <w:sz w:val="22"/>
                <w:szCs w:val="22"/>
                <w:lang w:eastAsia="en-GB"/>
              </w:rPr>
              <w:t>2.9</w:t>
            </w:r>
          </w:p>
        </w:tc>
      </w:tr>
      <w:tr w:rsidR="00802ACB" w:rsidRPr="00802ACB" w:rsidTr="00802ACB">
        <w:trPr>
          <w:trHeight w:val="255"/>
        </w:trPr>
        <w:tc>
          <w:tcPr>
            <w:tcW w:w="1403"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rPr>
                <w:sz w:val="22"/>
                <w:szCs w:val="22"/>
                <w:lang w:eastAsia="en-GB"/>
              </w:rPr>
            </w:pPr>
            <w:r w:rsidRPr="00802ACB">
              <w:rPr>
                <w:sz w:val="22"/>
                <w:szCs w:val="22"/>
                <w:lang w:eastAsia="en-GB"/>
              </w:rPr>
              <w:t> </w:t>
            </w:r>
          </w:p>
        </w:tc>
        <w:tc>
          <w:tcPr>
            <w:tcW w:w="958" w:type="dxa"/>
            <w:tcBorders>
              <w:top w:val="nil"/>
              <w:left w:val="nil"/>
              <w:bottom w:val="nil"/>
              <w:right w:val="nil"/>
            </w:tcBorders>
            <w:shd w:val="clear" w:color="000000" w:fill="FFFFFF"/>
            <w:noWrap/>
            <w:vAlign w:val="center"/>
            <w:hideMark/>
          </w:tcPr>
          <w:p w:rsidR="00802ACB" w:rsidRPr="00802ACB" w:rsidRDefault="00802ACB" w:rsidP="00802ACB">
            <w:pPr>
              <w:spacing w:before="0" w:after="0" w:line="240" w:lineRule="auto"/>
              <w:rPr>
                <w:color w:val="000000"/>
                <w:sz w:val="22"/>
                <w:szCs w:val="22"/>
                <w:lang w:eastAsia="en-GB"/>
              </w:rPr>
            </w:pPr>
            <w:r w:rsidRPr="00802ACB">
              <w:rPr>
                <w:color w:val="000000"/>
                <w:sz w:val="22"/>
                <w:szCs w:val="22"/>
                <w:lang w:eastAsia="en-GB"/>
              </w:rPr>
              <w:t> </w:t>
            </w:r>
          </w:p>
        </w:tc>
        <w:tc>
          <w:tcPr>
            <w:tcW w:w="957" w:type="dxa"/>
            <w:tcBorders>
              <w:top w:val="nil"/>
              <w:left w:val="nil"/>
              <w:bottom w:val="nil"/>
              <w:right w:val="nil"/>
            </w:tcBorders>
            <w:shd w:val="clear" w:color="000000" w:fill="FFFFFF"/>
            <w:noWrap/>
            <w:vAlign w:val="center"/>
            <w:hideMark/>
          </w:tcPr>
          <w:p w:rsidR="00802ACB" w:rsidRPr="00802ACB" w:rsidRDefault="00802ACB" w:rsidP="00802ACB">
            <w:pPr>
              <w:spacing w:before="0" w:after="0" w:line="240" w:lineRule="auto"/>
              <w:rPr>
                <w:color w:val="000000"/>
                <w:sz w:val="22"/>
                <w:szCs w:val="22"/>
                <w:lang w:eastAsia="en-GB"/>
              </w:rPr>
            </w:pPr>
            <w:r w:rsidRPr="00802ACB">
              <w:rPr>
                <w:color w:val="000000"/>
                <w:sz w:val="22"/>
                <w:szCs w:val="22"/>
                <w:lang w:eastAsia="en-GB"/>
              </w:rPr>
              <w:t> </w:t>
            </w:r>
          </w:p>
        </w:tc>
        <w:tc>
          <w:tcPr>
            <w:tcW w:w="957" w:type="dxa"/>
            <w:tcBorders>
              <w:top w:val="nil"/>
              <w:left w:val="nil"/>
              <w:bottom w:val="nil"/>
              <w:right w:val="nil"/>
            </w:tcBorders>
            <w:shd w:val="clear" w:color="000000" w:fill="FFFFFF"/>
            <w:noWrap/>
            <w:vAlign w:val="center"/>
            <w:hideMark/>
          </w:tcPr>
          <w:p w:rsidR="00802ACB" w:rsidRPr="00802ACB" w:rsidRDefault="00802ACB" w:rsidP="00802ACB">
            <w:pPr>
              <w:spacing w:before="0" w:after="0" w:line="240" w:lineRule="auto"/>
              <w:rPr>
                <w:color w:val="000000"/>
                <w:sz w:val="22"/>
                <w:szCs w:val="22"/>
                <w:lang w:eastAsia="en-GB"/>
              </w:rPr>
            </w:pPr>
            <w:r w:rsidRPr="00802ACB">
              <w:rPr>
                <w:color w:val="000000"/>
                <w:sz w:val="22"/>
                <w:szCs w:val="22"/>
                <w:lang w:eastAsia="en-GB"/>
              </w:rPr>
              <w:t> </w:t>
            </w:r>
          </w:p>
        </w:tc>
        <w:tc>
          <w:tcPr>
            <w:tcW w:w="1410"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rPr>
                <w:sz w:val="22"/>
                <w:szCs w:val="22"/>
                <w:lang w:eastAsia="en-GB"/>
              </w:rPr>
            </w:pPr>
            <w:r w:rsidRPr="00802ACB">
              <w:rPr>
                <w:sz w:val="22"/>
                <w:szCs w:val="22"/>
                <w:lang w:eastAsia="en-GB"/>
              </w:rPr>
              <w:t> </w:t>
            </w:r>
          </w:p>
        </w:tc>
        <w:tc>
          <w:tcPr>
            <w:tcW w:w="1560"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rPr>
                <w:i/>
                <w:iCs/>
                <w:sz w:val="22"/>
                <w:szCs w:val="22"/>
                <w:lang w:eastAsia="en-GB"/>
              </w:rPr>
            </w:pPr>
            <w:r w:rsidRPr="00802ACB">
              <w:rPr>
                <w:i/>
                <w:iCs/>
                <w:sz w:val="22"/>
                <w:szCs w:val="22"/>
                <w:lang w:eastAsia="en-GB"/>
              </w:rPr>
              <w:t> </w:t>
            </w:r>
          </w:p>
        </w:tc>
        <w:tc>
          <w:tcPr>
            <w:tcW w:w="1417" w:type="dxa"/>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rPr>
                <w:sz w:val="22"/>
                <w:szCs w:val="22"/>
                <w:lang w:eastAsia="en-GB"/>
              </w:rPr>
            </w:pPr>
            <w:r w:rsidRPr="00802ACB">
              <w:rPr>
                <w:sz w:val="22"/>
                <w:szCs w:val="22"/>
                <w:lang w:eastAsia="en-GB"/>
              </w:rPr>
              <w:t> </w:t>
            </w:r>
          </w:p>
        </w:tc>
        <w:tc>
          <w:tcPr>
            <w:tcW w:w="1418" w:type="dxa"/>
            <w:gridSpan w:val="2"/>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rPr>
                <w:sz w:val="22"/>
                <w:szCs w:val="22"/>
                <w:lang w:eastAsia="en-GB"/>
              </w:rPr>
            </w:pPr>
            <w:r w:rsidRPr="00802ACB">
              <w:rPr>
                <w:sz w:val="22"/>
                <w:szCs w:val="22"/>
                <w:lang w:eastAsia="en-GB"/>
              </w:rPr>
              <w:t> </w:t>
            </w:r>
          </w:p>
        </w:tc>
      </w:tr>
      <w:tr w:rsidR="00802ACB" w:rsidRPr="00802ACB" w:rsidTr="00802ACB">
        <w:trPr>
          <w:trHeight w:val="255"/>
        </w:trPr>
        <w:tc>
          <w:tcPr>
            <w:tcW w:w="1403" w:type="dxa"/>
            <w:tcBorders>
              <w:top w:val="nil"/>
              <w:left w:val="nil"/>
              <w:bottom w:val="single" w:sz="4" w:space="0" w:color="auto"/>
              <w:right w:val="nil"/>
            </w:tcBorders>
            <w:shd w:val="clear" w:color="000000" w:fill="FFFFFF"/>
            <w:noWrap/>
            <w:vAlign w:val="bottom"/>
            <w:hideMark/>
          </w:tcPr>
          <w:p w:rsidR="00802ACB" w:rsidRPr="00802ACB" w:rsidRDefault="00802ACB" w:rsidP="00802ACB">
            <w:pPr>
              <w:spacing w:before="0" w:after="0" w:line="240" w:lineRule="auto"/>
              <w:rPr>
                <w:b/>
                <w:bCs/>
                <w:sz w:val="22"/>
                <w:szCs w:val="22"/>
                <w:lang w:eastAsia="en-GB"/>
              </w:rPr>
            </w:pPr>
            <w:r w:rsidRPr="00802ACB">
              <w:rPr>
                <w:b/>
                <w:bCs/>
                <w:sz w:val="22"/>
                <w:szCs w:val="22"/>
                <w:lang w:eastAsia="en-GB"/>
              </w:rPr>
              <w:t> </w:t>
            </w:r>
          </w:p>
        </w:tc>
        <w:tc>
          <w:tcPr>
            <w:tcW w:w="2872" w:type="dxa"/>
            <w:gridSpan w:val="3"/>
            <w:tcBorders>
              <w:top w:val="nil"/>
              <w:left w:val="nil"/>
              <w:bottom w:val="single" w:sz="4" w:space="0" w:color="auto"/>
              <w:right w:val="nil"/>
            </w:tcBorders>
            <w:shd w:val="clear" w:color="000000" w:fill="FFFFFF"/>
            <w:noWrap/>
            <w:vAlign w:val="center"/>
            <w:hideMark/>
          </w:tcPr>
          <w:p w:rsidR="00802ACB" w:rsidRPr="00802ACB" w:rsidRDefault="00802ACB" w:rsidP="00802ACB">
            <w:pPr>
              <w:spacing w:before="0" w:after="0" w:line="240" w:lineRule="auto"/>
              <w:rPr>
                <w:color w:val="000000"/>
                <w:sz w:val="22"/>
                <w:szCs w:val="22"/>
                <w:lang w:eastAsia="en-GB"/>
              </w:rPr>
            </w:pPr>
            <w:r w:rsidRPr="00802ACB">
              <w:rPr>
                <w:color w:val="000000"/>
                <w:sz w:val="22"/>
                <w:szCs w:val="22"/>
                <w:lang w:eastAsia="en-GB"/>
              </w:rPr>
              <w:t>Unknown</w:t>
            </w:r>
          </w:p>
        </w:tc>
        <w:tc>
          <w:tcPr>
            <w:tcW w:w="1410" w:type="dxa"/>
            <w:tcBorders>
              <w:top w:val="nil"/>
              <w:left w:val="nil"/>
              <w:bottom w:val="single" w:sz="4" w:space="0" w:color="auto"/>
              <w:right w:val="nil"/>
            </w:tcBorders>
            <w:shd w:val="clear" w:color="000000" w:fill="FFFFFF"/>
            <w:noWrap/>
            <w:vAlign w:val="bottom"/>
            <w:hideMark/>
          </w:tcPr>
          <w:p w:rsidR="00802ACB" w:rsidRPr="00802ACB" w:rsidRDefault="00802ACB" w:rsidP="00802ACB">
            <w:pPr>
              <w:spacing w:before="0" w:after="0" w:line="240" w:lineRule="auto"/>
              <w:jc w:val="right"/>
              <w:rPr>
                <w:sz w:val="22"/>
                <w:szCs w:val="22"/>
                <w:lang w:eastAsia="en-GB"/>
              </w:rPr>
            </w:pPr>
            <w:r w:rsidRPr="00802ACB">
              <w:rPr>
                <w:sz w:val="22"/>
                <w:szCs w:val="22"/>
                <w:lang w:eastAsia="en-GB"/>
              </w:rPr>
              <w:t>229</w:t>
            </w:r>
          </w:p>
        </w:tc>
        <w:tc>
          <w:tcPr>
            <w:tcW w:w="1560" w:type="dxa"/>
            <w:tcBorders>
              <w:top w:val="nil"/>
              <w:left w:val="nil"/>
              <w:bottom w:val="single" w:sz="4" w:space="0" w:color="auto"/>
              <w:right w:val="nil"/>
            </w:tcBorders>
            <w:shd w:val="clear" w:color="000000" w:fill="FFFFFF"/>
            <w:noWrap/>
            <w:vAlign w:val="bottom"/>
            <w:hideMark/>
          </w:tcPr>
          <w:p w:rsidR="00802ACB" w:rsidRPr="00802ACB" w:rsidRDefault="00802ACB" w:rsidP="00802ACB">
            <w:pPr>
              <w:spacing w:before="0" w:after="0" w:line="240" w:lineRule="auto"/>
              <w:jc w:val="right"/>
              <w:rPr>
                <w:i/>
                <w:iCs/>
                <w:sz w:val="22"/>
                <w:szCs w:val="22"/>
                <w:lang w:eastAsia="en-GB"/>
              </w:rPr>
            </w:pPr>
            <w:r w:rsidRPr="00802ACB">
              <w:rPr>
                <w:i/>
                <w:iCs/>
                <w:sz w:val="22"/>
                <w:szCs w:val="22"/>
                <w:lang w:eastAsia="en-GB"/>
              </w:rPr>
              <w:t>-</w:t>
            </w:r>
          </w:p>
        </w:tc>
        <w:tc>
          <w:tcPr>
            <w:tcW w:w="1417" w:type="dxa"/>
            <w:tcBorders>
              <w:top w:val="nil"/>
              <w:left w:val="nil"/>
              <w:bottom w:val="single" w:sz="4" w:space="0" w:color="auto"/>
              <w:right w:val="nil"/>
            </w:tcBorders>
            <w:shd w:val="clear" w:color="000000" w:fill="FFFFFF"/>
            <w:noWrap/>
            <w:vAlign w:val="bottom"/>
            <w:hideMark/>
          </w:tcPr>
          <w:p w:rsidR="00802ACB" w:rsidRPr="00802ACB" w:rsidRDefault="00802ACB" w:rsidP="00802ACB">
            <w:pPr>
              <w:spacing w:before="0" w:after="0" w:line="240" w:lineRule="auto"/>
              <w:rPr>
                <w:sz w:val="22"/>
                <w:szCs w:val="22"/>
                <w:lang w:eastAsia="en-GB"/>
              </w:rPr>
            </w:pPr>
            <w:r w:rsidRPr="00802ACB">
              <w:rPr>
                <w:sz w:val="22"/>
                <w:szCs w:val="22"/>
                <w:lang w:eastAsia="en-GB"/>
              </w:rPr>
              <w:t> </w:t>
            </w:r>
          </w:p>
        </w:tc>
        <w:tc>
          <w:tcPr>
            <w:tcW w:w="1418" w:type="dxa"/>
            <w:gridSpan w:val="2"/>
            <w:tcBorders>
              <w:top w:val="nil"/>
              <w:left w:val="nil"/>
              <w:bottom w:val="single" w:sz="4" w:space="0" w:color="auto"/>
              <w:right w:val="nil"/>
            </w:tcBorders>
            <w:shd w:val="clear" w:color="000000" w:fill="FFFFFF"/>
            <w:noWrap/>
            <w:vAlign w:val="bottom"/>
            <w:hideMark/>
          </w:tcPr>
          <w:p w:rsidR="00802ACB" w:rsidRPr="00802ACB" w:rsidRDefault="00802ACB" w:rsidP="00802ACB">
            <w:pPr>
              <w:spacing w:before="0" w:after="0" w:line="240" w:lineRule="auto"/>
              <w:rPr>
                <w:sz w:val="22"/>
                <w:szCs w:val="22"/>
                <w:lang w:eastAsia="en-GB"/>
              </w:rPr>
            </w:pPr>
            <w:r w:rsidRPr="00802ACB">
              <w:rPr>
                <w:sz w:val="22"/>
                <w:szCs w:val="22"/>
                <w:lang w:eastAsia="en-GB"/>
              </w:rPr>
              <w:t> </w:t>
            </w:r>
          </w:p>
        </w:tc>
      </w:tr>
      <w:tr w:rsidR="00802ACB" w:rsidRPr="00802ACB" w:rsidTr="00802ACB">
        <w:trPr>
          <w:gridAfter w:val="1"/>
          <w:wAfter w:w="267" w:type="dxa"/>
          <w:trHeight w:val="285"/>
        </w:trPr>
        <w:tc>
          <w:tcPr>
            <w:tcW w:w="9813" w:type="dxa"/>
            <w:gridSpan w:val="8"/>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rPr>
                <w:szCs w:val="24"/>
                <w:lang w:eastAsia="en-GB"/>
              </w:rPr>
            </w:pPr>
            <w:r w:rsidRPr="00802ACB">
              <w:rPr>
                <w:szCs w:val="24"/>
                <w:vertAlign w:val="superscript"/>
                <w:lang w:eastAsia="en-GB"/>
              </w:rPr>
              <w:t>1</w:t>
            </w:r>
            <w:r w:rsidRPr="00802ACB">
              <w:rPr>
                <w:szCs w:val="24"/>
                <w:lang w:eastAsia="en-GB"/>
              </w:rPr>
              <w:t xml:space="preserve"> Percentage of Cashback vouchers paid is calculated only for those vouchers where the location is known.</w:t>
            </w:r>
          </w:p>
        </w:tc>
      </w:tr>
      <w:tr w:rsidR="00802ACB" w:rsidRPr="00802ACB" w:rsidTr="00802ACB">
        <w:trPr>
          <w:gridAfter w:val="1"/>
          <w:wAfter w:w="267" w:type="dxa"/>
          <w:trHeight w:val="285"/>
        </w:trPr>
        <w:tc>
          <w:tcPr>
            <w:tcW w:w="9813" w:type="dxa"/>
            <w:gridSpan w:val="8"/>
            <w:tcBorders>
              <w:top w:val="nil"/>
              <w:left w:val="nil"/>
              <w:bottom w:val="nil"/>
              <w:right w:val="nil"/>
            </w:tcBorders>
            <w:shd w:val="clear" w:color="000000" w:fill="FFFFFF"/>
            <w:noWrap/>
            <w:vAlign w:val="bottom"/>
            <w:hideMark/>
          </w:tcPr>
          <w:p w:rsidR="00802ACB" w:rsidRPr="00802ACB" w:rsidRDefault="00802ACB" w:rsidP="00802ACB">
            <w:pPr>
              <w:spacing w:before="0" w:after="0" w:line="240" w:lineRule="auto"/>
              <w:rPr>
                <w:szCs w:val="24"/>
                <w:lang w:eastAsia="en-GB"/>
              </w:rPr>
            </w:pPr>
            <w:r w:rsidRPr="00802ACB">
              <w:rPr>
                <w:szCs w:val="24"/>
                <w:vertAlign w:val="superscript"/>
                <w:lang w:eastAsia="en-GB"/>
              </w:rPr>
              <w:t>2</w:t>
            </w:r>
            <w:r w:rsidRPr="00802ACB">
              <w:rPr>
                <w:szCs w:val="24"/>
                <w:lang w:eastAsia="en-GB"/>
              </w:rPr>
              <w:t xml:space="preserve"> Includes any Cashback vouchers paid to date, where the installation month of the measures Cashback is being claimed on was no later than end of September.</w:t>
            </w:r>
          </w:p>
        </w:tc>
      </w:tr>
    </w:tbl>
    <w:p w:rsidR="00415EE4" w:rsidRPr="00A21277" w:rsidRDefault="00415EE4" w:rsidP="00415EE4">
      <w:pPr>
        <w:spacing w:before="0" w:after="0" w:line="270" w:lineRule="atLeast"/>
        <w:rPr>
          <w:b/>
          <w:bCs/>
        </w:rPr>
      </w:pPr>
    </w:p>
    <w:p w:rsidR="00415EE4" w:rsidRPr="00A21277" w:rsidRDefault="00415EE4" w:rsidP="00415EE4">
      <w:pPr>
        <w:spacing w:before="0" w:after="0" w:line="270" w:lineRule="atLeast"/>
        <w:rPr>
          <w:b/>
          <w:bCs/>
        </w:rPr>
      </w:pPr>
    </w:p>
    <w:p w:rsidR="00415EE4" w:rsidRPr="00A21277" w:rsidRDefault="00817954" w:rsidP="00415EE4">
      <w:pPr>
        <w:spacing w:before="0" w:after="0" w:line="270" w:lineRule="atLeast"/>
        <w:jc w:val="both"/>
        <w:rPr>
          <w:b/>
          <w:bCs/>
        </w:rPr>
      </w:pPr>
      <w:r>
        <w:rPr>
          <w:b/>
          <w:bCs/>
        </w:rPr>
        <w:t>Table 1.9</w:t>
      </w:r>
      <w:r w:rsidR="00415EE4" w:rsidRPr="00A21277">
        <w:rPr>
          <w:b/>
          <w:bCs/>
        </w:rPr>
        <w:t>a: Number of Cashback vouchers paid by administrative area, up to 30</w:t>
      </w:r>
      <w:r w:rsidR="00415EE4" w:rsidRPr="00A21277">
        <w:rPr>
          <w:b/>
          <w:bCs/>
          <w:vertAlign w:val="superscript"/>
        </w:rPr>
        <w:t>th</w:t>
      </w:r>
      <w:r w:rsidR="00415EE4" w:rsidRPr="00A21277">
        <w:rPr>
          <w:b/>
          <w:bCs/>
        </w:rPr>
        <w:t xml:space="preserve"> </w:t>
      </w:r>
      <w:r w:rsidR="002D15AF" w:rsidRPr="002D15AF">
        <w:rPr>
          <w:b/>
          <w:bCs/>
        </w:rPr>
        <w:t xml:space="preserve">September </w:t>
      </w:r>
      <w:r w:rsidR="00415EE4" w:rsidRPr="00A21277">
        <w:rPr>
          <w:b/>
          <w:bCs/>
        </w:rPr>
        <w:t xml:space="preserve">2013, England and Wales </w:t>
      </w:r>
      <w:r w:rsidR="00415EE4" w:rsidRPr="00A21277">
        <w:rPr>
          <w:bCs/>
        </w:rPr>
        <w:t xml:space="preserve">(Table available </w:t>
      </w:r>
      <w:r w:rsidR="00415EE4" w:rsidRPr="00A21277">
        <w:t xml:space="preserve">in </w:t>
      </w:r>
      <w:r w:rsidR="00415EE4" w:rsidRPr="009D56C9">
        <w:t xml:space="preserve">Excel </w:t>
      </w:r>
      <w:hyperlink r:id="rId47" w:history="1">
        <w:r w:rsidR="00415EE4" w:rsidRPr="009D56C9">
          <w:rPr>
            <w:rStyle w:val="Hyperlink"/>
            <w:rFonts w:ascii="Arial" w:hAnsi="Arial"/>
          </w:rPr>
          <w:t>here</w:t>
        </w:r>
      </w:hyperlink>
      <w:r w:rsidR="00415EE4" w:rsidRPr="009D56C9">
        <w:rPr>
          <w:bCs/>
        </w:rPr>
        <w:t>).</w:t>
      </w:r>
    </w:p>
    <w:p w:rsidR="00415EE4" w:rsidRPr="00A21277" w:rsidRDefault="00415EE4" w:rsidP="00415EE4">
      <w:pPr>
        <w:spacing w:before="0" w:after="0" w:line="270" w:lineRule="atLeast"/>
        <w:jc w:val="both"/>
        <w:rPr>
          <w:b/>
          <w:bCs/>
        </w:rPr>
      </w:pPr>
    </w:p>
    <w:p w:rsidR="00415EE4" w:rsidRPr="00A21277" w:rsidRDefault="00415EE4" w:rsidP="00415EE4">
      <w:pPr>
        <w:spacing w:before="0" w:after="0" w:line="270" w:lineRule="atLeast"/>
        <w:jc w:val="both"/>
        <w:rPr>
          <w:b/>
          <w:bCs/>
        </w:rPr>
      </w:pPr>
    </w:p>
    <w:p w:rsidR="00415EE4" w:rsidRPr="00A21277" w:rsidRDefault="00817954" w:rsidP="00415EE4">
      <w:pPr>
        <w:spacing w:before="0" w:after="0" w:line="270" w:lineRule="atLeast"/>
        <w:jc w:val="both"/>
        <w:rPr>
          <w:b/>
          <w:bCs/>
        </w:rPr>
      </w:pPr>
      <w:r>
        <w:rPr>
          <w:b/>
          <w:bCs/>
        </w:rPr>
        <w:t>Table 1.9</w:t>
      </w:r>
      <w:r w:rsidR="00415EE4" w:rsidRPr="00A21277">
        <w:rPr>
          <w:b/>
          <w:bCs/>
        </w:rPr>
        <w:t>b: Number of Cashback vouchers paid by Parliamentary Constituency, up to 30</w:t>
      </w:r>
      <w:r w:rsidR="00415EE4" w:rsidRPr="00A21277">
        <w:rPr>
          <w:b/>
          <w:bCs/>
          <w:vertAlign w:val="superscript"/>
        </w:rPr>
        <w:t>th</w:t>
      </w:r>
      <w:r w:rsidR="00415EE4" w:rsidRPr="00A21277">
        <w:rPr>
          <w:b/>
          <w:bCs/>
        </w:rPr>
        <w:t xml:space="preserve"> </w:t>
      </w:r>
      <w:r w:rsidR="002D15AF" w:rsidRPr="002D15AF">
        <w:rPr>
          <w:b/>
          <w:bCs/>
        </w:rPr>
        <w:t>September</w:t>
      </w:r>
      <w:r w:rsidR="00415EE4" w:rsidRPr="00A21277">
        <w:rPr>
          <w:b/>
          <w:bCs/>
        </w:rPr>
        <w:t xml:space="preserve"> 2013, England and Wales </w:t>
      </w:r>
      <w:r w:rsidR="00415EE4" w:rsidRPr="00A21277">
        <w:rPr>
          <w:bCs/>
        </w:rPr>
        <w:t xml:space="preserve">(Table available </w:t>
      </w:r>
      <w:r w:rsidR="00415EE4" w:rsidRPr="00A21277">
        <w:t xml:space="preserve">in </w:t>
      </w:r>
      <w:r w:rsidR="00415EE4" w:rsidRPr="009D56C9">
        <w:t xml:space="preserve">Excel </w:t>
      </w:r>
      <w:hyperlink r:id="rId48" w:history="1">
        <w:r w:rsidR="00415EE4" w:rsidRPr="009D56C9">
          <w:rPr>
            <w:rStyle w:val="Hyperlink"/>
            <w:rFonts w:ascii="Arial" w:hAnsi="Arial"/>
          </w:rPr>
          <w:t>here</w:t>
        </w:r>
      </w:hyperlink>
      <w:r w:rsidR="00415EE4" w:rsidRPr="009D56C9">
        <w:rPr>
          <w:bCs/>
        </w:rPr>
        <w:t>).</w:t>
      </w:r>
    </w:p>
    <w:p w:rsidR="00415EE4" w:rsidRPr="00A21277" w:rsidRDefault="00415EE4" w:rsidP="00415EE4">
      <w:pPr>
        <w:spacing w:before="0" w:after="0" w:line="270" w:lineRule="atLeast"/>
        <w:jc w:val="both"/>
        <w:rPr>
          <w:b/>
          <w:bCs/>
        </w:rPr>
      </w:pPr>
    </w:p>
    <w:p w:rsidR="00415EE4" w:rsidRPr="00A21277" w:rsidRDefault="00415EE4" w:rsidP="00415EE4">
      <w:pPr>
        <w:spacing w:before="0" w:after="0" w:line="270" w:lineRule="atLeast"/>
        <w:jc w:val="both"/>
        <w:rPr>
          <w:b/>
          <w:bCs/>
        </w:rPr>
      </w:pPr>
    </w:p>
    <w:p w:rsidR="00415EE4" w:rsidRPr="00A21277" w:rsidRDefault="00817954" w:rsidP="00415EE4">
      <w:pPr>
        <w:spacing w:before="0" w:after="0" w:line="270" w:lineRule="atLeast"/>
        <w:jc w:val="both"/>
        <w:rPr>
          <w:b/>
          <w:bCs/>
        </w:rPr>
      </w:pPr>
      <w:r>
        <w:rPr>
          <w:b/>
          <w:bCs/>
        </w:rPr>
        <w:t>Table 1.10</w:t>
      </w:r>
      <w:r w:rsidR="00415EE4" w:rsidRPr="00A21277">
        <w:rPr>
          <w:b/>
          <w:bCs/>
        </w:rPr>
        <w:t>: Provisional number of ECO measures by ECO obligation by region and total number of unique properties benefitting from ECO, up to 30</w:t>
      </w:r>
      <w:r w:rsidR="00415EE4" w:rsidRPr="00A21277">
        <w:rPr>
          <w:b/>
          <w:bCs/>
          <w:vertAlign w:val="superscript"/>
        </w:rPr>
        <w:t>th</w:t>
      </w:r>
      <w:r w:rsidR="00415EE4" w:rsidRPr="00A21277">
        <w:rPr>
          <w:b/>
          <w:bCs/>
        </w:rPr>
        <w:t xml:space="preserve"> </w:t>
      </w:r>
      <w:r w:rsidR="002D15AF" w:rsidRPr="002D15AF">
        <w:rPr>
          <w:b/>
          <w:bCs/>
        </w:rPr>
        <w:t>September</w:t>
      </w:r>
      <w:r w:rsidR="00415EE4" w:rsidRPr="00A21277">
        <w:rPr>
          <w:b/>
          <w:bCs/>
        </w:rPr>
        <w:t xml:space="preserve"> 2013</w:t>
      </w:r>
      <w:r w:rsidR="009F5CC2">
        <w:rPr>
          <w:b/>
          <w:bCs/>
        </w:rPr>
        <w:t xml:space="preserve"> </w:t>
      </w:r>
      <w:r w:rsidR="009F5CC2" w:rsidRPr="00A21277">
        <w:rPr>
          <w:bCs/>
        </w:rPr>
        <w:t xml:space="preserve">(Table available </w:t>
      </w:r>
      <w:r w:rsidR="009F5CC2" w:rsidRPr="00A21277">
        <w:t xml:space="preserve">in </w:t>
      </w:r>
      <w:r w:rsidR="009F5CC2" w:rsidRPr="009D56C9">
        <w:t xml:space="preserve">Excel </w:t>
      </w:r>
      <w:hyperlink r:id="rId49" w:history="1">
        <w:r w:rsidR="009F5CC2" w:rsidRPr="009D56C9">
          <w:rPr>
            <w:rStyle w:val="Hyperlink"/>
            <w:rFonts w:ascii="Arial" w:hAnsi="Arial"/>
          </w:rPr>
          <w:t>here</w:t>
        </w:r>
      </w:hyperlink>
      <w:r w:rsidR="009F5CC2" w:rsidRPr="009D56C9">
        <w:rPr>
          <w:bCs/>
        </w:rPr>
        <w:t>).</w:t>
      </w:r>
    </w:p>
    <w:p w:rsidR="00415EE4" w:rsidRPr="00A21277" w:rsidRDefault="00415EE4" w:rsidP="00415EE4">
      <w:pPr>
        <w:spacing w:before="0" w:after="0" w:line="270" w:lineRule="atLeast"/>
        <w:rPr>
          <w:b/>
          <w:bCs/>
        </w:rPr>
      </w:pPr>
    </w:p>
    <w:p w:rsidR="00415EE4" w:rsidRPr="00A21277" w:rsidRDefault="00415EE4" w:rsidP="00415EE4">
      <w:pPr>
        <w:spacing w:before="0" w:after="0" w:line="270" w:lineRule="atLeast"/>
        <w:rPr>
          <w:b/>
          <w:bCs/>
        </w:rPr>
      </w:pPr>
    </w:p>
    <w:p w:rsidR="00415EE4" w:rsidRPr="00A21277" w:rsidRDefault="00415EE4" w:rsidP="00415EE4">
      <w:pPr>
        <w:spacing w:before="0" w:after="0" w:line="270" w:lineRule="atLeast"/>
        <w:rPr>
          <w:b/>
          <w:bCs/>
        </w:rPr>
      </w:pPr>
      <w:r w:rsidRPr="00A21277">
        <w:rPr>
          <w:b/>
          <w:bCs/>
        </w:rPr>
        <w:t>Tabl</w:t>
      </w:r>
      <w:r w:rsidR="00817954">
        <w:rPr>
          <w:b/>
          <w:bCs/>
        </w:rPr>
        <w:t>e 1.10</w:t>
      </w:r>
      <w:r w:rsidRPr="00A21277">
        <w:rPr>
          <w:b/>
          <w:bCs/>
        </w:rPr>
        <w:t>a: Provisional number of ECO measures by ECO obligation by administrative area, up to 30</w:t>
      </w:r>
      <w:r w:rsidRPr="00A21277">
        <w:rPr>
          <w:b/>
          <w:bCs/>
          <w:vertAlign w:val="superscript"/>
        </w:rPr>
        <w:t>th</w:t>
      </w:r>
      <w:r w:rsidR="002D15AF" w:rsidRPr="002D15AF">
        <w:t xml:space="preserve"> </w:t>
      </w:r>
      <w:r w:rsidR="002D15AF" w:rsidRPr="002D15AF">
        <w:rPr>
          <w:b/>
          <w:bCs/>
        </w:rPr>
        <w:t xml:space="preserve">September </w:t>
      </w:r>
      <w:r w:rsidRPr="00A21277">
        <w:rPr>
          <w:b/>
          <w:bCs/>
        </w:rPr>
        <w:t xml:space="preserve">2013 </w:t>
      </w:r>
      <w:r w:rsidRPr="00A21277">
        <w:rPr>
          <w:bCs/>
        </w:rPr>
        <w:t xml:space="preserve">(Table available </w:t>
      </w:r>
      <w:r w:rsidRPr="00A21277">
        <w:t xml:space="preserve">in </w:t>
      </w:r>
      <w:r w:rsidRPr="009D56C9">
        <w:t xml:space="preserve">Excel </w:t>
      </w:r>
      <w:hyperlink r:id="rId50" w:history="1">
        <w:r w:rsidRPr="009D56C9">
          <w:rPr>
            <w:rStyle w:val="Hyperlink"/>
            <w:rFonts w:ascii="Arial" w:hAnsi="Arial"/>
          </w:rPr>
          <w:t>here</w:t>
        </w:r>
      </w:hyperlink>
      <w:r w:rsidRPr="009D56C9">
        <w:rPr>
          <w:bCs/>
        </w:rPr>
        <w:t>).</w:t>
      </w:r>
    </w:p>
    <w:p w:rsidR="00415EE4" w:rsidRPr="00A21277" w:rsidRDefault="00415EE4" w:rsidP="00415EE4">
      <w:pPr>
        <w:spacing w:before="0" w:after="0" w:line="270" w:lineRule="atLeast"/>
        <w:rPr>
          <w:b/>
          <w:bCs/>
        </w:rPr>
      </w:pPr>
    </w:p>
    <w:p w:rsidR="00415EE4" w:rsidRPr="00A21277" w:rsidRDefault="00415EE4" w:rsidP="00415EE4">
      <w:pPr>
        <w:spacing w:before="0" w:after="0" w:line="270" w:lineRule="atLeast"/>
        <w:rPr>
          <w:b/>
          <w:bCs/>
        </w:rPr>
      </w:pPr>
    </w:p>
    <w:p w:rsidR="00415EE4" w:rsidRPr="00A21277" w:rsidRDefault="00817954" w:rsidP="00415EE4">
      <w:pPr>
        <w:spacing w:before="0" w:after="0" w:line="270" w:lineRule="atLeast"/>
        <w:rPr>
          <w:bCs/>
        </w:rPr>
      </w:pPr>
      <w:bookmarkStart w:id="64" w:name="_GoBack"/>
      <w:bookmarkEnd w:id="64"/>
      <w:r>
        <w:rPr>
          <w:b/>
          <w:bCs/>
        </w:rPr>
        <w:t>Table 1.10</w:t>
      </w:r>
      <w:r w:rsidR="00415EE4" w:rsidRPr="00A21277">
        <w:rPr>
          <w:b/>
          <w:bCs/>
        </w:rPr>
        <w:t>b: Provisional number of ECO measures by ECO obligation by Parliamentary Constituency, up to 30</w:t>
      </w:r>
      <w:r w:rsidR="00415EE4" w:rsidRPr="00A21277">
        <w:rPr>
          <w:b/>
          <w:bCs/>
          <w:vertAlign w:val="superscript"/>
        </w:rPr>
        <w:t>th</w:t>
      </w:r>
      <w:r w:rsidR="00415EE4" w:rsidRPr="00A21277">
        <w:rPr>
          <w:b/>
          <w:bCs/>
        </w:rPr>
        <w:t xml:space="preserve"> </w:t>
      </w:r>
      <w:r w:rsidR="002D15AF" w:rsidRPr="002D15AF">
        <w:rPr>
          <w:b/>
          <w:bCs/>
        </w:rPr>
        <w:t>September</w:t>
      </w:r>
      <w:r w:rsidR="00415EE4" w:rsidRPr="00A21277">
        <w:rPr>
          <w:b/>
          <w:bCs/>
        </w:rPr>
        <w:t xml:space="preserve"> 2013 </w:t>
      </w:r>
      <w:r w:rsidR="00415EE4" w:rsidRPr="00A21277">
        <w:rPr>
          <w:bCs/>
        </w:rPr>
        <w:t xml:space="preserve">(Table available </w:t>
      </w:r>
      <w:r w:rsidR="00415EE4" w:rsidRPr="00A21277">
        <w:t xml:space="preserve">in </w:t>
      </w:r>
      <w:r w:rsidR="00415EE4" w:rsidRPr="009D56C9">
        <w:t xml:space="preserve">Excel </w:t>
      </w:r>
      <w:hyperlink r:id="rId51" w:history="1">
        <w:r w:rsidR="00415EE4" w:rsidRPr="009D56C9">
          <w:rPr>
            <w:rStyle w:val="Hyperlink"/>
            <w:rFonts w:ascii="Arial" w:hAnsi="Arial"/>
          </w:rPr>
          <w:t>here</w:t>
        </w:r>
      </w:hyperlink>
      <w:r w:rsidR="00415EE4" w:rsidRPr="009D56C9">
        <w:rPr>
          <w:bCs/>
        </w:rPr>
        <w:t>).</w:t>
      </w:r>
    </w:p>
    <w:p w:rsidR="00A21277" w:rsidRPr="00A21277" w:rsidRDefault="00A21277" w:rsidP="00415EE4">
      <w:pPr>
        <w:spacing w:before="0" w:after="0" w:line="270" w:lineRule="atLeast"/>
        <w:rPr>
          <w:bCs/>
        </w:rPr>
      </w:pPr>
    </w:p>
    <w:p w:rsidR="002D15AF" w:rsidRPr="00A21277" w:rsidRDefault="002D15AF" w:rsidP="00415EE4">
      <w:pPr>
        <w:spacing w:before="0" w:after="0" w:line="270" w:lineRule="atLeast"/>
        <w:rPr>
          <w:b/>
          <w:bCs/>
        </w:rPr>
      </w:pPr>
    </w:p>
    <w:p w:rsidR="00415EE4" w:rsidRPr="00A21277" w:rsidRDefault="00415EE4" w:rsidP="00415EE4">
      <w:pPr>
        <w:spacing w:before="0" w:after="0" w:line="270" w:lineRule="atLeast"/>
        <w:rPr>
          <w:b/>
          <w:bCs/>
        </w:rPr>
      </w:pPr>
      <w:r w:rsidRPr="00A21277">
        <w:rPr>
          <w:b/>
          <w:bCs/>
        </w:rPr>
        <w:lastRenderedPageBreak/>
        <w:t>Table 1</w:t>
      </w:r>
      <w:r w:rsidR="00817954">
        <w:rPr>
          <w:b/>
          <w:bCs/>
        </w:rPr>
        <w:t>.11</w:t>
      </w:r>
      <w:r w:rsidRPr="00A21277">
        <w:rPr>
          <w:b/>
          <w:bCs/>
        </w:rPr>
        <w:t xml:space="preserve">: Provisional number of ECO measures by main fuel type of property and ECO obligation, up to 30th </w:t>
      </w:r>
      <w:r w:rsidR="002D15AF" w:rsidRPr="002D15AF">
        <w:rPr>
          <w:b/>
          <w:bCs/>
        </w:rPr>
        <w:t>September</w:t>
      </w:r>
      <w:r w:rsidRPr="00A21277">
        <w:rPr>
          <w:b/>
          <w:bCs/>
        </w:rPr>
        <w:t xml:space="preserve"> 2013</w:t>
      </w:r>
    </w:p>
    <w:tbl>
      <w:tblPr>
        <w:tblW w:w="10524" w:type="dxa"/>
        <w:tblInd w:w="-34" w:type="dxa"/>
        <w:tblLook w:val="04A0" w:firstRow="1" w:lastRow="0" w:firstColumn="1" w:lastColumn="0" w:noHBand="0" w:noVBand="1"/>
      </w:tblPr>
      <w:tblGrid>
        <w:gridCol w:w="1134"/>
        <w:gridCol w:w="999"/>
        <w:gridCol w:w="1342"/>
        <w:gridCol w:w="999"/>
        <w:gridCol w:w="1342"/>
        <w:gridCol w:w="1012"/>
        <w:gridCol w:w="1342"/>
        <w:gridCol w:w="1012"/>
        <w:gridCol w:w="1342"/>
      </w:tblGrid>
      <w:tr w:rsidR="00415EE4" w:rsidRPr="00A21277" w:rsidTr="004448E5">
        <w:trPr>
          <w:trHeight w:val="273"/>
        </w:trPr>
        <w:tc>
          <w:tcPr>
            <w:tcW w:w="1134" w:type="dxa"/>
            <w:tcBorders>
              <w:top w:val="nil"/>
              <w:left w:val="nil"/>
              <w:bottom w:val="nil"/>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p>
        </w:tc>
        <w:tc>
          <w:tcPr>
            <w:tcW w:w="999" w:type="dxa"/>
            <w:tcBorders>
              <w:top w:val="nil"/>
              <w:left w:val="nil"/>
              <w:bottom w:val="single" w:sz="4" w:space="0" w:color="auto"/>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single" w:sz="4" w:space="0" w:color="auto"/>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 </w:t>
            </w:r>
          </w:p>
        </w:tc>
        <w:tc>
          <w:tcPr>
            <w:tcW w:w="999" w:type="dxa"/>
            <w:tcBorders>
              <w:top w:val="nil"/>
              <w:left w:val="nil"/>
              <w:bottom w:val="single" w:sz="4" w:space="0" w:color="auto"/>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nil"/>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p>
        </w:tc>
        <w:tc>
          <w:tcPr>
            <w:tcW w:w="1012" w:type="dxa"/>
            <w:tcBorders>
              <w:top w:val="nil"/>
              <w:left w:val="nil"/>
              <w:bottom w:val="nil"/>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p>
        </w:tc>
        <w:tc>
          <w:tcPr>
            <w:tcW w:w="1342" w:type="dxa"/>
            <w:tcBorders>
              <w:top w:val="nil"/>
              <w:left w:val="nil"/>
              <w:bottom w:val="single" w:sz="4" w:space="0" w:color="auto"/>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 </w:t>
            </w:r>
          </w:p>
        </w:tc>
        <w:tc>
          <w:tcPr>
            <w:tcW w:w="1012" w:type="dxa"/>
            <w:tcBorders>
              <w:top w:val="nil"/>
              <w:left w:val="nil"/>
              <w:bottom w:val="single" w:sz="4" w:space="0" w:color="auto"/>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single" w:sz="4" w:space="0" w:color="auto"/>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 </w:t>
            </w:r>
          </w:p>
        </w:tc>
      </w:tr>
      <w:tr w:rsidR="00415EE4" w:rsidRPr="00A21277" w:rsidTr="004448E5">
        <w:trPr>
          <w:trHeight w:val="273"/>
        </w:trPr>
        <w:tc>
          <w:tcPr>
            <w:tcW w:w="1134" w:type="dxa"/>
            <w:tcBorders>
              <w:top w:val="single" w:sz="4" w:space="0" w:color="auto"/>
              <w:left w:val="nil"/>
              <w:bottom w:val="nil"/>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 </w:t>
            </w:r>
          </w:p>
        </w:tc>
        <w:tc>
          <w:tcPr>
            <w:tcW w:w="999" w:type="dxa"/>
            <w:tcBorders>
              <w:top w:val="nil"/>
              <w:left w:val="nil"/>
              <w:bottom w:val="single" w:sz="4" w:space="0" w:color="auto"/>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single" w:sz="4" w:space="0" w:color="auto"/>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 </w:t>
            </w:r>
          </w:p>
        </w:tc>
        <w:tc>
          <w:tcPr>
            <w:tcW w:w="3353" w:type="dxa"/>
            <w:gridSpan w:val="3"/>
            <w:tcBorders>
              <w:top w:val="single" w:sz="4" w:space="0" w:color="auto"/>
              <w:left w:val="nil"/>
              <w:bottom w:val="single" w:sz="4" w:space="0" w:color="auto"/>
              <w:right w:val="nil"/>
            </w:tcBorders>
            <w:shd w:val="clear" w:color="000000" w:fill="FFFFFF"/>
            <w:noWrap/>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Obligation</w:t>
            </w:r>
          </w:p>
        </w:tc>
        <w:tc>
          <w:tcPr>
            <w:tcW w:w="1342" w:type="dxa"/>
            <w:tcBorders>
              <w:top w:val="nil"/>
              <w:left w:val="nil"/>
              <w:bottom w:val="nil"/>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p>
        </w:tc>
        <w:tc>
          <w:tcPr>
            <w:tcW w:w="2354" w:type="dxa"/>
            <w:gridSpan w:val="2"/>
            <w:vMerge w:val="restart"/>
            <w:tcBorders>
              <w:top w:val="nil"/>
              <w:left w:val="nil"/>
              <w:bottom w:val="single" w:sz="4" w:space="0" w:color="000000"/>
              <w:right w:val="nil"/>
            </w:tcBorders>
            <w:shd w:val="clear" w:color="000000" w:fill="FFFFFF"/>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 xml:space="preserve">Total number of ECO measures delivered </w:t>
            </w:r>
            <w:r w:rsidRPr="00A21277">
              <w:rPr>
                <w:color w:val="000000"/>
                <w:sz w:val="22"/>
                <w:szCs w:val="22"/>
                <w:vertAlign w:val="superscript"/>
                <w:lang w:eastAsia="en-GB"/>
              </w:rPr>
              <w:t>1</w:t>
            </w:r>
          </w:p>
        </w:tc>
      </w:tr>
      <w:tr w:rsidR="00415EE4" w:rsidRPr="00A21277" w:rsidTr="004448E5">
        <w:trPr>
          <w:trHeight w:val="515"/>
        </w:trPr>
        <w:tc>
          <w:tcPr>
            <w:tcW w:w="1134" w:type="dxa"/>
            <w:vMerge w:val="restart"/>
            <w:tcBorders>
              <w:top w:val="nil"/>
              <w:left w:val="nil"/>
              <w:bottom w:val="single" w:sz="4" w:space="0" w:color="000000"/>
              <w:right w:val="nil"/>
            </w:tcBorders>
            <w:shd w:val="clear" w:color="auto" w:fill="auto"/>
            <w:noWrap/>
            <w:vAlign w:val="center"/>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Fuel Type</w:t>
            </w:r>
          </w:p>
        </w:tc>
        <w:tc>
          <w:tcPr>
            <w:tcW w:w="2341" w:type="dxa"/>
            <w:gridSpan w:val="2"/>
            <w:tcBorders>
              <w:top w:val="nil"/>
              <w:left w:val="nil"/>
              <w:bottom w:val="single" w:sz="4" w:space="0" w:color="auto"/>
              <w:right w:val="nil"/>
            </w:tcBorders>
            <w:shd w:val="clear" w:color="000000" w:fill="FFFFFF"/>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Carbon Saving Target (CSO)</w:t>
            </w:r>
          </w:p>
        </w:tc>
        <w:tc>
          <w:tcPr>
            <w:tcW w:w="2341" w:type="dxa"/>
            <w:gridSpan w:val="2"/>
            <w:tcBorders>
              <w:top w:val="nil"/>
              <w:left w:val="nil"/>
              <w:bottom w:val="single" w:sz="4" w:space="0" w:color="auto"/>
              <w:right w:val="nil"/>
            </w:tcBorders>
            <w:shd w:val="clear" w:color="000000" w:fill="FFFFFF"/>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Carbon Savings Community (CSCO)</w:t>
            </w:r>
          </w:p>
        </w:tc>
        <w:tc>
          <w:tcPr>
            <w:tcW w:w="2354" w:type="dxa"/>
            <w:gridSpan w:val="2"/>
            <w:tcBorders>
              <w:top w:val="single" w:sz="4" w:space="0" w:color="auto"/>
              <w:left w:val="nil"/>
              <w:bottom w:val="single" w:sz="4" w:space="0" w:color="auto"/>
              <w:right w:val="nil"/>
            </w:tcBorders>
            <w:shd w:val="clear" w:color="000000" w:fill="FFFFFF"/>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Affordable Warmth (HHCRO)</w:t>
            </w:r>
          </w:p>
        </w:tc>
        <w:tc>
          <w:tcPr>
            <w:tcW w:w="2354" w:type="dxa"/>
            <w:gridSpan w:val="2"/>
            <w:vMerge/>
            <w:tcBorders>
              <w:top w:val="nil"/>
              <w:left w:val="nil"/>
              <w:bottom w:val="single" w:sz="4" w:space="0" w:color="000000"/>
              <w:right w:val="nil"/>
            </w:tcBorders>
            <w:vAlign w:val="center"/>
            <w:hideMark/>
          </w:tcPr>
          <w:p w:rsidR="00415EE4" w:rsidRPr="00A21277" w:rsidRDefault="00415EE4" w:rsidP="00415EE4">
            <w:pPr>
              <w:spacing w:before="0" w:after="0" w:line="240" w:lineRule="auto"/>
              <w:rPr>
                <w:color w:val="000000"/>
                <w:sz w:val="22"/>
                <w:szCs w:val="22"/>
                <w:lang w:eastAsia="en-GB"/>
              </w:rPr>
            </w:pPr>
          </w:p>
        </w:tc>
      </w:tr>
      <w:tr w:rsidR="00415EE4" w:rsidRPr="00A21277" w:rsidTr="004448E5">
        <w:trPr>
          <w:trHeight w:val="256"/>
        </w:trPr>
        <w:tc>
          <w:tcPr>
            <w:tcW w:w="1134" w:type="dxa"/>
            <w:vMerge/>
            <w:tcBorders>
              <w:top w:val="nil"/>
              <w:left w:val="nil"/>
              <w:bottom w:val="single" w:sz="4" w:space="0" w:color="000000"/>
              <w:right w:val="nil"/>
            </w:tcBorders>
            <w:vAlign w:val="center"/>
            <w:hideMark/>
          </w:tcPr>
          <w:p w:rsidR="00415EE4" w:rsidRPr="00A21277" w:rsidRDefault="00415EE4" w:rsidP="00415EE4">
            <w:pPr>
              <w:spacing w:before="0" w:after="0" w:line="240" w:lineRule="auto"/>
              <w:rPr>
                <w:color w:val="000000"/>
                <w:sz w:val="22"/>
                <w:szCs w:val="22"/>
                <w:lang w:eastAsia="en-GB"/>
              </w:rPr>
            </w:pPr>
          </w:p>
        </w:tc>
        <w:tc>
          <w:tcPr>
            <w:tcW w:w="999" w:type="dxa"/>
            <w:tcBorders>
              <w:top w:val="nil"/>
              <w:left w:val="nil"/>
              <w:bottom w:val="nil"/>
              <w:right w:val="nil"/>
            </w:tcBorders>
            <w:shd w:val="clear" w:color="auto" w:fill="auto"/>
            <w:noWrap/>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nil"/>
              <w:right w:val="nil"/>
            </w:tcBorders>
            <w:shd w:val="clear" w:color="000000" w:fill="FFFFFF"/>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Percentage</w:t>
            </w:r>
          </w:p>
        </w:tc>
        <w:tc>
          <w:tcPr>
            <w:tcW w:w="999" w:type="dxa"/>
            <w:tcBorders>
              <w:top w:val="nil"/>
              <w:left w:val="nil"/>
              <w:bottom w:val="nil"/>
              <w:right w:val="nil"/>
            </w:tcBorders>
            <w:shd w:val="clear" w:color="auto" w:fill="auto"/>
            <w:noWrap/>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nil"/>
              <w:right w:val="nil"/>
            </w:tcBorders>
            <w:shd w:val="clear" w:color="000000" w:fill="FFFFFF"/>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Percentage</w:t>
            </w:r>
          </w:p>
        </w:tc>
        <w:tc>
          <w:tcPr>
            <w:tcW w:w="1012" w:type="dxa"/>
            <w:tcBorders>
              <w:top w:val="nil"/>
              <w:left w:val="nil"/>
              <w:bottom w:val="nil"/>
              <w:right w:val="nil"/>
            </w:tcBorders>
            <w:shd w:val="clear" w:color="auto" w:fill="auto"/>
            <w:noWrap/>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nil"/>
              <w:right w:val="nil"/>
            </w:tcBorders>
            <w:shd w:val="clear" w:color="000000" w:fill="FFFFFF"/>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Percentage</w:t>
            </w:r>
          </w:p>
        </w:tc>
        <w:tc>
          <w:tcPr>
            <w:tcW w:w="1012" w:type="dxa"/>
            <w:tcBorders>
              <w:top w:val="nil"/>
              <w:left w:val="nil"/>
              <w:bottom w:val="nil"/>
              <w:right w:val="nil"/>
            </w:tcBorders>
            <w:shd w:val="clear" w:color="auto" w:fill="auto"/>
            <w:noWrap/>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single" w:sz="4" w:space="0" w:color="auto"/>
              <w:right w:val="nil"/>
            </w:tcBorders>
            <w:shd w:val="clear" w:color="000000" w:fill="FFFFFF"/>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Percentage</w:t>
            </w:r>
          </w:p>
        </w:tc>
      </w:tr>
      <w:tr w:rsidR="004448E5" w:rsidRPr="00A21277" w:rsidTr="004448E5">
        <w:trPr>
          <w:trHeight w:val="273"/>
        </w:trPr>
        <w:tc>
          <w:tcPr>
            <w:tcW w:w="1134" w:type="dxa"/>
            <w:tcBorders>
              <w:top w:val="nil"/>
              <w:left w:val="nil"/>
              <w:bottom w:val="nil"/>
              <w:right w:val="nil"/>
            </w:tcBorders>
            <w:shd w:val="clear" w:color="auto" w:fill="auto"/>
            <w:noWrap/>
            <w:vAlign w:val="bottom"/>
            <w:hideMark/>
          </w:tcPr>
          <w:p w:rsidR="004448E5" w:rsidRPr="00A21277" w:rsidRDefault="004448E5" w:rsidP="00415EE4">
            <w:pPr>
              <w:spacing w:before="0" w:after="0" w:line="240" w:lineRule="auto"/>
              <w:rPr>
                <w:color w:val="000000"/>
                <w:sz w:val="22"/>
                <w:szCs w:val="22"/>
                <w:lang w:eastAsia="en-GB"/>
              </w:rPr>
            </w:pPr>
            <w:r w:rsidRPr="00A21277">
              <w:rPr>
                <w:color w:val="000000"/>
                <w:sz w:val="22"/>
                <w:szCs w:val="22"/>
                <w:lang w:eastAsia="en-GB"/>
              </w:rPr>
              <w:t>Gas</w:t>
            </w:r>
          </w:p>
        </w:tc>
        <w:tc>
          <w:tcPr>
            <w:tcW w:w="999" w:type="dxa"/>
            <w:tcBorders>
              <w:top w:val="single" w:sz="4" w:space="0" w:color="auto"/>
              <w:left w:val="nil"/>
              <w:bottom w:val="nil"/>
              <w:right w:val="nil"/>
            </w:tcBorders>
            <w:shd w:val="clear" w:color="auto" w:fill="auto"/>
            <w:noWrap/>
            <w:vAlign w:val="bottom"/>
            <w:hideMark/>
          </w:tcPr>
          <w:p w:rsidR="004448E5" w:rsidRPr="004448E5" w:rsidRDefault="004448E5" w:rsidP="004448E5">
            <w:pPr>
              <w:spacing w:before="0" w:after="0"/>
              <w:jc w:val="right"/>
              <w:rPr>
                <w:color w:val="000000"/>
                <w:sz w:val="22"/>
                <w:szCs w:val="22"/>
              </w:rPr>
            </w:pPr>
            <w:r w:rsidRPr="004448E5">
              <w:rPr>
                <w:color w:val="000000"/>
                <w:sz w:val="22"/>
                <w:szCs w:val="22"/>
              </w:rPr>
              <w:t>87,506</w:t>
            </w:r>
          </w:p>
        </w:tc>
        <w:tc>
          <w:tcPr>
            <w:tcW w:w="1342" w:type="dxa"/>
            <w:tcBorders>
              <w:top w:val="single" w:sz="4" w:space="0" w:color="auto"/>
              <w:left w:val="nil"/>
              <w:bottom w:val="nil"/>
              <w:right w:val="nil"/>
            </w:tcBorders>
            <w:shd w:val="clear" w:color="000000" w:fill="FFFFFF"/>
            <w:vAlign w:val="bottom"/>
            <w:hideMark/>
          </w:tcPr>
          <w:p w:rsidR="004448E5" w:rsidRPr="004448E5" w:rsidRDefault="004448E5" w:rsidP="004448E5">
            <w:pPr>
              <w:spacing w:before="0" w:after="0"/>
              <w:jc w:val="right"/>
              <w:rPr>
                <w:i/>
                <w:iCs/>
                <w:color w:val="000000"/>
                <w:sz w:val="22"/>
                <w:szCs w:val="22"/>
              </w:rPr>
            </w:pPr>
            <w:r w:rsidRPr="004448E5">
              <w:rPr>
                <w:i/>
                <w:iCs/>
                <w:color w:val="000000"/>
                <w:sz w:val="22"/>
                <w:szCs w:val="22"/>
              </w:rPr>
              <w:t>88.3</w:t>
            </w:r>
          </w:p>
        </w:tc>
        <w:tc>
          <w:tcPr>
            <w:tcW w:w="999" w:type="dxa"/>
            <w:tcBorders>
              <w:top w:val="single" w:sz="4" w:space="0" w:color="auto"/>
              <w:left w:val="nil"/>
              <w:bottom w:val="nil"/>
              <w:right w:val="nil"/>
            </w:tcBorders>
            <w:shd w:val="clear" w:color="auto" w:fill="auto"/>
            <w:noWrap/>
            <w:vAlign w:val="bottom"/>
            <w:hideMark/>
          </w:tcPr>
          <w:p w:rsidR="004448E5" w:rsidRPr="004448E5" w:rsidRDefault="004448E5" w:rsidP="004448E5">
            <w:pPr>
              <w:spacing w:before="0" w:after="0"/>
              <w:jc w:val="right"/>
              <w:rPr>
                <w:color w:val="000000"/>
                <w:sz w:val="22"/>
                <w:szCs w:val="22"/>
              </w:rPr>
            </w:pPr>
            <w:r w:rsidRPr="004448E5">
              <w:rPr>
                <w:color w:val="000000"/>
                <w:sz w:val="22"/>
                <w:szCs w:val="22"/>
              </w:rPr>
              <w:t>73,888</w:t>
            </w:r>
          </w:p>
        </w:tc>
        <w:tc>
          <w:tcPr>
            <w:tcW w:w="1342" w:type="dxa"/>
            <w:tcBorders>
              <w:top w:val="single" w:sz="4" w:space="0" w:color="auto"/>
              <w:left w:val="nil"/>
              <w:bottom w:val="nil"/>
              <w:right w:val="nil"/>
            </w:tcBorders>
            <w:shd w:val="clear" w:color="000000" w:fill="FFFFFF"/>
            <w:vAlign w:val="bottom"/>
            <w:hideMark/>
          </w:tcPr>
          <w:p w:rsidR="004448E5" w:rsidRPr="004448E5" w:rsidRDefault="004448E5" w:rsidP="004448E5">
            <w:pPr>
              <w:spacing w:before="0" w:after="0"/>
              <w:jc w:val="right"/>
              <w:rPr>
                <w:i/>
                <w:iCs/>
                <w:color w:val="000000"/>
                <w:sz w:val="22"/>
                <w:szCs w:val="22"/>
              </w:rPr>
            </w:pPr>
            <w:r w:rsidRPr="004448E5">
              <w:rPr>
                <w:i/>
                <w:iCs/>
                <w:color w:val="000000"/>
                <w:sz w:val="22"/>
                <w:szCs w:val="22"/>
              </w:rPr>
              <w:t>96.9</w:t>
            </w:r>
          </w:p>
        </w:tc>
        <w:tc>
          <w:tcPr>
            <w:tcW w:w="1012" w:type="dxa"/>
            <w:tcBorders>
              <w:top w:val="single" w:sz="4" w:space="0" w:color="auto"/>
              <w:left w:val="nil"/>
              <w:bottom w:val="nil"/>
              <w:right w:val="nil"/>
            </w:tcBorders>
            <w:shd w:val="clear" w:color="auto" w:fill="auto"/>
            <w:noWrap/>
            <w:vAlign w:val="bottom"/>
            <w:hideMark/>
          </w:tcPr>
          <w:p w:rsidR="004448E5" w:rsidRPr="004448E5" w:rsidRDefault="004448E5" w:rsidP="004448E5">
            <w:pPr>
              <w:spacing w:before="0" w:after="0"/>
              <w:jc w:val="right"/>
              <w:rPr>
                <w:color w:val="000000"/>
                <w:sz w:val="22"/>
                <w:szCs w:val="22"/>
              </w:rPr>
            </w:pPr>
            <w:r w:rsidRPr="004448E5">
              <w:rPr>
                <w:color w:val="000000"/>
                <w:sz w:val="22"/>
                <w:szCs w:val="22"/>
              </w:rPr>
              <w:t>126,050</w:t>
            </w:r>
          </w:p>
        </w:tc>
        <w:tc>
          <w:tcPr>
            <w:tcW w:w="1342" w:type="dxa"/>
            <w:tcBorders>
              <w:top w:val="single" w:sz="4" w:space="0" w:color="auto"/>
              <w:left w:val="nil"/>
              <w:bottom w:val="nil"/>
              <w:right w:val="nil"/>
            </w:tcBorders>
            <w:shd w:val="clear" w:color="000000" w:fill="FFFFFF"/>
            <w:vAlign w:val="bottom"/>
            <w:hideMark/>
          </w:tcPr>
          <w:p w:rsidR="004448E5" w:rsidRPr="004448E5" w:rsidRDefault="004448E5" w:rsidP="004448E5">
            <w:pPr>
              <w:spacing w:before="0" w:after="0"/>
              <w:jc w:val="right"/>
              <w:rPr>
                <w:i/>
                <w:iCs/>
                <w:color w:val="000000"/>
                <w:sz w:val="22"/>
                <w:szCs w:val="22"/>
              </w:rPr>
            </w:pPr>
            <w:r w:rsidRPr="004448E5">
              <w:rPr>
                <w:i/>
                <w:iCs/>
                <w:color w:val="000000"/>
                <w:sz w:val="22"/>
                <w:szCs w:val="22"/>
              </w:rPr>
              <w:t>98.4</w:t>
            </w:r>
          </w:p>
        </w:tc>
        <w:tc>
          <w:tcPr>
            <w:tcW w:w="1012" w:type="dxa"/>
            <w:tcBorders>
              <w:top w:val="single" w:sz="4" w:space="0" w:color="auto"/>
              <w:left w:val="nil"/>
              <w:bottom w:val="nil"/>
              <w:right w:val="nil"/>
            </w:tcBorders>
            <w:shd w:val="clear" w:color="auto" w:fill="auto"/>
            <w:noWrap/>
            <w:vAlign w:val="bottom"/>
            <w:hideMark/>
          </w:tcPr>
          <w:p w:rsidR="004448E5" w:rsidRPr="004448E5" w:rsidRDefault="004448E5" w:rsidP="004448E5">
            <w:pPr>
              <w:spacing w:before="0" w:after="0"/>
              <w:jc w:val="right"/>
              <w:rPr>
                <w:color w:val="000000"/>
                <w:sz w:val="22"/>
                <w:szCs w:val="22"/>
              </w:rPr>
            </w:pPr>
            <w:r w:rsidRPr="004448E5">
              <w:rPr>
                <w:color w:val="000000"/>
                <w:sz w:val="22"/>
                <w:szCs w:val="22"/>
              </w:rPr>
              <w:t>287,444</w:t>
            </w:r>
          </w:p>
        </w:tc>
        <w:tc>
          <w:tcPr>
            <w:tcW w:w="1342" w:type="dxa"/>
            <w:tcBorders>
              <w:top w:val="nil"/>
              <w:left w:val="nil"/>
              <w:bottom w:val="nil"/>
              <w:right w:val="nil"/>
            </w:tcBorders>
            <w:shd w:val="clear" w:color="000000" w:fill="FFFFFF"/>
            <w:vAlign w:val="bottom"/>
            <w:hideMark/>
          </w:tcPr>
          <w:p w:rsidR="004448E5" w:rsidRPr="004448E5" w:rsidRDefault="004448E5" w:rsidP="004448E5">
            <w:pPr>
              <w:spacing w:before="0" w:after="0"/>
              <w:jc w:val="right"/>
              <w:rPr>
                <w:i/>
                <w:iCs/>
                <w:color w:val="000000"/>
                <w:sz w:val="22"/>
                <w:szCs w:val="22"/>
              </w:rPr>
            </w:pPr>
            <w:r w:rsidRPr="004448E5">
              <w:rPr>
                <w:i/>
                <w:iCs/>
                <w:color w:val="000000"/>
                <w:sz w:val="22"/>
                <w:szCs w:val="22"/>
              </w:rPr>
              <w:t>94.7</w:t>
            </w:r>
          </w:p>
        </w:tc>
      </w:tr>
      <w:tr w:rsidR="004448E5" w:rsidRPr="00A21277" w:rsidTr="004448E5">
        <w:trPr>
          <w:trHeight w:val="273"/>
        </w:trPr>
        <w:tc>
          <w:tcPr>
            <w:tcW w:w="1134" w:type="dxa"/>
            <w:tcBorders>
              <w:top w:val="nil"/>
              <w:left w:val="nil"/>
              <w:bottom w:val="nil"/>
              <w:right w:val="nil"/>
            </w:tcBorders>
            <w:shd w:val="clear" w:color="auto" w:fill="auto"/>
            <w:noWrap/>
            <w:vAlign w:val="bottom"/>
            <w:hideMark/>
          </w:tcPr>
          <w:p w:rsidR="004448E5" w:rsidRPr="00A21277" w:rsidRDefault="004448E5" w:rsidP="00415EE4">
            <w:pPr>
              <w:spacing w:before="0" w:after="0" w:line="240" w:lineRule="auto"/>
              <w:rPr>
                <w:color w:val="000000"/>
                <w:sz w:val="22"/>
                <w:szCs w:val="22"/>
                <w:lang w:eastAsia="en-GB"/>
              </w:rPr>
            </w:pPr>
            <w:r w:rsidRPr="00A21277">
              <w:rPr>
                <w:color w:val="000000"/>
                <w:sz w:val="22"/>
                <w:szCs w:val="22"/>
                <w:lang w:eastAsia="en-GB"/>
              </w:rPr>
              <w:t>Electric</w:t>
            </w:r>
          </w:p>
        </w:tc>
        <w:tc>
          <w:tcPr>
            <w:tcW w:w="999"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color w:val="000000"/>
                <w:sz w:val="22"/>
                <w:szCs w:val="22"/>
              </w:rPr>
            </w:pPr>
            <w:r w:rsidRPr="004448E5">
              <w:rPr>
                <w:color w:val="000000"/>
                <w:sz w:val="22"/>
                <w:szCs w:val="22"/>
              </w:rPr>
              <w:t>10,012</w:t>
            </w:r>
          </w:p>
        </w:tc>
        <w:tc>
          <w:tcPr>
            <w:tcW w:w="1342" w:type="dxa"/>
            <w:tcBorders>
              <w:top w:val="nil"/>
              <w:left w:val="nil"/>
              <w:bottom w:val="nil"/>
              <w:right w:val="nil"/>
            </w:tcBorders>
            <w:shd w:val="clear" w:color="000000" w:fill="FFFFFF"/>
            <w:vAlign w:val="bottom"/>
            <w:hideMark/>
          </w:tcPr>
          <w:p w:rsidR="004448E5" w:rsidRPr="004448E5" w:rsidRDefault="004448E5" w:rsidP="004448E5">
            <w:pPr>
              <w:spacing w:before="0" w:after="0"/>
              <w:jc w:val="right"/>
              <w:rPr>
                <w:i/>
                <w:iCs/>
                <w:color w:val="000000"/>
                <w:sz w:val="22"/>
                <w:szCs w:val="22"/>
              </w:rPr>
            </w:pPr>
            <w:r w:rsidRPr="004448E5">
              <w:rPr>
                <w:i/>
                <w:iCs/>
                <w:color w:val="000000"/>
                <w:sz w:val="22"/>
                <w:szCs w:val="22"/>
              </w:rPr>
              <w:t>10.1</w:t>
            </w:r>
          </w:p>
        </w:tc>
        <w:tc>
          <w:tcPr>
            <w:tcW w:w="999"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color w:val="000000"/>
                <w:sz w:val="22"/>
                <w:szCs w:val="22"/>
              </w:rPr>
            </w:pPr>
            <w:r w:rsidRPr="004448E5">
              <w:rPr>
                <w:color w:val="000000"/>
                <w:sz w:val="22"/>
                <w:szCs w:val="22"/>
              </w:rPr>
              <w:t>1,774</w:t>
            </w:r>
          </w:p>
        </w:tc>
        <w:tc>
          <w:tcPr>
            <w:tcW w:w="1342" w:type="dxa"/>
            <w:tcBorders>
              <w:top w:val="nil"/>
              <w:left w:val="nil"/>
              <w:bottom w:val="nil"/>
              <w:right w:val="nil"/>
            </w:tcBorders>
            <w:shd w:val="clear" w:color="000000" w:fill="FFFFFF"/>
            <w:vAlign w:val="bottom"/>
            <w:hideMark/>
          </w:tcPr>
          <w:p w:rsidR="004448E5" w:rsidRPr="004448E5" w:rsidRDefault="004448E5" w:rsidP="004448E5">
            <w:pPr>
              <w:spacing w:before="0" w:after="0"/>
              <w:jc w:val="right"/>
              <w:rPr>
                <w:i/>
                <w:iCs/>
                <w:color w:val="000000"/>
                <w:sz w:val="22"/>
                <w:szCs w:val="22"/>
              </w:rPr>
            </w:pPr>
            <w:r w:rsidRPr="004448E5">
              <w:rPr>
                <w:i/>
                <w:iCs/>
                <w:color w:val="000000"/>
                <w:sz w:val="22"/>
                <w:szCs w:val="22"/>
              </w:rPr>
              <w:t>2.3</w:t>
            </w:r>
          </w:p>
        </w:tc>
        <w:tc>
          <w:tcPr>
            <w:tcW w:w="1012"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color w:val="000000"/>
                <w:sz w:val="22"/>
                <w:szCs w:val="22"/>
              </w:rPr>
            </w:pPr>
            <w:r w:rsidRPr="004448E5">
              <w:rPr>
                <w:color w:val="000000"/>
                <w:sz w:val="22"/>
                <w:szCs w:val="22"/>
              </w:rPr>
              <w:t>1,063</w:t>
            </w:r>
          </w:p>
        </w:tc>
        <w:tc>
          <w:tcPr>
            <w:tcW w:w="1342" w:type="dxa"/>
            <w:tcBorders>
              <w:top w:val="nil"/>
              <w:left w:val="nil"/>
              <w:bottom w:val="nil"/>
              <w:right w:val="nil"/>
            </w:tcBorders>
            <w:shd w:val="clear" w:color="000000" w:fill="FFFFFF"/>
            <w:vAlign w:val="bottom"/>
            <w:hideMark/>
          </w:tcPr>
          <w:p w:rsidR="004448E5" w:rsidRPr="004448E5" w:rsidRDefault="004448E5" w:rsidP="004448E5">
            <w:pPr>
              <w:spacing w:before="0" w:after="0"/>
              <w:jc w:val="right"/>
              <w:rPr>
                <w:i/>
                <w:iCs/>
                <w:color w:val="000000"/>
                <w:sz w:val="22"/>
                <w:szCs w:val="22"/>
              </w:rPr>
            </w:pPr>
            <w:r w:rsidRPr="004448E5">
              <w:rPr>
                <w:i/>
                <w:iCs/>
                <w:color w:val="000000"/>
                <w:sz w:val="22"/>
                <w:szCs w:val="22"/>
              </w:rPr>
              <w:t>0.8</w:t>
            </w:r>
          </w:p>
        </w:tc>
        <w:tc>
          <w:tcPr>
            <w:tcW w:w="1012"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color w:val="000000"/>
                <w:sz w:val="22"/>
                <w:szCs w:val="22"/>
              </w:rPr>
            </w:pPr>
            <w:r w:rsidRPr="004448E5">
              <w:rPr>
                <w:color w:val="000000"/>
                <w:sz w:val="22"/>
                <w:szCs w:val="22"/>
              </w:rPr>
              <w:t>12,849</w:t>
            </w:r>
          </w:p>
        </w:tc>
        <w:tc>
          <w:tcPr>
            <w:tcW w:w="1342" w:type="dxa"/>
            <w:tcBorders>
              <w:top w:val="nil"/>
              <w:left w:val="nil"/>
              <w:bottom w:val="nil"/>
              <w:right w:val="nil"/>
            </w:tcBorders>
            <w:shd w:val="clear" w:color="000000" w:fill="FFFFFF"/>
            <w:vAlign w:val="bottom"/>
            <w:hideMark/>
          </w:tcPr>
          <w:p w:rsidR="004448E5" w:rsidRPr="004448E5" w:rsidRDefault="004448E5" w:rsidP="004448E5">
            <w:pPr>
              <w:spacing w:before="0" w:after="0"/>
              <w:jc w:val="right"/>
              <w:rPr>
                <w:i/>
                <w:iCs/>
                <w:color w:val="000000"/>
                <w:sz w:val="22"/>
                <w:szCs w:val="22"/>
              </w:rPr>
            </w:pPr>
            <w:r w:rsidRPr="004448E5">
              <w:rPr>
                <w:i/>
                <w:iCs/>
                <w:color w:val="000000"/>
                <w:sz w:val="22"/>
                <w:szCs w:val="22"/>
              </w:rPr>
              <w:t>4.2</w:t>
            </w:r>
          </w:p>
        </w:tc>
      </w:tr>
      <w:tr w:rsidR="004448E5" w:rsidRPr="00A21277" w:rsidTr="004448E5">
        <w:trPr>
          <w:trHeight w:val="315"/>
        </w:trPr>
        <w:tc>
          <w:tcPr>
            <w:tcW w:w="1134" w:type="dxa"/>
            <w:tcBorders>
              <w:top w:val="nil"/>
              <w:left w:val="nil"/>
              <w:bottom w:val="nil"/>
              <w:right w:val="nil"/>
            </w:tcBorders>
            <w:shd w:val="clear" w:color="auto" w:fill="auto"/>
            <w:noWrap/>
            <w:vAlign w:val="bottom"/>
            <w:hideMark/>
          </w:tcPr>
          <w:p w:rsidR="004448E5" w:rsidRPr="00A21277" w:rsidRDefault="004448E5" w:rsidP="00415EE4">
            <w:pPr>
              <w:spacing w:before="0" w:after="0" w:line="240" w:lineRule="auto"/>
              <w:rPr>
                <w:color w:val="000000"/>
                <w:sz w:val="22"/>
                <w:szCs w:val="22"/>
                <w:lang w:eastAsia="en-GB"/>
              </w:rPr>
            </w:pPr>
            <w:r w:rsidRPr="00A21277">
              <w:rPr>
                <w:color w:val="000000"/>
                <w:sz w:val="22"/>
                <w:szCs w:val="22"/>
                <w:lang w:eastAsia="en-GB"/>
              </w:rPr>
              <w:t>Other</w:t>
            </w:r>
            <w:r w:rsidRPr="00A21277">
              <w:rPr>
                <w:color w:val="000000"/>
                <w:sz w:val="22"/>
                <w:szCs w:val="22"/>
                <w:vertAlign w:val="superscript"/>
                <w:lang w:eastAsia="en-GB"/>
              </w:rPr>
              <w:t xml:space="preserve"> 2</w:t>
            </w:r>
          </w:p>
        </w:tc>
        <w:tc>
          <w:tcPr>
            <w:tcW w:w="999"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color w:val="000000"/>
                <w:sz w:val="22"/>
                <w:szCs w:val="22"/>
              </w:rPr>
            </w:pPr>
            <w:r w:rsidRPr="004448E5">
              <w:rPr>
                <w:color w:val="000000"/>
                <w:sz w:val="22"/>
                <w:szCs w:val="22"/>
              </w:rPr>
              <w:t>456</w:t>
            </w:r>
          </w:p>
        </w:tc>
        <w:tc>
          <w:tcPr>
            <w:tcW w:w="1342" w:type="dxa"/>
            <w:tcBorders>
              <w:top w:val="nil"/>
              <w:left w:val="nil"/>
              <w:bottom w:val="nil"/>
              <w:right w:val="nil"/>
            </w:tcBorders>
            <w:shd w:val="clear" w:color="000000" w:fill="FFFFFF"/>
            <w:vAlign w:val="bottom"/>
            <w:hideMark/>
          </w:tcPr>
          <w:p w:rsidR="004448E5" w:rsidRPr="004448E5" w:rsidRDefault="004448E5" w:rsidP="004448E5">
            <w:pPr>
              <w:spacing w:before="0" w:after="0"/>
              <w:jc w:val="right"/>
              <w:rPr>
                <w:i/>
                <w:iCs/>
                <w:color w:val="000000"/>
                <w:sz w:val="22"/>
                <w:szCs w:val="22"/>
              </w:rPr>
            </w:pPr>
            <w:r w:rsidRPr="004448E5">
              <w:rPr>
                <w:i/>
                <w:iCs/>
                <w:color w:val="000000"/>
                <w:sz w:val="22"/>
                <w:szCs w:val="22"/>
              </w:rPr>
              <w:t>0.5</w:t>
            </w:r>
          </w:p>
        </w:tc>
        <w:tc>
          <w:tcPr>
            <w:tcW w:w="999"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color w:val="000000"/>
                <w:sz w:val="22"/>
                <w:szCs w:val="22"/>
              </w:rPr>
            </w:pPr>
            <w:r w:rsidRPr="004448E5">
              <w:rPr>
                <w:color w:val="000000"/>
                <w:sz w:val="22"/>
                <w:szCs w:val="22"/>
              </w:rPr>
              <w:t>449</w:t>
            </w:r>
          </w:p>
        </w:tc>
        <w:tc>
          <w:tcPr>
            <w:tcW w:w="1342" w:type="dxa"/>
            <w:tcBorders>
              <w:top w:val="nil"/>
              <w:left w:val="nil"/>
              <w:bottom w:val="nil"/>
              <w:right w:val="nil"/>
            </w:tcBorders>
            <w:shd w:val="clear" w:color="000000" w:fill="FFFFFF"/>
            <w:vAlign w:val="bottom"/>
            <w:hideMark/>
          </w:tcPr>
          <w:p w:rsidR="004448E5" w:rsidRPr="004448E5" w:rsidRDefault="004448E5" w:rsidP="004448E5">
            <w:pPr>
              <w:spacing w:before="0" w:after="0"/>
              <w:jc w:val="right"/>
              <w:rPr>
                <w:i/>
                <w:iCs/>
                <w:color w:val="000000"/>
                <w:sz w:val="22"/>
                <w:szCs w:val="22"/>
              </w:rPr>
            </w:pPr>
            <w:r w:rsidRPr="004448E5">
              <w:rPr>
                <w:i/>
                <w:iCs/>
                <w:color w:val="000000"/>
                <w:sz w:val="22"/>
                <w:szCs w:val="22"/>
              </w:rPr>
              <w:t>0.6</w:t>
            </w:r>
          </w:p>
        </w:tc>
        <w:tc>
          <w:tcPr>
            <w:tcW w:w="1012"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color w:val="000000"/>
                <w:sz w:val="22"/>
                <w:szCs w:val="22"/>
              </w:rPr>
            </w:pPr>
            <w:r w:rsidRPr="004448E5">
              <w:rPr>
                <w:color w:val="000000"/>
                <w:sz w:val="22"/>
                <w:szCs w:val="22"/>
              </w:rPr>
              <w:t>343</w:t>
            </w:r>
          </w:p>
        </w:tc>
        <w:tc>
          <w:tcPr>
            <w:tcW w:w="1342" w:type="dxa"/>
            <w:tcBorders>
              <w:top w:val="nil"/>
              <w:left w:val="nil"/>
              <w:bottom w:val="nil"/>
              <w:right w:val="nil"/>
            </w:tcBorders>
            <w:shd w:val="clear" w:color="000000" w:fill="FFFFFF"/>
            <w:vAlign w:val="bottom"/>
            <w:hideMark/>
          </w:tcPr>
          <w:p w:rsidR="004448E5" w:rsidRPr="004448E5" w:rsidRDefault="004448E5" w:rsidP="004448E5">
            <w:pPr>
              <w:spacing w:before="0" w:after="0"/>
              <w:jc w:val="right"/>
              <w:rPr>
                <w:i/>
                <w:iCs/>
                <w:color w:val="000000"/>
                <w:sz w:val="22"/>
                <w:szCs w:val="22"/>
              </w:rPr>
            </w:pPr>
            <w:r w:rsidRPr="004448E5">
              <w:rPr>
                <w:i/>
                <w:iCs/>
                <w:color w:val="000000"/>
                <w:sz w:val="22"/>
                <w:szCs w:val="22"/>
              </w:rPr>
              <w:t>0.3</w:t>
            </w:r>
          </w:p>
        </w:tc>
        <w:tc>
          <w:tcPr>
            <w:tcW w:w="1012"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color w:val="000000"/>
                <w:sz w:val="22"/>
                <w:szCs w:val="22"/>
              </w:rPr>
            </w:pPr>
            <w:r w:rsidRPr="004448E5">
              <w:rPr>
                <w:color w:val="000000"/>
                <w:sz w:val="22"/>
                <w:szCs w:val="22"/>
              </w:rPr>
              <w:t>1,248</w:t>
            </w:r>
          </w:p>
        </w:tc>
        <w:tc>
          <w:tcPr>
            <w:tcW w:w="1342" w:type="dxa"/>
            <w:tcBorders>
              <w:top w:val="nil"/>
              <w:left w:val="nil"/>
              <w:bottom w:val="nil"/>
              <w:right w:val="nil"/>
            </w:tcBorders>
            <w:shd w:val="clear" w:color="000000" w:fill="FFFFFF"/>
            <w:vAlign w:val="bottom"/>
            <w:hideMark/>
          </w:tcPr>
          <w:p w:rsidR="004448E5" w:rsidRPr="004448E5" w:rsidRDefault="004448E5" w:rsidP="004448E5">
            <w:pPr>
              <w:spacing w:before="0" w:after="0"/>
              <w:jc w:val="right"/>
              <w:rPr>
                <w:i/>
                <w:iCs/>
                <w:color w:val="000000"/>
                <w:sz w:val="22"/>
                <w:szCs w:val="22"/>
              </w:rPr>
            </w:pPr>
            <w:r w:rsidRPr="004448E5">
              <w:rPr>
                <w:i/>
                <w:iCs/>
                <w:color w:val="000000"/>
                <w:sz w:val="22"/>
                <w:szCs w:val="22"/>
              </w:rPr>
              <w:t>0.4</w:t>
            </w:r>
          </w:p>
        </w:tc>
      </w:tr>
      <w:tr w:rsidR="004448E5" w:rsidRPr="00A21277" w:rsidTr="004448E5">
        <w:trPr>
          <w:trHeight w:val="273"/>
        </w:trPr>
        <w:tc>
          <w:tcPr>
            <w:tcW w:w="1134" w:type="dxa"/>
            <w:tcBorders>
              <w:top w:val="nil"/>
              <w:left w:val="nil"/>
              <w:bottom w:val="nil"/>
              <w:right w:val="nil"/>
            </w:tcBorders>
            <w:shd w:val="clear" w:color="auto" w:fill="auto"/>
            <w:noWrap/>
            <w:vAlign w:val="bottom"/>
            <w:hideMark/>
          </w:tcPr>
          <w:p w:rsidR="004448E5" w:rsidRPr="00A21277" w:rsidRDefault="004448E5" w:rsidP="00415EE4">
            <w:pPr>
              <w:spacing w:before="0" w:after="0" w:line="240" w:lineRule="auto"/>
              <w:rPr>
                <w:color w:val="000000"/>
                <w:sz w:val="22"/>
                <w:szCs w:val="22"/>
                <w:lang w:eastAsia="en-GB"/>
              </w:rPr>
            </w:pPr>
            <w:r w:rsidRPr="00A21277">
              <w:rPr>
                <w:color w:val="000000"/>
                <w:sz w:val="22"/>
                <w:szCs w:val="22"/>
                <w:lang w:eastAsia="en-GB"/>
              </w:rPr>
              <w:t>Oil</w:t>
            </w:r>
          </w:p>
        </w:tc>
        <w:tc>
          <w:tcPr>
            <w:tcW w:w="999"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color w:val="000000"/>
                <w:sz w:val="22"/>
                <w:szCs w:val="22"/>
              </w:rPr>
            </w:pPr>
            <w:r w:rsidRPr="004448E5">
              <w:rPr>
                <w:color w:val="000000"/>
                <w:sz w:val="22"/>
                <w:szCs w:val="22"/>
              </w:rPr>
              <w:t>765</w:t>
            </w:r>
          </w:p>
        </w:tc>
        <w:tc>
          <w:tcPr>
            <w:tcW w:w="1342" w:type="dxa"/>
            <w:tcBorders>
              <w:top w:val="nil"/>
              <w:left w:val="nil"/>
              <w:bottom w:val="nil"/>
              <w:right w:val="nil"/>
            </w:tcBorders>
            <w:shd w:val="clear" w:color="000000" w:fill="FFFFFF"/>
            <w:vAlign w:val="bottom"/>
            <w:hideMark/>
          </w:tcPr>
          <w:p w:rsidR="004448E5" w:rsidRPr="004448E5" w:rsidRDefault="004448E5" w:rsidP="004448E5">
            <w:pPr>
              <w:spacing w:before="0" w:after="0"/>
              <w:jc w:val="right"/>
              <w:rPr>
                <w:i/>
                <w:iCs/>
                <w:color w:val="000000"/>
                <w:sz w:val="22"/>
                <w:szCs w:val="22"/>
              </w:rPr>
            </w:pPr>
            <w:r w:rsidRPr="004448E5">
              <w:rPr>
                <w:i/>
                <w:iCs/>
                <w:color w:val="000000"/>
                <w:sz w:val="22"/>
                <w:szCs w:val="22"/>
              </w:rPr>
              <w:t>0.8</w:t>
            </w:r>
          </w:p>
        </w:tc>
        <w:tc>
          <w:tcPr>
            <w:tcW w:w="999"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color w:val="000000"/>
                <w:sz w:val="22"/>
                <w:szCs w:val="22"/>
              </w:rPr>
            </w:pPr>
            <w:r w:rsidRPr="004448E5">
              <w:rPr>
                <w:color w:val="000000"/>
                <w:sz w:val="22"/>
                <w:szCs w:val="22"/>
              </w:rPr>
              <w:t>80</w:t>
            </w:r>
          </w:p>
        </w:tc>
        <w:tc>
          <w:tcPr>
            <w:tcW w:w="1342" w:type="dxa"/>
            <w:tcBorders>
              <w:top w:val="nil"/>
              <w:left w:val="nil"/>
              <w:bottom w:val="nil"/>
              <w:right w:val="nil"/>
            </w:tcBorders>
            <w:shd w:val="clear" w:color="000000" w:fill="FFFFFF"/>
            <w:vAlign w:val="bottom"/>
            <w:hideMark/>
          </w:tcPr>
          <w:p w:rsidR="004448E5" w:rsidRPr="004448E5" w:rsidRDefault="004448E5" w:rsidP="004448E5">
            <w:pPr>
              <w:spacing w:before="0" w:after="0"/>
              <w:jc w:val="right"/>
              <w:rPr>
                <w:i/>
                <w:iCs/>
                <w:color w:val="000000"/>
                <w:sz w:val="22"/>
                <w:szCs w:val="22"/>
              </w:rPr>
            </w:pPr>
            <w:r w:rsidRPr="004448E5">
              <w:rPr>
                <w:i/>
                <w:iCs/>
                <w:color w:val="000000"/>
                <w:sz w:val="22"/>
                <w:szCs w:val="22"/>
              </w:rPr>
              <w:t>0.1</w:t>
            </w:r>
          </w:p>
        </w:tc>
        <w:tc>
          <w:tcPr>
            <w:tcW w:w="1012"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color w:val="000000"/>
                <w:sz w:val="22"/>
                <w:szCs w:val="22"/>
              </w:rPr>
            </w:pPr>
            <w:r w:rsidRPr="004448E5">
              <w:rPr>
                <w:color w:val="000000"/>
                <w:sz w:val="22"/>
                <w:szCs w:val="22"/>
              </w:rPr>
              <w:t>527</w:t>
            </w:r>
          </w:p>
        </w:tc>
        <w:tc>
          <w:tcPr>
            <w:tcW w:w="1342" w:type="dxa"/>
            <w:tcBorders>
              <w:top w:val="nil"/>
              <w:left w:val="nil"/>
              <w:bottom w:val="nil"/>
              <w:right w:val="nil"/>
            </w:tcBorders>
            <w:shd w:val="clear" w:color="000000" w:fill="FFFFFF"/>
            <w:vAlign w:val="bottom"/>
            <w:hideMark/>
          </w:tcPr>
          <w:p w:rsidR="004448E5" w:rsidRPr="004448E5" w:rsidRDefault="004448E5" w:rsidP="004448E5">
            <w:pPr>
              <w:spacing w:before="0" w:after="0"/>
              <w:jc w:val="right"/>
              <w:rPr>
                <w:i/>
                <w:iCs/>
                <w:color w:val="000000"/>
                <w:sz w:val="22"/>
                <w:szCs w:val="22"/>
              </w:rPr>
            </w:pPr>
            <w:r w:rsidRPr="004448E5">
              <w:rPr>
                <w:i/>
                <w:iCs/>
                <w:color w:val="000000"/>
                <w:sz w:val="22"/>
                <w:szCs w:val="22"/>
              </w:rPr>
              <w:t>0.4</w:t>
            </w:r>
          </w:p>
        </w:tc>
        <w:tc>
          <w:tcPr>
            <w:tcW w:w="1012"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color w:val="000000"/>
                <w:sz w:val="22"/>
                <w:szCs w:val="22"/>
              </w:rPr>
            </w:pPr>
            <w:r w:rsidRPr="004448E5">
              <w:rPr>
                <w:color w:val="000000"/>
                <w:sz w:val="22"/>
                <w:szCs w:val="22"/>
              </w:rPr>
              <w:t>1,372</w:t>
            </w:r>
          </w:p>
        </w:tc>
        <w:tc>
          <w:tcPr>
            <w:tcW w:w="1342" w:type="dxa"/>
            <w:tcBorders>
              <w:top w:val="nil"/>
              <w:left w:val="nil"/>
              <w:bottom w:val="nil"/>
              <w:right w:val="nil"/>
            </w:tcBorders>
            <w:shd w:val="clear" w:color="000000" w:fill="FFFFFF"/>
            <w:vAlign w:val="bottom"/>
            <w:hideMark/>
          </w:tcPr>
          <w:p w:rsidR="004448E5" w:rsidRPr="004448E5" w:rsidRDefault="004448E5" w:rsidP="004448E5">
            <w:pPr>
              <w:spacing w:before="0" w:after="0"/>
              <w:jc w:val="right"/>
              <w:rPr>
                <w:i/>
                <w:iCs/>
                <w:color w:val="000000"/>
                <w:sz w:val="22"/>
                <w:szCs w:val="22"/>
              </w:rPr>
            </w:pPr>
            <w:r w:rsidRPr="004448E5">
              <w:rPr>
                <w:i/>
                <w:iCs/>
                <w:color w:val="000000"/>
                <w:sz w:val="22"/>
                <w:szCs w:val="22"/>
              </w:rPr>
              <w:t>0.5</w:t>
            </w:r>
          </w:p>
        </w:tc>
      </w:tr>
      <w:tr w:rsidR="004448E5" w:rsidRPr="00A21277" w:rsidTr="004448E5">
        <w:trPr>
          <w:trHeight w:val="273"/>
        </w:trPr>
        <w:tc>
          <w:tcPr>
            <w:tcW w:w="1134" w:type="dxa"/>
            <w:tcBorders>
              <w:top w:val="nil"/>
              <w:left w:val="nil"/>
              <w:bottom w:val="nil"/>
              <w:right w:val="nil"/>
            </w:tcBorders>
            <w:shd w:val="clear" w:color="auto" w:fill="auto"/>
            <w:noWrap/>
            <w:vAlign w:val="center"/>
            <w:hideMark/>
          </w:tcPr>
          <w:p w:rsidR="004448E5" w:rsidRPr="00A21277" w:rsidRDefault="004448E5" w:rsidP="00415EE4">
            <w:pPr>
              <w:spacing w:before="0" w:after="0" w:line="240" w:lineRule="auto"/>
              <w:rPr>
                <w:color w:val="000000"/>
                <w:sz w:val="22"/>
                <w:szCs w:val="22"/>
                <w:lang w:eastAsia="en-GB"/>
              </w:rPr>
            </w:pPr>
            <w:r w:rsidRPr="00A21277">
              <w:rPr>
                <w:color w:val="000000"/>
                <w:sz w:val="22"/>
                <w:szCs w:val="22"/>
                <w:lang w:eastAsia="en-GB"/>
              </w:rPr>
              <w:t>Coal</w:t>
            </w:r>
          </w:p>
        </w:tc>
        <w:tc>
          <w:tcPr>
            <w:tcW w:w="999"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color w:val="000000"/>
                <w:sz w:val="22"/>
                <w:szCs w:val="22"/>
              </w:rPr>
            </w:pPr>
            <w:r w:rsidRPr="004448E5">
              <w:rPr>
                <w:color w:val="000000"/>
                <w:sz w:val="22"/>
                <w:szCs w:val="22"/>
              </w:rPr>
              <w:t>356</w:t>
            </w:r>
          </w:p>
        </w:tc>
        <w:tc>
          <w:tcPr>
            <w:tcW w:w="1342" w:type="dxa"/>
            <w:tcBorders>
              <w:top w:val="nil"/>
              <w:left w:val="nil"/>
              <w:bottom w:val="nil"/>
              <w:right w:val="nil"/>
            </w:tcBorders>
            <w:shd w:val="clear" w:color="000000" w:fill="FFFFFF"/>
            <w:vAlign w:val="bottom"/>
            <w:hideMark/>
          </w:tcPr>
          <w:p w:rsidR="004448E5" w:rsidRPr="004448E5" w:rsidRDefault="004448E5" w:rsidP="004448E5">
            <w:pPr>
              <w:spacing w:before="0" w:after="0"/>
              <w:jc w:val="right"/>
              <w:rPr>
                <w:i/>
                <w:iCs/>
                <w:color w:val="000000"/>
                <w:sz w:val="22"/>
                <w:szCs w:val="22"/>
              </w:rPr>
            </w:pPr>
            <w:r w:rsidRPr="004448E5">
              <w:rPr>
                <w:i/>
                <w:iCs/>
                <w:color w:val="000000"/>
                <w:sz w:val="22"/>
                <w:szCs w:val="22"/>
              </w:rPr>
              <w:t>0.4</w:t>
            </w:r>
          </w:p>
        </w:tc>
        <w:tc>
          <w:tcPr>
            <w:tcW w:w="999"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color w:val="000000"/>
                <w:sz w:val="22"/>
                <w:szCs w:val="22"/>
              </w:rPr>
            </w:pPr>
            <w:r w:rsidRPr="004448E5">
              <w:rPr>
                <w:color w:val="000000"/>
                <w:sz w:val="22"/>
                <w:szCs w:val="22"/>
              </w:rPr>
              <w:t>90</w:t>
            </w:r>
          </w:p>
        </w:tc>
        <w:tc>
          <w:tcPr>
            <w:tcW w:w="1342" w:type="dxa"/>
            <w:tcBorders>
              <w:top w:val="nil"/>
              <w:left w:val="nil"/>
              <w:bottom w:val="nil"/>
              <w:right w:val="nil"/>
            </w:tcBorders>
            <w:shd w:val="clear" w:color="000000" w:fill="FFFFFF"/>
            <w:vAlign w:val="bottom"/>
            <w:hideMark/>
          </w:tcPr>
          <w:p w:rsidR="004448E5" w:rsidRPr="004448E5" w:rsidRDefault="004448E5" w:rsidP="004448E5">
            <w:pPr>
              <w:spacing w:before="0" w:after="0"/>
              <w:jc w:val="right"/>
              <w:rPr>
                <w:i/>
                <w:iCs/>
                <w:color w:val="000000"/>
                <w:sz w:val="22"/>
                <w:szCs w:val="22"/>
              </w:rPr>
            </w:pPr>
            <w:r w:rsidRPr="004448E5">
              <w:rPr>
                <w:i/>
                <w:iCs/>
                <w:color w:val="000000"/>
                <w:sz w:val="22"/>
                <w:szCs w:val="22"/>
              </w:rPr>
              <w:t>0.1</w:t>
            </w:r>
          </w:p>
        </w:tc>
        <w:tc>
          <w:tcPr>
            <w:tcW w:w="1012"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color w:val="000000"/>
                <w:sz w:val="22"/>
                <w:szCs w:val="22"/>
              </w:rPr>
            </w:pPr>
            <w:r w:rsidRPr="004448E5">
              <w:rPr>
                <w:color w:val="000000"/>
                <w:sz w:val="22"/>
                <w:szCs w:val="22"/>
              </w:rPr>
              <w:t>66</w:t>
            </w:r>
          </w:p>
        </w:tc>
        <w:tc>
          <w:tcPr>
            <w:tcW w:w="1342" w:type="dxa"/>
            <w:tcBorders>
              <w:top w:val="nil"/>
              <w:left w:val="nil"/>
              <w:bottom w:val="nil"/>
              <w:right w:val="nil"/>
            </w:tcBorders>
            <w:shd w:val="clear" w:color="000000" w:fill="FFFFFF"/>
            <w:vAlign w:val="bottom"/>
            <w:hideMark/>
          </w:tcPr>
          <w:p w:rsidR="004448E5" w:rsidRPr="004448E5" w:rsidRDefault="004448E5" w:rsidP="004448E5">
            <w:pPr>
              <w:spacing w:before="0" w:after="0"/>
              <w:jc w:val="right"/>
              <w:rPr>
                <w:i/>
                <w:iCs/>
                <w:color w:val="000000"/>
                <w:sz w:val="22"/>
                <w:szCs w:val="22"/>
              </w:rPr>
            </w:pPr>
            <w:r w:rsidRPr="004448E5">
              <w:rPr>
                <w:i/>
                <w:iCs/>
                <w:color w:val="000000"/>
                <w:sz w:val="22"/>
                <w:szCs w:val="22"/>
              </w:rPr>
              <w:t>0.1</w:t>
            </w:r>
          </w:p>
        </w:tc>
        <w:tc>
          <w:tcPr>
            <w:tcW w:w="1012" w:type="dxa"/>
            <w:tcBorders>
              <w:top w:val="nil"/>
              <w:left w:val="nil"/>
              <w:bottom w:val="nil"/>
              <w:right w:val="nil"/>
            </w:tcBorders>
            <w:shd w:val="clear" w:color="auto" w:fill="auto"/>
            <w:noWrap/>
            <w:vAlign w:val="bottom"/>
            <w:hideMark/>
          </w:tcPr>
          <w:p w:rsidR="004448E5" w:rsidRPr="004448E5" w:rsidRDefault="004448E5" w:rsidP="004448E5">
            <w:pPr>
              <w:spacing w:before="0" w:after="0"/>
              <w:jc w:val="right"/>
              <w:rPr>
                <w:color w:val="000000"/>
                <w:sz w:val="22"/>
                <w:szCs w:val="22"/>
              </w:rPr>
            </w:pPr>
            <w:r w:rsidRPr="004448E5">
              <w:rPr>
                <w:color w:val="000000"/>
                <w:sz w:val="22"/>
                <w:szCs w:val="22"/>
              </w:rPr>
              <w:t>512</w:t>
            </w:r>
          </w:p>
        </w:tc>
        <w:tc>
          <w:tcPr>
            <w:tcW w:w="1342" w:type="dxa"/>
            <w:tcBorders>
              <w:top w:val="nil"/>
              <w:left w:val="nil"/>
              <w:bottom w:val="nil"/>
              <w:right w:val="nil"/>
            </w:tcBorders>
            <w:shd w:val="clear" w:color="000000" w:fill="FFFFFF"/>
            <w:vAlign w:val="bottom"/>
            <w:hideMark/>
          </w:tcPr>
          <w:p w:rsidR="004448E5" w:rsidRPr="004448E5" w:rsidRDefault="004448E5" w:rsidP="004448E5">
            <w:pPr>
              <w:spacing w:before="0" w:after="0"/>
              <w:jc w:val="right"/>
              <w:rPr>
                <w:i/>
                <w:iCs/>
                <w:color w:val="000000"/>
                <w:sz w:val="22"/>
                <w:szCs w:val="22"/>
              </w:rPr>
            </w:pPr>
            <w:r w:rsidRPr="004448E5">
              <w:rPr>
                <w:i/>
                <w:iCs/>
                <w:color w:val="000000"/>
                <w:sz w:val="22"/>
                <w:szCs w:val="22"/>
              </w:rPr>
              <w:t>0.2</w:t>
            </w:r>
          </w:p>
        </w:tc>
      </w:tr>
      <w:tr w:rsidR="00101615" w:rsidRPr="00A21277" w:rsidTr="004448E5">
        <w:trPr>
          <w:trHeight w:val="273"/>
        </w:trPr>
        <w:tc>
          <w:tcPr>
            <w:tcW w:w="1134" w:type="dxa"/>
            <w:tcBorders>
              <w:top w:val="nil"/>
              <w:left w:val="nil"/>
              <w:bottom w:val="nil"/>
              <w:right w:val="nil"/>
            </w:tcBorders>
            <w:shd w:val="clear" w:color="auto" w:fill="auto"/>
            <w:noWrap/>
            <w:vAlign w:val="center"/>
            <w:hideMark/>
          </w:tcPr>
          <w:p w:rsidR="00101615" w:rsidRPr="00A21277" w:rsidRDefault="00101615" w:rsidP="00415EE4">
            <w:pPr>
              <w:spacing w:before="0" w:after="0" w:line="240" w:lineRule="auto"/>
              <w:rPr>
                <w:color w:val="000000"/>
                <w:sz w:val="22"/>
                <w:szCs w:val="22"/>
                <w:lang w:eastAsia="en-GB"/>
              </w:rPr>
            </w:pPr>
          </w:p>
        </w:tc>
        <w:tc>
          <w:tcPr>
            <w:tcW w:w="999" w:type="dxa"/>
            <w:tcBorders>
              <w:top w:val="nil"/>
              <w:left w:val="nil"/>
              <w:bottom w:val="nil"/>
              <w:right w:val="nil"/>
            </w:tcBorders>
            <w:shd w:val="clear" w:color="auto" w:fill="auto"/>
            <w:noWrap/>
            <w:vAlign w:val="bottom"/>
            <w:hideMark/>
          </w:tcPr>
          <w:p w:rsidR="00101615" w:rsidRPr="00101615" w:rsidRDefault="00101615" w:rsidP="00101615">
            <w:pPr>
              <w:spacing w:before="0" w:after="0"/>
              <w:rPr>
                <w:color w:val="000000"/>
                <w:sz w:val="22"/>
                <w:szCs w:val="22"/>
              </w:rPr>
            </w:pPr>
          </w:p>
        </w:tc>
        <w:tc>
          <w:tcPr>
            <w:tcW w:w="1342" w:type="dxa"/>
            <w:tcBorders>
              <w:top w:val="nil"/>
              <w:left w:val="nil"/>
              <w:bottom w:val="nil"/>
              <w:right w:val="nil"/>
            </w:tcBorders>
            <w:shd w:val="clear" w:color="000000" w:fill="FFFFFF"/>
            <w:vAlign w:val="bottom"/>
            <w:hideMark/>
          </w:tcPr>
          <w:p w:rsidR="00101615" w:rsidRPr="00101615" w:rsidRDefault="00101615" w:rsidP="00101615">
            <w:pPr>
              <w:spacing w:before="0" w:after="0"/>
              <w:jc w:val="right"/>
              <w:rPr>
                <w:i/>
                <w:iCs/>
                <w:color w:val="000000"/>
                <w:sz w:val="22"/>
                <w:szCs w:val="22"/>
              </w:rPr>
            </w:pPr>
            <w:r w:rsidRPr="00101615">
              <w:rPr>
                <w:i/>
                <w:iCs/>
                <w:color w:val="000000"/>
                <w:sz w:val="22"/>
                <w:szCs w:val="22"/>
              </w:rPr>
              <w:t> </w:t>
            </w:r>
          </w:p>
        </w:tc>
        <w:tc>
          <w:tcPr>
            <w:tcW w:w="999" w:type="dxa"/>
            <w:tcBorders>
              <w:top w:val="nil"/>
              <w:left w:val="nil"/>
              <w:bottom w:val="nil"/>
              <w:right w:val="nil"/>
            </w:tcBorders>
            <w:shd w:val="clear" w:color="auto" w:fill="auto"/>
            <w:noWrap/>
            <w:vAlign w:val="bottom"/>
            <w:hideMark/>
          </w:tcPr>
          <w:p w:rsidR="00101615" w:rsidRPr="00101615" w:rsidRDefault="00101615" w:rsidP="00101615">
            <w:pPr>
              <w:spacing w:before="0" w:after="0"/>
              <w:rPr>
                <w:color w:val="000000"/>
                <w:sz w:val="22"/>
                <w:szCs w:val="22"/>
              </w:rPr>
            </w:pPr>
          </w:p>
        </w:tc>
        <w:tc>
          <w:tcPr>
            <w:tcW w:w="1342" w:type="dxa"/>
            <w:tcBorders>
              <w:top w:val="nil"/>
              <w:left w:val="nil"/>
              <w:bottom w:val="nil"/>
              <w:right w:val="nil"/>
            </w:tcBorders>
            <w:shd w:val="clear" w:color="000000" w:fill="FFFFFF"/>
            <w:vAlign w:val="bottom"/>
            <w:hideMark/>
          </w:tcPr>
          <w:p w:rsidR="00101615" w:rsidRPr="00101615" w:rsidRDefault="00101615" w:rsidP="00101615">
            <w:pPr>
              <w:spacing w:before="0" w:after="0"/>
              <w:jc w:val="right"/>
              <w:rPr>
                <w:i/>
                <w:iCs/>
                <w:color w:val="000000"/>
                <w:sz w:val="22"/>
                <w:szCs w:val="22"/>
              </w:rPr>
            </w:pPr>
            <w:r w:rsidRPr="00101615">
              <w:rPr>
                <w:i/>
                <w:iCs/>
                <w:color w:val="000000"/>
                <w:sz w:val="22"/>
                <w:szCs w:val="22"/>
              </w:rPr>
              <w:t> </w:t>
            </w:r>
          </w:p>
        </w:tc>
        <w:tc>
          <w:tcPr>
            <w:tcW w:w="1012" w:type="dxa"/>
            <w:tcBorders>
              <w:top w:val="nil"/>
              <w:left w:val="nil"/>
              <w:bottom w:val="nil"/>
              <w:right w:val="nil"/>
            </w:tcBorders>
            <w:shd w:val="clear" w:color="auto" w:fill="auto"/>
            <w:noWrap/>
            <w:vAlign w:val="bottom"/>
            <w:hideMark/>
          </w:tcPr>
          <w:p w:rsidR="00101615" w:rsidRPr="00101615" w:rsidRDefault="00101615" w:rsidP="00101615">
            <w:pPr>
              <w:spacing w:before="0" w:after="0"/>
              <w:rPr>
                <w:color w:val="000000"/>
                <w:sz w:val="22"/>
                <w:szCs w:val="22"/>
              </w:rPr>
            </w:pPr>
          </w:p>
        </w:tc>
        <w:tc>
          <w:tcPr>
            <w:tcW w:w="1342" w:type="dxa"/>
            <w:tcBorders>
              <w:top w:val="nil"/>
              <w:left w:val="nil"/>
              <w:bottom w:val="nil"/>
              <w:right w:val="nil"/>
            </w:tcBorders>
            <w:shd w:val="clear" w:color="000000" w:fill="FFFFFF"/>
            <w:vAlign w:val="bottom"/>
            <w:hideMark/>
          </w:tcPr>
          <w:p w:rsidR="00101615" w:rsidRPr="00101615" w:rsidRDefault="00101615" w:rsidP="00101615">
            <w:pPr>
              <w:spacing w:before="0" w:after="0"/>
              <w:jc w:val="right"/>
              <w:rPr>
                <w:i/>
                <w:iCs/>
                <w:color w:val="000000"/>
                <w:sz w:val="22"/>
                <w:szCs w:val="22"/>
              </w:rPr>
            </w:pPr>
            <w:r w:rsidRPr="00101615">
              <w:rPr>
                <w:i/>
                <w:iCs/>
                <w:color w:val="000000"/>
                <w:sz w:val="22"/>
                <w:szCs w:val="22"/>
              </w:rPr>
              <w:t> </w:t>
            </w:r>
          </w:p>
        </w:tc>
        <w:tc>
          <w:tcPr>
            <w:tcW w:w="1012" w:type="dxa"/>
            <w:tcBorders>
              <w:top w:val="nil"/>
              <w:left w:val="nil"/>
              <w:bottom w:val="nil"/>
              <w:right w:val="nil"/>
            </w:tcBorders>
            <w:shd w:val="clear" w:color="auto" w:fill="auto"/>
            <w:noWrap/>
            <w:vAlign w:val="bottom"/>
            <w:hideMark/>
          </w:tcPr>
          <w:p w:rsidR="00101615" w:rsidRPr="00101615" w:rsidRDefault="00101615" w:rsidP="00101615">
            <w:pPr>
              <w:spacing w:before="0" w:after="0"/>
              <w:rPr>
                <w:color w:val="000000"/>
                <w:sz w:val="22"/>
                <w:szCs w:val="22"/>
              </w:rPr>
            </w:pPr>
          </w:p>
        </w:tc>
        <w:tc>
          <w:tcPr>
            <w:tcW w:w="1342" w:type="dxa"/>
            <w:tcBorders>
              <w:top w:val="nil"/>
              <w:left w:val="nil"/>
              <w:bottom w:val="nil"/>
              <w:right w:val="nil"/>
            </w:tcBorders>
            <w:shd w:val="clear" w:color="000000" w:fill="FFFFFF"/>
            <w:vAlign w:val="bottom"/>
            <w:hideMark/>
          </w:tcPr>
          <w:p w:rsidR="00101615" w:rsidRPr="00101615" w:rsidRDefault="00101615" w:rsidP="00101615">
            <w:pPr>
              <w:spacing w:before="0" w:after="0"/>
              <w:jc w:val="right"/>
              <w:rPr>
                <w:i/>
                <w:iCs/>
                <w:color w:val="000000"/>
                <w:sz w:val="22"/>
                <w:szCs w:val="22"/>
              </w:rPr>
            </w:pPr>
            <w:r w:rsidRPr="00101615">
              <w:rPr>
                <w:i/>
                <w:iCs/>
                <w:color w:val="000000"/>
                <w:sz w:val="22"/>
                <w:szCs w:val="22"/>
              </w:rPr>
              <w:t> </w:t>
            </w:r>
          </w:p>
        </w:tc>
      </w:tr>
      <w:tr w:rsidR="00101615" w:rsidRPr="00A21277" w:rsidTr="004448E5">
        <w:trPr>
          <w:trHeight w:val="273"/>
        </w:trPr>
        <w:tc>
          <w:tcPr>
            <w:tcW w:w="1134" w:type="dxa"/>
            <w:tcBorders>
              <w:top w:val="nil"/>
              <w:left w:val="nil"/>
              <w:bottom w:val="nil"/>
              <w:right w:val="nil"/>
            </w:tcBorders>
            <w:shd w:val="clear" w:color="auto" w:fill="auto"/>
            <w:noWrap/>
            <w:vAlign w:val="center"/>
            <w:hideMark/>
          </w:tcPr>
          <w:p w:rsidR="00101615" w:rsidRPr="00A21277" w:rsidRDefault="00101615" w:rsidP="00415EE4">
            <w:pPr>
              <w:spacing w:before="0" w:after="0" w:line="240" w:lineRule="auto"/>
              <w:rPr>
                <w:color w:val="000000"/>
                <w:sz w:val="22"/>
                <w:szCs w:val="22"/>
                <w:lang w:eastAsia="en-GB"/>
              </w:rPr>
            </w:pPr>
            <w:r w:rsidRPr="00A21277">
              <w:rPr>
                <w:color w:val="000000"/>
                <w:sz w:val="22"/>
                <w:szCs w:val="22"/>
                <w:lang w:eastAsia="en-GB"/>
              </w:rPr>
              <w:t>Unknown</w:t>
            </w:r>
          </w:p>
        </w:tc>
        <w:tc>
          <w:tcPr>
            <w:tcW w:w="999" w:type="dxa"/>
            <w:tcBorders>
              <w:top w:val="nil"/>
              <w:left w:val="nil"/>
              <w:bottom w:val="nil"/>
              <w:right w:val="nil"/>
            </w:tcBorders>
            <w:shd w:val="clear" w:color="000000" w:fill="FFFFFF"/>
            <w:vAlign w:val="bottom"/>
            <w:hideMark/>
          </w:tcPr>
          <w:p w:rsidR="00101615" w:rsidRPr="00101615" w:rsidRDefault="00101615" w:rsidP="00101615">
            <w:pPr>
              <w:spacing w:before="0" w:after="0"/>
              <w:jc w:val="right"/>
              <w:rPr>
                <w:color w:val="000000"/>
                <w:sz w:val="22"/>
                <w:szCs w:val="22"/>
              </w:rPr>
            </w:pPr>
            <w:r w:rsidRPr="00101615">
              <w:rPr>
                <w:color w:val="000000"/>
                <w:sz w:val="22"/>
                <w:szCs w:val="22"/>
              </w:rPr>
              <w:t>84</w:t>
            </w:r>
          </w:p>
        </w:tc>
        <w:tc>
          <w:tcPr>
            <w:tcW w:w="1342" w:type="dxa"/>
            <w:tcBorders>
              <w:top w:val="nil"/>
              <w:left w:val="nil"/>
              <w:bottom w:val="nil"/>
              <w:right w:val="nil"/>
            </w:tcBorders>
            <w:shd w:val="clear" w:color="000000" w:fill="FFFFFF"/>
            <w:vAlign w:val="bottom"/>
            <w:hideMark/>
          </w:tcPr>
          <w:p w:rsidR="00101615" w:rsidRPr="00101615" w:rsidRDefault="00101615" w:rsidP="00101615">
            <w:pPr>
              <w:spacing w:before="0" w:after="0"/>
              <w:jc w:val="right"/>
              <w:rPr>
                <w:color w:val="000000"/>
                <w:sz w:val="22"/>
                <w:szCs w:val="22"/>
              </w:rPr>
            </w:pPr>
            <w:r w:rsidRPr="00101615">
              <w:rPr>
                <w:color w:val="000000"/>
                <w:sz w:val="22"/>
                <w:szCs w:val="22"/>
              </w:rPr>
              <w:t>-</w:t>
            </w:r>
          </w:p>
        </w:tc>
        <w:tc>
          <w:tcPr>
            <w:tcW w:w="999" w:type="dxa"/>
            <w:tcBorders>
              <w:top w:val="nil"/>
              <w:left w:val="nil"/>
              <w:bottom w:val="nil"/>
              <w:right w:val="nil"/>
            </w:tcBorders>
            <w:shd w:val="clear" w:color="000000" w:fill="FFFFFF"/>
            <w:vAlign w:val="bottom"/>
            <w:hideMark/>
          </w:tcPr>
          <w:p w:rsidR="00101615" w:rsidRPr="00101615" w:rsidRDefault="00101615" w:rsidP="00101615">
            <w:pPr>
              <w:spacing w:before="0" w:after="0"/>
              <w:jc w:val="right"/>
              <w:rPr>
                <w:color w:val="000000"/>
                <w:sz w:val="22"/>
                <w:szCs w:val="22"/>
              </w:rPr>
            </w:pPr>
            <w:r w:rsidRPr="00101615">
              <w:rPr>
                <w:color w:val="000000"/>
                <w:sz w:val="22"/>
                <w:szCs w:val="22"/>
              </w:rPr>
              <w:t>5</w:t>
            </w:r>
          </w:p>
        </w:tc>
        <w:tc>
          <w:tcPr>
            <w:tcW w:w="1342" w:type="dxa"/>
            <w:tcBorders>
              <w:top w:val="nil"/>
              <w:left w:val="nil"/>
              <w:bottom w:val="nil"/>
              <w:right w:val="nil"/>
            </w:tcBorders>
            <w:shd w:val="clear" w:color="000000" w:fill="FFFFFF"/>
            <w:vAlign w:val="bottom"/>
            <w:hideMark/>
          </w:tcPr>
          <w:p w:rsidR="00101615" w:rsidRPr="00101615" w:rsidRDefault="00101615" w:rsidP="00101615">
            <w:pPr>
              <w:spacing w:before="0" w:after="0"/>
              <w:jc w:val="right"/>
              <w:rPr>
                <w:color w:val="000000"/>
                <w:sz w:val="22"/>
                <w:szCs w:val="22"/>
              </w:rPr>
            </w:pPr>
            <w:r w:rsidRPr="00101615">
              <w:rPr>
                <w:color w:val="000000"/>
                <w:sz w:val="22"/>
                <w:szCs w:val="22"/>
              </w:rPr>
              <w:t>-</w:t>
            </w:r>
          </w:p>
        </w:tc>
        <w:tc>
          <w:tcPr>
            <w:tcW w:w="1012" w:type="dxa"/>
            <w:tcBorders>
              <w:top w:val="nil"/>
              <w:left w:val="nil"/>
              <w:bottom w:val="nil"/>
              <w:right w:val="nil"/>
            </w:tcBorders>
            <w:shd w:val="clear" w:color="000000" w:fill="FFFFFF"/>
            <w:vAlign w:val="bottom"/>
            <w:hideMark/>
          </w:tcPr>
          <w:p w:rsidR="00101615" w:rsidRPr="00101615" w:rsidRDefault="00101615" w:rsidP="00101615">
            <w:pPr>
              <w:spacing w:before="0" w:after="0"/>
              <w:jc w:val="right"/>
              <w:rPr>
                <w:color w:val="000000"/>
                <w:sz w:val="22"/>
                <w:szCs w:val="22"/>
              </w:rPr>
            </w:pPr>
            <w:r w:rsidRPr="00101615">
              <w:rPr>
                <w:color w:val="000000"/>
                <w:sz w:val="22"/>
                <w:szCs w:val="22"/>
              </w:rPr>
              <w:t>281</w:t>
            </w:r>
          </w:p>
        </w:tc>
        <w:tc>
          <w:tcPr>
            <w:tcW w:w="1342" w:type="dxa"/>
            <w:tcBorders>
              <w:top w:val="nil"/>
              <w:left w:val="nil"/>
              <w:bottom w:val="nil"/>
              <w:right w:val="nil"/>
            </w:tcBorders>
            <w:shd w:val="clear" w:color="000000" w:fill="FFFFFF"/>
            <w:vAlign w:val="bottom"/>
            <w:hideMark/>
          </w:tcPr>
          <w:p w:rsidR="00101615" w:rsidRPr="00101615" w:rsidRDefault="00101615" w:rsidP="00101615">
            <w:pPr>
              <w:spacing w:before="0" w:after="0"/>
              <w:jc w:val="right"/>
              <w:rPr>
                <w:i/>
                <w:iCs/>
                <w:color w:val="000000"/>
                <w:sz w:val="22"/>
                <w:szCs w:val="22"/>
              </w:rPr>
            </w:pPr>
            <w:r w:rsidRPr="00101615">
              <w:rPr>
                <w:i/>
                <w:iCs/>
                <w:color w:val="000000"/>
                <w:sz w:val="22"/>
                <w:szCs w:val="22"/>
              </w:rPr>
              <w:t>-</w:t>
            </w:r>
          </w:p>
        </w:tc>
        <w:tc>
          <w:tcPr>
            <w:tcW w:w="1012" w:type="dxa"/>
            <w:tcBorders>
              <w:top w:val="nil"/>
              <w:left w:val="nil"/>
              <w:bottom w:val="nil"/>
              <w:right w:val="nil"/>
            </w:tcBorders>
            <w:shd w:val="clear" w:color="auto" w:fill="auto"/>
            <w:noWrap/>
            <w:vAlign w:val="bottom"/>
            <w:hideMark/>
          </w:tcPr>
          <w:p w:rsidR="00101615" w:rsidRPr="00101615" w:rsidRDefault="00101615" w:rsidP="00101615">
            <w:pPr>
              <w:spacing w:before="0" w:after="0"/>
              <w:jc w:val="right"/>
              <w:rPr>
                <w:color w:val="000000"/>
                <w:sz w:val="22"/>
                <w:szCs w:val="22"/>
              </w:rPr>
            </w:pPr>
            <w:r w:rsidRPr="00101615">
              <w:rPr>
                <w:color w:val="000000"/>
                <w:sz w:val="22"/>
                <w:szCs w:val="22"/>
              </w:rPr>
              <w:t>370</w:t>
            </w:r>
          </w:p>
        </w:tc>
        <w:tc>
          <w:tcPr>
            <w:tcW w:w="1342" w:type="dxa"/>
            <w:tcBorders>
              <w:top w:val="nil"/>
              <w:left w:val="nil"/>
              <w:bottom w:val="nil"/>
              <w:right w:val="nil"/>
            </w:tcBorders>
            <w:shd w:val="clear" w:color="000000" w:fill="FFFFFF"/>
            <w:vAlign w:val="bottom"/>
            <w:hideMark/>
          </w:tcPr>
          <w:p w:rsidR="00101615" w:rsidRPr="00101615" w:rsidRDefault="00101615" w:rsidP="00101615">
            <w:pPr>
              <w:spacing w:before="0" w:after="0"/>
              <w:jc w:val="right"/>
              <w:rPr>
                <w:i/>
                <w:iCs/>
                <w:color w:val="000000"/>
                <w:sz w:val="22"/>
                <w:szCs w:val="22"/>
              </w:rPr>
            </w:pPr>
            <w:r w:rsidRPr="00101615">
              <w:rPr>
                <w:i/>
                <w:iCs/>
                <w:color w:val="000000"/>
                <w:sz w:val="22"/>
                <w:szCs w:val="22"/>
              </w:rPr>
              <w:t>-</w:t>
            </w:r>
          </w:p>
        </w:tc>
      </w:tr>
      <w:tr w:rsidR="00101615" w:rsidRPr="00A21277" w:rsidTr="004448E5">
        <w:trPr>
          <w:trHeight w:val="273"/>
        </w:trPr>
        <w:tc>
          <w:tcPr>
            <w:tcW w:w="1134" w:type="dxa"/>
            <w:tcBorders>
              <w:top w:val="nil"/>
              <w:left w:val="nil"/>
              <w:bottom w:val="nil"/>
              <w:right w:val="nil"/>
            </w:tcBorders>
            <w:shd w:val="clear" w:color="auto" w:fill="auto"/>
            <w:noWrap/>
            <w:vAlign w:val="bottom"/>
            <w:hideMark/>
          </w:tcPr>
          <w:p w:rsidR="00101615" w:rsidRPr="00A21277" w:rsidRDefault="00101615" w:rsidP="00415EE4">
            <w:pPr>
              <w:spacing w:before="0" w:after="0" w:line="240" w:lineRule="auto"/>
              <w:rPr>
                <w:color w:val="000000"/>
                <w:sz w:val="22"/>
                <w:szCs w:val="22"/>
                <w:lang w:eastAsia="en-GB"/>
              </w:rPr>
            </w:pPr>
          </w:p>
        </w:tc>
        <w:tc>
          <w:tcPr>
            <w:tcW w:w="999" w:type="dxa"/>
            <w:tcBorders>
              <w:top w:val="nil"/>
              <w:left w:val="nil"/>
              <w:bottom w:val="nil"/>
              <w:right w:val="nil"/>
            </w:tcBorders>
            <w:shd w:val="clear" w:color="auto" w:fill="auto"/>
            <w:noWrap/>
            <w:vAlign w:val="bottom"/>
            <w:hideMark/>
          </w:tcPr>
          <w:p w:rsidR="00101615" w:rsidRPr="00101615" w:rsidRDefault="00101615" w:rsidP="00101615">
            <w:pPr>
              <w:spacing w:before="0" w:after="0"/>
              <w:rPr>
                <w:color w:val="000000"/>
                <w:sz w:val="22"/>
                <w:szCs w:val="22"/>
              </w:rPr>
            </w:pPr>
          </w:p>
        </w:tc>
        <w:tc>
          <w:tcPr>
            <w:tcW w:w="1342" w:type="dxa"/>
            <w:tcBorders>
              <w:top w:val="nil"/>
              <w:left w:val="nil"/>
              <w:bottom w:val="nil"/>
              <w:right w:val="nil"/>
            </w:tcBorders>
            <w:shd w:val="clear" w:color="000000" w:fill="FFFFFF"/>
            <w:vAlign w:val="bottom"/>
            <w:hideMark/>
          </w:tcPr>
          <w:p w:rsidR="00101615" w:rsidRPr="00101615" w:rsidRDefault="00101615" w:rsidP="00101615">
            <w:pPr>
              <w:spacing w:before="0" w:after="0"/>
              <w:jc w:val="right"/>
              <w:rPr>
                <w:i/>
                <w:iCs/>
                <w:color w:val="000000"/>
                <w:sz w:val="22"/>
                <w:szCs w:val="22"/>
              </w:rPr>
            </w:pPr>
            <w:r w:rsidRPr="00101615">
              <w:rPr>
                <w:i/>
                <w:iCs/>
                <w:color w:val="000000"/>
                <w:sz w:val="22"/>
                <w:szCs w:val="22"/>
              </w:rPr>
              <w:t> </w:t>
            </w:r>
          </w:p>
        </w:tc>
        <w:tc>
          <w:tcPr>
            <w:tcW w:w="999" w:type="dxa"/>
            <w:tcBorders>
              <w:top w:val="nil"/>
              <w:left w:val="nil"/>
              <w:bottom w:val="nil"/>
              <w:right w:val="nil"/>
            </w:tcBorders>
            <w:shd w:val="clear" w:color="auto" w:fill="auto"/>
            <w:noWrap/>
            <w:vAlign w:val="bottom"/>
            <w:hideMark/>
          </w:tcPr>
          <w:p w:rsidR="00101615" w:rsidRPr="00101615" w:rsidRDefault="00101615" w:rsidP="00101615">
            <w:pPr>
              <w:spacing w:before="0" w:after="0"/>
              <w:rPr>
                <w:color w:val="000000"/>
                <w:sz w:val="22"/>
                <w:szCs w:val="22"/>
              </w:rPr>
            </w:pPr>
          </w:p>
        </w:tc>
        <w:tc>
          <w:tcPr>
            <w:tcW w:w="1342" w:type="dxa"/>
            <w:tcBorders>
              <w:top w:val="nil"/>
              <w:left w:val="nil"/>
              <w:bottom w:val="nil"/>
              <w:right w:val="nil"/>
            </w:tcBorders>
            <w:shd w:val="clear" w:color="000000" w:fill="FFFFFF"/>
            <w:vAlign w:val="bottom"/>
            <w:hideMark/>
          </w:tcPr>
          <w:p w:rsidR="00101615" w:rsidRPr="00101615" w:rsidRDefault="00101615" w:rsidP="00101615">
            <w:pPr>
              <w:spacing w:before="0" w:after="0"/>
              <w:jc w:val="right"/>
              <w:rPr>
                <w:i/>
                <w:iCs/>
                <w:color w:val="000000"/>
                <w:sz w:val="22"/>
                <w:szCs w:val="22"/>
              </w:rPr>
            </w:pPr>
            <w:r w:rsidRPr="00101615">
              <w:rPr>
                <w:i/>
                <w:iCs/>
                <w:color w:val="000000"/>
                <w:sz w:val="22"/>
                <w:szCs w:val="22"/>
              </w:rPr>
              <w:t> </w:t>
            </w:r>
          </w:p>
        </w:tc>
        <w:tc>
          <w:tcPr>
            <w:tcW w:w="1012" w:type="dxa"/>
            <w:tcBorders>
              <w:top w:val="nil"/>
              <w:left w:val="nil"/>
              <w:bottom w:val="nil"/>
              <w:right w:val="nil"/>
            </w:tcBorders>
            <w:shd w:val="clear" w:color="auto" w:fill="auto"/>
            <w:noWrap/>
            <w:vAlign w:val="bottom"/>
            <w:hideMark/>
          </w:tcPr>
          <w:p w:rsidR="00101615" w:rsidRPr="00101615" w:rsidRDefault="00101615" w:rsidP="00101615">
            <w:pPr>
              <w:spacing w:before="0" w:after="0"/>
              <w:rPr>
                <w:color w:val="000000"/>
                <w:sz w:val="22"/>
                <w:szCs w:val="22"/>
              </w:rPr>
            </w:pPr>
          </w:p>
        </w:tc>
        <w:tc>
          <w:tcPr>
            <w:tcW w:w="1342" w:type="dxa"/>
            <w:tcBorders>
              <w:top w:val="nil"/>
              <w:left w:val="nil"/>
              <w:bottom w:val="nil"/>
              <w:right w:val="nil"/>
            </w:tcBorders>
            <w:shd w:val="clear" w:color="000000" w:fill="FFFFFF"/>
            <w:vAlign w:val="bottom"/>
            <w:hideMark/>
          </w:tcPr>
          <w:p w:rsidR="00101615" w:rsidRPr="00101615" w:rsidRDefault="00101615" w:rsidP="00101615">
            <w:pPr>
              <w:spacing w:before="0" w:after="0"/>
              <w:jc w:val="right"/>
              <w:rPr>
                <w:i/>
                <w:iCs/>
                <w:color w:val="000000"/>
                <w:sz w:val="22"/>
                <w:szCs w:val="22"/>
              </w:rPr>
            </w:pPr>
            <w:r w:rsidRPr="00101615">
              <w:rPr>
                <w:i/>
                <w:iCs/>
                <w:color w:val="000000"/>
                <w:sz w:val="22"/>
                <w:szCs w:val="22"/>
              </w:rPr>
              <w:t> </w:t>
            </w:r>
          </w:p>
        </w:tc>
        <w:tc>
          <w:tcPr>
            <w:tcW w:w="1012" w:type="dxa"/>
            <w:tcBorders>
              <w:top w:val="nil"/>
              <w:left w:val="nil"/>
              <w:bottom w:val="nil"/>
              <w:right w:val="nil"/>
            </w:tcBorders>
            <w:shd w:val="clear" w:color="auto" w:fill="auto"/>
            <w:noWrap/>
            <w:vAlign w:val="bottom"/>
            <w:hideMark/>
          </w:tcPr>
          <w:p w:rsidR="00101615" w:rsidRPr="00101615" w:rsidRDefault="00101615" w:rsidP="00101615">
            <w:pPr>
              <w:spacing w:before="0" w:after="0"/>
              <w:rPr>
                <w:color w:val="000000"/>
                <w:sz w:val="22"/>
                <w:szCs w:val="22"/>
              </w:rPr>
            </w:pPr>
          </w:p>
        </w:tc>
        <w:tc>
          <w:tcPr>
            <w:tcW w:w="1342" w:type="dxa"/>
            <w:tcBorders>
              <w:top w:val="nil"/>
              <w:left w:val="nil"/>
              <w:bottom w:val="nil"/>
              <w:right w:val="nil"/>
            </w:tcBorders>
            <w:shd w:val="clear" w:color="000000" w:fill="FFFFFF"/>
            <w:vAlign w:val="bottom"/>
            <w:hideMark/>
          </w:tcPr>
          <w:p w:rsidR="00101615" w:rsidRPr="00101615" w:rsidRDefault="00101615" w:rsidP="00101615">
            <w:pPr>
              <w:spacing w:before="0" w:after="0"/>
              <w:jc w:val="right"/>
              <w:rPr>
                <w:i/>
                <w:iCs/>
                <w:color w:val="000000"/>
                <w:sz w:val="22"/>
                <w:szCs w:val="22"/>
              </w:rPr>
            </w:pPr>
            <w:r w:rsidRPr="00101615">
              <w:rPr>
                <w:i/>
                <w:iCs/>
                <w:color w:val="000000"/>
                <w:sz w:val="22"/>
                <w:szCs w:val="22"/>
              </w:rPr>
              <w:t> </w:t>
            </w:r>
          </w:p>
        </w:tc>
      </w:tr>
      <w:tr w:rsidR="00101615" w:rsidRPr="00A21277" w:rsidTr="004448E5">
        <w:trPr>
          <w:trHeight w:val="285"/>
        </w:trPr>
        <w:tc>
          <w:tcPr>
            <w:tcW w:w="1134" w:type="dxa"/>
            <w:tcBorders>
              <w:top w:val="nil"/>
              <w:left w:val="nil"/>
              <w:bottom w:val="single" w:sz="4" w:space="0" w:color="auto"/>
              <w:right w:val="nil"/>
            </w:tcBorders>
            <w:shd w:val="clear" w:color="000000" w:fill="FFFFFF"/>
            <w:noWrap/>
            <w:vAlign w:val="bottom"/>
            <w:hideMark/>
          </w:tcPr>
          <w:p w:rsidR="00101615" w:rsidRPr="00A21277" w:rsidRDefault="00101615" w:rsidP="00415EE4">
            <w:pPr>
              <w:spacing w:before="0" w:after="0" w:line="240" w:lineRule="auto"/>
              <w:rPr>
                <w:b/>
                <w:bCs/>
                <w:color w:val="000000"/>
                <w:sz w:val="22"/>
                <w:szCs w:val="22"/>
                <w:lang w:eastAsia="en-GB"/>
              </w:rPr>
            </w:pPr>
            <w:r w:rsidRPr="00A21277">
              <w:rPr>
                <w:b/>
                <w:bCs/>
                <w:color w:val="000000"/>
                <w:sz w:val="22"/>
                <w:szCs w:val="22"/>
                <w:lang w:eastAsia="en-GB"/>
              </w:rPr>
              <w:t>Total</w:t>
            </w:r>
          </w:p>
        </w:tc>
        <w:tc>
          <w:tcPr>
            <w:tcW w:w="999" w:type="dxa"/>
            <w:tcBorders>
              <w:top w:val="nil"/>
              <w:left w:val="nil"/>
              <w:bottom w:val="single" w:sz="4" w:space="0" w:color="auto"/>
              <w:right w:val="nil"/>
            </w:tcBorders>
            <w:shd w:val="clear" w:color="auto" w:fill="auto"/>
            <w:noWrap/>
            <w:vAlign w:val="bottom"/>
            <w:hideMark/>
          </w:tcPr>
          <w:p w:rsidR="00101615" w:rsidRPr="00101615" w:rsidRDefault="00101615" w:rsidP="00101615">
            <w:pPr>
              <w:spacing w:before="0" w:after="0"/>
              <w:jc w:val="right"/>
              <w:rPr>
                <w:b/>
                <w:bCs/>
                <w:color w:val="000000"/>
                <w:sz w:val="22"/>
                <w:szCs w:val="22"/>
              </w:rPr>
            </w:pPr>
            <w:r w:rsidRPr="00101615">
              <w:rPr>
                <w:b/>
                <w:bCs/>
                <w:color w:val="000000"/>
                <w:sz w:val="22"/>
                <w:szCs w:val="22"/>
              </w:rPr>
              <w:t>99,179</w:t>
            </w:r>
          </w:p>
        </w:tc>
        <w:tc>
          <w:tcPr>
            <w:tcW w:w="1342" w:type="dxa"/>
            <w:tcBorders>
              <w:top w:val="nil"/>
              <w:left w:val="nil"/>
              <w:bottom w:val="single" w:sz="4" w:space="0" w:color="auto"/>
              <w:right w:val="nil"/>
            </w:tcBorders>
            <w:shd w:val="clear" w:color="auto" w:fill="auto"/>
            <w:noWrap/>
            <w:vAlign w:val="bottom"/>
            <w:hideMark/>
          </w:tcPr>
          <w:p w:rsidR="00101615" w:rsidRPr="00101615" w:rsidRDefault="00101615" w:rsidP="00101615">
            <w:pPr>
              <w:spacing w:before="0" w:after="0"/>
              <w:jc w:val="right"/>
              <w:rPr>
                <w:b/>
                <w:bCs/>
                <w:i/>
                <w:iCs/>
                <w:color w:val="000000"/>
                <w:sz w:val="22"/>
                <w:szCs w:val="22"/>
              </w:rPr>
            </w:pPr>
            <w:r w:rsidRPr="00101615">
              <w:rPr>
                <w:b/>
                <w:bCs/>
                <w:i/>
                <w:iCs/>
                <w:color w:val="000000"/>
                <w:sz w:val="22"/>
                <w:szCs w:val="22"/>
              </w:rPr>
              <w:t>100</w:t>
            </w:r>
          </w:p>
        </w:tc>
        <w:tc>
          <w:tcPr>
            <w:tcW w:w="999" w:type="dxa"/>
            <w:tcBorders>
              <w:top w:val="nil"/>
              <w:left w:val="nil"/>
              <w:bottom w:val="single" w:sz="4" w:space="0" w:color="auto"/>
              <w:right w:val="nil"/>
            </w:tcBorders>
            <w:shd w:val="clear" w:color="auto" w:fill="auto"/>
            <w:noWrap/>
            <w:vAlign w:val="bottom"/>
            <w:hideMark/>
          </w:tcPr>
          <w:p w:rsidR="00101615" w:rsidRPr="00101615" w:rsidRDefault="00101615" w:rsidP="00101615">
            <w:pPr>
              <w:spacing w:before="0" w:after="0"/>
              <w:jc w:val="right"/>
              <w:rPr>
                <w:b/>
                <w:bCs/>
                <w:color w:val="000000"/>
                <w:sz w:val="22"/>
                <w:szCs w:val="22"/>
              </w:rPr>
            </w:pPr>
            <w:r w:rsidRPr="00101615">
              <w:rPr>
                <w:b/>
                <w:bCs/>
                <w:color w:val="000000"/>
                <w:sz w:val="22"/>
                <w:szCs w:val="22"/>
              </w:rPr>
              <w:t>76,286</w:t>
            </w:r>
          </w:p>
        </w:tc>
        <w:tc>
          <w:tcPr>
            <w:tcW w:w="1342" w:type="dxa"/>
            <w:tcBorders>
              <w:top w:val="nil"/>
              <w:left w:val="nil"/>
              <w:bottom w:val="single" w:sz="4" w:space="0" w:color="auto"/>
              <w:right w:val="nil"/>
            </w:tcBorders>
            <w:shd w:val="clear" w:color="auto" w:fill="auto"/>
            <w:noWrap/>
            <w:vAlign w:val="bottom"/>
            <w:hideMark/>
          </w:tcPr>
          <w:p w:rsidR="00101615" w:rsidRPr="00101615" w:rsidRDefault="00101615" w:rsidP="00101615">
            <w:pPr>
              <w:spacing w:before="0" w:after="0"/>
              <w:jc w:val="right"/>
              <w:rPr>
                <w:b/>
                <w:bCs/>
                <w:i/>
                <w:iCs/>
                <w:color w:val="000000"/>
                <w:sz w:val="22"/>
                <w:szCs w:val="22"/>
              </w:rPr>
            </w:pPr>
            <w:r w:rsidRPr="00101615">
              <w:rPr>
                <w:b/>
                <w:bCs/>
                <w:i/>
                <w:iCs/>
                <w:color w:val="000000"/>
                <w:sz w:val="22"/>
                <w:szCs w:val="22"/>
              </w:rPr>
              <w:t>100</w:t>
            </w:r>
          </w:p>
        </w:tc>
        <w:tc>
          <w:tcPr>
            <w:tcW w:w="1012" w:type="dxa"/>
            <w:tcBorders>
              <w:top w:val="nil"/>
              <w:left w:val="nil"/>
              <w:bottom w:val="single" w:sz="4" w:space="0" w:color="auto"/>
              <w:right w:val="nil"/>
            </w:tcBorders>
            <w:shd w:val="clear" w:color="auto" w:fill="auto"/>
            <w:noWrap/>
            <w:vAlign w:val="bottom"/>
            <w:hideMark/>
          </w:tcPr>
          <w:p w:rsidR="00101615" w:rsidRPr="00101615" w:rsidRDefault="00101615" w:rsidP="00101615">
            <w:pPr>
              <w:spacing w:before="0" w:after="0"/>
              <w:jc w:val="right"/>
              <w:rPr>
                <w:b/>
                <w:bCs/>
                <w:color w:val="000000"/>
                <w:sz w:val="22"/>
                <w:szCs w:val="22"/>
              </w:rPr>
            </w:pPr>
            <w:r w:rsidRPr="00101615">
              <w:rPr>
                <w:b/>
                <w:bCs/>
                <w:color w:val="000000"/>
                <w:sz w:val="22"/>
                <w:szCs w:val="22"/>
              </w:rPr>
              <w:t>128,330</w:t>
            </w:r>
          </w:p>
        </w:tc>
        <w:tc>
          <w:tcPr>
            <w:tcW w:w="1342" w:type="dxa"/>
            <w:tcBorders>
              <w:top w:val="nil"/>
              <w:left w:val="nil"/>
              <w:bottom w:val="single" w:sz="4" w:space="0" w:color="auto"/>
              <w:right w:val="nil"/>
            </w:tcBorders>
            <w:shd w:val="clear" w:color="auto" w:fill="auto"/>
            <w:noWrap/>
            <w:vAlign w:val="bottom"/>
            <w:hideMark/>
          </w:tcPr>
          <w:p w:rsidR="00101615" w:rsidRPr="00101615" w:rsidRDefault="00101615" w:rsidP="00101615">
            <w:pPr>
              <w:spacing w:before="0" w:after="0"/>
              <w:jc w:val="right"/>
              <w:rPr>
                <w:b/>
                <w:bCs/>
                <w:i/>
                <w:iCs/>
                <w:color w:val="000000"/>
                <w:sz w:val="22"/>
                <w:szCs w:val="22"/>
              </w:rPr>
            </w:pPr>
            <w:r w:rsidRPr="00101615">
              <w:rPr>
                <w:b/>
                <w:bCs/>
                <w:i/>
                <w:iCs/>
                <w:color w:val="000000"/>
                <w:sz w:val="22"/>
                <w:szCs w:val="22"/>
              </w:rPr>
              <w:t>100</w:t>
            </w:r>
          </w:p>
        </w:tc>
        <w:tc>
          <w:tcPr>
            <w:tcW w:w="1012" w:type="dxa"/>
            <w:tcBorders>
              <w:top w:val="nil"/>
              <w:left w:val="nil"/>
              <w:bottom w:val="single" w:sz="4" w:space="0" w:color="auto"/>
              <w:right w:val="nil"/>
            </w:tcBorders>
            <w:shd w:val="clear" w:color="auto" w:fill="auto"/>
            <w:noWrap/>
            <w:vAlign w:val="bottom"/>
            <w:hideMark/>
          </w:tcPr>
          <w:p w:rsidR="00101615" w:rsidRPr="00101615" w:rsidRDefault="00101615" w:rsidP="00101615">
            <w:pPr>
              <w:spacing w:before="0" w:after="0"/>
              <w:jc w:val="right"/>
              <w:rPr>
                <w:b/>
                <w:bCs/>
                <w:color w:val="000000"/>
                <w:sz w:val="22"/>
                <w:szCs w:val="22"/>
              </w:rPr>
            </w:pPr>
            <w:r w:rsidRPr="00101615">
              <w:rPr>
                <w:b/>
                <w:bCs/>
                <w:color w:val="000000"/>
                <w:sz w:val="22"/>
                <w:szCs w:val="22"/>
              </w:rPr>
              <w:t>303,795</w:t>
            </w:r>
          </w:p>
        </w:tc>
        <w:tc>
          <w:tcPr>
            <w:tcW w:w="1342" w:type="dxa"/>
            <w:tcBorders>
              <w:top w:val="nil"/>
              <w:left w:val="nil"/>
              <w:bottom w:val="single" w:sz="4" w:space="0" w:color="auto"/>
              <w:right w:val="nil"/>
            </w:tcBorders>
            <w:shd w:val="clear" w:color="auto" w:fill="auto"/>
            <w:noWrap/>
            <w:vAlign w:val="bottom"/>
            <w:hideMark/>
          </w:tcPr>
          <w:p w:rsidR="00101615" w:rsidRPr="00101615" w:rsidRDefault="00101615" w:rsidP="00101615">
            <w:pPr>
              <w:spacing w:before="0" w:after="0"/>
              <w:jc w:val="right"/>
              <w:rPr>
                <w:b/>
                <w:bCs/>
                <w:i/>
                <w:iCs/>
                <w:color w:val="000000"/>
                <w:sz w:val="22"/>
                <w:szCs w:val="22"/>
              </w:rPr>
            </w:pPr>
            <w:r w:rsidRPr="00101615">
              <w:rPr>
                <w:b/>
                <w:bCs/>
                <w:i/>
                <w:iCs/>
                <w:color w:val="000000"/>
                <w:sz w:val="22"/>
                <w:szCs w:val="22"/>
              </w:rPr>
              <w:t>100</w:t>
            </w:r>
          </w:p>
        </w:tc>
      </w:tr>
    </w:tbl>
    <w:p w:rsidR="00415EE4" w:rsidRPr="00466C75" w:rsidRDefault="00415EE4" w:rsidP="00415EE4">
      <w:pPr>
        <w:spacing w:before="0" w:after="0" w:line="270" w:lineRule="atLeast"/>
        <w:jc w:val="both"/>
        <w:rPr>
          <w:szCs w:val="24"/>
        </w:rPr>
      </w:pPr>
    </w:p>
    <w:p w:rsidR="00415EE4" w:rsidRPr="00466C75" w:rsidRDefault="00415EE4" w:rsidP="00415EE4">
      <w:pPr>
        <w:spacing w:before="0" w:after="0" w:line="270" w:lineRule="atLeast"/>
        <w:jc w:val="both"/>
        <w:rPr>
          <w:bCs/>
          <w:szCs w:val="24"/>
        </w:rPr>
      </w:pPr>
      <w:r w:rsidRPr="00466C75">
        <w:rPr>
          <w:bCs/>
          <w:szCs w:val="24"/>
          <w:vertAlign w:val="superscript"/>
        </w:rPr>
        <w:t>1</w:t>
      </w:r>
      <w:r w:rsidRPr="00466C75">
        <w:rPr>
          <w:bCs/>
          <w:szCs w:val="24"/>
        </w:rPr>
        <w:t xml:space="preserve"> Percentage of ECO measures delivered is calculated only for those ECO measures where the</w:t>
      </w:r>
      <w:r w:rsidR="00A21277" w:rsidRPr="00466C75">
        <w:rPr>
          <w:bCs/>
          <w:szCs w:val="24"/>
        </w:rPr>
        <w:t xml:space="preserve"> fuel type</w:t>
      </w:r>
      <w:r w:rsidRPr="00466C75">
        <w:rPr>
          <w:bCs/>
          <w:szCs w:val="24"/>
        </w:rPr>
        <w:t xml:space="preserve"> is known.</w:t>
      </w:r>
    </w:p>
    <w:p w:rsidR="00415EE4" w:rsidRPr="00466C75" w:rsidRDefault="00415EE4" w:rsidP="00415EE4">
      <w:pPr>
        <w:spacing w:before="0" w:after="0" w:line="270" w:lineRule="atLeast"/>
        <w:jc w:val="both"/>
        <w:rPr>
          <w:bCs/>
          <w:szCs w:val="24"/>
        </w:rPr>
      </w:pPr>
      <w:r w:rsidRPr="00466C75">
        <w:rPr>
          <w:bCs/>
          <w:szCs w:val="24"/>
          <w:vertAlign w:val="superscript"/>
        </w:rPr>
        <w:t>2</w:t>
      </w:r>
      <w:r w:rsidRPr="00466C75">
        <w:rPr>
          <w:bCs/>
          <w:szCs w:val="24"/>
        </w:rPr>
        <w:t xml:space="preserve"> "Other" fuel type includes District Heating Systems, Liquefied Petroleum Gas and renewables.</w:t>
      </w:r>
    </w:p>
    <w:p w:rsidR="00415EE4" w:rsidRDefault="00415EE4" w:rsidP="00415EE4">
      <w:pPr>
        <w:spacing w:before="0" w:after="0" w:line="270" w:lineRule="atLeast"/>
      </w:pPr>
    </w:p>
    <w:p w:rsidR="00466C75" w:rsidRDefault="00466C75" w:rsidP="00415EE4">
      <w:pPr>
        <w:spacing w:before="0" w:after="0" w:line="270" w:lineRule="atLeast"/>
      </w:pPr>
    </w:p>
    <w:p w:rsidR="00466C75" w:rsidRDefault="00466C75" w:rsidP="00415EE4">
      <w:pPr>
        <w:spacing w:before="0" w:after="0" w:line="270" w:lineRule="atLeast"/>
      </w:pPr>
    </w:p>
    <w:p w:rsidR="00466C75" w:rsidRDefault="00466C75" w:rsidP="00415EE4">
      <w:pPr>
        <w:spacing w:before="0" w:after="0" w:line="270" w:lineRule="atLeast"/>
      </w:pPr>
    </w:p>
    <w:p w:rsidR="00466C75" w:rsidRDefault="00466C75" w:rsidP="00415EE4">
      <w:pPr>
        <w:spacing w:before="0" w:after="0" w:line="270" w:lineRule="atLeast"/>
      </w:pPr>
    </w:p>
    <w:p w:rsidR="00101615" w:rsidRDefault="00101615" w:rsidP="00101615">
      <w:pPr>
        <w:spacing w:before="0" w:after="0" w:line="270" w:lineRule="atLeast"/>
        <w:rPr>
          <w:b/>
          <w:bCs/>
        </w:rPr>
      </w:pPr>
    </w:p>
    <w:p w:rsidR="00101615" w:rsidRPr="00A21277" w:rsidRDefault="00817954" w:rsidP="00101615">
      <w:pPr>
        <w:spacing w:before="0" w:after="0" w:line="270" w:lineRule="atLeast"/>
        <w:rPr>
          <w:b/>
          <w:bCs/>
        </w:rPr>
      </w:pPr>
      <w:r>
        <w:rPr>
          <w:b/>
          <w:bCs/>
        </w:rPr>
        <w:t>Table 1.11</w:t>
      </w:r>
      <w:r w:rsidR="00101615" w:rsidRPr="00101615">
        <w:rPr>
          <w:b/>
          <w:bCs/>
        </w:rPr>
        <w:t>a: Provisional number of households in receipt of ECO measures by property type and ECO obligation, up to 30th September 2013</w:t>
      </w:r>
      <w:r w:rsidR="00101615" w:rsidRPr="00466C75">
        <w:rPr>
          <w:b/>
          <w:bCs/>
          <w:vertAlign w:val="superscript"/>
        </w:rPr>
        <w:t>1</w:t>
      </w:r>
    </w:p>
    <w:tbl>
      <w:tblPr>
        <w:tblW w:w="10683" w:type="dxa"/>
        <w:tblInd w:w="-34" w:type="dxa"/>
        <w:tblLook w:val="04A0" w:firstRow="1" w:lastRow="0" w:firstColumn="1" w:lastColumn="0" w:noHBand="0" w:noVBand="1"/>
      </w:tblPr>
      <w:tblGrid>
        <w:gridCol w:w="1293"/>
        <w:gridCol w:w="999"/>
        <w:gridCol w:w="1342"/>
        <w:gridCol w:w="999"/>
        <w:gridCol w:w="1342"/>
        <w:gridCol w:w="1012"/>
        <w:gridCol w:w="1342"/>
        <w:gridCol w:w="1012"/>
        <w:gridCol w:w="1342"/>
      </w:tblGrid>
      <w:tr w:rsidR="00101615" w:rsidRPr="00A21277" w:rsidTr="004448E5">
        <w:trPr>
          <w:trHeight w:val="273"/>
        </w:trPr>
        <w:tc>
          <w:tcPr>
            <w:tcW w:w="1293" w:type="dxa"/>
            <w:tcBorders>
              <w:top w:val="nil"/>
              <w:left w:val="nil"/>
              <w:bottom w:val="nil"/>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p>
        </w:tc>
        <w:tc>
          <w:tcPr>
            <w:tcW w:w="999" w:type="dxa"/>
            <w:tcBorders>
              <w:top w:val="nil"/>
              <w:left w:val="nil"/>
              <w:bottom w:val="single" w:sz="4" w:space="0" w:color="auto"/>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single" w:sz="4" w:space="0" w:color="auto"/>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r w:rsidRPr="00A21277">
              <w:rPr>
                <w:color w:val="000000"/>
                <w:sz w:val="22"/>
                <w:szCs w:val="22"/>
                <w:lang w:eastAsia="en-GB"/>
              </w:rPr>
              <w:t> </w:t>
            </w:r>
          </w:p>
        </w:tc>
        <w:tc>
          <w:tcPr>
            <w:tcW w:w="999" w:type="dxa"/>
            <w:tcBorders>
              <w:top w:val="nil"/>
              <w:left w:val="nil"/>
              <w:bottom w:val="single" w:sz="4" w:space="0" w:color="auto"/>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nil"/>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p>
        </w:tc>
        <w:tc>
          <w:tcPr>
            <w:tcW w:w="1012" w:type="dxa"/>
            <w:tcBorders>
              <w:top w:val="nil"/>
              <w:left w:val="nil"/>
              <w:bottom w:val="nil"/>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p>
        </w:tc>
        <w:tc>
          <w:tcPr>
            <w:tcW w:w="1342" w:type="dxa"/>
            <w:tcBorders>
              <w:top w:val="nil"/>
              <w:left w:val="nil"/>
              <w:bottom w:val="single" w:sz="4" w:space="0" w:color="auto"/>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r w:rsidRPr="00A21277">
              <w:rPr>
                <w:color w:val="000000"/>
                <w:sz w:val="22"/>
                <w:szCs w:val="22"/>
                <w:lang w:eastAsia="en-GB"/>
              </w:rPr>
              <w:t> </w:t>
            </w:r>
          </w:p>
        </w:tc>
        <w:tc>
          <w:tcPr>
            <w:tcW w:w="1012" w:type="dxa"/>
            <w:tcBorders>
              <w:top w:val="nil"/>
              <w:left w:val="nil"/>
              <w:bottom w:val="single" w:sz="4" w:space="0" w:color="auto"/>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single" w:sz="4" w:space="0" w:color="auto"/>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r w:rsidRPr="00A21277">
              <w:rPr>
                <w:color w:val="000000"/>
                <w:sz w:val="22"/>
                <w:szCs w:val="22"/>
                <w:lang w:eastAsia="en-GB"/>
              </w:rPr>
              <w:t> </w:t>
            </w:r>
          </w:p>
        </w:tc>
      </w:tr>
      <w:tr w:rsidR="00101615" w:rsidRPr="00A21277" w:rsidTr="004448E5">
        <w:trPr>
          <w:trHeight w:val="273"/>
        </w:trPr>
        <w:tc>
          <w:tcPr>
            <w:tcW w:w="1293" w:type="dxa"/>
            <w:tcBorders>
              <w:top w:val="single" w:sz="4" w:space="0" w:color="auto"/>
              <w:left w:val="nil"/>
              <w:bottom w:val="nil"/>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r w:rsidRPr="00A21277">
              <w:rPr>
                <w:color w:val="000000"/>
                <w:sz w:val="22"/>
                <w:szCs w:val="22"/>
                <w:lang w:eastAsia="en-GB"/>
              </w:rPr>
              <w:t> </w:t>
            </w:r>
          </w:p>
        </w:tc>
        <w:tc>
          <w:tcPr>
            <w:tcW w:w="999" w:type="dxa"/>
            <w:tcBorders>
              <w:top w:val="nil"/>
              <w:left w:val="nil"/>
              <w:bottom w:val="single" w:sz="4" w:space="0" w:color="auto"/>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single" w:sz="4" w:space="0" w:color="auto"/>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r w:rsidRPr="00A21277">
              <w:rPr>
                <w:color w:val="000000"/>
                <w:sz w:val="22"/>
                <w:szCs w:val="22"/>
                <w:lang w:eastAsia="en-GB"/>
              </w:rPr>
              <w:t> </w:t>
            </w:r>
          </w:p>
        </w:tc>
        <w:tc>
          <w:tcPr>
            <w:tcW w:w="3353" w:type="dxa"/>
            <w:gridSpan w:val="3"/>
            <w:tcBorders>
              <w:top w:val="single" w:sz="4" w:space="0" w:color="auto"/>
              <w:left w:val="nil"/>
              <w:bottom w:val="single" w:sz="4" w:space="0" w:color="auto"/>
              <w:right w:val="nil"/>
            </w:tcBorders>
            <w:shd w:val="clear" w:color="000000" w:fill="FFFFFF"/>
            <w:noWrap/>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Obligation</w:t>
            </w:r>
          </w:p>
        </w:tc>
        <w:tc>
          <w:tcPr>
            <w:tcW w:w="1342" w:type="dxa"/>
            <w:tcBorders>
              <w:top w:val="nil"/>
              <w:left w:val="nil"/>
              <w:bottom w:val="nil"/>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p>
        </w:tc>
        <w:tc>
          <w:tcPr>
            <w:tcW w:w="2354" w:type="dxa"/>
            <w:gridSpan w:val="2"/>
            <w:vMerge w:val="restart"/>
            <w:tcBorders>
              <w:top w:val="nil"/>
              <w:left w:val="nil"/>
              <w:bottom w:val="single" w:sz="4" w:space="0" w:color="000000"/>
              <w:right w:val="nil"/>
            </w:tcBorders>
            <w:shd w:val="clear" w:color="000000" w:fill="FFFFFF"/>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Total number of ECO measures delivered</w:t>
            </w:r>
          </w:p>
        </w:tc>
      </w:tr>
      <w:tr w:rsidR="00101615" w:rsidRPr="00A21277" w:rsidTr="004448E5">
        <w:trPr>
          <w:trHeight w:val="515"/>
        </w:trPr>
        <w:tc>
          <w:tcPr>
            <w:tcW w:w="1293" w:type="dxa"/>
            <w:vMerge w:val="restart"/>
            <w:tcBorders>
              <w:top w:val="nil"/>
              <w:left w:val="nil"/>
              <w:bottom w:val="single" w:sz="4" w:space="0" w:color="000000"/>
              <w:right w:val="nil"/>
            </w:tcBorders>
            <w:shd w:val="clear" w:color="auto" w:fill="auto"/>
            <w:noWrap/>
            <w:vAlign w:val="center"/>
            <w:hideMark/>
          </w:tcPr>
          <w:p w:rsidR="00101615" w:rsidRPr="00A21277" w:rsidRDefault="00247DB2" w:rsidP="00466C75">
            <w:pPr>
              <w:spacing w:before="0" w:after="0" w:line="240" w:lineRule="auto"/>
              <w:rPr>
                <w:color w:val="000000"/>
                <w:sz w:val="22"/>
                <w:szCs w:val="22"/>
                <w:lang w:eastAsia="en-GB"/>
              </w:rPr>
            </w:pPr>
            <w:r>
              <w:rPr>
                <w:color w:val="000000"/>
                <w:sz w:val="22"/>
                <w:szCs w:val="22"/>
                <w:lang w:eastAsia="en-GB"/>
              </w:rPr>
              <w:t xml:space="preserve">Property </w:t>
            </w:r>
            <w:r w:rsidR="00101615" w:rsidRPr="00A21277">
              <w:rPr>
                <w:color w:val="000000"/>
                <w:sz w:val="22"/>
                <w:szCs w:val="22"/>
                <w:lang w:eastAsia="en-GB"/>
              </w:rPr>
              <w:t>Type</w:t>
            </w:r>
          </w:p>
        </w:tc>
        <w:tc>
          <w:tcPr>
            <w:tcW w:w="2341" w:type="dxa"/>
            <w:gridSpan w:val="2"/>
            <w:tcBorders>
              <w:top w:val="nil"/>
              <w:left w:val="nil"/>
              <w:bottom w:val="single" w:sz="4" w:space="0" w:color="auto"/>
              <w:right w:val="nil"/>
            </w:tcBorders>
            <w:shd w:val="clear" w:color="000000" w:fill="FFFFFF"/>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Carbon Saving Target (CSO)</w:t>
            </w:r>
          </w:p>
        </w:tc>
        <w:tc>
          <w:tcPr>
            <w:tcW w:w="2341" w:type="dxa"/>
            <w:gridSpan w:val="2"/>
            <w:tcBorders>
              <w:top w:val="nil"/>
              <w:left w:val="nil"/>
              <w:bottom w:val="single" w:sz="4" w:space="0" w:color="auto"/>
              <w:right w:val="nil"/>
            </w:tcBorders>
            <w:shd w:val="clear" w:color="000000" w:fill="FFFFFF"/>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Carbon Savings Community (CSCO)</w:t>
            </w:r>
          </w:p>
        </w:tc>
        <w:tc>
          <w:tcPr>
            <w:tcW w:w="2354" w:type="dxa"/>
            <w:gridSpan w:val="2"/>
            <w:tcBorders>
              <w:top w:val="single" w:sz="4" w:space="0" w:color="auto"/>
              <w:left w:val="nil"/>
              <w:bottom w:val="single" w:sz="4" w:space="0" w:color="auto"/>
              <w:right w:val="nil"/>
            </w:tcBorders>
            <w:shd w:val="clear" w:color="000000" w:fill="FFFFFF"/>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Affordable Warmth (HHCRO)</w:t>
            </w:r>
          </w:p>
        </w:tc>
        <w:tc>
          <w:tcPr>
            <w:tcW w:w="2354" w:type="dxa"/>
            <w:gridSpan w:val="2"/>
            <w:vMerge/>
            <w:tcBorders>
              <w:top w:val="nil"/>
              <w:left w:val="nil"/>
              <w:bottom w:val="single" w:sz="4" w:space="0" w:color="000000"/>
              <w:right w:val="nil"/>
            </w:tcBorders>
            <w:vAlign w:val="center"/>
            <w:hideMark/>
          </w:tcPr>
          <w:p w:rsidR="00101615" w:rsidRPr="00A21277" w:rsidRDefault="00101615" w:rsidP="00466C75">
            <w:pPr>
              <w:spacing w:before="0" w:after="0" w:line="240" w:lineRule="auto"/>
              <w:rPr>
                <w:color w:val="000000"/>
                <w:sz w:val="22"/>
                <w:szCs w:val="22"/>
                <w:lang w:eastAsia="en-GB"/>
              </w:rPr>
            </w:pPr>
          </w:p>
        </w:tc>
      </w:tr>
      <w:tr w:rsidR="00101615" w:rsidRPr="00A21277" w:rsidTr="004448E5">
        <w:trPr>
          <w:trHeight w:val="256"/>
        </w:trPr>
        <w:tc>
          <w:tcPr>
            <w:tcW w:w="1293" w:type="dxa"/>
            <w:vMerge/>
            <w:tcBorders>
              <w:top w:val="nil"/>
              <w:left w:val="nil"/>
              <w:bottom w:val="single" w:sz="4" w:space="0" w:color="000000"/>
              <w:right w:val="nil"/>
            </w:tcBorders>
            <w:vAlign w:val="center"/>
            <w:hideMark/>
          </w:tcPr>
          <w:p w:rsidR="00101615" w:rsidRPr="00A21277" w:rsidRDefault="00101615" w:rsidP="00466C75">
            <w:pPr>
              <w:spacing w:before="0" w:after="0" w:line="240" w:lineRule="auto"/>
              <w:rPr>
                <w:color w:val="000000"/>
                <w:sz w:val="22"/>
                <w:szCs w:val="22"/>
                <w:lang w:eastAsia="en-GB"/>
              </w:rPr>
            </w:pPr>
          </w:p>
        </w:tc>
        <w:tc>
          <w:tcPr>
            <w:tcW w:w="999" w:type="dxa"/>
            <w:tcBorders>
              <w:top w:val="nil"/>
              <w:left w:val="nil"/>
              <w:bottom w:val="nil"/>
              <w:right w:val="nil"/>
            </w:tcBorders>
            <w:shd w:val="clear" w:color="auto" w:fill="auto"/>
            <w:noWrap/>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nil"/>
              <w:right w:val="nil"/>
            </w:tcBorders>
            <w:shd w:val="clear" w:color="000000" w:fill="FFFFFF"/>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Percentage</w:t>
            </w:r>
          </w:p>
        </w:tc>
        <w:tc>
          <w:tcPr>
            <w:tcW w:w="999" w:type="dxa"/>
            <w:tcBorders>
              <w:top w:val="nil"/>
              <w:left w:val="nil"/>
              <w:bottom w:val="nil"/>
              <w:right w:val="nil"/>
            </w:tcBorders>
            <w:shd w:val="clear" w:color="auto" w:fill="auto"/>
            <w:noWrap/>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nil"/>
              <w:right w:val="nil"/>
            </w:tcBorders>
            <w:shd w:val="clear" w:color="000000" w:fill="FFFFFF"/>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Percentage</w:t>
            </w:r>
          </w:p>
        </w:tc>
        <w:tc>
          <w:tcPr>
            <w:tcW w:w="1012" w:type="dxa"/>
            <w:tcBorders>
              <w:top w:val="nil"/>
              <w:left w:val="nil"/>
              <w:bottom w:val="nil"/>
              <w:right w:val="nil"/>
            </w:tcBorders>
            <w:shd w:val="clear" w:color="auto" w:fill="auto"/>
            <w:noWrap/>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nil"/>
              <w:right w:val="nil"/>
            </w:tcBorders>
            <w:shd w:val="clear" w:color="000000" w:fill="FFFFFF"/>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Percentage</w:t>
            </w:r>
          </w:p>
        </w:tc>
        <w:tc>
          <w:tcPr>
            <w:tcW w:w="1012" w:type="dxa"/>
            <w:tcBorders>
              <w:top w:val="nil"/>
              <w:left w:val="nil"/>
              <w:bottom w:val="nil"/>
              <w:right w:val="nil"/>
            </w:tcBorders>
            <w:shd w:val="clear" w:color="auto" w:fill="auto"/>
            <w:noWrap/>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single" w:sz="4" w:space="0" w:color="auto"/>
              <w:right w:val="nil"/>
            </w:tcBorders>
            <w:shd w:val="clear" w:color="000000" w:fill="FFFFFF"/>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Percentage</w:t>
            </w:r>
          </w:p>
        </w:tc>
      </w:tr>
      <w:tr w:rsidR="004448E5" w:rsidRPr="00A21277" w:rsidTr="004448E5">
        <w:trPr>
          <w:trHeight w:val="273"/>
        </w:trPr>
        <w:tc>
          <w:tcPr>
            <w:tcW w:w="1293" w:type="dxa"/>
            <w:tcBorders>
              <w:top w:val="nil"/>
              <w:left w:val="nil"/>
              <w:bottom w:val="nil"/>
              <w:right w:val="nil"/>
            </w:tcBorders>
            <w:shd w:val="clear" w:color="auto" w:fill="auto"/>
            <w:noWrap/>
            <w:vAlign w:val="bottom"/>
          </w:tcPr>
          <w:p w:rsidR="004448E5" w:rsidRPr="00805647" w:rsidRDefault="004448E5" w:rsidP="00466C75">
            <w:pPr>
              <w:spacing w:before="0" w:after="0"/>
              <w:rPr>
                <w:color w:val="000000"/>
                <w:sz w:val="22"/>
                <w:szCs w:val="22"/>
              </w:rPr>
            </w:pPr>
            <w:r w:rsidRPr="00805647">
              <w:rPr>
                <w:color w:val="000000"/>
                <w:sz w:val="22"/>
                <w:szCs w:val="22"/>
              </w:rPr>
              <w:t>House</w:t>
            </w:r>
          </w:p>
        </w:tc>
        <w:tc>
          <w:tcPr>
            <w:tcW w:w="999" w:type="dxa"/>
            <w:tcBorders>
              <w:top w:val="single" w:sz="4" w:space="0" w:color="auto"/>
              <w:left w:val="nil"/>
              <w:bottom w:val="nil"/>
              <w:right w:val="nil"/>
            </w:tcBorders>
            <w:shd w:val="clear" w:color="auto" w:fill="auto"/>
            <w:noWrap/>
            <w:vAlign w:val="bottom"/>
          </w:tcPr>
          <w:p w:rsidR="004448E5" w:rsidRPr="004448E5" w:rsidRDefault="004448E5" w:rsidP="004448E5">
            <w:pPr>
              <w:spacing w:before="0" w:after="0"/>
              <w:jc w:val="right"/>
              <w:rPr>
                <w:color w:val="000000"/>
                <w:sz w:val="22"/>
                <w:szCs w:val="22"/>
              </w:rPr>
            </w:pPr>
            <w:r w:rsidRPr="004448E5">
              <w:rPr>
                <w:color w:val="000000"/>
                <w:sz w:val="22"/>
                <w:szCs w:val="22"/>
              </w:rPr>
              <w:t>56,935</w:t>
            </w:r>
          </w:p>
        </w:tc>
        <w:tc>
          <w:tcPr>
            <w:tcW w:w="1342" w:type="dxa"/>
            <w:tcBorders>
              <w:top w:val="single" w:sz="4" w:space="0" w:color="auto"/>
              <w:left w:val="nil"/>
              <w:bottom w:val="nil"/>
              <w:right w:val="nil"/>
            </w:tcBorders>
            <w:shd w:val="clear" w:color="000000" w:fill="FFFFFF"/>
            <w:vAlign w:val="bottom"/>
          </w:tcPr>
          <w:p w:rsidR="004448E5" w:rsidRPr="004448E5" w:rsidRDefault="004448E5" w:rsidP="004448E5">
            <w:pPr>
              <w:spacing w:before="0" w:after="0"/>
              <w:jc w:val="right"/>
              <w:rPr>
                <w:i/>
                <w:iCs/>
                <w:color w:val="000000"/>
                <w:sz w:val="22"/>
                <w:szCs w:val="22"/>
              </w:rPr>
            </w:pPr>
            <w:r w:rsidRPr="004448E5">
              <w:rPr>
                <w:i/>
                <w:iCs/>
                <w:color w:val="000000"/>
                <w:sz w:val="22"/>
                <w:szCs w:val="22"/>
              </w:rPr>
              <w:t>68.8</w:t>
            </w:r>
          </w:p>
        </w:tc>
        <w:tc>
          <w:tcPr>
            <w:tcW w:w="999" w:type="dxa"/>
            <w:tcBorders>
              <w:top w:val="single" w:sz="4" w:space="0" w:color="auto"/>
              <w:left w:val="nil"/>
              <w:bottom w:val="nil"/>
              <w:right w:val="nil"/>
            </w:tcBorders>
            <w:shd w:val="clear" w:color="auto" w:fill="auto"/>
            <w:noWrap/>
            <w:vAlign w:val="bottom"/>
          </w:tcPr>
          <w:p w:rsidR="004448E5" w:rsidRPr="004448E5" w:rsidRDefault="004448E5" w:rsidP="004448E5">
            <w:pPr>
              <w:spacing w:before="0" w:after="0"/>
              <w:jc w:val="right"/>
              <w:rPr>
                <w:color w:val="000000"/>
                <w:sz w:val="22"/>
                <w:szCs w:val="22"/>
              </w:rPr>
            </w:pPr>
            <w:r w:rsidRPr="004448E5">
              <w:rPr>
                <w:color w:val="000000"/>
                <w:sz w:val="22"/>
                <w:szCs w:val="22"/>
              </w:rPr>
              <w:t>61,747</w:t>
            </w:r>
          </w:p>
        </w:tc>
        <w:tc>
          <w:tcPr>
            <w:tcW w:w="1342" w:type="dxa"/>
            <w:tcBorders>
              <w:top w:val="single" w:sz="4" w:space="0" w:color="auto"/>
              <w:left w:val="nil"/>
              <w:bottom w:val="nil"/>
              <w:right w:val="nil"/>
            </w:tcBorders>
            <w:shd w:val="clear" w:color="000000" w:fill="FFFFFF"/>
            <w:vAlign w:val="bottom"/>
          </w:tcPr>
          <w:p w:rsidR="004448E5" w:rsidRPr="004448E5" w:rsidRDefault="004448E5" w:rsidP="004448E5">
            <w:pPr>
              <w:spacing w:before="0" w:after="0"/>
              <w:jc w:val="right"/>
              <w:rPr>
                <w:i/>
                <w:iCs/>
                <w:color w:val="000000"/>
                <w:sz w:val="22"/>
                <w:szCs w:val="22"/>
              </w:rPr>
            </w:pPr>
            <w:r w:rsidRPr="004448E5">
              <w:rPr>
                <w:i/>
                <w:iCs/>
                <w:color w:val="000000"/>
                <w:sz w:val="22"/>
                <w:szCs w:val="22"/>
              </w:rPr>
              <w:t>89.0</w:t>
            </w:r>
          </w:p>
        </w:tc>
        <w:tc>
          <w:tcPr>
            <w:tcW w:w="1012" w:type="dxa"/>
            <w:tcBorders>
              <w:top w:val="single" w:sz="4" w:space="0" w:color="auto"/>
              <w:left w:val="nil"/>
              <w:bottom w:val="nil"/>
              <w:right w:val="nil"/>
            </w:tcBorders>
            <w:shd w:val="clear" w:color="auto" w:fill="auto"/>
            <w:noWrap/>
            <w:vAlign w:val="bottom"/>
          </w:tcPr>
          <w:p w:rsidR="004448E5" w:rsidRPr="004448E5" w:rsidRDefault="004448E5" w:rsidP="004448E5">
            <w:pPr>
              <w:spacing w:before="0" w:after="0"/>
              <w:jc w:val="right"/>
              <w:rPr>
                <w:color w:val="000000"/>
                <w:sz w:val="22"/>
                <w:szCs w:val="22"/>
              </w:rPr>
            </w:pPr>
            <w:r w:rsidRPr="004448E5">
              <w:rPr>
                <w:color w:val="000000"/>
                <w:sz w:val="22"/>
                <w:szCs w:val="22"/>
              </w:rPr>
              <w:t>102,688</w:t>
            </w:r>
          </w:p>
        </w:tc>
        <w:tc>
          <w:tcPr>
            <w:tcW w:w="1342" w:type="dxa"/>
            <w:tcBorders>
              <w:top w:val="single" w:sz="4" w:space="0" w:color="auto"/>
              <w:left w:val="nil"/>
              <w:bottom w:val="nil"/>
              <w:right w:val="nil"/>
            </w:tcBorders>
            <w:shd w:val="clear" w:color="000000" w:fill="FFFFFF"/>
            <w:vAlign w:val="bottom"/>
          </w:tcPr>
          <w:p w:rsidR="004448E5" w:rsidRPr="004448E5" w:rsidRDefault="004448E5" w:rsidP="004448E5">
            <w:pPr>
              <w:spacing w:before="0" w:after="0"/>
              <w:jc w:val="right"/>
              <w:rPr>
                <w:i/>
                <w:iCs/>
                <w:color w:val="000000"/>
                <w:sz w:val="22"/>
                <w:szCs w:val="22"/>
              </w:rPr>
            </w:pPr>
            <w:r w:rsidRPr="004448E5">
              <w:rPr>
                <w:i/>
                <w:iCs/>
                <w:color w:val="000000"/>
                <w:sz w:val="22"/>
                <w:szCs w:val="22"/>
              </w:rPr>
              <w:t>90.3</w:t>
            </w:r>
          </w:p>
        </w:tc>
        <w:tc>
          <w:tcPr>
            <w:tcW w:w="1012" w:type="dxa"/>
            <w:tcBorders>
              <w:top w:val="single" w:sz="4" w:space="0" w:color="auto"/>
              <w:left w:val="nil"/>
              <w:bottom w:val="nil"/>
              <w:right w:val="nil"/>
            </w:tcBorders>
            <w:shd w:val="clear" w:color="auto" w:fill="auto"/>
            <w:noWrap/>
            <w:vAlign w:val="bottom"/>
          </w:tcPr>
          <w:p w:rsidR="004448E5" w:rsidRPr="004448E5" w:rsidRDefault="004448E5" w:rsidP="004448E5">
            <w:pPr>
              <w:spacing w:before="0" w:after="0"/>
              <w:jc w:val="right"/>
              <w:rPr>
                <w:color w:val="000000"/>
                <w:sz w:val="22"/>
                <w:szCs w:val="22"/>
              </w:rPr>
            </w:pPr>
            <w:r w:rsidRPr="004448E5">
              <w:rPr>
                <w:color w:val="000000"/>
                <w:sz w:val="22"/>
                <w:szCs w:val="22"/>
              </w:rPr>
              <w:t>221,370</w:t>
            </w:r>
          </w:p>
        </w:tc>
        <w:tc>
          <w:tcPr>
            <w:tcW w:w="1342" w:type="dxa"/>
            <w:tcBorders>
              <w:top w:val="nil"/>
              <w:left w:val="nil"/>
              <w:bottom w:val="nil"/>
              <w:right w:val="nil"/>
            </w:tcBorders>
            <w:shd w:val="clear" w:color="000000" w:fill="FFFFFF"/>
            <w:vAlign w:val="bottom"/>
          </w:tcPr>
          <w:p w:rsidR="004448E5" w:rsidRPr="004448E5" w:rsidRDefault="004448E5" w:rsidP="004448E5">
            <w:pPr>
              <w:spacing w:before="0" w:after="0"/>
              <w:jc w:val="right"/>
              <w:rPr>
                <w:i/>
                <w:iCs/>
                <w:color w:val="000000"/>
                <w:sz w:val="22"/>
                <w:szCs w:val="22"/>
              </w:rPr>
            </w:pPr>
            <w:r w:rsidRPr="004448E5">
              <w:rPr>
                <w:i/>
                <w:iCs/>
                <w:color w:val="000000"/>
                <w:sz w:val="22"/>
                <w:szCs w:val="22"/>
              </w:rPr>
              <w:t>83.3</w:t>
            </w:r>
          </w:p>
        </w:tc>
      </w:tr>
      <w:tr w:rsidR="004448E5" w:rsidRPr="00A21277" w:rsidTr="004448E5">
        <w:trPr>
          <w:trHeight w:val="273"/>
        </w:trPr>
        <w:tc>
          <w:tcPr>
            <w:tcW w:w="1293" w:type="dxa"/>
            <w:tcBorders>
              <w:top w:val="nil"/>
              <w:left w:val="nil"/>
              <w:bottom w:val="nil"/>
              <w:right w:val="nil"/>
            </w:tcBorders>
            <w:shd w:val="clear" w:color="auto" w:fill="auto"/>
            <w:noWrap/>
            <w:vAlign w:val="bottom"/>
          </w:tcPr>
          <w:p w:rsidR="004448E5" w:rsidRPr="00805647" w:rsidRDefault="004448E5" w:rsidP="00466C75">
            <w:pPr>
              <w:spacing w:before="0" w:after="0"/>
              <w:rPr>
                <w:color w:val="000000"/>
                <w:sz w:val="22"/>
                <w:szCs w:val="22"/>
              </w:rPr>
            </w:pPr>
            <w:r w:rsidRPr="00805647">
              <w:rPr>
                <w:color w:val="000000"/>
                <w:sz w:val="22"/>
                <w:szCs w:val="22"/>
              </w:rPr>
              <w:t>Bungalow</w:t>
            </w:r>
          </w:p>
        </w:tc>
        <w:tc>
          <w:tcPr>
            <w:tcW w:w="999" w:type="dxa"/>
            <w:tcBorders>
              <w:top w:val="nil"/>
              <w:left w:val="nil"/>
              <w:bottom w:val="nil"/>
              <w:right w:val="nil"/>
            </w:tcBorders>
            <w:shd w:val="clear" w:color="auto" w:fill="auto"/>
            <w:noWrap/>
            <w:vAlign w:val="bottom"/>
          </w:tcPr>
          <w:p w:rsidR="004448E5" w:rsidRPr="004448E5" w:rsidRDefault="004448E5" w:rsidP="004448E5">
            <w:pPr>
              <w:spacing w:before="0" w:after="0"/>
              <w:jc w:val="right"/>
              <w:rPr>
                <w:color w:val="000000"/>
                <w:sz w:val="22"/>
                <w:szCs w:val="22"/>
              </w:rPr>
            </w:pPr>
            <w:r w:rsidRPr="004448E5">
              <w:rPr>
                <w:color w:val="000000"/>
                <w:sz w:val="22"/>
                <w:szCs w:val="22"/>
              </w:rPr>
              <w:t>2,435</w:t>
            </w:r>
          </w:p>
        </w:tc>
        <w:tc>
          <w:tcPr>
            <w:tcW w:w="1342" w:type="dxa"/>
            <w:tcBorders>
              <w:top w:val="nil"/>
              <w:left w:val="nil"/>
              <w:bottom w:val="nil"/>
              <w:right w:val="nil"/>
            </w:tcBorders>
            <w:shd w:val="clear" w:color="000000" w:fill="FFFFFF"/>
            <w:vAlign w:val="bottom"/>
          </w:tcPr>
          <w:p w:rsidR="004448E5" w:rsidRPr="004448E5" w:rsidRDefault="004448E5" w:rsidP="004448E5">
            <w:pPr>
              <w:spacing w:before="0" w:after="0"/>
              <w:jc w:val="right"/>
              <w:rPr>
                <w:i/>
                <w:iCs/>
                <w:color w:val="000000"/>
                <w:sz w:val="22"/>
                <w:szCs w:val="22"/>
              </w:rPr>
            </w:pPr>
            <w:r w:rsidRPr="004448E5">
              <w:rPr>
                <w:i/>
                <w:iCs/>
                <w:color w:val="000000"/>
                <w:sz w:val="22"/>
                <w:szCs w:val="22"/>
              </w:rPr>
              <w:t>2.9</w:t>
            </w:r>
          </w:p>
        </w:tc>
        <w:tc>
          <w:tcPr>
            <w:tcW w:w="999" w:type="dxa"/>
            <w:tcBorders>
              <w:top w:val="nil"/>
              <w:left w:val="nil"/>
              <w:bottom w:val="nil"/>
              <w:right w:val="nil"/>
            </w:tcBorders>
            <w:shd w:val="clear" w:color="auto" w:fill="auto"/>
            <w:noWrap/>
            <w:vAlign w:val="bottom"/>
          </w:tcPr>
          <w:p w:rsidR="004448E5" w:rsidRPr="004448E5" w:rsidRDefault="004448E5" w:rsidP="004448E5">
            <w:pPr>
              <w:spacing w:before="0" w:after="0"/>
              <w:jc w:val="right"/>
              <w:rPr>
                <w:color w:val="000000"/>
                <w:sz w:val="22"/>
                <w:szCs w:val="22"/>
              </w:rPr>
            </w:pPr>
            <w:r w:rsidRPr="004448E5">
              <w:rPr>
                <w:color w:val="000000"/>
                <w:sz w:val="22"/>
                <w:szCs w:val="22"/>
              </w:rPr>
              <w:t>2,044</w:t>
            </w:r>
          </w:p>
        </w:tc>
        <w:tc>
          <w:tcPr>
            <w:tcW w:w="1342" w:type="dxa"/>
            <w:tcBorders>
              <w:top w:val="nil"/>
              <w:left w:val="nil"/>
              <w:bottom w:val="nil"/>
              <w:right w:val="nil"/>
            </w:tcBorders>
            <w:shd w:val="clear" w:color="000000" w:fill="FFFFFF"/>
            <w:vAlign w:val="bottom"/>
          </w:tcPr>
          <w:p w:rsidR="004448E5" w:rsidRPr="004448E5" w:rsidRDefault="004448E5" w:rsidP="004448E5">
            <w:pPr>
              <w:spacing w:before="0" w:after="0"/>
              <w:jc w:val="right"/>
              <w:rPr>
                <w:i/>
                <w:iCs/>
                <w:color w:val="000000"/>
                <w:sz w:val="22"/>
                <w:szCs w:val="22"/>
              </w:rPr>
            </w:pPr>
            <w:r w:rsidRPr="004448E5">
              <w:rPr>
                <w:i/>
                <w:iCs/>
                <w:color w:val="000000"/>
                <w:sz w:val="22"/>
                <w:szCs w:val="22"/>
              </w:rPr>
              <w:t>2.9</w:t>
            </w:r>
          </w:p>
        </w:tc>
        <w:tc>
          <w:tcPr>
            <w:tcW w:w="1012" w:type="dxa"/>
            <w:tcBorders>
              <w:top w:val="nil"/>
              <w:left w:val="nil"/>
              <w:bottom w:val="nil"/>
              <w:right w:val="nil"/>
            </w:tcBorders>
            <w:shd w:val="clear" w:color="auto" w:fill="auto"/>
            <w:noWrap/>
            <w:vAlign w:val="bottom"/>
          </w:tcPr>
          <w:p w:rsidR="004448E5" w:rsidRPr="004448E5" w:rsidRDefault="004448E5" w:rsidP="004448E5">
            <w:pPr>
              <w:spacing w:before="0" w:after="0"/>
              <w:jc w:val="right"/>
              <w:rPr>
                <w:color w:val="000000"/>
                <w:sz w:val="22"/>
                <w:szCs w:val="22"/>
              </w:rPr>
            </w:pPr>
            <w:r w:rsidRPr="004448E5">
              <w:rPr>
                <w:color w:val="000000"/>
                <w:sz w:val="22"/>
                <w:szCs w:val="22"/>
              </w:rPr>
              <w:t>5,700</w:t>
            </w:r>
          </w:p>
        </w:tc>
        <w:tc>
          <w:tcPr>
            <w:tcW w:w="1342" w:type="dxa"/>
            <w:tcBorders>
              <w:top w:val="nil"/>
              <w:left w:val="nil"/>
              <w:bottom w:val="nil"/>
              <w:right w:val="nil"/>
            </w:tcBorders>
            <w:shd w:val="clear" w:color="000000" w:fill="FFFFFF"/>
            <w:vAlign w:val="bottom"/>
          </w:tcPr>
          <w:p w:rsidR="004448E5" w:rsidRPr="004448E5" w:rsidRDefault="004448E5" w:rsidP="004448E5">
            <w:pPr>
              <w:spacing w:before="0" w:after="0"/>
              <w:jc w:val="right"/>
              <w:rPr>
                <w:i/>
                <w:iCs/>
                <w:color w:val="000000"/>
                <w:sz w:val="22"/>
                <w:szCs w:val="22"/>
              </w:rPr>
            </w:pPr>
            <w:r w:rsidRPr="004448E5">
              <w:rPr>
                <w:i/>
                <w:iCs/>
                <w:color w:val="000000"/>
                <w:sz w:val="22"/>
                <w:szCs w:val="22"/>
              </w:rPr>
              <w:t>5.0</w:t>
            </w:r>
          </w:p>
        </w:tc>
        <w:tc>
          <w:tcPr>
            <w:tcW w:w="1012" w:type="dxa"/>
            <w:tcBorders>
              <w:top w:val="nil"/>
              <w:left w:val="nil"/>
              <w:bottom w:val="nil"/>
              <w:right w:val="nil"/>
            </w:tcBorders>
            <w:shd w:val="clear" w:color="auto" w:fill="auto"/>
            <w:noWrap/>
            <w:vAlign w:val="bottom"/>
          </w:tcPr>
          <w:p w:rsidR="004448E5" w:rsidRPr="004448E5" w:rsidRDefault="004448E5" w:rsidP="004448E5">
            <w:pPr>
              <w:spacing w:before="0" w:after="0"/>
              <w:jc w:val="right"/>
              <w:rPr>
                <w:color w:val="000000"/>
                <w:sz w:val="22"/>
                <w:szCs w:val="22"/>
              </w:rPr>
            </w:pPr>
            <w:r w:rsidRPr="004448E5">
              <w:rPr>
                <w:color w:val="000000"/>
                <w:sz w:val="22"/>
                <w:szCs w:val="22"/>
              </w:rPr>
              <w:t>10,179</w:t>
            </w:r>
          </w:p>
        </w:tc>
        <w:tc>
          <w:tcPr>
            <w:tcW w:w="1342" w:type="dxa"/>
            <w:tcBorders>
              <w:top w:val="nil"/>
              <w:left w:val="nil"/>
              <w:bottom w:val="nil"/>
              <w:right w:val="nil"/>
            </w:tcBorders>
            <w:shd w:val="clear" w:color="000000" w:fill="FFFFFF"/>
            <w:vAlign w:val="bottom"/>
          </w:tcPr>
          <w:p w:rsidR="004448E5" w:rsidRPr="004448E5" w:rsidRDefault="004448E5" w:rsidP="004448E5">
            <w:pPr>
              <w:spacing w:before="0" w:after="0"/>
              <w:jc w:val="right"/>
              <w:rPr>
                <w:i/>
                <w:iCs/>
                <w:color w:val="000000"/>
                <w:sz w:val="22"/>
                <w:szCs w:val="22"/>
              </w:rPr>
            </w:pPr>
            <w:r w:rsidRPr="004448E5">
              <w:rPr>
                <w:i/>
                <w:iCs/>
                <w:color w:val="000000"/>
                <w:sz w:val="22"/>
                <w:szCs w:val="22"/>
              </w:rPr>
              <w:t>3.8</w:t>
            </w:r>
          </w:p>
        </w:tc>
      </w:tr>
      <w:tr w:rsidR="004448E5" w:rsidRPr="00A21277" w:rsidTr="004448E5">
        <w:trPr>
          <w:trHeight w:val="315"/>
        </w:trPr>
        <w:tc>
          <w:tcPr>
            <w:tcW w:w="1293" w:type="dxa"/>
            <w:tcBorders>
              <w:top w:val="nil"/>
              <w:left w:val="nil"/>
              <w:bottom w:val="nil"/>
              <w:right w:val="nil"/>
            </w:tcBorders>
            <w:shd w:val="clear" w:color="auto" w:fill="auto"/>
            <w:noWrap/>
            <w:vAlign w:val="bottom"/>
          </w:tcPr>
          <w:p w:rsidR="004448E5" w:rsidRPr="00805647" w:rsidRDefault="004448E5" w:rsidP="00466C75">
            <w:pPr>
              <w:spacing w:before="0" w:after="0"/>
              <w:rPr>
                <w:color w:val="000000"/>
                <w:sz w:val="22"/>
                <w:szCs w:val="22"/>
              </w:rPr>
            </w:pPr>
            <w:r w:rsidRPr="00805647">
              <w:rPr>
                <w:color w:val="000000"/>
                <w:sz w:val="22"/>
                <w:szCs w:val="22"/>
              </w:rPr>
              <w:t>Flat</w:t>
            </w:r>
          </w:p>
        </w:tc>
        <w:tc>
          <w:tcPr>
            <w:tcW w:w="999" w:type="dxa"/>
            <w:tcBorders>
              <w:top w:val="nil"/>
              <w:left w:val="nil"/>
              <w:bottom w:val="nil"/>
              <w:right w:val="nil"/>
            </w:tcBorders>
            <w:shd w:val="clear" w:color="auto" w:fill="auto"/>
            <w:noWrap/>
            <w:vAlign w:val="bottom"/>
          </w:tcPr>
          <w:p w:rsidR="004448E5" w:rsidRPr="004448E5" w:rsidRDefault="004448E5" w:rsidP="004448E5">
            <w:pPr>
              <w:spacing w:before="0" w:after="0"/>
              <w:jc w:val="right"/>
              <w:rPr>
                <w:color w:val="000000"/>
                <w:sz w:val="22"/>
                <w:szCs w:val="22"/>
              </w:rPr>
            </w:pPr>
            <w:r w:rsidRPr="004448E5">
              <w:rPr>
                <w:color w:val="000000"/>
                <w:sz w:val="22"/>
                <w:szCs w:val="22"/>
              </w:rPr>
              <w:t>22,722</w:t>
            </w:r>
          </w:p>
        </w:tc>
        <w:tc>
          <w:tcPr>
            <w:tcW w:w="1342" w:type="dxa"/>
            <w:tcBorders>
              <w:top w:val="nil"/>
              <w:left w:val="nil"/>
              <w:bottom w:val="nil"/>
              <w:right w:val="nil"/>
            </w:tcBorders>
            <w:shd w:val="clear" w:color="000000" w:fill="FFFFFF"/>
            <w:vAlign w:val="bottom"/>
          </w:tcPr>
          <w:p w:rsidR="004448E5" w:rsidRPr="004448E5" w:rsidRDefault="004448E5" w:rsidP="004448E5">
            <w:pPr>
              <w:spacing w:before="0" w:after="0"/>
              <w:jc w:val="right"/>
              <w:rPr>
                <w:i/>
                <w:iCs/>
                <w:color w:val="000000"/>
                <w:sz w:val="22"/>
                <w:szCs w:val="22"/>
              </w:rPr>
            </w:pPr>
            <w:r w:rsidRPr="004448E5">
              <w:rPr>
                <w:i/>
                <w:iCs/>
                <w:color w:val="000000"/>
                <w:sz w:val="22"/>
                <w:szCs w:val="22"/>
              </w:rPr>
              <w:t>27.5</w:t>
            </w:r>
          </w:p>
        </w:tc>
        <w:tc>
          <w:tcPr>
            <w:tcW w:w="999" w:type="dxa"/>
            <w:tcBorders>
              <w:top w:val="nil"/>
              <w:left w:val="nil"/>
              <w:bottom w:val="nil"/>
              <w:right w:val="nil"/>
            </w:tcBorders>
            <w:shd w:val="clear" w:color="auto" w:fill="auto"/>
            <w:noWrap/>
            <w:vAlign w:val="bottom"/>
          </w:tcPr>
          <w:p w:rsidR="004448E5" w:rsidRPr="004448E5" w:rsidRDefault="004448E5" w:rsidP="004448E5">
            <w:pPr>
              <w:spacing w:before="0" w:after="0"/>
              <w:jc w:val="right"/>
              <w:rPr>
                <w:color w:val="000000"/>
                <w:sz w:val="22"/>
                <w:szCs w:val="22"/>
              </w:rPr>
            </w:pPr>
            <w:r w:rsidRPr="004448E5">
              <w:rPr>
                <w:color w:val="000000"/>
                <w:sz w:val="22"/>
                <w:szCs w:val="22"/>
              </w:rPr>
              <w:t>5,351</w:t>
            </w:r>
          </w:p>
        </w:tc>
        <w:tc>
          <w:tcPr>
            <w:tcW w:w="1342" w:type="dxa"/>
            <w:tcBorders>
              <w:top w:val="nil"/>
              <w:left w:val="nil"/>
              <w:bottom w:val="nil"/>
              <w:right w:val="nil"/>
            </w:tcBorders>
            <w:shd w:val="clear" w:color="000000" w:fill="FFFFFF"/>
            <w:vAlign w:val="bottom"/>
          </w:tcPr>
          <w:p w:rsidR="004448E5" w:rsidRPr="004448E5" w:rsidRDefault="004448E5" w:rsidP="004448E5">
            <w:pPr>
              <w:spacing w:before="0" w:after="0"/>
              <w:jc w:val="right"/>
              <w:rPr>
                <w:i/>
                <w:iCs/>
                <w:color w:val="000000"/>
                <w:sz w:val="22"/>
                <w:szCs w:val="22"/>
              </w:rPr>
            </w:pPr>
            <w:r w:rsidRPr="004448E5">
              <w:rPr>
                <w:i/>
                <w:iCs/>
                <w:color w:val="000000"/>
                <w:sz w:val="22"/>
                <w:szCs w:val="22"/>
              </w:rPr>
              <w:t>7.7</w:t>
            </w:r>
          </w:p>
        </w:tc>
        <w:tc>
          <w:tcPr>
            <w:tcW w:w="1012" w:type="dxa"/>
            <w:tcBorders>
              <w:top w:val="nil"/>
              <w:left w:val="nil"/>
              <w:bottom w:val="nil"/>
              <w:right w:val="nil"/>
            </w:tcBorders>
            <w:shd w:val="clear" w:color="auto" w:fill="auto"/>
            <w:noWrap/>
            <w:vAlign w:val="bottom"/>
          </w:tcPr>
          <w:p w:rsidR="004448E5" w:rsidRPr="004448E5" w:rsidRDefault="004448E5" w:rsidP="004448E5">
            <w:pPr>
              <w:spacing w:before="0" w:after="0"/>
              <w:jc w:val="right"/>
              <w:rPr>
                <w:color w:val="000000"/>
                <w:sz w:val="22"/>
                <w:szCs w:val="22"/>
              </w:rPr>
            </w:pPr>
            <w:r w:rsidRPr="004448E5">
              <w:rPr>
                <w:color w:val="000000"/>
                <w:sz w:val="22"/>
                <w:szCs w:val="22"/>
              </w:rPr>
              <w:t>5,095</w:t>
            </w:r>
          </w:p>
        </w:tc>
        <w:tc>
          <w:tcPr>
            <w:tcW w:w="1342" w:type="dxa"/>
            <w:tcBorders>
              <w:top w:val="nil"/>
              <w:left w:val="nil"/>
              <w:bottom w:val="nil"/>
              <w:right w:val="nil"/>
            </w:tcBorders>
            <w:shd w:val="clear" w:color="000000" w:fill="FFFFFF"/>
            <w:vAlign w:val="bottom"/>
          </w:tcPr>
          <w:p w:rsidR="004448E5" w:rsidRPr="004448E5" w:rsidRDefault="004448E5" w:rsidP="004448E5">
            <w:pPr>
              <w:spacing w:before="0" w:after="0"/>
              <w:jc w:val="right"/>
              <w:rPr>
                <w:i/>
                <w:iCs/>
                <w:color w:val="000000"/>
                <w:sz w:val="22"/>
                <w:szCs w:val="22"/>
              </w:rPr>
            </w:pPr>
            <w:r w:rsidRPr="004448E5">
              <w:rPr>
                <w:i/>
                <w:iCs/>
                <w:color w:val="000000"/>
                <w:sz w:val="22"/>
                <w:szCs w:val="22"/>
              </w:rPr>
              <w:t>4.5</w:t>
            </w:r>
          </w:p>
        </w:tc>
        <w:tc>
          <w:tcPr>
            <w:tcW w:w="1012" w:type="dxa"/>
            <w:tcBorders>
              <w:top w:val="nil"/>
              <w:left w:val="nil"/>
              <w:bottom w:val="nil"/>
              <w:right w:val="nil"/>
            </w:tcBorders>
            <w:shd w:val="clear" w:color="auto" w:fill="auto"/>
            <w:noWrap/>
            <w:vAlign w:val="bottom"/>
          </w:tcPr>
          <w:p w:rsidR="004448E5" w:rsidRPr="004448E5" w:rsidRDefault="004448E5" w:rsidP="004448E5">
            <w:pPr>
              <w:spacing w:before="0" w:after="0"/>
              <w:jc w:val="right"/>
              <w:rPr>
                <w:color w:val="000000"/>
                <w:sz w:val="22"/>
                <w:szCs w:val="22"/>
              </w:rPr>
            </w:pPr>
            <w:r w:rsidRPr="004448E5">
              <w:rPr>
                <w:color w:val="000000"/>
                <w:sz w:val="22"/>
                <w:szCs w:val="22"/>
              </w:rPr>
              <w:t>33,168</w:t>
            </w:r>
          </w:p>
        </w:tc>
        <w:tc>
          <w:tcPr>
            <w:tcW w:w="1342" w:type="dxa"/>
            <w:tcBorders>
              <w:top w:val="nil"/>
              <w:left w:val="nil"/>
              <w:bottom w:val="nil"/>
              <w:right w:val="nil"/>
            </w:tcBorders>
            <w:shd w:val="clear" w:color="000000" w:fill="FFFFFF"/>
            <w:vAlign w:val="bottom"/>
          </w:tcPr>
          <w:p w:rsidR="004448E5" w:rsidRPr="004448E5" w:rsidRDefault="004448E5" w:rsidP="004448E5">
            <w:pPr>
              <w:spacing w:before="0" w:after="0"/>
              <w:jc w:val="right"/>
              <w:rPr>
                <w:i/>
                <w:iCs/>
                <w:color w:val="000000"/>
                <w:sz w:val="22"/>
                <w:szCs w:val="22"/>
              </w:rPr>
            </w:pPr>
            <w:r w:rsidRPr="004448E5">
              <w:rPr>
                <w:i/>
                <w:iCs/>
                <w:color w:val="000000"/>
                <w:sz w:val="22"/>
                <w:szCs w:val="22"/>
              </w:rPr>
              <w:t>12.5</w:t>
            </w:r>
          </w:p>
        </w:tc>
      </w:tr>
      <w:tr w:rsidR="004448E5" w:rsidRPr="00A21277" w:rsidTr="004448E5">
        <w:trPr>
          <w:trHeight w:val="273"/>
        </w:trPr>
        <w:tc>
          <w:tcPr>
            <w:tcW w:w="1293" w:type="dxa"/>
            <w:tcBorders>
              <w:top w:val="nil"/>
              <w:left w:val="nil"/>
              <w:bottom w:val="nil"/>
              <w:right w:val="nil"/>
            </w:tcBorders>
            <w:shd w:val="clear" w:color="auto" w:fill="auto"/>
            <w:noWrap/>
            <w:vAlign w:val="bottom"/>
          </w:tcPr>
          <w:p w:rsidR="004448E5" w:rsidRPr="00805647" w:rsidRDefault="004448E5" w:rsidP="00466C75">
            <w:pPr>
              <w:spacing w:before="0" w:after="0"/>
              <w:rPr>
                <w:color w:val="000000"/>
                <w:sz w:val="22"/>
                <w:szCs w:val="22"/>
              </w:rPr>
            </w:pPr>
            <w:r w:rsidRPr="00805647">
              <w:rPr>
                <w:color w:val="000000"/>
                <w:sz w:val="22"/>
                <w:szCs w:val="22"/>
              </w:rPr>
              <w:t>Maisonette</w:t>
            </w:r>
          </w:p>
        </w:tc>
        <w:tc>
          <w:tcPr>
            <w:tcW w:w="999" w:type="dxa"/>
            <w:tcBorders>
              <w:top w:val="nil"/>
              <w:left w:val="nil"/>
              <w:bottom w:val="nil"/>
              <w:right w:val="nil"/>
            </w:tcBorders>
            <w:shd w:val="clear" w:color="auto" w:fill="auto"/>
            <w:noWrap/>
            <w:vAlign w:val="bottom"/>
          </w:tcPr>
          <w:p w:rsidR="004448E5" w:rsidRPr="004448E5" w:rsidRDefault="004448E5" w:rsidP="004448E5">
            <w:pPr>
              <w:spacing w:before="0" w:after="0"/>
              <w:jc w:val="right"/>
              <w:rPr>
                <w:color w:val="000000"/>
                <w:sz w:val="22"/>
                <w:szCs w:val="22"/>
              </w:rPr>
            </w:pPr>
            <w:r w:rsidRPr="004448E5">
              <w:rPr>
                <w:color w:val="000000"/>
                <w:sz w:val="22"/>
                <w:szCs w:val="22"/>
              </w:rPr>
              <w:t>643</w:t>
            </w:r>
          </w:p>
        </w:tc>
        <w:tc>
          <w:tcPr>
            <w:tcW w:w="1342" w:type="dxa"/>
            <w:tcBorders>
              <w:top w:val="nil"/>
              <w:left w:val="nil"/>
              <w:bottom w:val="nil"/>
              <w:right w:val="nil"/>
            </w:tcBorders>
            <w:shd w:val="clear" w:color="000000" w:fill="FFFFFF"/>
            <w:vAlign w:val="bottom"/>
          </w:tcPr>
          <w:p w:rsidR="004448E5" w:rsidRPr="004448E5" w:rsidRDefault="004448E5" w:rsidP="004448E5">
            <w:pPr>
              <w:spacing w:before="0" w:after="0"/>
              <w:jc w:val="right"/>
              <w:rPr>
                <w:i/>
                <w:iCs/>
                <w:color w:val="000000"/>
                <w:sz w:val="22"/>
                <w:szCs w:val="22"/>
              </w:rPr>
            </w:pPr>
            <w:r w:rsidRPr="004448E5">
              <w:rPr>
                <w:i/>
                <w:iCs/>
                <w:color w:val="000000"/>
                <w:sz w:val="22"/>
                <w:szCs w:val="22"/>
              </w:rPr>
              <w:t>0.8</w:t>
            </w:r>
          </w:p>
        </w:tc>
        <w:tc>
          <w:tcPr>
            <w:tcW w:w="999" w:type="dxa"/>
            <w:tcBorders>
              <w:top w:val="nil"/>
              <w:left w:val="nil"/>
              <w:bottom w:val="nil"/>
              <w:right w:val="nil"/>
            </w:tcBorders>
            <w:shd w:val="clear" w:color="auto" w:fill="auto"/>
            <w:noWrap/>
            <w:vAlign w:val="bottom"/>
          </w:tcPr>
          <w:p w:rsidR="004448E5" w:rsidRPr="004448E5" w:rsidRDefault="004448E5" w:rsidP="004448E5">
            <w:pPr>
              <w:spacing w:before="0" w:after="0"/>
              <w:jc w:val="right"/>
              <w:rPr>
                <w:color w:val="000000"/>
                <w:sz w:val="22"/>
                <w:szCs w:val="22"/>
              </w:rPr>
            </w:pPr>
            <w:r w:rsidRPr="004448E5">
              <w:rPr>
                <w:color w:val="000000"/>
                <w:sz w:val="22"/>
                <w:szCs w:val="22"/>
              </w:rPr>
              <w:t>233</w:t>
            </w:r>
          </w:p>
        </w:tc>
        <w:tc>
          <w:tcPr>
            <w:tcW w:w="1342" w:type="dxa"/>
            <w:tcBorders>
              <w:top w:val="nil"/>
              <w:left w:val="nil"/>
              <w:bottom w:val="nil"/>
              <w:right w:val="nil"/>
            </w:tcBorders>
            <w:shd w:val="clear" w:color="000000" w:fill="FFFFFF"/>
            <w:vAlign w:val="bottom"/>
          </w:tcPr>
          <w:p w:rsidR="004448E5" w:rsidRPr="004448E5" w:rsidRDefault="004448E5" w:rsidP="004448E5">
            <w:pPr>
              <w:spacing w:before="0" w:after="0"/>
              <w:jc w:val="right"/>
              <w:rPr>
                <w:i/>
                <w:iCs/>
                <w:color w:val="000000"/>
                <w:sz w:val="22"/>
                <w:szCs w:val="22"/>
              </w:rPr>
            </w:pPr>
            <w:r w:rsidRPr="004448E5">
              <w:rPr>
                <w:i/>
                <w:iCs/>
                <w:color w:val="000000"/>
                <w:sz w:val="22"/>
                <w:szCs w:val="22"/>
              </w:rPr>
              <w:t>0.3</w:t>
            </w:r>
          </w:p>
        </w:tc>
        <w:tc>
          <w:tcPr>
            <w:tcW w:w="1012" w:type="dxa"/>
            <w:tcBorders>
              <w:top w:val="nil"/>
              <w:left w:val="nil"/>
              <w:bottom w:val="nil"/>
              <w:right w:val="nil"/>
            </w:tcBorders>
            <w:shd w:val="clear" w:color="auto" w:fill="auto"/>
            <w:noWrap/>
            <w:vAlign w:val="bottom"/>
          </w:tcPr>
          <w:p w:rsidR="004448E5" w:rsidRPr="004448E5" w:rsidRDefault="004448E5" w:rsidP="004448E5">
            <w:pPr>
              <w:spacing w:before="0" w:after="0"/>
              <w:jc w:val="right"/>
              <w:rPr>
                <w:color w:val="000000"/>
                <w:sz w:val="22"/>
                <w:szCs w:val="22"/>
              </w:rPr>
            </w:pPr>
            <w:r w:rsidRPr="004448E5">
              <w:rPr>
                <w:color w:val="000000"/>
                <w:sz w:val="22"/>
                <w:szCs w:val="22"/>
              </w:rPr>
              <w:t>174</w:t>
            </w:r>
          </w:p>
        </w:tc>
        <w:tc>
          <w:tcPr>
            <w:tcW w:w="1342" w:type="dxa"/>
            <w:tcBorders>
              <w:top w:val="nil"/>
              <w:left w:val="nil"/>
              <w:bottom w:val="nil"/>
              <w:right w:val="nil"/>
            </w:tcBorders>
            <w:shd w:val="clear" w:color="000000" w:fill="FFFFFF"/>
            <w:vAlign w:val="bottom"/>
          </w:tcPr>
          <w:p w:rsidR="004448E5" w:rsidRPr="004448E5" w:rsidRDefault="004448E5" w:rsidP="004448E5">
            <w:pPr>
              <w:spacing w:before="0" w:after="0"/>
              <w:jc w:val="right"/>
              <w:rPr>
                <w:i/>
                <w:iCs/>
                <w:color w:val="000000"/>
                <w:sz w:val="22"/>
                <w:szCs w:val="22"/>
              </w:rPr>
            </w:pPr>
            <w:r w:rsidRPr="004448E5">
              <w:rPr>
                <w:i/>
                <w:iCs/>
                <w:color w:val="000000"/>
                <w:sz w:val="22"/>
                <w:szCs w:val="22"/>
              </w:rPr>
              <w:t>0.2</w:t>
            </w:r>
          </w:p>
        </w:tc>
        <w:tc>
          <w:tcPr>
            <w:tcW w:w="1012" w:type="dxa"/>
            <w:tcBorders>
              <w:top w:val="nil"/>
              <w:left w:val="nil"/>
              <w:bottom w:val="nil"/>
              <w:right w:val="nil"/>
            </w:tcBorders>
            <w:shd w:val="clear" w:color="auto" w:fill="auto"/>
            <w:noWrap/>
            <w:vAlign w:val="bottom"/>
          </w:tcPr>
          <w:p w:rsidR="004448E5" w:rsidRPr="004448E5" w:rsidRDefault="004448E5" w:rsidP="004448E5">
            <w:pPr>
              <w:spacing w:before="0" w:after="0"/>
              <w:jc w:val="right"/>
              <w:rPr>
                <w:color w:val="000000"/>
                <w:sz w:val="22"/>
                <w:szCs w:val="22"/>
              </w:rPr>
            </w:pPr>
            <w:r w:rsidRPr="004448E5">
              <w:rPr>
                <w:color w:val="000000"/>
                <w:sz w:val="22"/>
                <w:szCs w:val="22"/>
              </w:rPr>
              <w:t>1,050</w:t>
            </w:r>
          </w:p>
        </w:tc>
        <w:tc>
          <w:tcPr>
            <w:tcW w:w="1342" w:type="dxa"/>
            <w:tcBorders>
              <w:top w:val="nil"/>
              <w:left w:val="nil"/>
              <w:bottom w:val="nil"/>
              <w:right w:val="nil"/>
            </w:tcBorders>
            <w:shd w:val="clear" w:color="000000" w:fill="FFFFFF"/>
            <w:vAlign w:val="bottom"/>
          </w:tcPr>
          <w:p w:rsidR="004448E5" w:rsidRPr="004448E5" w:rsidRDefault="004448E5" w:rsidP="004448E5">
            <w:pPr>
              <w:spacing w:before="0" w:after="0"/>
              <w:jc w:val="right"/>
              <w:rPr>
                <w:i/>
                <w:iCs/>
                <w:color w:val="000000"/>
                <w:sz w:val="22"/>
                <w:szCs w:val="22"/>
              </w:rPr>
            </w:pPr>
            <w:r w:rsidRPr="004448E5">
              <w:rPr>
                <w:i/>
                <w:iCs/>
                <w:color w:val="000000"/>
                <w:sz w:val="22"/>
                <w:szCs w:val="22"/>
              </w:rPr>
              <w:t>0.4</w:t>
            </w:r>
          </w:p>
        </w:tc>
      </w:tr>
      <w:tr w:rsidR="00466C75" w:rsidRPr="00A21277" w:rsidTr="004448E5">
        <w:trPr>
          <w:trHeight w:val="273"/>
        </w:trPr>
        <w:tc>
          <w:tcPr>
            <w:tcW w:w="1293" w:type="dxa"/>
            <w:tcBorders>
              <w:top w:val="nil"/>
              <w:left w:val="nil"/>
              <w:bottom w:val="nil"/>
              <w:right w:val="nil"/>
            </w:tcBorders>
            <w:shd w:val="clear" w:color="auto" w:fill="auto"/>
            <w:noWrap/>
            <w:vAlign w:val="center"/>
          </w:tcPr>
          <w:p w:rsidR="00466C75" w:rsidRPr="00805647" w:rsidRDefault="00466C75" w:rsidP="00466C75">
            <w:pPr>
              <w:spacing w:before="0" w:after="0"/>
              <w:rPr>
                <w:color w:val="000000"/>
                <w:sz w:val="22"/>
                <w:szCs w:val="22"/>
              </w:rPr>
            </w:pPr>
          </w:p>
        </w:tc>
        <w:tc>
          <w:tcPr>
            <w:tcW w:w="999" w:type="dxa"/>
            <w:tcBorders>
              <w:top w:val="nil"/>
              <w:left w:val="nil"/>
              <w:bottom w:val="nil"/>
              <w:right w:val="nil"/>
            </w:tcBorders>
            <w:shd w:val="clear" w:color="auto" w:fill="auto"/>
            <w:noWrap/>
            <w:vAlign w:val="bottom"/>
          </w:tcPr>
          <w:p w:rsidR="00466C75" w:rsidRPr="00805647" w:rsidRDefault="00466C75" w:rsidP="00466C75">
            <w:pPr>
              <w:spacing w:before="0" w:after="0"/>
              <w:rPr>
                <w:color w:val="000000"/>
                <w:sz w:val="22"/>
                <w:szCs w:val="22"/>
              </w:rPr>
            </w:pPr>
          </w:p>
        </w:tc>
        <w:tc>
          <w:tcPr>
            <w:tcW w:w="1342" w:type="dxa"/>
            <w:tcBorders>
              <w:top w:val="nil"/>
              <w:left w:val="nil"/>
              <w:bottom w:val="nil"/>
              <w:right w:val="nil"/>
            </w:tcBorders>
            <w:shd w:val="clear" w:color="000000" w:fill="FFFFFF"/>
            <w:vAlign w:val="bottom"/>
          </w:tcPr>
          <w:p w:rsidR="00466C75" w:rsidRPr="00805647" w:rsidRDefault="00466C75" w:rsidP="00466C75">
            <w:pPr>
              <w:spacing w:before="0" w:after="0"/>
              <w:jc w:val="right"/>
              <w:rPr>
                <w:i/>
                <w:iCs/>
                <w:color w:val="000000"/>
                <w:sz w:val="22"/>
                <w:szCs w:val="22"/>
              </w:rPr>
            </w:pPr>
            <w:r w:rsidRPr="00805647">
              <w:rPr>
                <w:i/>
                <w:iCs/>
                <w:color w:val="000000"/>
                <w:sz w:val="22"/>
                <w:szCs w:val="22"/>
              </w:rPr>
              <w:t> </w:t>
            </w:r>
          </w:p>
        </w:tc>
        <w:tc>
          <w:tcPr>
            <w:tcW w:w="999" w:type="dxa"/>
            <w:tcBorders>
              <w:top w:val="nil"/>
              <w:left w:val="nil"/>
              <w:bottom w:val="nil"/>
              <w:right w:val="nil"/>
            </w:tcBorders>
            <w:shd w:val="clear" w:color="auto" w:fill="auto"/>
            <w:noWrap/>
            <w:vAlign w:val="bottom"/>
          </w:tcPr>
          <w:p w:rsidR="00466C75" w:rsidRPr="00805647" w:rsidRDefault="00466C75" w:rsidP="00466C75">
            <w:pPr>
              <w:spacing w:before="0" w:after="0"/>
              <w:rPr>
                <w:color w:val="000000"/>
                <w:sz w:val="22"/>
                <w:szCs w:val="22"/>
              </w:rPr>
            </w:pPr>
          </w:p>
        </w:tc>
        <w:tc>
          <w:tcPr>
            <w:tcW w:w="1342" w:type="dxa"/>
            <w:tcBorders>
              <w:top w:val="nil"/>
              <w:left w:val="nil"/>
              <w:bottom w:val="nil"/>
              <w:right w:val="nil"/>
            </w:tcBorders>
            <w:shd w:val="clear" w:color="000000" w:fill="FFFFFF"/>
            <w:vAlign w:val="bottom"/>
          </w:tcPr>
          <w:p w:rsidR="00466C75" w:rsidRPr="00805647" w:rsidRDefault="00466C75" w:rsidP="00466C75">
            <w:pPr>
              <w:spacing w:before="0" w:after="0"/>
              <w:jc w:val="right"/>
              <w:rPr>
                <w:i/>
                <w:iCs/>
                <w:color w:val="000000"/>
                <w:sz w:val="22"/>
                <w:szCs w:val="22"/>
              </w:rPr>
            </w:pPr>
            <w:r w:rsidRPr="00805647">
              <w:rPr>
                <w:i/>
                <w:iCs/>
                <w:color w:val="000000"/>
                <w:sz w:val="22"/>
                <w:szCs w:val="22"/>
              </w:rPr>
              <w:t> </w:t>
            </w:r>
          </w:p>
        </w:tc>
        <w:tc>
          <w:tcPr>
            <w:tcW w:w="1012" w:type="dxa"/>
            <w:tcBorders>
              <w:top w:val="nil"/>
              <w:left w:val="nil"/>
              <w:bottom w:val="nil"/>
              <w:right w:val="nil"/>
            </w:tcBorders>
            <w:shd w:val="clear" w:color="auto" w:fill="auto"/>
            <w:noWrap/>
            <w:vAlign w:val="bottom"/>
          </w:tcPr>
          <w:p w:rsidR="00466C75" w:rsidRPr="00805647" w:rsidRDefault="00466C75" w:rsidP="00466C75">
            <w:pPr>
              <w:spacing w:before="0" w:after="0"/>
              <w:rPr>
                <w:color w:val="000000"/>
                <w:sz w:val="22"/>
                <w:szCs w:val="22"/>
              </w:rPr>
            </w:pPr>
          </w:p>
        </w:tc>
        <w:tc>
          <w:tcPr>
            <w:tcW w:w="1342" w:type="dxa"/>
            <w:tcBorders>
              <w:top w:val="nil"/>
              <w:left w:val="nil"/>
              <w:bottom w:val="nil"/>
              <w:right w:val="nil"/>
            </w:tcBorders>
            <w:shd w:val="clear" w:color="000000" w:fill="FFFFFF"/>
            <w:vAlign w:val="bottom"/>
          </w:tcPr>
          <w:p w:rsidR="00466C75" w:rsidRPr="00805647" w:rsidRDefault="00466C75" w:rsidP="00466C75">
            <w:pPr>
              <w:spacing w:before="0" w:after="0"/>
              <w:jc w:val="right"/>
              <w:rPr>
                <w:i/>
                <w:iCs/>
                <w:color w:val="000000"/>
                <w:sz w:val="22"/>
                <w:szCs w:val="22"/>
              </w:rPr>
            </w:pPr>
            <w:r w:rsidRPr="00805647">
              <w:rPr>
                <w:i/>
                <w:iCs/>
                <w:color w:val="000000"/>
                <w:sz w:val="22"/>
                <w:szCs w:val="22"/>
              </w:rPr>
              <w:t> </w:t>
            </w:r>
          </w:p>
        </w:tc>
        <w:tc>
          <w:tcPr>
            <w:tcW w:w="1012" w:type="dxa"/>
            <w:tcBorders>
              <w:top w:val="nil"/>
              <w:left w:val="nil"/>
              <w:bottom w:val="nil"/>
              <w:right w:val="nil"/>
            </w:tcBorders>
            <w:shd w:val="clear" w:color="auto" w:fill="auto"/>
            <w:noWrap/>
            <w:vAlign w:val="bottom"/>
          </w:tcPr>
          <w:p w:rsidR="00466C75" w:rsidRPr="00805647" w:rsidRDefault="00466C75" w:rsidP="00466C75">
            <w:pPr>
              <w:spacing w:before="0" w:after="0"/>
              <w:rPr>
                <w:color w:val="000000"/>
                <w:sz w:val="22"/>
                <w:szCs w:val="22"/>
              </w:rPr>
            </w:pPr>
          </w:p>
        </w:tc>
        <w:tc>
          <w:tcPr>
            <w:tcW w:w="1342" w:type="dxa"/>
            <w:tcBorders>
              <w:top w:val="nil"/>
              <w:left w:val="nil"/>
              <w:bottom w:val="nil"/>
              <w:right w:val="nil"/>
            </w:tcBorders>
            <w:shd w:val="clear" w:color="000000" w:fill="FFFFFF"/>
            <w:vAlign w:val="bottom"/>
          </w:tcPr>
          <w:p w:rsidR="00466C75" w:rsidRPr="00805647" w:rsidRDefault="00466C75" w:rsidP="00466C75">
            <w:pPr>
              <w:spacing w:before="0" w:after="0"/>
              <w:jc w:val="right"/>
              <w:rPr>
                <w:i/>
                <w:iCs/>
                <w:color w:val="000000"/>
                <w:sz w:val="22"/>
                <w:szCs w:val="22"/>
              </w:rPr>
            </w:pPr>
            <w:r w:rsidRPr="00805647">
              <w:rPr>
                <w:i/>
                <w:iCs/>
                <w:color w:val="000000"/>
                <w:sz w:val="22"/>
                <w:szCs w:val="22"/>
              </w:rPr>
              <w:t> </w:t>
            </w:r>
          </w:p>
        </w:tc>
      </w:tr>
      <w:tr w:rsidR="00466C75" w:rsidRPr="00A21277" w:rsidTr="004448E5">
        <w:trPr>
          <w:trHeight w:val="273"/>
        </w:trPr>
        <w:tc>
          <w:tcPr>
            <w:tcW w:w="1293" w:type="dxa"/>
            <w:tcBorders>
              <w:top w:val="nil"/>
              <w:left w:val="nil"/>
              <w:bottom w:val="nil"/>
              <w:right w:val="nil"/>
            </w:tcBorders>
            <w:shd w:val="clear" w:color="auto" w:fill="auto"/>
            <w:noWrap/>
            <w:vAlign w:val="center"/>
          </w:tcPr>
          <w:p w:rsidR="00466C75" w:rsidRPr="00805647" w:rsidRDefault="00466C75" w:rsidP="00466C75">
            <w:pPr>
              <w:spacing w:before="0" w:after="0"/>
              <w:rPr>
                <w:color w:val="000000"/>
                <w:sz w:val="22"/>
                <w:szCs w:val="22"/>
              </w:rPr>
            </w:pPr>
            <w:r w:rsidRPr="00805647">
              <w:rPr>
                <w:color w:val="000000"/>
                <w:sz w:val="22"/>
                <w:szCs w:val="22"/>
              </w:rPr>
              <w:t>Unknown</w:t>
            </w:r>
            <w:r w:rsidR="00247DB2" w:rsidRPr="00247DB2">
              <w:rPr>
                <w:color w:val="000000"/>
                <w:sz w:val="22"/>
                <w:szCs w:val="22"/>
                <w:vertAlign w:val="superscript"/>
                <w:lang w:eastAsia="en-GB"/>
              </w:rPr>
              <w:t xml:space="preserve"> 2</w:t>
            </w:r>
          </w:p>
        </w:tc>
        <w:tc>
          <w:tcPr>
            <w:tcW w:w="999" w:type="dxa"/>
            <w:tcBorders>
              <w:top w:val="nil"/>
              <w:left w:val="nil"/>
              <w:bottom w:val="nil"/>
              <w:right w:val="nil"/>
            </w:tcBorders>
            <w:shd w:val="clear" w:color="auto" w:fill="auto"/>
            <w:noWrap/>
            <w:vAlign w:val="bottom"/>
          </w:tcPr>
          <w:p w:rsidR="00466C75" w:rsidRPr="00805647" w:rsidRDefault="00466C75" w:rsidP="00466C75">
            <w:pPr>
              <w:spacing w:before="0" w:after="0"/>
              <w:jc w:val="right"/>
              <w:rPr>
                <w:color w:val="000000"/>
                <w:sz w:val="22"/>
                <w:szCs w:val="22"/>
              </w:rPr>
            </w:pPr>
            <w:r w:rsidRPr="00805647">
              <w:rPr>
                <w:color w:val="000000"/>
                <w:sz w:val="22"/>
                <w:szCs w:val="22"/>
              </w:rPr>
              <w:t>140</w:t>
            </w:r>
          </w:p>
        </w:tc>
        <w:tc>
          <w:tcPr>
            <w:tcW w:w="1342" w:type="dxa"/>
            <w:tcBorders>
              <w:top w:val="nil"/>
              <w:left w:val="nil"/>
              <w:bottom w:val="nil"/>
              <w:right w:val="nil"/>
            </w:tcBorders>
            <w:shd w:val="clear" w:color="000000" w:fill="FFFFFF"/>
            <w:vAlign w:val="bottom"/>
          </w:tcPr>
          <w:p w:rsidR="00466C75" w:rsidRPr="00805647" w:rsidRDefault="00466C75" w:rsidP="00466C75">
            <w:pPr>
              <w:spacing w:before="0" w:after="0"/>
              <w:jc w:val="right"/>
              <w:rPr>
                <w:color w:val="000000"/>
                <w:sz w:val="22"/>
                <w:szCs w:val="22"/>
              </w:rPr>
            </w:pPr>
            <w:r w:rsidRPr="00805647">
              <w:rPr>
                <w:color w:val="000000"/>
                <w:sz w:val="22"/>
                <w:szCs w:val="22"/>
              </w:rPr>
              <w:t>-</w:t>
            </w:r>
          </w:p>
        </w:tc>
        <w:tc>
          <w:tcPr>
            <w:tcW w:w="999" w:type="dxa"/>
            <w:tcBorders>
              <w:top w:val="nil"/>
              <w:left w:val="nil"/>
              <w:bottom w:val="nil"/>
              <w:right w:val="nil"/>
            </w:tcBorders>
            <w:shd w:val="clear" w:color="auto" w:fill="auto"/>
            <w:noWrap/>
            <w:vAlign w:val="bottom"/>
          </w:tcPr>
          <w:p w:rsidR="00466C75" w:rsidRPr="00805647" w:rsidRDefault="00466C75" w:rsidP="00466C75">
            <w:pPr>
              <w:spacing w:before="0" w:after="0"/>
              <w:jc w:val="right"/>
              <w:rPr>
                <w:color w:val="000000"/>
                <w:sz w:val="22"/>
                <w:szCs w:val="22"/>
              </w:rPr>
            </w:pPr>
            <w:r w:rsidRPr="00805647">
              <w:rPr>
                <w:color w:val="000000"/>
                <w:sz w:val="22"/>
                <w:szCs w:val="22"/>
              </w:rPr>
              <w:t>23</w:t>
            </w:r>
          </w:p>
        </w:tc>
        <w:tc>
          <w:tcPr>
            <w:tcW w:w="1342" w:type="dxa"/>
            <w:tcBorders>
              <w:top w:val="nil"/>
              <w:left w:val="nil"/>
              <w:bottom w:val="nil"/>
              <w:right w:val="nil"/>
            </w:tcBorders>
            <w:shd w:val="clear" w:color="000000" w:fill="FFFFFF"/>
            <w:vAlign w:val="bottom"/>
          </w:tcPr>
          <w:p w:rsidR="00466C75" w:rsidRPr="00805647" w:rsidRDefault="00466C75" w:rsidP="00466C75">
            <w:pPr>
              <w:spacing w:before="0" w:after="0"/>
              <w:jc w:val="right"/>
              <w:rPr>
                <w:color w:val="000000"/>
                <w:sz w:val="22"/>
                <w:szCs w:val="22"/>
              </w:rPr>
            </w:pPr>
            <w:r w:rsidRPr="00805647">
              <w:rPr>
                <w:color w:val="000000"/>
                <w:sz w:val="22"/>
                <w:szCs w:val="22"/>
              </w:rPr>
              <w:t>-</w:t>
            </w:r>
          </w:p>
        </w:tc>
        <w:tc>
          <w:tcPr>
            <w:tcW w:w="1012" w:type="dxa"/>
            <w:tcBorders>
              <w:top w:val="nil"/>
              <w:left w:val="nil"/>
              <w:bottom w:val="nil"/>
              <w:right w:val="nil"/>
            </w:tcBorders>
            <w:shd w:val="clear" w:color="auto" w:fill="auto"/>
            <w:noWrap/>
            <w:vAlign w:val="bottom"/>
          </w:tcPr>
          <w:p w:rsidR="00466C75" w:rsidRPr="00805647" w:rsidRDefault="00466C75" w:rsidP="00466C75">
            <w:pPr>
              <w:spacing w:before="0" w:after="0"/>
              <w:jc w:val="right"/>
              <w:rPr>
                <w:color w:val="000000"/>
                <w:sz w:val="22"/>
                <w:szCs w:val="22"/>
              </w:rPr>
            </w:pPr>
            <w:r w:rsidRPr="00805647">
              <w:rPr>
                <w:color w:val="000000"/>
                <w:sz w:val="22"/>
                <w:szCs w:val="22"/>
              </w:rPr>
              <w:t>86</w:t>
            </w:r>
          </w:p>
        </w:tc>
        <w:tc>
          <w:tcPr>
            <w:tcW w:w="1342" w:type="dxa"/>
            <w:tcBorders>
              <w:top w:val="nil"/>
              <w:left w:val="nil"/>
              <w:bottom w:val="nil"/>
              <w:right w:val="nil"/>
            </w:tcBorders>
            <w:shd w:val="clear" w:color="000000" w:fill="FFFFFF"/>
            <w:vAlign w:val="bottom"/>
          </w:tcPr>
          <w:p w:rsidR="00466C75" w:rsidRPr="00805647" w:rsidRDefault="00466C75" w:rsidP="00466C75">
            <w:pPr>
              <w:spacing w:before="0" w:after="0"/>
              <w:jc w:val="right"/>
              <w:rPr>
                <w:color w:val="000000"/>
                <w:sz w:val="22"/>
                <w:szCs w:val="22"/>
              </w:rPr>
            </w:pPr>
            <w:r w:rsidRPr="00805647">
              <w:rPr>
                <w:color w:val="000000"/>
                <w:sz w:val="22"/>
                <w:szCs w:val="22"/>
              </w:rPr>
              <w:t>-</w:t>
            </w:r>
          </w:p>
        </w:tc>
        <w:tc>
          <w:tcPr>
            <w:tcW w:w="1012" w:type="dxa"/>
            <w:tcBorders>
              <w:top w:val="nil"/>
              <w:left w:val="nil"/>
              <w:bottom w:val="nil"/>
              <w:right w:val="nil"/>
            </w:tcBorders>
            <w:shd w:val="clear" w:color="auto" w:fill="auto"/>
            <w:noWrap/>
            <w:vAlign w:val="bottom"/>
          </w:tcPr>
          <w:p w:rsidR="00466C75" w:rsidRPr="00805647" w:rsidRDefault="00466C75" w:rsidP="00466C75">
            <w:pPr>
              <w:spacing w:before="0" w:after="0"/>
              <w:jc w:val="right"/>
              <w:rPr>
                <w:color w:val="000000"/>
                <w:sz w:val="22"/>
                <w:szCs w:val="22"/>
              </w:rPr>
            </w:pPr>
            <w:r w:rsidRPr="00805647">
              <w:rPr>
                <w:color w:val="000000"/>
                <w:sz w:val="22"/>
                <w:szCs w:val="22"/>
              </w:rPr>
              <w:t>249</w:t>
            </w:r>
          </w:p>
        </w:tc>
        <w:tc>
          <w:tcPr>
            <w:tcW w:w="1342" w:type="dxa"/>
            <w:tcBorders>
              <w:top w:val="nil"/>
              <w:left w:val="nil"/>
              <w:bottom w:val="nil"/>
              <w:right w:val="nil"/>
            </w:tcBorders>
            <w:shd w:val="clear" w:color="000000" w:fill="FFFFFF"/>
            <w:vAlign w:val="bottom"/>
          </w:tcPr>
          <w:p w:rsidR="00466C75" w:rsidRPr="00805647" w:rsidRDefault="00466C75" w:rsidP="00466C75">
            <w:pPr>
              <w:spacing w:before="0" w:after="0"/>
              <w:jc w:val="right"/>
              <w:rPr>
                <w:color w:val="000000"/>
                <w:sz w:val="22"/>
                <w:szCs w:val="22"/>
              </w:rPr>
            </w:pPr>
            <w:r w:rsidRPr="00805647">
              <w:rPr>
                <w:color w:val="000000"/>
                <w:sz w:val="22"/>
                <w:szCs w:val="22"/>
              </w:rPr>
              <w:t>-</w:t>
            </w:r>
          </w:p>
        </w:tc>
      </w:tr>
      <w:tr w:rsidR="00466C75" w:rsidRPr="00A21277" w:rsidTr="004448E5">
        <w:trPr>
          <w:trHeight w:val="273"/>
        </w:trPr>
        <w:tc>
          <w:tcPr>
            <w:tcW w:w="1293" w:type="dxa"/>
            <w:tcBorders>
              <w:top w:val="nil"/>
              <w:left w:val="nil"/>
              <w:right w:val="nil"/>
            </w:tcBorders>
            <w:shd w:val="clear" w:color="auto" w:fill="auto"/>
            <w:noWrap/>
            <w:vAlign w:val="bottom"/>
          </w:tcPr>
          <w:p w:rsidR="00466C75" w:rsidRPr="00805647" w:rsidRDefault="00466C75" w:rsidP="00466C75">
            <w:pPr>
              <w:spacing w:before="0" w:after="0"/>
              <w:rPr>
                <w:color w:val="000000"/>
                <w:sz w:val="22"/>
                <w:szCs w:val="22"/>
              </w:rPr>
            </w:pPr>
          </w:p>
        </w:tc>
        <w:tc>
          <w:tcPr>
            <w:tcW w:w="999" w:type="dxa"/>
            <w:tcBorders>
              <w:top w:val="nil"/>
              <w:left w:val="nil"/>
              <w:right w:val="nil"/>
            </w:tcBorders>
            <w:shd w:val="clear" w:color="000000" w:fill="FFFFFF"/>
            <w:vAlign w:val="bottom"/>
          </w:tcPr>
          <w:p w:rsidR="00466C75" w:rsidRPr="00805647" w:rsidRDefault="00466C75" w:rsidP="00466C75">
            <w:pPr>
              <w:spacing w:before="0" w:after="0"/>
              <w:rPr>
                <w:color w:val="000000"/>
                <w:sz w:val="22"/>
                <w:szCs w:val="22"/>
              </w:rPr>
            </w:pPr>
          </w:p>
        </w:tc>
        <w:tc>
          <w:tcPr>
            <w:tcW w:w="1342" w:type="dxa"/>
            <w:tcBorders>
              <w:top w:val="nil"/>
              <w:left w:val="nil"/>
              <w:right w:val="nil"/>
            </w:tcBorders>
            <w:shd w:val="clear" w:color="000000" w:fill="FFFFFF"/>
            <w:vAlign w:val="bottom"/>
          </w:tcPr>
          <w:p w:rsidR="00466C75" w:rsidRPr="00805647" w:rsidRDefault="00466C75" w:rsidP="00466C75">
            <w:pPr>
              <w:spacing w:before="0" w:after="0"/>
              <w:jc w:val="right"/>
              <w:rPr>
                <w:i/>
                <w:iCs/>
                <w:color w:val="000000"/>
                <w:sz w:val="22"/>
                <w:szCs w:val="22"/>
              </w:rPr>
            </w:pPr>
            <w:r w:rsidRPr="00805647">
              <w:rPr>
                <w:i/>
                <w:iCs/>
                <w:color w:val="000000"/>
                <w:sz w:val="22"/>
                <w:szCs w:val="22"/>
              </w:rPr>
              <w:t> </w:t>
            </w:r>
          </w:p>
        </w:tc>
        <w:tc>
          <w:tcPr>
            <w:tcW w:w="999" w:type="dxa"/>
            <w:tcBorders>
              <w:top w:val="nil"/>
              <w:left w:val="nil"/>
              <w:right w:val="nil"/>
            </w:tcBorders>
            <w:shd w:val="clear" w:color="000000" w:fill="FFFFFF"/>
            <w:vAlign w:val="bottom"/>
          </w:tcPr>
          <w:p w:rsidR="00466C75" w:rsidRPr="00805647" w:rsidRDefault="00466C75" w:rsidP="00466C75">
            <w:pPr>
              <w:spacing w:before="0" w:after="0"/>
              <w:rPr>
                <w:color w:val="000000"/>
                <w:sz w:val="22"/>
                <w:szCs w:val="22"/>
              </w:rPr>
            </w:pPr>
          </w:p>
        </w:tc>
        <w:tc>
          <w:tcPr>
            <w:tcW w:w="1342" w:type="dxa"/>
            <w:tcBorders>
              <w:top w:val="nil"/>
              <w:left w:val="nil"/>
              <w:right w:val="nil"/>
            </w:tcBorders>
            <w:shd w:val="clear" w:color="000000" w:fill="FFFFFF"/>
            <w:vAlign w:val="bottom"/>
          </w:tcPr>
          <w:p w:rsidR="00466C75" w:rsidRPr="00805647" w:rsidRDefault="00466C75" w:rsidP="00466C75">
            <w:pPr>
              <w:spacing w:before="0" w:after="0"/>
              <w:jc w:val="right"/>
              <w:rPr>
                <w:i/>
                <w:iCs/>
                <w:color w:val="000000"/>
                <w:sz w:val="22"/>
                <w:szCs w:val="22"/>
              </w:rPr>
            </w:pPr>
            <w:r w:rsidRPr="00805647">
              <w:rPr>
                <w:i/>
                <w:iCs/>
                <w:color w:val="000000"/>
                <w:sz w:val="22"/>
                <w:szCs w:val="22"/>
              </w:rPr>
              <w:t> </w:t>
            </w:r>
          </w:p>
        </w:tc>
        <w:tc>
          <w:tcPr>
            <w:tcW w:w="1012" w:type="dxa"/>
            <w:tcBorders>
              <w:top w:val="nil"/>
              <w:left w:val="nil"/>
              <w:right w:val="nil"/>
            </w:tcBorders>
            <w:shd w:val="clear" w:color="000000" w:fill="FFFFFF"/>
            <w:vAlign w:val="bottom"/>
          </w:tcPr>
          <w:p w:rsidR="00466C75" w:rsidRPr="00805647" w:rsidRDefault="00466C75" w:rsidP="00466C75">
            <w:pPr>
              <w:spacing w:before="0" w:after="0"/>
              <w:rPr>
                <w:color w:val="000000"/>
                <w:sz w:val="22"/>
                <w:szCs w:val="22"/>
              </w:rPr>
            </w:pPr>
          </w:p>
        </w:tc>
        <w:tc>
          <w:tcPr>
            <w:tcW w:w="1342" w:type="dxa"/>
            <w:tcBorders>
              <w:top w:val="nil"/>
              <w:left w:val="nil"/>
              <w:right w:val="nil"/>
            </w:tcBorders>
            <w:shd w:val="clear" w:color="000000" w:fill="FFFFFF"/>
            <w:vAlign w:val="bottom"/>
          </w:tcPr>
          <w:p w:rsidR="00466C75" w:rsidRPr="00805647" w:rsidRDefault="00466C75" w:rsidP="00466C75">
            <w:pPr>
              <w:spacing w:before="0" w:after="0"/>
              <w:jc w:val="right"/>
              <w:rPr>
                <w:i/>
                <w:iCs/>
                <w:color w:val="000000"/>
                <w:sz w:val="22"/>
                <w:szCs w:val="22"/>
              </w:rPr>
            </w:pPr>
            <w:r w:rsidRPr="00805647">
              <w:rPr>
                <w:i/>
                <w:iCs/>
                <w:color w:val="000000"/>
                <w:sz w:val="22"/>
                <w:szCs w:val="22"/>
              </w:rPr>
              <w:t> </w:t>
            </w:r>
          </w:p>
        </w:tc>
        <w:tc>
          <w:tcPr>
            <w:tcW w:w="1012" w:type="dxa"/>
            <w:tcBorders>
              <w:top w:val="nil"/>
              <w:left w:val="nil"/>
              <w:right w:val="nil"/>
            </w:tcBorders>
            <w:shd w:val="clear" w:color="auto" w:fill="auto"/>
            <w:noWrap/>
            <w:vAlign w:val="bottom"/>
          </w:tcPr>
          <w:p w:rsidR="00466C75" w:rsidRPr="00805647" w:rsidRDefault="00466C75" w:rsidP="00466C75">
            <w:pPr>
              <w:spacing w:before="0" w:after="0"/>
              <w:rPr>
                <w:color w:val="000000"/>
                <w:sz w:val="22"/>
                <w:szCs w:val="22"/>
              </w:rPr>
            </w:pPr>
          </w:p>
        </w:tc>
        <w:tc>
          <w:tcPr>
            <w:tcW w:w="1342" w:type="dxa"/>
            <w:tcBorders>
              <w:top w:val="nil"/>
              <w:left w:val="nil"/>
              <w:right w:val="nil"/>
            </w:tcBorders>
            <w:shd w:val="clear" w:color="000000" w:fill="FFFFFF"/>
            <w:vAlign w:val="bottom"/>
          </w:tcPr>
          <w:p w:rsidR="00466C75" w:rsidRPr="00805647" w:rsidRDefault="00466C75" w:rsidP="00466C75">
            <w:pPr>
              <w:spacing w:before="0" w:after="0"/>
              <w:jc w:val="right"/>
              <w:rPr>
                <w:i/>
                <w:iCs/>
                <w:color w:val="000000"/>
                <w:sz w:val="22"/>
                <w:szCs w:val="22"/>
              </w:rPr>
            </w:pPr>
            <w:r w:rsidRPr="00805647">
              <w:rPr>
                <w:i/>
                <w:iCs/>
                <w:color w:val="000000"/>
                <w:sz w:val="22"/>
                <w:szCs w:val="22"/>
              </w:rPr>
              <w:t> </w:t>
            </w:r>
          </w:p>
        </w:tc>
      </w:tr>
      <w:tr w:rsidR="00466C75" w:rsidRPr="00A21277" w:rsidTr="004448E5">
        <w:trPr>
          <w:trHeight w:val="273"/>
        </w:trPr>
        <w:tc>
          <w:tcPr>
            <w:tcW w:w="1293" w:type="dxa"/>
            <w:tcBorders>
              <w:top w:val="nil"/>
              <w:left w:val="nil"/>
              <w:bottom w:val="single" w:sz="4" w:space="0" w:color="auto"/>
              <w:right w:val="nil"/>
            </w:tcBorders>
            <w:shd w:val="clear" w:color="auto" w:fill="auto"/>
            <w:noWrap/>
            <w:vAlign w:val="bottom"/>
          </w:tcPr>
          <w:p w:rsidR="00466C75" w:rsidRPr="00805647" w:rsidRDefault="00466C75" w:rsidP="00466C75">
            <w:pPr>
              <w:spacing w:before="0" w:after="0"/>
              <w:rPr>
                <w:b/>
                <w:bCs/>
                <w:color w:val="000000"/>
                <w:sz w:val="22"/>
                <w:szCs w:val="22"/>
              </w:rPr>
            </w:pPr>
            <w:r w:rsidRPr="00805647">
              <w:rPr>
                <w:b/>
                <w:bCs/>
                <w:color w:val="000000"/>
                <w:sz w:val="22"/>
                <w:szCs w:val="22"/>
              </w:rPr>
              <w:t>Total</w:t>
            </w:r>
          </w:p>
        </w:tc>
        <w:tc>
          <w:tcPr>
            <w:tcW w:w="999" w:type="dxa"/>
            <w:tcBorders>
              <w:top w:val="nil"/>
              <w:left w:val="nil"/>
              <w:bottom w:val="single" w:sz="4" w:space="0" w:color="auto"/>
              <w:right w:val="nil"/>
            </w:tcBorders>
            <w:shd w:val="clear" w:color="auto" w:fill="auto"/>
            <w:noWrap/>
            <w:vAlign w:val="bottom"/>
          </w:tcPr>
          <w:p w:rsidR="00466C75" w:rsidRPr="00805647" w:rsidRDefault="00466C75" w:rsidP="00466C75">
            <w:pPr>
              <w:spacing w:before="0" w:after="0"/>
              <w:jc w:val="right"/>
              <w:rPr>
                <w:b/>
                <w:bCs/>
                <w:color w:val="000000"/>
                <w:sz w:val="22"/>
                <w:szCs w:val="22"/>
              </w:rPr>
            </w:pPr>
            <w:r w:rsidRPr="00805647">
              <w:rPr>
                <w:b/>
                <w:bCs/>
                <w:color w:val="000000"/>
                <w:sz w:val="22"/>
                <w:szCs w:val="22"/>
              </w:rPr>
              <w:t>82,875</w:t>
            </w:r>
          </w:p>
        </w:tc>
        <w:tc>
          <w:tcPr>
            <w:tcW w:w="1342" w:type="dxa"/>
            <w:tcBorders>
              <w:top w:val="nil"/>
              <w:left w:val="nil"/>
              <w:bottom w:val="single" w:sz="4" w:space="0" w:color="auto"/>
              <w:right w:val="nil"/>
            </w:tcBorders>
            <w:shd w:val="clear" w:color="000000" w:fill="FFFFFF"/>
            <w:vAlign w:val="bottom"/>
          </w:tcPr>
          <w:p w:rsidR="00466C75" w:rsidRPr="00805647" w:rsidRDefault="00466C75" w:rsidP="00466C75">
            <w:pPr>
              <w:spacing w:before="0" w:after="0"/>
              <w:jc w:val="right"/>
              <w:rPr>
                <w:b/>
                <w:bCs/>
                <w:i/>
                <w:iCs/>
                <w:color w:val="000000"/>
                <w:sz w:val="22"/>
                <w:szCs w:val="22"/>
              </w:rPr>
            </w:pPr>
            <w:r w:rsidRPr="00805647">
              <w:rPr>
                <w:b/>
                <w:bCs/>
                <w:i/>
                <w:iCs/>
                <w:color w:val="000000"/>
                <w:sz w:val="22"/>
                <w:szCs w:val="22"/>
              </w:rPr>
              <w:t>100</w:t>
            </w:r>
          </w:p>
        </w:tc>
        <w:tc>
          <w:tcPr>
            <w:tcW w:w="999" w:type="dxa"/>
            <w:tcBorders>
              <w:top w:val="nil"/>
              <w:left w:val="nil"/>
              <w:bottom w:val="single" w:sz="4" w:space="0" w:color="auto"/>
              <w:right w:val="nil"/>
            </w:tcBorders>
            <w:shd w:val="clear" w:color="auto" w:fill="auto"/>
            <w:noWrap/>
            <w:vAlign w:val="bottom"/>
          </w:tcPr>
          <w:p w:rsidR="00466C75" w:rsidRPr="00805647" w:rsidRDefault="00466C75" w:rsidP="00466C75">
            <w:pPr>
              <w:spacing w:before="0" w:after="0"/>
              <w:jc w:val="right"/>
              <w:rPr>
                <w:b/>
                <w:bCs/>
                <w:color w:val="000000"/>
                <w:sz w:val="22"/>
                <w:szCs w:val="22"/>
              </w:rPr>
            </w:pPr>
            <w:r w:rsidRPr="00805647">
              <w:rPr>
                <w:b/>
                <w:bCs/>
                <w:color w:val="000000"/>
                <w:sz w:val="22"/>
                <w:szCs w:val="22"/>
              </w:rPr>
              <w:t>69,398</w:t>
            </w:r>
          </w:p>
        </w:tc>
        <w:tc>
          <w:tcPr>
            <w:tcW w:w="1342" w:type="dxa"/>
            <w:tcBorders>
              <w:top w:val="nil"/>
              <w:left w:val="nil"/>
              <w:bottom w:val="single" w:sz="4" w:space="0" w:color="auto"/>
              <w:right w:val="nil"/>
            </w:tcBorders>
            <w:shd w:val="clear" w:color="000000" w:fill="FFFFFF"/>
            <w:vAlign w:val="bottom"/>
          </w:tcPr>
          <w:p w:rsidR="00466C75" w:rsidRPr="00805647" w:rsidRDefault="00466C75" w:rsidP="00466C75">
            <w:pPr>
              <w:spacing w:before="0" w:after="0"/>
              <w:jc w:val="right"/>
              <w:rPr>
                <w:b/>
                <w:bCs/>
                <w:i/>
                <w:iCs/>
                <w:color w:val="000000"/>
                <w:sz w:val="22"/>
                <w:szCs w:val="22"/>
              </w:rPr>
            </w:pPr>
            <w:r w:rsidRPr="00805647">
              <w:rPr>
                <w:b/>
                <w:bCs/>
                <w:i/>
                <w:iCs/>
                <w:color w:val="000000"/>
                <w:sz w:val="22"/>
                <w:szCs w:val="22"/>
              </w:rPr>
              <w:t>100</w:t>
            </w:r>
          </w:p>
        </w:tc>
        <w:tc>
          <w:tcPr>
            <w:tcW w:w="1012" w:type="dxa"/>
            <w:tcBorders>
              <w:top w:val="nil"/>
              <w:left w:val="nil"/>
              <w:bottom w:val="single" w:sz="4" w:space="0" w:color="auto"/>
              <w:right w:val="nil"/>
            </w:tcBorders>
            <w:shd w:val="clear" w:color="auto" w:fill="auto"/>
            <w:noWrap/>
            <w:vAlign w:val="bottom"/>
          </w:tcPr>
          <w:p w:rsidR="00466C75" w:rsidRPr="00805647" w:rsidRDefault="00466C75" w:rsidP="00466C75">
            <w:pPr>
              <w:spacing w:before="0" w:after="0"/>
              <w:jc w:val="right"/>
              <w:rPr>
                <w:b/>
                <w:bCs/>
                <w:color w:val="000000"/>
                <w:sz w:val="22"/>
                <w:szCs w:val="22"/>
              </w:rPr>
            </w:pPr>
            <w:r w:rsidRPr="00805647">
              <w:rPr>
                <w:b/>
                <w:bCs/>
                <w:color w:val="000000"/>
                <w:sz w:val="22"/>
                <w:szCs w:val="22"/>
              </w:rPr>
              <w:t>113,743</w:t>
            </w:r>
          </w:p>
        </w:tc>
        <w:tc>
          <w:tcPr>
            <w:tcW w:w="1342" w:type="dxa"/>
            <w:tcBorders>
              <w:top w:val="nil"/>
              <w:left w:val="nil"/>
              <w:bottom w:val="single" w:sz="4" w:space="0" w:color="auto"/>
              <w:right w:val="nil"/>
            </w:tcBorders>
            <w:shd w:val="clear" w:color="000000" w:fill="FFFFFF"/>
            <w:vAlign w:val="bottom"/>
          </w:tcPr>
          <w:p w:rsidR="00466C75" w:rsidRPr="00805647" w:rsidRDefault="00466C75" w:rsidP="00466C75">
            <w:pPr>
              <w:spacing w:before="0" w:after="0"/>
              <w:jc w:val="right"/>
              <w:rPr>
                <w:b/>
                <w:bCs/>
                <w:i/>
                <w:iCs/>
                <w:color w:val="000000"/>
                <w:sz w:val="22"/>
                <w:szCs w:val="22"/>
              </w:rPr>
            </w:pPr>
            <w:r w:rsidRPr="00805647">
              <w:rPr>
                <w:b/>
                <w:bCs/>
                <w:i/>
                <w:iCs/>
                <w:color w:val="000000"/>
                <w:sz w:val="22"/>
                <w:szCs w:val="22"/>
              </w:rPr>
              <w:t>100</w:t>
            </w:r>
          </w:p>
        </w:tc>
        <w:tc>
          <w:tcPr>
            <w:tcW w:w="1012" w:type="dxa"/>
            <w:tcBorders>
              <w:top w:val="nil"/>
              <w:left w:val="nil"/>
              <w:bottom w:val="single" w:sz="4" w:space="0" w:color="auto"/>
              <w:right w:val="nil"/>
            </w:tcBorders>
            <w:shd w:val="clear" w:color="auto" w:fill="auto"/>
            <w:noWrap/>
            <w:vAlign w:val="bottom"/>
          </w:tcPr>
          <w:p w:rsidR="00466C75" w:rsidRPr="00805647" w:rsidRDefault="00466C75" w:rsidP="00466C75">
            <w:pPr>
              <w:spacing w:before="0" w:after="0"/>
              <w:jc w:val="right"/>
              <w:rPr>
                <w:b/>
                <w:bCs/>
                <w:color w:val="000000"/>
                <w:sz w:val="22"/>
                <w:szCs w:val="22"/>
              </w:rPr>
            </w:pPr>
            <w:r w:rsidRPr="00805647">
              <w:rPr>
                <w:b/>
                <w:bCs/>
                <w:color w:val="000000"/>
                <w:sz w:val="22"/>
                <w:szCs w:val="22"/>
              </w:rPr>
              <w:t>266,016</w:t>
            </w:r>
          </w:p>
        </w:tc>
        <w:tc>
          <w:tcPr>
            <w:tcW w:w="1342" w:type="dxa"/>
            <w:tcBorders>
              <w:top w:val="nil"/>
              <w:left w:val="nil"/>
              <w:bottom w:val="single" w:sz="4" w:space="0" w:color="auto"/>
              <w:right w:val="nil"/>
            </w:tcBorders>
            <w:shd w:val="clear" w:color="000000" w:fill="FFFFFF"/>
            <w:vAlign w:val="bottom"/>
          </w:tcPr>
          <w:p w:rsidR="00466C75" w:rsidRPr="00805647" w:rsidRDefault="00466C75" w:rsidP="00466C75">
            <w:pPr>
              <w:spacing w:before="0" w:after="0"/>
              <w:jc w:val="right"/>
              <w:rPr>
                <w:b/>
                <w:bCs/>
                <w:i/>
                <w:iCs/>
                <w:color w:val="000000"/>
                <w:sz w:val="22"/>
                <w:szCs w:val="22"/>
              </w:rPr>
            </w:pPr>
            <w:r w:rsidRPr="00805647">
              <w:rPr>
                <w:b/>
                <w:bCs/>
                <w:i/>
                <w:iCs/>
                <w:color w:val="000000"/>
                <w:sz w:val="22"/>
                <w:szCs w:val="22"/>
              </w:rPr>
              <w:t>100</w:t>
            </w:r>
          </w:p>
        </w:tc>
      </w:tr>
    </w:tbl>
    <w:p w:rsidR="00101615" w:rsidRPr="00A21277" w:rsidRDefault="00101615" w:rsidP="00101615">
      <w:pPr>
        <w:spacing w:before="0" w:after="0" w:line="270" w:lineRule="atLeast"/>
        <w:jc w:val="both"/>
        <w:rPr>
          <w:sz w:val="22"/>
          <w:szCs w:val="22"/>
        </w:rPr>
      </w:pPr>
    </w:p>
    <w:tbl>
      <w:tblPr>
        <w:tblW w:w="10647" w:type="dxa"/>
        <w:tblInd w:w="93" w:type="dxa"/>
        <w:tblLook w:val="04A0" w:firstRow="1" w:lastRow="0" w:firstColumn="1" w:lastColumn="0" w:noHBand="0" w:noVBand="1"/>
      </w:tblPr>
      <w:tblGrid>
        <w:gridCol w:w="10647"/>
      </w:tblGrid>
      <w:tr w:rsidR="00247DB2" w:rsidRPr="00247DB2" w:rsidTr="00247DB2">
        <w:trPr>
          <w:trHeight w:val="285"/>
        </w:trPr>
        <w:tc>
          <w:tcPr>
            <w:tcW w:w="10647" w:type="dxa"/>
            <w:tcBorders>
              <w:top w:val="nil"/>
              <w:left w:val="nil"/>
              <w:bottom w:val="nil"/>
              <w:right w:val="nil"/>
            </w:tcBorders>
            <w:shd w:val="clear" w:color="auto" w:fill="auto"/>
            <w:noWrap/>
            <w:vAlign w:val="bottom"/>
            <w:hideMark/>
          </w:tcPr>
          <w:p w:rsidR="00247DB2" w:rsidRPr="00247DB2" w:rsidRDefault="00247DB2" w:rsidP="00817954">
            <w:pPr>
              <w:spacing w:before="0" w:after="0"/>
              <w:jc w:val="both"/>
              <w:rPr>
                <w:color w:val="000000"/>
                <w:szCs w:val="24"/>
              </w:rPr>
            </w:pPr>
            <w:r w:rsidRPr="00247DB2">
              <w:rPr>
                <w:color w:val="000000"/>
                <w:szCs w:val="24"/>
                <w:vertAlign w:val="superscript"/>
              </w:rPr>
              <w:t>1</w:t>
            </w:r>
            <w:r w:rsidRPr="00247DB2">
              <w:rPr>
                <w:color w:val="000000"/>
                <w:szCs w:val="24"/>
              </w:rPr>
              <w:t xml:space="preserve"> Percentage of ECO measures is calculated only for those ECO measures where the property type</w:t>
            </w:r>
            <w:r w:rsidRPr="00247DB2">
              <w:rPr>
                <w:color w:val="FF0000"/>
                <w:szCs w:val="24"/>
              </w:rPr>
              <w:t xml:space="preserve"> </w:t>
            </w:r>
            <w:r w:rsidRPr="00247DB2">
              <w:rPr>
                <w:color w:val="000000"/>
                <w:szCs w:val="24"/>
              </w:rPr>
              <w:t>is known</w:t>
            </w:r>
          </w:p>
        </w:tc>
      </w:tr>
      <w:tr w:rsidR="00247DB2" w:rsidRPr="00247DB2" w:rsidTr="00247DB2">
        <w:trPr>
          <w:trHeight w:val="285"/>
        </w:trPr>
        <w:tc>
          <w:tcPr>
            <w:tcW w:w="10647" w:type="dxa"/>
            <w:tcBorders>
              <w:top w:val="nil"/>
              <w:left w:val="nil"/>
              <w:bottom w:val="nil"/>
              <w:right w:val="nil"/>
            </w:tcBorders>
            <w:shd w:val="clear" w:color="auto" w:fill="auto"/>
            <w:noWrap/>
            <w:vAlign w:val="bottom"/>
            <w:hideMark/>
          </w:tcPr>
          <w:p w:rsidR="00247DB2" w:rsidRPr="00247DB2" w:rsidRDefault="00247DB2" w:rsidP="00817954">
            <w:pPr>
              <w:spacing w:before="0" w:after="0"/>
              <w:jc w:val="both"/>
              <w:rPr>
                <w:color w:val="000000"/>
                <w:szCs w:val="24"/>
              </w:rPr>
            </w:pPr>
            <w:r w:rsidRPr="00247DB2">
              <w:rPr>
                <w:color w:val="000000"/>
                <w:szCs w:val="24"/>
                <w:vertAlign w:val="superscript"/>
              </w:rPr>
              <w:t xml:space="preserve">2 </w:t>
            </w:r>
            <w:r w:rsidRPr="00247DB2">
              <w:rPr>
                <w:color w:val="000000"/>
                <w:szCs w:val="24"/>
              </w:rPr>
              <w:t>Unknown property type includes 19 mobile homes</w:t>
            </w:r>
          </w:p>
        </w:tc>
      </w:tr>
    </w:tbl>
    <w:p w:rsidR="00101615" w:rsidRDefault="00101615" w:rsidP="00415EE4">
      <w:pPr>
        <w:spacing w:before="0" w:after="0" w:line="270" w:lineRule="atLeast"/>
      </w:pPr>
    </w:p>
    <w:p w:rsidR="00101615" w:rsidRDefault="00101615" w:rsidP="00415EE4">
      <w:pPr>
        <w:spacing w:before="0" w:after="0" w:line="270" w:lineRule="atLeast"/>
      </w:pPr>
    </w:p>
    <w:p w:rsidR="00101615" w:rsidRDefault="00101615" w:rsidP="00415EE4">
      <w:pPr>
        <w:spacing w:before="0" w:after="0" w:line="270" w:lineRule="atLeast"/>
      </w:pPr>
    </w:p>
    <w:p w:rsidR="00101615" w:rsidRDefault="00101615" w:rsidP="00415EE4">
      <w:pPr>
        <w:spacing w:before="0" w:after="0" w:line="270" w:lineRule="atLeast"/>
      </w:pPr>
    </w:p>
    <w:p w:rsidR="00101615" w:rsidRDefault="00101615" w:rsidP="00415EE4">
      <w:pPr>
        <w:spacing w:before="0" w:after="0" w:line="270" w:lineRule="atLeast"/>
      </w:pPr>
    </w:p>
    <w:p w:rsidR="00101615" w:rsidRDefault="00101615" w:rsidP="00415EE4">
      <w:pPr>
        <w:spacing w:before="0" w:after="0" w:line="270" w:lineRule="atLeast"/>
      </w:pPr>
    </w:p>
    <w:p w:rsidR="00805647" w:rsidRPr="00A21277" w:rsidRDefault="00817954" w:rsidP="00805647">
      <w:pPr>
        <w:spacing w:before="0" w:after="0" w:line="270" w:lineRule="atLeast"/>
        <w:rPr>
          <w:b/>
          <w:bCs/>
        </w:rPr>
      </w:pPr>
      <w:r>
        <w:rPr>
          <w:b/>
          <w:bCs/>
        </w:rPr>
        <w:lastRenderedPageBreak/>
        <w:t>Table 1.11</w:t>
      </w:r>
      <w:r w:rsidR="00805647" w:rsidRPr="00805647">
        <w:rPr>
          <w:b/>
          <w:bCs/>
        </w:rPr>
        <w:t xml:space="preserve">b: Provisional number of households </w:t>
      </w:r>
      <w:r w:rsidR="007502AA">
        <w:rPr>
          <w:b/>
          <w:bCs/>
        </w:rPr>
        <w:t xml:space="preserve">in </w:t>
      </w:r>
      <w:r w:rsidR="00805647" w:rsidRPr="00805647">
        <w:rPr>
          <w:b/>
          <w:bCs/>
        </w:rPr>
        <w:t>recei</w:t>
      </w:r>
      <w:r w:rsidR="007502AA">
        <w:rPr>
          <w:b/>
          <w:bCs/>
        </w:rPr>
        <w:t>pt of</w:t>
      </w:r>
      <w:r w:rsidR="00805647" w:rsidRPr="00805647">
        <w:rPr>
          <w:b/>
          <w:bCs/>
        </w:rPr>
        <w:t xml:space="preserve"> ECO measures by tenure and ECO obligation, up to 30th September 201</w:t>
      </w:r>
      <w:r w:rsidR="00BA6A48">
        <w:rPr>
          <w:b/>
          <w:bCs/>
        </w:rPr>
        <w:t xml:space="preserve">3 </w:t>
      </w:r>
      <w:r w:rsidR="00BA6A48" w:rsidRPr="00BA6A48">
        <w:rPr>
          <w:b/>
          <w:bCs/>
          <w:vertAlign w:val="superscript"/>
        </w:rPr>
        <w:t>1</w:t>
      </w:r>
    </w:p>
    <w:tbl>
      <w:tblPr>
        <w:tblW w:w="10585" w:type="dxa"/>
        <w:tblInd w:w="-34" w:type="dxa"/>
        <w:tblLook w:val="04A0" w:firstRow="1" w:lastRow="0" w:firstColumn="1" w:lastColumn="0" w:noHBand="0" w:noVBand="1"/>
      </w:tblPr>
      <w:tblGrid>
        <w:gridCol w:w="1195"/>
        <w:gridCol w:w="999"/>
        <w:gridCol w:w="1342"/>
        <w:gridCol w:w="999"/>
        <w:gridCol w:w="1342"/>
        <w:gridCol w:w="1012"/>
        <w:gridCol w:w="1342"/>
        <w:gridCol w:w="1012"/>
        <w:gridCol w:w="1342"/>
      </w:tblGrid>
      <w:tr w:rsidR="00805647" w:rsidRPr="00A21277" w:rsidTr="00247DB2">
        <w:trPr>
          <w:trHeight w:val="273"/>
        </w:trPr>
        <w:tc>
          <w:tcPr>
            <w:tcW w:w="1195" w:type="dxa"/>
            <w:tcBorders>
              <w:top w:val="nil"/>
              <w:left w:val="nil"/>
              <w:bottom w:val="nil"/>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p>
        </w:tc>
        <w:tc>
          <w:tcPr>
            <w:tcW w:w="999" w:type="dxa"/>
            <w:tcBorders>
              <w:top w:val="nil"/>
              <w:left w:val="nil"/>
              <w:bottom w:val="single" w:sz="4" w:space="0" w:color="auto"/>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single" w:sz="4" w:space="0" w:color="auto"/>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r w:rsidRPr="00A21277">
              <w:rPr>
                <w:color w:val="000000"/>
                <w:sz w:val="22"/>
                <w:szCs w:val="22"/>
                <w:lang w:eastAsia="en-GB"/>
              </w:rPr>
              <w:t> </w:t>
            </w:r>
          </w:p>
        </w:tc>
        <w:tc>
          <w:tcPr>
            <w:tcW w:w="999" w:type="dxa"/>
            <w:tcBorders>
              <w:top w:val="nil"/>
              <w:left w:val="nil"/>
              <w:bottom w:val="single" w:sz="4" w:space="0" w:color="auto"/>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nil"/>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p>
        </w:tc>
        <w:tc>
          <w:tcPr>
            <w:tcW w:w="1012" w:type="dxa"/>
            <w:tcBorders>
              <w:top w:val="nil"/>
              <w:left w:val="nil"/>
              <w:bottom w:val="nil"/>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p>
        </w:tc>
        <w:tc>
          <w:tcPr>
            <w:tcW w:w="1342" w:type="dxa"/>
            <w:tcBorders>
              <w:top w:val="nil"/>
              <w:left w:val="nil"/>
              <w:bottom w:val="single" w:sz="4" w:space="0" w:color="auto"/>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r w:rsidRPr="00A21277">
              <w:rPr>
                <w:color w:val="000000"/>
                <w:sz w:val="22"/>
                <w:szCs w:val="22"/>
                <w:lang w:eastAsia="en-GB"/>
              </w:rPr>
              <w:t> </w:t>
            </w:r>
          </w:p>
        </w:tc>
        <w:tc>
          <w:tcPr>
            <w:tcW w:w="1012" w:type="dxa"/>
            <w:tcBorders>
              <w:top w:val="nil"/>
              <w:left w:val="nil"/>
              <w:bottom w:val="single" w:sz="4" w:space="0" w:color="auto"/>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single" w:sz="4" w:space="0" w:color="auto"/>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r w:rsidRPr="00A21277">
              <w:rPr>
                <w:color w:val="000000"/>
                <w:sz w:val="22"/>
                <w:szCs w:val="22"/>
                <w:lang w:eastAsia="en-GB"/>
              </w:rPr>
              <w:t> </w:t>
            </w:r>
          </w:p>
        </w:tc>
      </w:tr>
      <w:tr w:rsidR="00805647" w:rsidRPr="00A21277" w:rsidTr="00247DB2">
        <w:trPr>
          <w:trHeight w:val="273"/>
        </w:trPr>
        <w:tc>
          <w:tcPr>
            <w:tcW w:w="1195" w:type="dxa"/>
            <w:tcBorders>
              <w:top w:val="single" w:sz="4" w:space="0" w:color="auto"/>
              <w:left w:val="nil"/>
              <w:bottom w:val="nil"/>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r w:rsidRPr="00A21277">
              <w:rPr>
                <w:color w:val="000000"/>
                <w:sz w:val="22"/>
                <w:szCs w:val="22"/>
                <w:lang w:eastAsia="en-GB"/>
              </w:rPr>
              <w:t> </w:t>
            </w:r>
          </w:p>
        </w:tc>
        <w:tc>
          <w:tcPr>
            <w:tcW w:w="999" w:type="dxa"/>
            <w:tcBorders>
              <w:top w:val="nil"/>
              <w:left w:val="nil"/>
              <w:bottom w:val="single" w:sz="4" w:space="0" w:color="auto"/>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single" w:sz="4" w:space="0" w:color="auto"/>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r w:rsidRPr="00A21277">
              <w:rPr>
                <w:color w:val="000000"/>
                <w:sz w:val="22"/>
                <w:szCs w:val="22"/>
                <w:lang w:eastAsia="en-GB"/>
              </w:rPr>
              <w:t> </w:t>
            </w:r>
          </w:p>
        </w:tc>
        <w:tc>
          <w:tcPr>
            <w:tcW w:w="3353" w:type="dxa"/>
            <w:gridSpan w:val="3"/>
            <w:tcBorders>
              <w:top w:val="single" w:sz="4" w:space="0" w:color="auto"/>
              <w:left w:val="nil"/>
              <w:bottom w:val="single" w:sz="4" w:space="0" w:color="auto"/>
              <w:right w:val="nil"/>
            </w:tcBorders>
            <w:shd w:val="clear" w:color="000000" w:fill="FFFFFF"/>
            <w:noWrap/>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Obligation</w:t>
            </w:r>
          </w:p>
        </w:tc>
        <w:tc>
          <w:tcPr>
            <w:tcW w:w="1342" w:type="dxa"/>
            <w:tcBorders>
              <w:top w:val="nil"/>
              <w:left w:val="nil"/>
              <w:bottom w:val="nil"/>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p>
        </w:tc>
        <w:tc>
          <w:tcPr>
            <w:tcW w:w="2354" w:type="dxa"/>
            <w:gridSpan w:val="2"/>
            <w:vMerge w:val="restart"/>
            <w:tcBorders>
              <w:top w:val="nil"/>
              <w:left w:val="nil"/>
              <w:bottom w:val="single" w:sz="4" w:space="0" w:color="000000"/>
              <w:right w:val="nil"/>
            </w:tcBorders>
            <w:shd w:val="clear" w:color="000000" w:fill="FFFFFF"/>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 xml:space="preserve">Total number of ECO measures delivered </w:t>
            </w:r>
            <w:r w:rsidRPr="00A21277">
              <w:rPr>
                <w:color w:val="000000"/>
                <w:sz w:val="22"/>
                <w:szCs w:val="22"/>
                <w:vertAlign w:val="superscript"/>
                <w:lang w:eastAsia="en-GB"/>
              </w:rPr>
              <w:t>1</w:t>
            </w:r>
          </w:p>
        </w:tc>
      </w:tr>
      <w:tr w:rsidR="00805647" w:rsidRPr="00A21277" w:rsidTr="00247DB2">
        <w:trPr>
          <w:trHeight w:val="515"/>
        </w:trPr>
        <w:tc>
          <w:tcPr>
            <w:tcW w:w="1195" w:type="dxa"/>
            <w:vMerge w:val="restart"/>
            <w:tcBorders>
              <w:top w:val="nil"/>
              <w:left w:val="nil"/>
              <w:bottom w:val="single" w:sz="4" w:space="0" w:color="000000"/>
              <w:right w:val="nil"/>
            </w:tcBorders>
            <w:shd w:val="clear" w:color="auto" w:fill="auto"/>
            <w:noWrap/>
            <w:vAlign w:val="center"/>
            <w:hideMark/>
          </w:tcPr>
          <w:p w:rsidR="00805647" w:rsidRPr="00A21277" w:rsidRDefault="00247DB2" w:rsidP="00247DB2">
            <w:pPr>
              <w:spacing w:before="0" w:after="0" w:line="240" w:lineRule="auto"/>
              <w:rPr>
                <w:color w:val="000000"/>
                <w:sz w:val="22"/>
                <w:szCs w:val="22"/>
                <w:lang w:eastAsia="en-GB"/>
              </w:rPr>
            </w:pPr>
            <w:r>
              <w:rPr>
                <w:color w:val="000000"/>
                <w:sz w:val="22"/>
                <w:szCs w:val="22"/>
                <w:lang w:eastAsia="en-GB"/>
              </w:rPr>
              <w:t>Tenure</w:t>
            </w:r>
          </w:p>
        </w:tc>
        <w:tc>
          <w:tcPr>
            <w:tcW w:w="2341" w:type="dxa"/>
            <w:gridSpan w:val="2"/>
            <w:tcBorders>
              <w:top w:val="nil"/>
              <w:left w:val="nil"/>
              <w:bottom w:val="single" w:sz="4" w:space="0" w:color="auto"/>
              <w:right w:val="nil"/>
            </w:tcBorders>
            <w:shd w:val="clear" w:color="000000" w:fill="FFFFFF"/>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Carbon Saving Target (CSO)</w:t>
            </w:r>
          </w:p>
        </w:tc>
        <w:tc>
          <w:tcPr>
            <w:tcW w:w="2341" w:type="dxa"/>
            <w:gridSpan w:val="2"/>
            <w:tcBorders>
              <w:top w:val="nil"/>
              <w:left w:val="nil"/>
              <w:bottom w:val="single" w:sz="4" w:space="0" w:color="auto"/>
              <w:right w:val="nil"/>
            </w:tcBorders>
            <w:shd w:val="clear" w:color="000000" w:fill="FFFFFF"/>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Carbon Savings Community (CSCO)</w:t>
            </w:r>
          </w:p>
        </w:tc>
        <w:tc>
          <w:tcPr>
            <w:tcW w:w="2354" w:type="dxa"/>
            <w:gridSpan w:val="2"/>
            <w:tcBorders>
              <w:top w:val="single" w:sz="4" w:space="0" w:color="auto"/>
              <w:left w:val="nil"/>
              <w:bottom w:val="single" w:sz="4" w:space="0" w:color="auto"/>
              <w:right w:val="nil"/>
            </w:tcBorders>
            <w:shd w:val="clear" w:color="000000" w:fill="FFFFFF"/>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Affordable Warmth (HHCRO)</w:t>
            </w:r>
            <w:r w:rsidR="00247DB2" w:rsidRPr="00247DB2">
              <w:rPr>
                <w:color w:val="000000"/>
                <w:sz w:val="22"/>
                <w:szCs w:val="22"/>
                <w:vertAlign w:val="superscript"/>
                <w:lang w:eastAsia="en-GB"/>
              </w:rPr>
              <w:t xml:space="preserve"> 2</w:t>
            </w:r>
          </w:p>
        </w:tc>
        <w:tc>
          <w:tcPr>
            <w:tcW w:w="2354" w:type="dxa"/>
            <w:gridSpan w:val="2"/>
            <w:vMerge/>
            <w:tcBorders>
              <w:top w:val="nil"/>
              <w:left w:val="nil"/>
              <w:bottom w:val="single" w:sz="4" w:space="0" w:color="000000"/>
              <w:right w:val="nil"/>
            </w:tcBorders>
            <w:vAlign w:val="center"/>
            <w:hideMark/>
          </w:tcPr>
          <w:p w:rsidR="00805647" w:rsidRPr="00A21277" w:rsidRDefault="00805647" w:rsidP="00247DB2">
            <w:pPr>
              <w:spacing w:before="0" w:after="0" w:line="240" w:lineRule="auto"/>
              <w:rPr>
                <w:color w:val="000000"/>
                <w:sz w:val="22"/>
                <w:szCs w:val="22"/>
                <w:lang w:eastAsia="en-GB"/>
              </w:rPr>
            </w:pPr>
          </w:p>
        </w:tc>
      </w:tr>
      <w:tr w:rsidR="00805647" w:rsidRPr="00A21277" w:rsidTr="00247DB2">
        <w:trPr>
          <w:trHeight w:val="256"/>
        </w:trPr>
        <w:tc>
          <w:tcPr>
            <w:tcW w:w="1195" w:type="dxa"/>
            <w:vMerge/>
            <w:tcBorders>
              <w:top w:val="nil"/>
              <w:left w:val="nil"/>
              <w:bottom w:val="single" w:sz="4" w:space="0" w:color="000000"/>
              <w:right w:val="nil"/>
            </w:tcBorders>
            <w:vAlign w:val="center"/>
            <w:hideMark/>
          </w:tcPr>
          <w:p w:rsidR="00805647" w:rsidRPr="00A21277" w:rsidRDefault="00805647" w:rsidP="00247DB2">
            <w:pPr>
              <w:spacing w:before="0" w:after="0" w:line="240" w:lineRule="auto"/>
              <w:rPr>
                <w:color w:val="000000"/>
                <w:sz w:val="22"/>
                <w:szCs w:val="22"/>
                <w:lang w:eastAsia="en-GB"/>
              </w:rPr>
            </w:pPr>
          </w:p>
        </w:tc>
        <w:tc>
          <w:tcPr>
            <w:tcW w:w="999" w:type="dxa"/>
            <w:tcBorders>
              <w:top w:val="nil"/>
              <w:left w:val="nil"/>
              <w:bottom w:val="nil"/>
              <w:right w:val="nil"/>
            </w:tcBorders>
            <w:shd w:val="clear" w:color="auto" w:fill="auto"/>
            <w:noWrap/>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nil"/>
              <w:right w:val="nil"/>
            </w:tcBorders>
            <w:shd w:val="clear" w:color="000000" w:fill="FFFFFF"/>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Percentage</w:t>
            </w:r>
          </w:p>
        </w:tc>
        <w:tc>
          <w:tcPr>
            <w:tcW w:w="999" w:type="dxa"/>
            <w:tcBorders>
              <w:top w:val="nil"/>
              <w:left w:val="nil"/>
              <w:bottom w:val="nil"/>
              <w:right w:val="nil"/>
            </w:tcBorders>
            <w:shd w:val="clear" w:color="auto" w:fill="auto"/>
            <w:noWrap/>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nil"/>
              <w:right w:val="nil"/>
            </w:tcBorders>
            <w:shd w:val="clear" w:color="000000" w:fill="FFFFFF"/>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Percentage</w:t>
            </w:r>
          </w:p>
        </w:tc>
        <w:tc>
          <w:tcPr>
            <w:tcW w:w="1012" w:type="dxa"/>
            <w:tcBorders>
              <w:top w:val="nil"/>
              <w:left w:val="nil"/>
              <w:bottom w:val="nil"/>
              <w:right w:val="nil"/>
            </w:tcBorders>
            <w:shd w:val="clear" w:color="auto" w:fill="auto"/>
            <w:noWrap/>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nil"/>
              <w:right w:val="nil"/>
            </w:tcBorders>
            <w:shd w:val="clear" w:color="000000" w:fill="FFFFFF"/>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Percentage</w:t>
            </w:r>
          </w:p>
        </w:tc>
        <w:tc>
          <w:tcPr>
            <w:tcW w:w="1012" w:type="dxa"/>
            <w:tcBorders>
              <w:top w:val="nil"/>
              <w:left w:val="nil"/>
              <w:bottom w:val="nil"/>
              <w:right w:val="nil"/>
            </w:tcBorders>
            <w:shd w:val="clear" w:color="auto" w:fill="auto"/>
            <w:noWrap/>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single" w:sz="4" w:space="0" w:color="auto"/>
              <w:right w:val="nil"/>
            </w:tcBorders>
            <w:shd w:val="clear" w:color="000000" w:fill="FFFFFF"/>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Percentage</w:t>
            </w:r>
          </w:p>
        </w:tc>
      </w:tr>
      <w:tr w:rsidR="004448E5" w:rsidRPr="00A21277" w:rsidTr="00247DB2">
        <w:trPr>
          <w:trHeight w:val="273"/>
        </w:trPr>
        <w:tc>
          <w:tcPr>
            <w:tcW w:w="1195" w:type="dxa"/>
            <w:tcBorders>
              <w:top w:val="nil"/>
              <w:left w:val="nil"/>
              <w:bottom w:val="nil"/>
              <w:right w:val="nil"/>
            </w:tcBorders>
            <w:shd w:val="clear" w:color="auto" w:fill="auto"/>
            <w:noWrap/>
            <w:vAlign w:val="bottom"/>
          </w:tcPr>
          <w:p w:rsidR="004448E5" w:rsidRPr="00247DB2" w:rsidRDefault="004448E5" w:rsidP="00247DB2">
            <w:pPr>
              <w:spacing w:before="0" w:after="0"/>
              <w:rPr>
                <w:color w:val="000000"/>
                <w:sz w:val="22"/>
                <w:szCs w:val="22"/>
              </w:rPr>
            </w:pPr>
            <w:r w:rsidRPr="00247DB2">
              <w:rPr>
                <w:color w:val="000000"/>
                <w:sz w:val="22"/>
                <w:szCs w:val="22"/>
              </w:rPr>
              <w:t>Owner-occupied</w:t>
            </w:r>
          </w:p>
        </w:tc>
        <w:tc>
          <w:tcPr>
            <w:tcW w:w="999" w:type="dxa"/>
            <w:tcBorders>
              <w:top w:val="single" w:sz="4" w:space="0" w:color="auto"/>
              <w:left w:val="nil"/>
              <w:bottom w:val="nil"/>
              <w:right w:val="nil"/>
            </w:tcBorders>
            <w:shd w:val="clear" w:color="auto" w:fill="auto"/>
            <w:noWrap/>
            <w:vAlign w:val="bottom"/>
          </w:tcPr>
          <w:p w:rsidR="004448E5" w:rsidRPr="004448E5" w:rsidRDefault="004448E5" w:rsidP="004448E5">
            <w:pPr>
              <w:spacing w:before="0" w:after="0"/>
              <w:jc w:val="right"/>
              <w:rPr>
                <w:color w:val="000000"/>
                <w:sz w:val="22"/>
                <w:szCs w:val="22"/>
              </w:rPr>
            </w:pPr>
            <w:r w:rsidRPr="004448E5">
              <w:rPr>
                <w:color w:val="000000"/>
                <w:sz w:val="22"/>
                <w:szCs w:val="22"/>
              </w:rPr>
              <w:t>55,687</w:t>
            </w:r>
          </w:p>
        </w:tc>
        <w:tc>
          <w:tcPr>
            <w:tcW w:w="1342" w:type="dxa"/>
            <w:tcBorders>
              <w:top w:val="single" w:sz="4" w:space="0" w:color="auto"/>
              <w:left w:val="nil"/>
              <w:bottom w:val="nil"/>
              <w:right w:val="nil"/>
            </w:tcBorders>
            <w:shd w:val="clear" w:color="000000" w:fill="FFFFFF"/>
            <w:vAlign w:val="bottom"/>
          </w:tcPr>
          <w:p w:rsidR="004448E5" w:rsidRPr="004448E5" w:rsidRDefault="004448E5" w:rsidP="004448E5">
            <w:pPr>
              <w:spacing w:before="0" w:after="0"/>
              <w:jc w:val="right"/>
              <w:rPr>
                <w:i/>
                <w:iCs/>
                <w:color w:val="000000"/>
                <w:sz w:val="22"/>
                <w:szCs w:val="22"/>
              </w:rPr>
            </w:pPr>
            <w:r w:rsidRPr="004448E5">
              <w:rPr>
                <w:i/>
                <w:iCs/>
                <w:color w:val="000000"/>
                <w:sz w:val="22"/>
                <w:szCs w:val="22"/>
              </w:rPr>
              <w:t>74.8</w:t>
            </w:r>
          </w:p>
        </w:tc>
        <w:tc>
          <w:tcPr>
            <w:tcW w:w="999" w:type="dxa"/>
            <w:tcBorders>
              <w:top w:val="single" w:sz="4" w:space="0" w:color="auto"/>
              <w:left w:val="nil"/>
              <w:bottom w:val="nil"/>
              <w:right w:val="nil"/>
            </w:tcBorders>
            <w:shd w:val="clear" w:color="auto" w:fill="auto"/>
            <w:noWrap/>
            <w:vAlign w:val="bottom"/>
          </w:tcPr>
          <w:p w:rsidR="004448E5" w:rsidRPr="004448E5" w:rsidRDefault="004448E5" w:rsidP="004448E5">
            <w:pPr>
              <w:spacing w:before="0" w:after="0"/>
              <w:jc w:val="right"/>
              <w:rPr>
                <w:color w:val="000000"/>
                <w:sz w:val="22"/>
                <w:szCs w:val="22"/>
              </w:rPr>
            </w:pPr>
            <w:r w:rsidRPr="004448E5">
              <w:rPr>
                <w:color w:val="000000"/>
                <w:sz w:val="22"/>
                <w:szCs w:val="22"/>
              </w:rPr>
              <w:t>53,086</w:t>
            </w:r>
          </w:p>
        </w:tc>
        <w:tc>
          <w:tcPr>
            <w:tcW w:w="1342" w:type="dxa"/>
            <w:tcBorders>
              <w:top w:val="single" w:sz="4" w:space="0" w:color="auto"/>
              <w:left w:val="nil"/>
              <w:bottom w:val="nil"/>
              <w:right w:val="nil"/>
            </w:tcBorders>
            <w:shd w:val="clear" w:color="000000" w:fill="FFFFFF"/>
            <w:vAlign w:val="bottom"/>
          </w:tcPr>
          <w:p w:rsidR="004448E5" w:rsidRPr="004448E5" w:rsidRDefault="004448E5" w:rsidP="004448E5">
            <w:pPr>
              <w:spacing w:before="0" w:after="0"/>
              <w:jc w:val="right"/>
              <w:rPr>
                <w:i/>
                <w:iCs/>
                <w:color w:val="000000"/>
                <w:sz w:val="22"/>
                <w:szCs w:val="22"/>
              </w:rPr>
            </w:pPr>
            <w:r w:rsidRPr="004448E5">
              <w:rPr>
                <w:i/>
                <w:iCs/>
                <w:color w:val="000000"/>
                <w:sz w:val="22"/>
                <w:szCs w:val="22"/>
              </w:rPr>
              <w:t>83.7</w:t>
            </w:r>
          </w:p>
        </w:tc>
        <w:tc>
          <w:tcPr>
            <w:tcW w:w="1012" w:type="dxa"/>
            <w:tcBorders>
              <w:top w:val="single" w:sz="4" w:space="0" w:color="auto"/>
              <w:left w:val="nil"/>
              <w:bottom w:val="nil"/>
              <w:right w:val="nil"/>
            </w:tcBorders>
            <w:shd w:val="clear" w:color="auto" w:fill="auto"/>
            <w:noWrap/>
            <w:vAlign w:val="bottom"/>
          </w:tcPr>
          <w:p w:rsidR="004448E5" w:rsidRPr="004448E5" w:rsidRDefault="004448E5" w:rsidP="004448E5">
            <w:pPr>
              <w:spacing w:before="0" w:after="0"/>
              <w:jc w:val="right"/>
              <w:rPr>
                <w:color w:val="000000"/>
                <w:sz w:val="22"/>
                <w:szCs w:val="22"/>
              </w:rPr>
            </w:pPr>
            <w:r w:rsidRPr="004448E5">
              <w:rPr>
                <w:color w:val="000000"/>
                <w:sz w:val="22"/>
                <w:szCs w:val="22"/>
              </w:rPr>
              <w:t>89,359</w:t>
            </w:r>
          </w:p>
        </w:tc>
        <w:tc>
          <w:tcPr>
            <w:tcW w:w="1342" w:type="dxa"/>
            <w:tcBorders>
              <w:top w:val="single" w:sz="4" w:space="0" w:color="auto"/>
              <w:left w:val="nil"/>
              <w:bottom w:val="nil"/>
              <w:right w:val="nil"/>
            </w:tcBorders>
            <w:shd w:val="clear" w:color="000000" w:fill="FFFFFF"/>
            <w:vAlign w:val="bottom"/>
          </w:tcPr>
          <w:p w:rsidR="004448E5" w:rsidRPr="004448E5" w:rsidRDefault="004448E5" w:rsidP="004448E5">
            <w:pPr>
              <w:spacing w:before="0" w:after="0"/>
              <w:jc w:val="right"/>
              <w:rPr>
                <w:i/>
                <w:iCs/>
                <w:color w:val="000000"/>
                <w:sz w:val="22"/>
                <w:szCs w:val="22"/>
              </w:rPr>
            </w:pPr>
            <w:r w:rsidRPr="004448E5">
              <w:rPr>
                <w:i/>
                <w:iCs/>
                <w:color w:val="000000"/>
                <w:sz w:val="22"/>
                <w:szCs w:val="22"/>
              </w:rPr>
              <w:t>82</w:t>
            </w:r>
          </w:p>
        </w:tc>
        <w:tc>
          <w:tcPr>
            <w:tcW w:w="1012" w:type="dxa"/>
            <w:tcBorders>
              <w:top w:val="single" w:sz="4" w:space="0" w:color="auto"/>
              <w:left w:val="nil"/>
              <w:bottom w:val="nil"/>
              <w:right w:val="nil"/>
            </w:tcBorders>
            <w:shd w:val="clear" w:color="auto" w:fill="auto"/>
            <w:noWrap/>
            <w:vAlign w:val="bottom"/>
          </w:tcPr>
          <w:p w:rsidR="004448E5" w:rsidRPr="004448E5" w:rsidRDefault="004448E5" w:rsidP="004448E5">
            <w:pPr>
              <w:spacing w:before="0" w:after="0"/>
              <w:jc w:val="right"/>
              <w:rPr>
                <w:color w:val="000000"/>
                <w:sz w:val="22"/>
                <w:szCs w:val="22"/>
              </w:rPr>
            </w:pPr>
            <w:r w:rsidRPr="004448E5">
              <w:rPr>
                <w:color w:val="000000"/>
                <w:sz w:val="22"/>
                <w:szCs w:val="22"/>
              </w:rPr>
              <w:t>198,132</w:t>
            </w:r>
          </w:p>
        </w:tc>
        <w:tc>
          <w:tcPr>
            <w:tcW w:w="1342" w:type="dxa"/>
            <w:tcBorders>
              <w:top w:val="nil"/>
              <w:left w:val="nil"/>
              <w:bottom w:val="nil"/>
              <w:right w:val="nil"/>
            </w:tcBorders>
            <w:shd w:val="clear" w:color="000000" w:fill="FFFFFF"/>
            <w:vAlign w:val="bottom"/>
          </w:tcPr>
          <w:p w:rsidR="004448E5" w:rsidRPr="004448E5" w:rsidRDefault="004448E5" w:rsidP="004448E5">
            <w:pPr>
              <w:spacing w:before="0" w:after="0"/>
              <w:jc w:val="right"/>
              <w:rPr>
                <w:i/>
                <w:iCs/>
                <w:color w:val="000000"/>
                <w:sz w:val="22"/>
                <w:szCs w:val="22"/>
              </w:rPr>
            </w:pPr>
            <w:r w:rsidRPr="004448E5">
              <w:rPr>
                <w:i/>
                <w:iCs/>
                <w:color w:val="000000"/>
                <w:sz w:val="22"/>
                <w:szCs w:val="22"/>
              </w:rPr>
              <w:t>80.2</w:t>
            </w:r>
          </w:p>
        </w:tc>
      </w:tr>
      <w:tr w:rsidR="004448E5" w:rsidRPr="00A21277" w:rsidTr="00247DB2">
        <w:trPr>
          <w:trHeight w:val="273"/>
        </w:trPr>
        <w:tc>
          <w:tcPr>
            <w:tcW w:w="1195" w:type="dxa"/>
            <w:tcBorders>
              <w:top w:val="nil"/>
              <w:left w:val="nil"/>
              <w:bottom w:val="nil"/>
              <w:right w:val="nil"/>
            </w:tcBorders>
            <w:shd w:val="clear" w:color="auto" w:fill="auto"/>
            <w:noWrap/>
            <w:vAlign w:val="bottom"/>
          </w:tcPr>
          <w:p w:rsidR="004448E5" w:rsidRPr="00247DB2" w:rsidRDefault="004448E5" w:rsidP="00247DB2">
            <w:pPr>
              <w:spacing w:before="0" w:after="0"/>
              <w:rPr>
                <w:color w:val="000000"/>
                <w:sz w:val="22"/>
                <w:szCs w:val="22"/>
              </w:rPr>
            </w:pPr>
            <w:r w:rsidRPr="00247DB2">
              <w:rPr>
                <w:color w:val="000000"/>
                <w:sz w:val="22"/>
                <w:szCs w:val="22"/>
              </w:rPr>
              <w:t>Rented (private)</w:t>
            </w:r>
          </w:p>
        </w:tc>
        <w:tc>
          <w:tcPr>
            <w:tcW w:w="999" w:type="dxa"/>
            <w:tcBorders>
              <w:top w:val="nil"/>
              <w:left w:val="nil"/>
              <w:bottom w:val="nil"/>
              <w:right w:val="nil"/>
            </w:tcBorders>
            <w:shd w:val="clear" w:color="auto" w:fill="auto"/>
            <w:noWrap/>
            <w:vAlign w:val="bottom"/>
          </w:tcPr>
          <w:p w:rsidR="004448E5" w:rsidRPr="004448E5" w:rsidRDefault="004448E5" w:rsidP="004448E5">
            <w:pPr>
              <w:spacing w:before="0" w:after="0"/>
              <w:jc w:val="right"/>
              <w:rPr>
                <w:color w:val="000000"/>
                <w:sz w:val="22"/>
                <w:szCs w:val="22"/>
              </w:rPr>
            </w:pPr>
            <w:r w:rsidRPr="004448E5">
              <w:rPr>
                <w:color w:val="000000"/>
                <w:sz w:val="22"/>
                <w:szCs w:val="22"/>
              </w:rPr>
              <w:t>7,820</w:t>
            </w:r>
          </w:p>
        </w:tc>
        <w:tc>
          <w:tcPr>
            <w:tcW w:w="1342" w:type="dxa"/>
            <w:tcBorders>
              <w:top w:val="nil"/>
              <w:left w:val="nil"/>
              <w:bottom w:val="nil"/>
              <w:right w:val="nil"/>
            </w:tcBorders>
            <w:shd w:val="clear" w:color="000000" w:fill="FFFFFF"/>
            <w:vAlign w:val="bottom"/>
          </w:tcPr>
          <w:p w:rsidR="004448E5" w:rsidRPr="004448E5" w:rsidRDefault="004448E5" w:rsidP="004448E5">
            <w:pPr>
              <w:spacing w:before="0" w:after="0"/>
              <w:jc w:val="right"/>
              <w:rPr>
                <w:i/>
                <w:iCs/>
                <w:color w:val="000000"/>
                <w:sz w:val="22"/>
                <w:szCs w:val="22"/>
              </w:rPr>
            </w:pPr>
            <w:r w:rsidRPr="004448E5">
              <w:rPr>
                <w:i/>
                <w:iCs/>
                <w:color w:val="000000"/>
                <w:sz w:val="22"/>
                <w:szCs w:val="22"/>
              </w:rPr>
              <w:t>10.5</w:t>
            </w:r>
          </w:p>
        </w:tc>
        <w:tc>
          <w:tcPr>
            <w:tcW w:w="999" w:type="dxa"/>
            <w:tcBorders>
              <w:top w:val="nil"/>
              <w:left w:val="nil"/>
              <w:bottom w:val="nil"/>
              <w:right w:val="nil"/>
            </w:tcBorders>
            <w:shd w:val="clear" w:color="auto" w:fill="auto"/>
            <w:noWrap/>
            <w:vAlign w:val="bottom"/>
          </w:tcPr>
          <w:p w:rsidR="004448E5" w:rsidRPr="004448E5" w:rsidRDefault="004448E5" w:rsidP="004448E5">
            <w:pPr>
              <w:spacing w:before="0" w:after="0"/>
              <w:jc w:val="right"/>
              <w:rPr>
                <w:color w:val="000000"/>
                <w:sz w:val="22"/>
                <w:szCs w:val="22"/>
              </w:rPr>
            </w:pPr>
            <w:r w:rsidRPr="004448E5">
              <w:rPr>
                <w:color w:val="000000"/>
                <w:sz w:val="22"/>
                <w:szCs w:val="22"/>
              </w:rPr>
              <w:t>4,819</w:t>
            </w:r>
          </w:p>
        </w:tc>
        <w:tc>
          <w:tcPr>
            <w:tcW w:w="1342" w:type="dxa"/>
            <w:tcBorders>
              <w:top w:val="nil"/>
              <w:left w:val="nil"/>
              <w:bottom w:val="nil"/>
              <w:right w:val="nil"/>
            </w:tcBorders>
            <w:shd w:val="clear" w:color="000000" w:fill="FFFFFF"/>
            <w:vAlign w:val="bottom"/>
          </w:tcPr>
          <w:p w:rsidR="004448E5" w:rsidRPr="004448E5" w:rsidRDefault="004448E5" w:rsidP="004448E5">
            <w:pPr>
              <w:spacing w:before="0" w:after="0"/>
              <w:jc w:val="right"/>
              <w:rPr>
                <w:i/>
                <w:iCs/>
                <w:color w:val="000000"/>
                <w:sz w:val="22"/>
                <w:szCs w:val="22"/>
              </w:rPr>
            </w:pPr>
            <w:r w:rsidRPr="004448E5">
              <w:rPr>
                <w:i/>
                <w:iCs/>
                <w:color w:val="000000"/>
                <w:sz w:val="22"/>
                <w:szCs w:val="22"/>
              </w:rPr>
              <w:t>7.6</w:t>
            </w:r>
          </w:p>
        </w:tc>
        <w:tc>
          <w:tcPr>
            <w:tcW w:w="1012" w:type="dxa"/>
            <w:tcBorders>
              <w:top w:val="nil"/>
              <w:left w:val="nil"/>
              <w:bottom w:val="nil"/>
              <w:right w:val="nil"/>
            </w:tcBorders>
            <w:shd w:val="clear" w:color="auto" w:fill="auto"/>
            <w:noWrap/>
            <w:vAlign w:val="bottom"/>
          </w:tcPr>
          <w:p w:rsidR="004448E5" w:rsidRPr="004448E5" w:rsidRDefault="004448E5" w:rsidP="004448E5">
            <w:pPr>
              <w:spacing w:before="0" w:after="0"/>
              <w:jc w:val="right"/>
              <w:rPr>
                <w:color w:val="000000"/>
                <w:sz w:val="22"/>
                <w:szCs w:val="22"/>
              </w:rPr>
            </w:pPr>
            <w:r w:rsidRPr="004448E5">
              <w:rPr>
                <w:color w:val="000000"/>
                <w:sz w:val="22"/>
                <w:szCs w:val="22"/>
              </w:rPr>
              <w:t>19,904</w:t>
            </w:r>
          </w:p>
        </w:tc>
        <w:tc>
          <w:tcPr>
            <w:tcW w:w="1342" w:type="dxa"/>
            <w:tcBorders>
              <w:top w:val="nil"/>
              <w:left w:val="nil"/>
              <w:bottom w:val="nil"/>
              <w:right w:val="nil"/>
            </w:tcBorders>
            <w:shd w:val="clear" w:color="000000" w:fill="FFFFFF"/>
            <w:vAlign w:val="bottom"/>
          </w:tcPr>
          <w:p w:rsidR="004448E5" w:rsidRPr="004448E5" w:rsidRDefault="004448E5" w:rsidP="004448E5">
            <w:pPr>
              <w:spacing w:before="0" w:after="0"/>
              <w:jc w:val="right"/>
              <w:rPr>
                <w:i/>
                <w:iCs/>
                <w:color w:val="000000"/>
                <w:sz w:val="22"/>
                <w:szCs w:val="22"/>
              </w:rPr>
            </w:pPr>
            <w:r w:rsidRPr="004448E5">
              <w:rPr>
                <w:i/>
                <w:iCs/>
                <w:color w:val="000000"/>
                <w:sz w:val="22"/>
                <w:szCs w:val="22"/>
              </w:rPr>
              <w:t>18</w:t>
            </w:r>
          </w:p>
        </w:tc>
        <w:tc>
          <w:tcPr>
            <w:tcW w:w="1012" w:type="dxa"/>
            <w:tcBorders>
              <w:top w:val="nil"/>
              <w:left w:val="nil"/>
              <w:bottom w:val="nil"/>
              <w:right w:val="nil"/>
            </w:tcBorders>
            <w:shd w:val="clear" w:color="auto" w:fill="auto"/>
            <w:noWrap/>
            <w:vAlign w:val="bottom"/>
          </w:tcPr>
          <w:p w:rsidR="004448E5" w:rsidRPr="004448E5" w:rsidRDefault="004448E5" w:rsidP="004448E5">
            <w:pPr>
              <w:spacing w:before="0" w:after="0"/>
              <w:jc w:val="right"/>
              <w:rPr>
                <w:color w:val="000000"/>
                <w:sz w:val="22"/>
                <w:szCs w:val="22"/>
              </w:rPr>
            </w:pPr>
            <w:r w:rsidRPr="004448E5">
              <w:rPr>
                <w:color w:val="000000"/>
                <w:sz w:val="22"/>
                <w:szCs w:val="22"/>
              </w:rPr>
              <w:t>32,543</w:t>
            </w:r>
          </w:p>
        </w:tc>
        <w:tc>
          <w:tcPr>
            <w:tcW w:w="1342" w:type="dxa"/>
            <w:tcBorders>
              <w:top w:val="nil"/>
              <w:left w:val="nil"/>
              <w:bottom w:val="nil"/>
              <w:right w:val="nil"/>
            </w:tcBorders>
            <w:shd w:val="clear" w:color="000000" w:fill="FFFFFF"/>
            <w:vAlign w:val="bottom"/>
          </w:tcPr>
          <w:p w:rsidR="004448E5" w:rsidRPr="004448E5" w:rsidRDefault="004448E5" w:rsidP="004448E5">
            <w:pPr>
              <w:spacing w:before="0" w:after="0"/>
              <w:jc w:val="right"/>
              <w:rPr>
                <w:i/>
                <w:iCs/>
                <w:color w:val="000000"/>
                <w:sz w:val="22"/>
                <w:szCs w:val="22"/>
              </w:rPr>
            </w:pPr>
            <w:r w:rsidRPr="004448E5">
              <w:rPr>
                <w:i/>
                <w:iCs/>
                <w:color w:val="000000"/>
                <w:sz w:val="22"/>
                <w:szCs w:val="22"/>
              </w:rPr>
              <w:t>13.2</w:t>
            </w:r>
          </w:p>
        </w:tc>
      </w:tr>
      <w:tr w:rsidR="004448E5" w:rsidRPr="00A21277" w:rsidTr="00247DB2">
        <w:trPr>
          <w:trHeight w:val="315"/>
        </w:trPr>
        <w:tc>
          <w:tcPr>
            <w:tcW w:w="1195" w:type="dxa"/>
            <w:tcBorders>
              <w:top w:val="nil"/>
              <w:left w:val="nil"/>
              <w:bottom w:val="nil"/>
              <w:right w:val="nil"/>
            </w:tcBorders>
            <w:shd w:val="clear" w:color="auto" w:fill="auto"/>
            <w:noWrap/>
            <w:vAlign w:val="bottom"/>
          </w:tcPr>
          <w:p w:rsidR="004448E5" w:rsidRPr="00247DB2" w:rsidRDefault="004448E5" w:rsidP="00247DB2">
            <w:pPr>
              <w:spacing w:before="0" w:after="0"/>
              <w:rPr>
                <w:color w:val="000000"/>
                <w:sz w:val="22"/>
                <w:szCs w:val="22"/>
              </w:rPr>
            </w:pPr>
            <w:r w:rsidRPr="00247DB2">
              <w:rPr>
                <w:color w:val="000000"/>
                <w:sz w:val="22"/>
                <w:szCs w:val="22"/>
              </w:rPr>
              <w:t>Rented (social)</w:t>
            </w:r>
          </w:p>
        </w:tc>
        <w:tc>
          <w:tcPr>
            <w:tcW w:w="999" w:type="dxa"/>
            <w:tcBorders>
              <w:top w:val="nil"/>
              <w:left w:val="nil"/>
              <w:bottom w:val="nil"/>
              <w:right w:val="nil"/>
            </w:tcBorders>
            <w:shd w:val="clear" w:color="auto" w:fill="auto"/>
            <w:noWrap/>
            <w:vAlign w:val="bottom"/>
          </w:tcPr>
          <w:p w:rsidR="004448E5" w:rsidRPr="004448E5" w:rsidRDefault="004448E5" w:rsidP="004448E5">
            <w:pPr>
              <w:spacing w:before="0" w:after="0"/>
              <w:jc w:val="right"/>
              <w:rPr>
                <w:color w:val="000000"/>
                <w:sz w:val="22"/>
                <w:szCs w:val="22"/>
              </w:rPr>
            </w:pPr>
            <w:r w:rsidRPr="004448E5">
              <w:rPr>
                <w:color w:val="000000"/>
                <w:sz w:val="22"/>
                <w:szCs w:val="22"/>
              </w:rPr>
              <w:t>10,932</w:t>
            </w:r>
          </w:p>
        </w:tc>
        <w:tc>
          <w:tcPr>
            <w:tcW w:w="1342" w:type="dxa"/>
            <w:tcBorders>
              <w:top w:val="nil"/>
              <w:left w:val="nil"/>
              <w:bottom w:val="nil"/>
              <w:right w:val="nil"/>
            </w:tcBorders>
            <w:shd w:val="clear" w:color="000000" w:fill="FFFFFF"/>
            <w:vAlign w:val="bottom"/>
          </w:tcPr>
          <w:p w:rsidR="004448E5" w:rsidRPr="004448E5" w:rsidRDefault="004448E5" w:rsidP="004448E5">
            <w:pPr>
              <w:spacing w:before="0" w:after="0"/>
              <w:jc w:val="right"/>
              <w:rPr>
                <w:i/>
                <w:iCs/>
                <w:color w:val="000000"/>
                <w:sz w:val="22"/>
                <w:szCs w:val="22"/>
              </w:rPr>
            </w:pPr>
            <w:r w:rsidRPr="004448E5">
              <w:rPr>
                <w:i/>
                <w:iCs/>
                <w:color w:val="000000"/>
                <w:sz w:val="22"/>
                <w:szCs w:val="22"/>
              </w:rPr>
              <w:t>14.7</w:t>
            </w:r>
          </w:p>
        </w:tc>
        <w:tc>
          <w:tcPr>
            <w:tcW w:w="999" w:type="dxa"/>
            <w:tcBorders>
              <w:top w:val="nil"/>
              <w:left w:val="nil"/>
              <w:bottom w:val="nil"/>
              <w:right w:val="nil"/>
            </w:tcBorders>
            <w:shd w:val="clear" w:color="auto" w:fill="auto"/>
            <w:noWrap/>
            <w:vAlign w:val="bottom"/>
          </w:tcPr>
          <w:p w:rsidR="004448E5" w:rsidRPr="004448E5" w:rsidRDefault="004448E5" w:rsidP="004448E5">
            <w:pPr>
              <w:spacing w:before="0" w:after="0"/>
              <w:jc w:val="right"/>
              <w:rPr>
                <w:color w:val="000000"/>
                <w:sz w:val="22"/>
                <w:szCs w:val="22"/>
              </w:rPr>
            </w:pPr>
            <w:r w:rsidRPr="004448E5">
              <w:rPr>
                <w:color w:val="000000"/>
                <w:sz w:val="22"/>
                <w:szCs w:val="22"/>
              </w:rPr>
              <w:t>5,538</w:t>
            </w:r>
          </w:p>
        </w:tc>
        <w:tc>
          <w:tcPr>
            <w:tcW w:w="1342" w:type="dxa"/>
            <w:tcBorders>
              <w:top w:val="nil"/>
              <w:left w:val="nil"/>
              <w:bottom w:val="nil"/>
              <w:right w:val="nil"/>
            </w:tcBorders>
            <w:shd w:val="clear" w:color="000000" w:fill="FFFFFF"/>
            <w:vAlign w:val="bottom"/>
          </w:tcPr>
          <w:p w:rsidR="004448E5" w:rsidRPr="004448E5" w:rsidRDefault="004448E5" w:rsidP="004448E5">
            <w:pPr>
              <w:spacing w:before="0" w:after="0"/>
              <w:jc w:val="right"/>
              <w:rPr>
                <w:i/>
                <w:iCs/>
                <w:color w:val="000000"/>
                <w:sz w:val="22"/>
                <w:szCs w:val="22"/>
              </w:rPr>
            </w:pPr>
            <w:r w:rsidRPr="004448E5">
              <w:rPr>
                <w:i/>
                <w:iCs/>
                <w:color w:val="000000"/>
                <w:sz w:val="22"/>
                <w:szCs w:val="22"/>
              </w:rPr>
              <w:t>8.7</w:t>
            </w:r>
          </w:p>
        </w:tc>
        <w:tc>
          <w:tcPr>
            <w:tcW w:w="1012" w:type="dxa"/>
            <w:tcBorders>
              <w:top w:val="nil"/>
              <w:left w:val="nil"/>
              <w:bottom w:val="nil"/>
              <w:right w:val="nil"/>
            </w:tcBorders>
            <w:shd w:val="clear" w:color="auto" w:fill="auto"/>
            <w:noWrap/>
            <w:vAlign w:val="bottom"/>
          </w:tcPr>
          <w:p w:rsidR="004448E5" w:rsidRPr="004448E5" w:rsidRDefault="004448E5" w:rsidP="004448E5">
            <w:pPr>
              <w:spacing w:before="0" w:after="0"/>
              <w:jc w:val="right"/>
              <w:rPr>
                <w:color w:val="000000"/>
                <w:sz w:val="22"/>
                <w:szCs w:val="22"/>
              </w:rPr>
            </w:pPr>
            <w:r w:rsidRPr="004448E5">
              <w:rPr>
                <w:color w:val="000000"/>
                <w:sz w:val="22"/>
                <w:szCs w:val="22"/>
              </w:rPr>
              <w:t>N/A</w:t>
            </w:r>
          </w:p>
        </w:tc>
        <w:tc>
          <w:tcPr>
            <w:tcW w:w="1342" w:type="dxa"/>
            <w:tcBorders>
              <w:top w:val="nil"/>
              <w:left w:val="nil"/>
              <w:bottom w:val="nil"/>
              <w:right w:val="nil"/>
            </w:tcBorders>
            <w:shd w:val="clear" w:color="000000" w:fill="FFFFFF"/>
            <w:vAlign w:val="bottom"/>
          </w:tcPr>
          <w:p w:rsidR="004448E5" w:rsidRPr="004448E5" w:rsidRDefault="004448E5" w:rsidP="004448E5">
            <w:pPr>
              <w:spacing w:before="0" w:after="0"/>
              <w:jc w:val="right"/>
              <w:rPr>
                <w:i/>
                <w:iCs/>
                <w:color w:val="000000"/>
                <w:sz w:val="22"/>
                <w:szCs w:val="22"/>
              </w:rPr>
            </w:pPr>
            <w:r w:rsidRPr="004448E5">
              <w:rPr>
                <w:i/>
                <w:iCs/>
                <w:color w:val="000000"/>
                <w:sz w:val="22"/>
                <w:szCs w:val="22"/>
              </w:rPr>
              <w:t>-</w:t>
            </w:r>
          </w:p>
        </w:tc>
        <w:tc>
          <w:tcPr>
            <w:tcW w:w="1012" w:type="dxa"/>
            <w:tcBorders>
              <w:top w:val="nil"/>
              <w:left w:val="nil"/>
              <w:bottom w:val="nil"/>
              <w:right w:val="nil"/>
            </w:tcBorders>
            <w:shd w:val="clear" w:color="auto" w:fill="auto"/>
            <w:noWrap/>
            <w:vAlign w:val="bottom"/>
          </w:tcPr>
          <w:p w:rsidR="004448E5" w:rsidRPr="004448E5" w:rsidRDefault="004448E5" w:rsidP="004448E5">
            <w:pPr>
              <w:spacing w:before="0" w:after="0"/>
              <w:jc w:val="right"/>
              <w:rPr>
                <w:color w:val="000000"/>
                <w:sz w:val="22"/>
                <w:szCs w:val="22"/>
              </w:rPr>
            </w:pPr>
            <w:r w:rsidRPr="004448E5">
              <w:rPr>
                <w:color w:val="000000"/>
                <w:sz w:val="22"/>
                <w:szCs w:val="22"/>
              </w:rPr>
              <w:t>16,470</w:t>
            </w:r>
          </w:p>
        </w:tc>
        <w:tc>
          <w:tcPr>
            <w:tcW w:w="1342" w:type="dxa"/>
            <w:tcBorders>
              <w:top w:val="nil"/>
              <w:left w:val="nil"/>
              <w:bottom w:val="nil"/>
              <w:right w:val="nil"/>
            </w:tcBorders>
            <w:shd w:val="clear" w:color="000000" w:fill="FFFFFF"/>
            <w:vAlign w:val="bottom"/>
          </w:tcPr>
          <w:p w:rsidR="004448E5" w:rsidRPr="004448E5" w:rsidRDefault="004448E5" w:rsidP="004448E5">
            <w:pPr>
              <w:spacing w:before="0" w:after="0"/>
              <w:jc w:val="right"/>
              <w:rPr>
                <w:i/>
                <w:iCs/>
                <w:color w:val="000000"/>
                <w:sz w:val="22"/>
                <w:szCs w:val="22"/>
              </w:rPr>
            </w:pPr>
            <w:r w:rsidRPr="004448E5">
              <w:rPr>
                <w:i/>
                <w:iCs/>
                <w:color w:val="000000"/>
                <w:sz w:val="22"/>
                <w:szCs w:val="22"/>
              </w:rPr>
              <w:t>6.7</w:t>
            </w:r>
          </w:p>
        </w:tc>
      </w:tr>
      <w:tr w:rsidR="00247DB2" w:rsidRPr="00A21277" w:rsidTr="00247DB2">
        <w:trPr>
          <w:trHeight w:val="273"/>
        </w:trPr>
        <w:tc>
          <w:tcPr>
            <w:tcW w:w="1195" w:type="dxa"/>
            <w:tcBorders>
              <w:top w:val="nil"/>
              <w:left w:val="nil"/>
              <w:bottom w:val="nil"/>
              <w:right w:val="nil"/>
            </w:tcBorders>
            <w:shd w:val="clear" w:color="auto" w:fill="auto"/>
            <w:noWrap/>
            <w:vAlign w:val="center"/>
          </w:tcPr>
          <w:p w:rsidR="00247DB2" w:rsidRPr="00247DB2" w:rsidRDefault="00247DB2" w:rsidP="00247DB2">
            <w:pPr>
              <w:spacing w:before="0" w:after="0"/>
              <w:rPr>
                <w:color w:val="000000"/>
                <w:sz w:val="22"/>
                <w:szCs w:val="22"/>
              </w:rPr>
            </w:pPr>
          </w:p>
        </w:tc>
        <w:tc>
          <w:tcPr>
            <w:tcW w:w="999" w:type="dxa"/>
            <w:tcBorders>
              <w:top w:val="nil"/>
              <w:left w:val="nil"/>
              <w:bottom w:val="nil"/>
              <w:right w:val="nil"/>
            </w:tcBorders>
            <w:shd w:val="clear" w:color="auto" w:fill="auto"/>
            <w:noWrap/>
            <w:vAlign w:val="bottom"/>
          </w:tcPr>
          <w:p w:rsidR="00247DB2" w:rsidRPr="00247DB2" w:rsidRDefault="00247DB2" w:rsidP="00247DB2">
            <w:pPr>
              <w:spacing w:before="0" w:after="0"/>
              <w:rPr>
                <w:color w:val="000000"/>
                <w:sz w:val="22"/>
                <w:szCs w:val="22"/>
              </w:rPr>
            </w:pPr>
          </w:p>
        </w:tc>
        <w:tc>
          <w:tcPr>
            <w:tcW w:w="1342" w:type="dxa"/>
            <w:tcBorders>
              <w:top w:val="nil"/>
              <w:left w:val="nil"/>
              <w:bottom w:val="nil"/>
              <w:right w:val="nil"/>
            </w:tcBorders>
            <w:shd w:val="clear" w:color="000000" w:fill="FFFFFF"/>
            <w:vAlign w:val="bottom"/>
          </w:tcPr>
          <w:p w:rsidR="00247DB2" w:rsidRPr="00247DB2" w:rsidRDefault="00247DB2" w:rsidP="00247DB2">
            <w:pPr>
              <w:spacing w:before="0" w:after="0"/>
              <w:jc w:val="right"/>
              <w:rPr>
                <w:i/>
                <w:iCs/>
                <w:color w:val="000000"/>
                <w:sz w:val="22"/>
                <w:szCs w:val="22"/>
              </w:rPr>
            </w:pPr>
            <w:r w:rsidRPr="00247DB2">
              <w:rPr>
                <w:i/>
                <w:iCs/>
                <w:color w:val="000000"/>
                <w:sz w:val="22"/>
                <w:szCs w:val="22"/>
              </w:rPr>
              <w:t> </w:t>
            </w:r>
          </w:p>
        </w:tc>
        <w:tc>
          <w:tcPr>
            <w:tcW w:w="999" w:type="dxa"/>
            <w:tcBorders>
              <w:top w:val="nil"/>
              <w:left w:val="nil"/>
              <w:bottom w:val="nil"/>
              <w:right w:val="nil"/>
            </w:tcBorders>
            <w:shd w:val="clear" w:color="auto" w:fill="auto"/>
            <w:noWrap/>
            <w:vAlign w:val="bottom"/>
          </w:tcPr>
          <w:p w:rsidR="00247DB2" w:rsidRPr="00247DB2" w:rsidRDefault="00247DB2" w:rsidP="00247DB2">
            <w:pPr>
              <w:spacing w:before="0" w:after="0"/>
              <w:rPr>
                <w:color w:val="000000"/>
                <w:sz w:val="22"/>
                <w:szCs w:val="22"/>
              </w:rPr>
            </w:pPr>
          </w:p>
        </w:tc>
        <w:tc>
          <w:tcPr>
            <w:tcW w:w="1342" w:type="dxa"/>
            <w:tcBorders>
              <w:top w:val="nil"/>
              <w:left w:val="nil"/>
              <w:bottom w:val="nil"/>
              <w:right w:val="nil"/>
            </w:tcBorders>
            <w:shd w:val="clear" w:color="000000" w:fill="FFFFFF"/>
            <w:vAlign w:val="bottom"/>
          </w:tcPr>
          <w:p w:rsidR="00247DB2" w:rsidRPr="00247DB2" w:rsidRDefault="00247DB2" w:rsidP="00247DB2">
            <w:pPr>
              <w:spacing w:before="0" w:after="0"/>
              <w:jc w:val="right"/>
              <w:rPr>
                <w:i/>
                <w:iCs/>
                <w:color w:val="000000"/>
                <w:sz w:val="22"/>
                <w:szCs w:val="22"/>
              </w:rPr>
            </w:pPr>
            <w:r w:rsidRPr="00247DB2">
              <w:rPr>
                <w:i/>
                <w:iCs/>
                <w:color w:val="000000"/>
                <w:sz w:val="22"/>
                <w:szCs w:val="22"/>
              </w:rPr>
              <w:t> </w:t>
            </w:r>
          </w:p>
        </w:tc>
        <w:tc>
          <w:tcPr>
            <w:tcW w:w="1012" w:type="dxa"/>
            <w:tcBorders>
              <w:top w:val="nil"/>
              <w:left w:val="nil"/>
              <w:bottom w:val="nil"/>
              <w:right w:val="nil"/>
            </w:tcBorders>
            <w:shd w:val="clear" w:color="auto" w:fill="auto"/>
            <w:noWrap/>
            <w:vAlign w:val="bottom"/>
          </w:tcPr>
          <w:p w:rsidR="00247DB2" w:rsidRPr="00247DB2" w:rsidRDefault="00247DB2" w:rsidP="00247DB2">
            <w:pPr>
              <w:spacing w:before="0" w:after="0"/>
              <w:rPr>
                <w:color w:val="000000"/>
                <w:sz w:val="22"/>
                <w:szCs w:val="22"/>
              </w:rPr>
            </w:pPr>
          </w:p>
        </w:tc>
        <w:tc>
          <w:tcPr>
            <w:tcW w:w="1342" w:type="dxa"/>
            <w:tcBorders>
              <w:top w:val="nil"/>
              <w:left w:val="nil"/>
              <w:bottom w:val="nil"/>
              <w:right w:val="nil"/>
            </w:tcBorders>
            <w:shd w:val="clear" w:color="000000" w:fill="FFFFFF"/>
            <w:vAlign w:val="bottom"/>
          </w:tcPr>
          <w:p w:rsidR="00247DB2" w:rsidRPr="00247DB2" w:rsidRDefault="00247DB2" w:rsidP="00247DB2">
            <w:pPr>
              <w:spacing w:before="0" w:after="0"/>
              <w:jc w:val="right"/>
              <w:rPr>
                <w:i/>
                <w:iCs/>
                <w:color w:val="000000"/>
                <w:sz w:val="22"/>
                <w:szCs w:val="22"/>
              </w:rPr>
            </w:pPr>
            <w:r w:rsidRPr="00247DB2">
              <w:rPr>
                <w:i/>
                <w:iCs/>
                <w:color w:val="000000"/>
                <w:sz w:val="22"/>
                <w:szCs w:val="22"/>
              </w:rPr>
              <w:t> </w:t>
            </w:r>
          </w:p>
        </w:tc>
        <w:tc>
          <w:tcPr>
            <w:tcW w:w="1012" w:type="dxa"/>
            <w:tcBorders>
              <w:top w:val="nil"/>
              <w:left w:val="nil"/>
              <w:bottom w:val="nil"/>
              <w:right w:val="nil"/>
            </w:tcBorders>
            <w:shd w:val="clear" w:color="auto" w:fill="auto"/>
            <w:noWrap/>
            <w:vAlign w:val="bottom"/>
          </w:tcPr>
          <w:p w:rsidR="00247DB2" w:rsidRPr="00247DB2" w:rsidRDefault="00247DB2" w:rsidP="00247DB2">
            <w:pPr>
              <w:spacing w:before="0" w:after="0"/>
              <w:rPr>
                <w:color w:val="000000"/>
                <w:sz w:val="22"/>
                <w:szCs w:val="22"/>
              </w:rPr>
            </w:pPr>
          </w:p>
        </w:tc>
        <w:tc>
          <w:tcPr>
            <w:tcW w:w="1342" w:type="dxa"/>
            <w:tcBorders>
              <w:top w:val="nil"/>
              <w:left w:val="nil"/>
              <w:bottom w:val="nil"/>
              <w:right w:val="nil"/>
            </w:tcBorders>
            <w:shd w:val="clear" w:color="000000" w:fill="FFFFFF"/>
            <w:vAlign w:val="bottom"/>
          </w:tcPr>
          <w:p w:rsidR="00247DB2" w:rsidRPr="00247DB2" w:rsidRDefault="00247DB2" w:rsidP="00247DB2">
            <w:pPr>
              <w:spacing w:before="0" w:after="0"/>
              <w:jc w:val="right"/>
              <w:rPr>
                <w:i/>
                <w:iCs/>
                <w:color w:val="000000"/>
                <w:sz w:val="22"/>
                <w:szCs w:val="22"/>
              </w:rPr>
            </w:pPr>
            <w:r w:rsidRPr="00247DB2">
              <w:rPr>
                <w:i/>
                <w:iCs/>
                <w:color w:val="000000"/>
                <w:sz w:val="22"/>
                <w:szCs w:val="22"/>
              </w:rPr>
              <w:t> </w:t>
            </w:r>
          </w:p>
        </w:tc>
      </w:tr>
      <w:tr w:rsidR="00247DB2" w:rsidRPr="00A21277" w:rsidTr="00247DB2">
        <w:trPr>
          <w:trHeight w:val="273"/>
        </w:trPr>
        <w:tc>
          <w:tcPr>
            <w:tcW w:w="1195" w:type="dxa"/>
            <w:tcBorders>
              <w:top w:val="nil"/>
              <w:left w:val="nil"/>
              <w:bottom w:val="nil"/>
              <w:right w:val="nil"/>
            </w:tcBorders>
            <w:shd w:val="clear" w:color="auto" w:fill="auto"/>
            <w:noWrap/>
            <w:vAlign w:val="center"/>
          </w:tcPr>
          <w:p w:rsidR="00247DB2" w:rsidRPr="00247DB2" w:rsidRDefault="00247DB2" w:rsidP="00247DB2">
            <w:pPr>
              <w:spacing w:before="0" w:after="0"/>
              <w:rPr>
                <w:color w:val="000000"/>
                <w:sz w:val="22"/>
                <w:szCs w:val="22"/>
              </w:rPr>
            </w:pPr>
            <w:r w:rsidRPr="00247DB2">
              <w:rPr>
                <w:color w:val="000000"/>
                <w:sz w:val="22"/>
                <w:szCs w:val="22"/>
              </w:rPr>
              <w:t>Unknown</w:t>
            </w:r>
          </w:p>
        </w:tc>
        <w:tc>
          <w:tcPr>
            <w:tcW w:w="999" w:type="dxa"/>
            <w:tcBorders>
              <w:top w:val="nil"/>
              <w:left w:val="nil"/>
              <w:bottom w:val="nil"/>
              <w:right w:val="nil"/>
            </w:tcBorders>
            <w:shd w:val="clear" w:color="auto" w:fill="auto"/>
            <w:noWrap/>
            <w:vAlign w:val="bottom"/>
          </w:tcPr>
          <w:p w:rsidR="00247DB2" w:rsidRPr="00247DB2" w:rsidRDefault="00247DB2" w:rsidP="00247DB2">
            <w:pPr>
              <w:spacing w:before="0" w:after="0"/>
              <w:jc w:val="right"/>
              <w:rPr>
                <w:color w:val="000000"/>
                <w:sz w:val="22"/>
                <w:szCs w:val="22"/>
              </w:rPr>
            </w:pPr>
            <w:r w:rsidRPr="00247DB2">
              <w:rPr>
                <w:color w:val="000000"/>
                <w:sz w:val="22"/>
                <w:szCs w:val="22"/>
              </w:rPr>
              <w:t>8,436</w:t>
            </w:r>
          </w:p>
        </w:tc>
        <w:tc>
          <w:tcPr>
            <w:tcW w:w="1342" w:type="dxa"/>
            <w:tcBorders>
              <w:top w:val="nil"/>
              <w:left w:val="nil"/>
              <w:bottom w:val="nil"/>
              <w:right w:val="nil"/>
            </w:tcBorders>
            <w:shd w:val="clear" w:color="000000" w:fill="FFFFFF"/>
            <w:vAlign w:val="bottom"/>
          </w:tcPr>
          <w:p w:rsidR="00247DB2" w:rsidRPr="00247DB2" w:rsidRDefault="00247DB2" w:rsidP="00247DB2">
            <w:pPr>
              <w:spacing w:before="0" w:after="0"/>
              <w:jc w:val="right"/>
              <w:rPr>
                <w:color w:val="000000"/>
                <w:sz w:val="22"/>
                <w:szCs w:val="22"/>
              </w:rPr>
            </w:pPr>
            <w:r w:rsidRPr="00247DB2">
              <w:rPr>
                <w:color w:val="000000"/>
                <w:sz w:val="22"/>
                <w:szCs w:val="22"/>
              </w:rPr>
              <w:t>-</w:t>
            </w:r>
          </w:p>
        </w:tc>
        <w:tc>
          <w:tcPr>
            <w:tcW w:w="999" w:type="dxa"/>
            <w:tcBorders>
              <w:top w:val="nil"/>
              <w:left w:val="nil"/>
              <w:bottom w:val="nil"/>
              <w:right w:val="nil"/>
            </w:tcBorders>
            <w:shd w:val="clear" w:color="auto" w:fill="auto"/>
            <w:noWrap/>
            <w:vAlign w:val="bottom"/>
          </w:tcPr>
          <w:p w:rsidR="00247DB2" w:rsidRPr="00247DB2" w:rsidRDefault="00247DB2" w:rsidP="00247DB2">
            <w:pPr>
              <w:spacing w:before="0" w:after="0"/>
              <w:jc w:val="right"/>
              <w:rPr>
                <w:color w:val="000000"/>
                <w:sz w:val="22"/>
                <w:szCs w:val="22"/>
              </w:rPr>
            </w:pPr>
            <w:r w:rsidRPr="00247DB2">
              <w:rPr>
                <w:color w:val="000000"/>
                <w:sz w:val="22"/>
                <w:szCs w:val="22"/>
              </w:rPr>
              <w:t>5,955</w:t>
            </w:r>
          </w:p>
        </w:tc>
        <w:tc>
          <w:tcPr>
            <w:tcW w:w="1342" w:type="dxa"/>
            <w:tcBorders>
              <w:top w:val="nil"/>
              <w:left w:val="nil"/>
              <w:bottom w:val="nil"/>
              <w:right w:val="nil"/>
            </w:tcBorders>
            <w:shd w:val="clear" w:color="000000" w:fill="FFFFFF"/>
            <w:vAlign w:val="bottom"/>
          </w:tcPr>
          <w:p w:rsidR="00247DB2" w:rsidRPr="00247DB2" w:rsidRDefault="00247DB2" w:rsidP="00247DB2">
            <w:pPr>
              <w:spacing w:before="0" w:after="0"/>
              <w:jc w:val="right"/>
              <w:rPr>
                <w:color w:val="000000"/>
                <w:sz w:val="22"/>
                <w:szCs w:val="22"/>
              </w:rPr>
            </w:pPr>
            <w:r w:rsidRPr="00247DB2">
              <w:rPr>
                <w:color w:val="000000"/>
                <w:sz w:val="22"/>
                <w:szCs w:val="22"/>
              </w:rPr>
              <w:t>-</w:t>
            </w:r>
          </w:p>
        </w:tc>
        <w:tc>
          <w:tcPr>
            <w:tcW w:w="1012" w:type="dxa"/>
            <w:tcBorders>
              <w:top w:val="nil"/>
              <w:left w:val="nil"/>
              <w:bottom w:val="nil"/>
              <w:right w:val="nil"/>
            </w:tcBorders>
            <w:shd w:val="clear" w:color="auto" w:fill="auto"/>
            <w:noWrap/>
            <w:vAlign w:val="bottom"/>
          </w:tcPr>
          <w:p w:rsidR="00247DB2" w:rsidRPr="00247DB2" w:rsidRDefault="00247DB2" w:rsidP="00247DB2">
            <w:pPr>
              <w:spacing w:before="0" w:after="0"/>
              <w:jc w:val="right"/>
              <w:rPr>
                <w:color w:val="000000"/>
                <w:sz w:val="22"/>
                <w:szCs w:val="22"/>
              </w:rPr>
            </w:pPr>
            <w:r w:rsidRPr="00247DB2">
              <w:rPr>
                <w:color w:val="000000"/>
                <w:sz w:val="22"/>
                <w:szCs w:val="22"/>
              </w:rPr>
              <w:t>4,480</w:t>
            </w:r>
          </w:p>
        </w:tc>
        <w:tc>
          <w:tcPr>
            <w:tcW w:w="1342" w:type="dxa"/>
            <w:tcBorders>
              <w:top w:val="nil"/>
              <w:left w:val="nil"/>
              <w:bottom w:val="nil"/>
              <w:right w:val="nil"/>
            </w:tcBorders>
            <w:shd w:val="clear" w:color="000000" w:fill="FFFFFF"/>
            <w:vAlign w:val="bottom"/>
          </w:tcPr>
          <w:p w:rsidR="00247DB2" w:rsidRPr="00247DB2" w:rsidRDefault="00247DB2" w:rsidP="00247DB2">
            <w:pPr>
              <w:spacing w:before="0" w:after="0"/>
              <w:jc w:val="right"/>
              <w:rPr>
                <w:i/>
                <w:iCs/>
                <w:color w:val="000000"/>
                <w:sz w:val="22"/>
                <w:szCs w:val="22"/>
              </w:rPr>
            </w:pPr>
            <w:r w:rsidRPr="00247DB2">
              <w:rPr>
                <w:i/>
                <w:iCs/>
                <w:color w:val="000000"/>
                <w:sz w:val="22"/>
                <w:szCs w:val="22"/>
              </w:rPr>
              <w:t>-</w:t>
            </w:r>
          </w:p>
        </w:tc>
        <w:tc>
          <w:tcPr>
            <w:tcW w:w="1012" w:type="dxa"/>
            <w:tcBorders>
              <w:top w:val="nil"/>
              <w:left w:val="nil"/>
              <w:bottom w:val="nil"/>
              <w:right w:val="nil"/>
            </w:tcBorders>
            <w:shd w:val="clear" w:color="auto" w:fill="auto"/>
            <w:noWrap/>
            <w:vAlign w:val="bottom"/>
          </w:tcPr>
          <w:p w:rsidR="00247DB2" w:rsidRPr="00247DB2" w:rsidRDefault="00247DB2" w:rsidP="00247DB2">
            <w:pPr>
              <w:spacing w:before="0" w:after="0"/>
              <w:jc w:val="right"/>
              <w:rPr>
                <w:color w:val="000000"/>
                <w:sz w:val="22"/>
                <w:szCs w:val="22"/>
              </w:rPr>
            </w:pPr>
            <w:r w:rsidRPr="00247DB2">
              <w:rPr>
                <w:color w:val="000000"/>
                <w:sz w:val="22"/>
                <w:szCs w:val="22"/>
              </w:rPr>
              <w:t>18,871</w:t>
            </w:r>
          </w:p>
        </w:tc>
        <w:tc>
          <w:tcPr>
            <w:tcW w:w="1342" w:type="dxa"/>
            <w:tcBorders>
              <w:top w:val="nil"/>
              <w:left w:val="nil"/>
              <w:bottom w:val="nil"/>
              <w:right w:val="nil"/>
            </w:tcBorders>
            <w:shd w:val="clear" w:color="000000" w:fill="FFFFFF"/>
            <w:vAlign w:val="bottom"/>
          </w:tcPr>
          <w:p w:rsidR="00247DB2" w:rsidRPr="00247DB2" w:rsidRDefault="00247DB2" w:rsidP="00247DB2">
            <w:pPr>
              <w:spacing w:before="0" w:after="0"/>
              <w:jc w:val="right"/>
              <w:rPr>
                <w:i/>
                <w:iCs/>
                <w:color w:val="000000"/>
                <w:sz w:val="22"/>
                <w:szCs w:val="22"/>
              </w:rPr>
            </w:pPr>
            <w:r w:rsidRPr="00247DB2">
              <w:rPr>
                <w:i/>
                <w:iCs/>
                <w:color w:val="000000"/>
                <w:sz w:val="22"/>
                <w:szCs w:val="22"/>
              </w:rPr>
              <w:t>-</w:t>
            </w:r>
          </w:p>
        </w:tc>
      </w:tr>
      <w:tr w:rsidR="00247DB2" w:rsidRPr="00A21277" w:rsidTr="00247DB2">
        <w:trPr>
          <w:trHeight w:val="273"/>
        </w:trPr>
        <w:tc>
          <w:tcPr>
            <w:tcW w:w="1195" w:type="dxa"/>
            <w:tcBorders>
              <w:top w:val="nil"/>
              <w:left w:val="nil"/>
              <w:right w:val="nil"/>
            </w:tcBorders>
            <w:shd w:val="clear" w:color="auto" w:fill="auto"/>
            <w:noWrap/>
            <w:vAlign w:val="bottom"/>
          </w:tcPr>
          <w:p w:rsidR="00247DB2" w:rsidRPr="00247DB2" w:rsidRDefault="00247DB2" w:rsidP="00247DB2">
            <w:pPr>
              <w:spacing w:before="0" w:after="0"/>
              <w:rPr>
                <w:color w:val="000000"/>
                <w:sz w:val="22"/>
                <w:szCs w:val="22"/>
              </w:rPr>
            </w:pPr>
          </w:p>
        </w:tc>
        <w:tc>
          <w:tcPr>
            <w:tcW w:w="999" w:type="dxa"/>
            <w:tcBorders>
              <w:top w:val="nil"/>
              <w:left w:val="nil"/>
              <w:right w:val="nil"/>
            </w:tcBorders>
            <w:shd w:val="clear" w:color="auto" w:fill="auto"/>
            <w:noWrap/>
            <w:vAlign w:val="bottom"/>
          </w:tcPr>
          <w:p w:rsidR="00247DB2" w:rsidRPr="00247DB2" w:rsidRDefault="00247DB2" w:rsidP="00247DB2">
            <w:pPr>
              <w:spacing w:before="0" w:after="0"/>
              <w:rPr>
                <w:color w:val="000000"/>
                <w:sz w:val="22"/>
                <w:szCs w:val="22"/>
              </w:rPr>
            </w:pPr>
          </w:p>
        </w:tc>
        <w:tc>
          <w:tcPr>
            <w:tcW w:w="1342" w:type="dxa"/>
            <w:tcBorders>
              <w:top w:val="nil"/>
              <w:left w:val="nil"/>
              <w:right w:val="nil"/>
            </w:tcBorders>
            <w:shd w:val="clear" w:color="000000" w:fill="FFFFFF"/>
            <w:vAlign w:val="bottom"/>
          </w:tcPr>
          <w:p w:rsidR="00247DB2" w:rsidRPr="00247DB2" w:rsidRDefault="00247DB2" w:rsidP="00247DB2">
            <w:pPr>
              <w:spacing w:before="0" w:after="0"/>
              <w:jc w:val="right"/>
              <w:rPr>
                <w:i/>
                <w:iCs/>
                <w:color w:val="000000"/>
                <w:sz w:val="22"/>
                <w:szCs w:val="22"/>
              </w:rPr>
            </w:pPr>
            <w:r w:rsidRPr="00247DB2">
              <w:rPr>
                <w:i/>
                <w:iCs/>
                <w:color w:val="000000"/>
                <w:sz w:val="22"/>
                <w:szCs w:val="22"/>
              </w:rPr>
              <w:t> </w:t>
            </w:r>
          </w:p>
        </w:tc>
        <w:tc>
          <w:tcPr>
            <w:tcW w:w="999" w:type="dxa"/>
            <w:tcBorders>
              <w:top w:val="nil"/>
              <w:left w:val="nil"/>
              <w:right w:val="nil"/>
            </w:tcBorders>
            <w:shd w:val="clear" w:color="auto" w:fill="auto"/>
            <w:noWrap/>
            <w:vAlign w:val="bottom"/>
          </w:tcPr>
          <w:p w:rsidR="00247DB2" w:rsidRPr="00247DB2" w:rsidRDefault="00247DB2" w:rsidP="00247DB2">
            <w:pPr>
              <w:spacing w:before="0" w:after="0"/>
              <w:rPr>
                <w:color w:val="000000"/>
                <w:sz w:val="22"/>
                <w:szCs w:val="22"/>
              </w:rPr>
            </w:pPr>
          </w:p>
        </w:tc>
        <w:tc>
          <w:tcPr>
            <w:tcW w:w="1342" w:type="dxa"/>
            <w:tcBorders>
              <w:top w:val="nil"/>
              <w:left w:val="nil"/>
              <w:right w:val="nil"/>
            </w:tcBorders>
            <w:shd w:val="clear" w:color="000000" w:fill="FFFFFF"/>
            <w:vAlign w:val="bottom"/>
          </w:tcPr>
          <w:p w:rsidR="00247DB2" w:rsidRPr="00247DB2" w:rsidRDefault="00247DB2" w:rsidP="00247DB2">
            <w:pPr>
              <w:spacing w:before="0" w:after="0"/>
              <w:jc w:val="right"/>
              <w:rPr>
                <w:i/>
                <w:iCs/>
                <w:color w:val="000000"/>
                <w:sz w:val="22"/>
                <w:szCs w:val="22"/>
              </w:rPr>
            </w:pPr>
            <w:r w:rsidRPr="00247DB2">
              <w:rPr>
                <w:i/>
                <w:iCs/>
                <w:color w:val="000000"/>
                <w:sz w:val="22"/>
                <w:szCs w:val="22"/>
              </w:rPr>
              <w:t> </w:t>
            </w:r>
          </w:p>
        </w:tc>
        <w:tc>
          <w:tcPr>
            <w:tcW w:w="1012" w:type="dxa"/>
            <w:tcBorders>
              <w:top w:val="nil"/>
              <w:left w:val="nil"/>
              <w:right w:val="nil"/>
            </w:tcBorders>
            <w:shd w:val="clear" w:color="auto" w:fill="auto"/>
            <w:noWrap/>
            <w:vAlign w:val="bottom"/>
          </w:tcPr>
          <w:p w:rsidR="00247DB2" w:rsidRPr="00247DB2" w:rsidRDefault="00247DB2" w:rsidP="00247DB2">
            <w:pPr>
              <w:spacing w:before="0" w:after="0"/>
              <w:rPr>
                <w:color w:val="000000"/>
                <w:sz w:val="22"/>
                <w:szCs w:val="22"/>
              </w:rPr>
            </w:pPr>
          </w:p>
        </w:tc>
        <w:tc>
          <w:tcPr>
            <w:tcW w:w="1342" w:type="dxa"/>
            <w:tcBorders>
              <w:top w:val="nil"/>
              <w:left w:val="nil"/>
              <w:right w:val="nil"/>
            </w:tcBorders>
            <w:shd w:val="clear" w:color="000000" w:fill="FFFFFF"/>
            <w:vAlign w:val="bottom"/>
          </w:tcPr>
          <w:p w:rsidR="00247DB2" w:rsidRPr="00247DB2" w:rsidRDefault="00247DB2" w:rsidP="00247DB2">
            <w:pPr>
              <w:spacing w:before="0" w:after="0"/>
              <w:jc w:val="right"/>
              <w:rPr>
                <w:i/>
                <w:iCs/>
                <w:color w:val="000000"/>
                <w:sz w:val="22"/>
                <w:szCs w:val="22"/>
              </w:rPr>
            </w:pPr>
            <w:r w:rsidRPr="00247DB2">
              <w:rPr>
                <w:i/>
                <w:iCs/>
                <w:color w:val="000000"/>
                <w:sz w:val="22"/>
                <w:szCs w:val="22"/>
              </w:rPr>
              <w:t> </w:t>
            </w:r>
          </w:p>
        </w:tc>
        <w:tc>
          <w:tcPr>
            <w:tcW w:w="1012" w:type="dxa"/>
            <w:tcBorders>
              <w:top w:val="nil"/>
              <w:left w:val="nil"/>
              <w:right w:val="nil"/>
            </w:tcBorders>
            <w:shd w:val="clear" w:color="auto" w:fill="auto"/>
            <w:noWrap/>
            <w:vAlign w:val="bottom"/>
          </w:tcPr>
          <w:p w:rsidR="00247DB2" w:rsidRPr="00247DB2" w:rsidRDefault="00247DB2" w:rsidP="00247DB2">
            <w:pPr>
              <w:spacing w:before="0" w:after="0"/>
              <w:rPr>
                <w:color w:val="000000"/>
                <w:sz w:val="22"/>
                <w:szCs w:val="22"/>
              </w:rPr>
            </w:pPr>
          </w:p>
        </w:tc>
        <w:tc>
          <w:tcPr>
            <w:tcW w:w="1342" w:type="dxa"/>
            <w:tcBorders>
              <w:top w:val="nil"/>
              <w:left w:val="nil"/>
              <w:right w:val="nil"/>
            </w:tcBorders>
            <w:shd w:val="clear" w:color="000000" w:fill="FFFFFF"/>
            <w:vAlign w:val="bottom"/>
          </w:tcPr>
          <w:p w:rsidR="00247DB2" w:rsidRPr="00247DB2" w:rsidRDefault="00247DB2" w:rsidP="00247DB2">
            <w:pPr>
              <w:spacing w:before="0" w:after="0"/>
              <w:jc w:val="right"/>
              <w:rPr>
                <w:i/>
                <w:iCs/>
                <w:color w:val="000000"/>
                <w:sz w:val="22"/>
                <w:szCs w:val="22"/>
              </w:rPr>
            </w:pPr>
            <w:r w:rsidRPr="00247DB2">
              <w:rPr>
                <w:i/>
                <w:iCs/>
                <w:color w:val="000000"/>
                <w:sz w:val="22"/>
                <w:szCs w:val="22"/>
              </w:rPr>
              <w:t> </w:t>
            </w:r>
          </w:p>
        </w:tc>
      </w:tr>
      <w:tr w:rsidR="00247DB2" w:rsidRPr="00A21277" w:rsidTr="00247DB2">
        <w:trPr>
          <w:trHeight w:val="273"/>
        </w:trPr>
        <w:tc>
          <w:tcPr>
            <w:tcW w:w="1195" w:type="dxa"/>
            <w:tcBorders>
              <w:top w:val="nil"/>
              <w:left w:val="nil"/>
              <w:bottom w:val="single" w:sz="4" w:space="0" w:color="auto"/>
              <w:right w:val="nil"/>
            </w:tcBorders>
            <w:shd w:val="clear" w:color="auto" w:fill="auto"/>
            <w:noWrap/>
            <w:vAlign w:val="bottom"/>
          </w:tcPr>
          <w:p w:rsidR="00247DB2" w:rsidRPr="00247DB2" w:rsidRDefault="00247DB2" w:rsidP="00247DB2">
            <w:pPr>
              <w:spacing w:before="0" w:after="0"/>
              <w:rPr>
                <w:b/>
                <w:bCs/>
                <w:color w:val="000000"/>
                <w:sz w:val="22"/>
                <w:szCs w:val="22"/>
              </w:rPr>
            </w:pPr>
            <w:r w:rsidRPr="00247DB2">
              <w:rPr>
                <w:b/>
                <w:bCs/>
                <w:color w:val="000000"/>
                <w:sz w:val="22"/>
                <w:szCs w:val="22"/>
              </w:rPr>
              <w:t>Total</w:t>
            </w:r>
          </w:p>
        </w:tc>
        <w:tc>
          <w:tcPr>
            <w:tcW w:w="999" w:type="dxa"/>
            <w:tcBorders>
              <w:top w:val="nil"/>
              <w:left w:val="nil"/>
              <w:bottom w:val="single" w:sz="4" w:space="0" w:color="auto"/>
              <w:right w:val="nil"/>
            </w:tcBorders>
            <w:shd w:val="clear" w:color="000000" w:fill="FFFFFF"/>
            <w:vAlign w:val="bottom"/>
          </w:tcPr>
          <w:p w:rsidR="00247DB2" w:rsidRPr="00247DB2" w:rsidRDefault="00247DB2" w:rsidP="00247DB2">
            <w:pPr>
              <w:spacing w:before="0" w:after="0"/>
              <w:jc w:val="right"/>
              <w:rPr>
                <w:b/>
                <w:bCs/>
                <w:color w:val="000000"/>
                <w:sz w:val="22"/>
                <w:szCs w:val="22"/>
              </w:rPr>
            </w:pPr>
            <w:r w:rsidRPr="00247DB2">
              <w:rPr>
                <w:b/>
                <w:bCs/>
                <w:color w:val="000000"/>
                <w:sz w:val="22"/>
                <w:szCs w:val="22"/>
              </w:rPr>
              <w:t>82,875</w:t>
            </w:r>
          </w:p>
        </w:tc>
        <w:tc>
          <w:tcPr>
            <w:tcW w:w="1342" w:type="dxa"/>
            <w:tcBorders>
              <w:top w:val="nil"/>
              <w:left w:val="nil"/>
              <w:bottom w:val="single" w:sz="4" w:space="0" w:color="auto"/>
              <w:right w:val="nil"/>
            </w:tcBorders>
            <w:shd w:val="clear" w:color="000000" w:fill="FFFFFF"/>
            <w:vAlign w:val="bottom"/>
          </w:tcPr>
          <w:p w:rsidR="00247DB2" w:rsidRPr="00247DB2" w:rsidRDefault="00247DB2" w:rsidP="00247DB2">
            <w:pPr>
              <w:spacing w:before="0" w:after="0"/>
              <w:jc w:val="right"/>
              <w:rPr>
                <w:b/>
                <w:bCs/>
                <w:i/>
                <w:iCs/>
                <w:color w:val="000000"/>
                <w:sz w:val="22"/>
                <w:szCs w:val="22"/>
              </w:rPr>
            </w:pPr>
            <w:r w:rsidRPr="00247DB2">
              <w:rPr>
                <w:b/>
                <w:bCs/>
                <w:i/>
                <w:iCs/>
                <w:color w:val="000000"/>
                <w:sz w:val="22"/>
                <w:szCs w:val="22"/>
              </w:rPr>
              <w:t>100</w:t>
            </w:r>
          </w:p>
        </w:tc>
        <w:tc>
          <w:tcPr>
            <w:tcW w:w="999" w:type="dxa"/>
            <w:tcBorders>
              <w:top w:val="nil"/>
              <w:left w:val="nil"/>
              <w:bottom w:val="single" w:sz="4" w:space="0" w:color="auto"/>
              <w:right w:val="nil"/>
            </w:tcBorders>
            <w:shd w:val="clear" w:color="000000" w:fill="FFFFFF"/>
            <w:vAlign w:val="bottom"/>
          </w:tcPr>
          <w:p w:rsidR="00247DB2" w:rsidRPr="00247DB2" w:rsidRDefault="00247DB2" w:rsidP="00247DB2">
            <w:pPr>
              <w:spacing w:before="0" w:after="0"/>
              <w:jc w:val="right"/>
              <w:rPr>
                <w:b/>
                <w:bCs/>
                <w:color w:val="000000"/>
                <w:sz w:val="22"/>
                <w:szCs w:val="22"/>
              </w:rPr>
            </w:pPr>
            <w:r w:rsidRPr="00247DB2">
              <w:rPr>
                <w:b/>
                <w:bCs/>
                <w:color w:val="000000"/>
                <w:sz w:val="22"/>
                <w:szCs w:val="22"/>
              </w:rPr>
              <w:t>69,398</w:t>
            </w:r>
          </w:p>
        </w:tc>
        <w:tc>
          <w:tcPr>
            <w:tcW w:w="1342" w:type="dxa"/>
            <w:tcBorders>
              <w:top w:val="nil"/>
              <w:left w:val="nil"/>
              <w:bottom w:val="single" w:sz="4" w:space="0" w:color="auto"/>
              <w:right w:val="nil"/>
            </w:tcBorders>
            <w:shd w:val="clear" w:color="000000" w:fill="FFFFFF"/>
            <w:vAlign w:val="bottom"/>
          </w:tcPr>
          <w:p w:rsidR="00247DB2" w:rsidRPr="00247DB2" w:rsidRDefault="00247DB2" w:rsidP="00247DB2">
            <w:pPr>
              <w:spacing w:before="0" w:after="0"/>
              <w:jc w:val="right"/>
              <w:rPr>
                <w:b/>
                <w:bCs/>
                <w:i/>
                <w:iCs/>
                <w:color w:val="000000"/>
                <w:sz w:val="22"/>
                <w:szCs w:val="22"/>
              </w:rPr>
            </w:pPr>
            <w:r w:rsidRPr="00247DB2">
              <w:rPr>
                <w:b/>
                <w:bCs/>
                <w:i/>
                <w:iCs/>
                <w:color w:val="000000"/>
                <w:sz w:val="22"/>
                <w:szCs w:val="22"/>
              </w:rPr>
              <w:t>100</w:t>
            </w:r>
          </w:p>
        </w:tc>
        <w:tc>
          <w:tcPr>
            <w:tcW w:w="1012" w:type="dxa"/>
            <w:tcBorders>
              <w:top w:val="nil"/>
              <w:left w:val="nil"/>
              <w:bottom w:val="single" w:sz="4" w:space="0" w:color="auto"/>
              <w:right w:val="nil"/>
            </w:tcBorders>
            <w:shd w:val="clear" w:color="000000" w:fill="FFFFFF"/>
            <w:vAlign w:val="bottom"/>
          </w:tcPr>
          <w:p w:rsidR="00247DB2" w:rsidRPr="00247DB2" w:rsidRDefault="00247DB2" w:rsidP="00247DB2">
            <w:pPr>
              <w:spacing w:before="0" w:after="0"/>
              <w:jc w:val="right"/>
              <w:rPr>
                <w:b/>
                <w:bCs/>
                <w:color w:val="000000"/>
                <w:sz w:val="22"/>
                <w:szCs w:val="22"/>
              </w:rPr>
            </w:pPr>
            <w:r w:rsidRPr="00247DB2">
              <w:rPr>
                <w:b/>
                <w:bCs/>
                <w:color w:val="000000"/>
                <w:sz w:val="22"/>
                <w:szCs w:val="22"/>
              </w:rPr>
              <w:t>113,743</w:t>
            </w:r>
          </w:p>
        </w:tc>
        <w:tc>
          <w:tcPr>
            <w:tcW w:w="1342" w:type="dxa"/>
            <w:tcBorders>
              <w:top w:val="nil"/>
              <w:left w:val="nil"/>
              <w:bottom w:val="single" w:sz="4" w:space="0" w:color="auto"/>
              <w:right w:val="nil"/>
            </w:tcBorders>
            <w:shd w:val="clear" w:color="000000" w:fill="FFFFFF"/>
            <w:vAlign w:val="bottom"/>
          </w:tcPr>
          <w:p w:rsidR="00247DB2" w:rsidRPr="00247DB2" w:rsidRDefault="00247DB2" w:rsidP="00247DB2">
            <w:pPr>
              <w:spacing w:before="0" w:after="0"/>
              <w:jc w:val="right"/>
              <w:rPr>
                <w:b/>
                <w:bCs/>
                <w:i/>
                <w:iCs/>
                <w:color w:val="000000"/>
                <w:sz w:val="22"/>
                <w:szCs w:val="22"/>
              </w:rPr>
            </w:pPr>
            <w:r w:rsidRPr="00247DB2">
              <w:rPr>
                <w:b/>
                <w:bCs/>
                <w:i/>
                <w:iCs/>
                <w:color w:val="000000"/>
                <w:sz w:val="22"/>
                <w:szCs w:val="22"/>
              </w:rPr>
              <w:t>100</w:t>
            </w:r>
          </w:p>
        </w:tc>
        <w:tc>
          <w:tcPr>
            <w:tcW w:w="1012" w:type="dxa"/>
            <w:tcBorders>
              <w:top w:val="nil"/>
              <w:left w:val="nil"/>
              <w:bottom w:val="single" w:sz="4" w:space="0" w:color="auto"/>
              <w:right w:val="nil"/>
            </w:tcBorders>
            <w:shd w:val="clear" w:color="auto" w:fill="auto"/>
            <w:noWrap/>
            <w:vAlign w:val="bottom"/>
          </w:tcPr>
          <w:p w:rsidR="00247DB2" w:rsidRPr="00247DB2" w:rsidRDefault="00247DB2" w:rsidP="00247DB2">
            <w:pPr>
              <w:spacing w:before="0" w:after="0"/>
              <w:jc w:val="right"/>
              <w:rPr>
                <w:b/>
                <w:bCs/>
                <w:color w:val="000000"/>
                <w:sz w:val="22"/>
                <w:szCs w:val="22"/>
              </w:rPr>
            </w:pPr>
            <w:r w:rsidRPr="00247DB2">
              <w:rPr>
                <w:b/>
                <w:bCs/>
                <w:color w:val="000000"/>
                <w:sz w:val="22"/>
                <w:szCs w:val="22"/>
              </w:rPr>
              <w:t>266,016</w:t>
            </w:r>
          </w:p>
        </w:tc>
        <w:tc>
          <w:tcPr>
            <w:tcW w:w="1342" w:type="dxa"/>
            <w:tcBorders>
              <w:top w:val="nil"/>
              <w:left w:val="nil"/>
              <w:bottom w:val="single" w:sz="4" w:space="0" w:color="auto"/>
              <w:right w:val="nil"/>
            </w:tcBorders>
            <w:shd w:val="clear" w:color="000000" w:fill="FFFFFF"/>
            <w:vAlign w:val="bottom"/>
          </w:tcPr>
          <w:p w:rsidR="00247DB2" w:rsidRPr="00247DB2" w:rsidRDefault="00247DB2" w:rsidP="00247DB2">
            <w:pPr>
              <w:spacing w:before="0" w:after="0"/>
              <w:jc w:val="right"/>
              <w:rPr>
                <w:b/>
                <w:bCs/>
                <w:i/>
                <w:iCs/>
                <w:color w:val="000000"/>
                <w:sz w:val="22"/>
                <w:szCs w:val="22"/>
              </w:rPr>
            </w:pPr>
            <w:r w:rsidRPr="00247DB2">
              <w:rPr>
                <w:b/>
                <w:bCs/>
                <w:i/>
                <w:iCs/>
                <w:color w:val="000000"/>
                <w:sz w:val="22"/>
                <w:szCs w:val="22"/>
              </w:rPr>
              <w:t>100</w:t>
            </w:r>
          </w:p>
        </w:tc>
      </w:tr>
    </w:tbl>
    <w:p w:rsidR="00805647" w:rsidRPr="00FD6952" w:rsidRDefault="00805647" w:rsidP="00805647">
      <w:pPr>
        <w:spacing w:before="0" w:after="0" w:line="270" w:lineRule="atLeast"/>
        <w:jc w:val="both"/>
        <w:rPr>
          <w:sz w:val="16"/>
          <w:szCs w:val="16"/>
        </w:rPr>
      </w:pPr>
    </w:p>
    <w:tbl>
      <w:tblPr>
        <w:tblW w:w="10505" w:type="dxa"/>
        <w:tblInd w:w="93" w:type="dxa"/>
        <w:tblLook w:val="04A0" w:firstRow="1" w:lastRow="0" w:firstColumn="1" w:lastColumn="0" w:noHBand="0" w:noVBand="1"/>
      </w:tblPr>
      <w:tblGrid>
        <w:gridCol w:w="10505"/>
      </w:tblGrid>
      <w:tr w:rsidR="00805647" w:rsidRPr="00466C75" w:rsidTr="00247DB2">
        <w:trPr>
          <w:trHeight w:val="285"/>
        </w:trPr>
        <w:tc>
          <w:tcPr>
            <w:tcW w:w="10505" w:type="dxa"/>
            <w:tcBorders>
              <w:top w:val="nil"/>
              <w:left w:val="nil"/>
              <w:bottom w:val="nil"/>
              <w:right w:val="nil"/>
            </w:tcBorders>
            <w:shd w:val="clear" w:color="auto" w:fill="auto"/>
            <w:noWrap/>
            <w:vAlign w:val="bottom"/>
            <w:hideMark/>
          </w:tcPr>
          <w:p w:rsidR="00805647" w:rsidRPr="00466C75" w:rsidRDefault="00805647" w:rsidP="00817954">
            <w:pPr>
              <w:spacing w:before="0" w:after="0" w:line="240" w:lineRule="auto"/>
              <w:jc w:val="both"/>
              <w:rPr>
                <w:color w:val="000000"/>
                <w:szCs w:val="24"/>
                <w:lang w:eastAsia="en-GB"/>
              </w:rPr>
            </w:pPr>
            <w:r w:rsidRPr="00466C75">
              <w:rPr>
                <w:color w:val="000000"/>
                <w:szCs w:val="24"/>
                <w:vertAlign w:val="superscript"/>
                <w:lang w:eastAsia="en-GB"/>
              </w:rPr>
              <w:t>1</w:t>
            </w:r>
            <w:r w:rsidRPr="00466C75">
              <w:rPr>
                <w:color w:val="000000"/>
                <w:szCs w:val="24"/>
                <w:lang w:eastAsia="en-GB"/>
              </w:rPr>
              <w:t xml:space="preserve"> Percentage of ECO measures is calculated only for those ECO measures where the </w:t>
            </w:r>
            <w:r w:rsidR="00817954">
              <w:rPr>
                <w:color w:val="000000"/>
                <w:szCs w:val="24"/>
                <w:lang w:eastAsia="en-GB"/>
              </w:rPr>
              <w:t>tenure</w:t>
            </w:r>
            <w:r w:rsidRPr="00466C75">
              <w:rPr>
                <w:color w:val="FF0000"/>
                <w:szCs w:val="24"/>
                <w:lang w:eastAsia="en-GB"/>
              </w:rPr>
              <w:t xml:space="preserve"> </w:t>
            </w:r>
            <w:r w:rsidRPr="00466C75">
              <w:rPr>
                <w:color w:val="000000"/>
                <w:szCs w:val="24"/>
                <w:lang w:eastAsia="en-GB"/>
              </w:rPr>
              <w:t>is known</w:t>
            </w:r>
          </w:p>
        </w:tc>
      </w:tr>
      <w:tr w:rsidR="00805647" w:rsidRPr="00466C75" w:rsidTr="00247DB2">
        <w:trPr>
          <w:trHeight w:val="285"/>
        </w:trPr>
        <w:tc>
          <w:tcPr>
            <w:tcW w:w="10505" w:type="dxa"/>
            <w:tcBorders>
              <w:top w:val="nil"/>
              <w:left w:val="nil"/>
              <w:bottom w:val="nil"/>
              <w:right w:val="nil"/>
            </w:tcBorders>
            <w:shd w:val="clear" w:color="auto" w:fill="auto"/>
            <w:noWrap/>
            <w:vAlign w:val="bottom"/>
            <w:hideMark/>
          </w:tcPr>
          <w:p w:rsidR="00805647" w:rsidRPr="00466C75" w:rsidRDefault="00805647" w:rsidP="00817954">
            <w:pPr>
              <w:spacing w:before="0" w:after="0" w:line="240" w:lineRule="auto"/>
              <w:jc w:val="both"/>
              <w:rPr>
                <w:color w:val="000000"/>
                <w:szCs w:val="24"/>
                <w:lang w:eastAsia="en-GB"/>
              </w:rPr>
            </w:pPr>
            <w:r w:rsidRPr="00466C75">
              <w:rPr>
                <w:color w:val="000000"/>
                <w:szCs w:val="24"/>
                <w:vertAlign w:val="superscript"/>
                <w:lang w:eastAsia="en-GB"/>
              </w:rPr>
              <w:t xml:space="preserve">2 </w:t>
            </w:r>
            <w:r w:rsidR="00817954" w:rsidRPr="00817954">
              <w:rPr>
                <w:color w:val="000000"/>
                <w:szCs w:val="24"/>
                <w:lang w:eastAsia="en-GB"/>
              </w:rPr>
              <w:t>It is not possible for socially-rented properties to benefit from measures delivered under Affordable Warmth</w:t>
            </w:r>
          </w:p>
        </w:tc>
      </w:tr>
    </w:tbl>
    <w:p w:rsidR="00101615" w:rsidRDefault="00101615" w:rsidP="00415EE4">
      <w:pPr>
        <w:spacing w:before="0" w:after="0" w:line="270" w:lineRule="atLeast"/>
      </w:pPr>
    </w:p>
    <w:p w:rsidR="00FD6952" w:rsidRDefault="00FD6952" w:rsidP="00101615">
      <w:pPr>
        <w:spacing w:before="0" w:after="0" w:line="270" w:lineRule="atLeast"/>
        <w:jc w:val="both"/>
        <w:rPr>
          <w:b/>
        </w:rPr>
      </w:pPr>
    </w:p>
    <w:p w:rsidR="00101615" w:rsidRPr="00101615" w:rsidRDefault="00FD6952" w:rsidP="00101615">
      <w:pPr>
        <w:spacing w:before="0" w:after="0" w:line="270" w:lineRule="atLeast"/>
        <w:jc w:val="both"/>
        <w:rPr>
          <w:b/>
        </w:rPr>
      </w:pPr>
      <w:r>
        <w:rPr>
          <w:b/>
        </w:rPr>
        <w:t>Table 1.11</w:t>
      </w:r>
      <w:r w:rsidR="00101615" w:rsidRPr="00101615">
        <w:rPr>
          <w:b/>
        </w:rPr>
        <w:t xml:space="preserve">c: Provisional number and percentage of ECO measures traded through </w:t>
      </w:r>
      <w:r w:rsidR="00CA3DC6">
        <w:rPr>
          <w:b/>
        </w:rPr>
        <w:t xml:space="preserve">    </w:t>
      </w:r>
      <w:r w:rsidR="00101615" w:rsidRPr="00101615">
        <w:rPr>
          <w:b/>
        </w:rPr>
        <w:t>brokerage by month and ECO obligation, up to 30th September 2013</w:t>
      </w:r>
      <w:r w:rsidR="00101615">
        <w:rPr>
          <w:b/>
        </w:rPr>
        <w:t xml:space="preserve"> </w:t>
      </w:r>
      <w:r w:rsidR="00101615" w:rsidRPr="00A21277">
        <w:rPr>
          <w:bCs/>
        </w:rPr>
        <w:t xml:space="preserve">(Table available </w:t>
      </w:r>
      <w:r w:rsidR="00101615" w:rsidRPr="00A21277">
        <w:t xml:space="preserve">in Excel </w:t>
      </w:r>
      <w:hyperlink r:id="rId52" w:history="1">
        <w:r w:rsidR="00101615" w:rsidRPr="009D56C9">
          <w:rPr>
            <w:rStyle w:val="Hyperlink"/>
            <w:rFonts w:ascii="Arial" w:hAnsi="Arial"/>
          </w:rPr>
          <w:t>here</w:t>
        </w:r>
      </w:hyperlink>
      <w:r w:rsidR="00101615" w:rsidRPr="009D56C9">
        <w:rPr>
          <w:bCs/>
        </w:rPr>
        <w:t>).</w:t>
      </w:r>
    </w:p>
    <w:p w:rsidR="00101615" w:rsidRDefault="00101615" w:rsidP="00415EE4">
      <w:pPr>
        <w:spacing w:before="0" w:after="0" w:line="270" w:lineRule="atLeast"/>
      </w:pPr>
    </w:p>
    <w:p w:rsidR="00101615" w:rsidRDefault="00101615" w:rsidP="00415EE4">
      <w:pPr>
        <w:spacing w:before="0" w:after="0" w:line="270" w:lineRule="atLeast"/>
      </w:pPr>
    </w:p>
    <w:tbl>
      <w:tblPr>
        <w:tblW w:w="9938" w:type="dxa"/>
        <w:tblInd w:w="93" w:type="dxa"/>
        <w:tblLook w:val="04A0" w:firstRow="1" w:lastRow="0" w:firstColumn="1" w:lastColumn="0" w:noHBand="0" w:noVBand="1"/>
      </w:tblPr>
      <w:tblGrid>
        <w:gridCol w:w="2660"/>
        <w:gridCol w:w="3592"/>
        <w:gridCol w:w="3686"/>
      </w:tblGrid>
      <w:tr w:rsidR="00101615" w:rsidRPr="00101615" w:rsidTr="00101615">
        <w:trPr>
          <w:trHeight w:val="285"/>
        </w:trPr>
        <w:tc>
          <w:tcPr>
            <w:tcW w:w="9938" w:type="dxa"/>
            <w:gridSpan w:val="3"/>
            <w:vMerge w:val="restart"/>
            <w:tcBorders>
              <w:top w:val="nil"/>
              <w:left w:val="nil"/>
              <w:bottom w:val="nil"/>
              <w:right w:val="nil"/>
            </w:tcBorders>
            <w:shd w:val="clear" w:color="auto" w:fill="auto"/>
            <w:vAlign w:val="bottom"/>
            <w:hideMark/>
          </w:tcPr>
          <w:p w:rsidR="00101615" w:rsidRPr="00101615" w:rsidRDefault="00FD6952" w:rsidP="00101615">
            <w:pPr>
              <w:spacing w:before="0" w:after="0" w:line="240" w:lineRule="auto"/>
              <w:rPr>
                <w:b/>
                <w:bCs/>
                <w:color w:val="000000"/>
                <w:szCs w:val="24"/>
                <w:lang w:eastAsia="en-GB"/>
              </w:rPr>
            </w:pPr>
            <w:bookmarkStart w:id="65" w:name="RANGE!A1:C17"/>
            <w:r>
              <w:rPr>
                <w:b/>
                <w:bCs/>
                <w:color w:val="000000"/>
                <w:szCs w:val="24"/>
                <w:lang w:eastAsia="en-GB"/>
              </w:rPr>
              <w:t>Table 1.11</w:t>
            </w:r>
            <w:r w:rsidR="00101615" w:rsidRPr="00101615">
              <w:rPr>
                <w:b/>
                <w:bCs/>
                <w:color w:val="000000"/>
                <w:szCs w:val="24"/>
                <w:lang w:eastAsia="en-GB"/>
              </w:rPr>
              <w:t>d: Estimated bill savings for Affordable Warmth measures installed by month, up to 30th September 2013</w:t>
            </w:r>
            <w:r w:rsidR="00101615" w:rsidRPr="00101615">
              <w:rPr>
                <w:b/>
                <w:bCs/>
                <w:color w:val="000000"/>
                <w:szCs w:val="24"/>
                <w:vertAlign w:val="superscript"/>
                <w:lang w:eastAsia="en-GB"/>
              </w:rPr>
              <w:t>1</w:t>
            </w:r>
            <w:bookmarkEnd w:id="65"/>
          </w:p>
        </w:tc>
      </w:tr>
      <w:tr w:rsidR="00101615" w:rsidRPr="00101615" w:rsidTr="00101615">
        <w:trPr>
          <w:trHeight w:val="276"/>
        </w:trPr>
        <w:tc>
          <w:tcPr>
            <w:tcW w:w="9938" w:type="dxa"/>
            <w:gridSpan w:val="3"/>
            <w:vMerge/>
            <w:tcBorders>
              <w:top w:val="nil"/>
              <w:left w:val="nil"/>
              <w:bottom w:val="nil"/>
              <w:right w:val="nil"/>
            </w:tcBorders>
            <w:vAlign w:val="center"/>
            <w:hideMark/>
          </w:tcPr>
          <w:p w:rsidR="00101615" w:rsidRPr="00101615" w:rsidRDefault="00101615" w:rsidP="00101615">
            <w:pPr>
              <w:spacing w:before="0" w:after="0" w:line="240" w:lineRule="auto"/>
              <w:rPr>
                <w:b/>
                <w:bCs/>
                <w:color w:val="000000"/>
                <w:szCs w:val="24"/>
                <w:lang w:eastAsia="en-GB"/>
              </w:rPr>
            </w:pPr>
          </w:p>
        </w:tc>
      </w:tr>
      <w:tr w:rsidR="00101615" w:rsidRPr="00101615" w:rsidTr="00101615">
        <w:trPr>
          <w:trHeight w:val="255"/>
        </w:trPr>
        <w:tc>
          <w:tcPr>
            <w:tcW w:w="2660" w:type="dxa"/>
            <w:tcBorders>
              <w:top w:val="nil"/>
              <w:left w:val="nil"/>
              <w:bottom w:val="single" w:sz="4" w:space="0" w:color="auto"/>
              <w:right w:val="nil"/>
            </w:tcBorders>
            <w:shd w:val="clear" w:color="auto" w:fill="auto"/>
            <w:noWrap/>
            <w:vAlign w:val="bottom"/>
            <w:hideMark/>
          </w:tcPr>
          <w:p w:rsidR="00101615" w:rsidRPr="00101615" w:rsidRDefault="00101615" w:rsidP="00101615">
            <w:pPr>
              <w:spacing w:before="0" w:after="0" w:line="240" w:lineRule="auto"/>
              <w:rPr>
                <w:color w:val="000000"/>
                <w:szCs w:val="24"/>
                <w:lang w:eastAsia="en-GB"/>
              </w:rPr>
            </w:pPr>
            <w:r w:rsidRPr="00101615">
              <w:rPr>
                <w:color w:val="000000"/>
                <w:szCs w:val="24"/>
                <w:lang w:eastAsia="en-GB"/>
              </w:rPr>
              <w:t> </w:t>
            </w:r>
          </w:p>
        </w:tc>
        <w:tc>
          <w:tcPr>
            <w:tcW w:w="3592" w:type="dxa"/>
            <w:tcBorders>
              <w:top w:val="nil"/>
              <w:left w:val="nil"/>
              <w:bottom w:val="single" w:sz="4" w:space="0" w:color="auto"/>
              <w:right w:val="nil"/>
            </w:tcBorders>
            <w:shd w:val="clear" w:color="auto" w:fill="auto"/>
            <w:noWrap/>
            <w:vAlign w:val="bottom"/>
            <w:hideMark/>
          </w:tcPr>
          <w:p w:rsidR="00101615" w:rsidRPr="00101615" w:rsidRDefault="00101615" w:rsidP="00101615">
            <w:pPr>
              <w:spacing w:before="0" w:after="0" w:line="240" w:lineRule="auto"/>
              <w:rPr>
                <w:color w:val="000000"/>
                <w:szCs w:val="24"/>
                <w:lang w:eastAsia="en-GB"/>
              </w:rPr>
            </w:pPr>
            <w:r w:rsidRPr="00101615">
              <w:rPr>
                <w:color w:val="000000"/>
                <w:szCs w:val="24"/>
                <w:lang w:eastAsia="en-GB"/>
              </w:rPr>
              <w:t> </w:t>
            </w:r>
          </w:p>
        </w:tc>
        <w:tc>
          <w:tcPr>
            <w:tcW w:w="3686" w:type="dxa"/>
            <w:tcBorders>
              <w:top w:val="nil"/>
              <w:left w:val="nil"/>
              <w:bottom w:val="single" w:sz="4" w:space="0" w:color="auto"/>
              <w:right w:val="nil"/>
            </w:tcBorders>
            <w:shd w:val="clear" w:color="auto" w:fill="auto"/>
            <w:noWrap/>
            <w:vAlign w:val="bottom"/>
            <w:hideMark/>
          </w:tcPr>
          <w:p w:rsidR="00101615" w:rsidRPr="00101615" w:rsidRDefault="00101615" w:rsidP="00101615">
            <w:pPr>
              <w:spacing w:before="0" w:after="0" w:line="240" w:lineRule="auto"/>
              <w:rPr>
                <w:color w:val="000000"/>
                <w:szCs w:val="24"/>
                <w:lang w:eastAsia="en-GB"/>
              </w:rPr>
            </w:pPr>
            <w:r w:rsidRPr="00101615">
              <w:rPr>
                <w:color w:val="000000"/>
                <w:szCs w:val="24"/>
                <w:lang w:eastAsia="en-GB"/>
              </w:rPr>
              <w:t> </w:t>
            </w:r>
          </w:p>
        </w:tc>
      </w:tr>
      <w:tr w:rsidR="00101615" w:rsidRPr="00101615" w:rsidTr="00FD6952">
        <w:trPr>
          <w:trHeight w:val="635"/>
        </w:trPr>
        <w:tc>
          <w:tcPr>
            <w:tcW w:w="2660" w:type="dxa"/>
            <w:tcBorders>
              <w:top w:val="nil"/>
              <w:left w:val="nil"/>
              <w:bottom w:val="single" w:sz="4" w:space="0" w:color="auto"/>
              <w:right w:val="nil"/>
            </w:tcBorders>
            <w:shd w:val="clear" w:color="auto" w:fill="auto"/>
            <w:noWrap/>
            <w:vAlign w:val="center"/>
            <w:hideMark/>
          </w:tcPr>
          <w:p w:rsidR="00101615" w:rsidRPr="00101615" w:rsidRDefault="00101615" w:rsidP="00101615">
            <w:pPr>
              <w:spacing w:before="0" w:after="0" w:line="240" w:lineRule="auto"/>
              <w:rPr>
                <w:color w:val="000000"/>
                <w:szCs w:val="24"/>
                <w:lang w:eastAsia="en-GB"/>
              </w:rPr>
            </w:pPr>
            <w:r w:rsidRPr="00101615">
              <w:rPr>
                <w:color w:val="000000"/>
                <w:szCs w:val="24"/>
                <w:lang w:eastAsia="en-GB"/>
              </w:rPr>
              <w:t>Installation Month</w:t>
            </w:r>
            <w:r w:rsidRPr="00101615">
              <w:rPr>
                <w:color w:val="000000"/>
                <w:szCs w:val="24"/>
                <w:vertAlign w:val="superscript"/>
                <w:lang w:eastAsia="en-GB"/>
              </w:rPr>
              <w:t>2</w:t>
            </w:r>
          </w:p>
        </w:tc>
        <w:tc>
          <w:tcPr>
            <w:tcW w:w="3592" w:type="dxa"/>
            <w:tcBorders>
              <w:top w:val="nil"/>
              <w:left w:val="nil"/>
              <w:bottom w:val="single" w:sz="4" w:space="0" w:color="auto"/>
              <w:right w:val="nil"/>
            </w:tcBorders>
            <w:shd w:val="clear" w:color="auto" w:fill="auto"/>
            <w:vAlign w:val="bottom"/>
            <w:hideMark/>
          </w:tcPr>
          <w:p w:rsidR="00101615" w:rsidRPr="00101615" w:rsidRDefault="00101615" w:rsidP="00101615">
            <w:pPr>
              <w:spacing w:before="0" w:after="0" w:line="240" w:lineRule="auto"/>
              <w:jc w:val="right"/>
              <w:rPr>
                <w:color w:val="000000"/>
                <w:szCs w:val="24"/>
                <w:lang w:eastAsia="en-GB"/>
              </w:rPr>
            </w:pPr>
            <w:r w:rsidRPr="00101615">
              <w:rPr>
                <w:color w:val="000000"/>
                <w:szCs w:val="24"/>
                <w:lang w:eastAsia="en-GB"/>
              </w:rPr>
              <w:t>Total number of Affordable Warmth measures</w:t>
            </w:r>
          </w:p>
        </w:tc>
        <w:tc>
          <w:tcPr>
            <w:tcW w:w="3686" w:type="dxa"/>
            <w:tcBorders>
              <w:top w:val="nil"/>
              <w:left w:val="nil"/>
              <w:bottom w:val="single" w:sz="4" w:space="0" w:color="auto"/>
              <w:right w:val="nil"/>
            </w:tcBorders>
            <w:shd w:val="clear" w:color="auto" w:fill="auto"/>
            <w:vAlign w:val="center"/>
            <w:hideMark/>
          </w:tcPr>
          <w:p w:rsidR="00101615" w:rsidRPr="00101615" w:rsidRDefault="00101615" w:rsidP="00101615">
            <w:pPr>
              <w:spacing w:before="0" w:after="0" w:line="240" w:lineRule="auto"/>
              <w:jc w:val="right"/>
              <w:rPr>
                <w:color w:val="000000"/>
                <w:szCs w:val="24"/>
                <w:lang w:eastAsia="en-GB"/>
              </w:rPr>
            </w:pPr>
            <w:r w:rsidRPr="00101615">
              <w:rPr>
                <w:color w:val="000000"/>
                <w:szCs w:val="24"/>
                <w:lang w:eastAsia="en-GB"/>
              </w:rPr>
              <w:t>Estimated bill saving (£)</w:t>
            </w:r>
          </w:p>
        </w:tc>
      </w:tr>
      <w:tr w:rsidR="00101615" w:rsidRPr="00101615" w:rsidTr="00101615">
        <w:trPr>
          <w:trHeight w:val="270"/>
        </w:trPr>
        <w:tc>
          <w:tcPr>
            <w:tcW w:w="2660" w:type="dxa"/>
            <w:tcBorders>
              <w:top w:val="nil"/>
              <w:left w:val="nil"/>
              <w:bottom w:val="nil"/>
              <w:right w:val="nil"/>
            </w:tcBorders>
            <w:shd w:val="clear" w:color="auto" w:fill="auto"/>
            <w:noWrap/>
            <w:vAlign w:val="center"/>
            <w:hideMark/>
          </w:tcPr>
          <w:p w:rsidR="00101615" w:rsidRPr="00101615" w:rsidRDefault="00101615" w:rsidP="00101615">
            <w:pPr>
              <w:spacing w:before="0" w:after="0" w:line="240" w:lineRule="auto"/>
              <w:rPr>
                <w:color w:val="000000"/>
                <w:szCs w:val="24"/>
                <w:lang w:eastAsia="en-GB"/>
              </w:rPr>
            </w:pPr>
          </w:p>
        </w:tc>
        <w:tc>
          <w:tcPr>
            <w:tcW w:w="3592" w:type="dxa"/>
            <w:tcBorders>
              <w:top w:val="nil"/>
              <w:left w:val="nil"/>
              <w:bottom w:val="nil"/>
              <w:right w:val="nil"/>
            </w:tcBorders>
            <w:shd w:val="clear" w:color="auto" w:fill="auto"/>
            <w:noWrap/>
            <w:vAlign w:val="bottom"/>
            <w:hideMark/>
          </w:tcPr>
          <w:p w:rsidR="00101615" w:rsidRPr="00101615" w:rsidRDefault="00101615" w:rsidP="00101615">
            <w:pPr>
              <w:spacing w:before="0" w:after="0" w:line="240" w:lineRule="auto"/>
              <w:jc w:val="center"/>
              <w:rPr>
                <w:color w:val="000000"/>
                <w:szCs w:val="24"/>
                <w:lang w:eastAsia="en-GB"/>
              </w:rPr>
            </w:pPr>
          </w:p>
        </w:tc>
        <w:tc>
          <w:tcPr>
            <w:tcW w:w="3686" w:type="dxa"/>
            <w:tcBorders>
              <w:top w:val="nil"/>
              <w:left w:val="nil"/>
              <w:bottom w:val="nil"/>
              <w:right w:val="nil"/>
            </w:tcBorders>
            <w:shd w:val="clear" w:color="auto" w:fill="auto"/>
            <w:noWrap/>
            <w:vAlign w:val="bottom"/>
            <w:hideMark/>
          </w:tcPr>
          <w:p w:rsidR="00101615" w:rsidRPr="00101615" w:rsidRDefault="00101615" w:rsidP="00101615">
            <w:pPr>
              <w:spacing w:before="0" w:after="0" w:line="240" w:lineRule="auto"/>
              <w:jc w:val="center"/>
              <w:rPr>
                <w:color w:val="000000"/>
                <w:szCs w:val="24"/>
                <w:lang w:eastAsia="en-GB"/>
              </w:rPr>
            </w:pPr>
          </w:p>
        </w:tc>
      </w:tr>
      <w:tr w:rsidR="00101615" w:rsidRPr="00101615" w:rsidTr="00101615">
        <w:trPr>
          <w:trHeight w:val="270"/>
        </w:trPr>
        <w:tc>
          <w:tcPr>
            <w:tcW w:w="2660" w:type="dxa"/>
            <w:tcBorders>
              <w:top w:val="nil"/>
              <w:left w:val="nil"/>
              <w:bottom w:val="nil"/>
              <w:right w:val="nil"/>
            </w:tcBorders>
            <w:shd w:val="clear" w:color="000000" w:fill="FFFFFF"/>
            <w:noWrap/>
            <w:vAlign w:val="bottom"/>
            <w:hideMark/>
          </w:tcPr>
          <w:p w:rsidR="00101615" w:rsidRPr="00101615" w:rsidRDefault="00101615" w:rsidP="00101615">
            <w:pPr>
              <w:spacing w:before="0" w:after="0" w:line="240" w:lineRule="auto"/>
              <w:rPr>
                <w:color w:val="000000"/>
                <w:szCs w:val="24"/>
                <w:lang w:eastAsia="en-GB"/>
              </w:rPr>
            </w:pPr>
            <w:r w:rsidRPr="00101615">
              <w:rPr>
                <w:color w:val="000000"/>
                <w:szCs w:val="24"/>
                <w:lang w:eastAsia="en-GB"/>
              </w:rPr>
              <w:t>January 2013</w:t>
            </w:r>
            <w:r w:rsidRPr="00101615">
              <w:rPr>
                <w:color w:val="000000"/>
                <w:szCs w:val="24"/>
                <w:vertAlign w:val="superscript"/>
                <w:lang w:eastAsia="en-GB"/>
              </w:rPr>
              <w:t>1</w:t>
            </w:r>
          </w:p>
        </w:tc>
        <w:tc>
          <w:tcPr>
            <w:tcW w:w="3592" w:type="dxa"/>
            <w:tcBorders>
              <w:top w:val="nil"/>
              <w:left w:val="nil"/>
              <w:bottom w:val="nil"/>
              <w:right w:val="nil"/>
            </w:tcBorders>
            <w:shd w:val="clear" w:color="000000" w:fill="FFFFFF"/>
            <w:vAlign w:val="bottom"/>
            <w:hideMark/>
          </w:tcPr>
          <w:p w:rsidR="00101615" w:rsidRPr="00101615" w:rsidRDefault="00101615" w:rsidP="00101615">
            <w:pPr>
              <w:spacing w:before="0" w:after="0" w:line="240" w:lineRule="auto"/>
              <w:jc w:val="right"/>
              <w:rPr>
                <w:color w:val="000000"/>
                <w:szCs w:val="24"/>
                <w:lang w:eastAsia="en-GB"/>
              </w:rPr>
            </w:pPr>
            <w:r w:rsidRPr="00101615">
              <w:rPr>
                <w:color w:val="000000"/>
                <w:szCs w:val="24"/>
                <w:lang w:eastAsia="en-GB"/>
              </w:rPr>
              <w:t>2,705</w:t>
            </w:r>
          </w:p>
        </w:tc>
        <w:tc>
          <w:tcPr>
            <w:tcW w:w="3686" w:type="dxa"/>
            <w:tcBorders>
              <w:top w:val="nil"/>
              <w:left w:val="nil"/>
              <w:bottom w:val="nil"/>
              <w:right w:val="nil"/>
            </w:tcBorders>
            <w:shd w:val="clear" w:color="000000" w:fill="FFFFFF"/>
            <w:vAlign w:val="bottom"/>
            <w:hideMark/>
          </w:tcPr>
          <w:p w:rsidR="00101615" w:rsidRPr="00101615" w:rsidRDefault="00101615" w:rsidP="00101615">
            <w:pPr>
              <w:spacing w:before="0" w:after="0" w:line="240" w:lineRule="auto"/>
              <w:jc w:val="right"/>
              <w:rPr>
                <w:color w:val="000000"/>
                <w:szCs w:val="24"/>
                <w:lang w:eastAsia="en-GB"/>
              </w:rPr>
            </w:pPr>
            <w:r w:rsidRPr="00101615">
              <w:rPr>
                <w:color w:val="000000"/>
                <w:szCs w:val="24"/>
                <w:lang w:eastAsia="en-GB"/>
              </w:rPr>
              <w:t>20,345,191</w:t>
            </w:r>
          </w:p>
        </w:tc>
      </w:tr>
      <w:tr w:rsidR="00101615" w:rsidRPr="00101615" w:rsidTr="00101615">
        <w:trPr>
          <w:trHeight w:val="270"/>
        </w:trPr>
        <w:tc>
          <w:tcPr>
            <w:tcW w:w="2660" w:type="dxa"/>
            <w:tcBorders>
              <w:top w:val="nil"/>
              <w:left w:val="nil"/>
              <w:bottom w:val="nil"/>
              <w:right w:val="nil"/>
            </w:tcBorders>
            <w:shd w:val="clear" w:color="000000" w:fill="FFFFFF"/>
            <w:noWrap/>
            <w:vAlign w:val="bottom"/>
            <w:hideMark/>
          </w:tcPr>
          <w:p w:rsidR="00101615" w:rsidRPr="00101615" w:rsidRDefault="00101615" w:rsidP="00101615">
            <w:pPr>
              <w:spacing w:before="0" w:after="0" w:line="240" w:lineRule="auto"/>
              <w:rPr>
                <w:color w:val="000000"/>
                <w:szCs w:val="24"/>
                <w:lang w:eastAsia="en-GB"/>
              </w:rPr>
            </w:pPr>
            <w:r w:rsidRPr="00101615">
              <w:rPr>
                <w:color w:val="000000"/>
                <w:szCs w:val="24"/>
                <w:lang w:eastAsia="en-GB"/>
              </w:rPr>
              <w:t>February 2013</w:t>
            </w:r>
          </w:p>
        </w:tc>
        <w:tc>
          <w:tcPr>
            <w:tcW w:w="3592" w:type="dxa"/>
            <w:tcBorders>
              <w:top w:val="nil"/>
              <w:left w:val="nil"/>
              <w:bottom w:val="nil"/>
              <w:right w:val="nil"/>
            </w:tcBorders>
            <w:shd w:val="clear" w:color="000000" w:fill="FFFFFF"/>
            <w:noWrap/>
            <w:vAlign w:val="bottom"/>
            <w:hideMark/>
          </w:tcPr>
          <w:p w:rsidR="00101615" w:rsidRPr="00101615" w:rsidRDefault="00101615" w:rsidP="00101615">
            <w:pPr>
              <w:spacing w:before="0" w:after="0" w:line="240" w:lineRule="auto"/>
              <w:jc w:val="right"/>
              <w:rPr>
                <w:color w:val="000000"/>
                <w:szCs w:val="24"/>
                <w:lang w:eastAsia="en-GB"/>
              </w:rPr>
            </w:pPr>
            <w:r w:rsidRPr="00101615">
              <w:rPr>
                <w:color w:val="000000"/>
                <w:szCs w:val="24"/>
                <w:lang w:eastAsia="en-GB"/>
              </w:rPr>
              <w:t>6,087</w:t>
            </w:r>
          </w:p>
        </w:tc>
        <w:tc>
          <w:tcPr>
            <w:tcW w:w="3686" w:type="dxa"/>
            <w:tcBorders>
              <w:top w:val="nil"/>
              <w:left w:val="nil"/>
              <w:bottom w:val="nil"/>
              <w:right w:val="nil"/>
            </w:tcBorders>
            <w:shd w:val="clear" w:color="000000" w:fill="FFFFFF"/>
            <w:vAlign w:val="bottom"/>
            <w:hideMark/>
          </w:tcPr>
          <w:p w:rsidR="00101615" w:rsidRPr="00101615" w:rsidRDefault="00101615" w:rsidP="00101615">
            <w:pPr>
              <w:spacing w:before="0" w:after="0" w:line="240" w:lineRule="auto"/>
              <w:jc w:val="right"/>
              <w:rPr>
                <w:color w:val="000000"/>
                <w:szCs w:val="24"/>
                <w:lang w:eastAsia="en-GB"/>
              </w:rPr>
            </w:pPr>
            <w:r w:rsidRPr="00101615">
              <w:rPr>
                <w:color w:val="000000"/>
                <w:szCs w:val="24"/>
                <w:lang w:eastAsia="en-GB"/>
              </w:rPr>
              <w:t>32,152,979</w:t>
            </w:r>
          </w:p>
        </w:tc>
      </w:tr>
      <w:tr w:rsidR="00101615" w:rsidRPr="00101615" w:rsidTr="00101615">
        <w:trPr>
          <w:trHeight w:val="270"/>
        </w:trPr>
        <w:tc>
          <w:tcPr>
            <w:tcW w:w="2660" w:type="dxa"/>
            <w:tcBorders>
              <w:top w:val="nil"/>
              <w:left w:val="nil"/>
              <w:bottom w:val="nil"/>
              <w:right w:val="nil"/>
            </w:tcBorders>
            <w:shd w:val="clear" w:color="000000" w:fill="FFFFFF"/>
            <w:noWrap/>
            <w:vAlign w:val="bottom"/>
            <w:hideMark/>
          </w:tcPr>
          <w:p w:rsidR="00101615" w:rsidRPr="00101615" w:rsidRDefault="00101615" w:rsidP="00101615">
            <w:pPr>
              <w:spacing w:before="0" w:after="0" w:line="240" w:lineRule="auto"/>
              <w:rPr>
                <w:color w:val="000000"/>
                <w:szCs w:val="24"/>
                <w:lang w:eastAsia="en-GB"/>
              </w:rPr>
            </w:pPr>
            <w:r w:rsidRPr="00101615">
              <w:rPr>
                <w:color w:val="000000"/>
                <w:szCs w:val="24"/>
                <w:lang w:eastAsia="en-GB"/>
              </w:rPr>
              <w:t>March 2013</w:t>
            </w:r>
          </w:p>
        </w:tc>
        <w:tc>
          <w:tcPr>
            <w:tcW w:w="3592" w:type="dxa"/>
            <w:tcBorders>
              <w:top w:val="nil"/>
              <w:left w:val="nil"/>
              <w:bottom w:val="nil"/>
              <w:right w:val="nil"/>
            </w:tcBorders>
            <w:shd w:val="clear" w:color="000000" w:fill="FFFFFF"/>
            <w:noWrap/>
            <w:vAlign w:val="bottom"/>
            <w:hideMark/>
          </w:tcPr>
          <w:p w:rsidR="00101615" w:rsidRPr="00101615" w:rsidRDefault="00101615" w:rsidP="00101615">
            <w:pPr>
              <w:spacing w:before="0" w:after="0" w:line="240" w:lineRule="auto"/>
              <w:jc w:val="right"/>
              <w:rPr>
                <w:color w:val="000000"/>
                <w:szCs w:val="24"/>
                <w:lang w:eastAsia="en-GB"/>
              </w:rPr>
            </w:pPr>
            <w:r w:rsidRPr="00101615">
              <w:rPr>
                <w:color w:val="000000"/>
                <w:szCs w:val="24"/>
                <w:lang w:eastAsia="en-GB"/>
              </w:rPr>
              <w:t>7,404</w:t>
            </w:r>
          </w:p>
        </w:tc>
        <w:tc>
          <w:tcPr>
            <w:tcW w:w="3686" w:type="dxa"/>
            <w:tcBorders>
              <w:top w:val="nil"/>
              <w:left w:val="nil"/>
              <w:bottom w:val="nil"/>
              <w:right w:val="nil"/>
            </w:tcBorders>
            <w:shd w:val="clear" w:color="000000" w:fill="FFFFFF"/>
            <w:vAlign w:val="bottom"/>
            <w:hideMark/>
          </w:tcPr>
          <w:p w:rsidR="00101615" w:rsidRPr="00101615" w:rsidRDefault="00101615" w:rsidP="00101615">
            <w:pPr>
              <w:spacing w:before="0" w:after="0" w:line="240" w:lineRule="auto"/>
              <w:jc w:val="right"/>
              <w:rPr>
                <w:color w:val="000000"/>
                <w:szCs w:val="24"/>
                <w:lang w:eastAsia="en-GB"/>
              </w:rPr>
            </w:pPr>
            <w:r w:rsidRPr="00101615">
              <w:rPr>
                <w:color w:val="000000"/>
                <w:szCs w:val="24"/>
                <w:lang w:eastAsia="en-GB"/>
              </w:rPr>
              <w:t>43,846,146</w:t>
            </w:r>
          </w:p>
        </w:tc>
      </w:tr>
      <w:tr w:rsidR="00101615" w:rsidRPr="00101615" w:rsidTr="00101615">
        <w:trPr>
          <w:trHeight w:val="270"/>
        </w:trPr>
        <w:tc>
          <w:tcPr>
            <w:tcW w:w="2660" w:type="dxa"/>
            <w:tcBorders>
              <w:top w:val="nil"/>
              <w:left w:val="nil"/>
              <w:bottom w:val="nil"/>
              <w:right w:val="nil"/>
            </w:tcBorders>
            <w:shd w:val="clear" w:color="000000" w:fill="FFFFFF"/>
            <w:noWrap/>
            <w:vAlign w:val="bottom"/>
            <w:hideMark/>
          </w:tcPr>
          <w:p w:rsidR="00101615" w:rsidRPr="00101615" w:rsidRDefault="00101615" w:rsidP="00101615">
            <w:pPr>
              <w:spacing w:before="0" w:after="0" w:line="240" w:lineRule="auto"/>
              <w:rPr>
                <w:color w:val="000000"/>
                <w:szCs w:val="24"/>
                <w:lang w:eastAsia="en-GB"/>
              </w:rPr>
            </w:pPr>
            <w:r w:rsidRPr="00101615">
              <w:rPr>
                <w:color w:val="000000"/>
                <w:szCs w:val="24"/>
                <w:lang w:eastAsia="en-GB"/>
              </w:rPr>
              <w:t>April 2013</w:t>
            </w:r>
          </w:p>
        </w:tc>
        <w:tc>
          <w:tcPr>
            <w:tcW w:w="3592" w:type="dxa"/>
            <w:tcBorders>
              <w:top w:val="nil"/>
              <w:left w:val="nil"/>
              <w:bottom w:val="nil"/>
              <w:right w:val="nil"/>
            </w:tcBorders>
            <w:shd w:val="clear" w:color="000000" w:fill="FFFFFF"/>
            <w:noWrap/>
            <w:vAlign w:val="bottom"/>
            <w:hideMark/>
          </w:tcPr>
          <w:p w:rsidR="00101615" w:rsidRPr="00101615" w:rsidRDefault="00101615" w:rsidP="00101615">
            <w:pPr>
              <w:spacing w:before="0" w:after="0" w:line="240" w:lineRule="auto"/>
              <w:jc w:val="right"/>
              <w:rPr>
                <w:color w:val="000000"/>
                <w:szCs w:val="24"/>
                <w:lang w:eastAsia="en-GB"/>
              </w:rPr>
            </w:pPr>
            <w:r w:rsidRPr="00101615">
              <w:rPr>
                <w:color w:val="000000"/>
                <w:szCs w:val="24"/>
                <w:lang w:eastAsia="en-GB"/>
              </w:rPr>
              <w:t>9,868</w:t>
            </w:r>
          </w:p>
        </w:tc>
        <w:tc>
          <w:tcPr>
            <w:tcW w:w="3686" w:type="dxa"/>
            <w:tcBorders>
              <w:top w:val="nil"/>
              <w:left w:val="nil"/>
              <w:bottom w:val="nil"/>
              <w:right w:val="nil"/>
            </w:tcBorders>
            <w:shd w:val="clear" w:color="000000" w:fill="FFFFFF"/>
            <w:vAlign w:val="bottom"/>
            <w:hideMark/>
          </w:tcPr>
          <w:p w:rsidR="00101615" w:rsidRPr="00101615" w:rsidRDefault="00101615" w:rsidP="00101615">
            <w:pPr>
              <w:spacing w:before="0" w:after="0" w:line="240" w:lineRule="auto"/>
              <w:jc w:val="right"/>
              <w:rPr>
                <w:color w:val="000000"/>
                <w:szCs w:val="24"/>
                <w:lang w:eastAsia="en-GB"/>
              </w:rPr>
            </w:pPr>
            <w:r w:rsidRPr="00101615">
              <w:rPr>
                <w:color w:val="000000"/>
                <w:szCs w:val="24"/>
                <w:lang w:eastAsia="en-GB"/>
              </w:rPr>
              <w:t>71,422,166</w:t>
            </w:r>
          </w:p>
        </w:tc>
      </w:tr>
      <w:tr w:rsidR="00101615" w:rsidRPr="00101615" w:rsidTr="00101615">
        <w:trPr>
          <w:trHeight w:val="270"/>
        </w:trPr>
        <w:tc>
          <w:tcPr>
            <w:tcW w:w="2660" w:type="dxa"/>
            <w:tcBorders>
              <w:top w:val="nil"/>
              <w:left w:val="nil"/>
              <w:bottom w:val="nil"/>
              <w:right w:val="nil"/>
            </w:tcBorders>
            <w:shd w:val="clear" w:color="000000" w:fill="FFFFFF"/>
            <w:noWrap/>
            <w:vAlign w:val="bottom"/>
            <w:hideMark/>
          </w:tcPr>
          <w:p w:rsidR="00101615" w:rsidRPr="00101615" w:rsidRDefault="00101615" w:rsidP="00101615">
            <w:pPr>
              <w:spacing w:before="0" w:after="0" w:line="240" w:lineRule="auto"/>
              <w:rPr>
                <w:color w:val="000000"/>
                <w:szCs w:val="24"/>
                <w:lang w:eastAsia="en-GB"/>
              </w:rPr>
            </w:pPr>
            <w:r w:rsidRPr="00101615">
              <w:rPr>
                <w:color w:val="000000"/>
                <w:szCs w:val="24"/>
                <w:lang w:eastAsia="en-GB"/>
              </w:rPr>
              <w:t>May 2013</w:t>
            </w:r>
          </w:p>
        </w:tc>
        <w:tc>
          <w:tcPr>
            <w:tcW w:w="3592" w:type="dxa"/>
            <w:tcBorders>
              <w:top w:val="nil"/>
              <w:left w:val="nil"/>
              <w:bottom w:val="nil"/>
              <w:right w:val="nil"/>
            </w:tcBorders>
            <w:shd w:val="clear" w:color="000000" w:fill="FFFFFF"/>
            <w:noWrap/>
            <w:vAlign w:val="bottom"/>
            <w:hideMark/>
          </w:tcPr>
          <w:p w:rsidR="00101615" w:rsidRPr="00101615" w:rsidRDefault="00101615" w:rsidP="00101615">
            <w:pPr>
              <w:spacing w:before="0" w:after="0" w:line="240" w:lineRule="auto"/>
              <w:jc w:val="right"/>
              <w:rPr>
                <w:color w:val="000000"/>
                <w:szCs w:val="24"/>
                <w:lang w:eastAsia="en-GB"/>
              </w:rPr>
            </w:pPr>
            <w:r w:rsidRPr="00101615">
              <w:rPr>
                <w:color w:val="000000"/>
                <w:szCs w:val="24"/>
                <w:lang w:eastAsia="en-GB"/>
              </w:rPr>
              <w:t>12,189</w:t>
            </w:r>
          </w:p>
        </w:tc>
        <w:tc>
          <w:tcPr>
            <w:tcW w:w="3686" w:type="dxa"/>
            <w:tcBorders>
              <w:top w:val="nil"/>
              <w:left w:val="nil"/>
              <w:bottom w:val="nil"/>
              <w:right w:val="nil"/>
            </w:tcBorders>
            <w:shd w:val="clear" w:color="000000" w:fill="FFFFFF"/>
            <w:vAlign w:val="bottom"/>
            <w:hideMark/>
          </w:tcPr>
          <w:p w:rsidR="00101615" w:rsidRPr="00101615" w:rsidRDefault="00101615" w:rsidP="00101615">
            <w:pPr>
              <w:spacing w:before="0" w:after="0" w:line="240" w:lineRule="auto"/>
              <w:jc w:val="right"/>
              <w:rPr>
                <w:color w:val="000000"/>
                <w:szCs w:val="24"/>
                <w:lang w:eastAsia="en-GB"/>
              </w:rPr>
            </w:pPr>
            <w:r w:rsidRPr="00101615">
              <w:rPr>
                <w:color w:val="000000"/>
                <w:szCs w:val="24"/>
                <w:lang w:eastAsia="en-GB"/>
              </w:rPr>
              <w:t>126,136,508</w:t>
            </w:r>
          </w:p>
        </w:tc>
      </w:tr>
      <w:tr w:rsidR="00101615" w:rsidRPr="00101615" w:rsidTr="00101615">
        <w:trPr>
          <w:trHeight w:val="270"/>
        </w:trPr>
        <w:tc>
          <w:tcPr>
            <w:tcW w:w="2660" w:type="dxa"/>
            <w:tcBorders>
              <w:top w:val="nil"/>
              <w:left w:val="nil"/>
              <w:bottom w:val="nil"/>
              <w:right w:val="nil"/>
            </w:tcBorders>
            <w:shd w:val="clear" w:color="000000" w:fill="FFFFFF"/>
            <w:noWrap/>
            <w:vAlign w:val="bottom"/>
            <w:hideMark/>
          </w:tcPr>
          <w:p w:rsidR="00101615" w:rsidRPr="00101615" w:rsidRDefault="00101615" w:rsidP="00101615">
            <w:pPr>
              <w:spacing w:before="0" w:after="0" w:line="240" w:lineRule="auto"/>
              <w:rPr>
                <w:color w:val="000000"/>
                <w:szCs w:val="24"/>
                <w:lang w:eastAsia="en-GB"/>
              </w:rPr>
            </w:pPr>
            <w:r w:rsidRPr="00101615">
              <w:rPr>
                <w:color w:val="000000"/>
                <w:szCs w:val="24"/>
                <w:lang w:eastAsia="en-GB"/>
              </w:rPr>
              <w:t>June 2013</w:t>
            </w:r>
          </w:p>
        </w:tc>
        <w:tc>
          <w:tcPr>
            <w:tcW w:w="3592" w:type="dxa"/>
            <w:tcBorders>
              <w:top w:val="nil"/>
              <w:left w:val="nil"/>
              <w:bottom w:val="nil"/>
              <w:right w:val="nil"/>
            </w:tcBorders>
            <w:shd w:val="clear" w:color="000000" w:fill="FFFFFF"/>
            <w:noWrap/>
            <w:vAlign w:val="bottom"/>
            <w:hideMark/>
          </w:tcPr>
          <w:p w:rsidR="00101615" w:rsidRPr="00101615" w:rsidRDefault="00101615" w:rsidP="00101615">
            <w:pPr>
              <w:spacing w:before="0" w:after="0" w:line="240" w:lineRule="auto"/>
              <w:jc w:val="right"/>
              <w:rPr>
                <w:color w:val="000000"/>
                <w:szCs w:val="24"/>
                <w:lang w:eastAsia="en-GB"/>
              </w:rPr>
            </w:pPr>
            <w:r w:rsidRPr="00101615">
              <w:rPr>
                <w:color w:val="000000"/>
                <w:szCs w:val="24"/>
                <w:lang w:eastAsia="en-GB"/>
              </w:rPr>
              <w:t>16,040</w:t>
            </w:r>
          </w:p>
        </w:tc>
        <w:tc>
          <w:tcPr>
            <w:tcW w:w="3686" w:type="dxa"/>
            <w:tcBorders>
              <w:top w:val="nil"/>
              <w:left w:val="nil"/>
              <w:bottom w:val="nil"/>
              <w:right w:val="nil"/>
            </w:tcBorders>
            <w:shd w:val="clear" w:color="000000" w:fill="FFFFFF"/>
            <w:vAlign w:val="bottom"/>
            <w:hideMark/>
          </w:tcPr>
          <w:p w:rsidR="00101615" w:rsidRPr="00101615" w:rsidRDefault="00101615" w:rsidP="00101615">
            <w:pPr>
              <w:spacing w:before="0" w:after="0" w:line="240" w:lineRule="auto"/>
              <w:jc w:val="right"/>
              <w:rPr>
                <w:color w:val="000000"/>
                <w:szCs w:val="24"/>
                <w:lang w:eastAsia="en-GB"/>
              </w:rPr>
            </w:pPr>
            <w:r w:rsidRPr="00101615">
              <w:rPr>
                <w:color w:val="000000"/>
                <w:szCs w:val="24"/>
                <w:lang w:eastAsia="en-GB"/>
              </w:rPr>
              <w:t>169,733,224</w:t>
            </w:r>
          </w:p>
        </w:tc>
      </w:tr>
      <w:tr w:rsidR="00101615" w:rsidRPr="00101615" w:rsidTr="00101615">
        <w:trPr>
          <w:trHeight w:val="255"/>
        </w:trPr>
        <w:tc>
          <w:tcPr>
            <w:tcW w:w="2660" w:type="dxa"/>
            <w:tcBorders>
              <w:top w:val="nil"/>
              <w:left w:val="nil"/>
              <w:bottom w:val="nil"/>
              <w:right w:val="nil"/>
            </w:tcBorders>
            <w:shd w:val="clear" w:color="000000" w:fill="FFFFFF"/>
            <w:noWrap/>
            <w:vAlign w:val="bottom"/>
            <w:hideMark/>
          </w:tcPr>
          <w:p w:rsidR="00101615" w:rsidRPr="00101615" w:rsidRDefault="00101615" w:rsidP="00101615">
            <w:pPr>
              <w:spacing w:before="0" w:after="0" w:line="240" w:lineRule="auto"/>
              <w:rPr>
                <w:color w:val="000000"/>
                <w:szCs w:val="24"/>
                <w:lang w:eastAsia="en-GB"/>
              </w:rPr>
            </w:pPr>
            <w:r w:rsidRPr="00101615">
              <w:rPr>
                <w:color w:val="000000"/>
                <w:szCs w:val="24"/>
                <w:lang w:eastAsia="en-GB"/>
              </w:rPr>
              <w:t>July 2013</w:t>
            </w:r>
          </w:p>
        </w:tc>
        <w:tc>
          <w:tcPr>
            <w:tcW w:w="3592" w:type="dxa"/>
            <w:tcBorders>
              <w:top w:val="nil"/>
              <w:left w:val="nil"/>
              <w:bottom w:val="nil"/>
              <w:right w:val="nil"/>
            </w:tcBorders>
            <w:shd w:val="clear" w:color="000000" w:fill="FFFFFF"/>
            <w:noWrap/>
            <w:vAlign w:val="bottom"/>
            <w:hideMark/>
          </w:tcPr>
          <w:p w:rsidR="00101615" w:rsidRPr="00101615" w:rsidRDefault="00101615" w:rsidP="00101615">
            <w:pPr>
              <w:spacing w:before="0" w:after="0" w:line="240" w:lineRule="auto"/>
              <w:jc w:val="right"/>
              <w:rPr>
                <w:color w:val="000000"/>
                <w:szCs w:val="24"/>
                <w:lang w:eastAsia="en-GB"/>
              </w:rPr>
            </w:pPr>
            <w:r w:rsidRPr="00101615">
              <w:rPr>
                <w:color w:val="000000"/>
                <w:szCs w:val="24"/>
                <w:lang w:eastAsia="en-GB"/>
              </w:rPr>
              <w:t>19,437</w:t>
            </w:r>
          </w:p>
        </w:tc>
        <w:tc>
          <w:tcPr>
            <w:tcW w:w="3686" w:type="dxa"/>
            <w:tcBorders>
              <w:top w:val="nil"/>
              <w:left w:val="nil"/>
              <w:bottom w:val="nil"/>
              <w:right w:val="nil"/>
            </w:tcBorders>
            <w:shd w:val="clear" w:color="000000" w:fill="FFFFFF"/>
            <w:vAlign w:val="bottom"/>
            <w:hideMark/>
          </w:tcPr>
          <w:p w:rsidR="00101615" w:rsidRPr="00101615" w:rsidRDefault="00101615" w:rsidP="00101615">
            <w:pPr>
              <w:spacing w:before="0" w:after="0" w:line="240" w:lineRule="auto"/>
              <w:jc w:val="right"/>
              <w:rPr>
                <w:color w:val="000000"/>
                <w:szCs w:val="24"/>
                <w:lang w:eastAsia="en-GB"/>
              </w:rPr>
            </w:pPr>
            <w:r w:rsidRPr="00101615">
              <w:rPr>
                <w:color w:val="000000"/>
                <w:szCs w:val="24"/>
                <w:lang w:eastAsia="en-GB"/>
              </w:rPr>
              <w:t>232,885,124</w:t>
            </w:r>
          </w:p>
        </w:tc>
      </w:tr>
      <w:tr w:rsidR="00101615" w:rsidRPr="00101615" w:rsidTr="00101615">
        <w:trPr>
          <w:trHeight w:val="255"/>
        </w:trPr>
        <w:tc>
          <w:tcPr>
            <w:tcW w:w="2660" w:type="dxa"/>
            <w:tcBorders>
              <w:top w:val="nil"/>
              <w:left w:val="nil"/>
              <w:bottom w:val="nil"/>
              <w:right w:val="nil"/>
            </w:tcBorders>
            <w:shd w:val="clear" w:color="000000" w:fill="FFFFFF"/>
            <w:noWrap/>
            <w:vAlign w:val="bottom"/>
            <w:hideMark/>
          </w:tcPr>
          <w:p w:rsidR="00101615" w:rsidRPr="00101615" w:rsidRDefault="00101615" w:rsidP="00101615">
            <w:pPr>
              <w:spacing w:before="0" w:after="0" w:line="240" w:lineRule="auto"/>
              <w:rPr>
                <w:color w:val="000000"/>
                <w:szCs w:val="24"/>
                <w:lang w:eastAsia="en-GB"/>
              </w:rPr>
            </w:pPr>
            <w:r w:rsidRPr="00101615">
              <w:rPr>
                <w:color w:val="000000"/>
                <w:szCs w:val="24"/>
                <w:lang w:eastAsia="en-GB"/>
              </w:rPr>
              <w:t>August 2013</w:t>
            </w:r>
          </w:p>
        </w:tc>
        <w:tc>
          <w:tcPr>
            <w:tcW w:w="3592" w:type="dxa"/>
            <w:tcBorders>
              <w:top w:val="nil"/>
              <w:left w:val="nil"/>
              <w:bottom w:val="nil"/>
              <w:right w:val="nil"/>
            </w:tcBorders>
            <w:shd w:val="clear" w:color="000000" w:fill="FFFFFF"/>
            <w:noWrap/>
            <w:vAlign w:val="bottom"/>
            <w:hideMark/>
          </w:tcPr>
          <w:p w:rsidR="00101615" w:rsidRPr="00101615" w:rsidRDefault="00101615" w:rsidP="00101615">
            <w:pPr>
              <w:spacing w:before="0" w:after="0" w:line="240" w:lineRule="auto"/>
              <w:jc w:val="right"/>
              <w:rPr>
                <w:color w:val="000000"/>
                <w:szCs w:val="24"/>
                <w:lang w:eastAsia="en-GB"/>
              </w:rPr>
            </w:pPr>
            <w:r w:rsidRPr="00101615">
              <w:rPr>
                <w:color w:val="000000"/>
                <w:szCs w:val="24"/>
                <w:lang w:eastAsia="en-GB"/>
              </w:rPr>
              <w:t>25,864</w:t>
            </w:r>
          </w:p>
        </w:tc>
        <w:tc>
          <w:tcPr>
            <w:tcW w:w="3686" w:type="dxa"/>
            <w:tcBorders>
              <w:top w:val="nil"/>
              <w:left w:val="nil"/>
              <w:bottom w:val="nil"/>
              <w:right w:val="nil"/>
            </w:tcBorders>
            <w:shd w:val="clear" w:color="000000" w:fill="FFFFFF"/>
            <w:vAlign w:val="bottom"/>
            <w:hideMark/>
          </w:tcPr>
          <w:p w:rsidR="00101615" w:rsidRPr="00101615" w:rsidRDefault="00101615" w:rsidP="00101615">
            <w:pPr>
              <w:spacing w:before="0" w:after="0" w:line="240" w:lineRule="auto"/>
              <w:jc w:val="right"/>
              <w:rPr>
                <w:color w:val="000000"/>
                <w:szCs w:val="24"/>
                <w:lang w:eastAsia="en-GB"/>
              </w:rPr>
            </w:pPr>
            <w:r w:rsidRPr="00101615">
              <w:rPr>
                <w:color w:val="000000"/>
                <w:szCs w:val="24"/>
                <w:lang w:eastAsia="en-GB"/>
              </w:rPr>
              <w:t>305,585,096</w:t>
            </w:r>
          </w:p>
        </w:tc>
      </w:tr>
      <w:tr w:rsidR="00101615" w:rsidRPr="00101615" w:rsidTr="00101615">
        <w:trPr>
          <w:trHeight w:val="255"/>
        </w:trPr>
        <w:tc>
          <w:tcPr>
            <w:tcW w:w="2660" w:type="dxa"/>
            <w:tcBorders>
              <w:top w:val="nil"/>
              <w:left w:val="nil"/>
              <w:bottom w:val="nil"/>
              <w:right w:val="nil"/>
            </w:tcBorders>
            <w:shd w:val="clear" w:color="000000" w:fill="FFFFFF"/>
            <w:noWrap/>
            <w:vAlign w:val="bottom"/>
            <w:hideMark/>
          </w:tcPr>
          <w:p w:rsidR="00101615" w:rsidRPr="00101615" w:rsidRDefault="00101615" w:rsidP="00101615">
            <w:pPr>
              <w:spacing w:before="0" w:after="0" w:line="240" w:lineRule="auto"/>
              <w:rPr>
                <w:color w:val="000000"/>
                <w:szCs w:val="24"/>
                <w:lang w:eastAsia="en-GB"/>
              </w:rPr>
            </w:pPr>
            <w:r w:rsidRPr="00101615">
              <w:rPr>
                <w:color w:val="000000"/>
                <w:szCs w:val="24"/>
                <w:lang w:eastAsia="en-GB"/>
              </w:rPr>
              <w:t>September 2013</w:t>
            </w:r>
          </w:p>
        </w:tc>
        <w:tc>
          <w:tcPr>
            <w:tcW w:w="3592" w:type="dxa"/>
            <w:tcBorders>
              <w:top w:val="nil"/>
              <w:left w:val="nil"/>
              <w:bottom w:val="nil"/>
              <w:right w:val="nil"/>
            </w:tcBorders>
            <w:shd w:val="clear" w:color="000000" w:fill="FFFFFF"/>
            <w:noWrap/>
            <w:vAlign w:val="bottom"/>
            <w:hideMark/>
          </w:tcPr>
          <w:p w:rsidR="00101615" w:rsidRPr="00101615" w:rsidRDefault="00101615" w:rsidP="00101615">
            <w:pPr>
              <w:spacing w:before="0" w:after="0" w:line="240" w:lineRule="auto"/>
              <w:jc w:val="right"/>
              <w:rPr>
                <w:color w:val="000000"/>
                <w:szCs w:val="24"/>
                <w:lang w:eastAsia="en-GB"/>
              </w:rPr>
            </w:pPr>
            <w:r w:rsidRPr="00101615">
              <w:rPr>
                <w:color w:val="000000"/>
                <w:szCs w:val="24"/>
                <w:lang w:eastAsia="en-GB"/>
              </w:rPr>
              <w:t>28,736</w:t>
            </w:r>
          </w:p>
        </w:tc>
        <w:tc>
          <w:tcPr>
            <w:tcW w:w="3686" w:type="dxa"/>
            <w:tcBorders>
              <w:top w:val="nil"/>
              <w:left w:val="nil"/>
              <w:bottom w:val="nil"/>
              <w:right w:val="nil"/>
            </w:tcBorders>
            <w:shd w:val="clear" w:color="000000" w:fill="FFFFFF"/>
            <w:vAlign w:val="bottom"/>
            <w:hideMark/>
          </w:tcPr>
          <w:p w:rsidR="00101615" w:rsidRPr="00101615" w:rsidRDefault="00101615" w:rsidP="00101615">
            <w:pPr>
              <w:spacing w:before="0" w:after="0" w:line="240" w:lineRule="auto"/>
              <w:jc w:val="right"/>
              <w:rPr>
                <w:color w:val="000000"/>
                <w:szCs w:val="24"/>
                <w:lang w:eastAsia="en-GB"/>
              </w:rPr>
            </w:pPr>
            <w:r w:rsidRPr="00101615">
              <w:rPr>
                <w:color w:val="000000"/>
                <w:szCs w:val="24"/>
                <w:lang w:eastAsia="en-GB"/>
              </w:rPr>
              <w:t>353,000,523</w:t>
            </w:r>
          </w:p>
        </w:tc>
      </w:tr>
      <w:tr w:rsidR="00101615" w:rsidRPr="00101615" w:rsidTr="00101615">
        <w:trPr>
          <w:trHeight w:val="255"/>
        </w:trPr>
        <w:tc>
          <w:tcPr>
            <w:tcW w:w="2660" w:type="dxa"/>
            <w:tcBorders>
              <w:top w:val="nil"/>
              <w:left w:val="nil"/>
              <w:bottom w:val="nil"/>
              <w:right w:val="nil"/>
            </w:tcBorders>
            <w:shd w:val="clear" w:color="auto" w:fill="auto"/>
            <w:noWrap/>
            <w:vAlign w:val="bottom"/>
            <w:hideMark/>
          </w:tcPr>
          <w:p w:rsidR="00101615" w:rsidRPr="00101615" w:rsidRDefault="00101615" w:rsidP="00101615">
            <w:pPr>
              <w:spacing w:before="0" w:after="0" w:line="240" w:lineRule="auto"/>
              <w:rPr>
                <w:color w:val="000000"/>
                <w:szCs w:val="24"/>
                <w:lang w:eastAsia="en-GB"/>
              </w:rPr>
            </w:pPr>
          </w:p>
        </w:tc>
        <w:tc>
          <w:tcPr>
            <w:tcW w:w="3592" w:type="dxa"/>
            <w:tcBorders>
              <w:top w:val="nil"/>
              <w:left w:val="nil"/>
              <w:bottom w:val="nil"/>
              <w:right w:val="nil"/>
            </w:tcBorders>
            <w:shd w:val="clear" w:color="000000" w:fill="FFFFFF"/>
            <w:noWrap/>
            <w:vAlign w:val="bottom"/>
            <w:hideMark/>
          </w:tcPr>
          <w:p w:rsidR="00101615" w:rsidRPr="00101615" w:rsidRDefault="00101615" w:rsidP="00101615">
            <w:pPr>
              <w:spacing w:before="0" w:after="0" w:line="240" w:lineRule="auto"/>
              <w:rPr>
                <w:color w:val="000000"/>
                <w:szCs w:val="24"/>
                <w:lang w:eastAsia="en-GB"/>
              </w:rPr>
            </w:pPr>
            <w:r w:rsidRPr="00101615">
              <w:rPr>
                <w:color w:val="000000"/>
                <w:szCs w:val="24"/>
                <w:lang w:eastAsia="en-GB"/>
              </w:rPr>
              <w:t> </w:t>
            </w:r>
          </w:p>
        </w:tc>
        <w:tc>
          <w:tcPr>
            <w:tcW w:w="3686" w:type="dxa"/>
            <w:tcBorders>
              <w:top w:val="nil"/>
              <w:left w:val="nil"/>
              <w:bottom w:val="nil"/>
              <w:right w:val="nil"/>
            </w:tcBorders>
            <w:shd w:val="clear" w:color="000000" w:fill="FFFFFF"/>
            <w:noWrap/>
            <w:vAlign w:val="bottom"/>
            <w:hideMark/>
          </w:tcPr>
          <w:p w:rsidR="00101615" w:rsidRPr="00101615" w:rsidRDefault="00101615" w:rsidP="00101615">
            <w:pPr>
              <w:spacing w:before="0" w:after="0" w:line="240" w:lineRule="auto"/>
              <w:rPr>
                <w:color w:val="000000"/>
                <w:szCs w:val="24"/>
                <w:lang w:eastAsia="en-GB"/>
              </w:rPr>
            </w:pPr>
            <w:r w:rsidRPr="00101615">
              <w:rPr>
                <w:color w:val="000000"/>
                <w:szCs w:val="24"/>
                <w:lang w:eastAsia="en-GB"/>
              </w:rPr>
              <w:t> </w:t>
            </w:r>
          </w:p>
        </w:tc>
      </w:tr>
      <w:tr w:rsidR="00101615" w:rsidRPr="00101615" w:rsidTr="00101615">
        <w:trPr>
          <w:trHeight w:val="255"/>
        </w:trPr>
        <w:tc>
          <w:tcPr>
            <w:tcW w:w="2660" w:type="dxa"/>
            <w:tcBorders>
              <w:top w:val="nil"/>
              <w:left w:val="nil"/>
              <w:bottom w:val="single" w:sz="4" w:space="0" w:color="auto"/>
              <w:right w:val="nil"/>
            </w:tcBorders>
            <w:shd w:val="clear" w:color="000000" w:fill="FFFFFF"/>
            <w:noWrap/>
            <w:vAlign w:val="bottom"/>
            <w:hideMark/>
          </w:tcPr>
          <w:p w:rsidR="00101615" w:rsidRPr="00101615" w:rsidRDefault="00101615" w:rsidP="00101615">
            <w:pPr>
              <w:spacing w:before="0" w:after="0" w:line="240" w:lineRule="auto"/>
              <w:rPr>
                <w:b/>
                <w:bCs/>
                <w:color w:val="000000"/>
                <w:szCs w:val="24"/>
                <w:lang w:eastAsia="en-GB"/>
              </w:rPr>
            </w:pPr>
            <w:r w:rsidRPr="00101615">
              <w:rPr>
                <w:b/>
                <w:bCs/>
                <w:color w:val="000000"/>
                <w:szCs w:val="24"/>
                <w:lang w:eastAsia="en-GB"/>
              </w:rPr>
              <w:t>Total to date</w:t>
            </w:r>
          </w:p>
        </w:tc>
        <w:tc>
          <w:tcPr>
            <w:tcW w:w="3592" w:type="dxa"/>
            <w:tcBorders>
              <w:top w:val="nil"/>
              <w:left w:val="nil"/>
              <w:bottom w:val="single" w:sz="4" w:space="0" w:color="auto"/>
              <w:right w:val="nil"/>
            </w:tcBorders>
            <w:shd w:val="clear" w:color="000000" w:fill="FFFFFF"/>
            <w:noWrap/>
            <w:vAlign w:val="bottom"/>
            <w:hideMark/>
          </w:tcPr>
          <w:p w:rsidR="00101615" w:rsidRPr="00101615" w:rsidRDefault="00101615" w:rsidP="00101615">
            <w:pPr>
              <w:spacing w:before="0" w:after="0" w:line="240" w:lineRule="auto"/>
              <w:jc w:val="right"/>
              <w:rPr>
                <w:b/>
                <w:bCs/>
                <w:color w:val="000000"/>
                <w:szCs w:val="24"/>
                <w:lang w:eastAsia="en-GB"/>
              </w:rPr>
            </w:pPr>
            <w:r w:rsidRPr="00101615">
              <w:rPr>
                <w:b/>
                <w:bCs/>
                <w:color w:val="000000"/>
                <w:szCs w:val="24"/>
                <w:lang w:eastAsia="en-GB"/>
              </w:rPr>
              <w:t>128,330</w:t>
            </w:r>
          </w:p>
        </w:tc>
        <w:tc>
          <w:tcPr>
            <w:tcW w:w="3686" w:type="dxa"/>
            <w:tcBorders>
              <w:top w:val="nil"/>
              <w:left w:val="nil"/>
              <w:bottom w:val="single" w:sz="4" w:space="0" w:color="auto"/>
              <w:right w:val="nil"/>
            </w:tcBorders>
            <w:shd w:val="clear" w:color="000000" w:fill="FFFFFF"/>
            <w:noWrap/>
            <w:vAlign w:val="bottom"/>
            <w:hideMark/>
          </w:tcPr>
          <w:p w:rsidR="00101615" w:rsidRPr="00101615" w:rsidRDefault="00101615" w:rsidP="00101615">
            <w:pPr>
              <w:spacing w:before="0" w:after="0" w:line="240" w:lineRule="auto"/>
              <w:jc w:val="right"/>
              <w:rPr>
                <w:b/>
                <w:bCs/>
                <w:color w:val="000000"/>
                <w:szCs w:val="24"/>
                <w:lang w:eastAsia="en-GB"/>
              </w:rPr>
            </w:pPr>
            <w:r w:rsidRPr="00101615">
              <w:rPr>
                <w:b/>
                <w:bCs/>
                <w:color w:val="000000"/>
                <w:szCs w:val="24"/>
                <w:lang w:eastAsia="en-GB"/>
              </w:rPr>
              <w:t>1,355,106,957</w:t>
            </w:r>
          </w:p>
        </w:tc>
      </w:tr>
      <w:tr w:rsidR="00101615" w:rsidRPr="00101615" w:rsidTr="00101615">
        <w:trPr>
          <w:trHeight w:val="60"/>
        </w:trPr>
        <w:tc>
          <w:tcPr>
            <w:tcW w:w="2660" w:type="dxa"/>
            <w:tcBorders>
              <w:top w:val="nil"/>
              <w:left w:val="nil"/>
              <w:bottom w:val="nil"/>
              <w:right w:val="nil"/>
            </w:tcBorders>
            <w:shd w:val="clear" w:color="auto" w:fill="auto"/>
            <w:noWrap/>
            <w:vAlign w:val="bottom"/>
            <w:hideMark/>
          </w:tcPr>
          <w:p w:rsidR="00101615" w:rsidRPr="00101615" w:rsidRDefault="00101615" w:rsidP="00101615">
            <w:pPr>
              <w:spacing w:before="0" w:after="0" w:line="240" w:lineRule="auto"/>
              <w:rPr>
                <w:color w:val="000000"/>
                <w:szCs w:val="24"/>
                <w:lang w:eastAsia="en-GB"/>
              </w:rPr>
            </w:pPr>
          </w:p>
        </w:tc>
        <w:tc>
          <w:tcPr>
            <w:tcW w:w="3592" w:type="dxa"/>
            <w:tcBorders>
              <w:top w:val="nil"/>
              <w:left w:val="nil"/>
              <w:bottom w:val="nil"/>
              <w:right w:val="nil"/>
            </w:tcBorders>
            <w:shd w:val="clear" w:color="auto" w:fill="auto"/>
            <w:noWrap/>
            <w:vAlign w:val="bottom"/>
            <w:hideMark/>
          </w:tcPr>
          <w:p w:rsidR="00101615" w:rsidRPr="00101615" w:rsidRDefault="00101615" w:rsidP="00101615">
            <w:pPr>
              <w:spacing w:before="0" w:after="0" w:line="240" w:lineRule="auto"/>
              <w:rPr>
                <w:color w:val="000000"/>
                <w:szCs w:val="24"/>
                <w:lang w:eastAsia="en-GB"/>
              </w:rPr>
            </w:pPr>
          </w:p>
        </w:tc>
        <w:tc>
          <w:tcPr>
            <w:tcW w:w="3686" w:type="dxa"/>
            <w:tcBorders>
              <w:top w:val="nil"/>
              <w:left w:val="nil"/>
              <w:bottom w:val="nil"/>
              <w:right w:val="nil"/>
            </w:tcBorders>
            <w:shd w:val="clear" w:color="auto" w:fill="auto"/>
            <w:noWrap/>
            <w:vAlign w:val="bottom"/>
            <w:hideMark/>
          </w:tcPr>
          <w:p w:rsidR="00101615" w:rsidRPr="00101615" w:rsidRDefault="00101615" w:rsidP="00101615">
            <w:pPr>
              <w:spacing w:before="0" w:after="0" w:line="240" w:lineRule="auto"/>
              <w:rPr>
                <w:color w:val="000000"/>
                <w:szCs w:val="24"/>
                <w:lang w:eastAsia="en-GB"/>
              </w:rPr>
            </w:pPr>
          </w:p>
        </w:tc>
      </w:tr>
      <w:tr w:rsidR="00101615" w:rsidRPr="00101615" w:rsidTr="00101615">
        <w:trPr>
          <w:trHeight w:val="255"/>
        </w:trPr>
        <w:tc>
          <w:tcPr>
            <w:tcW w:w="2660" w:type="dxa"/>
            <w:tcBorders>
              <w:top w:val="nil"/>
              <w:left w:val="nil"/>
              <w:bottom w:val="nil"/>
              <w:right w:val="nil"/>
            </w:tcBorders>
            <w:shd w:val="clear" w:color="000000" w:fill="FFFFFF"/>
            <w:vAlign w:val="bottom"/>
            <w:hideMark/>
          </w:tcPr>
          <w:p w:rsidR="00101615" w:rsidRPr="00101615" w:rsidRDefault="00101615" w:rsidP="00101615">
            <w:pPr>
              <w:spacing w:before="0" w:after="0" w:line="240" w:lineRule="auto"/>
              <w:rPr>
                <w:color w:val="000000"/>
                <w:szCs w:val="24"/>
                <w:lang w:eastAsia="en-GB"/>
              </w:rPr>
            </w:pPr>
            <w:r w:rsidRPr="00101615">
              <w:rPr>
                <w:color w:val="000000"/>
                <w:szCs w:val="24"/>
                <w:lang w:eastAsia="en-GB"/>
              </w:rPr>
              <w:t> </w:t>
            </w:r>
          </w:p>
        </w:tc>
        <w:tc>
          <w:tcPr>
            <w:tcW w:w="3592" w:type="dxa"/>
            <w:tcBorders>
              <w:top w:val="nil"/>
              <w:left w:val="nil"/>
              <w:bottom w:val="nil"/>
              <w:right w:val="nil"/>
            </w:tcBorders>
            <w:shd w:val="clear" w:color="000000" w:fill="FFFFFF"/>
            <w:vAlign w:val="bottom"/>
            <w:hideMark/>
          </w:tcPr>
          <w:p w:rsidR="00101615" w:rsidRPr="00101615" w:rsidRDefault="00101615" w:rsidP="00101615">
            <w:pPr>
              <w:spacing w:before="0" w:after="0" w:line="240" w:lineRule="auto"/>
              <w:rPr>
                <w:color w:val="000000"/>
                <w:szCs w:val="24"/>
                <w:lang w:eastAsia="en-GB"/>
              </w:rPr>
            </w:pPr>
            <w:r w:rsidRPr="00101615">
              <w:rPr>
                <w:color w:val="000000"/>
                <w:szCs w:val="24"/>
                <w:lang w:eastAsia="en-GB"/>
              </w:rPr>
              <w:t> </w:t>
            </w:r>
          </w:p>
        </w:tc>
        <w:tc>
          <w:tcPr>
            <w:tcW w:w="3686" w:type="dxa"/>
            <w:tcBorders>
              <w:top w:val="nil"/>
              <w:left w:val="nil"/>
              <w:bottom w:val="nil"/>
              <w:right w:val="nil"/>
            </w:tcBorders>
            <w:shd w:val="clear" w:color="000000" w:fill="FFFFFF"/>
            <w:vAlign w:val="bottom"/>
            <w:hideMark/>
          </w:tcPr>
          <w:p w:rsidR="00101615" w:rsidRPr="00101615" w:rsidRDefault="00101615" w:rsidP="00101615">
            <w:pPr>
              <w:spacing w:before="0" w:after="0" w:line="240" w:lineRule="auto"/>
              <w:rPr>
                <w:color w:val="000000"/>
                <w:szCs w:val="24"/>
                <w:lang w:eastAsia="en-GB"/>
              </w:rPr>
            </w:pPr>
            <w:r w:rsidRPr="00101615">
              <w:rPr>
                <w:color w:val="000000"/>
                <w:szCs w:val="24"/>
                <w:lang w:eastAsia="en-GB"/>
              </w:rPr>
              <w:t> </w:t>
            </w:r>
          </w:p>
        </w:tc>
      </w:tr>
      <w:tr w:rsidR="00101615" w:rsidRPr="00101615" w:rsidTr="00101615">
        <w:trPr>
          <w:trHeight w:val="255"/>
        </w:trPr>
        <w:tc>
          <w:tcPr>
            <w:tcW w:w="9938" w:type="dxa"/>
            <w:gridSpan w:val="3"/>
            <w:tcBorders>
              <w:top w:val="nil"/>
              <w:left w:val="nil"/>
              <w:bottom w:val="nil"/>
              <w:right w:val="nil"/>
            </w:tcBorders>
            <w:shd w:val="clear" w:color="000000" w:fill="FFFFFF"/>
            <w:vAlign w:val="bottom"/>
            <w:hideMark/>
          </w:tcPr>
          <w:p w:rsidR="00101615" w:rsidRPr="00101615" w:rsidRDefault="00101615" w:rsidP="00FD6952">
            <w:pPr>
              <w:spacing w:before="0" w:after="0" w:line="240" w:lineRule="auto"/>
              <w:jc w:val="both"/>
              <w:rPr>
                <w:color w:val="000000"/>
                <w:szCs w:val="24"/>
                <w:lang w:eastAsia="en-GB"/>
              </w:rPr>
            </w:pPr>
            <w:r w:rsidRPr="00101615">
              <w:rPr>
                <w:color w:val="000000"/>
                <w:szCs w:val="24"/>
                <w:vertAlign w:val="superscript"/>
                <w:lang w:eastAsia="en-GB"/>
              </w:rPr>
              <w:t>1</w:t>
            </w:r>
            <w:r w:rsidRPr="00101615">
              <w:rPr>
                <w:color w:val="000000"/>
                <w:szCs w:val="24"/>
                <w:lang w:eastAsia="en-GB"/>
              </w:rPr>
              <w:t xml:space="preserve"> Estimated bill savings as reported by energy suppliers to Ofgem and following initial validation.</w:t>
            </w:r>
          </w:p>
        </w:tc>
      </w:tr>
      <w:tr w:rsidR="00101615" w:rsidRPr="00101615" w:rsidTr="00101615">
        <w:trPr>
          <w:trHeight w:val="276"/>
        </w:trPr>
        <w:tc>
          <w:tcPr>
            <w:tcW w:w="9938" w:type="dxa"/>
            <w:gridSpan w:val="3"/>
            <w:vMerge w:val="restart"/>
            <w:tcBorders>
              <w:top w:val="nil"/>
              <w:left w:val="nil"/>
              <w:bottom w:val="nil"/>
              <w:right w:val="nil"/>
            </w:tcBorders>
            <w:shd w:val="clear" w:color="000000" w:fill="FFFFFF"/>
            <w:vAlign w:val="bottom"/>
            <w:hideMark/>
          </w:tcPr>
          <w:p w:rsidR="00101615" w:rsidRPr="00101615" w:rsidRDefault="00101615" w:rsidP="00FD6952">
            <w:pPr>
              <w:spacing w:before="0" w:after="0" w:line="240" w:lineRule="auto"/>
              <w:jc w:val="both"/>
              <w:rPr>
                <w:color w:val="000000"/>
                <w:szCs w:val="24"/>
                <w:lang w:eastAsia="en-GB"/>
              </w:rPr>
            </w:pPr>
            <w:r w:rsidRPr="00101615">
              <w:rPr>
                <w:color w:val="000000"/>
                <w:szCs w:val="24"/>
                <w:vertAlign w:val="superscript"/>
                <w:lang w:eastAsia="en-GB"/>
              </w:rPr>
              <w:t xml:space="preserve">2 </w:t>
            </w:r>
            <w:r w:rsidRPr="00101615">
              <w:rPr>
                <w:color w:val="000000"/>
                <w:szCs w:val="24"/>
                <w:lang w:eastAsia="en-GB"/>
              </w:rPr>
              <w:t>ECO measures installed in earlier installation months can be notified at a later date under some circumstances. Some notified measures can be reallocated to different ECO sub-obligations and so are subject to change.</w:t>
            </w:r>
          </w:p>
        </w:tc>
      </w:tr>
      <w:tr w:rsidR="00101615" w:rsidRPr="00101615" w:rsidTr="00101615">
        <w:trPr>
          <w:trHeight w:val="276"/>
        </w:trPr>
        <w:tc>
          <w:tcPr>
            <w:tcW w:w="9938" w:type="dxa"/>
            <w:gridSpan w:val="3"/>
            <w:vMerge/>
            <w:tcBorders>
              <w:top w:val="nil"/>
              <w:left w:val="nil"/>
              <w:bottom w:val="nil"/>
              <w:right w:val="nil"/>
            </w:tcBorders>
            <w:vAlign w:val="center"/>
            <w:hideMark/>
          </w:tcPr>
          <w:p w:rsidR="00101615" w:rsidRPr="00101615" w:rsidRDefault="00101615" w:rsidP="00101615">
            <w:pPr>
              <w:spacing w:before="0" w:after="0" w:line="240" w:lineRule="auto"/>
              <w:rPr>
                <w:color w:val="000000"/>
                <w:szCs w:val="24"/>
                <w:lang w:eastAsia="en-GB"/>
              </w:rPr>
            </w:pPr>
          </w:p>
        </w:tc>
      </w:tr>
      <w:tr w:rsidR="00101615" w:rsidRPr="00101615" w:rsidTr="00101615">
        <w:trPr>
          <w:trHeight w:val="276"/>
        </w:trPr>
        <w:tc>
          <w:tcPr>
            <w:tcW w:w="9938" w:type="dxa"/>
            <w:gridSpan w:val="3"/>
            <w:vMerge/>
            <w:tcBorders>
              <w:top w:val="nil"/>
              <w:left w:val="nil"/>
              <w:bottom w:val="nil"/>
              <w:right w:val="nil"/>
            </w:tcBorders>
            <w:vAlign w:val="center"/>
            <w:hideMark/>
          </w:tcPr>
          <w:p w:rsidR="00101615" w:rsidRPr="00101615" w:rsidRDefault="00101615" w:rsidP="00101615">
            <w:pPr>
              <w:spacing w:before="0" w:after="0" w:line="240" w:lineRule="auto"/>
              <w:rPr>
                <w:color w:val="000000"/>
                <w:szCs w:val="24"/>
                <w:lang w:eastAsia="en-GB"/>
              </w:rPr>
            </w:pPr>
          </w:p>
        </w:tc>
      </w:tr>
    </w:tbl>
    <w:p w:rsidR="00FD6952" w:rsidRDefault="00FD6952" w:rsidP="00415EE4">
      <w:pPr>
        <w:spacing w:before="0" w:after="0" w:line="270" w:lineRule="atLeast"/>
        <w:rPr>
          <w:b/>
          <w:bCs/>
        </w:rPr>
      </w:pPr>
      <w:r w:rsidRPr="00FD6952">
        <w:rPr>
          <w:b/>
          <w:bCs/>
        </w:rPr>
        <w:lastRenderedPageBreak/>
        <w:t>Table 1.12: Estimated ECO delivery costs as reported by energy suppliers, up to end September 2013</w:t>
      </w:r>
    </w:p>
    <w:p w:rsidR="00FD6952" w:rsidRDefault="00FD6952" w:rsidP="00415EE4">
      <w:pPr>
        <w:spacing w:before="0" w:after="0" w:line="270" w:lineRule="atLeast"/>
        <w:rPr>
          <w:b/>
          <w:bCs/>
        </w:rPr>
      </w:pPr>
    </w:p>
    <w:tbl>
      <w:tblPr>
        <w:tblW w:w="9940" w:type="dxa"/>
        <w:tblInd w:w="93" w:type="dxa"/>
        <w:tblLook w:val="04A0" w:firstRow="1" w:lastRow="0" w:firstColumn="1" w:lastColumn="0" w:noHBand="0" w:noVBand="1"/>
      </w:tblPr>
      <w:tblGrid>
        <w:gridCol w:w="3134"/>
        <w:gridCol w:w="1417"/>
        <w:gridCol w:w="1562"/>
        <w:gridCol w:w="1984"/>
        <w:gridCol w:w="1843"/>
      </w:tblGrid>
      <w:tr w:rsidR="00FD6952" w:rsidRPr="00FD6952" w:rsidTr="00FD6952">
        <w:trPr>
          <w:trHeight w:val="912"/>
        </w:trPr>
        <w:tc>
          <w:tcPr>
            <w:tcW w:w="3134" w:type="dxa"/>
            <w:tcBorders>
              <w:top w:val="single" w:sz="4" w:space="0" w:color="auto"/>
              <w:left w:val="nil"/>
              <w:bottom w:val="single" w:sz="4" w:space="0" w:color="auto"/>
              <w:right w:val="nil"/>
            </w:tcBorders>
            <w:shd w:val="clear" w:color="000000" w:fill="FFFFFF"/>
            <w:noWrap/>
            <w:vAlign w:val="center"/>
            <w:hideMark/>
          </w:tcPr>
          <w:p w:rsidR="00FD6952" w:rsidRPr="00FD6952" w:rsidRDefault="00FD6952" w:rsidP="00FD6952">
            <w:pPr>
              <w:spacing w:before="0" w:after="0" w:line="240" w:lineRule="auto"/>
              <w:rPr>
                <w:bCs/>
                <w:color w:val="000000"/>
                <w:sz w:val="22"/>
                <w:szCs w:val="22"/>
                <w:lang w:eastAsia="en-GB"/>
              </w:rPr>
            </w:pPr>
            <w:r w:rsidRPr="00FD6952">
              <w:rPr>
                <w:bCs/>
                <w:color w:val="000000"/>
                <w:sz w:val="22"/>
                <w:szCs w:val="22"/>
                <w:lang w:eastAsia="en-GB"/>
              </w:rPr>
              <w:t>Obligation</w:t>
            </w:r>
          </w:p>
        </w:tc>
        <w:tc>
          <w:tcPr>
            <w:tcW w:w="1417" w:type="dxa"/>
            <w:tcBorders>
              <w:top w:val="single" w:sz="4" w:space="0" w:color="auto"/>
              <w:left w:val="nil"/>
              <w:bottom w:val="single" w:sz="4" w:space="0" w:color="auto"/>
              <w:right w:val="nil"/>
            </w:tcBorders>
            <w:shd w:val="clear" w:color="000000" w:fill="FFFFFF"/>
            <w:vAlign w:val="center"/>
            <w:hideMark/>
          </w:tcPr>
          <w:p w:rsidR="00FD6952" w:rsidRPr="00FD6952" w:rsidRDefault="00FD6952" w:rsidP="00FD6952">
            <w:pPr>
              <w:spacing w:before="0" w:after="0" w:line="240" w:lineRule="auto"/>
              <w:jc w:val="right"/>
              <w:rPr>
                <w:bCs/>
                <w:color w:val="000000"/>
                <w:sz w:val="22"/>
                <w:szCs w:val="22"/>
                <w:lang w:eastAsia="en-GB"/>
              </w:rPr>
            </w:pPr>
            <w:r w:rsidRPr="00FD6952">
              <w:rPr>
                <w:bCs/>
                <w:color w:val="000000"/>
                <w:sz w:val="22"/>
                <w:szCs w:val="22"/>
                <w:lang w:eastAsia="en-GB"/>
              </w:rPr>
              <w:t>Average price</w:t>
            </w:r>
            <w:r w:rsidRPr="00FD6952">
              <w:rPr>
                <w:color w:val="000000"/>
                <w:sz w:val="22"/>
                <w:szCs w:val="22"/>
                <w:vertAlign w:val="superscript"/>
                <w:lang w:eastAsia="en-GB"/>
              </w:rPr>
              <w:t>1</w:t>
            </w:r>
          </w:p>
        </w:tc>
        <w:tc>
          <w:tcPr>
            <w:tcW w:w="1562" w:type="dxa"/>
            <w:tcBorders>
              <w:top w:val="single" w:sz="4" w:space="0" w:color="auto"/>
              <w:left w:val="nil"/>
              <w:bottom w:val="single" w:sz="4" w:space="0" w:color="auto"/>
              <w:right w:val="nil"/>
            </w:tcBorders>
            <w:shd w:val="clear" w:color="000000" w:fill="FFFFFF"/>
            <w:vAlign w:val="center"/>
            <w:hideMark/>
          </w:tcPr>
          <w:p w:rsidR="00FD6952" w:rsidRPr="00FD6952" w:rsidRDefault="00FD6952" w:rsidP="00FD6952">
            <w:pPr>
              <w:spacing w:before="0" w:after="0" w:line="240" w:lineRule="auto"/>
              <w:jc w:val="right"/>
              <w:rPr>
                <w:bCs/>
                <w:color w:val="000000"/>
                <w:sz w:val="22"/>
                <w:szCs w:val="22"/>
                <w:lang w:eastAsia="en-GB"/>
              </w:rPr>
            </w:pPr>
            <w:r w:rsidRPr="00FD6952">
              <w:rPr>
                <w:bCs/>
                <w:color w:val="000000"/>
                <w:sz w:val="22"/>
                <w:szCs w:val="22"/>
                <w:lang w:eastAsia="en-GB"/>
              </w:rPr>
              <w:t xml:space="preserve">Total delivery costs </w:t>
            </w:r>
          </w:p>
        </w:tc>
        <w:tc>
          <w:tcPr>
            <w:tcW w:w="1984" w:type="dxa"/>
            <w:tcBorders>
              <w:top w:val="single" w:sz="4" w:space="0" w:color="auto"/>
              <w:left w:val="nil"/>
              <w:bottom w:val="single" w:sz="4" w:space="0" w:color="auto"/>
              <w:right w:val="nil"/>
            </w:tcBorders>
            <w:shd w:val="clear" w:color="000000" w:fill="FFFFFF"/>
            <w:vAlign w:val="center"/>
            <w:hideMark/>
          </w:tcPr>
          <w:p w:rsidR="00FD6952" w:rsidRPr="00FD6952" w:rsidRDefault="00FD6952" w:rsidP="00FD6952">
            <w:pPr>
              <w:spacing w:before="0" w:after="0" w:line="240" w:lineRule="auto"/>
              <w:jc w:val="right"/>
              <w:rPr>
                <w:bCs/>
                <w:color w:val="000000"/>
                <w:sz w:val="22"/>
                <w:szCs w:val="22"/>
                <w:lang w:eastAsia="en-GB"/>
              </w:rPr>
            </w:pPr>
            <w:r w:rsidRPr="00FD6952">
              <w:rPr>
                <w:bCs/>
                <w:color w:val="000000"/>
                <w:sz w:val="22"/>
                <w:szCs w:val="22"/>
                <w:lang w:eastAsia="en-GB"/>
              </w:rPr>
              <w:t>Scaled-up annual cost</w:t>
            </w:r>
            <w:r w:rsidRPr="00FD6952">
              <w:rPr>
                <w:color w:val="000000"/>
                <w:sz w:val="22"/>
                <w:szCs w:val="22"/>
                <w:vertAlign w:val="superscript"/>
                <w:lang w:eastAsia="en-GB"/>
              </w:rPr>
              <w:t>2</w:t>
            </w:r>
          </w:p>
        </w:tc>
        <w:tc>
          <w:tcPr>
            <w:tcW w:w="1843" w:type="dxa"/>
            <w:tcBorders>
              <w:top w:val="single" w:sz="4" w:space="0" w:color="auto"/>
              <w:left w:val="nil"/>
              <w:bottom w:val="single" w:sz="4" w:space="0" w:color="auto"/>
              <w:right w:val="nil"/>
            </w:tcBorders>
            <w:shd w:val="clear" w:color="000000" w:fill="FFFFFF"/>
            <w:vAlign w:val="center"/>
            <w:hideMark/>
          </w:tcPr>
          <w:p w:rsidR="00FD6952" w:rsidRPr="00FD6952" w:rsidRDefault="00FD6952" w:rsidP="00FD6952">
            <w:pPr>
              <w:spacing w:before="0" w:after="0" w:line="240" w:lineRule="auto"/>
              <w:jc w:val="right"/>
              <w:rPr>
                <w:bCs/>
                <w:color w:val="000000"/>
                <w:sz w:val="22"/>
                <w:szCs w:val="22"/>
                <w:lang w:eastAsia="en-GB"/>
              </w:rPr>
            </w:pPr>
            <w:r w:rsidRPr="00FD6952">
              <w:rPr>
                <w:bCs/>
                <w:color w:val="000000"/>
                <w:sz w:val="22"/>
                <w:szCs w:val="22"/>
                <w:lang w:eastAsia="en-GB"/>
              </w:rPr>
              <w:t xml:space="preserve">Central Impact </w:t>
            </w:r>
            <w:r w:rsidR="00401C89" w:rsidRPr="0071097F">
              <w:rPr>
                <w:bCs/>
                <w:color w:val="000000"/>
                <w:sz w:val="22"/>
                <w:szCs w:val="22"/>
                <w:lang w:eastAsia="en-GB"/>
              </w:rPr>
              <w:t>Assessment</w:t>
            </w:r>
          </w:p>
        </w:tc>
      </w:tr>
      <w:tr w:rsidR="00FD6952" w:rsidRPr="00FD6952" w:rsidTr="00FD6952">
        <w:trPr>
          <w:trHeight w:val="282"/>
        </w:trPr>
        <w:tc>
          <w:tcPr>
            <w:tcW w:w="3134" w:type="dxa"/>
            <w:tcBorders>
              <w:top w:val="nil"/>
              <w:left w:val="nil"/>
              <w:bottom w:val="nil"/>
              <w:right w:val="nil"/>
            </w:tcBorders>
            <w:shd w:val="clear" w:color="000000" w:fill="FFFFFF"/>
            <w:noWrap/>
            <w:vAlign w:val="bottom"/>
            <w:hideMark/>
          </w:tcPr>
          <w:p w:rsidR="00FD6952" w:rsidRPr="00FD6952" w:rsidRDefault="00FD6952" w:rsidP="00FD6952">
            <w:pPr>
              <w:spacing w:before="0" w:after="0" w:line="240" w:lineRule="auto"/>
              <w:rPr>
                <w:color w:val="000000"/>
                <w:sz w:val="22"/>
                <w:szCs w:val="22"/>
                <w:lang w:eastAsia="en-GB"/>
              </w:rPr>
            </w:pPr>
            <w:r w:rsidRPr="00FD6952">
              <w:rPr>
                <w:color w:val="000000"/>
                <w:sz w:val="22"/>
                <w:szCs w:val="22"/>
                <w:lang w:eastAsia="en-GB"/>
              </w:rPr>
              <w:t>Affordable Warmth</w:t>
            </w:r>
          </w:p>
        </w:tc>
        <w:tc>
          <w:tcPr>
            <w:tcW w:w="1417" w:type="dxa"/>
            <w:tcBorders>
              <w:top w:val="nil"/>
              <w:left w:val="nil"/>
              <w:bottom w:val="nil"/>
              <w:right w:val="nil"/>
            </w:tcBorders>
            <w:shd w:val="clear" w:color="000000" w:fill="FFFFFF"/>
            <w:noWrap/>
            <w:vAlign w:val="bottom"/>
            <w:hideMark/>
          </w:tcPr>
          <w:p w:rsidR="00FD6952" w:rsidRPr="00FD6952" w:rsidRDefault="00FD6952" w:rsidP="00FD6952">
            <w:pPr>
              <w:spacing w:before="0" w:after="0" w:line="240" w:lineRule="auto"/>
              <w:jc w:val="right"/>
              <w:rPr>
                <w:color w:val="000000"/>
                <w:sz w:val="22"/>
                <w:szCs w:val="22"/>
                <w:lang w:eastAsia="en-GB"/>
              </w:rPr>
            </w:pPr>
            <w:r w:rsidRPr="00FD6952">
              <w:rPr>
                <w:color w:val="000000"/>
                <w:sz w:val="22"/>
                <w:szCs w:val="22"/>
                <w:lang w:eastAsia="en-GB"/>
              </w:rPr>
              <w:t>£0.17</w:t>
            </w:r>
          </w:p>
        </w:tc>
        <w:tc>
          <w:tcPr>
            <w:tcW w:w="1562" w:type="dxa"/>
            <w:tcBorders>
              <w:top w:val="nil"/>
              <w:left w:val="nil"/>
              <w:bottom w:val="nil"/>
              <w:right w:val="nil"/>
            </w:tcBorders>
            <w:shd w:val="clear" w:color="000000" w:fill="FFFFFF"/>
            <w:noWrap/>
            <w:vAlign w:val="bottom"/>
            <w:hideMark/>
          </w:tcPr>
          <w:p w:rsidR="00FD6952" w:rsidRPr="00FD6952" w:rsidRDefault="00FD6952" w:rsidP="00FD6952">
            <w:pPr>
              <w:spacing w:before="0" w:after="0" w:line="240" w:lineRule="auto"/>
              <w:jc w:val="right"/>
              <w:rPr>
                <w:color w:val="000000"/>
                <w:sz w:val="22"/>
                <w:szCs w:val="22"/>
                <w:lang w:eastAsia="en-GB"/>
              </w:rPr>
            </w:pPr>
            <w:r w:rsidRPr="00FD6952">
              <w:rPr>
                <w:color w:val="000000"/>
                <w:sz w:val="22"/>
                <w:szCs w:val="22"/>
                <w:lang w:eastAsia="en-GB"/>
              </w:rPr>
              <w:t>£224,374,175</w:t>
            </w:r>
          </w:p>
        </w:tc>
        <w:tc>
          <w:tcPr>
            <w:tcW w:w="1984" w:type="dxa"/>
            <w:tcBorders>
              <w:top w:val="nil"/>
              <w:left w:val="nil"/>
              <w:bottom w:val="nil"/>
              <w:right w:val="nil"/>
            </w:tcBorders>
            <w:shd w:val="clear" w:color="000000" w:fill="FFFFFF"/>
            <w:noWrap/>
            <w:vAlign w:val="bottom"/>
            <w:hideMark/>
          </w:tcPr>
          <w:p w:rsidR="00FD6952" w:rsidRPr="00FD6952" w:rsidRDefault="00FD6952" w:rsidP="00FD6952">
            <w:pPr>
              <w:spacing w:before="0" w:after="0" w:line="240" w:lineRule="auto"/>
              <w:jc w:val="right"/>
              <w:rPr>
                <w:color w:val="000000"/>
                <w:sz w:val="22"/>
                <w:szCs w:val="22"/>
                <w:lang w:eastAsia="en-GB"/>
              </w:rPr>
            </w:pPr>
            <w:r w:rsidRPr="00FD6952">
              <w:rPr>
                <w:color w:val="000000"/>
                <w:sz w:val="22"/>
                <w:szCs w:val="22"/>
                <w:lang w:eastAsia="en-GB"/>
              </w:rPr>
              <w:t>£310,435,446</w:t>
            </w:r>
          </w:p>
        </w:tc>
        <w:tc>
          <w:tcPr>
            <w:tcW w:w="1843" w:type="dxa"/>
            <w:tcBorders>
              <w:top w:val="nil"/>
              <w:left w:val="nil"/>
              <w:bottom w:val="nil"/>
              <w:right w:val="nil"/>
            </w:tcBorders>
            <w:shd w:val="clear" w:color="000000" w:fill="FFFFFF"/>
            <w:noWrap/>
            <w:vAlign w:val="bottom"/>
            <w:hideMark/>
          </w:tcPr>
          <w:p w:rsidR="00FD6952" w:rsidRPr="00FD6952" w:rsidRDefault="00FD6952" w:rsidP="00FD6952">
            <w:pPr>
              <w:spacing w:before="0" w:after="0" w:line="240" w:lineRule="auto"/>
              <w:jc w:val="right"/>
              <w:rPr>
                <w:color w:val="000000"/>
                <w:sz w:val="22"/>
                <w:szCs w:val="22"/>
                <w:lang w:eastAsia="en-GB"/>
              </w:rPr>
            </w:pPr>
            <w:r w:rsidRPr="00FD6952">
              <w:rPr>
                <w:color w:val="000000"/>
                <w:sz w:val="22"/>
                <w:szCs w:val="22"/>
                <w:lang w:eastAsia="en-GB"/>
              </w:rPr>
              <w:t>£350,000,000</w:t>
            </w:r>
          </w:p>
        </w:tc>
      </w:tr>
      <w:tr w:rsidR="00FD6952" w:rsidRPr="00FD6952" w:rsidTr="00FD6952">
        <w:trPr>
          <w:trHeight w:val="282"/>
        </w:trPr>
        <w:tc>
          <w:tcPr>
            <w:tcW w:w="3134" w:type="dxa"/>
            <w:tcBorders>
              <w:top w:val="nil"/>
              <w:left w:val="nil"/>
              <w:bottom w:val="nil"/>
              <w:right w:val="nil"/>
            </w:tcBorders>
            <w:shd w:val="clear" w:color="000000" w:fill="FFFFFF"/>
            <w:noWrap/>
            <w:vAlign w:val="bottom"/>
            <w:hideMark/>
          </w:tcPr>
          <w:p w:rsidR="00FD6952" w:rsidRPr="00FD6952" w:rsidRDefault="00FD6952" w:rsidP="00FD6952">
            <w:pPr>
              <w:spacing w:before="0" w:after="0" w:line="240" w:lineRule="auto"/>
              <w:rPr>
                <w:color w:val="000000"/>
                <w:sz w:val="22"/>
                <w:szCs w:val="22"/>
                <w:lang w:eastAsia="en-GB"/>
              </w:rPr>
            </w:pPr>
            <w:r w:rsidRPr="00FD6952">
              <w:rPr>
                <w:color w:val="000000"/>
                <w:sz w:val="22"/>
                <w:szCs w:val="22"/>
                <w:lang w:eastAsia="en-GB"/>
              </w:rPr>
              <w:t>Carbon Saving Communities</w:t>
            </w:r>
          </w:p>
        </w:tc>
        <w:tc>
          <w:tcPr>
            <w:tcW w:w="1417" w:type="dxa"/>
            <w:tcBorders>
              <w:top w:val="nil"/>
              <w:left w:val="nil"/>
              <w:bottom w:val="nil"/>
              <w:right w:val="nil"/>
            </w:tcBorders>
            <w:shd w:val="clear" w:color="000000" w:fill="FFFFFF"/>
            <w:noWrap/>
            <w:vAlign w:val="bottom"/>
            <w:hideMark/>
          </w:tcPr>
          <w:p w:rsidR="00FD6952" w:rsidRPr="00FD6952" w:rsidRDefault="00FD6952" w:rsidP="00FD6952">
            <w:pPr>
              <w:spacing w:before="0" w:after="0" w:line="240" w:lineRule="auto"/>
              <w:jc w:val="right"/>
              <w:rPr>
                <w:color w:val="000000"/>
                <w:sz w:val="22"/>
                <w:szCs w:val="22"/>
                <w:lang w:eastAsia="en-GB"/>
              </w:rPr>
            </w:pPr>
            <w:r w:rsidRPr="00FD6952">
              <w:rPr>
                <w:color w:val="000000"/>
                <w:sz w:val="22"/>
                <w:szCs w:val="22"/>
                <w:lang w:eastAsia="en-GB"/>
              </w:rPr>
              <w:t>£58.98</w:t>
            </w:r>
          </w:p>
        </w:tc>
        <w:tc>
          <w:tcPr>
            <w:tcW w:w="1562" w:type="dxa"/>
            <w:tcBorders>
              <w:top w:val="nil"/>
              <w:left w:val="nil"/>
              <w:bottom w:val="nil"/>
              <w:right w:val="nil"/>
            </w:tcBorders>
            <w:shd w:val="clear" w:color="000000" w:fill="FFFFFF"/>
            <w:noWrap/>
            <w:vAlign w:val="bottom"/>
            <w:hideMark/>
          </w:tcPr>
          <w:p w:rsidR="00FD6952" w:rsidRPr="00FD6952" w:rsidRDefault="00FD6952" w:rsidP="00FD6952">
            <w:pPr>
              <w:spacing w:before="0" w:after="0" w:line="240" w:lineRule="auto"/>
              <w:jc w:val="right"/>
              <w:rPr>
                <w:color w:val="000000"/>
                <w:sz w:val="22"/>
                <w:szCs w:val="22"/>
                <w:lang w:eastAsia="en-GB"/>
              </w:rPr>
            </w:pPr>
            <w:r w:rsidRPr="00FD6952">
              <w:rPr>
                <w:color w:val="000000"/>
                <w:sz w:val="22"/>
                <w:szCs w:val="22"/>
                <w:lang w:eastAsia="en-GB"/>
              </w:rPr>
              <w:t>£69,812,392</w:t>
            </w:r>
          </w:p>
        </w:tc>
        <w:tc>
          <w:tcPr>
            <w:tcW w:w="1984" w:type="dxa"/>
            <w:tcBorders>
              <w:top w:val="nil"/>
              <w:left w:val="nil"/>
              <w:bottom w:val="nil"/>
              <w:right w:val="nil"/>
            </w:tcBorders>
            <w:shd w:val="clear" w:color="000000" w:fill="FFFFFF"/>
            <w:noWrap/>
            <w:vAlign w:val="bottom"/>
            <w:hideMark/>
          </w:tcPr>
          <w:p w:rsidR="00FD6952" w:rsidRPr="00FD6952" w:rsidRDefault="00FD6952" w:rsidP="00FD6952">
            <w:pPr>
              <w:spacing w:before="0" w:after="0" w:line="240" w:lineRule="auto"/>
              <w:jc w:val="right"/>
              <w:rPr>
                <w:color w:val="000000"/>
                <w:sz w:val="22"/>
                <w:szCs w:val="22"/>
                <w:lang w:eastAsia="en-GB"/>
              </w:rPr>
            </w:pPr>
            <w:r w:rsidRPr="00FD6952">
              <w:rPr>
                <w:color w:val="000000"/>
                <w:sz w:val="22"/>
                <w:szCs w:val="22"/>
                <w:lang w:eastAsia="en-GB"/>
              </w:rPr>
              <w:t>£178,254,802</w:t>
            </w:r>
          </w:p>
        </w:tc>
        <w:tc>
          <w:tcPr>
            <w:tcW w:w="1843" w:type="dxa"/>
            <w:tcBorders>
              <w:top w:val="nil"/>
              <w:left w:val="nil"/>
              <w:bottom w:val="nil"/>
              <w:right w:val="nil"/>
            </w:tcBorders>
            <w:shd w:val="clear" w:color="000000" w:fill="FFFFFF"/>
            <w:noWrap/>
            <w:vAlign w:val="bottom"/>
            <w:hideMark/>
          </w:tcPr>
          <w:p w:rsidR="00FD6952" w:rsidRPr="00FD6952" w:rsidRDefault="00FD6952" w:rsidP="00FD6952">
            <w:pPr>
              <w:spacing w:before="0" w:after="0" w:line="240" w:lineRule="auto"/>
              <w:jc w:val="right"/>
              <w:rPr>
                <w:color w:val="000000"/>
                <w:sz w:val="22"/>
                <w:szCs w:val="22"/>
                <w:lang w:eastAsia="en-GB"/>
              </w:rPr>
            </w:pPr>
            <w:r w:rsidRPr="00FD6952">
              <w:rPr>
                <w:color w:val="000000"/>
                <w:sz w:val="22"/>
                <w:szCs w:val="22"/>
                <w:lang w:eastAsia="en-GB"/>
              </w:rPr>
              <w:t>£190,000,000</w:t>
            </w:r>
          </w:p>
        </w:tc>
      </w:tr>
      <w:tr w:rsidR="00FD6952" w:rsidRPr="00FD6952" w:rsidTr="00FD6952">
        <w:trPr>
          <w:trHeight w:val="282"/>
        </w:trPr>
        <w:tc>
          <w:tcPr>
            <w:tcW w:w="3134" w:type="dxa"/>
            <w:tcBorders>
              <w:top w:val="nil"/>
              <w:left w:val="nil"/>
              <w:bottom w:val="single" w:sz="4" w:space="0" w:color="auto"/>
              <w:right w:val="nil"/>
            </w:tcBorders>
            <w:shd w:val="clear" w:color="000000" w:fill="FFFFFF"/>
            <w:noWrap/>
            <w:vAlign w:val="bottom"/>
            <w:hideMark/>
          </w:tcPr>
          <w:p w:rsidR="00FD6952" w:rsidRPr="00FD6952" w:rsidRDefault="00FD6952" w:rsidP="00FD6952">
            <w:pPr>
              <w:spacing w:before="0" w:after="0" w:line="240" w:lineRule="auto"/>
              <w:rPr>
                <w:color w:val="000000"/>
                <w:sz w:val="22"/>
                <w:szCs w:val="22"/>
                <w:lang w:eastAsia="en-GB"/>
              </w:rPr>
            </w:pPr>
            <w:r w:rsidRPr="00FD6952">
              <w:rPr>
                <w:color w:val="000000"/>
                <w:sz w:val="22"/>
                <w:szCs w:val="22"/>
                <w:lang w:eastAsia="en-GB"/>
              </w:rPr>
              <w:t>Carbon Saving Obligation</w:t>
            </w:r>
          </w:p>
        </w:tc>
        <w:tc>
          <w:tcPr>
            <w:tcW w:w="1417" w:type="dxa"/>
            <w:tcBorders>
              <w:top w:val="nil"/>
              <w:left w:val="nil"/>
              <w:bottom w:val="single" w:sz="4" w:space="0" w:color="auto"/>
              <w:right w:val="nil"/>
            </w:tcBorders>
            <w:shd w:val="clear" w:color="000000" w:fill="FFFFFF"/>
            <w:noWrap/>
            <w:vAlign w:val="bottom"/>
            <w:hideMark/>
          </w:tcPr>
          <w:p w:rsidR="00FD6952" w:rsidRPr="00FD6952" w:rsidRDefault="00FD6952" w:rsidP="00FD6952">
            <w:pPr>
              <w:spacing w:before="0" w:after="0" w:line="240" w:lineRule="auto"/>
              <w:jc w:val="right"/>
              <w:rPr>
                <w:color w:val="000000"/>
                <w:sz w:val="22"/>
                <w:szCs w:val="22"/>
                <w:lang w:eastAsia="en-GB"/>
              </w:rPr>
            </w:pPr>
            <w:r w:rsidRPr="00FD6952">
              <w:rPr>
                <w:color w:val="000000"/>
                <w:sz w:val="22"/>
                <w:szCs w:val="22"/>
                <w:lang w:eastAsia="en-GB"/>
              </w:rPr>
              <w:t>£97.72</w:t>
            </w:r>
          </w:p>
        </w:tc>
        <w:tc>
          <w:tcPr>
            <w:tcW w:w="1562" w:type="dxa"/>
            <w:tcBorders>
              <w:top w:val="nil"/>
              <w:left w:val="nil"/>
              <w:bottom w:val="single" w:sz="4" w:space="0" w:color="auto"/>
              <w:right w:val="nil"/>
            </w:tcBorders>
            <w:shd w:val="clear" w:color="000000" w:fill="FFFFFF"/>
            <w:noWrap/>
            <w:vAlign w:val="bottom"/>
            <w:hideMark/>
          </w:tcPr>
          <w:p w:rsidR="00FD6952" w:rsidRPr="00FD6952" w:rsidRDefault="00FD6952" w:rsidP="00FD6952">
            <w:pPr>
              <w:spacing w:before="0" w:after="0" w:line="240" w:lineRule="auto"/>
              <w:jc w:val="right"/>
              <w:rPr>
                <w:color w:val="000000"/>
                <w:sz w:val="22"/>
                <w:szCs w:val="22"/>
                <w:lang w:eastAsia="en-GB"/>
              </w:rPr>
            </w:pPr>
            <w:r w:rsidRPr="00FD6952">
              <w:rPr>
                <w:color w:val="000000"/>
                <w:sz w:val="22"/>
                <w:szCs w:val="22"/>
                <w:lang w:eastAsia="en-GB"/>
              </w:rPr>
              <w:t>£252,498,451</w:t>
            </w:r>
          </w:p>
        </w:tc>
        <w:tc>
          <w:tcPr>
            <w:tcW w:w="1984" w:type="dxa"/>
            <w:tcBorders>
              <w:top w:val="nil"/>
              <w:left w:val="nil"/>
              <w:bottom w:val="single" w:sz="4" w:space="0" w:color="auto"/>
              <w:right w:val="nil"/>
            </w:tcBorders>
            <w:shd w:val="clear" w:color="000000" w:fill="FFFFFF"/>
            <w:noWrap/>
            <w:vAlign w:val="bottom"/>
            <w:hideMark/>
          </w:tcPr>
          <w:p w:rsidR="00FD6952" w:rsidRPr="00FD6952" w:rsidRDefault="00FD6952" w:rsidP="00FD6952">
            <w:pPr>
              <w:spacing w:before="0" w:after="0" w:line="240" w:lineRule="auto"/>
              <w:jc w:val="right"/>
              <w:rPr>
                <w:color w:val="000000"/>
                <w:sz w:val="22"/>
                <w:szCs w:val="22"/>
                <w:lang w:eastAsia="en-GB"/>
              </w:rPr>
            </w:pPr>
            <w:r w:rsidRPr="00FD6952">
              <w:rPr>
                <w:color w:val="000000"/>
                <w:sz w:val="22"/>
                <w:szCs w:val="22"/>
                <w:lang w:eastAsia="en-GB"/>
              </w:rPr>
              <w:t>£907,675,549</w:t>
            </w:r>
          </w:p>
        </w:tc>
        <w:tc>
          <w:tcPr>
            <w:tcW w:w="1843" w:type="dxa"/>
            <w:tcBorders>
              <w:top w:val="nil"/>
              <w:left w:val="nil"/>
              <w:bottom w:val="single" w:sz="4" w:space="0" w:color="auto"/>
              <w:right w:val="nil"/>
            </w:tcBorders>
            <w:shd w:val="clear" w:color="000000" w:fill="FFFFFF"/>
            <w:noWrap/>
            <w:vAlign w:val="bottom"/>
            <w:hideMark/>
          </w:tcPr>
          <w:p w:rsidR="00FD6952" w:rsidRPr="00FD6952" w:rsidRDefault="00FD6952" w:rsidP="00FD6952">
            <w:pPr>
              <w:spacing w:before="0" w:after="0" w:line="240" w:lineRule="auto"/>
              <w:jc w:val="right"/>
              <w:rPr>
                <w:color w:val="000000"/>
                <w:sz w:val="22"/>
                <w:szCs w:val="22"/>
                <w:lang w:eastAsia="en-GB"/>
              </w:rPr>
            </w:pPr>
            <w:r w:rsidRPr="00FD6952">
              <w:rPr>
                <w:color w:val="000000"/>
                <w:sz w:val="22"/>
                <w:szCs w:val="22"/>
                <w:lang w:eastAsia="en-GB"/>
              </w:rPr>
              <w:t>£760,000,000</w:t>
            </w:r>
          </w:p>
        </w:tc>
      </w:tr>
      <w:tr w:rsidR="00FD6952" w:rsidRPr="00FD6952" w:rsidTr="00FD6952">
        <w:trPr>
          <w:trHeight w:val="282"/>
        </w:trPr>
        <w:tc>
          <w:tcPr>
            <w:tcW w:w="3134" w:type="dxa"/>
            <w:tcBorders>
              <w:top w:val="nil"/>
              <w:left w:val="nil"/>
              <w:bottom w:val="single" w:sz="4" w:space="0" w:color="auto"/>
              <w:right w:val="nil"/>
            </w:tcBorders>
            <w:shd w:val="clear" w:color="000000" w:fill="FFFFFF"/>
            <w:noWrap/>
            <w:hideMark/>
          </w:tcPr>
          <w:p w:rsidR="00FD6952" w:rsidRPr="00FD6952" w:rsidRDefault="00FD6952" w:rsidP="00332B6D">
            <w:pPr>
              <w:spacing w:after="0" w:line="240" w:lineRule="auto"/>
              <w:rPr>
                <w:color w:val="000000"/>
                <w:sz w:val="22"/>
                <w:szCs w:val="22"/>
                <w:lang w:eastAsia="en-GB"/>
              </w:rPr>
            </w:pPr>
            <w:r w:rsidRPr="00FD6952">
              <w:rPr>
                <w:color w:val="000000"/>
                <w:sz w:val="22"/>
                <w:szCs w:val="22"/>
                <w:lang w:eastAsia="en-GB"/>
              </w:rPr>
              <w:t>Total</w:t>
            </w:r>
          </w:p>
        </w:tc>
        <w:tc>
          <w:tcPr>
            <w:tcW w:w="1417" w:type="dxa"/>
            <w:tcBorders>
              <w:top w:val="nil"/>
              <w:left w:val="nil"/>
              <w:bottom w:val="single" w:sz="4" w:space="0" w:color="auto"/>
              <w:right w:val="nil"/>
            </w:tcBorders>
            <w:shd w:val="clear" w:color="000000" w:fill="FFFFFF"/>
            <w:noWrap/>
            <w:vAlign w:val="bottom"/>
            <w:hideMark/>
          </w:tcPr>
          <w:p w:rsidR="00FD6952" w:rsidRPr="00FD6952" w:rsidRDefault="00FD6952" w:rsidP="00332B6D">
            <w:pPr>
              <w:spacing w:after="0" w:line="240" w:lineRule="auto"/>
              <w:rPr>
                <w:b/>
                <w:bCs/>
                <w:color w:val="000000"/>
                <w:sz w:val="22"/>
                <w:szCs w:val="22"/>
                <w:lang w:eastAsia="en-GB"/>
              </w:rPr>
            </w:pPr>
            <w:r w:rsidRPr="00FD6952">
              <w:rPr>
                <w:b/>
                <w:bCs/>
                <w:color w:val="000000"/>
                <w:sz w:val="22"/>
                <w:szCs w:val="22"/>
                <w:lang w:eastAsia="en-GB"/>
              </w:rPr>
              <w:t> </w:t>
            </w:r>
          </w:p>
        </w:tc>
        <w:tc>
          <w:tcPr>
            <w:tcW w:w="1562" w:type="dxa"/>
            <w:tcBorders>
              <w:top w:val="nil"/>
              <w:left w:val="nil"/>
              <w:bottom w:val="single" w:sz="4" w:space="0" w:color="auto"/>
              <w:right w:val="nil"/>
            </w:tcBorders>
            <w:shd w:val="clear" w:color="000000" w:fill="FFFFFF"/>
            <w:noWrap/>
            <w:hideMark/>
          </w:tcPr>
          <w:p w:rsidR="00FD6952" w:rsidRPr="00FD6952" w:rsidRDefault="00FD6952" w:rsidP="00332B6D">
            <w:pPr>
              <w:spacing w:after="0" w:line="240" w:lineRule="auto"/>
              <w:jc w:val="right"/>
              <w:rPr>
                <w:b/>
                <w:bCs/>
                <w:color w:val="000000"/>
                <w:sz w:val="22"/>
                <w:szCs w:val="22"/>
                <w:lang w:eastAsia="en-GB"/>
              </w:rPr>
            </w:pPr>
            <w:r w:rsidRPr="00FD6952">
              <w:rPr>
                <w:b/>
                <w:bCs/>
                <w:color w:val="000000"/>
                <w:sz w:val="22"/>
                <w:szCs w:val="22"/>
                <w:lang w:eastAsia="en-GB"/>
              </w:rPr>
              <w:t>£546,685,018</w:t>
            </w:r>
          </w:p>
        </w:tc>
        <w:tc>
          <w:tcPr>
            <w:tcW w:w="1984" w:type="dxa"/>
            <w:tcBorders>
              <w:top w:val="nil"/>
              <w:left w:val="nil"/>
              <w:bottom w:val="single" w:sz="4" w:space="0" w:color="auto"/>
              <w:right w:val="nil"/>
            </w:tcBorders>
            <w:shd w:val="clear" w:color="000000" w:fill="FFFFFF"/>
            <w:noWrap/>
            <w:hideMark/>
          </w:tcPr>
          <w:p w:rsidR="00FD6952" w:rsidRPr="00FD6952" w:rsidRDefault="00FD6952" w:rsidP="00332B6D">
            <w:pPr>
              <w:spacing w:after="0" w:line="240" w:lineRule="auto"/>
              <w:jc w:val="right"/>
              <w:rPr>
                <w:b/>
                <w:bCs/>
                <w:color w:val="000000"/>
                <w:sz w:val="22"/>
                <w:szCs w:val="22"/>
                <w:lang w:eastAsia="en-GB"/>
              </w:rPr>
            </w:pPr>
            <w:r w:rsidRPr="00FD6952">
              <w:rPr>
                <w:b/>
                <w:bCs/>
                <w:color w:val="000000"/>
                <w:sz w:val="22"/>
                <w:szCs w:val="22"/>
                <w:lang w:eastAsia="en-GB"/>
              </w:rPr>
              <w:t>£1,396,365,797</w:t>
            </w:r>
          </w:p>
        </w:tc>
        <w:tc>
          <w:tcPr>
            <w:tcW w:w="1843" w:type="dxa"/>
            <w:tcBorders>
              <w:top w:val="nil"/>
              <w:left w:val="nil"/>
              <w:bottom w:val="single" w:sz="4" w:space="0" w:color="auto"/>
              <w:right w:val="nil"/>
            </w:tcBorders>
            <w:shd w:val="clear" w:color="000000" w:fill="FFFFFF"/>
            <w:noWrap/>
            <w:hideMark/>
          </w:tcPr>
          <w:p w:rsidR="00FD6952" w:rsidRPr="00FD6952" w:rsidRDefault="00FD6952" w:rsidP="00332B6D">
            <w:pPr>
              <w:spacing w:after="0" w:line="240" w:lineRule="auto"/>
              <w:jc w:val="right"/>
              <w:rPr>
                <w:b/>
                <w:bCs/>
                <w:color w:val="000000"/>
                <w:sz w:val="22"/>
                <w:szCs w:val="22"/>
                <w:lang w:eastAsia="en-GB"/>
              </w:rPr>
            </w:pPr>
            <w:r w:rsidRPr="00FD6952">
              <w:rPr>
                <w:b/>
                <w:bCs/>
                <w:color w:val="000000"/>
                <w:sz w:val="22"/>
                <w:szCs w:val="22"/>
                <w:lang w:eastAsia="en-GB"/>
              </w:rPr>
              <w:t>£1,300,000,000</w:t>
            </w:r>
          </w:p>
        </w:tc>
      </w:tr>
      <w:tr w:rsidR="00FD6952" w:rsidRPr="00FD6952" w:rsidTr="00FD6952">
        <w:trPr>
          <w:trHeight w:val="282"/>
        </w:trPr>
        <w:tc>
          <w:tcPr>
            <w:tcW w:w="3134" w:type="dxa"/>
            <w:tcBorders>
              <w:top w:val="nil"/>
              <w:left w:val="nil"/>
              <w:bottom w:val="nil"/>
              <w:right w:val="nil"/>
            </w:tcBorders>
            <w:shd w:val="clear" w:color="000000" w:fill="FFFFFF"/>
            <w:noWrap/>
            <w:vAlign w:val="bottom"/>
            <w:hideMark/>
          </w:tcPr>
          <w:p w:rsidR="00FD6952" w:rsidRPr="00FD6952" w:rsidRDefault="00FD6952" w:rsidP="00FD6952">
            <w:pPr>
              <w:spacing w:before="0" w:after="0" w:line="240" w:lineRule="auto"/>
              <w:rPr>
                <w:color w:val="000000"/>
                <w:sz w:val="22"/>
                <w:szCs w:val="22"/>
                <w:lang w:eastAsia="en-GB"/>
              </w:rPr>
            </w:pPr>
            <w:r w:rsidRPr="00FD6952">
              <w:rPr>
                <w:color w:val="000000"/>
                <w:sz w:val="22"/>
                <w:szCs w:val="22"/>
                <w:lang w:eastAsia="en-GB"/>
              </w:rPr>
              <w:t> </w:t>
            </w:r>
          </w:p>
        </w:tc>
        <w:tc>
          <w:tcPr>
            <w:tcW w:w="1417" w:type="dxa"/>
            <w:tcBorders>
              <w:top w:val="nil"/>
              <w:left w:val="nil"/>
              <w:bottom w:val="nil"/>
              <w:right w:val="nil"/>
            </w:tcBorders>
            <w:shd w:val="clear" w:color="000000" w:fill="FFFFFF"/>
            <w:noWrap/>
            <w:vAlign w:val="bottom"/>
            <w:hideMark/>
          </w:tcPr>
          <w:p w:rsidR="00FD6952" w:rsidRPr="00FD6952" w:rsidRDefault="00FD6952" w:rsidP="00FD6952">
            <w:pPr>
              <w:spacing w:before="0" w:after="0" w:line="240" w:lineRule="auto"/>
              <w:rPr>
                <w:color w:val="000000"/>
                <w:sz w:val="22"/>
                <w:szCs w:val="22"/>
                <w:lang w:eastAsia="en-GB"/>
              </w:rPr>
            </w:pPr>
            <w:r w:rsidRPr="00FD6952">
              <w:rPr>
                <w:color w:val="000000"/>
                <w:sz w:val="22"/>
                <w:szCs w:val="22"/>
                <w:lang w:eastAsia="en-GB"/>
              </w:rPr>
              <w:t> </w:t>
            </w:r>
          </w:p>
        </w:tc>
        <w:tc>
          <w:tcPr>
            <w:tcW w:w="1562" w:type="dxa"/>
            <w:tcBorders>
              <w:top w:val="nil"/>
              <w:left w:val="nil"/>
              <w:bottom w:val="nil"/>
              <w:right w:val="nil"/>
            </w:tcBorders>
            <w:shd w:val="clear" w:color="000000" w:fill="FFFFFF"/>
            <w:noWrap/>
            <w:vAlign w:val="bottom"/>
            <w:hideMark/>
          </w:tcPr>
          <w:p w:rsidR="00FD6952" w:rsidRPr="00FD6952" w:rsidRDefault="00FD6952" w:rsidP="00FD6952">
            <w:pPr>
              <w:spacing w:before="0" w:after="0" w:line="240" w:lineRule="auto"/>
              <w:rPr>
                <w:color w:val="000000"/>
                <w:sz w:val="22"/>
                <w:szCs w:val="22"/>
                <w:lang w:eastAsia="en-GB"/>
              </w:rPr>
            </w:pPr>
            <w:r w:rsidRPr="00FD6952">
              <w:rPr>
                <w:color w:val="000000"/>
                <w:sz w:val="22"/>
                <w:szCs w:val="22"/>
                <w:lang w:eastAsia="en-GB"/>
              </w:rPr>
              <w:t> </w:t>
            </w:r>
          </w:p>
        </w:tc>
        <w:tc>
          <w:tcPr>
            <w:tcW w:w="1984" w:type="dxa"/>
            <w:tcBorders>
              <w:top w:val="nil"/>
              <w:left w:val="nil"/>
              <w:bottom w:val="nil"/>
              <w:right w:val="nil"/>
            </w:tcBorders>
            <w:shd w:val="clear" w:color="000000" w:fill="FFFFFF"/>
            <w:noWrap/>
            <w:vAlign w:val="bottom"/>
            <w:hideMark/>
          </w:tcPr>
          <w:p w:rsidR="00FD6952" w:rsidRPr="00FD6952" w:rsidRDefault="00FD6952" w:rsidP="00FD6952">
            <w:pPr>
              <w:spacing w:before="0" w:after="0" w:line="240" w:lineRule="auto"/>
              <w:rPr>
                <w:color w:val="000000"/>
                <w:sz w:val="22"/>
                <w:szCs w:val="22"/>
                <w:lang w:eastAsia="en-GB"/>
              </w:rPr>
            </w:pPr>
            <w:r w:rsidRPr="00FD6952">
              <w:rPr>
                <w:color w:val="000000"/>
                <w:sz w:val="22"/>
                <w:szCs w:val="22"/>
                <w:lang w:eastAsia="en-GB"/>
              </w:rPr>
              <w:t> </w:t>
            </w:r>
          </w:p>
        </w:tc>
        <w:tc>
          <w:tcPr>
            <w:tcW w:w="1843" w:type="dxa"/>
            <w:tcBorders>
              <w:top w:val="nil"/>
              <w:left w:val="nil"/>
              <w:bottom w:val="nil"/>
              <w:right w:val="nil"/>
            </w:tcBorders>
            <w:shd w:val="clear" w:color="000000" w:fill="FFFFFF"/>
            <w:noWrap/>
            <w:vAlign w:val="bottom"/>
            <w:hideMark/>
          </w:tcPr>
          <w:p w:rsidR="00FD6952" w:rsidRPr="00FD6952" w:rsidRDefault="00FD6952" w:rsidP="00FD6952">
            <w:pPr>
              <w:spacing w:before="0" w:after="0" w:line="240" w:lineRule="auto"/>
              <w:rPr>
                <w:color w:val="000000"/>
                <w:sz w:val="22"/>
                <w:szCs w:val="22"/>
                <w:lang w:eastAsia="en-GB"/>
              </w:rPr>
            </w:pPr>
            <w:r w:rsidRPr="00FD6952">
              <w:rPr>
                <w:color w:val="000000"/>
                <w:sz w:val="22"/>
                <w:szCs w:val="22"/>
                <w:lang w:eastAsia="en-GB"/>
              </w:rPr>
              <w:t> </w:t>
            </w:r>
          </w:p>
        </w:tc>
      </w:tr>
      <w:tr w:rsidR="00FD6952" w:rsidRPr="00FD6952" w:rsidTr="00FD6952">
        <w:trPr>
          <w:trHeight w:val="282"/>
        </w:trPr>
        <w:tc>
          <w:tcPr>
            <w:tcW w:w="9940" w:type="dxa"/>
            <w:gridSpan w:val="5"/>
            <w:vMerge w:val="restart"/>
            <w:tcBorders>
              <w:top w:val="nil"/>
              <w:left w:val="nil"/>
              <w:bottom w:val="nil"/>
              <w:right w:val="nil"/>
            </w:tcBorders>
            <w:shd w:val="clear" w:color="000000" w:fill="FFFFFF"/>
            <w:vAlign w:val="bottom"/>
            <w:hideMark/>
          </w:tcPr>
          <w:p w:rsidR="00FD6952" w:rsidRPr="00FD6952" w:rsidRDefault="00FD6952" w:rsidP="0003780D">
            <w:pPr>
              <w:spacing w:before="0" w:after="0" w:line="240" w:lineRule="auto"/>
              <w:jc w:val="both"/>
              <w:rPr>
                <w:color w:val="000000"/>
                <w:sz w:val="22"/>
                <w:szCs w:val="22"/>
                <w:lang w:eastAsia="en-GB"/>
              </w:rPr>
            </w:pPr>
            <w:r w:rsidRPr="00FD6952">
              <w:rPr>
                <w:color w:val="000000"/>
                <w:sz w:val="22"/>
                <w:szCs w:val="22"/>
                <w:vertAlign w:val="superscript"/>
                <w:lang w:eastAsia="en-GB"/>
              </w:rPr>
              <w:t>1</w:t>
            </w:r>
            <w:r w:rsidRPr="00FD6952">
              <w:rPr>
                <w:color w:val="000000"/>
                <w:sz w:val="22"/>
                <w:szCs w:val="22"/>
                <w:lang w:eastAsia="en-GB"/>
              </w:rPr>
              <w:t>Average price refers to per £ saved on energy bills for Affordable Warmth and per lifetime tonne of CO2 saved for Carbon Saving Communities and Carbon Saving Obligation.</w:t>
            </w:r>
          </w:p>
        </w:tc>
      </w:tr>
      <w:tr w:rsidR="00FD6952" w:rsidRPr="00FD6952" w:rsidTr="00FD6952">
        <w:trPr>
          <w:trHeight w:val="282"/>
        </w:trPr>
        <w:tc>
          <w:tcPr>
            <w:tcW w:w="9940" w:type="dxa"/>
            <w:gridSpan w:val="5"/>
            <w:vMerge/>
            <w:tcBorders>
              <w:top w:val="nil"/>
              <w:left w:val="nil"/>
              <w:bottom w:val="nil"/>
              <w:right w:val="nil"/>
            </w:tcBorders>
            <w:vAlign w:val="center"/>
            <w:hideMark/>
          </w:tcPr>
          <w:p w:rsidR="00FD6952" w:rsidRPr="00FD6952" w:rsidRDefault="00FD6952" w:rsidP="0003780D">
            <w:pPr>
              <w:spacing w:before="0" w:after="0" w:line="240" w:lineRule="auto"/>
              <w:jc w:val="both"/>
              <w:rPr>
                <w:color w:val="000000"/>
                <w:sz w:val="22"/>
                <w:szCs w:val="22"/>
                <w:lang w:eastAsia="en-GB"/>
              </w:rPr>
            </w:pPr>
          </w:p>
        </w:tc>
      </w:tr>
      <w:tr w:rsidR="00FD6952" w:rsidRPr="00FD6952" w:rsidTr="00FD6952">
        <w:trPr>
          <w:trHeight w:val="282"/>
        </w:trPr>
        <w:tc>
          <w:tcPr>
            <w:tcW w:w="9940" w:type="dxa"/>
            <w:gridSpan w:val="5"/>
            <w:vMerge w:val="restart"/>
            <w:tcBorders>
              <w:top w:val="nil"/>
              <w:left w:val="nil"/>
              <w:bottom w:val="nil"/>
              <w:right w:val="nil"/>
            </w:tcBorders>
            <w:shd w:val="clear" w:color="000000" w:fill="FFFFFF"/>
            <w:vAlign w:val="bottom"/>
            <w:hideMark/>
          </w:tcPr>
          <w:p w:rsidR="00FD6952" w:rsidRPr="00FD6952" w:rsidRDefault="00FD6952" w:rsidP="0003780D">
            <w:pPr>
              <w:spacing w:before="0" w:after="0" w:line="240" w:lineRule="auto"/>
              <w:jc w:val="both"/>
              <w:rPr>
                <w:color w:val="000000"/>
                <w:sz w:val="22"/>
                <w:szCs w:val="22"/>
                <w:lang w:eastAsia="en-GB"/>
              </w:rPr>
            </w:pPr>
            <w:r w:rsidRPr="00FD6952">
              <w:rPr>
                <w:color w:val="000000"/>
                <w:sz w:val="22"/>
                <w:szCs w:val="22"/>
                <w:vertAlign w:val="superscript"/>
                <w:lang w:eastAsia="en-GB"/>
              </w:rPr>
              <w:t>2</w:t>
            </w:r>
            <w:r w:rsidRPr="00FD6952">
              <w:rPr>
                <w:color w:val="000000"/>
                <w:sz w:val="22"/>
                <w:szCs w:val="22"/>
                <w:lang w:eastAsia="en-GB"/>
              </w:rPr>
              <w:t>Annual costs have been scaled up on the basis that the total obligation is met and assumes that the average prices to date continue to be paid throughout the obligation period</w:t>
            </w:r>
            <w:r w:rsidR="00274669">
              <w:rPr>
                <w:color w:val="000000"/>
                <w:sz w:val="22"/>
                <w:szCs w:val="22"/>
                <w:lang w:eastAsia="en-GB"/>
              </w:rPr>
              <w:t xml:space="preserve"> to March 2015</w:t>
            </w:r>
            <w:r w:rsidRPr="00FD6952">
              <w:rPr>
                <w:color w:val="000000"/>
                <w:sz w:val="22"/>
                <w:szCs w:val="22"/>
                <w:lang w:eastAsia="en-GB"/>
              </w:rPr>
              <w:t>.</w:t>
            </w:r>
          </w:p>
        </w:tc>
      </w:tr>
      <w:tr w:rsidR="00FD6952" w:rsidRPr="00FD6952" w:rsidTr="00FD6952">
        <w:trPr>
          <w:trHeight w:val="282"/>
        </w:trPr>
        <w:tc>
          <w:tcPr>
            <w:tcW w:w="9940" w:type="dxa"/>
            <w:gridSpan w:val="5"/>
            <w:vMerge/>
            <w:tcBorders>
              <w:top w:val="nil"/>
              <w:left w:val="nil"/>
              <w:bottom w:val="nil"/>
              <w:right w:val="nil"/>
            </w:tcBorders>
            <w:vAlign w:val="center"/>
            <w:hideMark/>
          </w:tcPr>
          <w:p w:rsidR="00FD6952" w:rsidRPr="00FD6952" w:rsidRDefault="00FD6952" w:rsidP="00FD6952">
            <w:pPr>
              <w:spacing w:before="0" w:after="0" w:line="240" w:lineRule="auto"/>
              <w:rPr>
                <w:color w:val="000000"/>
                <w:sz w:val="22"/>
                <w:szCs w:val="22"/>
                <w:lang w:eastAsia="en-GB"/>
              </w:rPr>
            </w:pPr>
          </w:p>
        </w:tc>
      </w:tr>
    </w:tbl>
    <w:p w:rsidR="00FD6952" w:rsidRDefault="00FD6952" w:rsidP="00415EE4">
      <w:pPr>
        <w:spacing w:before="0" w:after="0" w:line="270" w:lineRule="atLeast"/>
        <w:rPr>
          <w:b/>
          <w:bCs/>
        </w:rPr>
      </w:pPr>
    </w:p>
    <w:p w:rsidR="00FD6952" w:rsidRDefault="00FD6952" w:rsidP="00415EE4">
      <w:pPr>
        <w:spacing w:before="0" w:after="0" w:line="270" w:lineRule="atLeast"/>
        <w:rPr>
          <w:b/>
          <w:bCs/>
        </w:rPr>
      </w:pPr>
    </w:p>
    <w:p w:rsidR="0071097F" w:rsidRDefault="0071097F" w:rsidP="00415EE4">
      <w:pPr>
        <w:spacing w:before="0" w:after="0" w:line="270" w:lineRule="atLeast"/>
        <w:rPr>
          <w:b/>
          <w:bCs/>
        </w:rPr>
      </w:pPr>
    </w:p>
    <w:p w:rsidR="00FD6952" w:rsidRDefault="007D375F" w:rsidP="00415EE4">
      <w:pPr>
        <w:spacing w:before="0" w:after="0" w:line="270" w:lineRule="atLeast"/>
        <w:rPr>
          <w:b/>
          <w:bCs/>
        </w:rPr>
      </w:pPr>
      <w:r w:rsidRPr="007D375F">
        <w:rPr>
          <w:b/>
          <w:bCs/>
        </w:rPr>
        <w:t>Table 1.12a: Estimated average ECO delivery costs as reported by energy suppliers, up to end September 2013</w:t>
      </w:r>
    </w:p>
    <w:p w:rsidR="00FD6952" w:rsidRDefault="00FD6952" w:rsidP="00415EE4">
      <w:pPr>
        <w:spacing w:before="0" w:after="0" w:line="270" w:lineRule="atLeast"/>
        <w:rPr>
          <w:b/>
          <w:bCs/>
        </w:rPr>
      </w:pPr>
    </w:p>
    <w:tbl>
      <w:tblPr>
        <w:tblW w:w="9938" w:type="dxa"/>
        <w:tblInd w:w="93" w:type="dxa"/>
        <w:tblLook w:val="04A0" w:firstRow="1" w:lastRow="0" w:firstColumn="1" w:lastColumn="0" w:noHBand="0" w:noVBand="1"/>
      </w:tblPr>
      <w:tblGrid>
        <w:gridCol w:w="2860"/>
        <w:gridCol w:w="132"/>
        <w:gridCol w:w="2126"/>
        <w:gridCol w:w="2410"/>
        <w:gridCol w:w="2410"/>
      </w:tblGrid>
      <w:tr w:rsidR="00744830" w:rsidRPr="00744830" w:rsidTr="0071097F">
        <w:trPr>
          <w:trHeight w:val="825"/>
        </w:trPr>
        <w:tc>
          <w:tcPr>
            <w:tcW w:w="2992" w:type="dxa"/>
            <w:gridSpan w:val="2"/>
            <w:tcBorders>
              <w:top w:val="single" w:sz="4" w:space="0" w:color="auto"/>
              <w:left w:val="nil"/>
              <w:bottom w:val="single" w:sz="4" w:space="0" w:color="auto"/>
              <w:right w:val="nil"/>
            </w:tcBorders>
            <w:shd w:val="clear" w:color="000000" w:fill="FFFFFF"/>
            <w:noWrap/>
            <w:vAlign w:val="center"/>
            <w:hideMark/>
          </w:tcPr>
          <w:p w:rsidR="00744830" w:rsidRPr="00744830" w:rsidRDefault="00744830" w:rsidP="00744830">
            <w:pPr>
              <w:spacing w:before="0" w:after="0" w:line="240" w:lineRule="auto"/>
              <w:rPr>
                <w:bCs/>
                <w:color w:val="000000"/>
                <w:szCs w:val="24"/>
                <w:lang w:eastAsia="en-GB"/>
              </w:rPr>
            </w:pPr>
            <w:r w:rsidRPr="00744830">
              <w:rPr>
                <w:bCs/>
                <w:color w:val="000000"/>
                <w:szCs w:val="24"/>
                <w:lang w:eastAsia="en-GB"/>
              </w:rPr>
              <w:t>Obligation</w:t>
            </w:r>
          </w:p>
        </w:tc>
        <w:tc>
          <w:tcPr>
            <w:tcW w:w="2126" w:type="dxa"/>
            <w:tcBorders>
              <w:top w:val="single" w:sz="4" w:space="0" w:color="auto"/>
              <w:left w:val="nil"/>
              <w:bottom w:val="single" w:sz="4" w:space="0" w:color="auto"/>
              <w:right w:val="nil"/>
            </w:tcBorders>
            <w:shd w:val="clear" w:color="000000" w:fill="FFFFFF"/>
            <w:vAlign w:val="bottom"/>
            <w:hideMark/>
          </w:tcPr>
          <w:p w:rsidR="00744830" w:rsidRPr="00744830" w:rsidRDefault="00744830" w:rsidP="00744830">
            <w:pPr>
              <w:spacing w:before="0" w:after="0" w:line="240" w:lineRule="auto"/>
              <w:jc w:val="right"/>
              <w:rPr>
                <w:bCs/>
                <w:color w:val="000000"/>
                <w:szCs w:val="24"/>
                <w:lang w:eastAsia="en-GB"/>
              </w:rPr>
            </w:pPr>
            <w:r w:rsidRPr="00744830">
              <w:rPr>
                <w:bCs/>
                <w:color w:val="000000"/>
                <w:szCs w:val="24"/>
                <w:lang w:eastAsia="en-GB"/>
              </w:rPr>
              <w:t>Average price</w:t>
            </w:r>
            <w:r w:rsidRPr="00744830">
              <w:rPr>
                <w:color w:val="000000"/>
                <w:szCs w:val="24"/>
                <w:vertAlign w:val="superscript"/>
                <w:lang w:eastAsia="en-GB"/>
              </w:rPr>
              <w:t>1</w:t>
            </w:r>
            <w:r w:rsidRPr="00744830">
              <w:rPr>
                <w:bCs/>
                <w:color w:val="000000"/>
                <w:szCs w:val="24"/>
                <w:lang w:eastAsia="en-GB"/>
              </w:rPr>
              <w:t xml:space="preserve"> </w:t>
            </w:r>
            <w:r w:rsidRPr="00744830">
              <w:rPr>
                <w:color w:val="000000"/>
                <w:szCs w:val="24"/>
                <w:lang w:eastAsia="en-GB"/>
              </w:rPr>
              <w:t>(all suppliers)</w:t>
            </w:r>
          </w:p>
        </w:tc>
        <w:tc>
          <w:tcPr>
            <w:tcW w:w="2410" w:type="dxa"/>
            <w:tcBorders>
              <w:top w:val="single" w:sz="4" w:space="0" w:color="auto"/>
              <w:left w:val="nil"/>
              <w:bottom w:val="single" w:sz="4" w:space="0" w:color="auto"/>
              <w:right w:val="nil"/>
            </w:tcBorders>
            <w:shd w:val="clear" w:color="000000" w:fill="FFFFFF"/>
            <w:vAlign w:val="bottom"/>
            <w:hideMark/>
          </w:tcPr>
          <w:p w:rsidR="00744830" w:rsidRPr="00744830" w:rsidRDefault="00744830" w:rsidP="00744830">
            <w:pPr>
              <w:spacing w:before="0" w:after="0" w:line="240" w:lineRule="auto"/>
              <w:jc w:val="right"/>
              <w:rPr>
                <w:bCs/>
                <w:color w:val="000000"/>
                <w:szCs w:val="24"/>
                <w:lang w:eastAsia="en-GB"/>
              </w:rPr>
            </w:pPr>
            <w:r w:rsidRPr="00744830">
              <w:rPr>
                <w:bCs/>
                <w:color w:val="000000"/>
                <w:szCs w:val="24"/>
                <w:lang w:eastAsia="en-GB"/>
              </w:rPr>
              <w:t xml:space="preserve">Highest price </w:t>
            </w:r>
            <w:r w:rsidRPr="00744830">
              <w:rPr>
                <w:color w:val="000000"/>
                <w:szCs w:val="24"/>
                <w:lang w:eastAsia="en-GB"/>
              </w:rPr>
              <w:t>(individual supplier)</w:t>
            </w:r>
            <w:r w:rsidRPr="00744830">
              <w:rPr>
                <w:color w:val="000000"/>
                <w:szCs w:val="24"/>
                <w:vertAlign w:val="superscript"/>
                <w:lang w:eastAsia="en-GB"/>
              </w:rPr>
              <w:t>2</w:t>
            </w:r>
          </w:p>
        </w:tc>
        <w:tc>
          <w:tcPr>
            <w:tcW w:w="2410" w:type="dxa"/>
            <w:tcBorders>
              <w:top w:val="single" w:sz="4" w:space="0" w:color="auto"/>
              <w:left w:val="nil"/>
              <w:bottom w:val="single" w:sz="4" w:space="0" w:color="auto"/>
              <w:right w:val="nil"/>
            </w:tcBorders>
            <w:shd w:val="clear" w:color="000000" w:fill="FFFFFF"/>
            <w:vAlign w:val="bottom"/>
            <w:hideMark/>
          </w:tcPr>
          <w:p w:rsidR="00744830" w:rsidRPr="00744830" w:rsidRDefault="00744830" w:rsidP="00744830">
            <w:pPr>
              <w:spacing w:before="0" w:after="0" w:line="240" w:lineRule="auto"/>
              <w:jc w:val="right"/>
              <w:rPr>
                <w:bCs/>
                <w:color w:val="000000"/>
                <w:szCs w:val="24"/>
                <w:lang w:eastAsia="en-GB"/>
              </w:rPr>
            </w:pPr>
            <w:r w:rsidRPr="00744830">
              <w:rPr>
                <w:bCs/>
                <w:color w:val="000000"/>
                <w:szCs w:val="24"/>
                <w:lang w:eastAsia="en-GB"/>
              </w:rPr>
              <w:t xml:space="preserve">Lowest price </w:t>
            </w:r>
            <w:r w:rsidRPr="00744830">
              <w:rPr>
                <w:color w:val="000000"/>
                <w:szCs w:val="24"/>
                <w:lang w:eastAsia="en-GB"/>
              </w:rPr>
              <w:t>(individual supplier)</w:t>
            </w:r>
            <w:r w:rsidRPr="00744830">
              <w:rPr>
                <w:color w:val="000000"/>
                <w:szCs w:val="24"/>
                <w:vertAlign w:val="superscript"/>
                <w:lang w:eastAsia="en-GB"/>
              </w:rPr>
              <w:t>2</w:t>
            </w:r>
          </w:p>
        </w:tc>
      </w:tr>
      <w:tr w:rsidR="00744830" w:rsidRPr="00744830" w:rsidTr="00744830">
        <w:trPr>
          <w:trHeight w:val="255"/>
        </w:trPr>
        <w:tc>
          <w:tcPr>
            <w:tcW w:w="2860" w:type="dxa"/>
            <w:tcBorders>
              <w:top w:val="nil"/>
              <w:left w:val="nil"/>
              <w:bottom w:val="nil"/>
              <w:right w:val="nil"/>
            </w:tcBorders>
            <w:shd w:val="clear" w:color="000000" w:fill="FFFFFF"/>
            <w:noWrap/>
            <w:vAlign w:val="bottom"/>
            <w:hideMark/>
          </w:tcPr>
          <w:p w:rsidR="00744830" w:rsidRPr="00744830" w:rsidRDefault="00744830" w:rsidP="00744830">
            <w:pPr>
              <w:spacing w:before="0" w:after="0" w:line="240" w:lineRule="auto"/>
              <w:rPr>
                <w:color w:val="000000"/>
                <w:szCs w:val="24"/>
                <w:lang w:eastAsia="en-GB"/>
              </w:rPr>
            </w:pPr>
            <w:r w:rsidRPr="00744830">
              <w:rPr>
                <w:color w:val="000000"/>
                <w:szCs w:val="24"/>
                <w:lang w:eastAsia="en-GB"/>
              </w:rPr>
              <w:t>Affordable Warmth</w:t>
            </w:r>
          </w:p>
        </w:tc>
        <w:tc>
          <w:tcPr>
            <w:tcW w:w="2258" w:type="dxa"/>
            <w:gridSpan w:val="2"/>
            <w:tcBorders>
              <w:top w:val="nil"/>
              <w:left w:val="nil"/>
              <w:bottom w:val="nil"/>
              <w:right w:val="nil"/>
            </w:tcBorders>
            <w:shd w:val="clear" w:color="000000" w:fill="FFFFFF"/>
            <w:noWrap/>
            <w:vAlign w:val="bottom"/>
            <w:hideMark/>
          </w:tcPr>
          <w:p w:rsidR="00744830" w:rsidRPr="00744830" w:rsidRDefault="00744830" w:rsidP="00744830">
            <w:pPr>
              <w:spacing w:before="0" w:after="0" w:line="240" w:lineRule="auto"/>
              <w:jc w:val="right"/>
              <w:rPr>
                <w:color w:val="000000"/>
                <w:szCs w:val="24"/>
                <w:lang w:eastAsia="en-GB"/>
              </w:rPr>
            </w:pPr>
            <w:r w:rsidRPr="00744830">
              <w:rPr>
                <w:color w:val="000000"/>
                <w:szCs w:val="24"/>
                <w:lang w:eastAsia="en-GB"/>
              </w:rPr>
              <w:t>£0.17</w:t>
            </w:r>
          </w:p>
        </w:tc>
        <w:tc>
          <w:tcPr>
            <w:tcW w:w="2410" w:type="dxa"/>
            <w:tcBorders>
              <w:top w:val="nil"/>
              <w:left w:val="nil"/>
              <w:bottom w:val="nil"/>
              <w:right w:val="nil"/>
            </w:tcBorders>
            <w:shd w:val="clear" w:color="000000" w:fill="FFFFFF"/>
            <w:noWrap/>
            <w:vAlign w:val="bottom"/>
            <w:hideMark/>
          </w:tcPr>
          <w:p w:rsidR="00744830" w:rsidRPr="00744830" w:rsidRDefault="00744830" w:rsidP="00744830">
            <w:pPr>
              <w:spacing w:before="0" w:after="0" w:line="240" w:lineRule="auto"/>
              <w:jc w:val="right"/>
              <w:rPr>
                <w:color w:val="000000"/>
                <w:szCs w:val="24"/>
                <w:lang w:eastAsia="en-GB"/>
              </w:rPr>
            </w:pPr>
            <w:r w:rsidRPr="00744830">
              <w:rPr>
                <w:color w:val="000000"/>
                <w:szCs w:val="24"/>
                <w:lang w:eastAsia="en-GB"/>
              </w:rPr>
              <w:t>£0.21</w:t>
            </w:r>
          </w:p>
        </w:tc>
        <w:tc>
          <w:tcPr>
            <w:tcW w:w="2410" w:type="dxa"/>
            <w:tcBorders>
              <w:top w:val="nil"/>
              <w:left w:val="nil"/>
              <w:bottom w:val="nil"/>
              <w:right w:val="nil"/>
            </w:tcBorders>
            <w:shd w:val="clear" w:color="000000" w:fill="FFFFFF"/>
            <w:noWrap/>
            <w:vAlign w:val="bottom"/>
            <w:hideMark/>
          </w:tcPr>
          <w:p w:rsidR="00744830" w:rsidRPr="00744830" w:rsidRDefault="00744830" w:rsidP="00744830">
            <w:pPr>
              <w:spacing w:before="0" w:after="0" w:line="240" w:lineRule="auto"/>
              <w:jc w:val="right"/>
              <w:rPr>
                <w:color w:val="000000"/>
                <w:szCs w:val="24"/>
                <w:lang w:eastAsia="en-GB"/>
              </w:rPr>
            </w:pPr>
            <w:r w:rsidRPr="00744830">
              <w:rPr>
                <w:color w:val="000000"/>
                <w:szCs w:val="24"/>
                <w:lang w:eastAsia="en-GB"/>
              </w:rPr>
              <w:t>£0.13</w:t>
            </w:r>
          </w:p>
        </w:tc>
      </w:tr>
      <w:tr w:rsidR="00744830" w:rsidRPr="00744830" w:rsidTr="00744830">
        <w:trPr>
          <w:trHeight w:val="255"/>
        </w:trPr>
        <w:tc>
          <w:tcPr>
            <w:tcW w:w="2860" w:type="dxa"/>
            <w:tcBorders>
              <w:top w:val="nil"/>
              <w:left w:val="nil"/>
              <w:bottom w:val="nil"/>
              <w:right w:val="nil"/>
            </w:tcBorders>
            <w:shd w:val="clear" w:color="000000" w:fill="FFFFFF"/>
            <w:noWrap/>
            <w:vAlign w:val="bottom"/>
            <w:hideMark/>
          </w:tcPr>
          <w:p w:rsidR="00744830" w:rsidRPr="00744830" w:rsidRDefault="00744830" w:rsidP="00744830">
            <w:pPr>
              <w:spacing w:before="0" w:after="0" w:line="240" w:lineRule="auto"/>
              <w:rPr>
                <w:color w:val="000000"/>
                <w:szCs w:val="24"/>
                <w:lang w:eastAsia="en-GB"/>
              </w:rPr>
            </w:pPr>
            <w:r w:rsidRPr="00744830">
              <w:rPr>
                <w:color w:val="000000"/>
                <w:szCs w:val="24"/>
                <w:lang w:eastAsia="en-GB"/>
              </w:rPr>
              <w:t>Carbon Saving Communities</w:t>
            </w:r>
          </w:p>
        </w:tc>
        <w:tc>
          <w:tcPr>
            <w:tcW w:w="2258" w:type="dxa"/>
            <w:gridSpan w:val="2"/>
            <w:tcBorders>
              <w:top w:val="nil"/>
              <w:left w:val="nil"/>
              <w:bottom w:val="nil"/>
              <w:right w:val="nil"/>
            </w:tcBorders>
            <w:shd w:val="clear" w:color="000000" w:fill="FFFFFF"/>
            <w:noWrap/>
            <w:vAlign w:val="bottom"/>
            <w:hideMark/>
          </w:tcPr>
          <w:p w:rsidR="00744830" w:rsidRPr="00744830" w:rsidRDefault="00744830" w:rsidP="00744830">
            <w:pPr>
              <w:spacing w:before="0" w:after="0" w:line="240" w:lineRule="auto"/>
              <w:jc w:val="right"/>
              <w:rPr>
                <w:color w:val="000000"/>
                <w:szCs w:val="24"/>
                <w:lang w:eastAsia="en-GB"/>
              </w:rPr>
            </w:pPr>
            <w:r w:rsidRPr="00744830">
              <w:rPr>
                <w:color w:val="000000"/>
                <w:szCs w:val="24"/>
                <w:lang w:eastAsia="en-GB"/>
              </w:rPr>
              <w:t>£58.98</w:t>
            </w:r>
          </w:p>
        </w:tc>
        <w:tc>
          <w:tcPr>
            <w:tcW w:w="2410" w:type="dxa"/>
            <w:tcBorders>
              <w:top w:val="nil"/>
              <w:left w:val="nil"/>
              <w:bottom w:val="nil"/>
              <w:right w:val="nil"/>
            </w:tcBorders>
            <w:shd w:val="clear" w:color="000000" w:fill="FFFFFF"/>
            <w:noWrap/>
            <w:vAlign w:val="bottom"/>
            <w:hideMark/>
          </w:tcPr>
          <w:p w:rsidR="00744830" w:rsidRPr="00744830" w:rsidRDefault="00744830" w:rsidP="00744830">
            <w:pPr>
              <w:spacing w:before="0" w:after="0" w:line="240" w:lineRule="auto"/>
              <w:jc w:val="right"/>
              <w:rPr>
                <w:color w:val="000000"/>
                <w:szCs w:val="24"/>
                <w:lang w:eastAsia="en-GB"/>
              </w:rPr>
            </w:pPr>
            <w:r w:rsidRPr="00744830">
              <w:rPr>
                <w:color w:val="000000"/>
                <w:szCs w:val="24"/>
                <w:lang w:eastAsia="en-GB"/>
              </w:rPr>
              <w:t>£119.65</w:t>
            </w:r>
          </w:p>
        </w:tc>
        <w:tc>
          <w:tcPr>
            <w:tcW w:w="2410" w:type="dxa"/>
            <w:tcBorders>
              <w:top w:val="nil"/>
              <w:left w:val="nil"/>
              <w:bottom w:val="nil"/>
              <w:right w:val="nil"/>
            </w:tcBorders>
            <w:shd w:val="clear" w:color="000000" w:fill="FFFFFF"/>
            <w:noWrap/>
            <w:vAlign w:val="bottom"/>
            <w:hideMark/>
          </w:tcPr>
          <w:p w:rsidR="00744830" w:rsidRPr="00744830" w:rsidRDefault="00744830" w:rsidP="00744830">
            <w:pPr>
              <w:spacing w:before="0" w:after="0" w:line="240" w:lineRule="auto"/>
              <w:jc w:val="right"/>
              <w:rPr>
                <w:color w:val="000000"/>
                <w:szCs w:val="24"/>
                <w:lang w:eastAsia="en-GB"/>
              </w:rPr>
            </w:pPr>
            <w:r w:rsidRPr="00744830">
              <w:rPr>
                <w:color w:val="000000"/>
                <w:szCs w:val="24"/>
                <w:lang w:eastAsia="en-GB"/>
              </w:rPr>
              <w:t>£38.02</w:t>
            </w:r>
          </w:p>
        </w:tc>
      </w:tr>
      <w:tr w:rsidR="00744830" w:rsidRPr="00744830" w:rsidTr="00744830">
        <w:trPr>
          <w:trHeight w:val="255"/>
        </w:trPr>
        <w:tc>
          <w:tcPr>
            <w:tcW w:w="2860" w:type="dxa"/>
            <w:tcBorders>
              <w:top w:val="nil"/>
              <w:left w:val="nil"/>
              <w:bottom w:val="nil"/>
              <w:right w:val="nil"/>
            </w:tcBorders>
            <w:shd w:val="clear" w:color="000000" w:fill="FFFFFF"/>
            <w:noWrap/>
            <w:vAlign w:val="bottom"/>
            <w:hideMark/>
          </w:tcPr>
          <w:p w:rsidR="00744830" w:rsidRPr="00744830" w:rsidRDefault="00744830" w:rsidP="00744830">
            <w:pPr>
              <w:spacing w:before="0" w:after="0" w:line="240" w:lineRule="auto"/>
              <w:rPr>
                <w:color w:val="000000"/>
                <w:szCs w:val="24"/>
                <w:lang w:eastAsia="en-GB"/>
              </w:rPr>
            </w:pPr>
            <w:r w:rsidRPr="00744830">
              <w:rPr>
                <w:color w:val="000000"/>
                <w:szCs w:val="24"/>
                <w:lang w:eastAsia="en-GB"/>
              </w:rPr>
              <w:t>Carbon Saving Obligation</w:t>
            </w:r>
          </w:p>
        </w:tc>
        <w:tc>
          <w:tcPr>
            <w:tcW w:w="2258" w:type="dxa"/>
            <w:gridSpan w:val="2"/>
            <w:tcBorders>
              <w:top w:val="nil"/>
              <w:left w:val="nil"/>
              <w:bottom w:val="nil"/>
              <w:right w:val="nil"/>
            </w:tcBorders>
            <w:shd w:val="clear" w:color="000000" w:fill="FFFFFF"/>
            <w:noWrap/>
            <w:vAlign w:val="bottom"/>
            <w:hideMark/>
          </w:tcPr>
          <w:p w:rsidR="00744830" w:rsidRPr="00744830" w:rsidRDefault="00744830" w:rsidP="00744830">
            <w:pPr>
              <w:spacing w:before="0" w:after="0" w:line="240" w:lineRule="auto"/>
              <w:jc w:val="right"/>
              <w:rPr>
                <w:color w:val="000000"/>
                <w:szCs w:val="24"/>
                <w:lang w:eastAsia="en-GB"/>
              </w:rPr>
            </w:pPr>
            <w:r w:rsidRPr="00744830">
              <w:rPr>
                <w:color w:val="000000"/>
                <w:szCs w:val="24"/>
                <w:lang w:eastAsia="en-GB"/>
              </w:rPr>
              <w:t>£97.72</w:t>
            </w:r>
          </w:p>
        </w:tc>
        <w:tc>
          <w:tcPr>
            <w:tcW w:w="2410" w:type="dxa"/>
            <w:tcBorders>
              <w:top w:val="nil"/>
              <w:left w:val="nil"/>
              <w:bottom w:val="nil"/>
              <w:right w:val="nil"/>
            </w:tcBorders>
            <w:shd w:val="clear" w:color="000000" w:fill="FFFFFF"/>
            <w:noWrap/>
            <w:vAlign w:val="bottom"/>
            <w:hideMark/>
          </w:tcPr>
          <w:p w:rsidR="00744830" w:rsidRPr="00744830" w:rsidRDefault="00744830" w:rsidP="00744830">
            <w:pPr>
              <w:spacing w:before="0" w:after="0" w:line="240" w:lineRule="auto"/>
              <w:jc w:val="right"/>
              <w:rPr>
                <w:color w:val="000000"/>
                <w:szCs w:val="24"/>
                <w:lang w:eastAsia="en-GB"/>
              </w:rPr>
            </w:pPr>
            <w:r w:rsidRPr="00744830">
              <w:rPr>
                <w:color w:val="000000"/>
                <w:szCs w:val="24"/>
                <w:lang w:eastAsia="en-GB"/>
              </w:rPr>
              <w:t>£128.30</w:t>
            </w:r>
          </w:p>
        </w:tc>
        <w:tc>
          <w:tcPr>
            <w:tcW w:w="2410" w:type="dxa"/>
            <w:tcBorders>
              <w:top w:val="nil"/>
              <w:left w:val="nil"/>
              <w:bottom w:val="nil"/>
              <w:right w:val="nil"/>
            </w:tcBorders>
            <w:shd w:val="clear" w:color="000000" w:fill="FFFFFF"/>
            <w:noWrap/>
            <w:vAlign w:val="bottom"/>
            <w:hideMark/>
          </w:tcPr>
          <w:p w:rsidR="00744830" w:rsidRPr="00744830" w:rsidRDefault="00744830" w:rsidP="00744830">
            <w:pPr>
              <w:spacing w:before="0" w:after="0" w:line="240" w:lineRule="auto"/>
              <w:jc w:val="right"/>
              <w:rPr>
                <w:color w:val="000000"/>
                <w:szCs w:val="24"/>
                <w:lang w:eastAsia="en-GB"/>
              </w:rPr>
            </w:pPr>
            <w:r w:rsidRPr="00744830">
              <w:rPr>
                <w:color w:val="000000"/>
                <w:szCs w:val="24"/>
                <w:lang w:eastAsia="en-GB"/>
              </w:rPr>
              <w:t>£83.09</w:t>
            </w:r>
          </w:p>
        </w:tc>
      </w:tr>
      <w:tr w:rsidR="00744830" w:rsidRPr="00744830" w:rsidTr="00744830">
        <w:trPr>
          <w:trHeight w:val="150"/>
        </w:trPr>
        <w:tc>
          <w:tcPr>
            <w:tcW w:w="2860" w:type="dxa"/>
            <w:tcBorders>
              <w:top w:val="nil"/>
              <w:left w:val="nil"/>
              <w:bottom w:val="nil"/>
              <w:right w:val="nil"/>
            </w:tcBorders>
            <w:shd w:val="clear" w:color="000000" w:fill="FFFFFF"/>
            <w:noWrap/>
            <w:vAlign w:val="bottom"/>
            <w:hideMark/>
          </w:tcPr>
          <w:p w:rsidR="00744830" w:rsidRPr="00744830" w:rsidRDefault="00744830" w:rsidP="00744830">
            <w:pPr>
              <w:spacing w:before="0" w:after="0" w:line="240" w:lineRule="auto"/>
              <w:rPr>
                <w:color w:val="000000"/>
                <w:szCs w:val="24"/>
                <w:lang w:eastAsia="en-GB"/>
              </w:rPr>
            </w:pPr>
            <w:r w:rsidRPr="00744830">
              <w:rPr>
                <w:color w:val="000000"/>
                <w:szCs w:val="24"/>
                <w:lang w:eastAsia="en-GB"/>
              </w:rPr>
              <w:t> </w:t>
            </w:r>
          </w:p>
        </w:tc>
        <w:tc>
          <w:tcPr>
            <w:tcW w:w="2258" w:type="dxa"/>
            <w:gridSpan w:val="2"/>
            <w:tcBorders>
              <w:top w:val="nil"/>
              <w:left w:val="nil"/>
              <w:bottom w:val="nil"/>
              <w:right w:val="nil"/>
            </w:tcBorders>
            <w:shd w:val="clear" w:color="000000" w:fill="FFFFFF"/>
            <w:noWrap/>
            <w:vAlign w:val="bottom"/>
            <w:hideMark/>
          </w:tcPr>
          <w:p w:rsidR="00744830" w:rsidRPr="00744830" w:rsidRDefault="00744830" w:rsidP="00744830">
            <w:pPr>
              <w:spacing w:before="0" w:after="0" w:line="240" w:lineRule="auto"/>
              <w:rPr>
                <w:color w:val="000000"/>
                <w:szCs w:val="24"/>
                <w:lang w:eastAsia="en-GB"/>
              </w:rPr>
            </w:pPr>
            <w:r w:rsidRPr="00744830">
              <w:rPr>
                <w:color w:val="000000"/>
                <w:szCs w:val="24"/>
                <w:lang w:eastAsia="en-GB"/>
              </w:rPr>
              <w:t> </w:t>
            </w:r>
          </w:p>
        </w:tc>
        <w:tc>
          <w:tcPr>
            <w:tcW w:w="2410" w:type="dxa"/>
            <w:tcBorders>
              <w:top w:val="nil"/>
              <w:left w:val="nil"/>
              <w:bottom w:val="nil"/>
              <w:right w:val="nil"/>
            </w:tcBorders>
            <w:shd w:val="clear" w:color="000000" w:fill="FFFFFF"/>
            <w:noWrap/>
            <w:vAlign w:val="bottom"/>
            <w:hideMark/>
          </w:tcPr>
          <w:p w:rsidR="00744830" w:rsidRPr="00744830" w:rsidRDefault="00744830" w:rsidP="00744830">
            <w:pPr>
              <w:spacing w:before="0" w:after="0" w:line="240" w:lineRule="auto"/>
              <w:rPr>
                <w:color w:val="000000"/>
                <w:szCs w:val="24"/>
                <w:lang w:eastAsia="en-GB"/>
              </w:rPr>
            </w:pPr>
            <w:r w:rsidRPr="00744830">
              <w:rPr>
                <w:color w:val="000000"/>
                <w:szCs w:val="24"/>
                <w:lang w:eastAsia="en-GB"/>
              </w:rPr>
              <w:t> </w:t>
            </w:r>
          </w:p>
        </w:tc>
        <w:tc>
          <w:tcPr>
            <w:tcW w:w="2410" w:type="dxa"/>
            <w:tcBorders>
              <w:top w:val="nil"/>
              <w:left w:val="nil"/>
              <w:bottom w:val="nil"/>
              <w:right w:val="nil"/>
            </w:tcBorders>
            <w:shd w:val="clear" w:color="000000" w:fill="FFFFFF"/>
            <w:noWrap/>
            <w:vAlign w:val="bottom"/>
            <w:hideMark/>
          </w:tcPr>
          <w:p w:rsidR="00744830" w:rsidRPr="00744830" w:rsidRDefault="00744830" w:rsidP="00744830">
            <w:pPr>
              <w:spacing w:before="0" w:after="0" w:line="240" w:lineRule="auto"/>
              <w:rPr>
                <w:color w:val="000000"/>
                <w:szCs w:val="24"/>
                <w:lang w:eastAsia="en-GB"/>
              </w:rPr>
            </w:pPr>
            <w:r w:rsidRPr="00744830">
              <w:rPr>
                <w:color w:val="000000"/>
                <w:szCs w:val="24"/>
                <w:lang w:eastAsia="en-GB"/>
              </w:rPr>
              <w:t> </w:t>
            </w:r>
          </w:p>
        </w:tc>
      </w:tr>
      <w:tr w:rsidR="00744830" w:rsidRPr="00744830" w:rsidTr="00744830">
        <w:trPr>
          <w:trHeight w:val="285"/>
        </w:trPr>
        <w:tc>
          <w:tcPr>
            <w:tcW w:w="2860" w:type="dxa"/>
            <w:tcBorders>
              <w:top w:val="nil"/>
              <w:left w:val="nil"/>
              <w:bottom w:val="nil"/>
              <w:right w:val="nil"/>
            </w:tcBorders>
            <w:shd w:val="clear" w:color="000000" w:fill="FFFFFF"/>
            <w:noWrap/>
            <w:vAlign w:val="bottom"/>
            <w:hideMark/>
          </w:tcPr>
          <w:p w:rsidR="00744830" w:rsidRPr="00744830" w:rsidRDefault="00744830" w:rsidP="00744830">
            <w:pPr>
              <w:spacing w:before="0" w:after="0" w:line="240" w:lineRule="auto"/>
              <w:rPr>
                <w:color w:val="000000"/>
                <w:szCs w:val="24"/>
                <w:lang w:eastAsia="en-GB"/>
              </w:rPr>
            </w:pPr>
            <w:r w:rsidRPr="00744830">
              <w:rPr>
                <w:color w:val="000000"/>
                <w:szCs w:val="24"/>
                <w:lang w:eastAsia="en-GB"/>
              </w:rPr>
              <w:t>Scaled up annual cost</w:t>
            </w:r>
            <w:r w:rsidRPr="00744830">
              <w:rPr>
                <w:color w:val="000000"/>
                <w:szCs w:val="24"/>
                <w:vertAlign w:val="superscript"/>
                <w:lang w:eastAsia="en-GB"/>
              </w:rPr>
              <w:t>3</w:t>
            </w:r>
          </w:p>
        </w:tc>
        <w:tc>
          <w:tcPr>
            <w:tcW w:w="2258" w:type="dxa"/>
            <w:gridSpan w:val="2"/>
            <w:tcBorders>
              <w:top w:val="nil"/>
              <w:left w:val="nil"/>
              <w:bottom w:val="nil"/>
              <w:right w:val="nil"/>
            </w:tcBorders>
            <w:shd w:val="clear" w:color="000000" w:fill="FFFFFF"/>
            <w:noWrap/>
            <w:vAlign w:val="bottom"/>
            <w:hideMark/>
          </w:tcPr>
          <w:p w:rsidR="00744830" w:rsidRPr="00744830" w:rsidRDefault="00744830" w:rsidP="00744830">
            <w:pPr>
              <w:spacing w:before="0" w:after="0" w:line="240" w:lineRule="auto"/>
              <w:jc w:val="right"/>
              <w:rPr>
                <w:color w:val="000000"/>
                <w:szCs w:val="24"/>
                <w:lang w:eastAsia="en-GB"/>
              </w:rPr>
            </w:pPr>
            <w:r w:rsidRPr="00744830">
              <w:rPr>
                <w:color w:val="000000"/>
                <w:szCs w:val="24"/>
                <w:lang w:eastAsia="en-GB"/>
              </w:rPr>
              <w:t>£1.4bn</w:t>
            </w:r>
          </w:p>
        </w:tc>
        <w:tc>
          <w:tcPr>
            <w:tcW w:w="2410" w:type="dxa"/>
            <w:tcBorders>
              <w:top w:val="nil"/>
              <w:left w:val="nil"/>
              <w:bottom w:val="nil"/>
              <w:right w:val="nil"/>
            </w:tcBorders>
            <w:shd w:val="clear" w:color="000000" w:fill="FFFFFF"/>
            <w:noWrap/>
            <w:vAlign w:val="bottom"/>
            <w:hideMark/>
          </w:tcPr>
          <w:p w:rsidR="00744830" w:rsidRPr="00744830" w:rsidRDefault="00744830" w:rsidP="00744830">
            <w:pPr>
              <w:spacing w:before="0" w:after="0" w:line="240" w:lineRule="auto"/>
              <w:jc w:val="right"/>
              <w:rPr>
                <w:color w:val="000000"/>
                <w:szCs w:val="24"/>
                <w:lang w:eastAsia="en-GB"/>
              </w:rPr>
            </w:pPr>
            <w:r w:rsidRPr="00744830">
              <w:rPr>
                <w:color w:val="000000"/>
                <w:szCs w:val="24"/>
                <w:lang w:eastAsia="en-GB"/>
              </w:rPr>
              <w:t>£1.9bn</w:t>
            </w:r>
          </w:p>
        </w:tc>
        <w:tc>
          <w:tcPr>
            <w:tcW w:w="2410" w:type="dxa"/>
            <w:tcBorders>
              <w:top w:val="nil"/>
              <w:left w:val="nil"/>
              <w:bottom w:val="nil"/>
              <w:right w:val="nil"/>
            </w:tcBorders>
            <w:shd w:val="clear" w:color="000000" w:fill="FFFFFF"/>
            <w:noWrap/>
            <w:vAlign w:val="bottom"/>
            <w:hideMark/>
          </w:tcPr>
          <w:p w:rsidR="00744830" w:rsidRPr="00744830" w:rsidRDefault="00744830" w:rsidP="00744830">
            <w:pPr>
              <w:spacing w:before="0" w:after="0" w:line="240" w:lineRule="auto"/>
              <w:jc w:val="right"/>
              <w:rPr>
                <w:color w:val="000000"/>
                <w:szCs w:val="24"/>
                <w:lang w:eastAsia="en-GB"/>
              </w:rPr>
            </w:pPr>
            <w:r w:rsidRPr="00744830">
              <w:rPr>
                <w:color w:val="000000"/>
                <w:szCs w:val="24"/>
                <w:lang w:eastAsia="en-GB"/>
              </w:rPr>
              <w:t>£1.2bn</w:t>
            </w:r>
          </w:p>
        </w:tc>
      </w:tr>
      <w:tr w:rsidR="00744830" w:rsidRPr="00744830" w:rsidTr="00744830">
        <w:trPr>
          <w:trHeight w:val="180"/>
        </w:trPr>
        <w:tc>
          <w:tcPr>
            <w:tcW w:w="2860" w:type="dxa"/>
            <w:tcBorders>
              <w:top w:val="nil"/>
              <w:left w:val="nil"/>
              <w:bottom w:val="nil"/>
              <w:right w:val="nil"/>
            </w:tcBorders>
            <w:shd w:val="clear" w:color="000000" w:fill="FFFFFF"/>
            <w:noWrap/>
            <w:vAlign w:val="bottom"/>
            <w:hideMark/>
          </w:tcPr>
          <w:p w:rsidR="00744830" w:rsidRPr="00744830" w:rsidRDefault="00744830" w:rsidP="00744830">
            <w:pPr>
              <w:spacing w:before="0" w:after="0" w:line="240" w:lineRule="auto"/>
              <w:rPr>
                <w:color w:val="000000"/>
                <w:szCs w:val="24"/>
                <w:lang w:eastAsia="en-GB"/>
              </w:rPr>
            </w:pPr>
            <w:r w:rsidRPr="00744830">
              <w:rPr>
                <w:color w:val="000000"/>
                <w:szCs w:val="24"/>
                <w:lang w:eastAsia="en-GB"/>
              </w:rPr>
              <w:t> </w:t>
            </w:r>
          </w:p>
        </w:tc>
        <w:tc>
          <w:tcPr>
            <w:tcW w:w="2258" w:type="dxa"/>
            <w:gridSpan w:val="2"/>
            <w:tcBorders>
              <w:top w:val="nil"/>
              <w:left w:val="nil"/>
              <w:bottom w:val="nil"/>
              <w:right w:val="nil"/>
            </w:tcBorders>
            <w:shd w:val="clear" w:color="000000" w:fill="FFFFFF"/>
            <w:noWrap/>
            <w:vAlign w:val="bottom"/>
            <w:hideMark/>
          </w:tcPr>
          <w:p w:rsidR="00744830" w:rsidRPr="00744830" w:rsidRDefault="00744830" w:rsidP="00744830">
            <w:pPr>
              <w:spacing w:before="0" w:after="0" w:line="240" w:lineRule="auto"/>
              <w:jc w:val="right"/>
              <w:rPr>
                <w:color w:val="000000"/>
                <w:szCs w:val="24"/>
                <w:lang w:eastAsia="en-GB"/>
              </w:rPr>
            </w:pPr>
            <w:r w:rsidRPr="00744830">
              <w:rPr>
                <w:color w:val="000000"/>
                <w:szCs w:val="24"/>
                <w:lang w:eastAsia="en-GB"/>
              </w:rPr>
              <w:t> </w:t>
            </w:r>
          </w:p>
        </w:tc>
        <w:tc>
          <w:tcPr>
            <w:tcW w:w="2410" w:type="dxa"/>
            <w:tcBorders>
              <w:top w:val="nil"/>
              <w:left w:val="nil"/>
              <w:bottom w:val="nil"/>
              <w:right w:val="nil"/>
            </w:tcBorders>
            <w:shd w:val="clear" w:color="000000" w:fill="FFFFFF"/>
            <w:noWrap/>
            <w:vAlign w:val="bottom"/>
            <w:hideMark/>
          </w:tcPr>
          <w:p w:rsidR="00744830" w:rsidRPr="00744830" w:rsidRDefault="00744830" w:rsidP="00744830">
            <w:pPr>
              <w:spacing w:before="0" w:after="0" w:line="240" w:lineRule="auto"/>
              <w:jc w:val="right"/>
              <w:rPr>
                <w:color w:val="000000"/>
                <w:szCs w:val="24"/>
                <w:lang w:eastAsia="en-GB"/>
              </w:rPr>
            </w:pPr>
            <w:r w:rsidRPr="00744830">
              <w:rPr>
                <w:color w:val="000000"/>
                <w:szCs w:val="24"/>
                <w:lang w:eastAsia="en-GB"/>
              </w:rPr>
              <w:t> </w:t>
            </w:r>
          </w:p>
        </w:tc>
        <w:tc>
          <w:tcPr>
            <w:tcW w:w="2410" w:type="dxa"/>
            <w:tcBorders>
              <w:top w:val="nil"/>
              <w:left w:val="nil"/>
              <w:bottom w:val="nil"/>
              <w:right w:val="nil"/>
            </w:tcBorders>
            <w:shd w:val="clear" w:color="000000" w:fill="FFFFFF"/>
            <w:noWrap/>
            <w:vAlign w:val="bottom"/>
            <w:hideMark/>
          </w:tcPr>
          <w:p w:rsidR="00744830" w:rsidRPr="00744830" w:rsidRDefault="00744830" w:rsidP="00744830">
            <w:pPr>
              <w:spacing w:before="0" w:after="0" w:line="240" w:lineRule="auto"/>
              <w:jc w:val="right"/>
              <w:rPr>
                <w:color w:val="000000"/>
                <w:szCs w:val="24"/>
                <w:lang w:eastAsia="en-GB"/>
              </w:rPr>
            </w:pPr>
            <w:r w:rsidRPr="00744830">
              <w:rPr>
                <w:color w:val="000000"/>
                <w:szCs w:val="24"/>
                <w:lang w:eastAsia="en-GB"/>
              </w:rPr>
              <w:t> </w:t>
            </w:r>
          </w:p>
        </w:tc>
      </w:tr>
      <w:tr w:rsidR="00744830" w:rsidRPr="00744830" w:rsidTr="00744830">
        <w:trPr>
          <w:trHeight w:val="765"/>
        </w:trPr>
        <w:tc>
          <w:tcPr>
            <w:tcW w:w="2860" w:type="dxa"/>
            <w:tcBorders>
              <w:top w:val="nil"/>
              <w:left w:val="nil"/>
              <w:bottom w:val="single" w:sz="4" w:space="0" w:color="auto"/>
              <w:right w:val="nil"/>
            </w:tcBorders>
            <w:shd w:val="clear" w:color="000000" w:fill="FFFFFF"/>
            <w:vAlign w:val="bottom"/>
            <w:hideMark/>
          </w:tcPr>
          <w:p w:rsidR="00744830" w:rsidRPr="00744830" w:rsidRDefault="00744830" w:rsidP="00744830">
            <w:pPr>
              <w:spacing w:before="0" w:after="0" w:line="240" w:lineRule="auto"/>
              <w:rPr>
                <w:color w:val="000000"/>
                <w:szCs w:val="24"/>
                <w:lang w:eastAsia="en-GB"/>
              </w:rPr>
            </w:pPr>
            <w:r w:rsidRPr="00744830">
              <w:rPr>
                <w:color w:val="000000"/>
                <w:szCs w:val="24"/>
                <w:lang w:eastAsia="en-GB"/>
              </w:rPr>
              <w:t>Potential ECO costs passed through (per customer per year)</w:t>
            </w:r>
          </w:p>
        </w:tc>
        <w:tc>
          <w:tcPr>
            <w:tcW w:w="2258" w:type="dxa"/>
            <w:gridSpan w:val="2"/>
            <w:tcBorders>
              <w:top w:val="nil"/>
              <w:left w:val="nil"/>
              <w:bottom w:val="single" w:sz="4" w:space="0" w:color="auto"/>
              <w:right w:val="nil"/>
            </w:tcBorders>
            <w:shd w:val="clear" w:color="000000" w:fill="FFFFFF"/>
            <w:noWrap/>
            <w:vAlign w:val="bottom"/>
            <w:hideMark/>
          </w:tcPr>
          <w:p w:rsidR="00744830" w:rsidRPr="00744830" w:rsidRDefault="00744830" w:rsidP="00744830">
            <w:pPr>
              <w:spacing w:before="0" w:after="0" w:line="240" w:lineRule="auto"/>
              <w:jc w:val="right"/>
              <w:rPr>
                <w:color w:val="000000"/>
                <w:szCs w:val="24"/>
                <w:lang w:eastAsia="en-GB"/>
              </w:rPr>
            </w:pPr>
            <w:r w:rsidRPr="00744830">
              <w:rPr>
                <w:color w:val="000000"/>
                <w:szCs w:val="24"/>
                <w:lang w:eastAsia="en-GB"/>
              </w:rPr>
              <w:t>£55</w:t>
            </w:r>
          </w:p>
        </w:tc>
        <w:tc>
          <w:tcPr>
            <w:tcW w:w="2410" w:type="dxa"/>
            <w:tcBorders>
              <w:top w:val="nil"/>
              <w:left w:val="nil"/>
              <w:bottom w:val="single" w:sz="4" w:space="0" w:color="auto"/>
              <w:right w:val="nil"/>
            </w:tcBorders>
            <w:shd w:val="clear" w:color="000000" w:fill="FFFFFF"/>
            <w:noWrap/>
            <w:vAlign w:val="bottom"/>
            <w:hideMark/>
          </w:tcPr>
          <w:p w:rsidR="00744830" w:rsidRPr="00744830" w:rsidRDefault="00744830" w:rsidP="00744830">
            <w:pPr>
              <w:spacing w:before="0" w:after="0" w:line="240" w:lineRule="auto"/>
              <w:jc w:val="right"/>
              <w:rPr>
                <w:color w:val="000000"/>
                <w:szCs w:val="24"/>
                <w:lang w:eastAsia="en-GB"/>
              </w:rPr>
            </w:pPr>
            <w:r w:rsidRPr="00744830">
              <w:rPr>
                <w:color w:val="000000"/>
                <w:szCs w:val="24"/>
                <w:lang w:eastAsia="en-GB"/>
              </w:rPr>
              <w:t>£70</w:t>
            </w:r>
          </w:p>
        </w:tc>
        <w:tc>
          <w:tcPr>
            <w:tcW w:w="2410" w:type="dxa"/>
            <w:tcBorders>
              <w:top w:val="nil"/>
              <w:left w:val="nil"/>
              <w:bottom w:val="single" w:sz="4" w:space="0" w:color="auto"/>
              <w:right w:val="nil"/>
            </w:tcBorders>
            <w:shd w:val="clear" w:color="000000" w:fill="FFFFFF"/>
            <w:noWrap/>
            <w:vAlign w:val="bottom"/>
            <w:hideMark/>
          </w:tcPr>
          <w:p w:rsidR="00744830" w:rsidRPr="00744830" w:rsidRDefault="00744830" w:rsidP="00744830">
            <w:pPr>
              <w:spacing w:before="0" w:after="0" w:line="240" w:lineRule="auto"/>
              <w:jc w:val="right"/>
              <w:rPr>
                <w:color w:val="000000"/>
                <w:szCs w:val="24"/>
                <w:lang w:eastAsia="en-GB"/>
              </w:rPr>
            </w:pPr>
            <w:r w:rsidRPr="00744830">
              <w:rPr>
                <w:color w:val="000000"/>
                <w:szCs w:val="24"/>
                <w:lang w:eastAsia="en-GB"/>
              </w:rPr>
              <w:t>£45</w:t>
            </w:r>
          </w:p>
        </w:tc>
      </w:tr>
      <w:tr w:rsidR="00744830" w:rsidRPr="00744830" w:rsidTr="00744830">
        <w:trPr>
          <w:trHeight w:val="255"/>
        </w:trPr>
        <w:tc>
          <w:tcPr>
            <w:tcW w:w="2860" w:type="dxa"/>
            <w:tcBorders>
              <w:top w:val="nil"/>
              <w:left w:val="nil"/>
              <w:bottom w:val="nil"/>
              <w:right w:val="nil"/>
            </w:tcBorders>
            <w:shd w:val="clear" w:color="000000" w:fill="FFFFFF"/>
            <w:noWrap/>
            <w:hideMark/>
          </w:tcPr>
          <w:p w:rsidR="00744830" w:rsidRPr="00744830" w:rsidRDefault="00744830" w:rsidP="00744830">
            <w:pPr>
              <w:spacing w:before="0" w:after="0" w:line="240" w:lineRule="auto"/>
              <w:rPr>
                <w:color w:val="000000"/>
                <w:szCs w:val="24"/>
                <w:lang w:eastAsia="en-GB"/>
              </w:rPr>
            </w:pPr>
            <w:r w:rsidRPr="00744830">
              <w:rPr>
                <w:color w:val="000000"/>
                <w:szCs w:val="24"/>
                <w:lang w:eastAsia="en-GB"/>
              </w:rPr>
              <w:t> </w:t>
            </w:r>
          </w:p>
        </w:tc>
        <w:tc>
          <w:tcPr>
            <w:tcW w:w="2258" w:type="dxa"/>
            <w:gridSpan w:val="2"/>
            <w:tcBorders>
              <w:top w:val="nil"/>
              <w:left w:val="nil"/>
              <w:bottom w:val="nil"/>
              <w:right w:val="nil"/>
            </w:tcBorders>
            <w:shd w:val="clear" w:color="000000" w:fill="FFFFFF"/>
            <w:noWrap/>
            <w:vAlign w:val="bottom"/>
            <w:hideMark/>
          </w:tcPr>
          <w:p w:rsidR="00744830" w:rsidRPr="00744830" w:rsidRDefault="00744830" w:rsidP="00744830">
            <w:pPr>
              <w:spacing w:before="0" w:after="0" w:line="240" w:lineRule="auto"/>
              <w:rPr>
                <w:b/>
                <w:bCs/>
                <w:color w:val="000000"/>
                <w:szCs w:val="24"/>
                <w:lang w:eastAsia="en-GB"/>
              </w:rPr>
            </w:pPr>
            <w:r w:rsidRPr="00744830">
              <w:rPr>
                <w:b/>
                <w:bCs/>
                <w:color w:val="000000"/>
                <w:szCs w:val="24"/>
                <w:lang w:eastAsia="en-GB"/>
              </w:rPr>
              <w:t> </w:t>
            </w:r>
          </w:p>
        </w:tc>
        <w:tc>
          <w:tcPr>
            <w:tcW w:w="2410" w:type="dxa"/>
            <w:tcBorders>
              <w:top w:val="nil"/>
              <w:left w:val="nil"/>
              <w:bottom w:val="nil"/>
              <w:right w:val="nil"/>
            </w:tcBorders>
            <w:shd w:val="clear" w:color="000000" w:fill="FFFFFF"/>
            <w:noWrap/>
            <w:vAlign w:val="bottom"/>
            <w:hideMark/>
          </w:tcPr>
          <w:p w:rsidR="00744830" w:rsidRPr="00744830" w:rsidRDefault="00744830" w:rsidP="00744830">
            <w:pPr>
              <w:spacing w:before="0" w:after="0" w:line="240" w:lineRule="auto"/>
              <w:rPr>
                <w:b/>
                <w:bCs/>
                <w:color w:val="000000"/>
                <w:szCs w:val="24"/>
                <w:lang w:eastAsia="en-GB"/>
              </w:rPr>
            </w:pPr>
            <w:r w:rsidRPr="00744830">
              <w:rPr>
                <w:b/>
                <w:bCs/>
                <w:color w:val="000000"/>
                <w:szCs w:val="24"/>
                <w:lang w:eastAsia="en-GB"/>
              </w:rPr>
              <w:t> </w:t>
            </w:r>
          </w:p>
        </w:tc>
        <w:tc>
          <w:tcPr>
            <w:tcW w:w="2410" w:type="dxa"/>
            <w:tcBorders>
              <w:top w:val="nil"/>
              <w:left w:val="nil"/>
              <w:bottom w:val="nil"/>
              <w:right w:val="nil"/>
            </w:tcBorders>
            <w:shd w:val="clear" w:color="000000" w:fill="FFFFFF"/>
            <w:noWrap/>
            <w:vAlign w:val="bottom"/>
            <w:hideMark/>
          </w:tcPr>
          <w:p w:rsidR="00744830" w:rsidRPr="00744830" w:rsidRDefault="00744830" w:rsidP="00744830">
            <w:pPr>
              <w:spacing w:before="0" w:after="0" w:line="240" w:lineRule="auto"/>
              <w:rPr>
                <w:b/>
                <w:bCs/>
                <w:color w:val="000000"/>
                <w:szCs w:val="24"/>
                <w:lang w:eastAsia="en-GB"/>
              </w:rPr>
            </w:pPr>
            <w:r w:rsidRPr="00744830">
              <w:rPr>
                <w:b/>
                <w:bCs/>
                <w:color w:val="000000"/>
                <w:szCs w:val="24"/>
                <w:lang w:eastAsia="en-GB"/>
              </w:rPr>
              <w:t> </w:t>
            </w:r>
          </w:p>
        </w:tc>
      </w:tr>
      <w:tr w:rsidR="00744830" w:rsidRPr="00744830" w:rsidTr="00744830">
        <w:trPr>
          <w:trHeight w:val="276"/>
        </w:trPr>
        <w:tc>
          <w:tcPr>
            <w:tcW w:w="9938" w:type="dxa"/>
            <w:gridSpan w:val="5"/>
            <w:vMerge w:val="restart"/>
            <w:tcBorders>
              <w:top w:val="nil"/>
              <w:left w:val="nil"/>
              <w:bottom w:val="nil"/>
              <w:right w:val="nil"/>
            </w:tcBorders>
            <w:shd w:val="clear" w:color="000000" w:fill="FFFFFF"/>
            <w:vAlign w:val="bottom"/>
            <w:hideMark/>
          </w:tcPr>
          <w:p w:rsidR="00744830" w:rsidRPr="00744830" w:rsidRDefault="00744830" w:rsidP="00744830">
            <w:pPr>
              <w:spacing w:before="0" w:after="0" w:line="240" w:lineRule="auto"/>
              <w:rPr>
                <w:color w:val="000000"/>
                <w:szCs w:val="24"/>
                <w:lang w:eastAsia="en-GB"/>
              </w:rPr>
            </w:pPr>
            <w:r w:rsidRPr="00744830">
              <w:rPr>
                <w:color w:val="000000"/>
                <w:szCs w:val="24"/>
                <w:vertAlign w:val="superscript"/>
                <w:lang w:eastAsia="en-GB"/>
              </w:rPr>
              <w:t>1</w:t>
            </w:r>
            <w:r w:rsidRPr="00744830">
              <w:rPr>
                <w:color w:val="000000"/>
                <w:szCs w:val="24"/>
                <w:lang w:eastAsia="en-GB"/>
              </w:rPr>
              <w:t>Average price refers to per £ saved on energy bills for Affordable Warmth and per lifetime tonne of CO2 saved for Carbon Saving Communities and Carbon Saving Obligation.</w:t>
            </w:r>
          </w:p>
        </w:tc>
      </w:tr>
      <w:tr w:rsidR="00744830" w:rsidRPr="00744830" w:rsidTr="00744830">
        <w:trPr>
          <w:trHeight w:val="276"/>
        </w:trPr>
        <w:tc>
          <w:tcPr>
            <w:tcW w:w="9938" w:type="dxa"/>
            <w:gridSpan w:val="5"/>
            <w:vMerge/>
            <w:tcBorders>
              <w:top w:val="nil"/>
              <w:left w:val="nil"/>
              <w:bottom w:val="nil"/>
              <w:right w:val="nil"/>
            </w:tcBorders>
            <w:vAlign w:val="center"/>
            <w:hideMark/>
          </w:tcPr>
          <w:p w:rsidR="00744830" w:rsidRPr="00744830" w:rsidRDefault="00744830" w:rsidP="00744830">
            <w:pPr>
              <w:spacing w:before="0" w:after="0" w:line="240" w:lineRule="auto"/>
              <w:rPr>
                <w:color w:val="000000"/>
                <w:szCs w:val="24"/>
                <w:lang w:eastAsia="en-GB"/>
              </w:rPr>
            </w:pPr>
          </w:p>
        </w:tc>
      </w:tr>
      <w:tr w:rsidR="00744830" w:rsidRPr="00744830" w:rsidTr="00744830">
        <w:trPr>
          <w:trHeight w:val="276"/>
        </w:trPr>
        <w:tc>
          <w:tcPr>
            <w:tcW w:w="9938" w:type="dxa"/>
            <w:gridSpan w:val="5"/>
            <w:vMerge w:val="restart"/>
            <w:tcBorders>
              <w:top w:val="nil"/>
              <w:left w:val="nil"/>
              <w:bottom w:val="nil"/>
              <w:right w:val="nil"/>
            </w:tcBorders>
            <w:shd w:val="clear" w:color="000000" w:fill="FFFFFF"/>
            <w:vAlign w:val="bottom"/>
            <w:hideMark/>
          </w:tcPr>
          <w:p w:rsidR="00744830" w:rsidRPr="00744830" w:rsidRDefault="00744830" w:rsidP="00744830">
            <w:pPr>
              <w:spacing w:before="0" w:after="0" w:line="240" w:lineRule="auto"/>
              <w:rPr>
                <w:color w:val="000000"/>
                <w:szCs w:val="24"/>
                <w:lang w:eastAsia="en-GB"/>
              </w:rPr>
            </w:pPr>
            <w:r w:rsidRPr="00744830">
              <w:rPr>
                <w:color w:val="000000"/>
                <w:szCs w:val="24"/>
                <w:vertAlign w:val="superscript"/>
                <w:lang w:eastAsia="en-GB"/>
              </w:rPr>
              <w:t>2</w:t>
            </w:r>
            <w:r w:rsidRPr="00744830">
              <w:rPr>
                <w:color w:val="000000"/>
                <w:szCs w:val="24"/>
                <w:lang w:eastAsia="en-GB"/>
              </w:rPr>
              <w:t>Suppliers have delivered different amounts against each obligation. 'Highest' and 'lowest' average prices for individual suppliers should therefore be treated with caution as they may relate to relatively low levels of delivery, different measures installed and different routes of meeting the obligation.</w:t>
            </w:r>
          </w:p>
        </w:tc>
      </w:tr>
      <w:tr w:rsidR="00744830" w:rsidRPr="00744830" w:rsidTr="00744830">
        <w:trPr>
          <w:trHeight w:val="276"/>
        </w:trPr>
        <w:tc>
          <w:tcPr>
            <w:tcW w:w="9938" w:type="dxa"/>
            <w:gridSpan w:val="5"/>
            <w:vMerge/>
            <w:tcBorders>
              <w:top w:val="nil"/>
              <w:left w:val="nil"/>
              <w:bottom w:val="nil"/>
              <w:right w:val="nil"/>
            </w:tcBorders>
            <w:vAlign w:val="center"/>
            <w:hideMark/>
          </w:tcPr>
          <w:p w:rsidR="00744830" w:rsidRPr="00744830" w:rsidRDefault="00744830" w:rsidP="00744830">
            <w:pPr>
              <w:spacing w:before="0" w:after="0" w:line="240" w:lineRule="auto"/>
              <w:rPr>
                <w:color w:val="000000"/>
                <w:szCs w:val="24"/>
                <w:lang w:eastAsia="en-GB"/>
              </w:rPr>
            </w:pPr>
          </w:p>
        </w:tc>
      </w:tr>
      <w:tr w:rsidR="00744830" w:rsidRPr="00744830" w:rsidTr="00744830">
        <w:trPr>
          <w:trHeight w:val="276"/>
        </w:trPr>
        <w:tc>
          <w:tcPr>
            <w:tcW w:w="9938" w:type="dxa"/>
            <w:gridSpan w:val="5"/>
            <w:vMerge w:val="restart"/>
            <w:tcBorders>
              <w:top w:val="nil"/>
              <w:left w:val="nil"/>
              <w:bottom w:val="nil"/>
              <w:right w:val="nil"/>
            </w:tcBorders>
            <w:shd w:val="clear" w:color="000000" w:fill="FFFFFF"/>
            <w:vAlign w:val="bottom"/>
            <w:hideMark/>
          </w:tcPr>
          <w:p w:rsidR="00744830" w:rsidRPr="00744830" w:rsidRDefault="00744830" w:rsidP="00744830">
            <w:pPr>
              <w:spacing w:before="0" w:after="0" w:line="240" w:lineRule="auto"/>
              <w:rPr>
                <w:color w:val="000000"/>
                <w:szCs w:val="24"/>
                <w:lang w:eastAsia="en-GB"/>
              </w:rPr>
            </w:pPr>
            <w:r w:rsidRPr="00744830">
              <w:rPr>
                <w:color w:val="000000"/>
                <w:szCs w:val="24"/>
                <w:vertAlign w:val="superscript"/>
                <w:lang w:eastAsia="en-GB"/>
              </w:rPr>
              <w:t>3</w:t>
            </w:r>
            <w:r w:rsidRPr="00744830">
              <w:rPr>
                <w:color w:val="000000"/>
                <w:szCs w:val="24"/>
                <w:lang w:eastAsia="en-GB"/>
              </w:rPr>
              <w:t>Annual costs have been scaled up on the basis that the total obligation is met and assumes that the average/highest/lowest prices to date continue to be paid throughout the obligation period</w:t>
            </w:r>
            <w:r w:rsidR="00274669">
              <w:rPr>
                <w:color w:val="000000"/>
                <w:szCs w:val="24"/>
                <w:lang w:eastAsia="en-GB"/>
              </w:rPr>
              <w:t xml:space="preserve"> to March 2015</w:t>
            </w:r>
            <w:r w:rsidRPr="00744830">
              <w:rPr>
                <w:color w:val="000000"/>
                <w:szCs w:val="24"/>
                <w:lang w:eastAsia="en-GB"/>
              </w:rPr>
              <w:t>.</w:t>
            </w:r>
          </w:p>
        </w:tc>
      </w:tr>
      <w:tr w:rsidR="00744830" w:rsidRPr="00744830" w:rsidTr="00744830">
        <w:trPr>
          <w:trHeight w:val="276"/>
        </w:trPr>
        <w:tc>
          <w:tcPr>
            <w:tcW w:w="9938" w:type="dxa"/>
            <w:gridSpan w:val="5"/>
            <w:vMerge/>
            <w:tcBorders>
              <w:top w:val="nil"/>
              <w:left w:val="nil"/>
              <w:bottom w:val="nil"/>
              <w:right w:val="nil"/>
            </w:tcBorders>
            <w:vAlign w:val="center"/>
            <w:hideMark/>
          </w:tcPr>
          <w:p w:rsidR="00744830" w:rsidRPr="00744830" w:rsidRDefault="00744830" w:rsidP="00744830">
            <w:pPr>
              <w:spacing w:before="0" w:after="0" w:line="240" w:lineRule="auto"/>
              <w:rPr>
                <w:color w:val="000000"/>
                <w:szCs w:val="24"/>
                <w:lang w:eastAsia="en-GB"/>
              </w:rPr>
            </w:pPr>
          </w:p>
        </w:tc>
      </w:tr>
    </w:tbl>
    <w:p w:rsidR="00FD6952" w:rsidRDefault="00FD6952" w:rsidP="00415EE4">
      <w:pPr>
        <w:spacing w:before="0" w:after="0" w:line="270" w:lineRule="atLeast"/>
        <w:rPr>
          <w:b/>
          <w:bCs/>
        </w:rPr>
      </w:pPr>
    </w:p>
    <w:p w:rsidR="00FD6952" w:rsidRDefault="00FD6952" w:rsidP="00415EE4">
      <w:pPr>
        <w:spacing w:before="0" w:after="0" w:line="270" w:lineRule="atLeast"/>
        <w:rPr>
          <w:b/>
          <w:bCs/>
        </w:rPr>
      </w:pPr>
    </w:p>
    <w:p w:rsidR="00FD6952" w:rsidRDefault="00FD6952" w:rsidP="00415EE4">
      <w:pPr>
        <w:spacing w:before="0" w:after="0" w:line="270" w:lineRule="atLeast"/>
        <w:rPr>
          <w:b/>
          <w:bCs/>
        </w:rPr>
      </w:pPr>
    </w:p>
    <w:p w:rsidR="00FD6952" w:rsidRDefault="00FD6952" w:rsidP="00415EE4">
      <w:pPr>
        <w:spacing w:before="0" w:after="0" w:line="270" w:lineRule="atLeast"/>
        <w:rPr>
          <w:b/>
          <w:bCs/>
        </w:rPr>
      </w:pPr>
    </w:p>
    <w:p w:rsidR="00FD6952" w:rsidRDefault="00FD6952" w:rsidP="00415EE4">
      <w:pPr>
        <w:spacing w:before="0" w:after="0" w:line="270" w:lineRule="atLeast"/>
        <w:rPr>
          <w:b/>
          <w:bCs/>
        </w:rPr>
      </w:pPr>
    </w:p>
    <w:p w:rsidR="00FD6952" w:rsidRDefault="00FD6952" w:rsidP="00415EE4">
      <w:pPr>
        <w:spacing w:before="0" w:after="0" w:line="270" w:lineRule="atLeast"/>
        <w:rPr>
          <w:b/>
          <w:bCs/>
        </w:rPr>
      </w:pPr>
    </w:p>
    <w:p w:rsidR="00415EE4" w:rsidRDefault="007D375F" w:rsidP="00415EE4">
      <w:pPr>
        <w:spacing w:before="0" w:after="0" w:line="270" w:lineRule="atLeast"/>
        <w:rPr>
          <w:b/>
          <w:bCs/>
        </w:rPr>
      </w:pPr>
      <w:r>
        <w:rPr>
          <w:b/>
          <w:bCs/>
        </w:rPr>
        <w:lastRenderedPageBreak/>
        <w:t>Table 1.13</w:t>
      </w:r>
      <w:r w:rsidR="00415EE4" w:rsidRPr="00A21277">
        <w:rPr>
          <w:b/>
          <w:bCs/>
        </w:rPr>
        <w:t>: ECO Brokerage Auction clearing prices</w:t>
      </w:r>
      <w:r w:rsidR="00415EE4" w:rsidRPr="00A21277">
        <w:rPr>
          <w:bCs/>
          <w:vertAlign w:val="superscript"/>
        </w:rPr>
        <w:t xml:space="preserve">1 </w:t>
      </w:r>
      <w:r w:rsidR="00415EE4" w:rsidRPr="00A21277">
        <w:rPr>
          <w:b/>
          <w:bCs/>
        </w:rPr>
        <w:t xml:space="preserve">by ECO obligation by auction, up to end of </w:t>
      </w:r>
      <w:r w:rsidR="002D15AF">
        <w:rPr>
          <w:b/>
          <w:bCs/>
        </w:rPr>
        <w:t>October</w:t>
      </w:r>
      <w:r w:rsidR="00415EE4" w:rsidRPr="00A21277">
        <w:rPr>
          <w:b/>
          <w:bCs/>
        </w:rPr>
        <w:t xml:space="preserve"> 2013</w:t>
      </w:r>
    </w:p>
    <w:p w:rsidR="0056741B" w:rsidRPr="00A21277" w:rsidRDefault="0056741B" w:rsidP="00415EE4">
      <w:pPr>
        <w:spacing w:before="0" w:after="0" w:line="270" w:lineRule="atLeast"/>
        <w:rPr>
          <w:b/>
          <w:bCs/>
          <w:highlight w:val="yellow"/>
        </w:rPr>
      </w:pPr>
    </w:p>
    <w:tbl>
      <w:tblPr>
        <w:tblW w:w="9229" w:type="dxa"/>
        <w:tblInd w:w="93" w:type="dxa"/>
        <w:tblLook w:val="04A0" w:firstRow="1" w:lastRow="0" w:firstColumn="1" w:lastColumn="0" w:noHBand="0" w:noVBand="1"/>
      </w:tblPr>
      <w:tblGrid>
        <w:gridCol w:w="1368"/>
        <w:gridCol w:w="2589"/>
        <w:gridCol w:w="2721"/>
        <w:gridCol w:w="2551"/>
      </w:tblGrid>
      <w:tr w:rsidR="00415EE4" w:rsidRPr="00A21277" w:rsidTr="004955B3">
        <w:trPr>
          <w:trHeight w:val="576"/>
        </w:trPr>
        <w:tc>
          <w:tcPr>
            <w:tcW w:w="1368" w:type="dxa"/>
            <w:tcBorders>
              <w:top w:val="single" w:sz="4" w:space="0" w:color="auto"/>
              <w:left w:val="nil"/>
              <w:bottom w:val="nil"/>
              <w:right w:val="nil"/>
            </w:tcBorders>
            <w:shd w:val="clear" w:color="000000" w:fill="FFFFFF"/>
            <w:noWrap/>
            <w:vAlign w:val="bottom"/>
            <w:hideMark/>
          </w:tcPr>
          <w:p w:rsidR="00415EE4" w:rsidRPr="00A21277" w:rsidRDefault="00415EE4" w:rsidP="00415EE4">
            <w:pPr>
              <w:spacing w:before="0" w:after="0" w:line="240" w:lineRule="auto"/>
              <w:rPr>
                <w:color w:val="000000"/>
                <w:lang w:eastAsia="en-GB"/>
              </w:rPr>
            </w:pPr>
            <w:r w:rsidRPr="00A21277">
              <w:rPr>
                <w:color w:val="000000"/>
                <w:lang w:eastAsia="en-GB"/>
              </w:rPr>
              <w:t>Auction</w:t>
            </w:r>
          </w:p>
        </w:tc>
        <w:tc>
          <w:tcPr>
            <w:tcW w:w="2589" w:type="dxa"/>
            <w:tcBorders>
              <w:top w:val="single" w:sz="4" w:space="0" w:color="auto"/>
              <w:left w:val="nil"/>
              <w:bottom w:val="nil"/>
              <w:right w:val="nil"/>
            </w:tcBorders>
            <w:shd w:val="clear" w:color="000000" w:fill="FFFFFF"/>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Clearing price for Carbon Saving Obligations (CSO)</w:t>
            </w:r>
          </w:p>
        </w:tc>
        <w:tc>
          <w:tcPr>
            <w:tcW w:w="2721" w:type="dxa"/>
            <w:tcBorders>
              <w:top w:val="single" w:sz="4" w:space="0" w:color="auto"/>
              <w:left w:val="nil"/>
              <w:bottom w:val="nil"/>
              <w:right w:val="nil"/>
            </w:tcBorders>
            <w:shd w:val="clear" w:color="000000" w:fill="FFFFFF"/>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Clearing price for Carbon Saving Communities (CSCO)</w:t>
            </w:r>
          </w:p>
        </w:tc>
        <w:tc>
          <w:tcPr>
            <w:tcW w:w="2551" w:type="dxa"/>
            <w:tcBorders>
              <w:top w:val="single" w:sz="4" w:space="0" w:color="auto"/>
              <w:left w:val="nil"/>
              <w:bottom w:val="nil"/>
              <w:right w:val="nil"/>
            </w:tcBorders>
            <w:shd w:val="clear" w:color="000000" w:fill="FFFFFF"/>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Clearing price for Affordable Warmth (HHCRO)</w:t>
            </w:r>
          </w:p>
        </w:tc>
      </w:tr>
      <w:tr w:rsidR="00415EE4" w:rsidRPr="00A21277" w:rsidTr="004955B3">
        <w:trPr>
          <w:trHeight w:val="288"/>
        </w:trPr>
        <w:tc>
          <w:tcPr>
            <w:tcW w:w="1368" w:type="dxa"/>
            <w:tcBorders>
              <w:top w:val="nil"/>
              <w:left w:val="nil"/>
              <w:bottom w:val="single" w:sz="4" w:space="0" w:color="auto"/>
              <w:right w:val="nil"/>
            </w:tcBorders>
            <w:shd w:val="clear" w:color="000000" w:fill="FFFFFF"/>
            <w:noWrap/>
            <w:vAlign w:val="bottom"/>
            <w:hideMark/>
          </w:tcPr>
          <w:p w:rsidR="00415EE4" w:rsidRPr="00A21277" w:rsidRDefault="00415EE4" w:rsidP="00415EE4">
            <w:pPr>
              <w:spacing w:before="0" w:after="0" w:line="240" w:lineRule="auto"/>
              <w:rPr>
                <w:color w:val="000000"/>
                <w:lang w:eastAsia="en-GB"/>
              </w:rPr>
            </w:pPr>
            <w:r w:rsidRPr="00A21277">
              <w:rPr>
                <w:color w:val="000000"/>
                <w:lang w:eastAsia="en-GB"/>
              </w:rPr>
              <w:t> </w:t>
            </w:r>
          </w:p>
        </w:tc>
        <w:tc>
          <w:tcPr>
            <w:tcW w:w="2589" w:type="dxa"/>
            <w:tcBorders>
              <w:top w:val="nil"/>
              <w:left w:val="nil"/>
              <w:bottom w:val="single" w:sz="4" w:space="0" w:color="auto"/>
              <w:right w:val="nil"/>
            </w:tcBorders>
            <w:shd w:val="clear" w:color="000000" w:fill="FFFFFF"/>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 per tonne</w:t>
            </w:r>
          </w:p>
        </w:tc>
        <w:tc>
          <w:tcPr>
            <w:tcW w:w="2721" w:type="dxa"/>
            <w:tcBorders>
              <w:top w:val="nil"/>
              <w:left w:val="nil"/>
              <w:bottom w:val="single" w:sz="4" w:space="0" w:color="auto"/>
              <w:right w:val="nil"/>
            </w:tcBorders>
            <w:shd w:val="clear" w:color="000000" w:fill="FFFFFF"/>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 per tonne</w:t>
            </w:r>
          </w:p>
        </w:tc>
        <w:tc>
          <w:tcPr>
            <w:tcW w:w="2551" w:type="dxa"/>
            <w:tcBorders>
              <w:top w:val="nil"/>
              <w:left w:val="nil"/>
              <w:bottom w:val="single" w:sz="4" w:space="0" w:color="auto"/>
              <w:right w:val="nil"/>
            </w:tcBorders>
            <w:shd w:val="clear" w:color="000000" w:fill="FFFFFF"/>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 xml:space="preserve"> £ per £ notional bill saving</w:t>
            </w:r>
          </w:p>
        </w:tc>
      </w:tr>
      <w:tr w:rsidR="00415EE4" w:rsidRPr="00A21277" w:rsidTr="004955B3">
        <w:trPr>
          <w:trHeight w:val="288"/>
        </w:trPr>
        <w:tc>
          <w:tcPr>
            <w:tcW w:w="1368"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rPr>
                <w:color w:val="000000"/>
                <w:lang w:eastAsia="en-GB"/>
              </w:rPr>
            </w:pPr>
            <w:r w:rsidRPr="00A21277">
              <w:rPr>
                <w:color w:val="000000"/>
                <w:lang w:eastAsia="en-GB"/>
              </w:rPr>
              <w:t>Auction 1</w:t>
            </w:r>
          </w:p>
        </w:tc>
        <w:tc>
          <w:tcPr>
            <w:tcW w:w="2589"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£100.40</w:t>
            </w:r>
          </w:p>
        </w:tc>
        <w:tc>
          <w:tcPr>
            <w:tcW w:w="2721"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Nothing sold</w:t>
            </w:r>
          </w:p>
        </w:tc>
        <w:tc>
          <w:tcPr>
            <w:tcW w:w="2551"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£0.22</w:t>
            </w:r>
          </w:p>
        </w:tc>
      </w:tr>
      <w:tr w:rsidR="00415EE4" w:rsidRPr="00A21277" w:rsidTr="004955B3">
        <w:trPr>
          <w:trHeight w:val="288"/>
        </w:trPr>
        <w:tc>
          <w:tcPr>
            <w:tcW w:w="1368"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rPr>
                <w:color w:val="000000"/>
                <w:lang w:eastAsia="en-GB"/>
              </w:rPr>
            </w:pPr>
            <w:r w:rsidRPr="00A21277">
              <w:rPr>
                <w:color w:val="000000"/>
                <w:lang w:eastAsia="en-GB"/>
              </w:rPr>
              <w:t>Auction 2</w:t>
            </w:r>
          </w:p>
        </w:tc>
        <w:tc>
          <w:tcPr>
            <w:tcW w:w="2589"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£103.13</w:t>
            </w:r>
          </w:p>
        </w:tc>
        <w:tc>
          <w:tcPr>
            <w:tcW w:w="2721"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Nothing sold</w:t>
            </w:r>
          </w:p>
        </w:tc>
        <w:tc>
          <w:tcPr>
            <w:tcW w:w="2551"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£0.21 - £0.24</w:t>
            </w:r>
          </w:p>
        </w:tc>
      </w:tr>
      <w:tr w:rsidR="00415EE4" w:rsidRPr="00A21277" w:rsidTr="004955B3">
        <w:trPr>
          <w:trHeight w:val="288"/>
        </w:trPr>
        <w:tc>
          <w:tcPr>
            <w:tcW w:w="1368"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rPr>
                <w:color w:val="000000"/>
                <w:lang w:eastAsia="en-GB"/>
              </w:rPr>
            </w:pPr>
            <w:r w:rsidRPr="00A21277">
              <w:rPr>
                <w:color w:val="000000"/>
                <w:lang w:eastAsia="en-GB"/>
              </w:rPr>
              <w:t>Auction 3</w:t>
            </w:r>
          </w:p>
        </w:tc>
        <w:tc>
          <w:tcPr>
            <w:tcW w:w="2589"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£120.00</w:t>
            </w:r>
          </w:p>
        </w:tc>
        <w:tc>
          <w:tcPr>
            <w:tcW w:w="2721"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£60.00</w:t>
            </w:r>
          </w:p>
        </w:tc>
        <w:tc>
          <w:tcPr>
            <w:tcW w:w="2551"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£0.23 - £0.24</w:t>
            </w:r>
          </w:p>
        </w:tc>
      </w:tr>
      <w:tr w:rsidR="00415EE4" w:rsidRPr="00A21277" w:rsidTr="004955B3">
        <w:trPr>
          <w:trHeight w:val="288"/>
        </w:trPr>
        <w:tc>
          <w:tcPr>
            <w:tcW w:w="1368"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rPr>
                <w:color w:val="000000"/>
                <w:lang w:eastAsia="en-GB"/>
              </w:rPr>
            </w:pPr>
            <w:r w:rsidRPr="00A21277">
              <w:rPr>
                <w:color w:val="000000"/>
                <w:lang w:eastAsia="en-GB"/>
              </w:rPr>
              <w:t>Auction 4</w:t>
            </w:r>
          </w:p>
        </w:tc>
        <w:tc>
          <w:tcPr>
            <w:tcW w:w="2589" w:type="dxa"/>
            <w:tcBorders>
              <w:top w:val="nil"/>
              <w:left w:val="nil"/>
              <w:bottom w:val="nil"/>
              <w:right w:val="nil"/>
            </w:tcBorders>
            <w:shd w:val="clear" w:color="000000" w:fill="FFFFFF"/>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£120.00</w:t>
            </w:r>
          </w:p>
        </w:tc>
        <w:tc>
          <w:tcPr>
            <w:tcW w:w="2721" w:type="dxa"/>
            <w:tcBorders>
              <w:top w:val="nil"/>
              <w:left w:val="nil"/>
              <w:bottom w:val="nil"/>
              <w:right w:val="nil"/>
            </w:tcBorders>
            <w:shd w:val="clear" w:color="000000" w:fill="FFFFFF"/>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 xml:space="preserve"> £35.57 - £65.37 </w:t>
            </w:r>
          </w:p>
        </w:tc>
        <w:tc>
          <w:tcPr>
            <w:tcW w:w="2551" w:type="dxa"/>
            <w:tcBorders>
              <w:top w:val="nil"/>
              <w:left w:val="nil"/>
              <w:bottom w:val="nil"/>
              <w:right w:val="nil"/>
            </w:tcBorders>
            <w:shd w:val="clear" w:color="000000" w:fill="FFFFFF"/>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£0.22 - £0.24</w:t>
            </w:r>
          </w:p>
        </w:tc>
      </w:tr>
      <w:tr w:rsidR="00415EE4" w:rsidRPr="00A21277" w:rsidTr="004955B3">
        <w:trPr>
          <w:trHeight w:val="288"/>
        </w:trPr>
        <w:tc>
          <w:tcPr>
            <w:tcW w:w="1368"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rPr>
                <w:color w:val="000000"/>
                <w:lang w:eastAsia="en-GB"/>
              </w:rPr>
            </w:pPr>
            <w:r w:rsidRPr="00A21277">
              <w:rPr>
                <w:color w:val="000000"/>
                <w:lang w:eastAsia="en-GB"/>
              </w:rPr>
              <w:t>Auction 5</w:t>
            </w:r>
          </w:p>
        </w:tc>
        <w:tc>
          <w:tcPr>
            <w:tcW w:w="2589"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 xml:space="preserve"> £115.10 - £125.10</w:t>
            </w:r>
          </w:p>
        </w:tc>
        <w:tc>
          <w:tcPr>
            <w:tcW w:w="2721"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Nothing sold</w:t>
            </w:r>
          </w:p>
        </w:tc>
        <w:tc>
          <w:tcPr>
            <w:tcW w:w="2551"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£0.20 - £0.24</w:t>
            </w:r>
          </w:p>
        </w:tc>
      </w:tr>
      <w:tr w:rsidR="00415EE4" w:rsidRPr="00A21277" w:rsidTr="004955B3">
        <w:trPr>
          <w:trHeight w:val="288"/>
        </w:trPr>
        <w:tc>
          <w:tcPr>
            <w:tcW w:w="1368"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rPr>
                <w:color w:val="000000"/>
                <w:lang w:eastAsia="en-GB"/>
              </w:rPr>
            </w:pPr>
            <w:r w:rsidRPr="00A21277">
              <w:rPr>
                <w:color w:val="000000"/>
                <w:lang w:eastAsia="en-GB"/>
              </w:rPr>
              <w:t>Auction 6</w:t>
            </w:r>
          </w:p>
        </w:tc>
        <w:tc>
          <w:tcPr>
            <w:tcW w:w="2589"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£122.83</w:t>
            </w:r>
          </w:p>
        </w:tc>
        <w:tc>
          <w:tcPr>
            <w:tcW w:w="2721"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Nothing sold</w:t>
            </w:r>
          </w:p>
        </w:tc>
        <w:tc>
          <w:tcPr>
            <w:tcW w:w="2551"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£0.23 - £0.24</w:t>
            </w:r>
          </w:p>
        </w:tc>
      </w:tr>
      <w:tr w:rsidR="00415EE4" w:rsidRPr="00A21277" w:rsidTr="004955B3">
        <w:trPr>
          <w:trHeight w:val="288"/>
        </w:trPr>
        <w:tc>
          <w:tcPr>
            <w:tcW w:w="1368"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rPr>
                <w:color w:val="000000"/>
                <w:lang w:eastAsia="en-GB"/>
              </w:rPr>
            </w:pPr>
            <w:r w:rsidRPr="00A21277">
              <w:rPr>
                <w:color w:val="000000"/>
                <w:lang w:eastAsia="en-GB"/>
              </w:rPr>
              <w:t>Auction 7</w:t>
            </w:r>
          </w:p>
        </w:tc>
        <w:tc>
          <w:tcPr>
            <w:tcW w:w="2589"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 xml:space="preserve"> £102.60 - £120.00</w:t>
            </w:r>
          </w:p>
        </w:tc>
        <w:tc>
          <w:tcPr>
            <w:tcW w:w="2721"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 xml:space="preserve"> £42.00 - £55.00</w:t>
            </w:r>
          </w:p>
        </w:tc>
        <w:tc>
          <w:tcPr>
            <w:tcW w:w="2551"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£0.22 - £0.24</w:t>
            </w:r>
          </w:p>
        </w:tc>
      </w:tr>
      <w:tr w:rsidR="00415EE4" w:rsidRPr="00A21277" w:rsidTr="004955B3">
        <w:trPr>
          <w:trHeight w:val="288"/>
        </w:trPr>
        <w:tc>
          <w:tcPr>
            <w:tcW w:w="1368"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rPr>
                <w:color w:val="000000"/>
                <w:lang w:eastAsia="en-GB"/>
              </w:rPr>
            </w:pPr>
            <w:r w:rsidRPr="00A21277">
              <w:rPr>
                <w:color w:val="000000"/>
                <w:lang w:eastAsia="en-GB"/>
              </w:rPr>
              <w:t>Auction 8</w:t>
            </w:r>
          </w:p>
        </w:tc>
        <w:tc>
          <w:tcPr>
            <w:tcW w:w="2589" w:type="dxa"/>
            <w:tcBorders>
              <w:top w:val="nil"/>
              <w:left w:val="nil"/>
              <w:bottom w:val="nil"/>
              <w:right w:val="nil"/>
            </w:tcBorders>
            <w:shd w:val="clear" w:color="000000" w:fill="FFFFFF"/>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 xml:space="preserve"> £119.00 - £120.00</w:t>
            </w:r>
          </w:p>
        </w:tc>
        <w:tc>
          <w:tcPr>
            <w:tcW w:w="2721" w:type="dxa"/>
            <w:tcBorders>
              <w:top w:val="nil"/>
              <w:left w:val="nil"/>
              <w:bottom w:val="nil"/>
              <w:right w:val="nil"/>
            </w:tcBorders>
            <w:shd w:val="clear" w:color="000000" w:fill="FFFFFF"/>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 xml:space="preserve"> £50.00 - £55.00</w:t>
            </w:r>
          </w:p>
        </w:tc>
        <w:tc>
          <w:tcPr>
            <w:tcW w:w="2551" w:type="dxa"/>
            <w:tcBorders>
              <w:top w:val="nil"/>
              <w:left w:val="nil"/>
              <w:bottom w:val="nil"/>
              <w:right w:val="nil"/>
            </w:tcBorders>
            <w:shd w:val="clear" w:color="000000" w:fill="FFFFFF"/>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Nothing sold</w:t>
            </w:r>
          </w:p>
        </w:tc>
      </w:tr>
      <w:tr w:rsidR="00415EE4" w:rsidRPr="00A21277" w:rsidTr="004955B3">
        <w:trPr>
          <w:trHeight w:val="288"/>
        </w:trPr>
        <w:tc>
          <w:tcPr>
            <w:tcW w:w="1368"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rPr>
                <w:color w:val="000000"/>
                <w:lang w:eastAsia="en-GB"/>
              </w:rPr>
            </w:pPr>
            <w:r w:rsidRPr="00A21277">
              <w:rPr>
                <w:color w:val="000000"/>
                <w:lang w:eastAsia="en-GB"/>
              </w:rPr>
              <w:t>Auction 9</w:t>
            </w:r>
          </w:p>
        </w:tc>
        <w:tc>
          <w:tcPr>
            <w:tcW w:w="2589"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 xml:space="preserve"> £100.00 - £120.10</w:t>
            </w:r>
          </w:p>
        </w:tc>
        <w:tc>
          <w:tcPr>
            <w:tcW w:w="2721"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 xml:space="preserve"> £50.00 - £52.00</w:t>
            </w:r>
          </w:p>
        </w:tc>
        <w:tc>
          <w:tcPr>
            <w:tcW w:w="2551"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£0.21</w:t>
            </w:r>
          </w:p>
        </w:tc>
      </w:tr>
      <w:tr w:rsidR="00415EE4" w:rsidRPr="00A21277" w:rsidTr="004955B3">
        <w:trPr>
          <w:trHeight w:val="288"/>
        </w:trPr>
        <w:tc>
          <w:tcPr>
            <w:tcW w:w="1368"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rPr>
                <w:color w:val="000000"/>
                <w:lang w:eastAsia="en-GB"/>
              </w:rPr>
            </w:pPr>
            <w:r w:rsidRPr="00A21277">
              <w:rPr>
                <w:color w:val="000000"/>
                <w:lang w:eastAsia="en-GB"/>
              </w:rPr>
              <w:t>Auction 10</w:t>
            </w:r>
          </w:p>
        </w:tc>
        <w:tc>
          <w:tcPr>
            <w:tcW w:w="2589"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£112.00</w:t>
            </w:r>
          </w:p>
        </w:tc>
        <w:tc>
          <w:tcPr>
            <w:tcW w:w="2721"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 xml:space="preserve"> £50.00 - £52.00</w:t>
            </w:r>
          </w:p>
        </w:tc>
        <w:tc>
          <w:tcPr>
            <w:tcW w:w="2551"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£0.19 - £0.21</w:t>
            </w:r>
          </w:p>
        </w:tc>
      </w:tr>
      <w:tr w:rsidR="00415EE4" w:rsidRPr="00A21277" w:rsidTr="004955B3">
        <w:trPr>
          <w:trHeight w:val="288"/>
        </w:trPr>
        <w:tc>
          <w:tcPr>
            <w:tcW w:w="1368"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rPr>
                <w:color w:val="000000"/>
                <w:lang w:eastAsia="en-GB"/>
              </w:rPr>
            </w:pPr>
            <w:r w:rsidRPr="00A21277">
              <w:rPr>
                <w:color w:val="000000"/>
                <w:lang w:eastAsia="en-GB"/>
              </w:rPr>
              <w:t>Auction 11</w:t>
            </w:r>
          </w:p>
        </w:tc>
        <w:tc>
          <w:tcPr>
            <w:tcW w:w="2589"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 xml:space="preserve"> £99.00 - £104.00</w:t>
            </w:r>
          </w:p>
        </w:tc>
        <w:tc>
          <w:tcPr>
            <w:tcW w:w="2721"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£50.00</w:t>
            </w:r>
          </w:p>
        </w:tc>
        <w:tc>
          <w:tcPr>
            <w:tcW w:w="2551"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£0.17 - £0.19</w:t>
            </w:r>
          </w:p>
        </w:tc>
      </w:tr>
      <w:tr w:rsidR="00415EE4" w:rsidRPr="00A21277" w:rsidTr="004955B3">
        <w:trPr>
          <w:trHeight w:val="288"/>
        </w:trPr>
        <w:tc>
          <w:tcPr>
            <w:tcW w:w="1368"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rPr>
                <w:color w:val="000000"/>
                <w:lang w:eastAsia="en-GB"/>
              </w:rPr>
            </w:pPr>
            <w:r w:rsidRPr="00A21277">
              <w:rPr>
                <w:color w:val="000000"/>
                <w:lang w:eastAsia="en-GB"/>
              </w:rPr>
              <w:t>Auction 12</w:t>
            </w:r>
          </w:p>
        </w:tc>
        <w:tc>
          <w:tcPr>
            <w:tcW w:w="2589" w:type="dxa"/>
            <w:tcBorders>
              <w:top w:val="nil"/>
              <w:left w:val="nil"/>
              <w:bottom w:val="nil"/>
              <w:right w:val="nil"/>
            </w:tcBorders>
            <w:shd w:val="clear" w:color="000000" w:fill="FFFFFF"/>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 xml:space="preserve"> £96.00 - £99.00</w:t>
            </w:r>
          </w:p>
        </w:tc>
        <w:tc>
          <w:tcPr>
            <w:tcW w:w="2721"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£45.00</w:t>
            </w:r>
          </w:p>
        </w:tc>
        <w:tc>
          <w:tcPr>
            <w:tcW w:w="2551" w:type="dxa"/>
            <w:tcBorders>
              <w:top w:val="nil"/>
              <w:left w:val="nil"/>
              <w:bottom w:val="nil"/>
              <w:right w:val="nil"/>
            </w:tcBorders>
            <w:shd w:val="clear" w:color="000000" w:fill="FFFFFF"/>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£0.15 - £0.16</w:t>
            </w:r>
          </w:p>
        </w:tc>
      </w:tr>
      <w:tr w:rsidR="00415EE4" w:rsidRPr="00A21277" w:rsidTr="004955B3">
        <w:trPr>
          <w:trHeight w:val="288"/>
        </w:trPr>
        <w:tc>
          <w:tcPr>
            <w:tcW w:w="1368"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rPr>
                <w:color w:val="000000"/>
                <w:lang w:eastAsia="en-GB"/>
              </w:rPr>
            </w:pPr>
            <w:r w:rsidRPr="00A21277">
              <w:rPr>
                <w:color w:val="000000"/>
                <w:lang w:eastAsia="en-GB"/>
              </w:rPr>
              <w:t>Auction 13</w:t>
            </w:r>
          </w:p>
        </w:tc>
        <w:tc>
          <w:tcPr>
            <w:tcW w:w="2589"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£94.56</w:t>
            </w:r>
          </w:p>
        </w:tc>
        <w:tc>
          <w:tcPr>
            <w:tcW w:w="2721"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no lots submitted</w:t>
            </w:r>
          </w:p>
        </w:tc>
        <w:tc>
          <w:tcPr>
            <w:tcW w:w="2551"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£0.12 - £0.15</w:t>
            </w:r>
          </w:p>
        </w:tc>
      </w:tr>
      <w:tr w:rsidR="00415EE4" w:rsidRPr="00A21277" w:rsidTr="004955B3">
        <w:trPr>
          <w:trHeight w:val="288"/>
        </w:trPr>
        <w:tc>
          <w:tcPr>
            <w:tcW w:w="1368"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rPr>
                <w:color w:val="000000"/>
                <w:lang w:eastAsia="en-GB"/>
              </w:rPr>
            </w:pPr>
            <w:r w:rsidRPr="00A21277">
              <w:rPr>
                <w:color w:val="000000"/>
                <w:lang w:eastAsia="en-GB"/>
              </w:rPr>
              <w:t>Auction 14</w:t>
            </w:r>
          </w:p>
        </w:tc>
        <w:tc>
          <w:tcPr>
            <w:tcW w:w="2589"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Nothing sold</w:t>
            </w:r>
          </w:p>
        </w:tc>
        <w:tc>
          <w:tcPr>
            <w:tcW w:w="2721"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 xml:space="preserve"> £45.00 - £50.00</w:t>
            </w:r>
          </w:p>
        </w:tc>
        <w:tc>
          <w:tcPr>
            <w:tcW w:w="2551" w:type="dxa"/>
            <w:tcBorders>
              <w:top w:val="nil"/>
              <w:left w:val="nil"/>
              <w:bottom w:val="nil"/>
              <w:right w:val="nil"/>
            </w:tcBorders>
            <w:shd w:val="clear" w:color="000000" w:fill="FFFFFF"/>
            <w:noWrap/>
            <w:vAlign w:val="bottom"/>
            <w:hideMark/>
          </w:tcPr>
          <w:p w:rsidR="00415EE4" w:rsidRPr="00A21277" w:rsidRDefault="00415EE4" w:rsidP="00415EE4">
            <w:pPr>
              <w:spacing w:before="0" w:after="0" w:line="240" w:lineRule="auto"/>
              <w:jc w:val="right"/>
              <w:rPr>
                <w:color w:val="000000"/>
                <w:lang w:eastAsia="en-GB"/>
              </w:rPr>
            </w:pPr>
            <w:r w:rsidRPr="00A21277">
              <w:rPr>
                <w:color w:val="000000"/>
                <w:lang w:eastAsia="en-GB"/>
              </w:rPr>
              <w:t>£0.14</w:t>
            </w:r>
          </w:p>
        </w:tc>
      </w:tr>
      <w:tr w:rsidR="00415EE4" w:rsidRPr="00A21277" w:rsidTr="002D15AF">
        <w:trPr>
          <w:trHeight w:val="288"/>
        </w:trPr>
        <w:tc>
          <w:tcPr>
            <w:tcW w:w="1368" w:type="dxa"/>
            <w:tcBorders>
              <w:top w:val="nil"/>
              <w:left w:val="nil"/>
              <w:bottom w:val="nil"/>
              <w:right w:val="nil"/>
            </w:tcBorders>
            <w:shd w:val="clear" w:color="000000" w:fill="FFFFFF"/>
            <w:noWrap/>
            <w:vAlign w:val="bottom"/>
            <w:hideMark/>
          </w:tcPr>
          <w:p w:rsidR="00415EE4" w:rsidRPr="000B5CAF" w:rsidRDefault="00415EE4" w:rsidP="000B5CAF">
            <w:pPr>
              <w:spacing w:before="0" w:after="0" w:line="240" w:lineRule="auto"/>
              <w:rPr>
                <w:color w:val="000000"/>
                <w:szCs w:val="24"/>
                <w:lang w:eastAsia="en-GB"/>
              </w:rPr>
            </w:pPr>
            <w:r w:rsidRPr="000B5CAF">
              <w:rPr>
                <w:color w:val="000000"/>
                <w:szCs w:val="24"/>
                <w:lang w:eastAsia="en-GB"/>
              </w:rPr>
              <w:t>Auction 15</w:t>
            </w:r>
          </w:p>
        </w:tc>
        <w:tc>
          <w:tcPr>
            <w:tcW w:w="2589" w:type="dxa"/>
            <w:tcBorders>
              <w:top w:val="nil"/>
              <w:left w:val="nil"/>
              <w:bottom w:val="nil"/>
              <w:right w:val="nil"/>
            </w:tcBorders>
            <w:shd w:val="clear" w:color="000000" w:fill="FFFFFF"/>
            <w:noWrap/>
            <w:vAlign w:val="bottom"/>
            <w:hideMark/>
          </w:tcPr>
          <w:p w:rsidR="00415EE4" w:rsidRPr="000B5CAF" w:rsidRDefault="00415EE4" w:rsidP="000B5CAF">
            <w:pPr>
              <w:spacing w:before="0" w:after="0" w:line="240" w:lineRule="auto"/>
              <w:jc w:val="right"/>
              <w:rPr>
                <w:color w:val="000000"/>
                <w:szCs w:val="24"/>
                <w:lang w:eastAsia="en-GB"/>
              </w:rPr>
            </w:pPr>
            <w:r w:rsidRPr="000B5CAF">
              <w:rPr>
                <w:color w:val="000000"/>
                <w:szCs w:val="24"/>
                <w:lang w:eastAsia="en-GB"/>
              </w:rPr>
              <w:t>£85.00</w:t>
            </w:r>
          </w:p>
        </w:tc>
        <w:tc>
          <w:tcPr>
            <w:tcW w:w="2721" w:type="dxa"/>
            <w:tcBorders>
              <w:top w:val="nil"/>
              <w:left w:val="nil"/>
              <w:bottom w:val="nil"/>
              <w:right w:val="nil"/>
            </w:tcBorders>
            <w:shd w:val="clear" w:color="000000" w:fill="FFFFFF"/>
            <w:noWrap/>
            <w:vAlign w:val="bottom"/>
            <w:hideMark/>
          </w:tcPr>
          <w:p w:rsidR="00415EE4" w:rsidRPr="000B5CAF" w:rsidRDefault="00415EE4" w:rsidP="000B5CAF">
            <w:pPr>
              <w:spacing w:before="0" w:after="0" w:line="240" w:lineRule="auto"/>
              <w:jc w:val="right"/>
              <w:rPr>
                <w:color w:val="000000"/>
                <w:szCs w:val="24"/>
                <w:lang w:eastAsia="en-GB"/>
              </w:rPr>
            </w:pPr>
            <w:r w:rsidRPr="000B5CAF">
              <w:rPr>
                <w:color w:val="000000"/>
                <w:szCs w:val="24"/>
                <w:lang w:eastAsia="en-GB"/>
              </w:rPr>
              <w:t xml:space="preserve"> £44.00 - £50.00</w:t>
            </w:r>
          </w:p>
        </w:tc>
        <w:tc>
          <w:tcPr>
            <w:tcW w:w="2551" w:type="dxa"/>
            <w:tcBorders>
              <w:top w:val="nil"/>
              <w:left w:val="nil"/>
              <w:bottom w:val="nil"/>
              <w:right w:val="nil"/>
            </w:tcBorders>
            <w:shd w:val="clear" w:color="000000" w:fill="FFFFFF"/>
            <w:noWrap/>
            <w:vAlign w:val="bottom"/>
            <w:hideMark/>
          </w:tcPr>
          <w:p w:rsidR="00415EE4" w:rsidRPr="000B5CAF" w:rsidRDefault="00415EE4" w:rsidP="000B5CAF">
            <w:pPr>
              <w:spacing w:before="0" w:after="0" w:line="240" w:lineRule="auto"/>
              <w:jc w:val="right"/>
              <w:rPr>
                <w:color w:val="000000"/>
                <w:szCs w:val="24"/>
                <w:lang w:eastAsia="en-GB"/>
              </w:rPr>
            </w:pPr>
            <w:r w:rsidRPr="000B5CAF">
              <w:rPr>
                <w:color w:val="000000"/>
                <w:szCs w:val="24"/>
                <w:lang w:eastAsia="en-GB"/>
              </w:rPr>
              <w:t>£0.13 - £0.15</w:t>
            </w:r>
          </w:p>
        </w:tc>
      </w:tr>
      <w:tr w:rsidR="000B5CAF" w:rsidRPr="00A21277" w:rsidTr="00F8119F">
        <w:trPr>
          <w:trHeight w:val="288"/>
        </w:trPr>
        <w:tc>
          <w:tcPr>
            <w:tcW w:w="1368" w:type="dxa"/>
            <w:tcBorders>
              <w:top w:val="nil"/>
              <w:left w:val="nil"/>
              <w:bottom w:val="nil"/>
              <w:right w:val="nil"/>
            </w:tcBorders>
            <w:shd w:val="clear" w:color="000000" w:fill="FFFFFF"/>
            <w:noWrap/>
          </w:tcPr>
          <w:p w:rsidR="000B5CAF" w:rsidRPr="000B5CAF" w:rsidRDefault="000B5CAF" w:rsidP="000B5CAF">
            <w:pPr>
              <w:spacing w:before="0" w:after="0"/>
              <w:rPr>
                <w:szCs w:val="24"/>
              </w:rPr>
            </w:pPr>
            <w:r w:rsidRPr="000B5CAF">
              <w:rPr>
                <w:szCs w:val="24"/>
              </w:rPr>
              <w:t>Auction 16</w:t>
            </w:r>
          </w:p>
        </w:tc>
        <w:tc>
          <w:tcPr>
            <w:tcW w:w="2589" w:type="dxa"/>
            <w:tcBorders>
              <w:top w:val="nil"/>
              <w:left w:val="nil"/>
              <w:bottom w:val="nil"/>
              <w:right w:val="nil"/>
            </w:tcBorders>
            <w:shd w:val="clear" w:color="000000" w:fill="FFFFFF"/>
            <w:noWrap/>
            <w:vAlign w:val="bottom"/>
          </w:tcPr>
          <w:p w:rsidR="000B5CAF" w:rsidRPr="000B5CAF" w:rsidRDefault="000B5CAF" w:rsidP="000B5CAF">
            <w:pPr>
              <w:spacing w:before="0" w:after="0"/>
              <w:jc w:val="right"/>
              <w:rPr>
                <w:color w:val="000000"/>
                <w:szCs w:val="24"/>
              </w:rPr>
            </w:pPr>
            <w:r w:rsidRPr="000B5CAF">
              <w:rPr>
                <w:color w:val="000000"/>
                <w:szCs w:val="24"/>
              </w:rPr>
              <w:t>£58.00 - £95.00</w:t>
            </w:r>
          </w:p>
        </w:tc>
        <w:tc>
          <w:tcPr>
            <w:tcW w:w="2721" w:type="dxa"/>
            <w:tcBorders>
              <w:top w:val="nil"/>
              <w:left w:val="nil"/>
              <w:bottom w:val="nil"/>
              <w:right w:val="nil"/>
            </w:tcBorders>
            <w:shd w:val="clear" w:color="000000" w:fill="FFFFFF"/>
            <w:noWrap/>
            <w:vAlign w:val="bottom"/>
          </w:tcPr>
          <w:p w:rsidR="000B5CAF" w:rsidRPr="000B5CAF" w:rsidRDefault="000B5CAF" w:rsidP="000B5CAF">
            <w:pPr>
              <w:spacing w:before="0" w:after="0"/>
              <w:jc w:val="right"/>
              <w:rPr>
                <w:color w:val="000000"/>
                <w:szCs w:val="24"/>
              </w:rPr>
            </w:pPr>
            <w:r w:rsidRPr="000B5CAF">
              <w:rPr>
                <w:color w:val="000000"/>
                <w:szCs w:val="24"/>
              </w:rPr>
              <w:t>£50.00</w:t>
            </w:r>
          </w:p>
        </w:tc>
        <w:tc>
          <w:tcPr>
            <w:tcW w:w="2551" w:type="dxa"/>
            <w:tcBorders>
              <w:top w:val="nil"/>
              <w:left w:val="nil"/>
              <w:bottom w:val="nil"/>
              <w:right w:val="nil"/>
            </w:tcBorders>
            <w:shd w:val="clear" w:color="000000" w:fill="FFFFFF"/>
            <w:noWrap/>
            <w:vAlign w:val="bottom"/>
          </w:tcPr>
          <w:p w:rsidR="000B5CAF" w:rsidRPr="000B5CAF" w:rsidRDefault="000B5CAF" w:rsidP="000B5CAF">
            <w:pPr>
              <w:spacing w:before="0" w:after="0"/>
              <w:jc w:val="right"/>
              <w:rPr>
                <w:color w:val="000000"/>
                <w:szCs w:val="24"/>
              </w:rPr>
            </w:pPr>
            <w:r w:rsidRPr="000B5CAF">
              <w:rPr>
                <w:color w:val="000000"/>
                <w:szCs w:val="24"/>
              </w:rPr>
              <w:t>£0.13 - £0.15</w:t>
            </w:r>
          </w:p>
        </w:tc>
      </w:tr>
      <w:tr w:rsidR="000B5CAF" w:rsidRPr="00A21277" w:rsidTr="00F8119F">
        <w:trPr>
          <w:trHeight w:val="288"/>
        </w:trPr>
        <w:tc>
          <w:tcPr>
            <w:tcW w:w="1368" w:type="dxa"/>
            <w:tcBorders>
              <w:top w:val="nil"/>
              <w:left w:val="nil"/>
              <w:bottom w:val="nil"/>
              <w:right w:val="nil"/>
            </w:tcBorders>
            <w:shd w:val="clear" w:color="000000" w:fill="FFFFFF"/>
            <w:noWrap/>
          </w:tcPr>
          <w:p w:rsidR="000B5CAF" w:rsidRPr="000B5CAF" w:rsidRDefault="000B5CAF" w:rsidP="000B5CAF">
            <w:pPr>
              <w:spacing w:before="0" w:after="0"/>
              <w:rPr>
                <w:szCs w:val="24"/>
              </w:rPr>
            </w:pPr>
            <w:r w:rsidRPr="000B5CAF">
              <w:rPr>
                <w:szCs w:val="24"/>
              </w:rPr>
              <w:t>Auction 17</w:t>
            </w:r>
          </w:p>
        </w:tc>
        <w:tc>
          <w:tcPr>
            <w:tcW w:w="2589" w:type="dxa"/>
            <w:tcBorders>
              <w:top w:val="nil"/>
              <w:left w:val="nil"/>
              <w:bottom w:val="nil"/>
              <w:right w:val="nil"/>
            </w:tcBorders>
            <w:shd w:val="clear" w:color="000000" w:fill="FFFFFF"/>
            <w:noWrap/>
            <w:vAlign w:val="bottom"/>
          </w:tcPr>
          <w:p w:rsidR="000B5CAF" w:rsidRPr="000B5CAF" w:rsidRDefault="000B5CAF" w:rsidP="000B5CAF">
            <w:pPr>
              <w:spacing w:before="0" w:after="0"/>
              <w:jc w:val="right"/>
              <w:rPr>
                <w:color w:val="000000"/>
                <w:szCs w:val="24"/>
              </w:rPr>
            </w:pPr>
            <w:r w:rsidRPr="000B5CAF">
              <w:rPr>
                <w:color w:val="000000"/>
                <w:szCs w:val="24"/>
              </w:rPr>
              <w:t>£95.00</w:t>
            </w:r>
          </w:p>
        </w:tc>
        <w:tc>
          <w:tcPr>
            <w:tcW w:w="2721" w:type="dxa"/>
            <w:tcBorders>
              <w:top w:val="nil"/>
              <w:left w:val="nil"/>
              <w:bottom w:val="nil"/>
              <w:right w:val="nil"/>
            </w:tcBorders>
            <w:shd w:val="clear" w:color="000000" w:fill="FFFFFF"/>
            <w:noWrap/>
            <w:vAlign w:val="bottom"/>
          </w:tcPr>
          <w:p w:rsidR="000B5CAF" w:rsidRPr="000B5CAF" w:rsidRDefault="000B5CAF" w:rsidP="000B5CAF">
            <w:pPr>
              <w:spacing w:before="0" w:after="0"/>
              <w:jc w:val="right"/>
              <w:rPr>
                <w:color w:val="000000"/>
                <w:szCs w:val="24"/>
              </w:rPr>
            </w:pPr>
            <w:r w:rsidRPr="000B5CAF">
              <w:rPr>
                <w:color w:val="000000"/>
                <w:szCs w:val="24"/>
              </w:rPr>
              <w:t>Nothing sold</w:t>
            </w:r>
          </w:p>
        </w:tc>
        <w:tc>
          <w:tcPr>
            <w:tcW w:w="2551" w:type="dxa"/>
            <w:tcBorders>
              <w:top w:val="nil"/>
              <w:left w:val="nil"/>
              <w:bottom w:val="nil"/>
              <w:right w:val="nil"/>
            </w:tcBorders>
            <w:shd w:val="clear" w:color="000000" w:fill="FFFFFF"/>
            <w:noWrap/>
            <w:vAlign w:val="bottom"/>
          </w:tcPr>
          <w:p w:rsidR="000B5CAF" w:rsidRPr="000B5CAF" w:rsidRDefault="000B5CAF" w:rsidP="000B5CAF">
            <w:pPr>
              <w:spacing w:before="0" w:after="0"/>
              <w:jc w:val="right"/>
              <w:rPr>
                <w:color w:val="000000"/>
                <w:szCs w:val="24"/>
              </w:rPr>
            </w:pPr>
            <w:r w:rsidRPr="000B5CAF">
              <w:rPr>
                <w:color w:val="000000"/>
                <w:szCs w:val="24"/>
              </w:rPr>
              <w:t>Nothing sold</w:t>
            </w:r>
          </w:p>
        </w:tc>
      </w:tr>
      <w:tr w:rsidR="000B5CAF" w:rsidRPr="00A21277" w:rsidTr="00F8119F">
        <w:trPr>
          <w:trHeight w:val="288"/>
        </w:trPr>
        <w:tc>
          <w:tcPr>
            <w:tcW w:w="1368" w:type="dxa"/>
            <w:tcBorders>
              <w:top w:val="nil"/>
              <w:left w:val="nil"/>
              <w:bottom w:val="nil"/>
              <w:right w:val="nil"/>
            </w:tcBorders>
            <w:shd w:val="clear" w:color="000000" w:fill="FFFFFF"/>
            <w:noWrap/>
          </w:tcPr>
          <w:p w:rsidR="000B5CAF" w:rsidRPr="000B5CAF" w:rsidRDefault="000B5CAF" w:rsidP="000B5CAF">
            <w:pPr>
              <w:spacing w:before="0" w:after="0"/>
              <w:rPr>
                <w:szCs w:val="24"/>
              </w:rPr>
            </w:pPr>
            <w:r w:rsidRPr="000B5CAF">
              <w:rPr>
                <w:szCs w:val="24"/>
              </w:rPr>
              <w:t>Auction 18</w:t>
            </w:r>
          </w:p>
        </w:tc>
        <w:tc>
          <w:tcPr>
            <w:tcW w:w="2589" w:type="dxa"/>
            <w:tcBorders>
              <w:top w:val="nil"/>
              <w:left w:val="nil"/>
              <w:bottom w:val="nil"/>
              <w:right w:val="nil"/>
            </w:tcBorders>
            <w:shd w:val="clear" w:color="000000" w:fill="FFFFFF"/>
            <w:noWrap/>
            <w:vAlign w:val="bottom"/>
          </w:tcPr>
          <w:p w:rsidR="000B5CAF" w:rsidRPr="000B5CAF" w:rsidRDefault="000B5CAF" w:rsidP="000B5CAF">
            <w:pPr>
              <w:spacing w:before="0" w:after="0"/>
              <w:jc w:val="right"/>
              <w:rPr>
                <w:color w:val="000000"/>
                <w:szCs w:val="24"/>
              </w:rPr>
            </w:pPr>
            <w:r w:rsidRPr="000B5CAF">
              <w:rPr>
                <w:color w:val="000000"/>
                <w:szCs w:val="24"/>
              </w:rPr>
              <w:t>£94.66 - £102.00</w:t>
            </w:r>
          </w:p>
        </w:tc>
        <w:tc>
          <w:tcPr>
            <w:tcW w:w="2721" w:type="dxa"/>
            <w:tcBorders>
              <w:top w:val="nil"/>
              <w:left w:val="nil"/>
              <w:bottom w:val="nil"/>
              <w:right w:val="nil"/>
            </w:tcBorders>
            <w:shd w:val="clear" w:color="000000" w:fill="FFFFFF"/>
            <w:noWrap/>
            <w:vAlign w:val="bottom"/>
          </w:tcPr>
          <w:p w:rsidR="000B5CAF" w:rsidRPr="000B5CAF" w:rsidRDefault="000B5CAF" w:rsidP="000B5CAF">
            <w:pPr>
              <w:spacing w:before="0" w:after="0"/>
              <w:jc w:val="right"/>
              <w:rPr>
                <w:color w:val="000000"/>
                <w:szCs w:val="24"/>
              </w:rPr>
            </w:pPr>
            <w:r w:rsidRPr="000B5CAF">
              <w:rPr>
                <w:color w:val="000000"/>
                <w:szCs w:val="24"/>
              </w:rPr>
              <w:t>£47.10 - £50.20</w:t>
            </w:r>
          </w:p>
        </w:tc>
        <w:tc>
          <w:tcPr>
            <w:tcW w:w="2551" w:type="dxa"/>
            <w:tcBorders>
              <w:top w:val="nil"/>
              <w:left w:val="nil"/>
              <w:bottom w:val="nil"/>
              <w:right w:val="nil"/>
            </w:tcBorders>
            <w:shd w:val="clear" w:color="000000" w:fill="FFFFFF"/>
            <w:noWrap/>
            <w:vAlign w:val="bottom"/>
          </w:tcPr>
          <w:p w:rsidR="000B5CAF" w:rsidRPr="000B5CAF" w:rsidRDefault="000B5CAF" w:rsidP="000B5CAF">
            <w:pPr>
              <w:spacing w:before="0" w:after="0"/>
              <w:jc w:val="right"/>
              <w:rPr>
                <w:color w:val="000000"/>
                <w:szCs w:val="24"/>
              </w:rPr>
            </w:pPr>
            <w:r w:rsidRPr="000B5CAF">
              <w:rPr>
                <w:color w:val="000000"/>
                <w:szCs w:val="24"/>
              </w:rPr>
              <w:t>£0.13</w:t>
            </w:r>
          </w:p>
        </w:tc>
      </w:tr>
      <w:tr w:rsidR="000B5CAF" w:rsidRPr="00A21277" w:rsidTr="00F8119F">
        <w:trPr>
          <w:trHeight w:val="288"/>
        </w:trPr>
        <w:tc>
          <w:tcPr>
            <w:tcW w:w="1368" w:type="dxa"/>
            <w:tcBorders>
              <w:top w:val="nil"/>
              <w:left w:val="nil"/>
              <w:bottom w:val="nil"/>
              <w:right w:val="nil"/>
            </w:tcBorders>
            <w:shd w:val="clear" w:color="000000" w:fill="FFFFFF"/>
            <w:noWrap/>
          </w:tcPr>
          <w:p w:rsidR="000B5CAF" w:rsidRPr="000B5CAF" w:rsidRDefault="000B5CAF" w:rsidP="000B5CAF">
            <w:pPr>
              <w:spacing w:before="0" w:after="0"/>
              <w:rPr>
                <w:szCs w:val="24"/>
              </w:rPr>
            </w:pPr>
            <w:r w:rsidRPr="000B5CAF">
              <w:rPr>
                <w:szCs w:val="24"/>
              </w:rPr>
              <w:t>Auction 19</w:t>
            </w:r>
          </w:p>
        </w:tc>
        <w:tc>
          <w:tcPr>
            <w:tcW w:w="2589" w:type="dxa"/>
            <w:tcBorders>
              <w:top w:val="nil"/>
              <w:left w:val="nil"/>
              <w:bottom w:val="nil"/>
              <w:right w:val="nil"/>
            </w:tcBorders>
            <w:shd w:val="clear" w:color="000000" w:fill="FFFFFF"/>
            <w:noWrap/>
            <w:vAlign w:val="bottom"/>
          </w:tcPr>
          <w:p w:rsidR="000B5CAF" w:rsidRPr="000B5CAF" w:rsidRDefault="000B5CAF" w:rsidP="000B5CAF">
            <w:pPr>
              <w:spacing w:before="0" w:after="0"/>
              <w:jc w:val="right"/>
              <w:rPr>
                <w:color w:val="000000"/>
                <w:szCs w:val="24"/>
              </w:rPr>
            </w:pPr>
            <w:r w:rsidRPr="000B5CAF">
              <w:rPr>
                <w:color w:val="000000"/>
                <w:szCs w:val="24"/>
              </w:rPr>
              <w:t>£100.00 - £105.00</w:t>
            </w:r>
          </w:p>
        </w:tc>
        <w:tc>
          <w:tcPr>
            <w:tcW w:w="2721" w:type="dxa"/>
            <w:tcBorders>
              <w:top w:val="nil"/>
              <w:left w:val="nil"/>
              <w:bottom w:val="nil"/>
              <w:right w:val="nil"/>
            </w:tcBorders>
            <w:shd w:val="clear" w:color="000000" w:fill="FFFFFF"/>
            <w:noWrap/>
            <w:vAlign w:val="bottom"/>
          </w:tcPr>
          <w:p w:rsidR="000B5CAF" w:rsidRPr="000B5CAF" w:rsidRDefault="000B5CAF" w:rsidP="000B5CAF">
            <w:pPr>
              <w:spacing w:before="0" w:after="0"/>
              <w:jc w:val="right"/>
              <w:rPr>
                <w:color w:val="000000"/>
                <w:szCs w:val="24"/>
              </w:rPr>
            </w:pPr>
            <w:r w:rsidRPr="000B5CAF">
              <w:rPr>
                <w:color w:val="000000"/>
                <w:szCs w:val="24"/>
              </w:rPr>
              <w:t>£50.00 - £59.00</w:t>
            </w:r>
          </w:p>
        </w:tc>
        <w:tc>
          <w:tcPr>
            <w:tcW w:w="2551" w:type="dxa"/>
            <w:tcBorders>
              <w:top w:val="nil"/>
              <w:left w:val="nil"/>
              <w:bottom w:val="nil"/>
              <w:right w:val="nil"/>
            </w:tcBorders>
            <w:shd w:val="clear" w:color="000000" w:fill="FFFFFF"/>
            <w:noWrap/>
            <w:vAlign w:val="bottom"/>
          </w:tcPr>
          <w:p w:rsidR="000B5CAF" w:rsidRPr="000B5CAF" w:rsidRDefault="000B5CAF" w:rsidP="000B5CAF">
            <w:pPr>
              <w:spacing w:before="0" w:after="0"/>
              <w:jc w:val="right"/>
              <w:rPr>
                <w:color w:val="000000"/>
                <w:szCs w:val="24"/>
              </w:rPr>
            </w:pPr>
            <w:r w:rsidRPr="000B5CAF">
              <w:rPr>
                <w:color w:val="000000"/>
                <w:szCs w:val="24"/>
              </w:rPr>
              <w:t>£0.12 - £0.14</w:t>
            </w:r>
          </w:p>
        </w:tc>
      </w:tr>
      <w:tr w:rsidR="009A48D7" w:rsidRPr="00A21277" w:rsidTr="009A48D7">
        <w:trPr>
          <w:trHeight w:val="288"/>
        </w:trPr>
        <w:tc>
          <w:tcPr>
            <w:tcW w:w="1368" w:type="dxa"/>
            <w:tcBorders>
              <w:top w:val="nil"/>
              <w:left w:val="nil"/>
              <w:right w:val="nil"/>
            </w:tcBorders>
            <w:shd w:val="clear" w:color="000000" w:fill="FFFFFF"/>
            <w:noWrap/>
            <w:vAlign w:val="bottom"/>
          </w:tcPr>
          <w:p w:rsidR="009A48D7" w:rsidRPr="009A48D7" w:rsidRDefault="009A48D7" w:rsidP="009A48D7">
            <w:pPr>
              <w:spacing w:before="0" w:after="0"/>
              <w:rPr>
                <w:color w:val="000000"/>
                <w:szCs w:val="24"/>
              </w:rPr>
            </w:pPr>
            <w:r w:rsidRPr="009A48D7">
              <w:rPr>
                <w:color w:val="000000"/>
                <w:szCs w:val="24"/>
              </w:rPr>
              <w:t>Auction 20</w:t>
            </w:r>
          </w:p>
        </w:tc>
        <w:tc>
          <w:tcPr>
            <w:tcW w:w="2589" w:type="dxa"/>
            <w:tcBorders>
              <w:top w:val="nil"/>
              <w:left w:val="nil"/>
              <w:right w:val="nil"/>
            </w:tcBorders>
            <w:shd w:val="clear" w:color="000000" w:fill="FFFFFF"/>
            <w:noWrap/>
            <w:vAlign w:val="bottom"/>
          </w:tcPr>
          <w:p w:rsidR="009A48D7" w:rsidRPr="009A48D7" w:rsidRDefault="009A48D7" w:rsidP="009A48D7">
            <w:pPr>
              <w:spacing w:before="0" w:after="0"/>
              <w:jc w:val="right"/>
              <w:rPr>
                <w:color w:val="000000"/>
                <w:szCs w:val="24"/>
              </w:rPr>
            </w:pPr>
            <w:r w:rsidRPr="009A48D7">
              <w:rPr>
                <w:color w:val="000000"/>
                <w:szCs w:val="24"/>
              </w:rPr>
              <w:t>£99.00 - £100.00</w:t>
            </w:r>
          </w:p>
        </w:tc>
        <w:tc>
          <w:tcPr>
            <w:tcW w:w="2721" w:type="dxa"/>
            <w:tcBorders>
              <w:top w:val="nil"/>
              <w:left w:val="nil"/>
              <w:right w:val="nil"/>
            </w:tcBorders>
            <w:shd w:val="clear" w:color="000000" w:fill="FFFFFF"/>
            <w:noWrap/>
            <w:vAlign w:val="bottom"/>
          </w:tcPr>
          <w:p w:rsidR="009A48D7" w:rsidRPr="009A48D7" w:rsidRDefault="009A48D7" w:rsidP="009A48D7">
            <w:pPr>
              <w:spacing w:before="0" w:after="0"/>
              <w:jc w:val="right"/>
              <w:rPr>
                <w:color w:val="000000"/>
                <w:szCs w:val="24"/>
              </w:rPr>
            </w:pPr>
            <w:r w:rsidRPr="009A48D7">
              <w:rPr>
                <w:color w:val="000000"/>
                <w:szCs w:val="24"/>
              </w:rPr>
              <w:t>£50.10 - £99.00</w:t>
            </w:r>
          </w:p>
        </w:tc>
        <w:tc>
          <w:tcPr>
            <w:tcW w:w="2551" w:type="dxa"/>
            <w:tcBorders>
              <w:top w:val="nil"/>
              <w:left w:val="nil"/>
              <w:right w:val="nil"/>
            </w:tcBorders>
            <w:shd w:val="clear" w:color="000000" w:fill="FFFFFF"/>
            <w:noWrap/>
            <w:vAlign w:val="bottom"/>
          </w:tcPr>
          <w:p w:rsidR="009A48D7" w:rsidRPr="009A48D7" w:rsidRDefault="009A48D7" w:rsidP="009A48D7">
            <w:pPr>
              <w:spacing w:before="0" w:after="0"/>
              <w:jc w:val="right"/>
              <w:rPr>
                <w:color w:val="000000"/>
                <w:szCs w:val="24"/>
              </w:rPr>
            </w:pPr>
            <w:r w:rsidRPr="009A48D7">
              <w:rPr>
                <w:color w:val="000000"/>
                <w:szCs w:val="24"/>
              </w:rPr>
              <w:t>£0.12 - £0.14</w:t>
            </w:r>
          </w:p>
        </w:tc>
      </w:tr>
      <w:tr w:rsidR="009A48D7" w:rsidRPr="00A21277" w:rsidTr="009A48D7">
        <w:trPr>
          <w:trHeight w:val="288"/>
        </w:trPr>
        <w:tc>
          <w:tcPr>
            <w:tcW w:w="1368" w:type="dxa"/>
            <w:tcBorders>
              <w:top w:val="nil"/>
              <w:left w:val="nil"/>
              <w:bottom w:val="single" w:sz="4" w:space="0" w:color="auto"/>
              <w:right w:val="nil"/>
            </w:tcBorders>
            <w:shd w:val="clear" w:color="000000" w:fill="FFFFFF"/>
            <w:noWrap/>
            <w:vAlign w:val="bottom"/>
          </w:tcPr>
          <w:p w:rsidR="009A48D7" w:rsidRPr="009A48D7" w:rsidRDefault="009A48D7" w:rsidP="009A48D7">
            <w:pPr>
              <w:spacing w:before="0" w:after="0"/>
              <w:rPr>
                <w:color w:val="000000"/>
                <w:szCs w:val="24"/>
              </w:rPr>
            </w:pPr>
            <w:r w:rsidRPr="009A48D7">
              <w:rPr>
                <w:color w:val="000000"/>
                <w:szCs w:val="24"/>
              </w:rPr>
              <w:t>Auction 21</w:t>
            </w:r>
          </w:p>
        </w:tc>
        <w:tc>
          <w:tcPr>
            <w:tcW w:w="2589" w:type="dxa"/>
            <w:tcBorders>
              <w:top w:val="nil"/>
              <w:left w:val="nil"/>
              <w:bottom w:val="single" w:sz="4" w:space="0" w:color="auto"/>
              <w:right w:val="nil"/>
            </w:tcBorders>
            <w:shd w:val="clear" w:color="000000" w:fill="FFFFFF"/>
            <w:noWrap/>
            <w:vAlign w:val="bottom"/>
          </w:tcPr>
          <w:p w:rsidR="009A48D7" w:rsidRPr="009A48D7" w:rsidRDefault="009A48D7" w:rsidP="009A48D7">
            <w:pPr>
              <w:spacing w:before="0" w:after="0"/>
              <w:jc w:val="right"/>
              <w:rPr>
                <w:color w:val="000000"/>
                <w:szCs w:val="24"/>
              </w:rPr>
            </w:pPr>
            <w:r w:rsidRPr="009A48D7">
              <w:rPr>
                <w:color w:val="000000"/>
                <w:szCs w:val="24"/>
              </w:rPr>
              <w:t>£90.10 - £105.00</w:t>
            </w:r>
          </w:p>
        </w:tc>
        <w:tc>
          <w:tcPr>
            <w:tcW w:w="2721" w:type="dxa"/>
            <w:tcBorders>
              <w:top w:val="nil"/>
              <w:left w:val="nil"/>
              <w:bottom w:val="single" w:sz="4" w:space="0" w:color="auto"/>
              <w:right w:val="nil"/>
            </w:tcBorders>
            <w:shd w:val="clear" w:color="000000" w:fill="FFFFFF"/>
            <w:noWrap/>
            <w:vAlign w:val="bottom"/>
          </w:tcPr>
          <w:p w:rsidR="009A48D7" w:rsidRPr="009A48D7" w:rsidRDefault="009A48D7" w:rsidP="009A48D7">
            <w:pPr>
              <w:spacing w:before="0" w:after="0"/>
              <w:jc w:val="right"/>
              <w:rPr>
                <w:color w:val="000000"/>
                <w:szCs w:val="24"/>
              </w:rPr>
            </w:pPr>
            <w:r w:rsidRPr="009A48D7">
              <w:rPr>
                <w:color w:val="000000"/>
                <w:szCs w:val="24"/>
              </w:rPr>
              <w:t>Nothing sold</w:t>
            </w:r>
          </w:p>
        </w:tc>
        <w:tc>
          <w:tcPr>
            <w:tcW w:w="2551" w:type="dxa"/>
            <w:tcBorders>
              <w:top w:val="nil"/>
              <w:left w:val="nil"/>
              <w:bottom w:val="single" w:sz="4" w:space="0" w:color="auto"/>
              <w:right w:val="nil"/>
            </w:tcBorders>
            <w:shd w:val="clear" w:color="000000" w:fill="FFFFFF"/>
            <w:noWrap/>
            <w:vAlign w:val="bottom"/>
          </w:tcPr>
          <w:p w:rsidR="009A48D7" w:rsidRPr="009A48D7" w:rsidRDefault="009A48D7" w:rsidP="009A48D7">
            <w:pPr>
              <w:spacing w:before="0" w:after="0"/>
              <w:jc w:val="right"/>
              <w:rPr>
                <w:color w:val="000000"/>
                <w:szCs w:val="24"/>
              </w:rPr>
            </w:pPr>
            <w:r w:rsidRPr="009A48D7">
              <w:rPr>
                <w:color w:val="000000"/>
                <w:szCs w:val="24"/>
              </w:rPr>
              <w:t>Nothing sold</w:t>
            </w:r>
          </w:p>
        </w:tc>
      </w:tr>
    </w:tbl>
    <w:p w:rsidR="00415EE4" w:rsidRPr="00A21277" w:rsidRDefault="00415EE4" w:rsidP="00415EE4">
      <w:pPr>
        <w:spacing w:before="0" w:after="0"/>
        <w:rPr>
          <w:b/>
        </w:rPr>
      </w:pPr>
    </w:p>
    <w:p w:rsidR="00415EE4" w:rsidRPr="00A21277" w:rsidRDefault="00415EE4" w:rsidP="00415EE4">
      <w:pPr>
        <w:spacing w:before="0" w:after="0"/>
      </w:pPr>
      <w:r w:rsidRPr="00A21277">
        <w:rPr>
          <w:vertAlign w:val="superscript"/>
        </w:rPr>
        <w:t xml:space="preserve">1 </w:t>
      </w:r>
      <w:r w:rsidRPr="00A21277">
        <w:t>Clearing prices are either presented as a single figure (where only one trade has taken place or where multiple trades have taken place at the same price) or as a range (where two or more trades have taken place at different prices).</w:t>
      </w:r>
    </w:p>
    <w:p w:rsidR="000948BE" w:rsidRPr="00A21277" w:rsidRDefault="000948BE" w:rsidP="00415EE4">
      <w:pPr>
        <w:spacing w:before="0" w:after="0"/>
        <w:jc w:val="both"/>
        <w:rPr>
          <w:b/>
        </w:rPr>
      </w:pPr>
    </w:p>
    <w:p w:rsidR="00A21277" w:rsidRDefault="00A21277" w:rsidP="00415EE4">
      <w:pPr>
        <w:spacing w:before="0" w:after="0"/>
        <w:jc w:val="both"/>
        <w:rPr>
          <w:b/>
        </w:rPr>
      </w:pPr>
    </w:p>
    <w:p w:rsidR="00D054F7" w:rsidRPr="00A21277" w:rsidRDefault="00D054F7" w:rsidP="00415EE4">
      <w:pPr>
        <w:spacing w:before="0" w:after="0"/>
        <w:jc w:val="both"/>
        <w:rPr>
          <w:b/>
        </w:rPr>
      </w:pPr>
    </w:p>
    <w:p w:rsidR="00D054F7" w:rsidRPr="00A21277" w:rsidRDefault="00CF39F4" w:rsidP="00D054F7">
      <w:pPr>
        <w:spacing w:before="0" w:after="0" w:line="240" w:lineRule="auto"/>
        <w:jc w:val="both"/>
        <w:rPr>
          <w:bCs/>
        </w:rPr>
      </w:pPr>
      <w:r>
        <w:rPr>
          <w:b/>
        </w:rPr>
        <w:t>Table 1.14</w:t>
      </w:r>
      <w:r w:rsidR="00415EE4" w:rsidRPr="00A21277">
        <w:rPr>
          <w:b/>
        </w:rPr>
        <w:t xml:space="preserve">: Estimated carbon and energy savings relating to measures installed through Cashback and ECO, up to 30th </w:t>
      </w:r>
      <w:r w:rsidR="002D15AF" w:rsidRPr="002D15AF">
        <w:rPr>
          <w:b/>
        </w:rPr>
        <w:t>September</w:t>
      </w:r>
      <w:r w:rsidR="00415EE4" w:rsidRPr="00A21277">
        <w:rPr>
          <w:b/>
        </w:rPr>
        <w:t xml:space="preserve"> 2013</w:t>
      </w:r>
      <w:r w:rsidR="00D054F7">
        <w:rPr>
          <w:b/>
        </w:rPr>
        <w:t xml:space="preserve"> </w:t>
      </w:r>
      <w:r w:rsidR="00D054F7" w:rsidRPr="00A21277">
        <w:rPr>
          <w:bCs/>
        </w:rPr>
        <w:t xml:space="preserve">(Table available </w:t>
      </w:r>
      <w:r w:rsidR="00D054F7" w:rsidRPr="00A21277">
        <w:t xml:space="preserve">in </w:t>
      </w:r>
      <w:r w:rsidR="00D054F7" w:rsidRPr="009D56C9">
        <w:t xml:space="preserve">Excel </w:t>
      </w:r>
      <w:hyperlink r:id="rId53" w:history="1">
        <w:r w:rsidR="00D054F7" w:rsidRPr="009D56C9">
          <w:rPr>
            <w:rStyle w:val="Hyperlink"/>
            <w:rFonts w:ascii="Arial" w:hAnsi="Arial"/>
          </w:rPr>
          <w:t>here</w:t>
        </w:r>
      </w:hyperlink>
      <w:r w:rsidR="00D054F7" w:rsidRPr="009D56C9">
        <w:rPr>
          <w:bCs/>
        </w:rPr>
        <w:t>).</w:t>
      </w:r>
      <w:r w:rsidR="00D054F7" w:rsidRPr="00A21277">
        <w:rPr>
          <w:bCs/>
        </w:rPr>
        <w:t xml:space="preserve"> </w:t>
      </w:r>
    </w:p>
    <w:p w:rsidR="00415EE4" w:rsidRDefault="00415EE4" w:rsidP="00415EE4">
      <w:pPr>
        <w:spacing w:before="0" w:after="0"/>
        <w:jc w:val="both"/>
        <w:rPr>
          <w:b/>
        </w:rPr>
      </w:pPr>
    </w:p>
    <w:p w:rsidR="002D15AF" w:rsidRPr="00A21277" w:rsidRDefault="002D15AF" w:rsidP="00415EE4">
      <w:pPr>
        <w:spacing w:before="0" w:after="0"/>
        <w:jc w:val="both"/>
        <w:rPr>
          <w:b/>
        </w:rPr>
      </w:pPr>
    </w:p>
    <w:p w:rsidR="00415EE4" w:rsidRPr="00A21277" w:rsidRDefault="00415EE4" w:rsidP="00415EE4">
      <w:pPr>
        <w:spacing w:before="0" w:after="0" w:line="240" w:lineRule="auto"/>
        <w:rPr>
          <w:b/>
          <w:bCs/>
          <w:lang w:eastAsia="en-GB"/>
        </w:rPr>
      </w:pPr>
    </w:p>
    <w:p w:rsidR="00415EE4" w:rsidRPr="00A21277" w:rsidRDefault="00CF39F4" w:rsidP="00415EE4">
      <w:pPr>
        <w:spacing w:before="0" w:after="0" w:line="240" w:lineRule="auto"/>
        <w:jc w:val="both"/>
        <w:rPr>
          <w:bCs/>
        </w:rPr>
      </w:pPr>
      <w:r>
        <w:rPr>
          <w:b/>
          <w:bCs/>
          <w:lang w:eastAsia="en-GB"/>
        </w:rPr>
        <w:t>Table 1.15</w:t>
      </w:r>
      <w:r w:rsidR="00415EE4" w:rsidRPr="00A21277">
        <w:rPr>
          <w:b/>
          <w:bCs/>
          <w:lang w:eastAsia="en-GB"/>
        </w:rPr>
        <w:t xml:space="preserve">: Number of accredited Assessor organisations, Green Deal Providers, and Installer organisations reporting where they would operate, by Lower Tier Local Authority, as of 28th </w:t>
      </w:r>
      <w:r w:rsidR="002D15AF">
        <w:rPr>
          <w:b/>
          <w:bCs/>
          <w:lang w:eastAsia="en-GB"/>
        </w:rPr>
        <w:t>October</w:t>
      </w:r>
      <w:r w:rsidR="00415EE4" w:rsidRPr="00A21277">
        <w:rPr>
          <w:b/>
          <w:bCs/>
          <w:lang w:eastAsia="en-GB"/>
        </w:rPr>
        <w:t xml:space="preserve"> 2013 </w:t>
      </w:r>
      <w:r w:rsidR="00415EE4" w:rsidRPr="00A21277">
        <w:rPr>
          <w:bCs/>
        </w:rPr>
        <w:t xml:space="preserve">(Table available </w:t>
      </w:r>
      <w:r w:rsidR="00415EE4" w:rsidRPr="00A21277">
        <w:t xml:space="preserve">in Excel </w:t>
      </w:r>
      <w:hyperlink r:id="rId54" w:history="1">
        <w:r w:rsidR="00415EE4" w:rsidRPr="009D56C9">
          <w:rPr>
            <w:rStyle w:val="Hyperlink"/>
            <w:rFonts w:ascii="Arial" w:hAnsi="Arial"/>
          </w:rPr>
          <w:t>here</w:t>
        </w:r>
      </w:hyperlink>
      <w:r w:rsidR="00415EE4" w:rsidRPr="009D56C9">
        <w:rPr>
          <w:bCs/>
        </w:rPr>
        <w:t>).</w:t>
      </w:r>
      <w:r w:rsidR="00415EE4" w:rsidRPr="00A21277">
        <w:rPr>
          <w:bCs/>
        </w:rPr>
        <w:t xml:space="preserve"> </w:t>
      </w:r>
    </w:p>
    <w:p w:rsidR="00415EE4" w:rsidRPr="00A21277" w:rsidRDefault="00415EE4" w:rsidP="00415EE4">
      <w:pPr>
        <w:spacing w:before="0" w:after="0" w:line="240" w:lineRule="auto"/>
        <w:rPr>
          <w:b/>
        </w:rPr>
      </w:pPr>
    </w:p>
    <w:p w:rsidR="0056741B" w:rsidRDefault="0056741B" w:rsidP="0056741B">
      <w:pPr>
        <w:pStyle w:val="Caption"/>
      </w:pPr>
    </w:p>
    <w:p w:rsidR="0056741B" w:rsidRDefault="0056741B" w:rsidP="0056741B">
      <w:pPr>
        <w:pStyle w:val="Paragraphtext"/>
      </w:pPr>
      <w:r>
        <w:rPr>
          <w:b/>
        </w:rPr>
        <w:t xml:space="preserve">Table </w:t>
      </w:r>
      <w:r w:rsidR="00CF39F4">
        <w:rPr>
          <w:b/>
        </w:rPr>
        <w:t>1.</w:t>
      </w:r>
      <w:r>
        <w:rPr>
          <w:b/>
        </w:rPr>
        <w:t>16</w:t>
      </w:r>
      <w:r w:rsidRPr="00DC34CA">
        <w:rPr>
          <w:b/>
        </w:rPr>
        <w:t xml:space="preserve">: </w:t>
      </w:r>
      <w:r w:rsidRPr="0056741B">
        <w:rPr>
          <w:b/>
        </w:rPr>
        <w:t xml:space="preserve">The number of Energy Savings Advice Service (ESAS) Calls answered  and the number of Green Deal Webpage views on Gov.uk, by month </w:t>
      </w:r>
      <w:r w:rsidRPr="00A21277">
        <w:rPr>
          <w:bCs/>
        </w:rPr>
        <w:t xml:space="preserve">(Table available </w:t>
      </w:r>
      <w:r w:rsidRPr="00A21277">
        <w:t xml:space="preserve">in Excel </w:t>
      </w:r>
      <w:hyperlink r:id="rId55" w:history="1">
        <w:r w:rsidRPr="009D56C9">
          <w:rPr>
            <w:rStyle w:val="Hyperlink"/>
            <w:rFonts w:ascii="Arial" w:hAnsi="Arial"/>
          </w:rPr>
          <w:t>here</w:t>
        </w:r>
      </w:hyperlink>
      <w:r w:rsidRPr="009D56C9">
        <w:rPr>
          <w:bCs/>
        </w:rPr>
        <w:t>).</w:t>
      </w:r>
    </w:p>
    <w:p w:rsidR="0056741B" w:rsidRDefault="0056741B" w:rsidP="0056741B">
      <w:pPr>
        <w:pStyle w:val="Caption"/>
      </w:pPr>
    </w:p>
    <w:p w:rsidR="00291E07" w:rsidRPr="0007309E" w:rsidRDefault="00A21277" w:rsidP="00291E07">
      <w:pPr>
        <w:pStyle w:val="ChapterHead"/>
        <w:spacing w:before="0" w:after="200"/>
        <w:rPr>
          <w:rFonts w:cs="Arial"/>
          <w:szCs w:val="50"/>
        </w:rPr>
      </w:pPr>
      <w:r>
        <w:rPr>
          <w:rFonts w:cs="Arial"/>
          <w:szCs w:val="50"/>
        </w:rPr>
        <w:br w:type="page"/>
      </w:r>
      <w:bookmarkStart w:id="66" w:name="Section2"/>
      <w:bookmarkStart w:id="67" w:name="_Toc374539336"/>
      <w:bookmarkStart w:id="68" w:name="_Toc375046012"/>
      <w:bookmarkEnd w:id="66"/>
      <w:r w:rsidR="00855AC0">
        <w:rPr>
          <w:rFonts w:cs="Arial"/>
          <w:szCs w:val="50"/>
        </w:rPr>
        <w:lastRenderedPageBreak/>
        <w:t xml:space="preserve">Section 2 - </w:t>
      </w:r>
      <w:r w:rsidR="00291E07" w:rsidRPr="002B7674">
        <w:rPr>
          <w:rFonts w:cs="Arial"/>
          <w:szCs w:val="50"/>
        </w:rPr>
        <w:t xml:space="preserve">Estimates of Home Insulation Levels in Great Britain: </w:t>
      </w:r>
      <w:r w:rsidR="00291E07">
        <w:rPr>
          <w:rFonts w:cs="Arial"/>
          <w:szCs w:val="50"/>
        </w:rPr>
        <w:t>September</w:t>
      </w:r>
      <w:r w:rsidR="00291E07" w:rsidRPr="002B7674">
        <w:rPr>
          <w:rFonts w:cs="Arial"/>
          <w:szCs w:val="50"/>
        </w:rPr>
        <w:t xml:space="preserve"> 2013</w:t>
      </w:r>
      <w:bookmarkEnd w:id="67"/>
      <w:bookmarkEnd w:id="68"/>
      <w:r w:rsidR="00291E07">
        <w:rPr>
          <w:rFonts w:cs="Arial"/>
          <w:szCs w:val="50"/>
        </w:rPr>
        <w:t xml:space="preserve"> </w:t>
      </w:r>
    </w:p>
    <w:p w:rsidR="00291E07" w:rsidRDefault="00291E07" w:rsidP="00291E07">
      <w:pPr>
        <w:spacing w:before="0" w:after="0"/>
        <w:jc w:val="both"/>
      </w:pPr>
      <w:r w:rsidRPr="00EA207E">
        <w:t xml:space="preserve">This </w:t>
      </w:r>
      <w:r>
        <w:t xml:space="preserve">section </w:t>
      </w:r>
      <w:r w:rsidRPr="00EA207E">
        <w:t xml:space="preserve">presents </w:t>
      </w:r>
      <w:r>
        <w:t>estimates of</w:t>
      </w:r>
      <w:r w:rsidRPr="00EA207E">
        <w:t xml:space="preserve"> the number of homes in Great Britain with loft, cavity wall and solid wall insulation. </w:t>
      </w:r>
      <w:r>
        <w:t xml:space="preserve"> </w:t>
      </w:r>
      <w:r w:rsidRPr="00EA207E">
        <w:t xml:space="preserve">It gives headline estimates for the number of insulated homes and a summary of </w:t>
      </w:r>
      <w:r>
        <w:t>the</w:t>
      </w:r>
      <w:r w:rsidRPr="00EA207E">
        <w:t xml:space="preserve"> different data sources</w:t>
      </w:r>
      <w:r>
        <w:t xml:space="preserve"> these are derived from.  It also sets out the remaining potential for insulation in dwellings in Great Britain.</w:t>
      </w:r>
    </w:p>
    <w:p w:rsidR="00291E07" w:rsidRDefault="00291E07" w:rsidP="00291E07">
      <w:pPr>
        <w:pStyle w:val="Heading2"/>
      </w:pPr>
      <w:bookmarkStart w:id="69" w:name="_Toc374539338"/>
      <w:bookmarkStart w:id="70" w:name="_Toc375046013"/>
      <w:r w:rsidRPr="00EA207E">
        <w:t>Sources and methodology</w:t>
      </w:r>
      <w:bookmarkEnd w:id="69"/>
      <w:bookmarkEnd w:id="70"/>
    </w:p>
    <w:p w:rsidR="00291E07" w:rsidRDefault="00291E07" w:rsidP="00291E07">
      <w:pPr>
        <w:spacing w:before="0" w:after="0"/>
        <w:jc w:val="both"/>
        <w:rPr>
          <w:b/>
        </w:rPr>
      </w:pPr>
    </w:p>
    <w:p w:rsidR="00291E07" w:rsidRDefault="00291E07" w:rsidP="00291E07">
      <w:pPr>
        <w:spacing w:before="0" w:after="0"/>
        <w:jc w:val="both"/>
      </w:pPr>
      <w:r w:rsidRPr="0031382D">
        <w:t>The estimates in this Statistical Release use 2008 housing survey data, which coincides with the start of the Carbon Emissions Reduction Target (CERT), and adds known measures delivered through Government schemes</w:t>
      </w:r>
      <w:r>
        <w:t xml:space="preserve"> (these include</w:t>
      </w:r>
      <w:r w:rsidRPr="0031382D">
        <w:t xml:space="preserve"> CERT</w:t>
      </w:r>
      <w:r w:rsidRPr="0031382D">
        <w:rPr>
          <w:rStyle w:val="FootnoteReference"/>
        </w:rPr>
        <w:footnoteReference w:id="15"/>
      </w:r>
      <w:r w:rsidRPr="0031382D">
        <w:t>, the Community Energy Saving Programme (CESP)</w:t>
      </w:r>
      <w:r w:rsidRPr="0031382D">
        <w:rPr>
          <w:rStyle w:val="FootnoteReference"/>
        </w:rPr>
        <w:footnoteReference w:id="16"/>
      </w:r>
      <w:r>
        <w:t>,</w:t>
      </w:r>
      <w:r w:rsidRPr="0031382D">
        <w:t xml:space="preserve"> Warm Front</w:t>
      </w:r>
      <w:r>
        <w:rPr>
          <w:rStyle w:val="FootnoteReference"/>
        </w:rPr>
        <w:footnoteReference w:id="17"/>
      </w:r>
      <w:r>
        <w:t>, Green Deal (including Cashback)</w:t>
      </w:r>
      <w:r>
        <w:rPr>
          <w:rStyle w:val="FootnoteReference"/>
        </w:rPr>
        <w:footnoteReference w:id="18"/>
      </w:r>
      <w:r>
        <w:t xml:space="preserve"> and the Energy Company Obligation</w:t>
      </w:r>
      <w:r>
        <w:rPr>
          <w:rStyle w:val="FootnoteReference"/>
        </w:rPr>
        <w:footnoteReference w:id="19"/>
      </w:r>
      <w:r>
        <w:t xml:space="preserve"> (ECO))</w:t>
      </w:r>
      <w:r w:rsidRPr="0031382D">
        <w:t xml:space="preserve">. </w:t>
      </w:r>
      <w:r>
        <w:t xml:space="preserve"> </w:t>
      </w:r>
      <w:r w:rsidRPr="0031382D">
        <w:t xml:space="preserve">This is supplemented with data on house building </w:t>
      </w:r>
      <w:r>
        <w:t>published by</w:t>
      </w:r>
      <w:r w:rsidRPr="00954F17">
        <w:t xml:space="preserve"> Communities &amp; Local Government</w:t>
      </w:r>
      <w:r>
        <w:t xml:space="preserve"> to provide an estimate for the latest quarter</w:t>
      </w:r>
      <w:r w:rsidRPr="00954F17">
        <w:t xml:space="preserve">. </w:t>
      </w:r>
    </w:p>
    <w:p w:rsidR="00291E07" w:rsidRDefault="00291E07" w:rsidP="00291E07">
      <w:pPr>
        <w:pStyle w:val="Heading2"/>
      </w:pPr>
      <w:bookmarkStart w:id="71" w:name="_Toc374539339"/>
      <w:bookmarkStart w:id="72" w:name="_Toc375046014"/>
      <w:r>
        <w:t>Headline results</w:t>
      </w:r>
      <w:bookmarkEnd w:id="71"/>
      <w:bookmarkEnd w:id="72"/>
    </w:p>
    <w:p w:rsidR="00291E07" w:rsidRDefault="00291E07" w:rsidP="00291E07">
      <w:pPr>
        <w:spacing w:before="0" w:after="0"/>
        <w:jc w:val="both"/>
      </w:pPr>
      <w:r>
        <w:t>There were 27.2 million homes in Great Britain. Of these 19.2 million had cavity walls with the remaining 8.0 million having solid walls.  23.8 million properties had a loft.</w:t>
      </w:r>
    </w:p>
    <w:p w:rsidR="00291E07" w:rsidRDefault="00291E07" w:rsidP="00291E07">
      <w:pPr>
        <w:spacing w:before="0" w:after="0"/>
        <w:jc w:val="both"/>
        <w:rPr>
          <w:b/>
        </w:rPr>
      </w:pPr>
    </w:p>
    <w:p w:rsidR="00291E07" w:rsidRPr="006305E7" w:rsidRDefault="00291E07" w:rsidP="00291E07">
      <w:pPr>
        <w:spacing w:before="0" w:after="0"/>
        <w:jc w:val="both"/>
        <w:rPr>
          <w:szCs w:val="24"/>
        </w:rPr>
      </w:pPr>
      <w:r w:rsidRPr="006305E7">
        <w:rPr>
          <w:szCs w:val="24"/>
        </w:rPr>
        <w:t xml:space="preserve">Table 2.1 shows the number of properties in Great Britain with cavity wall, loft or solid wall insulation (see </w:t>
      </w:r>
      <w:hyperlink w:anchor="AnnexB" w:history="1">
        <w:r w:rsidRPr="006305E7">
          <w:rPr>
            <w:rStyle w:val="Hyperlink"/>
            <w:rFonts w:ascii="Arial" w:hAnsi="Arial"/>
            <w:szCs w:val="24"/>
          </w:rPr>
          <w:t xml:space="preserve">Annex </w:t>
        </w:r>
        <w:r w:rsidR="00531A97">
          <w:rPr>
            <w:rStyle w:val="Hyperlink"/>
            <w:rFonts w:ascii="Arial" w:hAnsi="Arial"/>
            <w:szCs w:val="24"/>
          </w:rPr>
          <w:t>B</w:t>
        </w:r>
      </w:hyperlink>
      <w:r w:rsidRPr="006305E7">
        <w:rPr>
          <w:szCs w:val="24"/>
        </w:rPr>
        <w:t xml:space="preserve"> for an explanation of measures).</w:t>
      </w:r>
    </w:p>
    <w:p w:rsidR="00291E07" w:rsidRDefault="00291E07" w:rsidP="00291E07">
      <w:pPr>
        <w:spacing w:before="0" w:after="0"/>
        <w:jc w:val="both"/>
      </w:pPr>
    </w:p>
    <w:p w:rsidR="00291E07" w:rsidRDefault="00291E07" w:rsidP="00291E07">
      <w:pPr>
        <w:spacing w:before="0" w:after="0"/>
        <w:jc w:val="both"/>
      </w:pPr>
      <w:r w:rsidRPr="00383A17">
        <w:t xml:space="preserve">At the </w:t>
      </w:r>
      <w:r>
        <w:t>end</w:t>
      </w:r>
      <w:r w:rsidRPr="00383A17">
        <w:t xml:space="preserve"> of </w:t>
      </w:r>
      <w:r>
        <w:t xml:space="preserve">September </w:t>
      </w:r>
      <w:r w:rsidRPr="00644FC1">
        <w:t xml:space="preserve">2013, </w:t>
      </w:r>
      <w:r>
        <w:t>13.5</w:t>
      </w:r>
      <w:r w:rsidRPr="00644FC1">
        <w:t xml:space="preserve"> million had cavity wall insulation (70 per cent of properties with a cavity wall), 16.</w:t>
      </w:r>
      <w:r>
        <w:t>3</w:t>
      </w:r>
      <w:r w:rsidRPr="00644FC1">
        <w:t xml:space="preserve"> million had loft insulation (6</w:t>
      </w:r>
      <w:r>
        <w:t>9</w:t>
      </w:r>
      <w:r w:rsidRPr="00644FC1">
        <w:t xml:space="preserve"> per cent o</w:t>
      </w:r>
      <w:r w:rsidRPr="00000529">
        <w:t xml:space="preserve">f properties with a loft) and </w:t>
      </w:r>
      <w:r w:rsidRPr="00644FC1">
        <w:t>2</w:t>
      </w:r>
      <w:r>
        <w:t>17</w:t>
      </w:r>
      <w:r w:rsidRPr="00644FC1">
        <w:t>,000 had solid wall insulation (3 per</w:t>
      </w:r>
      <w:r>
        <w:t xml:space="preserve"> cent of properties with </w:t>
      </w:r>
      <w:r w:rsidRPr="00FA4A82">
        <w:t>solid walls) (Chart 2</w:t>
      </w:r>
      <w:r>
        <w:t>.1</w:t>
      </w:r>
      <w:r w:rsidRPr="00FA4A82">
        <w:t>).</w:t>
      </w:r>
      <w:r>
        <w:t xml:space="preserve">  It should be noted that measures installed as a mitigation action (see page 34) after the end of CERT and CESP are not currently included in these figures</w:t>
      </w:r>
      <w:r w:rsidRPr="009F087D">
        <w:t xml:space="preserve">, and therefore actual delivery during the first </w:t>
      </w:r>
      <w:r>
        <w:t>half</w:t>
      </w:r>
      <w:r w:rsidRPr="009F087D">
        <w:t xml:space="preserve"> of 2013 is likely to be higher than reported in this document.</w:t>
      </w:r>
    </w:p>
    <w:p w:rsidR="00291E07" w:rsidRDefault="00291E07" w:rsidP="00291E07">
      <w:pPr>
        <w:spacing w:before="0" w:after="0"/>
        <w:jc w:val="both"/>
      </w:pPr>
    </w:p>
    <w:p w:rsidR="00291E07" w:rsidRDefault="00291E07" w:rsidP="00291E07">
      <w:pPr>
        <w:spacing w:before="0" w:after="0"/>
        <w:jc w:val="both"/>
      </w:pPr>
    </w:p>
    <w:p w:rsidR="00291E07" w:rsidRDefault="00291E07" w:rsidP="00291E07">
      <w:pPr>
        <w:spacing w:before="0" w:after="0"/>
        <w:jc w:val="both"/>
      </w:pPr>
    </w:p>
    <w:p w:rsidR="00291E07" w:rsidRDefault="00291E07" w:rsidP="00291E07">
      <w:pPr>
        <w:spacing w:before="0" w:after="0"/>
        <w:jc w:val="both"/>
      </w:pPr>
    </w:p>
    <w:p w:rsidR="00C95448" w:rsidRDefault="00C95448" w:rsidP="00291E07">
      <w:pPr>
        <w:spacing w:before="0" w:after="0"/>
        <w:jc w:val="both"/>
      </w:pPr>
    </w:p>
    <w:p w:rsidR="00C95448" w:rsidRDefault="00C95448" w:rsidP="00291E07">
      <w:pPr>
        <w:spacing w:before="0" w:after="0"/>
        <w:jc w:val="both"/>
      </w:pPr>
    </w:p>
    <w:p w:rsidR="00C95448" w:rsidRDefault="00C95448" w:rsidP="00291E07">
      <w:pPr>
        <w:spacing w:before="0" w:after="0"/>
        <w:jc w:val="both"/>
      </w:pPr>
    </w:p>
    <w:p w:rsidR="00291E07" w:rsidRDefault="00291E07" w:rsidP="00291E07">
      <w:pPr>
        <w:spacing w:before="0" w:after="0"/>
        <w:jc w:val="both"/>
      </w:pPr>
    </w:p>
    <w:p w:rsidR="00291E07" w:rsidRDefault="00291E07" w:rsidP="00291E07">
      <w:pPr>
        <w:spacing w:before="0" w:after="0"/>
        <w:jc w:val="both"/>
      </w:pPr>
    </w:p>
    <w:p w:rsidR="00291E07" w:rsidRDefault="00291E07" w:rsidP="00291E07">
      <w:pPr>
        <w:spacing w:before="0" w:after="0"/>
        <w:jc w:val="both"/>
      </w:pPr>
    </w:p>
    <w:p w:rsidR="00AE5C27" w:rsidRDefault="00AE5C27" w:rsidP="00291E07">
      <w:pPr>
        <w:spacing w:before="0" w:after="0"/>
        <w:jc w:val="both"/>
      </w:pPr>
    </w:p>
    <w:p w:rsidR="00291E07" w:rsidRDefault="00291E07" w:rsidP="00291E07">
      <w:pPr>
        <w:spacing w:before="0" w:after="0"/>
        <w:jc w:val="both"/>
      </w:pPr>
    </w:p>
    <w:p w:rsidR="00291E07" w:rsidRDefault="00291E07" w:rsidP="00291E07">
      <w:pPr>
        <w:spacing w:before="0" w:after="0"/>
        <w:jc w:val="both"/>
      </w:pPr>
    </w:p>
    <w:p w:rsidR="00291E07" w:rsidRDefault="00291E07" w:rsidP="00EA185E">
      <w:pPr>
        <w:keepNext/>
        <w:spacing w:before="0" w:after="0"/>
        <w:jc w:val="both"/>
      </w:pPr>
      <w:bookmarkStart w:id="73" w:name="_Toc374374412"/>
      <w:bookmarkStart w:id="74" w:name="_Toc375046063"/>
      <w:r w:rsidRPr="00EA185E">
        <w:rPr>
          <w:b/>
          <w:szCs w:val="24"/>
        </w:rPr>
        <w:lastRenderedPageBreak/>
        <w:t>Chart 2.</w:t>
      </w:r>
      <w:r w:rsidR="00EA185E" w:rsidRPr="00EA185E">
        <w:rPr>
          <w:b/>
        </w:rPr>
        <w:fldChar w:fldCharType="begin"/>
      </w:r>
      <w:r w:rsidR="00EA185E" w:rsidRPr="00EA185E">
        <w:rPr>
          <w:b/>
        </w:rPr>
        <w:instrText xml:space="preserve"> SEQ Figure \* ARABIC </w:instrText>
      </w:r>
      <w:r w:rsidR="00EA185E" w:rsidRPr="00EA185E">
        <w:rPr>
          <w:b/>
        </w:rPr>
        <w:fldChar w:fldCharType="separate"/>
      </w:r>
      <w:r w:rsidR="001E226F">
        <w:rPr>
          <w:b/>
          <w:noProof/>
        </w:rPr>
        <w:t>1</w:t>
      </w:r>
      <w:r w:rsidR="00EA185E" w:rsidRPr="00EA185E">
        <w:rPr>
          <w:b/>
        </w:rPr>
        <w:fldChar w:fldCharType="end"/>
      </w:r>
      <w:r w:rsidRPr="00EA185E">
        <w:rPr>
          <w:b/>
        </w:rPr>
        <w:t>: Percentage</w:t>
      </w:r>
      <w:r w:rsidRPr="002B478F">
        <w:rPr>
          <w:b/>
        </w:rPr>
        <w:t xml:space="preserve"> o</w:t>
      </w:r>
      <w:r>
        <w:rPr>
          <w:b/>
        </w:rPr>
        <w:t>f properties with insulation in Great Britain</w:t>
      </w:r>
      <w:bookmarkEnd w:id="73"/>
      <w:bookmarkEnd w:id="74"/>
    </w:p>
    <w:p w:rsidR="00291E07" w:rsidRDefault="0012033E" w:rsidP="00291E07">
      <w:pPr>
        <w:spacing w:before="0" w:after="0"/>
        <w:jc w:val="both"/>
      </w:pPr>
      <w:r>
        <w:rPr>
          <w:noProof/>
        </w:rPr>
        <w:pict>
          <v:shape id="_x0000_s1073" type="#_x0000_t75" style="position:absolute;left:0;text-align:left;margin-left:.3pt;margin-top:12.55pt;width:419.25pt;height:279.75pt;z-index:251680768;mso-position-horizontal-relative:text;mso-position-vertical-relative:text">
            <v:imagedata r:id="rId56" o:title=""/>
            <w10:wrap type="square"/>
          </v:shape>
        </w:pict>
      </w:r>
    </w:p>
    <w:p w:rsidR="00291E07" w:rsidRDefault="00291E07" w:rsidP="00291E07">
      <w:pPr>
        <w:rPr>
          <w:b/>
        </w:rPr>
      </w:pPr>
    </w:p>
    <w:p w:rsidR="00291E07" w:rsidRDefault="00291E07" w:rsidP="00291E07">
      <w:pPr>
        <w:rPr>
          <w:b/>
        </w:rPr>
      </w:pPr>
    </w:p>
    <w:p w:rsidR="00291E07" w:rsidRDefault="00291E07" w:rsidP="00291E07">
      <w:pPr>
        <w:rPr>
          <w:b/>
        </w:rPr>
      </w:pPr>
    </w:p>
    <w:p w:rsidR="00291E07" w:rsidRDefault="00291E07" w:rsidP="00291E07">
      <w:pPr>
        <w:rPr>
          <w:b/>
        </w:rPr>
      </w:pPr>
    </w:p>
    <w:p w:rsidR="00291E07" w:rsidRDefault="00291E07" w:rsidP="00291E07">
      <w:pPr>
        <w:rPr>
          <w:b/>
        </w:rPr>
      </w:pPr>
    </w:p>
    <w:p w:rsidR="00291E07" w:rsidRDefault="00291E07" w:rsidP="00291E07">
      <w:pPr>
        <w:rPr>
          <w:b/>
        </w:rPr>
      </w:pPr>
    </w:p>
    <w:p w:rsidR="00291E07" w:rsidRDefault="00291E07" w:rsidP="00291E07">
      <w:pPr>
        <w:rPr>
          <w:b/>
        </w:rPr>
      </w:pPr>
    </w:p>
    <w:p w:rsidR="00291E07" w:rsidRDefault="00291E07" w:rsidP="00291E07">
      <w:pPr>
        <w:rPr>
          <w:b/>
        </w:rPr>
      </w:pPr>
    </w:p>
    <w:p w:rsidR="00291E07" w:rsidRDefault="00291E07" w:rsidP="00291E07">
      <w:pPr>
        <w:rPr>
          <w:b/>
        </w:rPr>
      </w:pPr>
    </w:p>
    <w:p w:rsidR="00291E07" w:rsidRDefault="00291E07" w:rsidP="00291E07">
      <w:pPr>
        <w:rPr>
          <w:b/>
        </w:rPr>
      </w:pPr>
    </w:p>
    <w:p w:rsidR="00291E07" w:rsidRDefault="00291E07" w:rsidP="00291E07">
      <w:pPr>
        <w:rPr>
          <w:b/>
        </w:rPr>
      </w:pPr>
    </w:p>
    <w:p w:rsidR="00291E07" w:rsidRDefault="00291E07" w:rsidP="00291E07">
      <w:pPr>
        <w:rPr>
          <w:b/>
        </w:rPr>
      </w:pPr>
    </w:p>
    <w:p w:rsidR="00291E07" w:rsidRDefault="00291E07" w:rsidP="00291E07">
      <w:pPr>
        <w:rPr>
          <w:b/>
        </w:rPr>
      </w:pPr>
    </w:p>
    <w:p w:rsidR="00291E07" w:rsidRDefault="00291E07" w:rsidP="00291E07">
      <w:pPr>
        <w:rPr>
          <w:b/>
        </w:rPr>
      </w:pPr>
    </w:p>
    <w:p w:rsidR="00291E07" w:rsidRDefault="00291E07" w:rsidP="00291E07">
      <w:pPr>
        <w:rPr>
          <w:b/>
        </w:rPr>
      </w:pPr>
      <w:r>
        <w:rPr>
          <w:b/>
        </w:rPr>
        <w:t>Table 2.1</w:t>
      </w:r>
      <w:r w:rsidRPr="00211D46">
        <w:rPr>
          <w:b/>
        </w:rPr>
        <w:t>: I</w:t>
      </w:r>
      <w:r>
        <w:rPr>
          <w:b/>
        </w:rPr>
        <w:t>nsulated homes in Great Britain, March 2008 to September 2013 (Thousands)</w:t>
      </w:r>
    </w:p>
    <w:tbl>
      <w:tblPr>
        <w:tblW w:w="8080" w:type="dxa"/>
        <w:tblInd w:w="108" w:type="dxa"/>
        <w:tblLayout w:type="fixed"/>
        <w:tblLook w:val="04A0" w:firstRow="1" w:lastRow="0" w:firstColumn="1" w:lastColumn="0" w:noHBand="0" w:noVBand="1"/>
      </w:tblPr>
      <w:tblGrid>
        <w:gridCol w:w="1977"/>
        <w:gridCol w:w="2034"/>
        <w:gridCol w:w="2034"/>
        <w:gridCol w:w="2035"/>
      </w:tblGrid>
      <w:tr w:rsidR="00291E07" w:rsidRPr="006E2D8F" w:rsidTr="00291E07">
        <w:trPr>
          <w:trHeight w:val="510"/>
        </w:trPr>
        <w:tc>
          <w:tcPr>
            <w:tcW w:w="1977" w:type="dxa"/>
            <w:tcBorders>
              <w:top w:val="single" w:sz="4" w:space="0" w:color="auto"/>
              <w:left w:val="nil"/>
              <w:bottom w:val="single" w:sz="4" w:space="0" w:color="auto"/>
              <w:right w:val="nil"/>
            </w:tcBorders>
            <w:shd w:val="clear" w:color="000000" w:fill="FFFFFF"/>
            <w:noWrap/>
            <w:vAlign w:val="bottom"/>
            <w:hideMark/>
          </w:tcPr>
          <w:p w:rsidR="00291E07" w:rsidRPr="006E2D8F" w:rsidRDefault="00291E07" w:rsidP="00291E07">
            <w:pPr>
              <w:spacing w:before="0" w:after="0" w:line="240" w:lineRule="auto"/>
              <w:rPr>
                <w:color w:val="000000"/>
                <w:szCs w:val="24"/>
                <w:lang w:eastAsia="en-GB"/>
              </w:rPr>
            </w:pPr>
            <w:r w:rsidRPr="006E2D8F">
              <w:rPr>
                <w:color w:val="000000"/>
                <w:szCs w:val="24"/>
                <w:lang w:eastAsia="en-GB"/>
              </w:rPr>
              <w:t> </w:t>
            </w:r>
          </w:p>
        </w:tc>
        <w:tc>
          <w:tcPr>
            <w:tcW w:w="2034" w:type="dxa"/>
            <w:tcBorders>
              <w:top w:val="single" w:sz="4" w:space="0" w:color="auto"/>
              <w:left w:val="nil"/>
              <w:bottom w:val="single" w:sz="4" w:space="0" w:color="auto"/>
              <w:right w:val="nil"/>
            </w:tcBorders>
            <w:shd w:val="clear" w:color="000000" w:fill="FFFFFF"/>
            <w:vAlign w:val="bottom"/>
            <w:hideMark/>
          </w:tcPr>
          <w:p w:rsidR="00291E07" w:rsidRPr="006E2D8F" w:rsidRDefault="00291E07" w:rsidP="00291E07">
            <w:pPr>
              <w:spacing w:before="0" w:after="0" w:line="240" w:lineRule="auto"/>
              <w:jc w:val="right"/>
              <w:rPr>
                <w:color w:val="000000"/>
                <w:szCs w:val="24"/>
                <w:lang w:eastAsia="en-GB"/>
              </w:rPr>
            </w:pPr>
            <w:r w:rsidRPr="006E2D8F">
              <w:rPr>
                <w:color w:val="000000"/>
                <w:szCs w:val="24"/>
                <w:lang w:eastAsia="en-GB"/>
              </w:rPr>
              <w:t>Cavity wall insulation</w:t>
            </w:r>
          </w:p>
        </w:tc>
        <w:tc>
          <w:tcPr>
            <w:tcW w:w="2034" w:type="dxa"/>
            <w:tcBorders>
              <w:top w:val="single" w:sz="4" w:space="0" w:color="auto"/>
              <w:left w:val="nil"/>
              <w:bottom w:val="single" w:sz="4" w:space="0" w:color="auto"/>
              <w:right w:val="nil"/>
            </w:tcBorders>
            <w:shd w:val="clear" w:color="000000" w:fill="FFFFFF"/>
            <w:vAlign w:val="bottom"/>
            <w:hideMark/>
          </w:tcPr>
          <w:p w:rsidR="00291E07" w:rsidRPr="006E2D8F" w:rsidRDefault="00291E07" w:rsidP="00291E07">
            <w:pPr>
              <w:spacing w:before="0" w:after="0" w:line="240" w:lineRule="auto"/>
              <w:jc w:val="right"/>
              <w:rPr>
                <w:color w:val="000000"/>
                <w:szCs w:val="24"/>
                <w:lang w:eastAsia="en-GB"/>
              </w:rPr>
            </w:pPr>
            <w:r w:rsidRPr="006E2D8F">
              <w:rPr>
                <w:color w:val="000000"/>
                <w:szCs w:val="24"/>
                <w:lang w:eastAsia="en-GB"/>
              </w:rPr>
              <w:t>Loft insulation &gt;=125mm</w:t>
            </w:r>
          </w:p>
        </w:tc>
        <w:tc>
          <w:tcPr>
            <w:tcW w:w="2035" w:type="dxa"/>
            <w:tcBorders>
              <w:top w:val="single" w:sz="4" w:space="0" w:color="auto"/>
              <w:left w:val="nil"/>
              <w:bottom w:val="single" w:sz="4" w:space="0" w:color="auto"/>
              <w:right w:val="nil"/>
            </w:tcBorders>
            <w:shd w:val="clear" w:color="000000" w:fill="FFFFFF"/>
            <w:vAlign w:val="bottom"/>
            <w:hideMark/>
          </w:tcPr>
          <w:p w:rsidR="00291E07" w:rsidRPr="006E2D8F" w:rsidRDefault="00291E07" w:rsidP="00291E07">
            <w:pPr>
              <w:spacing w:before="0" w:after="0" w:line="240" w:lineRule="auto"/>
              <w:jc w:val="right"/>
              <w:rPr>
                <w:color w:val="000000"/>
                <w:szCs w:val="24"/>
                <w:lang w:eastAsia="en-GB"/>
              </w:rPr>
            </w:pPr>
            <w:r w:rsidRPr="006E2D8F">
              <w:rPr>
                <w:color w:val="000000"/>
                <w:szCs w:val="24"/>
                <w:lang w:eastAsia="en-GB"/>
              </w:rPr>
              <w:t>Solid wall insulation</w:t>
            </w:r>
          </w:p>
        </w:tc>
      </w:tr>
      <w:tr w:rsidR="00291E07" w:rsidRPr="006E2D8F" w:rsidTr="00291E07">
        <w:trPr>
          <w:trHeight w:val="255"/>
        </w:trPr>
        <w:tc>
          <w:tcPr>
            <w:tcW w:w="1977" w:type="dxa"/>
            <w:tcBorders>
              <w:top w:val="nil"/>
              <w:left w:val="nil"/>
              <w:bottom w:val="nil"/>
              <w:right w:val="nil"/>
            </w:tcBorders>
            <w:shd w:val="clear" w:color="000000" w:fill="FFFFFF"/>
            <w:noWrap/>
            <w:vAlign w:val="bottom"/>
            <w:hideMark/>
          </w:tcPr>
          <w:p w:rsidR="00291E07" w:rsidRPr="006E2D8F" w:rsidRDefault="00291E07" w:rsidP="00291E07">
            <w:pPr>
              <w:spacing w:before="0" w:after="0" w:line="240" w:lineRule="auto"/>
              <w:rPr>
                <w:color w:val="000000"/>
                <w:szCs w:val="24"/>
                <w:lang w:eastAsia="en-GB"/>
              </w:rPr>
            </w:pPr>
            <w:r>
              <w:rPr>
                <w:color w:val="000000"/>
                <w:szCs w:val="24"/>
                <w:lang w:eastAsia="en-GB"/>
              </w:rPr>
              <w:t>Mar</w:t>
            </w:r>
            <w:r w:rsidRPr="006E2D8F">
              <w:rPr>
                <w:color w:val="000000"/>
                <w:szCs w:val="24"/>
                <w:lang w:eastAsia="en-GB"/>
              </w:rPr>
              <w:t xml:space="preserve"> 2008</w:t>
            </w:r>
          </w:p>
        </w:tc>
        <w:tc>
          <w:tcPr>
            <w:tcW w:w="2034" w:type="dxa"/>
            <w:tcBorders>
              <w:top w:val="nil"/>
              <w:left w:val="nil"/>
              <w:bottom w:val="nil"/>
              <w:right w:val="nil"/>
            </w:tcBorders>
            <w:shd w:val="clear" w:color="000000" w:fill="FFFFFF"/>
            <w:noWrap/>
            <w:vAlign w:val="bottom"/>
            <w:hideMark/>
          </w:tcPr>
          <w:p w:rsidR="00291E07" w:rsidRPr="006E2D8F" w:rsidRDefault="00291E07" w:rsidP="00291E07">
            <w:pPr>
              <w:spacing w:before="0" w:after="0" w:line="240" w:lineRule="auto"/>
              <w:jc w:val="right"/>
              <w:rPr>
                <w:color w:val="000000"/>
                <w:szCs w:val="24"/>
                <w:lang w:eastAsia="en-GB"/>
              </w:rPr>
            </w:pPr>
            <w:r w:rsidRPr="006E2D8F">
              <w:rPr>
                <w:color w:val="000000"/>
                <w:szCs w:val="24"/>
                <w:lang w:eastAsia="en-GB"/>
              </w:rPr>
              <w:t>10,030</w:t>
            </w:r>
          </w:p>
        </w:tc>
        <w:tc>
          <w:tcPr>
            <w:tcW w:w="2034" w:type="dxa"/>
            <w:tcBorders>
              <w:top w:val="nil"/>
              <w:left w:val="nil"/>
              <w:bottom w:val="nil"/>
              <w:right w:val="nil"/>
            </w:tcBorders>
            <w:shd w:val="clear" w:color="000000" w:fill="FFFFFF"/>
            <w:noWrap/>
            <w:vAlign w:val="bottom"/>
            <w:hideMark/>
          </w:tcPr>
          <w:p w:rsidR="00291E07" w:rsidRPr="006E2D8F" w:rsidRDefault="00291E07" w:rsidP="00291E07">
            <w:pPr>
              <w:spacing w:before="0" w:after="0" w:line="240" w:lineRule="auto"/>
              <w:jc w:val="right"/>
              <w:rPr>
                <w:color w:val="000000"/>
                <w:szCs w:val="24"/>
                <w:lang w:eastAsia="en-GB"/>
              </w:rPr>
            </w:pPr>
            <w:r w:rsidRPr="006E2D8F">
              <w:rPr>
                <w:color w:val="000000"/>
                <w:szCs w:val="24"/>
                <w:lang w:eastAsia="en-GB"/>
              </w:rPr>
              <w:t>10,150</w:t>
            </w:r>
          </w:p>
        </w:tc>
        <w:tc>
          <w:tcPr>
            <w:tcW w:w="2035" w:type="dxa"/>
            <w:tcBorders>
              <w:top w:val="nil"/>
              <w:left w:val="nil"/>
              <w:bottom w:val="nil"/>
              <w:right w:val="nil"/>
            </w:tcBorders>
            <w:shd w:val="clear" w:color="000000" w:fill="FFFFFF"/>
            <w:noWrap/>
            <w:vAlign w:val="bottom"/>
            <w:hideMark/>
          </w:tcPr>
          <w:p w:rsidR="00291E07" w:rsidRPr="006E2D8F" w:rsidRDefault="00291E07" w:rsidP="00291E07">
            <w:pPr>
              <w:spacing w:before="0" w:after="0" w:line="240" w:lineRule="auto"/>
              <w:jc w:val="right"/>
              <w:rPr>
                <w:color w:val="000000"/>
                <w:szCs w:val="24"/>
                <w:lang w:eastAsia="en-GB"/>
              </w:rPr>
            </w:pPr>
            <w:r w:rsidRPr="006E2D8F">
              <w:rPr>
                <w:color w:val="000000"/>
                <w:szCs w:val="24"/>
                <w:lang w:eastAsia="en-GB"/>
              </w:rPr>
              <w:t>65</w:t>
            </w:r>
          </w:p>
        </w:tc>
      </w:tr>
      <w:tr w:rsidR="00291E07" w:rsidRPr="006E2D8F" w:rsidTr="00291E07">
        <w:trPr>
          <w:trHeight w:val="255"/>
        </w:trPr>
        <w:tc>
          <w:tcPr>
            <w:tcW w:w="1977" w:type="dxa"/>
            <w:tcBorders>
              <w:top w:val="nil"/>
              <w:left w:val="nil"/>
              <w:bottom w:val="nil"/>
              <w:right w:val="nil"/>
            </w:tcBorders>
            <w:shd w:val="clear" w:color="000000" w:fill="FFFFFF"/>
            <w:noWrap/>
            <w:vAlign w:val="bottom"/>
            <w:hideMark/>
          </w:tcPr>
          <w:p w:rsidR="00291E07" w:rsidRPr="006E2D8F" w:rsidRDefault="00291E07" w:rsidP="00291E07">
            <w:pPr>
              <w:spacing w:before="0" w:after="0" w:line="240" w:lineRule="auto"/>
              <w:rPr>
                <w:color w:val="000000"/>
                <w:szCs w:val="24"/>
                <w:lang w:eastAsia="en-GB"/>
              </w:rPr>
            </w:pPr>
            <w:r>
              <w:rPr>
                <w:color w:val="000000"/>
                <w:szCs w:val="24"/>
                <w:lang w:eastAsia="en-GB"/>
              </w:rPr>
              <w:t>Mar</w:t>
            </w:r>
            <w:r w:rsidRPr="006E2D8F">
              <w:rPr>
                <w:color w:val="000000"/>
                <w:szCs w:val="24"/>
                <w:lang w:eastAsia="en-GB"/>
              </w:rPr>
              <w:t xml:space="preserve"> 2009</w:t>
            </w:r>
          </w:p>
        </w:tc>
        <w:tc>
          <w:tcPr>
            <w:tcW w:w="2034" w:type="dxa"/>
            <w:tcBorders>
              <w:top w:val="nil"/>
              <w:left w:val="nil"/>
              <w:bottom w:val="nil"/>
              <w:right w:val="nil"/>
            </w:tcBorders>
            <w:shd w:val="clear" w:color="000000" w:fill="FFFFFF"/>
            <w:noWrap/>
            <w:vAlign w:val="bottom"/>
            <w:hideMark/>
          </w:tcPr>
          <w:p w:rsidR="00291E07" w:rsidRPr="006E2D8F" w:rsidRDefault="00291E07" w:rsidP="00291E07">
            <w:pPr>
              <w:spacing w:before="0" w:after="0" w:line="240" w:lineRule="auto"/>
              <w:jc w:val="right"/>
              <w:rPr>
                <w:color w:val="000000"/>
                <w:szCs w:val="24"/>
                <w:lang w:eastAsia="en-GB"/>
              </w:rPr>
            </w:pPr>
            <w:r w:rsidRPr="006E2D8F">
              <w:rPr>
                <w:color w:val="000000"/>
                <w:szCs w:val="24"/>
                <w:lang w:eastAsia="en-GB"/>
              </w:rPr>
              <w:t>10,760</w:t>
            </w:r>
          </w:p>
        </w:tc>
        <w:tc>
          <w:tcPr>
            <w:tcW w:w="2034" w:type="dxa"/>
            <w:tcBorders>
              <w:top w:val="nil"/>
              <w:left w:val="nil"/>
              <w:bottom w:val="nil"/>
              <w:right w:val="nil"/>
            </w:tcBorders>
            <w:shd w:val="clear" w:color="000000" w:fill="FFFFFF"/>
            <w:noWrap/>
            <w:vAlign w:val="bottom"/>
            <w:hideMark/>
          </w:tcPr>
          <w:p w:rsidR="00291E07" w:rsidRPr="006E2D8F" w:rsidRDefault="00291E07" w:rsidP="00291E07">
            <w:pPr>
              <w:spacing w:before="0" w:after="0" w:line="240" w:lineRule="auto"/>
              <w:jc w:val="right"/>
              <w:rPr>
                <w:color w:val="000000"/>
                <w:szCs w:val="24"/>
                <w:lang w:eastAsia="en-GB"/>
              </w:rPr>
            </w:pPr>
            <w:r w:rsidRPr="006E2D8F">
              <w:rPr>
                <w:color w:val="000000"/>
                <w:szCs w:val="24"/>
                <w:lang w:eastAsia="en-GB"/>
              </w:rPr>
              <w:t>10,930</w:t>
            </w:r>
          </w:p>
        </w:tc>
        <w:tc>
          <w:tcPr>
            <w:tcW w:w="2035" w:type="dxa"/>
            <w:tcBorders>
              <w:top w:val="nil"/>
              <w:left w:val="nil"/>
              <w:bottom w:val="nil"/>
              <w:right w:val="nil"/>
            </w:tcBorders>
            <w:shd w:val="clear" w:color="000000" w:fill="FFFFFF"/>
            <w:noWrap/>
            <w:vAlign w:val="bottom"/>
            <w:hideMark/>
          </w:tcPr>
          <w:p w:rsidR="00291E07" w:rsidRPr="006E2D8F" w:rsidRDefault="00291E07" w:rsidP="00291E07">
            <w:pPr>
              <w:spacing w:before="0" w:after="0" w:line="240" w:lineRule="auto"/>
              <w:jc w:val="right"/>
              <w:rPr>
                <w:color w:val="000000"/>
                <w:szCs w:val="24"/>
                <w:lang w:eastAsia="en-GB"/>
              </w:rPr>
            </w:pPr>
            <w:r w:rsidRPr="006E2D8F">
              <w:rPr>
                <w:color w:val="000000"/>
                <w:szCs w:val="24"/>
                <w:lang w:eastAsia="en-GB"/>
              </w:rPr>
              <w:t>74</w:t>
            </w:r>
          </w:p>
        </w:tc>
      </w:tr>
      <w:tr w:rsidR="00291E07" w:rsidRPr="006E2D8F" w:rsidTr="00291E07">
        <w:trPr>
          <w:trHeight w:val="255"/>
        </w:trPr>
        <w:tc>
          <w:tcPr>
            <w:tcW w:w="1977" w:type="dxa"/>
            <w:tcBorders>
              <w:top w:val="nil"/>
              <w:left w:val="nil"/>
              <w:bottom w:val="nil"/>
              <w:right w:val="nil"/>
            </w:tcBorders>
            <w:shd w:val="clear" w:color="000000" w:fill="FFFFFF"/>
            <w:noWrap/>
            <w:vAlign w:val="bottom"/>
            <w:hideMark/>
          </w:tcPr>
          <w:p w:rsidR="00291E07" w:rsidRPr="006E2D8F" w:rsidRDefault="00291E07" w:rsidP="00291E07">
            <w:pPr>
              <w:spacing w:before="0" w:after="0" w:line="240" w:lineRule="auto"/>
              <w:rPr>
                <w:color w:val="000000"/>
                <w:szCs w:val="24"/>
                <w:lang w:eastAsia="en-GB"/>
              </w:rPr>
            </w:pPr>
            <w:r>
              <w:rPr>
                <w:color w:val="000000"/>
                <w:szCs w:val="24"/>
                <w:lang w:eastAsia="en-GB"/>
              </w:rPr>
              <w:t>Mar</w:t>
            </w:r>
            <w:r w:rsidRPr="006E2D8F">
              <w:rPr>
                <w:color w:val="000000"/>
                <w:szCs w:val="24"/>
                <w:lang w:eastAsia="en-GB"/>
              </w:rPr>
              <w:t xml:space="preserve"> 2010</w:t>
            </w:r>
          </w:p>
        </w:tc>
        <w:tc>
          <w:tcPr>
            <w:tcW w:w="2034" w:type="dxa"/>
            <w:tcBorders>
              <w:top w:val="nil"/>
              <w:left w:val="nil"/>
              <w:bottom w:val="nil"/>
              <w:right w:val="nil"/>
            </w:tcBorders>
            <w:shd w:val="clear" w:color="000000" w:fill="FFFFFF"/>
            <w:noWrap/>
            <w:vAlign w:val="bottom"/>
            <w:hideMark/>
          </w:tcPr>
          <w:p w:rsidR="00291E07" w:rsidRPr="006E2D8F" w:rsidRDefault="00291E07" w:rsidP="00291E07">
            <w:pPr>
              <w:spacing w:before="0" w:after="0" w:line="240" w:lineRule="auto"/>
              <w:jc w:val="right"/>
              <w:rPr>
                <w:color w:val="000000"/>
                <w:szCs w:val="24"/>
                <w:lang w:eastAsia="en-GB"/>
              </w:rPr>
            </w:pPr>
            <w:r w:rsidRPr="006E2D8F">
              <w:rPr>
                <w:color w:val="000000"/>
                <w:szCs w:val="24"/>
                <w:lang w:eastAsia="en-GB"/>
              </w:rPr>
              <w:t>11,490</w:t>
            </w:r>
          </w:p>
        </w:tc>
        <w:tc>
          <w:tcPr>
            <w:tcW w:w="2034" w:type="dxa"/>
            <w:tcBorders>
              <w:top w:val="nil"/>
              <w:left w:val="nil"/>
              <w:bottom w:val="nil"/>
              <w:right w:val="nil"/>
            </w:tcBorders>
            <w:shd w:val="clear" w:color="000000" w:fill="FFFFFF"/>
            <w:noWrap/>
            <w:vAlign w:val="bottom"/>
            <w:hideMark/>
          </w:tcPr>
          <w:p w:rsidR="00291E07" w:rsidRPr="006E2D8F" w:rsidRDefault="00291E07" w:rsidP="00291E07">
            <w:pPr>
              <w:spacing w:before="0" w:after="0" w:line="240" w:lineRule="auto"/>
              <w:jc w:val="right"/>
              <w:rPr>
                <w:color w:val="000000"/>
                <w:szCs w:val="24"/>
                <w:lang w:eastAsia="en-GB"/>
              </w:rPr>
            </w:pPr>
            <w:r w:rsidRPr="006E2D8F">
              <w:rPr>
                <w:color w:val="000000"/>
                <w:szCs w:val="24"/>
                <w:lang w:eastAsia="en-GB"/>
              </w:rPr>
              <w:t>12,450</w:t>
            </w:r>
          </w:p>
        </w:tc>
        <w:tc>
          <w:tcPr>
            <w:tcW w:w="2035" w:type="dxa"/>
            <w:tcBorders>
              <w:top w:val="nil"/>
              <w:left w:val="nil"/>
              <w:bottom w:val="nil"/>
              <w:right w:val="nil"/>
            </w:tcBorders>
            <w:shd w:val="clear" w:color="000000" w:fill="FFFFFF"/>
            <w:noWrap/>
            <w:vAlign w:val="bottom"/>
            <w:hideMark/>
          </w:tcPr>
          <w:p w:rsidR="00291E07" w:rsidRPr="006E2D8F" w:rsidRDefault="00291E07" w:rsidP="00291E07">
            <w:pPr>
              <w:spacing w:before="0" w:after="0" w:line="240" w:lineRule="auto"/>
              <w:jc w:val="right"/>
              <w:rPr>
                <w:color w:val="000000"/>
                <w:szCs w:val="24"/>
                <w:lang w:eastAsia="en-GB"/>
              </w:rPr>
            </w:pPr>
            <w:r w:rsidRPr="006E2D8F">
              <w:rPr>
                <w:color w:val="000000"/>
                <w:szCs w:val="24"/>
                <w:lang w:eastAsia="en-GB"/>
              </w:rPr>
              <w:t>94</w:t>
            </w:r>
          </w:p>
        </w:tc>
      </w:tr>
      <w:tr w:rsidR="00291E07" w:rsidRPr="006E2D8F" w:rsidTr="00291E07">
        <w:trPr>
          <w:trHeight w:val="255"/>
        </w:trPr>
        <w:tc>
          <w:tcPr>
            <w:tcW w:w="1977" w:type="dxa"/>
            <w:tcBorders>
              <w:top w:val="nil"/>
              <w:left w:val="nil"/>
              <w:bottom w:val="nil"/>
              <w:right w:val="nil"/>
            </w:tcBorders>
            <w:shd w:val="clear" w:color="000000" w:fill="FFFFFF"/>
            <w:noWrap/>
            <w:vAlign w:val="bottom"/>
            <w:hideMark/>
          </w:tcPr>
          <w:p w:rsidR="00291E07" w:rsidRPr="006E2D8F" w:rsidRDefault="00291E07" w:rsidP="00291E07">
            <w:pPr>
              <w:spacing w:before="0" w:after="0" w:line="240" w:lineRule="auto"/>
              <w:rPr>
                <w:color w:val="000000"/>
                <w:szCs w:val="24"/>
                <w:lang w:eastAsia="en-GB"/>
              </w:rPr>
            </w:pPr>
            <w:r>
              <w:rPr>
                <w:color w:val="000000"/>
                <w:szCs w:val="24"/>
                <w:lang w:eastAsia="en-GB"/>
              </w:rPr>
              <w:t>Mar</w:t>
            </w:r>
            <w:r w:rsidRPr="006E2D8F">
              <w:rPr>
                <w:color w:val="000000"/>
                <w:szCs w:val="24"/>
                <w:lang w:eastAsia="en-GB"/>
              </w:rPr>
              <w:t xml:space="preserve"> 2011</w:t>
            </w:r>
          </w:p>
        </w:tc>
        <w:tc>
          <w:tcPr>
            <w:tcW w:w="2034" w:type="dxa"/>
            <w:tcBorders>
              <w:top w:val="nil"/>
              <w:left w:val="nil"/>
              <w:bottom w:val="nil"/>
              <w:right w:val="nil"/>
            </w:tcBorders>
            <w:shd w:val="clear" w:color="000000" w:fill="FFFFFF"/>
            <w:noWrap/>
            <w:vAlign w:val="bottom"/>
            <w:hideMark/>
          </w:tcPr>
          <w:p w:rsidR="00291E07" w:rsidRPr="006E2D8F" w:rsidRDefault="00291E07" w:rsidP="00291E07">
            <w:pPr>
              <w:spacing w:before="0" w:after="0" w:line="240" w:lineRule="auto"/>
              <w:jc w:val="right"/>
              <w:rPr>
                <w:color w:val="000000"/>
                <w:szCs w:val="24"/>
                <w:lang w:eastAsia="en-GB"/>
              </w:rPr>
            </w:pPr>
            <w:r w:rsidRPr="006E2D8F">
              <w:rPr>
                <w:color w:val="000000"/>
                <w:szCs w:val="24"/>
                <w:lang w:eastAsia="en-GB"/>
              </w:rPr>
              <w:t>12,090</w:t>
            </w:r>
          </w:p>
        </w:tc>
        <w:tc>
          <w:tcPr>
            <w:tcW w:w="2034" w:type="dxa"/>
            <w:tcBorders>
              <w:top w:val="nil"/>
              <w:left w:val="nil"/>
              <w:bottom w:val="nil"/>
              <w:right w:val="nil"/>
            </w:tcBorders>
            <w:shd w:val="clear" w:color="000000" w:fill="FFFFFF"/>
            <w:noWrap/>
            <w:vAlign w:val="bottom"/>
            <w:hideMark/>
          </w:tcPr>
          <w:p w:rsidR="00291E07" w:rsidRPr="006E2D8F" w:rsidRDefault="00291E07" w:rsidP="00291E07">
            <w:pPr>
              <w:spacing w:before="0" w:after="0" w:line="240" w:lineRule="auto"/>
              <w:jc w:val="right"/>
              <w:rPr>
                <w:color w:val="000000"/>
                <w:szCs w:val="24"/>
                <w:lang w:eastAsia="en-GB"/>
              </w:rPr>
            </w:pPr>
            <w:r w:rsidRPr="006E2D8F">
              <w:rPr>
                <w:color w:val="000000"/>
                <w:szCs w:val="24"/>
                <w:lang w:eastAsia="en-GB"/>
              </w:rPr>
              <w:t>13,540</w:t>
            </w:r>
          </w:p>
        </w:tc>
        <w:tc>
          <w:tcPr>
            <w:tcW w:w="2035" w:type="dxa"/>
            <w:tcBorders>
              <w:top w:val="nil"/>
              <w:left w:val="nil"/>
              <w:bottom w:val="nil"/>
              <w:right w:val="nil"/>
            </w:tcBorders>
            <w:shd w:val="clear" w:color="000000" w:fill="FFFFFF"/>
            <w:noWrap/>
            <w:vAlign w:val="bottom"/>
            <w:hideMark/>
          </w:tcPr>
          <w:p w:rsidR="00291E07" w:rsidRPr="006E2D8F" w:rsidRDefault="00291E07" w:rsidP="00291E07">
            <w:pPr>
              <w:spacing w:before="0" w:after="0" w:line="240" w:lineRule="auto"/>
              <w:jc w:val="right"/>
              <w:rPr>
                <w:color w:val="000000"/>
                <w:szCs w:val="24"/>
                <w:lang w:eastAsia="en-GB"/>
              </w:rPr>
            </w:pPr>
            <w:r w:rsidRPr="006E2D8F">
              <w:rPr>
                <w:color w:val="000000"/>
                <w:szCs w:val="24"/>
                <w:lang w:eastAsia="en-GB"/>
              </w:rPr>
              <w:t>102</w:t>
            </w:r>
          </w:p>
        </w:tc>
      </w:tr>
      <w:tr w:rsidR="00291E07" w:rsidRPr="006E2D8F" w:rsidTr="00291E07">
        <w:trPr>
          <w:trHeight w:val="255"/>
        </w:trPr>
        <w:tc>
          <w:tcPr>
            <w:tcW w:w="1977" w:type="dxa"/>
            <w:tcBorders>
              <w:top w:val="nil"/>
              <w:left w:val="nil"/>
              <w:bottom w:val="nil"/>
              <w:right w:val="nil"/>
            </w:tcBorders>
            <w:shd w:val="clear" w:color="000000" w:fill="FFFFFF"/>
            <w:noWrap/>
            <w:vAlign w:val="bottom"/>
            <w:hideMark/>
          </w:tcPr>
          <w:p w:rsidR="00291E07" w:rsidRPr="006E2D8F" w:rsidRDefault="00291E07" w:rsidP="00291E07">
            <w:pPr>
              <w:spacing w:before="0" w:after="0" w:line="240" w:lineRule="auto"/>
              <w:rPr>
                <w:color w:val="000000"/>
                <w:szCs w:val="24"/>
                <w:lang w:eastAsia="en-GB"/>
              </w:rPr>
            </w:pPr>
            <w:r>
              <w:rPr>
                <w:color w:val="000000"/>
                <w:szCs w:val="24"/>
                <w:lang w:eastAsia="en-GB"/>
              </w:rPr>
              <w:t>Mar</w:t>
            </w:r>
            <w:r w:rsidRPr="006E2D8F">
              <w:rPr>
                <w:color w:val="000000"/>
                <w:szCs w:val="24"/>
                <w:lang w:eastAsia="en-GB"/>
              </w:rPr>
              <w:t xml:space="preserve"> 2012</w:t>
            </w:r>
          </w:p>
        </w:tc>
        <w:tc>
          <w:tcPr>
            <w:tcW w:w="2034" w:type="dxa"/>
            <w:tcBorders>
              <w:top w:val="nil"/>
              <w:left w:val="nil"/>
              <w:bottom w:val="nil"/>
              <w:right w:val="nil"/>
            </w:tcBorders>
            <w:shd w:val="clear" w:color="000000" w:fill="FFFFFF"/>
            <w:noWrap/>
            <w:vAlign w:val="bottom"/>
            <w:hideMark/>
          </w:tcPr>
          <w:p w:rsidR="00291E07" w:rsidRPr="006E2D8F" w:rsidRDefault="00291E07" w:rsidP="00291E07">
            <w:pPr>
              <w:spacing w:before="0" w:after="0" w:line="240" w:lineRule="auto"/>
              <w:jc w:val="right"/>
              <w:rPr>
                <w:color w:val="000000"/>
                <w:szCs w:val="24"/>
                <w:lang w:eastAsia="en-GB"/>
              </w:rPr>
            </w:pPr>
            <w:r w:rsidRPr="006E2D8F">
              <w:rPr>
                <w:color w:val="000000"/>
                <w:szCs w:val="24"/>
                <w:lang w:eastAsia="en-GB"/>
              </w:rPr>
              <w:t>12,750</w:t>
            </w:r>
          </w:p>
        </w:tc>
        <w:tc>
          <w:tcPr>
            <w:tcW w:w="2034" w:type="dxa"/>
            <w:tcBorders>
              <w:top w:val="nil"/>
              <w:left w:val="nil"/>
              <w:bottom w:val="nil"/>
              <w:right w:val="nil"/>
            </w:tcBorders>
            <w:shd w:val="clear" w:color="000000" w:fill="FFFFFF"/>
            <w:noWrap/>
            <w:vAlign w:val="bottom"/>
            <w:hideMark/>
          </w:tcPr>
          <w:p w:rsidR="00291E07" w:rsidRPr="006E2D8F" w:rsidRDefault="00291E07" w:rsidP="00291E07">
            <w:pPr>
              <w:spacing w:before="0" w:after="0" w:line="240" w:lineRule="auto"/>
              <w:jc w:val="right"/>
              <w:rPr>
                <w:color w:val="000000"/>
                <w:szCs w:val="24"/>
                <w:lang w:eastAsia="en-GB"/>
              </w:rPr>
            </w:pPr>
            <w:r w:rsidRPr="006E2D8F">
              <w:rPr>
                <w:color w:val="000000"/>
                <w:szCs w:val="24"/>
                <w:lang w:eastAsia="en-GB"/>
              </w:rPr>
              <w:t>14,780</w:t>
            </w:r>
          </w:p>
        </w:tc>
        <w:tc>
          <w:tcPr>
            <w:tcW w:w="2035" w:type="dxa"/>
            <w:tcBorders>
              <w:top w:val="nil"/>
              <w:left w:val="nil"/>
              <w:bottom w:val="nil"/>
              <w:right w:val="nil"/>
            </w:tcBorders>
            <w:shd w:val="clear" w:color="000000" w:fill="FFFFFF"/>
            <w:noWrap/>
            <w:vAlign w:val="bottom"/>
            <w:hideMark/>
          </w:tcPr>
          <w:p w:rsidR="00291E07" w:rsidRPr="006E2D8F" w:rsidRDefault="00291E07" w:rsidP="00291E07">
            <w:pPr>
              <w:spacing w:before="0" w:after="0" w:line="240" w:lineRule="auto"/>
              <w:jc w:val="right"/>
              <w:rPr>
                <w:color w:val="000000"/>
                <w:szCs w:val="24"/>
                <w:lang w:eastAsia="en-GB"/>
              </w:rPr>
            </w:pPr>
            <w:r w:rsidRPr="006E2D8F">
              <w:rPr>
                <w:color w:val="000000"/>
                <w:szCs w:val="24"/>
                <w:lang w:eastAsia="en-GB"/>
              </w:rPr>
              <w:t>132</w:t>
            </w:r>
          </w:p>
        </w:tc>
      </w:tr>
      <w:tr w:rsidR="00291E07" w:rsidRPr="006E2D8F" w:rsidTr="00291E07">
        <w:trPr>
          <w:trHeight w:val="255"/>
        </w:trPr>
        <w:tc>
          <w:tcPr>
            <w:tcW w:w="1977" w:type="dxa"/>
            <w:tcBorders>
              <w:top w:val="nil"/>
              <w:left w:val="nil"/>
              <w:bottom w:val="nil"/>
              <w:right w:val="nil"/>
            </w:tcBorders>
            <w:shd w:val="clear" w:color="000000" w:fill="FFFFFF"/>
            <w:noWrap/>
            <w:vAlign w:val="bottom"/>
            <w:hideMark/>
          </w:tcPr>
          <w:p w:rsidR="00291E07" w:rsidRPr="006E2D8F" w:rsidRDefault="00291E07" w:rsidP="00291E07">
            <w:pPr>
              <w:spacing w:before="0" w:after="0" w:line="240" w:lineRule="auto"/>
              <w:rPr>
                <w:color w:val="000000"/>
                <w:szCs w:val="24"/>
                <w:lang w:eastAsia="en-GB"/>
              </w:rPr>
            </w:pPr>
            <w:r w:rsidRPr="006E2D8F">
              <w:rPr>
                <w:color w:val="000000"/>
                <w:szCs w:val="24"/>
                <w:lang w:eastAsia="en-GB"/>
              </w:rPr>
              <w:t> </w:t>
            </w:r>
          </w:p>
        </w:tc>
        <w:tc>
          <w:tcPr>
            <w:tcW w:w="2034" w:type="dxa"/>
            <w:tcBorders>
              <w:top w:val="nil"/>
              <w:left w:val="nil"/>
              <w:bottom w:val="nil"/>
              <w:right w:val="nil"/>
            </w:tcBorders>
            <w:shd w:val="clear" w:color="000000" w:fill="FFFFFF"/>
            <w:noWrap/>
            <w:vAlign w:val="bottom"/>
            <w:hideMark/>
          </w:tcPr>
          <w:p w:rsidR="00291E07" w:rsidRPr="006E2D8F" w:rsidRDefault="00291E07" w:rsidP="00291E07">
            <w:pPr>
              <w:spacing w:before="0" w:after="0" w:line="240" w:lineRule="auto"/>
              <w:rPr>
                <w:color w:val="000000"/>
                <w:szCs w:val="24"/>
                <w:lang w:eastAsia="en-GB"/>
              </w:rPr>
            </w:pPr>
            <w:r w:rsidRPr="006E2D8F">
              <w:rPr>
                <w:color w:val="000000"/>
                <w:szCs w:val="24"/>
                <w:lang w:eastAsia="en-GB"/>
              </w:rPr>
              <w:t> </w:t>
            </w:r>
          </w:p>
        </w:tc>
        <w:tc>
          <w:tcPr>
            <w:tcW w:w="2034" w:type="dxa"/>
            <w:tcBorders>
              <w:top w:val="nil"/>
              <w:left w:val="nil"/>
              <w:bottom w:val="nil"/>
              <w:right w:val="nil"/>
            </w:tcBorders>
            <w:shd w:val="clear" w:color="000000" w:fill="FFFFFF"/>
            <w:noWrap/>
            <w:vAlign w:val="bottom"/>
            <w:hideMark/>
          </w:tcPr>
          <w:p w:rsidR="00291E07" w:rsidRPr="006E2D8F" w:rsidRDefault="00291E07" w:rsidP="00291E07">
            <w:pPr>
              <w:spacing w:before="0" w:after="0" w:line="240" w:lineRule="auto"/>
              <w:rPr>
                <w:color w:val="000000"/>
                <w:szCs w:val="24"/>
                <w:lang w:eastAsia="en-GB"/>
              </w:rPr>
            </w:pPr>
            <w:r w:rsidRPr="006E2D8F">
              <w:rPr>
                <w:color w:val="000000"/>
                <w:szCs w:val="24"/>
                <w:lang w:eastAsia="en-GB"/>
              </w:rPr>
              <w:t> </w:t>
            </w:r>
          </w:p>
        </w:tc>
        <w:tc>
          <w:tcPr>
            <w:tcW w:w="2035" w:type="dxa"/>
            <w:tcBorders>
              <w:top w:val="nil"/>
              <w:left w:val="nil"/>
              <w:bottom w:val="nil"/>
              <w:right w:val="nil"/>
            </w:tcBorders>
            <w:shd w:val="clear" w:color="000000" w:fill="FFFFFF"/>
            <w:noWrap/>
            <w:vAlign w:val="bottom"/>
            <w:hideMark/>
          </w:tcPr>
          <w:p w:rsidR="00291E07" w:rsidRPr="006E2D8F" w:rsidRDefault="00291E07" w:rsidP="00291E07">
            <w:pPr>
              <w:spacing w:before="0" w:after="0" w:line="240" w:lineRule="auto"/>
              <w:rPr>
                <w:color w:val="000000"/>
                <w:szCs w:val="24"/>
                <w:lang w:eastAsia="en-GB"/>
              </w:rPr>
            </w:pPr>
            <w:r w:rsidRPr="006E2D8F">
              <w:rPr>
                <w:color w:val="000000"/>
                <w:szCs w:val="24"/>
                <w:lang w:eastAsia="en-GB"/>
              </w:rPr>
              <w:t> </w:t>
            </w:r>
          </w:p>
        </w:tc>
      </w:tr>
      <w:tr w:rsidR="00291E07" w:rsidRPr="006E2D8F" w:rsidTr="00291E07">
        <w:trPr>
          <w:trHeight w:val="255"/>
        </w:trPr>
        <w:tc>
          <w:tcPr>
            <w:tcW w:w="1977" w:type="dxa"/>
            <w:tcBorders>
              <w:top w:val="nil"/>
              <w:left w:val="nil"/>
              <w:bottom w:val="nil"/>
              <w:right w:val="nil"/>
            </w:tcBorders>
            <w:shd w:val="clear" w:color="000000" w:fill="FFFFFF"/>
            <w:noWrap/>
            <w:vAlign w:val="bottom"/>
            <w:hideMark/>
          </w:tcPr>
          <w:p w:rsidR="00291E07" w:rsidRPr="006E2D8F" w:rsidRDefault="00291E07" w:rsidP="00291E07">
            <w:pPr>
              <w:spacing w:before="0" w:after="0" w:line="240" w:lineRule="auto"/>
              <w:rPr>
                <w:color w:val="000000"/>
                <w:szCs w:val="24"/>
                <w:lang w:eastAsia="en-GB"/>
              </w:rPr>
            </w:pPr>
            <w:r>
              <w:rPr>
                <w:color w:val="000000"/>
                <w:szCs w:val="24"/>
                <w:lang w:eastAsia="en-GB"/>
              </w:rPr>
              <w:t>Sep</w:t>
            </w:r>
            <w:r w:rsidRPr="006E2D8F">
              <w:rPr>
                <w:color w:val="000000"/>
                <w:szCs w:val="24"/>
                <w:lang w:eastAsia="en-GB"/>
              </w:rPr>
              <w:t xml:space="preserve"> 2012</w:t>
            </w:r>
          </w:p>
        </w:tc>
        <w:tc>
          <w:tcPr>
            <w:tcW w:w="2034" w:type="dxa"/>
            <w:tcBorders>
              <w:top w:val="nil"/>
              <w:left w:val="nil"/>
              <w:bottom w:val="nil"/>
              <w:right w:val="nil"/>
            </w:tcBorders>
            <w:shd w:val="clear" w:color="000000" w:fill="FFFFFF"/>
            <w:noWrap/>
            <w:vAlign w:val="bottom"/>
            <w:hideMark/>
          </w:tcPr>
          <w:p w:rsidR="00291E07" w:rsidRPr="006E2D8F" w:rsidRDefault="00291E07" w:rsidP="00291E07">
            <w:pPr>
              <w:spacing w:before="0" w:after="0" w:line="240" w:lineRule="auto"/>
              <w:jc w:val="right"/>
              <w:rPr>
                <w:color w:val="000000"/>
                <w:szCs w:val="24"/>
                <w:lang w:eastAsia="en-GB"/>
              </w:rPr>
            </w:pPr>
            <w:r w:rsidRPr="006E2D8F">
              <w:rPr>
                <w:color w:val="000000"/>
                <w:szCs w:val="24"/>
                <w:lang w:eastAsia="en-GB"/>
              </w:rPr>
              <w:t>13,110</w:t>
            </w:r>
          </w:p>
        </w:tc>
        <w:tc>
          <w:tcPr>
            <w:tcW w:w="2034" w:type="dxa"/>
            <w:tcBorders>
              <w:top w:val="nil"/>
              <w:left w:val="nil"/>
              <w:bottom w:val="nil"/>
              <w:right w:val="nil"/>
            </w:tcBorders>
            <w:shd w:val="clear" w:color="000000" w:fill="FFFFFF"/>
            <w:noWrap/>
            <w:vAlign w:val="bottom"/>
            <w:hideMark/>
          </w:tcPr>
          <w:p w:rsidR="00291E07" w:rsidRPr="006E2D8F" w:rsidRDefault="00291E07" w:rsidP="00291E07">
            <w:pPr>
              <w:spacing w:before="0" w:after="0" w:line="240" w:lineRule="auto"/>
              <w:jc w:val="right"/>
              <w:rPr>
                <w:color w:val="000000"/>
                <w:szCs w:val="24"/>
                <w:lang w:eastAsia="en-GB"/>
              </w:rPr>
            </w:pPr>
            <w:r w:rsidRPr="006E2D8F">
              <w:rPr>
                <w:color w:val="000000"/>
                <w:szCs w:val="24"/>
                <w:lang w:eastAsia="en-GB"/>
              </w:rPr>
              <w:t>15,590</w:t>
            </w:r>
          </w:p>
        </w:tc>
        <w:tc>
          <w:tcPr>
            <w:tcW w:w="2035" w:type="dxa"/>
            <w:tcBorders>
              <w:top w:val="nil"/>
              <w:left w:val="nil"/>
              <w:bottom w:val="nil"/>
              <w:right w:val="nil"/>
            </w:tcBorders>
            <w:shd w:val="clear" w:color="000000" w:fill="FFFFFF"/>
            <w:noWrap/>
            <w:vAlign w:val="bottom"/>
            <w:hideMark/>
          </w:tcPr>
          <w:p w:rsidR="00291E07" w:rsidRPr="006E2D8F" w:rsidRDefault="00291E07" w:rsidP="00291E07">
            <w:pPr>
              <w:spacing w:before="0" w:after="0" w:line="240" w:lineRule="auto"/>
              <w:jc w:val="right"/>
              <w:rPr>
                <w:color w:val="000000"/>
                <w:szCs w:val="24"/>
                <w:lang w:eastAsia="en-GB"/>
              </w:rPr>
            </w:pPr>
            <w:r w:rsidRPr="006E2D8F">
              <w:rPr>
                <w:color w:val="000000"/>
                <w:szCs w:val="24"/>
                <w:lang w:eastAsia="en-GB"/>
              </w:rPr>
              <w:t>171</w:t>
            </w:r>
          </w:p>
        </w:tc>
      </w:tr>
      <w:tr w:rsidR="00291E07" w:rsidRPr="006E2D8F" w:rsidTr="00291E07">
        <w:trPr>
          <w:trHeight w:val="255"/>
        </w:trPr>
        <w:tc>
          <w:tcPr>
            <w:tcW w:w="1977" w:type="dxa"/>
            <w:tcBorders>
              <w:top w:val="nil"/>
              <w:left w:val="nil"/>
              <w:bottom w:val="nil"/>
              <w:right w:val="nil"/>
            </w:tcBorders>
            <w:shd w:val="clear" w:color="000000" w:fill="FFFFFF"/>
            <w:noWrap/>
            <w:vAlign w:val="bottom"/>
            <w:hideMark/>
          </w:tcPr>
          <w:p w:rsidR="00291E07" w:rsidRPr="006E2D8F" w:rsidRDefault="00291E07" w:rsidP="00291E07">
            <w:pPr>
              <w:spacing w:before="0" w:after="0" w:line="240" w:lineRule="auto"/>
              <w:rPr>
                <w:color w:val="000000"/>
                <w:szCs w:val="24"/>
                <w:lang w:eastAsia="en-GB"/>
              </w:rPr>
            </w:pPr>
            <w:r>
              <w:rPr>
                <w:color w:val="000000"/>
                <w:szCs w:val="24"/>
                <w:lang w:eastAsia="en-GB"/>
              </w:rPr>
              <w:t>Dec</w:t>
            </w:r>
            <w:r w:rsidRPr="006E2D8F">
              <w:rPr>
                <w:color w:val="000000"/>
                <w:szCs w:val="24"/>
                <w:lang w:eastAsia="en-GB"/>
              </w:rPr>
              <w:t xml:space="preserve"> 201</w:t>
            </w:r>
            <w:r>
              <w:rPr>
                <w:color w:val="000000"/>
                <w:szCs w:val="24"/>
                <w:lang w:eastAsia="en-GB"/>
              </w:rPr>
              <w:t>2</w:t>
            </w:r>
          </w:p>
        </w:tc>
        <w:tc>
          <w:tcPr>
            <w:tcW w:w="2034" w:type="dxa"/>
            <w:tcBorders>
              <w:top w:val="nil"/>
              <w:left w:val="nil"/>
              <w:bottom w:val="nil"/>
              <w:right w:val="nil"/>
            </w:tcBorders>
            <w:shd w:val="clear" w:color="000000" w:fill="FFFFFF"/>
            <w:noWrap/>
            <w:vAlign w:val="bottom"/>
            <w:hideMark/>
          </w:tcPr>
          <w:p w:rsidR="00291E07" w:rsidRPr="006E2D8F" w:rsidRDefault="00291E07" w:rsidP="00291E07">
            <w:pPr>
              <w:spacing w:before="0" w:after="0" w:line="240" w:lineRule="auto"/>
              <w:jc w:val="right"/>
              <w:rPr>
                <w:color w:val="000000"/>
                <w:szCs w:val="24"/>
                <w:lang w:eastAsia="en-GB"/>
              </w:rPr>
            </w:pPr>
            <w:r w:rsidRPr="006E2D8F">
              <w:rPr>
                <w:color w:val="000000"/>
                <w:szCs w:val="24"/>
                <w:lang w:eastAsia="en-GB"/>
              </w:rPr>
              <w:t>13,320</w:t>
            </w:r>
          </w:p>
        </w:tc>
        <w:tc>
          <w:tcPr>
            <w:tcW w:w="2034" w:type="dxa"/>
            <w:tcBorders>
              <w:top w:val="nil"/>
              <w:left w:val="nil"/>
              <w:bottom w:val="nil"/>
              <w:right w:val="nil"/>
            </w:tcBorders>
            <w:shd w:val="clear" w:color="000000" w:fill="FFFFFF"/>
            <w:noWrap/>
            <w:vAlign w:val="bottom"/>
            <w:hideMark/>
          </w:tcPr>
          <w:p w:rsidR="00291E07" w:rsidRPr="006E2D8F" w:rsidRDefault="00291E07" w:rsidP="00291E07">
            <w:pPr>
              <w:spacing w:before="0" w:after="0" w:line="240" w:lineRule="auto"/>
              <w:jc w:val="right"/>
              <w:rPr>
                <w:color w:val="000000"/>
                <w:szCs w:val="24"/>
                <w:lang w:eastAsia="en-GB"/>
              </w:rPr>
            </w:pPr>
            <w:r w:rsidRPr="006E2D8F">
              <w:rPr>
                <w:color w:val="000000"/>
                <w:szCs w:val="24"/>
                <w:lang w:eastAsia="en-GB"/>
              </w:rPr>
              <w:t>16,120</w:t>
            </w:r>
          </w:p>
        </w:tc>
        <w:tc>
          <w:tcPr>
            <w:tcW w:w="2035" w:type="dxa"/>
            <w:tcBorders>
              <w:top w:val="nil"/>
              <w:left w:val="nil"/>
              <w:bottom w:val="nil"/>
              <w:right w:val="nil"/>
            </w:tcBorders>
            <w:shd w:val="clear" w:color="000000" w:fill="FFFFFF"/>
            <w:noWrap/>
            <w:vAlign w:val="bottom"/>
            <w:hideMark/>
          </w:tcPr>
          <w:p w:rsidR="00291E07" w:rsidRPr="006E2D8F" w:rsidRDefault="00291E07" w:rsidP="00291E07">
            <w:pPr>
              <w:spacing w:before="0" w:after="0" w:line="240" w:lineRule="auto"/>
              <w:jc w:val="right"/>
              <w:rPr>
                <w:color w:val="000000"/>
                <w:szCs w:val="24"/>
                <w:lang w:eastAsia="en-GB"/>
              </w:rPr>
            </w:pPr>
            <w:r w:rsidRPr="006E2D8F">
              <w:rPr>
                <w:color w:val="000000"/>
                <w:szCs w:val="24"/>
                <w:lang w:eastAsia="en-GB"/>
              </w:rPr>
              <w:t>204</w:t>
            </w:r>
          </w:p>
        </w:tc>
      </w:tr>
      <w:tr w:rsidR="00291E07" w:rsidRPr="006E2D8F" w:rsidTr="00291E07">
        <w:trPr>
          <w:trHeight w:val="255"/>
        </w:trPr>
        <w:tc>
          <w:tcPr>
            <w:tcW w:w="1977" w:type="dxa"/>
            <w:tcBorders>
              <w:top w:val="nil"/>
              <w:left w:val="nil"/>
              <w:bottom w:val="nil"/>
              <w:right w:val="nil"/>
            </w:tcBorders>
            <w:shd w:val="clear" w:color="000000" w:fill="FFFFFF"/>
            <w:noWrap/>
            <w:vAlign w:val="bottom"/>
            <w:hideMark/>
          </w:tcPr>
          <w:p w:rsidR="00291E07" w:rsidRPr="006E2D8F" w:rsidRDefault="00291E07" w:rsidP="00291E07">
            <w:pPr>
              <w:spacing w:before="0" w:after="0" w:line="240" w:lineRule="auto"/>
              <w:rPr>
                <w:color w:val="000000"/>
                <w:szCs w:val="24"/>
                <w:lang w:eastAsia="en-GB"/>
              </w:rPr>
            </w:pPr>
            <w:r>
              <w:rPr>
                <w:color w:val="000000"/>
                <w:szCs w:val="24"/>
                <w:lang w:eastAsia="en-GB"/>
              </w:rPr>
              <w:t>Mar</w:t>
            </w:r>
            <w:r w:rsidRPr="006E2D8F">
              <w:rPr>
                <w:color w:val="000000"/>
                <w:szCs w:val="24"/>
                <w:lang w:eastAsia="en-GB"/>
              </w:rPr>
              <w:t xml:space="preserve"> 2013</w:t>
            </w:r>
          </w:p>
        </w:tc>
        <w:tc>
          <w:tcPr>
            <w:tcW w:w="2034" w:type="dxa"/>
            <w:tcBorders>
              <w:top w:val="nil"/>
              <w:left w:val="nil"/>
              <w:bottom w:val="nil"/>
              <w:right w:val="nil"/>
            </w:tcBorders>
            <w:shd w:val="clear" w:color="000000" w:fill="FFFFFF"/>
            <w:noWrap/>
            <w:vAlign w:val="bottom"/>
            <w:hideMark/>
          </w:tcPr>
          <w:p w:rsidR="00291E07" w:rsidRPr="006E2D8F" w:rsidRDefault="00291E07" w:rsidP="00291E07">
            <w:pPr>
              <w:spacing w:before="0" w:after="0" w:line="240" w:lineRule="auto"/>
              <w:jc w:val="right"/>
              <w:rPr>
                <w:color w:val="000000"/>
                <w:szCs w:val="24"/>
                <w:lang w:eastAsia="en-GB"/>
              </w:rPr>
            </w:pPr>
            <w:r w:rsidRPr="006E2D8F">
              <w:rPr>
                <w:color w:val="000000"/>
                <w:szCs w:val="24"/>
                <w:lang w:eastAsia="en-GB"/>
              </w:rPr>
              <w:t>13,360</w:t>
            </w:r>
          </w:p>
        </w:tc>
        <w:tc>
          <w:tcPr>
            <w:tcW w:w="2034" w:type="dxa"/>
            <w:tcBorders>
              <w:top w:val="nil"/>
              <w:left w:val="nil"/>
              <w:bottom w:val="nil"/>
              <w:right w:val="nil"/>
            </w:tcBorders>
            <w:shd w:val="clear" w:color="000000" w:fill="FFFFFF"/>
            <w:noWrap/>
            <w:vAlign w:val="bottom"/>
            <w:hideMark/>
          </w:tcPr>
          <w:p w:rsidR="00291E07" w:rsidRPr="006E2D8F" w:rsidRDefault="00291E07" w:rsidP="00291E07">
            <w:pPr>
              <w:spacing w:before="0" w:after="0" w:line="240" w:lineRule="auto"/>
              <w:jc w:val="right"/>
              <w:rPr>
                <w:color w:val="000000"/>
                <w:szCs w:val="24"/>
                <w:lang w:eastAsia="en-GB"/>
              </w:rPr>
            </w:pPr>
            <w:r w:rsidRPr="006E2D8F">
              <w:rPr>
                <w:color w:val="000000"/>
                <w:szCs w:val="24"/>
                <w:lang w:eastAsia="en-GB"/>
              </w:rPr>
              <w:t>16,170</w:t>
            </w:r>
          </w:p>
        </w:tc>
        <w:tc>
          <w:tcPr>
            <w:tcW w:w="2035" w:type="dxa"/>
            <w:tcBorders>
              <w:top w:val="nil"/>
              <w:left w:val="nil"/>
              <w:bottom w:val="nil"/>
              <w:right w:val="nil"/>
            </w:tcBorders>
            <w:shd w:val="clear" w:color="000000" w:fill="FFFFFF"/>
            <w:noWrap/>
            <w:vAlign w:val="bottom"/>
            <w:hideMark/>
          </w:tcPr>
          <w:p w:rsidR="00291E07" w:rsidRPr="006E2D8F" w:rsidRDefault="00291E07" w:rsidP="00291E07">
            <w:pPr>
              <w:spacing w:before="0" w:after="0" w:line="240" w:lineRule="auto"/>
              <w:jc w:val="right"/>
              <w:rPr>
                <w:color w:val="000000"/>
                <w:szCs w:val="24"/>
                <w:lang w:eastAsia="en-GB"/>
              </w:rPr>
            </w:pPr>
            <w:r w:rsidRPr="006E2D8F">
              <w:rPr>
                <w:color w:val="000000"/>
                <w:szCs w:val="24"/>
                <w:lang w:eastAsia="en-GB"/>
              </w:rPr>
              <w:t>205</w:t>
            </w:r>
          </w:p>
        </w:tc>
      </w:tr>
      <w:tr w:rsidR="00291E07" w:rsidRPr="006E2D8F" w:rsidTr="00291E07">
        <w:trPr>
          <w:trHeight w:val="255"/>
        </w:trPr>
        <w:tc>
          <w:tcPr>
            <w:tcW w:w="1977" w:type="dxa"/>
            <w:tcBorders>
              <w:top w:val="nil"/>
              <w:left w:val="nil"/>
              <w:bottom w:val="nil"/>
              <w:right w:val="nil"/>
            </w:tcBorders>
            <w:shd w:val="clear" w:color="000000" w:fill="FFFFFF"/>
            <w:noWrap/>
            <w:vAlign w:val="bottom"/>
            <w:hideMark/>
          </w:tcPr>
          <w:p w:rsidR="00291E07" w:rsidRPr="006E2D8F" w:rsidRDefault="00291E07" w:rsidP="00291E07">
            <w:pPr>
              <w:spacing w:before="0" w:after="0" w:line="240" w:lineRule="auto"/>
              <w:rPr>
                <w:color w:val="000000"/>
                <w:szCs w:val="24"/>
                <w:lang w:eastAsia="en-GB"/>
              </w:rPr>
            </w:pPr>
            <w:r>
              <w:rPr>
                <w:color w:val="000000"/>
                <w:szCs w:val="24"/>
                <w:lang w:eastAsia="en-GB"/>
              </w:rPr>
              <w:t>Jun</w:t>
            </w:r>
            <w:r w:rsidRPr="006E2D8F">
              <w:rPr>
                <w:color w:val="000000"/>
                <w:szCs w:val="24"/>
                <w:lang w:eastAsia="en-GB"/>
              </w:rPr>
              <w:t xml:space="preserve"> 2013</w:t>
            </w:r>
          </w:p>
        </w:tc>
        <w:tc>
          <w:tcPr>
            <w:tcW w:w="2034" w:type="dxa"/>
            <w:tcBorders>
              <w:top w:val="nil"/>
              <w:left w:val="nil"/>
              <w:bottom w:val="nil"/>
              <w:right w:val="nil"/>
            </w:tcBorders>
            <w:shd w:val="clear" w:color="000000" w:fill="FFFFFF"/>
            <w:noWrap/>
            <w:vAlign w:val="bottom"/>
            <w:hideMark/>
          </w:tcPr>
          <w:p w:rsidR="00291E07" w:rsidRPr="006E2D8F" w:rsidRDefault="00291E07" w:rsidP="00291E07">
            <w:pPr>
              <w:spacing w:before="0" w:after="0" w:line="240" w:lineRule="auto"/>
              <w:jc w:val="right"/>
              <w:rPr>
                <w:color w:val="000000"/>
                <w:szCs w:val="24"/>
                <w:lang w:eastAsia="en-GB"/>
              </w:rPr>
            </w:pPr>
            <w:r w:rsidRPr="006E2D8F">
              <w:rPr>
                <w:color w:val="000000"/>
                <w:szCs w:val="24"/>
                <w:lang w:eastAsia="en-GB"/>
              </w:rPr>
              <w:t>13,430</w:t>
            </w:r>
          </w:p>
        </w:tc>
        <w:tc>
          <w:tcPr>
            <w:tcW w:w="2034" w:type="dxa"/>
            <w:tcBorders>
              <w:top w:val="nil"/>
              <w:left w:val="nil"/>
              <w:bottom w:val="nil"/>
              <w:right w:val="nil"/>
            </w:tcBorders>
            <w:shd w:val="clear" w:color="000000" w:fill="FFFFFF"/>
            <w:noWrap/>
            <w:vAlign w:val="bottom"/>
            <w:hideMark/>
          </w:tcPr>
          <w:p w:rsidR="00291E07" w:rsidRPr="006E2D8F" w:rsidRDefault="00291E07" w:rsidP="00291E07">
            <w:pPr>
              <w:spacing w:before="0" w:after="0" w:line="240" w:lineRule="auto"/>
              <w:jc w:val="right"/>
              <w:rPr>
                <w:color w:val="000000"/>
                <w:szCs w:val="24"/>
                <w:lang w:eastAsia="en-GB"/>
              </w:rPr>
            </w:pPr>
            <w:r w:rsidRPr="006E2D8F">
              <w:rPr>
                <w:color w:val="000000"/>
                <w:szCs w:val="24"/>
                <w:lang w:eastAsia="en-GB"/>
              </w:rPr>
              <w:t>16,230</w:t>
            </w:r>
          </w:p>
        </w:tc>
        <w:tc>
          <w:tcPr>
            <w:tcW w:w="2035" w:type="dxa"/>
            <w:tcBorders>
              <w:top w:val="nil"/>
              <w:left w:val="nil"/>
              <w:bottom w:val="nil"/>
              <w:right w:val="nil"/>
            </w:tcBorders>
            <w:shd w:val="clear" w:color="000000" w:fill="FFFFFF"/>
            <w:noWrap/>
            <w:vAlign w:val="bottom"/>
            <w:hideMark/>
          </w:tcPr>
          <w:p w:rsidR="00291E07" w:rsidRPr="006E2D8F" w:rsidRDefault="00291E07" w:rsidP="00291E07">
            <w:pPr>
              <w:spacing w:before="0" w:after="0" w:line="240" w:lineRule="auto"/>
              <w:jc w:val="right"/>
              <w:rPr>
                <w:color w:val="000000"/>
                <w:szCs w:val="24"/>
                <w:lang w:eastAsia="en-GB"/>
              </w:rPr>
            </w:pPr>
            <w:r w:rsidRPr="006E2D8F">
              <w:rPr>
                <w:color w:val="000000"/>
                <w:szCs w:val="24"/>
                <w:lang w:eastAsia="en-GB"/>
              </w:rPr>
              <w:t>209</w:t>
            </w:r>
          </w:p>
        </w:tc>
      </w:tr>
      <w:tr w:rsidR="00291E07" w:rsidRPr="006E2D8F" w:rsidTr="00291E07">
        <w:trPr>
          <w:trHeight w:val="255"/>
        </w:trPr>
        <w:tc>
          <w:tcPr>
            <w:tcW w:w="1977" w:type="dxa"/>
            <w:tcBorders>
              <w:top w:val="nil"/>
              <w:left w:val="nil"/>
              <w:bottom w:val="single" w:sz="4" w:space="0" w:color="auto"/>
              <w:right w:val="nil"/>
            </w:tcBorders>
            <w:shd w:val="clear" w:color="000000" w:fill="FFFFFF"/>
            <w:noWrap/>
            <w:vAlign w:val="bottom"/>
            <w:hideMark/>
          </w:tcPr>
          <w:p w:rsidR="00291E07" w:rsidRPr="006E2D8F" w:rsidRDefault="00291E07" w:rsidP="00291E07">
            <w:pPr>
              <w:spacing w:before="0" w:after="0" w:line="240" w:lineRule="auto"/>
              <w:rPr>
                <w:color w:val="000000"/>
                <w:szCs w:val="24"/>
                <w:lang w:eastAsia="en-GB"/>
              </w:rPr>
            </w:pPr>
            <w:r>
              <w:rPr>
                <w:color w:val="000000"/>
                <w:szCs w:val="24"/>
                <w:lang w:eastAsia="en-GB"/>
              </w:rPr>
              <w:t>Sep</w:t>
            </w:r>
            <w:r w:rsidRPr="006E2D8F">
              <w:rPr>
                <w:color w:val="000000"/>
                <w:szCs w:val="24"/>
                <w:lang w:eastAsia="en-GB"/>
              </w:rPr>
              <w:t xml:space="preserve"> 2013</w:t>
            </w:r>
            <w:r w:rsidR="009D6BFC">
              <w:rPr>
                <w:color w:val="000000"/>
                <w:szCs w:val="24"/>
                <w:lang w:eastAsia="en-GB"/>
              </w:rPr>
              <w:t xml:space="preserve">     p</w:t>
            </w:r>
          </w:p>
        </w:tc>
        <w:tc>
          <w:tcPr>
            <w:tcW w:w="2034" w:type="dxa"/>
            <w:tcBorders>
              <w:top w:val="nil"/>
              <w:left w:val="nil"/>
              <w:bottom w:val="single" w:sz="4" w:space="0" w:color="auto"/>
              <w:right w:val="nil"/>
            </w:tcBorders>
            <w:shd w:val="clear" w:color="000000" w:fill="FFFFFF"/>
            <w:noWrap/>
            <w:vAlign w:val="bottom"/>
            <w:hideMark/>
          </w:tcPr>
          <w:p w:rsidR="00291E07" w:rsidRPr="006E2D8F" w:rsidRDefault="00291E07" w:rsidP="00291E07">
            <w:pPr>
              <w:spacing w:before="0" w:after="0" w:line="240" w:lineRule="auto"/>
              <w:jc w:val="right"/>
              <w:rPr>
                <w:color w:val="000000"/>
                <w:szCs w:val="24"/>
                <w:lang w:eastAsia="en-GB"/>
              </w:rPr>
            </w:pPr>
            <w:r w:rsidRPr="006E2D8F">
              <w:rPr>
                <w:color w:val="000000"/>
                <w:szCs w:val="24"/>
                <w:lang w:eastAsia="en-GB"/>
              </w:rPr>
              <w:t>13,510</w:t>
            </w:r>
          </w:p>
        </w:tc>
        <w:tc>
          <w:tcPr>
            <w:tcW w:w="2034" w:type="dxa"/>
            <w:tcBorders>
              <w:top w:val="nil"/>
              <w:left w:val="nil"/>
              <w:bottom w:val="single" w:sz="4" w:space="0" w:color="auto"/>
              <w:right w:val="nil"/>
            </w:tcBorders>
            <w:shd w:val="clear" w:color="000000" w:fill="FFFFFF"/>
            <w:noWrap/>
            <w:vAlign w:val="bottom"/>
            <w:hideMark/>
          </w:tcPr>
          <w:p w:rsidR="00291E07" w:rsidRPr="006E2D8F" w:rsidRDefault="00291E07" w:rsidP="00291E07">
            <w:pPr>
              <w:spacing w:before="0" w:after="0" w:line="240" w:lineRule="auto"/>
              <w:jc w:val="right"/>
              <w:rPr>
                <w:color w:val="000000"/>
                <w:szCs w:val="24"/>
                <w:lang w:eastAsia="en-GB"/>
              </w:rPr>
            </w:pPr>
            <w:r w:rsidRPr="006E2D8F">
              <w:rPr>
                <w:color w:val="000000"/>
                <w:szCs w:val="24"/>
                <w:lang w:eastAsia="en-GB"/>
              </w:rPr>
              <w:t>16,290</w:t>
            </w:r>
          </w:p>
        </w:tc>
        <w:tc>
          <w:tcPr>
            <w:tcW w:w="2035" w:type="dxa"/>
            <w:tcBorders>
              <w:top w:val="nil"/>
              <w:left w:val="nil"/>
              <w:bottom w:val="single" w:sz="4" w:space="0" w:color="auto"/>
              <w:right w:val="nil"/>
            </w:tcBorders>
            <w:shd w:val="clear" w:color="000000" w:fill="FFFFFF"/>
            <w:noWrap/>
            <w:vAlign w:val="bottom"/>
            <w:hideMark/>
          </w:tcPr>
          <w:p w:rsidR="00291E07" w:rsidRPr="006E2D8F" w:rsidRDefault="00291E07" w:rsidP="00291E07">
            <w:pPr>
              <w:spacing w:before="0" w:after="0" w:line="240" w:lineRule="auto"/>
              <w:jc w:val="right"/>
              <w:rPr>
                <w:color w:val="000000"/>
                <w:szCs w:val="24"/>
                <w:lang w:eastAsia="en-GB"/>
              </w:rPr>
            </w:pPr>
            <w:r w:rsidRPr="006E2D8F">
              <w:rPr>
                <w:color w:val="000000"/>
                <w:szCs w:val="24"/>
                <w:lang w:eastAsia="en-GB"/>
              </w:rPr>
              <w:t>217</w:t>
            </w:r>
          </w:p>
        </w:tc>
      </w:tr>
    </w:tbl>
    <w:p w:rsidR="00291E07" w:rsidRPr="006E2D8F" w:rsidRDefault="00291E07" w:rsidP="00291E07">
      <w:pPr>
        <w:rPr>
          <w:szCs w:val="24"/>
        </w:rPr>
      </w:pPr>
      <w:r w:rsidRPr="006E2D8F">
        <w:rPr>
          <w:szCs w:val="24"/>
        </w:rPr>
        <w:t xml:space="preserve">p, provisional figure. </w:t>
      </w:r>
    </w:p>
    <w:p w:rsidR="00291E07" w:rsidRPr="00BF16A6" w:rsidRDefault="00291E07" w:rsidP="00291E07">
      <w:pPr>
        <w:pStyle w:val="NoSpacing"/>
        <w:tabs>
          <w:tab w:val="right" w:pos="9026"/>
        </w:tabs>
        <w:rPr>
          <w:rFonts w:ascii="Arial" w:hAnsi="Arial" w:cs="Arial"/>
          <w:sz w:val="20"/>
          <w:szCs w:val="20"/>
        </w:rPr>
      </w:pPr>
      <w:r>
        <w:rPr>
          <w:rFonts w:ascii="Arial" w:hAnsi="Arial" w:cs="Arial"/>
          <w:sz w:val="20"/>
          <w:szCs w:val="20"/>
        </w:rPr>
        <w:tab/>
      </w:r>
    </w:p>
    <w:p w:rsidR="00291E07" w:rsidRDefault="00291E07" w:rsidP="00291E07">
      <w:pPr>
        <w:jc w:val="both"/>
      </w:pPr>
      <w:r w:rsidRPr="00383A17">
        <w:t xml:space="preserve">Taking into account </w:t>
      </w:r>
      <w:r>
        <w:t xml:space="preserve">retro-fit insulation delivered through </w:t>
      </w:r>
      <w:r w:rsidRPr="00383A17">
        <w:t>Government schemes and new properties</w:t>
      </w:r>
      <w:r>
        <w:rPr>
          <w:rStyle w:val="FootnoteReference"/>
        </w:rPr>
        <w:footnoteReference w:id="20"/>
      </w:r>
      <w:r w:rsidRPr="00383A17">
        <w:t xml:space="preserve"> built </w:t>
      </w:r>
      <w:r>
        <w:t xml:space="preserve">with insulation </w:t>
      </w:r>
      <w:r w:rsidRPr="00383A17">
        <w:t xml:space="preserve">during the last </w:t>
      </w:r>
      <w:r>
        <w:t>year</w:t>
      </w:r>
      <w:r w:rsidRPr="00383A17">
        <w:t xml:space="preserve">, there were </w:t>
      </w:r>
      <w:r>
        <w:t xml:space="preserve">700,000 </w:t>
      </w:r>
      <w:r w:rsidRPr="00383A17">
        <w:t>more homes with at least 125mm of loft insulation</w:t>
      </w:r>
      <w:r w:rsidRPr="00644FC1">
        <w:t>, 4</w:t>
      </w:r>
      <w:r>
        <w:t>0</w:t>
      </w:r>
      <w:r w:rsidRPr="00644FC1">
        <w:t>0,000 m</w:t>
      </w:r>
      <w:r w:rsidRPr="00383A17">
        <w:t xml:space="preserve">ore homes with cavity wall insulation </w:t>
      </w:r>
      <w:r w:rsidRPr="00644FC1">
        <w:t xml:space="preserve">and </w:t>
      </w:r>
      <w:r>
        <w:t>46</w:t>
      </w:r>
      <w:r w:rsidRPr="00644FC1">
        <w:t>,000</w:t>
      </w:r>
      <w:r w:rsidRPr="00383A17">
        <w:t xml:space="preserve"> more homes with solid wall insulation compared with </w:t>
      </w:r>
      <w:r>
        <w:t>September 2012</w:t>
      </w:r>
      <w:r w:rsidRPr="00383A17">
        <w:t>.</w:t>
      </w:r>
    </w:p>
    <w:p w:rsidR="00C95448" w:rsidRDefault="00C95448" w:rsidP="00291E07">
      <w:pPr>
        <w:jc w:val="both"/>
      </w:pPr>
    </w:p>
    <w:p w:rsidR="00291E07" w:rsidRPr="00383A17" w:rsidRDefault="00291E07" w:rsidP="001B08CA">
      <w:pPr>
        <w:jc w:val="both"/>
      </w:pPr>
      <w:r w:rsidRPr="007C2D01">
        <w:t xml:space="preserve">The number of retrofit wall and loft insulations in the first </w:t>
      </w:r>
      <w:r>
        <w:t>half of</w:t>
      </w:r>
      <w:r w:rsidRPr="007C2D01">
        <w:t xml:space="preserve"> 2013 is low compared to</w:t>
      </w:r>
      <w:r>
        <w:t xml:space="preserve"> delivery in</w:t>
      </w:r>
      <w:r w:rsidRPr="007C2D01">
        <w:t xml:space="preserve"> previous quarters. </w:t>
      </w:r>
      <w:r>
        <w:t xml:space="preserve"> </w:t>
      </w:r>
      <w:r w:rsidRPr="007C2D01">
        <w:t xml:space="preserve">This partially reflects the high delivery at the end of the CERT and </w:t>
      </w:r>
      <w:r w:rsidRPr="007C2D01">
        <w:lastRenderedPageBreak/>
        <w:t xml:space="preserve">CESP schemes in 2012, but the </w:t>
      </w:r>
      <w:r>
        <w:t>data for the first half of 2013</w:t>
      </w:r>
      <w:r w:rsidRPr="007C2D01">
        <w:t xml:space="preserve"> </w:t>
      </w:r>
      <w:r>
        <w:t>are</w:t>
      </w:r>
      <w:r w:rsidRPr="007C2D01">
        <w:t xml:space="preserve"> also likely to be an underestimate of measures installed.  This is due to mitigation action relating to CERT and CESP not being included in current figures.  In September 2012 Ofgem</w:t>
      </w:r>
      <w:r>
        <w:t xml:space="preserve"> published an open letter</w:t>
      </w:r>
      <w:r>
        <w:rPr>
          <w:rStyle w:val="FootnoteReference"/>
        </w:rPr>
        <w:footnoteReference w:id="21"/>
      </w:r>
      <w:r>
        <w:t xml:space="preserve"> and stated that</w:t>
      </w:r>
      <w:r w:rsidRPr="007C2D01">
        <w:t xml:space="preserve"> </w:t>
      </w:r>
      <w:r>
        <w:t>‘</w:t>
      </w:r>
      <w:r w:rsidRPr="007C2D01">
        <w:t xml:space="preserve">energy suppliers </w:t>
      </w:r>
      <w:r>
        <w:t xml:space="preserve">and generators </w:t>
      </w:r>
      <w:r w:rsidRPr="007C2D01">
        <w:t xml:space="preserve">may choose to continue to deliver measures after the deadline of </w:t>
      </w:r>
      <w:r>
        <w:t xml:space="preserve">31 </w:t>
      </w:r>
      <w:r w:rsidRPr="007C2D01">
        <w:t>December 2012 as a ‘mitigation action’ to address the consumer harm associated with failure to meet their targets</w:t>
      </w:r>
      <w:r>
        <w:t>’</w:t>
      </w:r>
      <w:r w:rsidRPr="007C2D01">
        <w:t>.</w:t>
      </w:r>
      <w:r>
        <w:t xml:space="preserve">  There are currently no estimates available on the level of this activity.  In addition insulation measures delivered in Scotland under the Green Homes Cashback scheme are not currently included in these estimates.</w:t>
      </w:r>
    </w:p>
    <w:p w:rsidR="00291E07" w:rsidRDefault="00291E07" w:rsidP="001B08CA">
      <w:pPr>
        <w:jc w:val="both"/>
        <w:rPr>
          <w:b/>
        </w:rPr>
      </w:pPr>
    </w:p>
    <w:p w:rsidR="00291E07" w:rsidRDefault="00291E07" w:rsidP="001B08CA">
      <w:pPr>
        <w:jc w:val="both"/>
        <w:rPr>
          <w:b/>
        </w:rPr>
      </w:pPr>
      <w:bookmarkStart w:id="75" w:name="_Toc374374413"/>
      <w:bookmarkStart w:id="76" w:name="_Toc375046064"/>
      <w:r w:rsidRPr="00792747">
        <w:rPr>
          <w:b/>
          <w:szCs w:val="24"/>
        </w:rPr>
        <w:t xml:space="preserve">Chart </w:t>
      </w:r>
      <w:r>
        <w:rPr>
          <w:b/>
          <w:szCs w:val="24"/>
        </w:rPr>
        <w:t>2.</w:t>
      </w:r>
      <w:r w:rsidR="00EA185E" w:rsidRPr="00EA185E">
        <w:rPr>
          <w:b/>
        </w:rPr>
        <w:fldChar w:fldCharType="begin"/>
      </w:r>
      <w:r w:rsidR="00EA185E" w:rsidRPr="00EA185E">
        <w:rPr>
          <w:b/>
        </w:rPr>
        <w:instrText xml:space="preserve"> SEQ Figure \* ARABIC </w:instrText>
      </w:r>
      <w:r w:rsidR="00EA185E" w:rsidRPr="00EA185E">
        <w:rPr>
          <w:b/>
        </w:rPr>
        <w:fldChar w:fldCharType="separate"/>
      </w:r>
      <w:r w:rsidR="001E226F">
        <w:rPr>
          <w:b/>
          <w:noProof/>
        </w:rPr>
        <w:t>2</w:t>
      </w:r>
      <w:r w:rsidR="00EA185E" w:rsidRPr="00EA185E">
        <w:rPr>
          <w:b/>
        </w:rPr>
        <w:fldChar w:fldCharType="end"/>
      </w:r>
      <w:r w:rsidRPr="00D56622">
        <w:rPr>
          <w:b/>
        </w:rPr>
        <w:t xml:space="preserve">: Homes in Great Britain with cavity wall insulation and loft insulation: </w:t>
      </w:r>
      <w:r>
        <w:rPr>
          <w:b/>
        </w:rPr>
        <w:t>March</w:t>
      </w:r>
      <w:r w:rsidRPr="00D56622">
        <w:rPr>
          <w:b/>
        </w:rPr>
        <w:t xml:space="preserve"> 2008 to </w:t>
      </w:r>
      <w:r>
        <w:rPr>
          <w:b/>
        </w:rPr>
        <w:t>September 2013 (Thousands)</w:t>
      </w:r>
      <w:bookmarkEnd w:id="75"/>
      <w:bookmarkEnd w:id="76"/>
    </w:p>
    <w:p w:rsidR="00291E07" w:rsidRDefault="0012033E" w:rsidP="001B08CA">
      <w:pPr>
        <w:jc w:val="both"/>
        <w:rPr>
          <w:b/>
        </w:rPr>
      </w:pPr>
      <w:r>
        <w:rPr>
          <w:noProof/>
        </w:rPr>
        <w:pict>
          <v:shape id="_x0000_s1071" type="#_x0000_t75" style="position:absolute;left:0;text-align:left;margin-left:.3pt;margin-top:3.55pt;width:317.85pt;height:213pt;z-index:251678720;mso-position-horizontal-relative:text;mso-position-vertical-relative:text">
            <v:imagedata r:id="rId57" o:title="" cropbottom="5869f"/>
            <w10:wrap type="square"/>
          </v:shape>
        </w:pict>
      </w:r>
      <w:r>
        <w:rPr>
          <w:b/>
          <w:noProof/>
          <w:lang w:eastAsia="en-GB"/>
        </w:rPr>
        <w:pict>
          <v:shapetype id="_x0000_t202" coordsize="21600,21600" o:spt="202" path="m,l,21600r21600,l21600,xe">
            <v:stroke joinstyle="miter"/>
            <v:path gradientshapeok="t" o:connecttype="rect"/>
          </v:shapetype>
          <v:shape id="_x0000_s1066" type="#_x0000_t202" style="position:absolute;left:0;text-align:left;margin-left:-9pt;margin-top:11.3pt;width:192.6pt;height:190.9pt;z-index:251673600;mso-width-relative:margin;mso-height-relative:margin" stroked="f">
            <v:textbox style="mso-next-textbox:#_x0000_s1066">
              <w:txbxContent>
                <w:p w:rsidR="0012033E" w:rsidRPr="00383A17" w:rsidRDefault="0012033E" w:rsidP="00D76AE6">
                  <w:pPr>
                    <w:numPr>
                      <w:ilvl w:val="0"/>
                      <w:numId w:val="32"/>
                    </w:numPr>
                    <w:spacing w:before="0" w:line="240" w:lineRule="auto"/>
                    <w:ind w:left="357" w:hanging="357"/>
                  </w:pPr>
                  <w:r w:rsidRPr="00383A17">
                    <w:t xml:space="preserve">The number of properties with cavity wall insulation increased </w:t>
                  </w:r>
                  <w:r w:rsidRPr="00751EDF">
                    <w:t xml:space="preserve">by </w:t>
                  </w:r>
                  <w:r>
                    <w:t>3 per cent (400</w:t>
                  </w:r>
                  <w:r w:rsidRPr="00751EDF">
                    <w:t xml:space="preserve">,000) between the </w:t>
                  </w:r>
                  <w:r>
                    <w:t>end of September</w:t>
                  </w:r>
                  <w:r w:rsidRPr="00751EDF">
                    <w:t xml:space="preserve"> 2012 and </w:t>
                  </w:r>
                  <w:r>
                    <w:t>September</w:t>
                  </w:r>
                  <w:r w:rsidRPr="00751EDF">
                    <w:t xml:space="preserve"> 2013</w:t>
                  </w:r>
                  <w:r w:rsidRPr="00383A17">
                    <w:t>.</w:t>
                  </w:r>
                </w:p>
                <w:p w:rsidR="0012033E" w:rsidRPr="00383A17" w:rsidRDefault="0012033E" w:rsidP="00D76AE6">
                  <w:pPr>
                    <w:numPr>
                      <w:ilvl w:val="0"/>
                      <w:numId w:val="32"/>
                    </w:numPr>
                    <w:spacing w:before="0" w:after="200" w:line="276" w:lineRule="auto"/>
                  </w:pPr>
                  <w:r w:rsidRPr="00383A17">
                    <w:t xml:space="preserve">The number of properties with loft insulation with a depth of at least 125mm </w:t>
                  </w:r>
                  <w:r w:rsidRPr="00751EDF">
                    <w:t xml:space="preserve">increased by </w:t>
                  </w:r>
                  <w:r>
                    <w:t>5</w:t>
                  </w:r>
                  <w:r w:rsidRPr="00751EDF">
                    <w:t xml:space="preserve"> per cent (</w:t>
                  </w:r>
                  <w:r>
                    <w:t>70</w:t>
                  </w:r>
                  <w:r w:rsidRPr="00751EDF">
                    <w:t>0,000) between th</w:t>
                  </w:r>
                  <w:r>
                    <w:t xml:space="preserve">e end of September </w:t>
                  </w:r>
                  <w:r w:rsidRPr="00751EDF">
                    <w:t>2012 and</w:t>
                  </w:r>
                  <w:r>
                    <w:t xml:space="preserve"> September 2013</w:t>
                  </w:r>
                  <w:r w:rsidRPr="00383A17">
                    <w:t>.</w:t>
                  </w:r>
                </w:p>
              </w:txbxContent>
            </v:textbox>
          </v:shape>
        </w:pict>
      </w: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0D1F2E" w:rsidRDefault="000D1F2E" w:rsidP="001B08CA">
      <w:pPr>
        <w:jc w:val="both"/>
        <w:rPr>
          <w:b/>
          <w:szCs w:val="24"/>
        </w:rPr>
      </w:pPr>
    </w:p>
    <w:p w:rsidR="00291E07" w:rsidRDefault="00291E07" w:rsidP="001B08CA">
      <w:pPr>
        <w:jc w:val="both"/>
        <w:rPr>
          <w:b/>
        </w:rPr>
      </w:pPr>
      <w:bookmarkStart w:id="77" w:name="_Toc375046065"/>
      <w:r w:rsidRPr="00792747">
        <w:rPr>
          <w:b/>
          <w:szCs w:val="24"/>
        </w:rPr>
        <w:t xml:space="preserve">Chart </w:t>
      </w:r>
      <w:r w:rsidR="00EA185E">
        <w:rPr>
          <w:b/>
          <w:szCs w:val="24"/>
        </w:rPr>
        <w:t>2.</w:t>
      </w:r>
      <w:r w:rsidR="00EA185E" w:rsidRPr="00EA185E">
        <w:rPr>
          <w:b/>
        </w:rPr>
        <w:fldChar w:fldCharType="begin"/>
      </w:r>
      <w:r w:rsidR="00EA185E" w:rsidRPr="00EA185E">
        <w:rPr>
          <w:b/>
        </w:rPr>
        <w:instrText xml:space="preserve"> SEQ Figure \* ARABIC </w:instrText>
      </w:r>
      <w:r w:rsidR="00EA185E" w:rsidRPr="00EA185E">
        <w:rPr>
          <w:b/>
        </w:rPr>
        <w:fldChar w:fldCharType="separate"/>
      </w:r>
      <w:r w:rsidR="001E226F">
        <w:rPr>
          <w:b/>
          <w:noProof/>
        </w:rPr>
        <w:t>3</w:t>
      </w:r>
      <w:r w:rsidR="00EA185E" w:rsidRPr="00EA185E">
        <w:rPr>
          <w:b/>
        </w:rPr>
        <w:fldChar w:fldCharType="end"/>
      </w:r>
      <w:r w:rsidR="00EA185E">
        <w:rPr>
          <w:b/>
          <w:szCs w:val="24"/>
        </w:rPr>
        <w:t>.</w:t>
      </w:r>
      <w:r>
        <w:rPr>
          <w:b/>
        </w:rPr>
        <w:t xml:space="preserve"> Homes in Great Britain with solid wall insulation</w:t>
      </w:r>
      <w:r>
        <w:rPr>
          <w:rStyle w:val="FootnoteReference"/>
          <w:b/>
        </w:rPr>
        <w:footnoteReference w:id="22"/>
      </w:r>
      <w:r>
        <w:rPr>
          <w:b/>
        </w:rPr>
        <w:t>: March 2008 to September 2013 (Thousands)</w:t>
      </w:r>
      <w:bookmarkEnd w:id="77"/>
    </w:p>
    <w:p w:rsidR="00291E07" w:rsidRDefault="0012033E" w:rsidP="001B08CA">
      <w:pPr>
        <w:jc w:val="both"/>
        <w:rPr>
          <w:b/>
        </w:rPr>
      </w:pPr>
      <w:r>
        <w:rPr>
          <w:noProof/>
        </w:rPr>
        <w:pict>
          <v:shape id="_x0000_s1072" type="#_x0000_t75" style="position:absolute;left:0;text-align:left;margin-left:.3pt;margin-top:4.5pt;width:320.85pt;height:220.35pt;z-index:251679744;mso-position-horizontal-relative:text;mso-position-vertical-relative:text">
            <v:imagedata r:id="rId58" o:title=""/>
            <w10:wrap type="square"/>
          </v:shape>
        </w:pict>
      </w:r>
    </w:p>
    <w:p w:rsidR="00291E07" w:rsidRDefault="0012033E" w:rsidP="001B08CA">
      <w:pPr>
        <w:jc w:val="both"/>
        <w:rPr>
          <w:b/>
        </w:rPr>
      </w:pPr>
      <w:r>
        <w:rPr>
          <w:b/>
          <w:noProof/>
          <w:lang w:eastAsia="en-GB"/>
        </w:rPr>
        <w:pict>
          <v:shape id="_x0000_s1067" type="#_x0000_t202" style="position:absolute;left:0;text-align:left;margin-left:-9pt;margin-top:1.05pt;width:164.4pt;height:123.45pt;z-index:251674624;mso-width-relative:margin;mso-height-relative:margin" stroked="f">
            <v:textbox style="mso-next-textbox:#_x0000_s1067">
              <w:txbxContent>
                <w:p w:rsidR="0012033E" w:rsidRPr="00383A17" w:rsidRDefault="0012033E" w:rsidP="00291E07">
                  <w:pPr>
                    <w:numPr>
                      <w:ilvl w:val="0"/>
                      <w:numId w:val="32"/>
                    </w:numPr>
                    <w:spacing w:before="0" w:line="240" w:lineRule="auto"/>
                    <w:ind w:left="357" w:hanging="357"/>
                  </w:pPr>
                  <w:r w:rsidRPr="00383A17">
                    <w:t>The number of properties with solid</w:t>
                  </w:r>
                  <w:r>
                    <w:t xml:space="preserve"> wall insulation </w:t>
                  </w:r>
                  <w:r w:rsidRPr="00751EDF">
                    <w:t xml:space="preserve">increased by </w:t>
                  </w:r>
                  <w:r>
                    <w:t>27 per cent (46</w:t>
                  </w:r>
                  <w:r w:rsidRPr="00751EDF">
                    <w:t xml:space="preserve">,000) between the </w:t>
                  </w:r>
                  <w:r>
                    <w:t>end</w:t>
                  </w:r>
                  <w:r w:rsidRPr="00751EDF">
                    <w:t xml:space="preserve"> of </w:t>
                  </w:r>
                  <w:r>
                    <w:t>September</w:t>
                  </w:r>
                  <w:r w:rsidRPr="00751EDF">
                    <w:t xml:space="preserve"> 2012 and </w:t>
                  </w:r>
                  <w:r>
                    <w:t>September</w:t>
                  </w:r>
                  <w:r w:rsidRPr="00751EDF">
                    <w:t xml:space="preserve"> 2013.</w:t>
                  </w:r>
                </w:p>
                <w:p w:rsidR="0012033E" w:rsidRPr="00211D46" w:rsidRDefault="0012033E" w:rsidP="00291E07"/>
              </w:txbxContent>
            </v:textbox>
          </v:shape>
        </w:pict>
      </w: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r w:rsidRPr="00CC20DC">
        <w:rPr>
          <w:b/>
        </w:rPr>
        <w:t xml:space="preserve"> </w:t>
      </w: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Pr="00B456A0" w:rsidRDefault="00291E07" w:rsidP="00C60DF3">
      <w:pPr>
        <w:pStyle w:val="Heading2"/>
      </w:pPr>
      <w:bookmarkStart w:id="78" w:name="_Toc375046015"/>
      <w:r>
        <w:lastRenderedPageBreak/>
        <w:t>Sources</w:t>
      </w:r>
      <w:r w:rsidRPr="00B456A0">
        <w:t xml:space="preserve"> of increase in insulation levels</w:t>
      </w:r>
      <w:bookmarkEnd w:id="78"/>
    </w:p>
    <w:p w:rsidR="00291E07" w:rsidRPr="00873BDB" w:rsidRDefault="00291E07" w:rsidP="001B08CA">
      <w:pPr>
        <w:jc w:val="both"/>
      </w:pPr>
      <w:r>
        <w:t>Increases in the number of properties with insulation result from new properties being built</w:t>
      </w:r>
      <w:r>
        <w:rPr>
          <w:rStyle w:val="FootnoteReference"/>
        </w:rPr>
        <w:footnoteReference w:id="23"/>
      </w:r>
      <w:r>
        <w:t xml:space="preserve"> and from retro-fit insulation, predominately through Government sc</w:t>
      </w:r>
      <w:r w:rsidR="009357AB">
        <w:t>hemes.  Table 2.1 and Charts 2.4</w:t>
      </w:r>
      <w:r>
        <w:t xml:space="preserve"> and 2.</w:t>
      </w:r>
      <w:r w:rsidR="009357AB">
        <w:t>5</w:t>
      </w:r>
      <w:r>
        <w:t xml:space="preserve"> show where the insulation estimates have come from.  </w:t>
      </w:r>
      <w:r w:rsidRPr="007159FD">
        <w:t>Delivery of measures through CERT has made the largest contribution since April 2008, for lofts</w:t>
      </w:r>
      <w:r>
        <w:t xml:space="preserve"> and</w:t>
      </w:r>
      <w:r w:rsidRPr="007159FD">
        <w:t xml:space="preserve"> cavities</w:t>
      </w:r>
      <w:r>
        <w:t xml:space="preserve">.  </w:t>
      </w:r>
      <w:r w:rsidRPr="007159FD">
        <w:t>CESP has accounted for</w:t>
      </w:r>
      <w:r>
        <w:t xml:space="preserve"> the largest contribution of solid wall insulation</w:t>
      </w:r>
      <w:r w:rsidRPr="007159FD">
        <w:t>.</w:t>
      </w:r>
      <w:r>
        <w:t xml:space="preserve"> </w:t>
      </w:r>
    </w:p>
    <w:p w:rsidR="00291E07" w:rsidRDefault="00291E07" w:rsidP="001B08CA">
      <w:pPr>
        <w:jc w:val="both"/>
        <w:rPr>
          <w:b/>
        </w:rPr>
      </w:pPr>
    </w:p>
    <w:p w:rsidR="00291E07" w:rsidRPr="004635D2" w:rsidRDefault="00291E07" w:rsidP="001B08CA">
      <w:pPr>
        <w:jc w:val="both"/>
        <w:rPr>
          <w:b/>
        </w:rPr>
      </w:pPr>
      <w:r w:rsidRPr="004635D2">
        <w:rPr>
          <w:b/>
        </w:rPr>
        <w:t xml:space="preserve">Table </w:t>
      </w:r>
      <w:r>
        <w:rPr>
          <w:b/>
        </w:rPr>
        <w:t>2.2</w:t>
      </w:r>
      <w:r w:rsidRPr="004635D2">
        <w:rPr>
          <w:b/>
        </w:rPr>
        <w:t xml:space="preserve">: Insulated homes in Great Britain by source, </w:t>
      </w:r>
      <w:r>
        <w:rPr>
          <w:b/>
        </w:rPr>
        <w:t>September</w:t>
      </w:r>
      <w:r w:rsidRPr="004635D2">
        <w:rPr>
          <w:b/>
        </w:rPr>
        <w:t xml:space="preserve"> 201</w:t>
      </w:r>
      <w:r>
        <w:rPr>
          <w:b/>
        </w:rPr>
        <w:t>3</w:t>
      </w:r>
      <w:r w:rsidRPr="004635D2">
        <w:rPr>
          <w:b/>
        </w:rPr>
        <w:t xml:space="preserve"> (Thousands)</w:t>
      </w:r>
    </w:p>
    <w:tbl>
      <w:tblPr>
        <w:tblW w:w="9140" w:type="dxa"/>
        <w:tblInd w:w="108" w:type="dxa"/>
        <w:tblLook w:val="04A0" w:firstRow="1" w:lastRow="0" w:firstColumn="1" w:lastColumn="0" w:noHBand="0" w:noVBand="1"/>
      </w:tblPr>
      <w:tblGrid>
        <w:gridCol w:w="5160"/>
        <w:gridCol w:w="1326"/>
        <w:gridCol w:w="1328"/>
        <w:gridCol w:w="1326"/>
      </w:tblGrid>
      <w:tr w:rsidR="00291E07" w:rsidRPr="007D02B2" w:rsidTr="00291E07">
        <w:trPr>
          <w:trHeight w:val="510"/>
        </w:trPr>
        <w:tc>
          <w:tcPr>
            <w:tcW w:w="5160" w:type="dxa"/>
            <w:tcBorders>
              <w:top w:val="single" w:sz="4" w:space="0" w:color="auto"/>
              <w:left w:val="nil"/>
              <w:bottom w:val="single" w:sz="4" w:space="0" w:color="auto"/>
              <w:right w:val="nil"/>
            </w:tcBorders>
            <w:shd w:val="clear" w:color="000000" w:fill="FFFFFF"/>
            <w:noWrap/>
            <w:vAlign w:val="bottom"/>
            <w:hideMark/>
          </w:tcPr>
          <w:p w:rsidR="00291E07" w:rsidRPr="007D02B2" w:rsidRDefault="00291E07" w:rsidP="001B08CA">
            <w:pPr>
              <w:spacing w:before="0" w:after="0" w:line="240" w:lineRule="auto"/>
              <w:jc w:val="both"/>
              <w:rPr>
                <w:color w:val="000000"/>
                <w:szCs w:val="24"/>
                <w:lang w:eastAsia="en-GB"/>
              </w:rPr>
            </w:pPr>
            <w:r w:rsidRPr="007D02B2">
              <w:rPr>
                <w:color w:val="000000"/>
                <w:szCs w:val="24"/>
                <w:lang w:eastAsia="en-GB"/>
              </w:rPr>
              <w:t> </w:t>
            </w:r>
          </w:p>
        </w:tc>
        <w:tc>
          <w:tcPr>
            <w:tcW w:w="1326" w:type="dxa"/>
            <w:tcBorders>
              <w:top w:val="single" w:sz="4" w:space="0" w:color="auto"/>
              <w:left w:val="nil"/>
              <w:bottom w:val="single" w:sz="4" w:space="0" w:color="auto"/>
              <w:right w:val="nil"/>
            </w:tcBorders>
            <w:shd w:val="clear" w:color="000000" w:fill="FFFFFF"/>
            <w:vAlign w:val="bottom"/>
            <w:hideMark/>
          </w:tcPr>
          <w:p w:rsidR="00291E07" w:rsidRPr="007D02B2" w:rsidRDefault="00291E07" w:rsidP="001B08CA">
            <w:pPr>
              <w:spacing w:before="0" w:after="0" w:line="240" w:lineRule="auto"/>
              <w:jc w:val="both"/>
              <w:rPr>
                <w:color w:val="000000"/>
                <w:szCs w:val="24"/>
                <w:lang w:eastAsia="en-GB"/>
              </w:rPr>
            </w:pPr>
            <w:r w:rsidRPr="007D02B2">
              <w:rPr>
                <w:color w:val="000000"/>
                <w:szCs w:val="24"/>
                <w:lang w:eastAsia="en-GB"/>
              </w:rPr>
              <w:t>Cavity wall insulation</w:t>
            </w:r>
          </w:p>
        </w:tc>
        <w:tc>
          <w:tcPr>
            <w:tcW w:w="1328" w:type="dxa"/>
            <w:tcBorders>
              <w:top w:val="single" w:sz="4" w:space="0" w:color="auto"/>
              <w:left w:val="nil"/>
              <w:bottom w:val="single" w:sz="4" w:space="0" w:color="auto"/>
              <w:right w:val="nil"/>
            </w:tcBorders>
            <w:shd w:val="clear" w:color="000000" w:fill="FFFFFF"/>
            <w:vAlign w:val="bottom"/>
            <w:hideMark/>
          </w:tcPr>
          <w:p w:rsidR="00291E07" w:rsidRPr="007D02B2" w:rsidRDefault="00291E07" w:rsidP="001B08CA">
            <w:pPr>
              <w:spacing w:before="0" w:after="0" w:line="240" w:lineRule="auto"/>
              <w:jc w:val="both"/>
              <w:rPr>
                <w:color w:val="000000"/>
                <w:szCs w:val="24"/>
                <w:lang w:eastAsia="en-GB"/>
              </w:rPr>
            </w:pPr>
            <w:r w:rsidRPr="007D02B2">
              <w:rPr>
                <w:color w:val="000000"/>
                <w:szCs w:val="24"/>
                <w:lang w:eastAsia="en-GB"/>
              </w:rPr>
              <w:t>Loft insulation &gt;=125mm</w:t>
            </w:r>
          </w:p>
        </w:tc>
        <w:tc>
          <w:tcPr>
            <w:tcW w:w="1326" w:type="dxa"/>
            <w:tcBorders>
              <w:top w:val="single" w:sz="4" w:space="0" w:color="auto"/>
              <w:left w:val="nil"/>
              <w:bottom w:val="single" w:sz="4" w:space="0" w:color="auto"/>
              <w:right w:val="nil"/>
            </w:tcBorders>
            <w:shd w:val="clear" w:color="000000" w:fill="FFFFFF"/>
            <w:vAlign w:val="bottom"/>
            <w:hideMark/>
          </w:tcPr>
          <w:p w:rsidR="00291E07" w:rsidRPr="007D02B2" w:rsidRDefault="00291E07" w:rsidP="001B08CA">
            <w:pPr>
              <w:spacing w:before="0" w:after="0" w:line="240" w:lineRule="auto"/>
              <w:jc w:val="both"/>
              <w:rPr>
                <w:color w:val="000000"/>
                <w:szCs w:val="24"/>
                <w:lang w:eastAsia="en-GB"/>
              </w:rPr>
            </w:pPr>
            <w:r w:rsidRPr="007D02B2">
              <w:rPr>
                <w:color w:val="000000"/>
                <w:szCs w:val="24"/>
                <w:lang w:eastAsia="en-GB"/>
              </w:rPr>
              <w:t>Solid wall insulation</w:t>
            </w:r>
          </w:p>
        </w:tc>
      </w:tr>
      <w:tr w:rsidR="00291E07" w:rsidRPr="007D02B2" w:rsidTr="00291E07">
        <w:trPr>
          <w:trHeight w:val="255"/>
        </w:trPr>
        <w:tc>
          <w:tcPr>
            <w:tcW w:w="5160" w:type="dxa"/>
            <w:tcBorders>
              <w:top w:val="nil"/>
              <w:left w:val="nil"/>
              <w:bottom w:val="nil"/>
              <w:right w:val="nil"/>
            </w:tcBorders>
            <w:shd w:val="clear" w:color="000000" w:fill="FFFFFF"/>
            <w:noWrap/>
            <w:vAlign w:val="bottom"/>
            <w:hideMark/>
          </w:tcPr>
          <w:p w:rsidR="00291E07" w:rsidRPr="007D02B2" w:rsidRDefault="00291E07" w:rsidP="001B08CA">
            <w:pPr>
              <w:spacing w:before="0" w:after="0" w:line="240" w:lineRule="auto"/>
              <w:jc w:val="both"/>
              <w:rPr>
                <w:color w:val="000000"/>
                <w:szCs w:val="24"/>
                <w:lang w:eastAsia="en-GB"/>
              </w:rPr>
            </w:pPr>
            <w:r w:rsidRPr="007D02B2">
              <w:rPr>
                <w:color w:val="000000"/>
                <w:szCs w:val="24"/>
                <w:lang w:eastAsia="en-GB"/>
              </w:rPr>
              <w:t>April 2008 housing surveys</w:t>
            </w:r>
          </w:p>
        </w:tc>
        <w:tc>
          <w:tcPr>
            <w:tcW w:w="1326" w:type="dxa"/>
            <w:tcBorders>
              <w:top w:val="nil"/>
              <w:left w:val="nil"/>
              <w:bottom w:val="nil"/>
              <w:right w:val="nil"/>
            </w:tcBorders>
            <w:shd w:val="clear" w:color="000000" w:fill="FFFFFF"/>
            <w:noWrap/>
            <w:vAlign w:val="bottom"/>
            <w:hideMark/>
          </w:tcPr>
          <w:p w:rsidR="00291E07" w:rsidRPr="007D02B2" w:rsidRDefault="00291E07" w:rsidP="001B08CA">
            <w:pPr>
              <w:spacing w:before="0" w:after="0" w:line="240" w:lineRule="auto"/>
              <w:jc w:val="both"/>
              <w:rPr>
                <w:color w:val="000000"/>
                <w:szCs w:val="24"/>
                <w:lang w:eastAsia="en-GB"/>
              </w:rPr>
            </w:pPr>
            <w:r w:rsidRPr="007D02B2">
              <w:rPr>
                <w:color w:val="000000"/>
                <w:szCs w:val="24"/>
                <w:lang w:eastAsia="en-GB"/>
              </w:rPr>
              <w:t>10,030</w:t>
            </w:r>
          </w:p>
        </w:tc>
        <w:tc>
          <w:tcPr>
            <w:tcW w:w="1328" w:type="dxa"/>
            <w:tcBorders>
              <w:top w:val="nil"/>
              <w:left w:val="nil"/>
              <w:bottom w:val="nil"/>
              <w:right w:val="nil"/>
            </w:tcBorders>
            <w:shd w:val="clear" w:color="000000" w:fill="FFFFFF"/>
            <w:noWrap/>
            <w:vAlign w:val="bottom"/>
            <w:hideMark/>
          </w:tcPr>
          <w:p w:rsidR="00291E07" w:rsidRPr="007D02B2" w:rsidRDefault="00291E07" w:rsidP="001B08CA">
            <w:pPr>
              <w:spacing w:before="0" w:after="0" w:line="240" w:lineRule="auto"/>
              <w:jc w:val="both"/>
              <w:rPr>
                <w:color w:val="000000"/>
                <w:szCs w:val="24"/>
                <w:lang w:eastAsia="en-GB"/>
              </w:rPr>
            </w:pPr>
            <w:r w:rsidRPr="007D02B2">
              <w:rPr>
                <w:color w:val="000000"/>
                <w:szCs w:val="24"/>
                <w:lang w:eastAsia="en-GB"/>
              </w:rPr>
              <w:t>10,150</w:t>
            </w:r>
          </w:p>
        </w:tc>
        <w:tc>
          <w:tcPr>
            <w:tcW w:w="1326" w:type="dxa"/>
            <w:tcBorders>
              <w:top w:val="nil"/>
              <w:left w:val="nil"/>
              <w:bottom w:val="nil"/>
              <w:right w:val="nil"/>
            </w:tcBorders>
            <w:shd w:val="clear" w:color="000000" w:fill="FFFFFF"/>
            <w:noWrap/>
            <w:vAlign w:val="bottom"/>
            <w:hideMark/>
          </w:tcPr>
          <w:p w:rsidR="00291E07" w:rsidRPr="007D02B2" w:rsidRDefault="00291E07" w:rsidP="001B08CA">
            <w:pPr>
              <w:spacing w:before="0" w:after="0" w:line="240" w:lineRule="auto"/>
              <w:jc w:val="both"/>
              <w:rPr>
                <w:color w:val="000000"/>
                <w:szCs w:val="24"/>
                <w:lang w:eastAsia="en-GB"/>
              </w:rPr>
            </w:pPr>
            <w:r w:rsidRPr="007D02B2">
              <w:rPr>
                <w:color w:val="000000"/>
                <w:szCs w:val="24"/>
                <w:lang w:eastAsia="en-GB"/>
              </w:rPr>
              <w:t>65</w:t>
            </w:r>
          </w:p>
        </w:tc>
      </w:tr>
      <w:tr w:rsidR="00291E07" w:rsidRPr="007D02B2" w:rsidTr="00291E07">
        <w:trPr>
          <w:trHeight w:val="255"/>
        </w:trPr>
        <w:tc>
          <w:tcPr>
            <w:tcW w:w="5160" w:type="dxa"/>
            <w:tcBorders>
              <w:top w:val="nil"/>
              <w:left w:val="nil"/>
              <w:bottom w:val="nil"/>
              <w:right w:val="nil"/>
            </w:tcBorders>
            <w:shd w:val="clear" w:color="000000" w:fill="FFFFFF"/>
            <w:noWrap/>
            <w:vAlign w:val="bottom"/>
            <w:hideMark/>
          </w:tcPr>
          <w:p w:rsidR="00291E07" w:rsidRPr="007D02B2" w:rsidRDefault="00291E07" w:rsidP="001B08CA">
            <w:pPr>
              <w:spacing w:before="0" w:after="0" w:line="240" w:lineRule="auto"/>
              <w:jc w:val="both"/>
              <w:rPr>
                <w:color w:val="000000"/>
                <w:szCs w:val="24"/>
                <w:lang w:eastAsia="en-GB"/>
              </w:rPr>
            </w:pPr>
            <w:r w:rsidRPr="007D02B2">
              <w:rPr>
                <w:color w:val="000000"/>
                <w:szCs w:val="24"/>
                <w:lang w:eastAsia="en-GB"/>
              </w:rPr>
              <w:t>Properties built since April 2008</w:t>
            </w:r>
          </w:p>
        </w:tc>
        <w:tc>
          <w:tcPr>
            <w:tcW w:w="1326" w:type="dxa"/>
            <w:tcBorders>
              <w:top w:val="nil"/>
              <w:left w:val="nil"/>
              <w:bottom w:val="nil"/>
              <w:right w:val="nil"/>
            </w:tcBorders>
            <w:shd w:val="clear" w:color="000000" w:fill="FFFFFF"/>
            <w:noWrap/>
            <w:vAlign w:val="bottom"/>
            <w:hideMark/>
          </w:tcPr>
          <w:p w:rsidR="00291E07" w:rsidRPr="007D02B2" w:rsidRDefault="00291E07" w:rsidP="001B08CA">
            <w:pPr>
              <w:spacing w:before="0" w:after="0" w:line="240" w:lineRule="auto"/>
              <w:jc w:val="both"/>
              <w:rPr>
                <w:color w:val="000000"/>
                <w:szCs w:val="24"/>
                <w:lang w:eastAsia="en-GB"/>
              </w:rPr>
            </w:pPr>
            <w:r w:rsidRPr="007D02B2">
              <w:rPr>
                <w:color w:val="000000"/>
                <w:szCs w:val="24"/>
                <w:lang w:eastAsia="en-GB"/>
              </w:rPr>
              <w:t>770</w:t>
            </w:r>
          </w:p>
        </w:tc>
        <w:tc>
          <w:tcPr>
            <w:tcW w:w="1328" w:type="dxa"/>
            <w:tcBorders>
              <w:top w:val="nil"/>
              <w:left w:val="nil"/>
              <w:bottom w:val="nil"/>
              <w:right w:val="nil"/>
            </w:tcBorders>
            <w:shd w:val="clear" w:color="000000" w:fill="FFFFFF"/>
            <w:noWrap/>
            <w:vAlign w:val="bottom"/>
            <w:hideMark/>
          </w:tcPr>
          <w:p w:rsidR="00291E07" w:rsidRPr="007D02B2" w:rsidRDefault="00291E07" w:rsidP="001B08CA">
            <w:pPr>
              <w:spacing w:before="0" w:after="0" w:line="240" w:lineRule="auto"/>
              <w:jc w:val="both"/>
              <w:rPr>
                <w:color w:val="000000"/>
                <w:szCs w:val="24"/>
                <w:lang w:eastAsia="en-GB"/>
              </w:rPr>
            </w:pPr>
            <w:r w:rsidRPr="007D02B2">
              <w:rPr>
                <w:color w:val="000000"/>
                <w:szCs w:val="24"/>
                <w:lang w:eastAsia="en-GB"/>
              </w:rPr>
              <w:t>600</w:t>
            </w:r>
          </w:p>
        </w:tc>
        <w:tc>
          <w:tcPr>
            <w:tcW w:w="1326" w:type="dxa"/>
            <w:tcBorders>
              <w:top w:val="nil"/>
              <w:left w:val="nil"/>
              <w:bottom w:val="nil"/>
              <w:right w:val="nil"/>
            </w:tcBorders>
            <w:shd w:val="clear" w:color="000000" w:fill="FFFFFF"/>
            <w:noWrap/>
            <w:vAlign w:val="bottom"/>
            <w:hideMark/>
          </w:tcPr>
          <w:p w:rsidR="00291E07" w:rsidRPr="007D02B2" w:rsidRDefault="00291E07" w:rsidP="001B08CA">
            <w:pPr>
              <w:spacing w:before="0" w:after="0" w:line="240" w:lineRule="auto"/>
              <w:jc w:val="both"/>
              <w:rPr>
                <w:color w:val="000000"/>
                <w:szCs w:val="24"/>
                <w:lang w:eastAsia="en-GB"/>
              </w:rPr>
            </w:pPr>
            <w:r w:rsidRPr="007D02B2">
              <w:rPr>
                <w:color w:val="000000"/>
                <w:szCs w:val="24"/>
                <w:lang w:eastAsia="en-GB"/>
              </w:rPr>
              <w:t>..</w:t>
            </w:r>
          </w:p>
        </w:tc>
      </w:tr>
      <w:tr w:rsidR="00291E07" w:rsidRPr="007D02B2" w:rsidTr="00291E07">
        <w:trPr>
          <w:trHeight w:val="255"/>
        </w:trPr>
        <w:tc>
          <w:tcPr>
            <w:tcW w:w="5160" w:type="dxa"/>
            <w:tcBorders>
              <w:top w:val="nil"/>
              <w:left w:val="nil"/>
              <w:bottom w:val="nil"/>
              <w:right w:val="nil"/>
            </w:tcBorders>
            <w:shd w:val="clear" w:color="000000" w:fill="FFFFFF"/>
            <w:noWrap/>
            <w:vAlign w:val="bottom"/>
            <w:hideMark/>
          </w:tcPr>
          <w:p w:rsidR="00291E07" w:rsidRPr="007D02B2" w:rsidRDefault="00291E07" w:rsidP="001B08CA">
            <w:pPr>
              <w:spacing w:before="0" w:after="0" w:line="240" w:lineRule="auto"/>
              <w:jc w:val="both"/>
              <w:rPr>
                <w:color w:val="000000"/>
                <w:szCs w:val="24"/>
                <w:lang w:eastAsia="en-GB"/>
              </w:rPr>
            </w:pPr>
            <w:r w:rsidRPr="007D02B2">
              <w:rPr>
                <w:color w:val="000000"/>
                <w:szCs w:val="24"/>
                <w:lang w:eastAsia="en-GB"/>
              </w:rPr>
              <w:t>Government scheme delivery April 2008 - December 2012</w:t>
            </w:r>
          </w:p>
        </w:tc>
        <w:tc>
          <w:tcPr>
            <w:tcW w:w="1326" w:type="dxa"/>
            <w:tcBorders>
              <w:top w:val="nil"/>
              <w:left w:val="nil"/>
              <w:bottom w:val="nil"/>
              <w:right w:val="nil"/>
            </w:tcBorders>
            <w:shd w:val="clear" w:color="000000" w:fill="FFFFFF"/>
            <w:noWrap/>
            <w:vAlign w:val="bottom"/>
            <w:hideMark/>
          </w:tcPr>
          <w:p w:rsidR="00291E07" w:rsidRPr="007D02B2" w:rsidRDefault="00291E07" w:rsidP="001B08CA">
            <w:pPr>
              <w:spacing w:before="0" w:after="0" w:line="240" w:lineRule="auto"/>
              <w:jc w:val="both"/>
              <w:rPr>
                <w:color w:val="000000"/>
                <w:szCs w:val="24"/>
                <w:lang w:eastAsia="en-GB"/>
              </w:rPr>
            </w:pPr>
            <w:r w:rsidRPr="007D02B2">
              <w:rPr>
                <w:color w:val="000000"/>
                <w:szCs w:val="24"/>
                <w:lang w:eastAsia="en-GB"/>
              </w:rPr>
              <w:t>2,600</w:t>
            </w:r>
          </w:p>
        </w:tc>
        <w:tc>
          <w:tcPr>
            <w:tcW w:w="1328" w:type="dxa"/>
            <w:tcBorders>
              <w:top w:val="nil"/>
              <w:left w:val="nil"/>
              <w:bottom w:val="nil"/>
              <w:right w:val="nil"/>
            </w:tcBorders>
            <w:shd w:val="clear" w:color="000000" w:fill="FFFFFF"/>
            <w:noWrap/>
            <w:vAlign w:val="bottom"/>
            <w:hideMark/>
          </w:tcPr>
          <w:p w:rsidR="00291E07" w:rsidRPr="007D02B2" w:rsidRDefault="00291E07" w:rsidP="001B08CA">
            <w:pPr>
              <w:spacing w:before="0" w:after="0" w:line="240" w:lineRule="auto"/>
              <w:jc w:val="both"/>
              <w:rPr>
                <w:color w:val="000000"/>
                <w:szCs w:val="24"/>
                <w:lang w:eastAsia="en-GB"/>
              </w:rPr>
            </w:pPr>
            <w:r w:rsidRPr="007D02B2">
              <w:rPr>
                <w:color w:val="000000"/>
                <w:szCs w:val="24"/>
                <w:lang w:eastAsia="en-GB"/>
              </w:rPr>
              <w:t>5,450</w:t>
            </w:r>
          </w:p>
        </w:tc>
        <w:tc>
          <w:tcPr>
            <w:tcW w:w="1326" w:type="dxa"/>
            <w:tcBorders>
              <w:top w:val="nil"/>
              <w:left w:val="nil"/>
              <w:bottom w:val="nil"/>
              <w:right w:val="nil"/>
            </w:tcBorders>
            <w:shd w:val="clear" w:color="000000" w:fill="FFFFFF"/>
            <w:noWrap/>
            <w:vAlign w:val="bottom"/>
            <w:hideMark/>
          </w:tcPr>
          <w:p w:rsidR="00291E07" w:rsidRPr="007D02B2" w:rsidRDefault="00291E07" w:rsidP="001B08CA">
            <w:pPr>
              <w:spacing w:before="0" w:after="0" w:line="240" w:lineRule="auto"/>
              <w:jc w:val="both"/>
              <w:rPr>
                <w:color w:val="000000"/>
                <w:szCs w:val="24"/>
                <w:lang w:eastAsia="en-GB"/>
              </w:rPr>
            </w:pPr>
            <w:r w:rsidRPr="007D02B2">
              <w:rPr>
                <w:color w:val="000000"/>
                <w:szCs w:val="24"/>
                <w:lang w:eastAsia="en-GB"/>
              </w:rPr>
              <w:t>139</w:t>
            </w:r>
          </w:p>
        </w:tc>
      </w:tr>
      <w:tr w:rsidR="00291E07" w:rsidRPr="007D02B2" w:rsidTr="00291E07">
        <w:trPr>
          <w:trHeight w:val="255"/>
        </w:trPr>
        <w:tc>
          <w:tcPr>
            <w:tcW w:w="5160" w:type="dxa"/>
            <w:tcBorders>
              <w:top w:val="nil"/>
              <w:left w:val="nil"/>
              <w:bottom w:val="nil"/>
              <w:right w:val="nil"/>
            </w:tcBorders>
            <w:shd w:val="clear" w:color="000000" w:fill="FFFFFF"/>
            <w:noWrap/>
            <w:vAlign w:val="bottom"/>
            <w:hideMark/>
          </w:tcPr>
          <w:p w:rsidR="00291E07" w:rsidRPr="007D02B2" w:rsidRDefault="00291E07" w:rsidP="001B08CA">
            <w:pPr>
              <w:spacing w:before="0" w:after="0" w:line="240" w:lineRule="auto"/>
              <w:jc w:val="both"/>
              <w:rPr>
                <w:color w:val="000000"/>
                <w:szCs w:val="24"/>
                <w:lang w:eastAsia="en-GB"/>
              </w:rPr>
            </w:pPr>
            <w:r w:rsidRPr="007D02B2">
              <w:rPr>
                <w:color w:val="000000"/>
                <w:szCs w:val="24"/>
                <w:lang w:eastAsia="en-GB"/>
              </w:rPr>
              <w:t>Green Deal/ECO delivery since January 2013</w:t>
            </w:r>
          </w:p>
        </w:tc>
        <w:tc>
          <w:tcPr>
            <w:tcW w:w="1326" w:type="dxa"/>
            <w:tcBorders>
              <w:top w:val="nil"/>
              <w:left w:val="nil"/>
              <w:bottom w:val="nil"/>
              <w:right w:val="nil"/>
            </w:tcBorders>
            <w:shd w:val="clear" w:color="000000" w:fill="FFFFFF"/>
            <w:noWrap/>
            <w:vAlign w:val="bottom"/>
            <w:hideMark/>
          </w:tcPr>
          <w:p w:rsidR="00291E07" w:rsidRPr="007D02B2" w:rsidRDefault="00291E07" w:rsidP="001B08CA">
            <w:pPr>
              <w:spacing w:before="0" w:after="0" w:line="240" w:lineRule="auto"/>
              <w:jc w:val="both"/>
              <w:rPr>
                <w:color w:val="000000"/>
                <w:szCs w:val="24"/>
                <w:lang w:eastAsia="en-GB"/>
              </w:rPr>
            </w:pPr>
            <w:r w:rsidRPr="007D02B2">
              <w:rPr>
                <w:color w:val="000000"/>
                <w:szCs w:val="24"/>
                <w:lang w:eastAsia="en-GB"/>
              </w:rPr>
              <w:t>100</w:t>
            </w:r>
          </w:p>
        </w:tc>
        <w:tc>
          <w:tcPr>
            <w:tcW w:w="1328" w:type="dxa"/>
            <w:tcBorders>
              <w:top w:val="nil"/>
              <w:left w:val="nil"/>
              <w:bottom w:val="nil"/>
              <w:right w:val="nil"/>
            </w:tcBorders>
            <w:shd w:val="clear" w:color="000000" w:fill="FFFFFF"/>
            <w:noWrap/>
            <w:vAlign w:val="bottom"/>
            <w:hideMark/>
          </w:tcPr>
          <w:p w:rsidR="00291E07" w:rsidRPr="007D02B2" w:rsidRDefault="00291E07" w:rsidP="001B08CA">
            <w:pPr>
              <w:spacing w:before="0" w:after="0" w:line="240" w:lineRule="auto"/>
              <w:jc w:val="both"/>
              <w:rPr>
                <w:color w:val="000000"/>
                <w:szCs w:val="24"/>
                <w:lang w:eastAsia="en-GB"/>
              </w:rPr>
            </w:pPr>
            <w:r w:rsidRPr="007D02B2">
              <w:rPr>
                <w:color w:val="000000"/>
                <w:szCs w:val="24"/>
                <w:lang w:eastAsia="en-GB"/>
              </w:rPr>
              <w:t>90</w:t>
            </w:r>
          </w:p>
        </w:tc>
        <w:tc>
          <w:tcPr>
            <w:tcW w:w="1326" w:type="dxa"/>
            <w:tcBorders>
              <w:top w:val="nil"/>
              <w:left w:val="nil"/>
              <w:bottom w:val="nil"/>
              <w:right w:val="nil"/>
            </w:tcBorders>
            <w:shd w:val="clear" w:color="000000" w:fill="FFFFFF"/>
            <w:noWrap/>
            <w:vAlign w:val="bottom"/>
            <w:hideMark/>
          </w:tcPr>
          <w:p w:rsidR="00291E07" w:rsidRPr="007D02B2" w:rsidRDefault="00291E07" w:rsidP="001B08CA">
            <w:pPr>
              <w:spacing w:before="0" w:after="0" w:line="240" w:lineRule="auto"/>
              <w:jc w:val="both"/>
              <w:rPr>
                <w:color w:val="000000"/>
                <w:szCs w:val="24"/>
                <w:lang w:eastAsia="en-GB"/>
              </w:rPr>
            </w:pPr>
            <w:r w:rsidRPr="007D02B2">
              <w:rPr>
                <w:color w:val="000000"/>
                <w:szCs w:val="24"/>
                <w:lang w:eastAsia="en-GB"/>
              </w:rPr>
              <w:t>13</w:t>
            </w:r>
          </w:p>
        </w:tc>
      </w:tr>
      <w:tr w:rsidR="00291E07" w:rsidRPr="007D02B2" w:rsidTr="00291E07">
        <w:trPr>
          <w:trHeight w:val="255"/>
        </w:trPr>
        <w:tc>
          <w:tcPr>
            <w:tcW w:w="5160" w:type="dxa"/>
            <w:tcBorders>
              <w:top w:val="single" w:sz="4" w:space="0" w:color="auto"/>
              <w:left w:val="nil"/>
              <w:bottom w:val="single" w:sz="4" w:space="0" w:color="auto"/>
              <w:right w:val="nil"/>
            </w:tcBorders>
            <w:shd w:val="clear" w:color="000000" w:fill="FFFFFF"/>
            <w:noWrap/>
            <w:vAlign w:val="bottom"/>
            <w:hideMark/>
          </w:tcPr>
          <w:p w:rsidR="00291E07" w:rsidRPr="007D02B2" w:rsidRDefault="00291E07" w:rsidP="001B08CA">
            <w:pPr>
              <w:spacing w:before="0" w:after="0" w:line="240" w:lineRule="auto"/>
              <w:jc w:val="both"/>
              <w:rPr>
                <w:color w:val="000000"/>
                <w:szCs w:val="24"/>
                <w:lang w:eastAsia="en-GB"/>
              </w:rPr>
            </w:pPr>
            <w:r w:rsidRPr="007D02B2">
              <w:rPr>
                <w:color w:val="000000"/>
                <w:szCs w:val="24"/>
                <w:lang w:eastAsia="en-GB"/>
              </w:rPr>
              <w:t>Total</w:t>
            </w:r>
          </w:p>
        </w:tc>
        <w:tc>
          <w:tcPr>
            <w:tcW w:w="1326" w:type="dxa"/>
            <w:tcBorders>
              <w:top w:val="single" w:sz="4" w:space="0" w:color="auto"/>
              <w:left w:val="nil"/>
              <w:bottom w:val="single" w:sz="4" w:space="0" w:color="auto"/>
              <w:right w:val="nil"/>
            </w:tcBorders>
            <w:shd w:val="clear" w:color="000000" w:fill="FFFFFF"/>
            <w:noWrap/>
            <w:vAlign w:val="bottom"/>
            <w:hideMark/>
          </w:tcPr>
          <w:p w:rsidR="00291E07" w:rsidRPr="007D02B2" w:rsidRDefault="00291E07" w:rsidP="001B08CA">
            <w:pPr>
              <w:spacing w:before="0" w:after="0" w:line="240" w:lineRule="auto"/>
              <w:jc w:val="both"/>
              <w:rPr>
                <w:color w:val="000000"/>
                <w:szCs w:val="24"/>
                <w:lang w:eastAsia="en-GB"/>
              </w:rPr>
            </w:pPr>
            <w:r w:rsidRPr="007D02B2">
              <w:rPr>
                <w:color w:val="000000"/>
                <w:szCs w:val="24"/>
                <w:lang w:eastAsia="en-GB"/>
              </w:rPr>
              <w:t>13,510</w:t>
            </w:r>
          </w:p>
        </w:tc>
        <w:tc>
          <w:tcPr>
            <w:tcW w:w="1328" w:type="dxa"/>
            <w:tcBorders>
              <w:top w:val="single" w:sz="4" w:space="0" w:color="auto"/>
              <w:left w:val="nil"/>
              <w:bottom w:val="single" w:sz="4" w:space="0" w:color="auto"/>
              <w:right w:val="nil"/>
            </w:tcBorders>
            <w:shd w:val="clear" w:color="000000" w:fill="FFFFFF"/>
            <w:noWrap/>
            <w:vAlign w:val="bottom"/>
            <w:hideMark/>
          </w:tcPr>
          <w:p w:rsidR="00291E07" w:rsidRPr="007D02B2" w:rsidRDefault="00291E07" w:rsidP="001B08CA">
            <w:pPr>
              <w:spacing w:before="0" w:after="0" w:line="240" w:lineRule="auto"/>
              <w:jc w:val="both"/>
              <w:rPr>
                <w:color w:val="000000"/>
                <w:szCs w:val="24"/>
                <w:lang w:eastAsia="en-GB"/>
              </w:rPr>
            </w:pPr>
            <w:r w:rsidRPr="007D02B2">
              <w:rPr>
                <w:color w:val="000000"/>
                <w:szCs w:val="24"/>
                <w:lang w:eastAsia="en-GB"/>
              </w:rPr>
              <w:t>16,290</w:t>
            </w:r>
          </w:p>
        </w:tc>
        <w:tc>
          <w:tcPr>
            <w:tcW w:w="1326" w:type="dxa"/>
            <w:tcBorders>
              <w:top w:val="single" w:sz="4" w:space="0" w:color="auto"/>
              <w:left w:val="nil"/>
              <w:bottom w:val="single" w:sz="4" w:space="0" w:color="auto"/>
              <w:right w:val="nil"/>
            </w:tcBorders>
            <w:shd w:val="clear" w:color="000000" w:fill="FFFFFF"/>
            <w:noWrap/>
            <w:vAlign w:val="bottom"/>
            <w:hideMark/>
          </w:tcPr>
          <w:p w:rsidR="00291E07" w:rsidRPr="007D02B2" w:rsidRDefault="00291E07" w:rsidP="001B08CA">
            <w:pPr>
              <w:spacing w:before="0" w:after="0" w:line="240" w:lineRule="auto"/>
              <w:jc w:val="both"/>
              <w:rPr>
                <w:color w:val="000000"/>
                <w:szCs w:val="24"/>
                <w:lang w:eastAsia="en-GB"/>
              </w:rPr>
            </w:pPr>
            <w:r w:rsidRPr="007D02B2">
              <w:rPr>
                <w:color w:val="000000"/>
                <w:szCs w:val="24"/>
                <w:lang w:eastAsia="en-GB"/>
              </w:rPr>
              <w:t>217</w:t>
            </w:r>
          </w:p>
        </w:tc>
      </w:tr>
      <w:tr w:rsidR="00291E07" w:rsidRPr="007D02B2" w:rsidTr="00291E07">
        <w:trPr>
          <w:trHeight w:val="255"/>
        </w:trPr>
        <w:tc>
          <w:tcPr>
            <w:tcW w:w="5160" w:type="dxa"/>
            <w:tcBorders>
              <w:top w:val="nil"/>
              <w:left w:val="nil"/>
              <w:bottom w:val="nil"/>
              <w:right w:val="nil"/>
            </w:tcBorders>
            <w:shd w:val="clear" w:color="000000" w:fill="FFFFFF"/>
            <w:noWrap/>
            <w:vAlign w:val="bottom"/>
            <w:hideMark/>
          </w:tcPr>
          <w:p w:rsidR="00291E07" w:rsidRPr="007D02B2" w:rsidRDefault="00291E07" w:rsidP="001B08CA">
            <w:pPr>
              <w:spacing w:before="0" w:after="0" w:line="240" w:lineRule="auto"/>
              <w:jc w:val="both"/>
              <w:rPr>
                <w:color w:val="000000"/>
                <w:szCs w:val="24"/>
                <w:lang w:eastAsia="en-GB"/>
              </w:rPr>
            </w:pPr>
            <w:r w:rsidRPr="007D02B2">
              <w:rPr>
                <w:color w:val="000000"/>
                <w:szCs w:val="24"/>
                <w:lang w:eastAsia="en-GB"/>
              </w:rPr>
              <w:t>Homes in Great Britain</w:t>
            </w:r>
          </w:p>
        </w:tc>
        <w:tc>
          <w:tcPr>
            <w:tcW w:w="1326" w:type="dxa"/>
            <w:tcBorders>
              <w:top w:val="nil"/>
              <w:left w:val="nil"/>
              <w:bottom w:val="nil"/>
              <w:right w:val="nil"/>
            </w:tcBorders>
            <w:shd w:val="clear" w:color="000000" w:fill="FFFFFF"/>
            <w:noWrap/>
            <w:vAlign w:val="bottom"/>
            <w:hideMark/>
          </w:tcPr>
          <w:p w:rsidR="00291E07" w:rsidRPr="007D02B2" w:rsidRDefault="00291E07" w:rsidP="001B08CA">
            <w:pPr>
              <w:spacing w:before="0" w:after="0" w:line="240" w:lineRule="auto"/>
              <w:jc w:val="both"/>
              <w:rPr>
                <w:color w:val="000000"/>
                <w:szCs w:val="24"/>
                <w:lang w:eastAsia="en-GB"/>
              </w:rPr>
            </w:pPr>
            <w:r w:rsidRPr="007D02B2">
              <w:rPr>
                <w:color w:val="000000"/>
                <w:szCs w:val="24"/>
                <w:lang w:eastAsia="en-GB"/>
              </w:rPr>
              <w:t>19,170</w:t>
            </w:r>
          </w:p>
        </w:tc>
        <w:tc>
          <w:tcPr>
            <w:tcW w:w="1328" w:type="dxa"/>
            <w:tcBorders>
              <w:top w:val="nil"/>
              <w:left w:val="nil"/>
              <w:bottom w:val="nil"/>
              <w:right w:val="nil"/>
            </w:tcBorders>
            <w:shd w:val="clear" w:color="000000" w:fill="FFFFFF"/>
            <w:noWrap/>
            <w:vAlign w:val="bottom"/>
            <w:hideMark/>
          </w:tcPr>
          <w:p w:rsidR="00291E07" w:rsidRPr="007D02B2" w:rsidRDefault="00291E07" w:rsidP="001B08CA">
            <w:pPr>
              <w:spacing w:before="0" w:after="0" w:line="240" w:lineRule="auto"/>
              <w:jc w:val="both"/>
              <w:rPr>
                <w:color w:val="000000"/>
                <w:szCs w:val="24"/>
                <w:lang w:eastAsia="en-GB"/>
              </w:rPr>
            </w:pPr>
            <w:r w:rsidRPr="007D02B2">
              <w:rPr>
                <w:color w:val="000000"/>
                <w:szCs w:val="24"/>
                <w:lang w:eastAsia="en-GB"/>
              </w:rPr>
              <w:t>23,730</w:t>
            </w:r>
          </w:p>
        </w:tc>
        <w:tc>
          <w:tcPr>
            <w:tcW w:w="1326" w:type="dxa"/>
            <w:tcBorders>
              <w:top w:val="nil"/>
              <w:left w:val="nil"/>
              <w:bottom w:val="nil"/>
              <w:right w:val="nil"/>
            </w:tcBorders>
            <w:shd w:val="clear" w:color="000000" w:fill="FFFFFF"/>
            <w:noWrap/>
            <w:vAlign w:val="bottom"/>
            <w:hideMark/>
          </w:tcPr>
          <w:p w:rsidR="00291E07" w:rsidRPr="007D02B2" w:rsidRDefault="00291E07" w:rsidP="001B08CA">
            <w:pPr>
              <w:spacing w:before="0" w:after="0" w:line="240" w:lineRule="auto"/>
              <w:jc w:val="both"/>
              <w:rPr>
                <w:color w:val="000000"/>
                <w:szCs w:val="24"/>
                <w:lang w:eastAsia="en-GB"/>
              </w:rPr>
            </w:pPr>
            <w:r w:rsidRPr="007D02B2">
              <w:rPr>
                <w:color w:val="000000"/>
                <w:szCs w:val="24"/>
                <w:lang w:eastAsia="en-GB"/>
              </w:rPr>
              <w:t>7,990</w:t>
            </w:r>
          </w:p>
        </w:tc>
      </w:tr>
      <w:tr w:rsidR="00291E07" w:rsidRPr="007D02B2" w:rsidTr="00291E07">
        <w:trPr>
          <w:trHeight w:val="255"/>
        </w:trPr>
        <w:tc>
          <w:tcPr>
            <w:tcW w:w="5160" w:type="dxa"/>
            <w:tcBorders>
              <w:top w:val="nil"/>
              <w:left w:val="nil"/>
              <w:bottom w:val="single" w:sz="4" w:space="0" w:color="auto"/>
              <w:right w:val="nil"/>
            </w:tcBorders>
            <w:shd w:val="clear" w:color="000000" w:fill="FFFFFF"/>
            <w:noWrap/>
            <w:vAlign w:val="bottom"/>
            <w:hideMark/>
          </w:tcPr>
          <w:p w:rsidR="00291E07" w:rsidRPr="007D02B2" w:rsidRDefault="00291E07" w:rsidP="001B08CA">
            <w:pPr>
              <w:spacing w:before="0" w:after="0" w:line="240" w:lineRule="auto"/>
              <w:jc w:val="both"/>
              <w:rPr>
                <w:color w:val="000000"/>
                <w:szCs w:val="24"/>
                <w:lang w:eastAsia="en-GB"/>
              </w:rPr>
            </w:pPr>
            <w:r w:rsidRPr="007D02B2">
              <w:rPr>
                <w:color w:val="000000"/>
                <w:szCs w:val="24"/>
                <w:lang w:eastAsia="en-GB"/>
              </w:rPr>
              <w:t>Percentage of homes insulated</w:t>
            </w:r>
          </w:p>
        </w:tc>
        <w:tc>
          <w:tcPr>
            <w:tcW w:w="1326" w:type="dxa"/>
            <w:tcBorders>
              <w:top w:val="nil"/>
              <w:left w:val="nil"/>
              <w:bottom w:val="single" w:sz="4" w:space="0" w:color="auto"/>
              <w:right w:val="nil"/>
            </w:tcBorders>
            <w:shd w:val="clear" w:color="000000" w:fill="FFFFFF"/>
            <w:noWrap/>
            <w:vAlign w:val="bottom"/>
            <w:hideMark/>
          </w:tcPr>
          <w:p w:rsidR="00291E07" w:rsidRPr="007D02B2" w:rsidRDefault="00291E07" w:rsidP="001B08CA">
            <w:pPr>
              <w:spacing w:before="0" w:after="0" w:line="240" w:lineRule="auto"/>
              <w:jc w:val="both"/>
              <w:rPr>
                <w:color w:val="000000"/>
                <w:szCs w:val="24"/>
                <w:lang w:eastAsia="en-GB"/>
              </w:rPr>
            </w:pPr>
            <w:r w:rsidRPr="007D02B2">
              <w:rPr>
                <w:color w:val="000000"/>
                <w:szCs w:val="24"/>
                <w:lang w:eastAsia="en-GB"/>
              </w:rPr>
              <w:t>70%</w:t>
            </w:r>
          </w:p>
        </w:tc>
        <w:tc>
          <w:tcPr>
            <w:tcW w:w="1328" w:type="dxa"/>
            <w:tcBorders>
              <w:top w:val="nil"/>
              <w:left w:val="nil"/>
              <w:bottom w:val="single" w:sz="4" w:space="0" w:color="auto"/>
              <w:right w:val="nil"/>
            </w:tcBorders>
            <w:shd w:val="clear" w:color="000000" w:fill="FFFFFF"/>
            <w:noWrap/>
            <w:vAlign w:val="bottom"/>
            <w:hideMark/>
          </w:tcPr>
          <w:p w:rsidR="00291E07" w:rsidRPr="007D02B2" w:rsidRDefault="00291E07" w:rsidP="001B08CA">
            <w:pPr>
              <w:spacing w:before="0" w:after="0" w:line="240" w:lineRule="auto"/>
              <w:jc w:val="both"/>
              <w:rPr>
                <w:color w:val="000000"/>
                <w:szCs w:val="24"/>
                <w:lang w:eastAsia="en-GB"/>
              </w:rPr>
            </w:pPr>
            <w:r w:rsidRPr="007D02B2">
              <w:rPr>
                <w:color w:val="000000"/>
                <w:szCs w:val="24"/>
                <w:lang w:eastAsia="en-GB"/>
              </w:rPr>
              <w:t>69%</w:t>
            </w:r>
          </w:p>
        </w:tc>
        <w:tc>
          <w:tcPr>
            <w:tcW w:w="1326" w:type="dxa"/>
            <w:tcBorders>
              <w:top w:val="nil"/>
              <w:left w:val="nil"/>
              <w:bottom w:val="single" w:sz="4" w:space="0" w:color="auto"/>
              <w:right w:val="nil"/>
            </w:tcBorders>
            <w:shd w:val="clear" w:color="000000" w:fill="FFFFFF"/>
            <w:noWrap/>
            <w:vAlign w:val="bottom"/>
            <w:hideMark/>
          </w:tcPr>
          <w:p w:rsidR="00291E07" w:rsidRPr="007D02B2" w:rsidRDefault="00291E07" w:rsidP="001B08CA">
            <w:pPr>
              <w:spacing w:before="0" w:after="0" w:line="240" w:lineRule="auto"/>
              <w:jc w:val="both"/>
              <w:rPr>
                <w:color w:val="000000"/>
                <w:szCs w:val="24"/>
                <w:lang w:eastAsia="en-GB"/>
              </w:rPr>
            </w:pPr>
            <w:r w:rsidRPr="007D02B2">
              <w:rPr>
                <w:color w:val="000000"/>
                <w:szCs w:val="24"/>
                <w:lang w:eastAsia="en-GB"/>
              </w:rPr>
              <w:t>3%</w:t>
            </w:r>
          </w:p>
        </w:tc>
      </w:tr>
    </w:tbl>
    <w:p w:rsidR="00291E07" w:rsidRPr="007D02B2" w:rsidRDefault="00291E07" w:rsidP="001B08CA">
      <w:pPr>
        <w:spacing w:after="0" w:line="240" w:lineRule="auto"/>
        <w:jc w:val="both"/>
        <w:rPr>
          <w:szCs w:val="24"/>
        </w:rPr>
      </w:pPr>
      <w:r w:rsidRPr="007D02B2">
        <w:rPr>
          <w:szCs w:val="24"/>
          <w:vertAlign w:val="superscript"/>
        </w:rPr>
        <w:t xml:space="preserve">^ </w:t>
      </w:r>
      <w:r w:rsidRPr="007D02B2">
        <w:rPr>
          <w:szCs w:val="24"/>
        </w:rPr>
        <w:t>2008 estimates for solid wall insulation are taken from the Government’s Energy Efficiency Commitment (EEC) 1 and 2 reported activity rather than housing surveys.</w:t>
      </w:r>
    </w:p>
    <w:p w:rsidR="00291E07" w:rsidRPr="007D02B2" w:rsidRDefault="00291E07" w:rsidP="001B08CA">
      <w:pPr>
        <w:spacing w:after="0" w:line="240" w:lineRule="auto"/>
        <w:jc w:val="both"/>
        <w:rPr>
          <w:szCs w:val="24"/>
        </w:rPr>
      </w:pPr>
      <w:r w:rsidRPr="007D02B2">
        <w:rPr>
          <w:szCs w:val="24"/>
          <w:vertAlign w:val="superscript"/>
        </w:rPr>
        <w:t>†</w:t>
      </w:r>
      <w:r w:rsidRPr="007D02B2">
        <w:rPr>
          <w:szCs w:val="24"/>
        </w:rPr>
        <w:t xml:space="preserve"> The number of homes in Great Britain with cavity walls, lofts and solid walls respectively.</w:t>
      </w:r>
    </w:p>
    <w:p w:rsidR="00291E07" w:rsidRPr="007D02B2" w:rsidRDefault="00291E07" w:rsidP="001B08CA">
      <w:pPr>
        <w:spacing w:after="0" w:line="240" w:lineRule="auto"/>
        <w:jc w:val="both"/>
        <w:rPr>
          <w:szCs w:val="24"/>
        </w:rPr>
      </w:pPr>
      <w:r w:rsidRPr="007D02B2">
        <w:rPr>
          <w:szCs w:val="24"/>
          <w:vertAlign w:val="superscript"/>
        </w:rPr>
        <w:t>‡</w:t>
      </w:r>
      <w:r w:rsidRPr="007D02B2">
        <w:rPr>
          <w:szCs w:val="24"/>
        </w:rPr>
        <w:t xml:space="preserve"> The solid wall insulation (SWI) percentage is calculated based on the number of homes with SWI delivered through Government schemes divided by the number of homes with non-cavity walls, this is likely to be an overestimate of the total number of properties with solid wall insulation as it may include a small number of hard to treat cavity wall properties.</w:t>
      </w:r>
    </w:p>
    <w:p w:rsidR="00291E07" w:rsidRPr="007D02B2" w:rsidRDefault="00291E07" w:rsidP="001B08CA">
      <w:pPr>
        <w:spacing w:line="240" w:lineRule="auto"/>
        <w:jc w:val="both"/>
        <w:rPr>
          <w:szCs w:val="24"/>
        </w:rPr>
      </w:pPr>
      <w:r w:rsidRPr="007D02B2">
        <w:rPr>
          <w:szCs w:val="24"/>
        </w:rPr>
        <w:t>.. not applicable.</w:t>
      </w:r>
    </w:p>
    <w:p w:rsidR="00291E07" w:rsidRPr="00942C1F" w:rsidRDefault="00291E07" w:rsidP="001B08CA">
      <w:pPr>
        <w:spacing w:line="240" w:lineRule="auto"/>
        <w:jc w:val="both"/>
        <w:rPr>
          <w:sz w:val="20"/>
        </w:rPr>
      </w:pPr>
      <w:bookmarkStart w:id="79" w:name="_Toc374374415"/>
      <w:r>
        <w:rPr>
          <w:sz w:val="20"/>
        </w:rPr>
        <w:br w:type="page"/>
      </w:r>
      <w:bookmarkStart w:id="80" w:name="_Toc375046066"/>
      <w:r w:rsidRPr="00792747">
        <w:rPr>
          <w:b/>
          <w:szCs w:val="24"/>
        </w:rPr>
        <w:lastRenderedPageBreak/>
        <w:t xml:space="preserve">Chart </w:t>
      </w:r>
      <w:r w:rsidR="00EA185E">
        <w:rPr>
          <w:b/>
          <w:szCs w:val="24"/>
        </w:rPr>
        <w:t>2.</w:t>
      </w:r>
      <w:r w:rsidR="00EA185E" w:rsidRPr="00EA185E">
        <w:rPr>
          <w:b/>
        </w:rPr>
        <w:fldChar w:fldCharType="begin"/>
      </w:r>
      <w:r w:rsidR="00EA185E" w:rsidRPr="00EA185E">
        <w:rPr>
          <w:b/>
        </w:rPr>
        <w:instrText xml:space="preserve"> SEQ Figure \* ARABIC </w:instrText>
      </w:r>
      <w:r w:rsidR="00EA185E" w:rsidRPr="00EA185E">
        <w:rPr>
          <w:b/>
        </w:rPr>
        <w:fldChar w:fldCharType="separate"/>
      </w:r>
      <w:r w:rsidR="001E226F">
        <w:rPr>
          <w:b/>
          <w:noProof/>
        </w:rPr>
        <w:t>4</w:t>
      </w:r>
      <w:r w:rsidR="00EA185E" w:rsidRPr="00EA185E">
        <w:rPr>
          <w:b/>
        </w:rPr>
        <w:fldChar w:fldCharType="end"/>
      </w:r>
      <w:r w:rsidRPr="00506FC5">
        <w:rPr>
          <w:b/>
        </w:rPr>
        <w:t>: Number of homes in Great Britain with cavity wall insulation and</w:t>
      </w:r>
      <w:r>
        <w:rPr>
          <w:b/>
        </w:rPr>
        <w:t xml:space="preserve"> loft insulation by source, September 2013</w:t>
      </w:r>
      <w:r w:rsidRPr="00506FC5">
        <w:rPr>
          <w:b/>
        </w:rPr>
        <w:t xml:space="preserve"> (Thousands)</w:t>
      </w:r>
      <w:bookmarkEnd w:id="79"/>
      <w:bookmarkEnd w:id="80"/>
    </w:p>
    <w:p w:rsidR="00291E07" w:rsidRDefault="0012033E" w:rsidP="001B08CA">
      <w:pPr>
        <w:jc w:val="both"/>
      </w:pPr>
      <w:r>
        <w:rPr>
          <w:noProof/>
        </w:rPr>
        <w:pict>
          <v:shape id="_x0000_s1069" type="#_x0000_t75" style="position:absolute;left:0;text-align:left;margin-left:1pt;margin-top:4.95pt;width:396pt;height:255pt;z-index:251676672;mso-position-horizontal-relative:text;mso-position-vertical-relative:text">
            <v:imagedata r:id="rId59" o:title=""/>
            <w10:wrap type="square"/>
          </v:shape>
        </w:pict>
      </w:r>
    </w:p>
    <w:p w:rsidR="00291E07" w:rsidRDefault="00291E07" w:rsidP="001B08CA">
      <w:pPr>
        <w:jc w:val="both"/>
      </w:pPr>
    </w:p>
    <w:p w:rsidR="00291E07" w:rsidRDefault="00291E07" w:rsidP="001B08CA">
      <w:pPr>
        <w:jc w:val="both"/>
      </w:pPr>
    </w:p>
    <w:p w:rsidR="00291E07" w:rsidRDefault="00291E07" w:rsidP="001B08CA">
      <w:pPr>
        <w:jc w:val="both"/>
      </w:pPr>
    </w:p>
    <w:p w:rsidR="00291E07" w:rsidRDefault="00291E07" w:rsidP="001B08CA">
      <w:pPr>
        <w:jc w:val="both"/>
      </w:pPr>
      <w:bookmarkStart w:id="81" w:name="_Toc374374416"/>
    </w:p>
    <w:p w:rsidR="00291E07" w:rsidRDefault="00291E07" w:rsidP="001B08CA">
      <w:pPr>
        <w:jc w:val="both"/>
        <w:rPr>
          <w:b/>
          <w:szCs w:val="24"/>
        </w:rPr>
      </w:pPr>
    </w:p>
    <w:p w:rsidR="00291E07" w:rsidRDefault="00291E07" w:rsidP="001B08CA">
      <w:pPr>
        <w:jc w:val="both"/>
        <w:rPr>
          <w:b/>
          <w:szCs w:val="24"/>
        </w:rPr>
      </w:pPr>
    </w:p>
    <w:p w:rsidR="00291E07" w:rsidRDefault="00291E07" w:rsidP="001B08CA">
      <w:pPr>
        <w:jc w:val="both"/>
        <w:rPr>
          <w:b/>
          <w:szCs w:val="24"/>
        </w:rPr>
      </w:pPr>
    </w:p>
    <w:p w:rsidR="00291E07" w:rsidRDefault="00291E07" w:rsidP="001B08CA">
      <w:pPr>
        <w:jc w:val="both"/>
        <w:rPr>
          <w:b/>
          <w:szCs w:val="24"/>
        </w:rPr>
      </w:pPr>
    </w:p>
    <w:p w:rsidR="00291E07" w:rsidRDefault="00291E07" w:rsidP="001B08CA">
      <w:pPr>
        <w:jc w:val="both"/>
        <w:rPr>
          <w:b/>
          <w:szCs w:val="24"/>
        </w:rPr>
      </w:pPr>
    </w:p>
    <w:p w:rsidR="00291E07" w:rsidRDefault="00291E07" w:rsidP="001B08CA">
      <w:pPr>
        <w:jc w:val="both"/>
        <w:rPr>
          <w:b/>
          <w:szCs w:val="24"/>
        </w:rPr>
      </w:pPr>
    </w:p>
    <w:p w:rsidR="00291E07" w:rsidRDefault="00291E07" w:rsidP="001B08CA">
      <w:pPr>
        <w:jc w:val="both"/>
        <w:rPr>
          <w:b/>
          <w:szCs w:val="24"/>
        </w:rPr>
      </w:pPr>
    </w:p>
    <w:p w:rsidR="00291E07" w:rsidRDefault="00291E07" w:rsidP="001B08CA">
      <w:pPr>
        <w:jc w:val="both"/>
        <w:rPr>
          <w:b/>
          <w:szCs w:val="24"/>
        </w:rPr>
      </w:pPr>
    </w:p>
    <w:p w:rsidR="00291E07" w:rsidRDefault="00291E07" w:rsidP="001B08CA">
      <w:pPr>
        <w:jc w:val="both"/>
        <w:rPr>
          <w:b/>
          <w:szCs w:val="24"/>
        </w:rPr>
      </w:pPr>
    </w:p>
    <w:p w:rsidR="00291E07" w:rsidRDefault="00291E07" w:rsidP="001B08CA">
      <w:pPr>
        <w:jc w:val="both"/>
        <w:rPr>
          <w:b/>
        </w:rPr>
      </w:pPr>
      <w:bookmarkStart w:id="82" w:name="_Toc375046067"/>
      <w:r w:rsidRPr="00792747">
        <w:rPr>
          <w:b/>
          <w:szCs w:val="24"/>
        </w:rPr>
        <w:t xml:space="preserve">Chart </w:t>
      </w:r>
      <w:r w:rsidR="00EA185E">
        <w:rPr>
          <w:b/>
          <w:szCs w:val="24"/>
        </w:rPr>
        <w:t>2.</w:t>
      </w:r>
      <w:r w:rsidR="00EA185E" w:rsidRPr="00EA185E">
        <w:rPr>
          <w:b/>
        </w:rPr>
        <w:fldChar w:fldCharType="begin"/>
      </w:r>
      <w:r w:rsidR="00EA185E" w:rsidRPr="00EA185E">
        <w:rPr>
          <w:b/>
        </w:rPr>
        <w:instrText xml:space="preserve"> SEQ Figure \* ARABIC </w:instrText>
      </w:r>
      <w:r w:rsidR="00EA185E" w:rsidRPr="00EA185E">
        <w:rPr>
          <w:b/>
        </w:rPr>
        <w:fldChar w:fldCharType="separate"/>
      </w:r>
      <w:r w:rsidR="001E226F">
        <w:rPr>
          <w:b/>
          <w:noProof/>
        </w:rPr>
        <w:t>5</w:t>
      </w:r>
      <w:r w:rsidR="00EA185E" w:rsidRPr="00EA185E">
        <w:rPr>
          <w:b/>
        </w:rPr>
        <w:fldChar w:fldCharType="end"/>
      </w:r>
      <w:r>
        <w:rPr>
          <w:b/>
        </w:rPr>
        <w:t>: Number of homes in Great Britain with solid wall insulation by source, September 2013 (Thousands)</w:t>
      </w:r>
      <w:r>
        <w:rPr>
          <w:rStyle w:val="FootnoteReference"/>
          <w:b/>
        </w:rPr>
        <w:footnoteReference w:id="24"/>
      </w:r>
      <w:bookmarkEnd w:id="81"/>
      <w:bookmarkEnd w:id="82"/>
    </w:p>
    <w:p w:rsidR="00291E07" w:rsidRDefault="0012033E" w:rsidP="001B08CA">
      <w:pPr>
        <w:jc w:val="both"/>
        <w:rPr>
          <w:b/>
        </w:rPr>
      </w:pPr>
      <w:r>
        <w:rPr>
          <w:noProof/>
        </w:rPr>
        <w:pict>
          <v:shape id="_x0000_s1070" type="#_x0000_t75" style="position:absolute;left:0;text-align:left;margin-left:1pt;margin-top:2.3pt;width:396pt;height:265.5pt;z-index:251677696;mso-position-horizontal-relative:text;mso-position-vertical-relative:text">
            <v:imagedata r:id="rId60" o:title=""/>
            <w10:wrap type="square"/>
          </v:shape>
        </w:pict>
      </w: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Pr="004402A7" w:rsidRDefault="00291E07" w:rsidP="001B08CA">
      <w:pPr>
        <w:pStyle w:val="Heading2"/>
        <w:jc w:val="both"/>
      </w:pPr>
      <w:bookmarkStart w:id="83" w:name="_Toc375046016"/>
      <w:r w:rsidRPr="004402A7">
        <w:t>Remaining potential</w:t>
      </w:r>
      <w:bookmarkEnd w:id="83"/>
    </w:p>
    <w:p w:rsidR="00291E07" w:rsidRDefault="00291E07" w:rsidP="001B08CA">
      <w:pPr>
        <w:jc w:val="both"/>
      </w:pPr>
      <w:r>
        <w:t xml:space="preserve">A key use of these estimates for DECC is to identify homes that have the potential to receive cavity wall, loft and solid wall insulation in the future.  The section below outlines remaining </w:t>
      </w:r>
      <w:r>
        <w:lastRenderedPageBreak/>
        <w:t xml:space="preserve">potential figures as at the end of September 2013, for historical figures and a more detailed breakdown see Tables 2.3 to 2.7 in </w:t>
      </w:r>
      <w:r w:rsidRPr="009079D3">
        <w:t xml:space="preserve">the </w:t>
      </w:r>
      <w:hyperlink r:id="rId61" w:history="1">
        <w:r w:rsidRPr="009079D3">
          <w:rPr>
            <w:rStyle w:val="Hyperlink"/>
            <w:rFonts w:ascii="Arial" w:hAnsi="Arial"/>
          </w:rPr>
          <w:t>Excel tables</w:t>
        </w:r>
      </w:hyperlink>
      <w:r w:rsidRPr="009079D3">
        <w:t xml:space="preserve"> accompanying</w:t>
      </w:r>
      <w:r>
        <w:t xml:space="preserve"> this publication</w:t>
      </w:r>
      <w:r>
        <w:rPr>
          <w:rStyle w:val="FootnoteReference"/>
        </w:rPr>
        <w:footnoteReference w:id="25"/>
      </w:r>
      <w:r>
        <w:t>.</w:t>
      </w:r>
    </w:p>
    <w:p w:rsidR="00291E07" w:rsidRPr="00CE3EF6" w:rsidRDefault="00291E07" w:rsidP="001B08CA">
      <w:pPr>
        <w:jc w:val="both"/>
      </w:pPr>
      <w:r>
        <w:t>Chart 2.6 gives a summary of the remaining potential for insulating the housing stock of Great Britain.</w:t>
      </w:r>
    </w:p>
    <w:p w:rsidR="00291E07" w:rsidRDefault="00291E07" w:rsidP="001B08CA">
      <w:pPr>
        <w:jc w:val="both"/>
        <w:rPr>
          <w:b/>
        </w:rPr>
      </w:pPr>
      <w:bookmarkStart w:id="84" w:name="_Toc374374417"/>
      <w:bookmarkStart w:id="85" w:name="_Toc375046068"/>
      <w:r w:rsidRPr="00792747">
        <w:rPr>
          <w:b/>
          <w:szCs w:val="24"/>
        </w:rPr>
        <w:t xml:space="preserve">Chart </w:t>
      </w:r>
      <w:r w:rsidR="00EA185E">
        <w:rPr>
          <w:b/>
          <w:szCs w:val="24"/>
        </w:rPr>
        <w:t>2.</w:t>
      </w:r>
      <w:r w:rsidR="00EA185E" w:rsidRPr="00EA185E">
        <w:rPr>
          <w:b/>
        </w:rPr>
        <w:fldChar w:fldCharType="begin"/>
      </w:r>
      <w:r w:rsidR="00EA185E" w:rsidRPr="00EA185E">
        <w:rPr>
          <w:b/>
        </w:rPr>
        <w:instrText xml:space="preserve"> SEQ Figure \* ARABIC </w:instrText>
      </w:r>
      <w:r w:rsidR="00EA185E" w:rsidRPr="00EA185E">
        <w:rPr>
          <w:b/>
        </w:rPr>
        <w:fldChar w:fldCharType="separate"/>
      </w:r>
      <w:r w:rsidR="001E226F">
        <w:rPr>
          <w:b/>
          <w:noProof/>
        </w:rPr>
        <w:t>6</w:t>
      </w:r>
      <w:r w:rsidR="00EA185E" w:rsidRPr="00EA185E">
        <w:rPr>
          <w:b/>
        </w:rPr>
        <w:fldChar w:fldCharType="end"/>
      </w:r>
      <w:r w:rsidRPr="005B5F97">
        <w:rPr>
          <w:b/>
        </w:rPr>
        <w:t>: Remaining potential to insulate the housing stock in Great Britain</w:t>
      </w:r>
      <w:r>
        <w:rPr>
          <w:b/>
        </w:rPr>
        <w:t>, September 2013</w:t>
      </w:r>
      <w:bookmarkEnd w:id="84"/>
      <w:bookmarkEnd w:id="85"/>
    </w:p>
    <w:p w:rsidR="00291E07" w:rsidRPr="00383A17" w:rsidRDefault="0012033E" w:rsidP="001B08CA">
      <w:pPr>
        <w:jc w:val="both"/>
      </w:pPr>
      <w:r>
        <w:rPr>
          <w:noProof/>
        </w:rPr>
        <w:pict>
          <v:shape id="_x0000_s1068" type="#_x0000_t75" style="position:absolute;left:0;text-align:left;margin-left:19.55pt;margin-top:3.6pt;width:5in;height:215.15pt;z-index:251675648;mso-position-horizontal-relative:text;mso-position-vertical-relative:text">
            <v:imagedata r:id="rId62" o:title=""/>
            <w10:wrap type="square"/>
          </v:shape>
        </w:pict>
      </w:r>
    </w:p>
    <w:p w:rsidR="00291E07" w:rsidRDefault="00291E07" w:rsidP="001B08CA">
      <w:pPr>
        <w:jc w:val="both"/>
        <w:rPr>
          <w:u w:val="single"/>
        </w:rPr>
      </w:pPr>
    </w:p>
    <w:p w:rsidR="00291E07" w:rsidRDefault="00291E07" w:rsidP="001B08CA">
      <w:pPr>
        <w:jc w:val="both"/>
        <w:rPr>
          <w:u w:val="single"/>
        </w:rPr>
      </w:pPr>
    </w:p>
    <w:p w:rsidR="00291E07" w:rsidRDefault="00291E07" w:rsidP="001B08CA">
      <w:pPr>
        <w:jc w:val="both"/>
        <w:rPr>
          <w:u w:val="single"/>
        </w:rPr>
      </w:pPr>
    </w:p>
    <w:p w:rsidR="00291E07" w:rsidRDefault="00291E07" w:rsidP="001B08CA">
      <w:pPr>
        <w:jc w:val="both"/>
        <w:rPr>
          <w:u w:val="single"/>
        </w:rPr>
      </w:pPr>
    </w:p>
    <w:p w:rsidR="00291E07" w:rsidRDefault="00291E07" w:rsidP="001B08CA">
      <w:pPr>
        <w:jc w:val="both"/>
        <w:rPr>
          <w:u w:val="single"/>
        </w:rPr>
      </w:pPr>
    </w:p>
    <w:p w:rsidR="00291E07" w:rsidRDefault="00291E07" w:rsidP="001B08CA">
      <w:pPr>
        <w:jc w:val="both"/>
        <w:rPr>
          <w:u w:val="single"/>
        </w:rPr>
      </w:pPr>
    </w:p>
    <w:p w:rsidR="00291E07" w:rsidRDefault="00291E07" w:rsidP="001B08CA">
      <w:pPr>
        <w:jc w:val="both"/>
        <w:rPr>
          <w:u w:val="single"/>
        </w:rPr>
      </w:pPr>
    </w:p>
    <w:p w:rsidR="00291E07" w:rsidRDefault="00291E07" w:rsidP="001B08CA">
      <w:pPr>
        <w:jc w:val="both"/>
        <w:rPr>
          <w:u w:val="single"/>
        </w:rPr>
      </w:pPr>
    </w:p>
    <w:p w:rsidR="00291E07" w:rsidRDefault="00291E07" w:rsidP="001B08CA">
      <w:pPr>
        <w:jc w:val="both"/>
        <w:rPr>
          <w:u w:val="single"/>
        </w:rPr>
      </w:pPr>
    </w:p>
    <w:p w:rsidR="00291E07" w:rsidRDefault="00291E07" w:rsidP="001B08CA">
      <w:pPr>
        <w:spacing w:before="0" w:after="0"/>
        <w:jc w:val="both"/>
        <w:rPr>
          <w:u w:val="single"/>
        </w:rPr>
      </w:pPr>
    </w:p>
    <w:p w:rsidR="00291E07" w:rsidRDefault="00291E07" w:rsidP="001B08CA">
      <w:pPr>
        <w:spacing w:before="0" w:after="0"/>
        <w:jc w:val="both"/>
        <w:rPr>
          <w:u w:val="single"/>
        </w:rPr>
      </w:pPr>
    </w:p>
    <w:p w:rsidR="00291E07" w:rsidRDefault="00291E07" w:rsidP="001B08CA">
      <w:pPr>
        <w:spacing w:before="0" w:after="0"/>
        <w:jc w:val="both"/>
        <w:rPr>
          <w:u w:val="single"/>
        </w:rPr>
      </w:pPr>
      <w:r w:rsidRPr="00383A17">
        <w:rPr>
          <w:u w:val="single"/>
        </w:rPr>
        <w:t>Cavity wall insulation</w:t>
      </w:r>
    </w:p>
    <w:p w:rsidR="00291E07" w:rsidRPr="00383A17" w:rsidRDefault="00291E07" w:rsidP="001B08CA">
      <w:pPr>
        <w:spacing w:before="0" w:after="0"/>
        <w:jc w:val="both"/>
        <w:rPr>
          <w:u w:val="single"/>
        </w:rPr>
      </w:pPr>
    </w:p>
    <w:p w:rsidR="00291E07" w:rsidRDefault="00291E07" w:rsidP="001B08CA">
      <w:pPr>
        <w:spacing w:before="0" w:after="0"/>
        <w:jc w:val="both"/>
      </w:pPr>
      <w:r w:rsidRPr="00383A17">
        <w:t xml:space="preserve">Table </w:t>
      </w:r>
      <w:r>
        <w:t>2.3</w:t>
      </w:r>
      <w:r w:rsidR="00DA76D2">
        <w:t xml:space="preserve"> </w:t>
      </w:r>
      <w:r w:rsidRPr="00383A17">
        <w:t xml:space="preserve">gives a breakdown of the remaining potential to insulate cavity wall properties in the Great Britain housing stock.  It is </w:t>
      </w:r>
      <w:r>
        <w:t>estimated that at the end of September 2013</w:t>
      </w:r>
      <w:r w:rsidRPr="00383A17">
        <w:t xml:space="preserve"> there were </w:t>
      </w:r>
      <w:r>
        <w:t>5.2</w:t>
      </w:r>
      <w:r w:rsidRPr="00383A17">
        <w:t xml:space="preserve"> million cavity wall properties </w:t>
      </w:r>
      <w:r>
        <w:t>which could benefit from some cavity wa</w:t>
      </w:r>
      <w:r w:rsidRPr="003B45A3">
        <w:t xml:space="preserve">ll </w:t>
      </w:r>
      <w:r w:rsidRPr="00964D73">
        <w:t>insulation (27</w:t>
      </w:r>
      <w:r w:rsidRPr="003B45A3">
        <w:t xml:space="preserve"> per cent of homes with cavity walls).  </w:t>
      </w:r>
    </w:p>
    <w:p w:rsidR="00291E07" w:rsidRDefault="00291E07" w:rsidP="001B08CA">
      <w:pPr>
        <w:spacing w:before="0" w:after="0"/>
        <w:jc w:val="both"/>
      </w:pPr>
    </w:p>
    <w:p w:rsidR="001B08CA" w:rsidRDefault="00291E07" w:rsidP="001B08CA">
      <w:pPr>
        <w:spacing w:before="0" w:after="0"/>
        <w:jc w:val="both"/>
      </w:pPr>
      <w:r w:rsidRPr="003B45A3">
        <w:t xml:space="preserve">Of these </w:t>
      </w:r>
      <w:r w:rsidRPr="00964D73">
        <w:t>1.4</w:t>
      </w:r>
      <w:r w:rsidRPr="003B45A3">
        <w:t xml:space="preserve"> million are considered to have limited potential</w:t>
      </w:r>
      <w:r w:rsidRPr="003B45A3">
        <w:rPr>
          <w:rStyle w:val="FootnoteReference"/>
        </w:rPr>
        <w:footnoteReference w:id="26"/>
      </w:r>
      <w:r w:rsidRPr="003B45A3">
        <w:t xml:space="preserve"> (</w:t>
      </w:r>
      <w:r w:rsidRPr="00964D73">
        <w:t>0.5</w:t>
      </w:r>
      <w:r w:rsidRPr="003B45A3">
        <w:t xml:space="preserve"> </w:t>
      </w:r>
      <w:r w:rsidRPr="00964D73">
        <w:t>million of this 1.4 million</w:t>
      </w:r>
      <w:r w:rsidRPr="003B45A3">
        <w:t xml:space="preserve"> are also considered hard to treat</w:t>
      </w:r>
      <w:r w:rsidRPr="003B45A3">
        <w:rPr>
          <w:rStyle w:val="FootnoteReference"/>
        </w:rPr>
        <w:footnoteReference w:id="27"/>
      </w:r>
      <w:r w:rsidRPr="003B45A3">
        <w:t xml:space="preserve">) and </w:t>
      </w:r>
      <w:r>
        <w:t>3.8</w:t>
      </w:r>
      <w:r w:rsidRPr="003B45A3">
        <w:t xml:space="preserve"> million are </w:t>
      </w:r>
      <w:r>
        <w:t xml:space="preserve">totally </w:t>
      </w:r>
      <w:r w:rsidRPr="003B45A3">
        <w:t>uninsulated (</w:t>
      </w:r>
      <w:r w:rsidRPr="00964D73">
        <w:t>3.1</w:t>
      </w:r>
      <w:r w:rsidRPr="003B45A3">
        <w:t xml:space="preserve"> million of the </w:t>
      </w:r>
      <w:r>
        <w:t>3.8</w:t>
      </w:r>
      <w:r w:rsidRPr="003B45A3">
        <w:t xml:space="preserve"> million uninsulated properties are considered hard to treat).  There are </w:t>
      </w:r>
      <w:r w:rsidRPr="00964D73">
        <w:t>therefore 0.7 million</w:t>
      </w:r>
      <w:r w:rsidRPr="003B45A3">
        <w:t xml:space="preserve"> easy to treat, standard cavities remaining.  Historical figures and a more detailed breakdown is available in Table </w:t>
      </w:r>
      <w:r>
        <w:t>2.</w:t>
      </w:r>
      <w:r w:rsidRPr="003B45A3">
        <w:t>6 of the</w:t>
      </w:r>
      <w:r w:rsidR="009079D3">
        <w:t xml:space="preserve"> accompanying </w:t>
      </w:r>
      <w:hyperlink r:id="rId63" w:history="1">
        <w:r w:rsidR="009079D3" w:rsidRPr="009079D3">
          <w:rPr>
            <w:rStyle w:val="Hyperlink"/>
            <w:rFonts w:ascii="Arial" w:hAnsi="Arial"/>
          </w:rPr>
          <w:t>Excel tables</w:t>
        </w:r>
      </w:hyperlink>
      <w:r w:rsidR="009079D3">
        <w:t>.</w:t>
      </w:r>
    </w:p>
    <w:p w:rsidR="009079D3" w:rsidRDefault="009079D3" w:rsidP="001B08CA">
      <w:pPr>
        <w:spacing w:before="0" w:after="0"/>
        <w:rPr>
          <w:b/>
        </w:rPr>
      </w:pPr>
    </w:p>
    <w:p w:rsidR="009079D3" w:rsidRDefault="009079D3" w:rsidP="001B08CA">
      <w:pPr>
        <w:spacing w:before="0" w:after="0"/>
        <w:rPr>
          <w:b/>
        </w:rPr>
      </w:pPr>
    </w:p>
    <w:p w:rsidR="00291E07" w:rsidRDefault="00291E07" w:rsidP="001B08CA">
      <w:pPr>
        <w:spacing w:before="0" w:after="0"/>
        <w:rPr>
          <w:b/>
        </w:rPr>
      </w:pPr>
      <w:r w:rsidRPr="00FB539C">
        <w:rPr>
          <w:b/>
        </w:rPr>
        <w:lastRenderedPageBreak/>
        <w:t xml:space="preserve">Table </w:t>
      </w:r>
      <w:r>
        <w:rPr>
          <w:b/>
        </w:rPr>
        <w:t>2.3</w:t>
      </w:r>
      <w:r w:rsidRPr="00FB539C">
        <w:rPr>
          <w:b/>
        </w:rPr>
        <w:t xml:space="preserve">: Cavity wall insulation, </w:t>
      </w:r>
      <w:r>
        <w:rPr>
          <w:b/>
        </w:rPr>
        <w:t>September 2013 (Thousands)</w:t>
      </w:r>
    </w:p>
    <w:p w:rsidR="00291E07" w:rsidRDefault="00291E07" w:rsidP="001B08CA">
      <w:pPr>
        <w:spacing w:before="0" w:after="0"/>
        <w:rPr>
          <w:b/>
        </w:rPr>
      </w:pPr>
    </w:p>
    <w:tbl>
      <w:tblPr>
        <w:tblW w:w="9072" w:type="dxa"/>
        <w:tblInd w:w="108" w:type="dxa"/>
        <w:tblLayout w:type="fixed"/>
        <w:tblLook w:val="04A0" w:firstRow="1" w:lastRow="0" w:firstColumn="1" w:lastColumn="0" w:noHBand="0" w:noVBand="1"/>
      </w:tblPr>
      <w:tblGrid>
        <w:gridCol w:w="1814"/>
        <w:gridCol w:w="1814"/>
        <w:gridCol w:w="1815"/>
        <w:gridCol w:w="1814"/>
        <w:gridCol w:w="1815"/>
      </w:tblGrid>
      <w:tr w:rsidR="00291E07" w:rsidRPr="00960C10" w:rsidTr="00291E07">
        <w:trPr>
          <w:trHeight w:val="510"/>
        </w:trPr>
        <w:tc>
          <w:tcPr>
            <w:tcW w:w="1814" w:type="dxa"/>
            <w:tcBorders>
              <w:top w:val="single" w:sz="4" w:space="0" w:color="auto"/>
              <w:left w:val="nil"/>
              <w:bottom w:val="single" w:sz="4" w:space="0" w:color="auto"/>
              <w:right w:val="nil"/>
            </w:tcBorders>
            <w:shd w:val="clear" w:color="auto" w:fill="auto"/>
            <w:vAlign w:val="center"/>
            <w:hideMark/>
          </w:tcPr>
          <w:p w:rsidR="00291E07" w:rsidRPr="00960C10" w:rsidRDefault="00291E07" w:rsidP="001B08CA">
            <w:pPr>
              <w:spacing w:before="0" w:after="0" w:line="240" w:lineRule="auto"/>
              <w:rPr>
                <w:color w:val="000000"/>
                <w:szCs w:val="24"/>
                <w:lang w:eastAsia="en-GB"/>
              </w:rPr>
            </w:pPr>
            <w:r w:rsidRPr="00960C10">
              <w:rPr>
                <w:color w:val="000000"/>
                <w:szCs w:val="24"/>
                <w:lang w:eastAsia="en-GB"/>
              </w:rPr>
              <w:t>Insulation type</w:t>
            </w:r>
          </w:p>
        </w:tc>
        <w:tc>
          <w:tcPr>
            <w:tcW w:w="1814" w:type="dxa"/>
            <w:tcBorders>
              <w:top w:val="single" w:sz="4" w:space="0" w:color="auto"/>
              <w:left w:val="nil"/>
              <w:bottom w:val="single" w:sz="4" w:space="0" w:color="auto"/>
              <w:right w:val="nil"/>
            </w:tcBorders>
            <w:shd w:val="clear" w:color="auto" w:fill="auto"/>
            <w:vAlign w:val="center"/>
            <w:hideMark/>
          </w:tcPr>
          <w:p w:rsidR="00291E07" w:rsidRPr="00960C10" w:rsidRDefault="00291E07" w:rsidP="001B08CA">
            <w:pPr>
              <w:spacing w:before="0" w:after="0" w:line="240" w:lineRule="auto"/>
              <w:rPr>
                <w:color w:val="000000"/>
                <w:szCs w:val="24"/>
                <w:lang w:eastAsia="en-GB"/>
              </w:rPr>
            </w:pPr>
            <w:r w:rsidRPr="00960C10">
              <w:rPr>
                <w:color w:val="000000"/>
                <w:szCs w:val="24"/>
                <w:lang w:eastAsia="en-GB"/>
              </w:rPr>
              <w:t>Insulated</w:t>
            </w:r>
          </w:p>
        </w:tc>
        <w:tc>
          <w:tcPr>
            <w:tcW w:w="1815" w:type="dxa"/>
            <w:tcBorders>
              <w:top w:val="single" w:sz="4" w:space="0" w:color="auto"/>
              <w:left w:val="nil"/>
              <w:bottom w:val="single" w:sz="4" w:space="0" w:color="auto"/>
              <w:right w:val="nil"/>
            </w:tcBorders>
            <w:shd w:val="clear" w:color="auto" w:fill="auto"/>
            <w:vAlign w:val="center"/>
            <w:hideMark/>
          </w:tcPr>
          <w:p w:rsidR="00291E07" w:rsidRPr="00960C10" w:rsidRDefault="00291E07" w:rsidP="001B08CA">
            <w:pPr>
              <w:spacing w:before="0" w:after="0" w:line="240" w:lineRule="auto"/>
              <w:rPr>
                <w:color w:val="000000"/>
                <w:szCs w:val="24"/>
                <w:lang w:eastAsia="en-GB"/>
              </w:rPr>
            </w:pPr>
            <w:r w:rsidRPr="00960C10">
              <w:rPr>
                <w:color w:val="000000"/>
                <w:szCs w:val="24"/>
                <w:lang w:eastAsia="en-GB"/>
              </w:rPr>
              <w:t>Uncertainty*</w:t>
            </w:r>
          </w:p>
        </w:tc>
        <w:tc>
          <w:tcPr>
            <w:tcW w:w="1814" w:type="dxa"/>
            <w:tcBorders>
              <w:top w:val="single" w:sz="4" w:space="0" w:color="auto"/>
              <w:left w:val="nil"/>
              <w:bottom w:val="single" w:sz="4" w:space="0" w:color="auto"/>
              <w:right w:val="nil"/>
            </w:tcBorders>
            <w:shd w:val="clear" w:color="auto" w:fill="auto"/>
            <w:vAlign w:val="center"/>
            <w:hideMark/>
          </w:tcPr>
          <w:p w:rsidR="00291E07" w:rsidRPr="00960C10" w:rsidRDefault="00291E07" w:rsidP="001B08CA">
            <w:pPr>
              <w:spacing w:before="0" w:after="0" w:line="240" w:lineRule="auto"/>
              <w:rPr>
                <w:color w:val="000000"/>
                <w:szCs w:val="24"/>
                <w:lang w:eastAsia="en-GB"/>
              </w:rPr>
            </w:pPr>
            <w:r w:rsidRPr="00960C10">
              <w:rPr>
                <w:color w:val="000000"/>
                <w:szCs w:val="24"/>
                <w:lang w:eastAsia="en-GB"/>
              </w:rPr>
              <w:t>Remaining potential**</w:t>
            </w:r>
          </w:p>
        </w:tc>
        <w:tc>
          <w:tcPr>
            <w:tcW w:w="1815" w:type="dxa"/>
            <w:tcBorders>
              <w:top w:val="single" w:sz="4" w:space="0" w:color="auto"/>
              <w:left w:val="nil"/>
              <w:bottom w:val="single" w:sz="4" w:space="0" w:color="auto"/>
              <w:right w:val="nil"/>
            </w:tcBorders>
            <w:shd w:val="clear" w:color="auto" w:fill="auto"/>
            <w:vAlign w:val="center"/>
            <w:hideMark/>
          </w:tcPr>
          <w:p w:rsidR="00291E07" w:rsidRPr="00960C10" w:rsidRDefault="00291E07" w:rsidP="001B08CA">
            <w:pPr>
              <w:spacing w:before="0" w:after="0" w:line="240" w:lineRule="auto"/>
              <w:rPr>
                <w:color w:val="000000"/>
                <w:szCs w:val="24"/>
                <w:lang w:eastAsia="en-GB"/>
              </w:rPr>
            </w:pPr>
            <w:r w:rsidRPr="00960C10">
              <w:rPr>
                <w:color w:val="000000"/>
                <w:szCs w:val="24"/>
                <w:lang w:eastAsia="en-GB"/>
              </w:rPr>
              <w:t>Cavity wall properties</w:t>
            </w:r>
          </w:p>
        </w:tc>
      </w:tr>
      <w:tr w:rsidR="00291E07" w:rsidRPr="00960C10" w:rsidTr="00291E07">
        <w:trPr>
          <w:trHeight w:val="255"/>
        </w:trPr>
        <w:tc>
          <w:tcPr>
            <w:tcW w:w="1814" w:type="dxa"/>
            <w:vMerge w:val="restart"/>
            <w:tcBorders>
              <w:top w:val="nil"/>
              <w:left w:val="nil"/>
              <w:bottom w:val="single" w:sz="4" w:space="0" w:color="000000"/>
              <w:right w:val="nil"/>
            </w:tcBorders>
            <w:shd w:val="clear" w:color="000000" w:fill="FFFFFF"/>
            <w:vAlign w:val="bottom"/>
            <w:hideMark/>
          </w:tcPr>
          <w:p w:rsidR="00291E07" w:rsidRPr="00960C10" w:rsidRDefault="00291E07" w:rsidP="001B08CA">
            <w:pPr>
              <w:spacing w:before="0" w:after="0" w:line="240" w:lineRule="auto"/>
              <w:rPr>
                <w:color w:val="000000"/>
                <w:szCs w:val="24"/>
                <w:lang w:eastAsia="en-GB"/>
              </w:rPr>
            </w:pPr>
            <w:r w:rsidRPr="00960C10">
              <w:rPr>
                <w:color w:val="000000"/>
                <w:szCs w:val="24"/>
                <w:lang w:eastAsia="en-GB"/>
              </w:rPr>
              <w:t>Cavity wall insulation</w:t>
            </w:r>
          </w:p>
        </w:tc>
        <w:tc>
          <w:tcPr>
            <w:tcW w:w="1814" w:type="dxa"/>
            <w:tcBorders>
              <w:top w:val="nil"/>
              <w:left w:val="nil"/>
              <w:bottom w:val="nil"/>
              <w:right w:val="nil"/>
            </w:tcBorders>
            <w:shd w:val="clear" w:color="000000" w:fill="FFFFFF"/>
            <w:noWrap/>
            <w:vAlign w:val="bottom"/>
            <w:hideMark/>
          </w:tcPr>
          <w:p w:rsidR="00291E07" w:rsidRPr="00960C10" w:rsidRDefault="00291E07" w:rsidP="001B08CA">
            <w:pPr>
              <w:spacing w:before="0" w:after="0" w:line="240" w:lineRule="auto"/>
              <w:rPr>
                <w:color w:val="000000"/>
                <w:szCs w:val="24"/>
                <w:lang w:eastAsia="en-GB"/>
              </w:rPr>
            </w:pPr>
            <w:r w:rsidRPr="00960C10">
              <w:rPr>
                <w:color w:val="000000"/>
                <w:szCs w:val="24"/>
                <w:lang w:eastAsia="en-GB"/>
              </w:rPr>
              <w:t>13,510</w:t>
            </w:r>
          </w:p>
        </w:tc>
        <w:tc>
          <w:tcPr>
            <w:tcW w:w="1815" w:type="dxa"/>
            <w:tcBorders>
              <w:top w:val="nil"/>
              <w:left w:val="nil"/>
              <w:bottom w:val="nil"/>
              <w:right w:val="nil"/>
            </w:tcBorders>
            <w:shd w:val="clear" w:color="000000" w:fill="FFFFFF"/>
            <w:noWrap/>
            <w:vAlign w:val="bottom"/>
            <w:hideMark/>
          </w:tcPr>
          <w:p w:rsidR="00291E07" w:rsidRPr="00960C10" w:rsidRDefault="00291E07" w:rsidP="001B08CA">
            <w:pPr>
              <w:spacing w:before="0" w:after="0" w:line="240" w:lineRule="auto"/>
              <w:rPr>
                <w:color w:val="000000"/>
                <w:szCs w:val="24"/>
                <w:lang w:eastAsia="en-GB"/>
              </w:rPr>
            </w:pPr>
            <w:r w:rsidRPr="00960C10">
              <w:rPr>
                <w:color w:val="000000"/>
                <w:szCs w:val="24"/>
                <w:lang w:eastAsia="en-GB"/>
              </w:rPr>
              <w:t>470</w:t>
            </w:r>
          </w:p>
        </w:tc>
        <w:tc>
          <w:tcPr>
            <w:tcW w:w="1814" w:type="dxa"/>
            <w:tcBorders>
              <w:top w:val="nil"/>
              <w:left w:val="nil"/>
              <w:bottom w:val="nil"/>
              <w:right w:val="nil"/>
            </w:tcBorders>
            <w:shd w:val="clear" w:color="000000" w:fill="FFFFFF"/>
            <w:noWrap/>
            <w:vAlign w:val="bottom"/>
            <w:hideMark/>
          </w:tcPr>
          <w:p w:rsidR="00291E07" w:rsidRPr="00960C10" w:rsidRDefault="00291E07" w:rsidP="001B08CA">
            <w:pPr>
              <w:spacing w:before="0" w:after="0" w:line="240" w:lineRule="auto"/>
              <w:rPr>
                <w:color w:val="000000"/>
                <w:szCs w:val="24"/>
                <w:lang w:eastAsia="en-GB"/>
              </w:rPr>
            </w:pPr>
            <w:r w:rsidRPr="00960C10">
              <w:rPr>
                <w:color w:val="000000"/>
                <w:szCs w:val="24"/>
                <w:lang w:eastAsia="en-GB"/>
              </w:rPr>
              <w:t>5,200</w:t>
            </w:r>
          </w:p>
        </w:tc>
        <w:tc>
          <w:tcPr>
            <w:tcW w:w="1815" w:type="dxa"/>
            <w:tcBorders>
              <w:top w:val="nil"/>
              <w:left w:val="nil"/>
              <w:bottom w:val="nil"/>
              <w:right w:val="nil"/>
            </w:tcBorders>
            <w:shd w:val="clear" w:color="000000" w:fill="FFFFFF"/>
            <w:noWrap/>
            <w:vAlign w:val="bottom"/>
            <w:hideMark/>
          </w:tcPr>
          <w:p w:rsidR="00291E07" w:rsidRPr="00960C10" w:rsidRDefault="00291E07" w:rsidP="001B08CA">
            <w:pPr>
              <w:spacing w:before="0" w:after="0" w:line="240" w:lineRule="auto"/>
              <w:rPr>
                <w:color w:val="000000"/>
                <w:szCs w:val="24"/>
                <w:lang w:eastAsia="en-GB"/>
              </w:rPr>
            </w:pPr>
            <w:r w:rsidRPr="00960C10">
              <w:rPr>
                <w:color w:val="000000"/>
                <w:szCs w:val="24"/>
                <w:lang w:eastAsia="en-GB"/>
              </w:rPr>
              <w:t>19,200</w:t>
            </w:r>
          </w:p>
        </w:tc>
      </w:tr>
      <w:tr w:rsidR="00291E07" w:rsidRPr="00960C10" w:rsidTr="00291E07">
        <w:trPr>
          <w:trHeight w:val="255"/>
        </w:trPr>
        <w:tc>
          <w:tcPr>
            <w:tcW w:w="1814" w:type="dxa"/>
            <w:vMerge/>
            <w:tcBorders>
              <w:top w:val="nil"/>
              <w:left w:val="nil"/>
              <w:bottom w:val="single" w:sz="4" w:space="0" w:color="000000"/>
              <w:right w:val="nil"/>
            </w:tcBorders>
            <w:vAlign w:val="center"/>
            <w:hideMark/>
          </w:tcPr>
          <w:p w:rsidR="00291E07" w:rsidRPr="00960C10" w:rsidRDefault="00291E07" w:rsidP="001B08CA">
            <w:pPr>
              <w:spacing w:before="0" w:after="0" w:line="240" w:lineRule="auto"/>
              <w:rPr>
                <w:color w:val="000000"/>
                <w:szCs w:val="24"/>
                <w:lang w:eastAsia="en-GB"/>
              </w:rPr>
            </w:pPr>
          </w:p>
        </w:tc>
        <w:tc>
          <w:tcPr>
            <w:tcW w:w="1814" w:type="dxa"/>
            <w:tcBorders>
              <w:top w:val="nil"/>
              <w:left w:val="nil"/>
              <w:bottom w:val="single" w:sz="4" w:space="0" w:color="auto"/>
              <w:right w:val="nil"/>
            </w:tcBorders>
            <w:shd w:val="clear" w:color="000000" w:fill="FFFFFF"/>
            <w:noWrap/>
            <w:vAlign w:val="bottom"/>
            <w:hideMark/>
          </w:tcPr>
          <w:p w:rsidR="00291E07" w:rsidRPr="00960C10" w:rsidRDefault="00291E07" w:rsidP="001B08CA">
            <w:pPr>
              <w:spacing w:before="0" w:after="0" w:line="240" w:lineRule="auto"/>
              <w:rPr>
                <w:color w:val="000000"/>
                <w:szCs w:val="24"/>
                <w:lang w:eastAsia="en-GB"/>
              </w:rPr>
            </w:pPr>
            <w:r w:rsidRPr="00960C10">
              <w:rPr>
                <w:color w:val="000000"/>
                <w:szCs w:val="24"/>
                <w:lang w:eastAsia="en-GB"/>
              </w:rPr>
              <w:t>70%</w:t>
            </w:r>
          </w:p>
        </w:tc>
        <w:tc>
          <w:tcPr>
            <w:tcW w:w="1815" w:type="dxa"/>
            <w:tcBorders>
              <w:top w:val="nil"/>
              <w:left w:val="nil"/>
              <w:bottom w:val="single" w:sz="4" w:space="0" w:color="auto"/>
              <w:right w:val="nil"/>
            </w:tcBorders>
            <w:shd w:val="clear" w:color="000000" w:fill="FFFFFF"/>
            <w:noWrap/>
            <w:vAlign w:val="bottom"/>
            <w:hideMark/>
          </w:tcPr>
          <w:p w:rsidR="00291E07" w:rsidRPr="00960C10" w:rsidRDefault="00291E07" w:rsidP="001B08CA">
            <w:pPr>
              <w:spacing w:before="0" w:after="0" w:line="240" w:lineRule="auto"/>
              <w:rPr>
                <w:color w:val="000000"/>
                <w:szCs w:val="24"/>
                <w:lang w:eastAsia="en-GB"/>
              </w:rPr>
            </w:pPr>
            <w:r w:rsidRPr="00960C10">
              <w:rPr>
                <w:color w:val="000000"/>
                <w:szCs w:val="24"/>
                <w:lang w:eastAsia="en-GB"/>
              </w:rPr>
              <w:t>2%</w:t>
            </w:r>
          </w:p>
        </w:tc>
        <w:tc>
          <w:tcPr>
            <w:tcW w:w="1814" w:type="dxa"/>
            <w:tcBorders>
              <w:top w:val="nil"/>
              <w:left w:val="nil"/>
              <w:bottom w:val="single" w:sz="4" w:space="0" w:color="auto"/>
              <w:right w:val="nil"/>
            </w:tcBorders>
            <w:shd w:val="clear" w:color="000000" w:fill="FFFFFF"/>
            <w:noWrap/>
            <w:vAlign w:val="bottom"/>
            <w:hideMark/>
          </w:tcPr>
          <w:p w:rsidR="00291E07" w:rsidRPr="00960C10" w:rsidRDefault="00291E07" w:rsidP="001B08CA">
            <w:pPr>
              <w:spacing w:before="0" w:after="0" w:line="240" w:lineRule="auto"/>
              <w:rPr>
                <w:color w:val="000000"/>
                <w:szCs w:val="24"/>
                <w:lang w:eastAsia="en-GB"/>
              </w:rPr>
            </w:pPr>
            <w:r w:rsidRPr="00960C10">
              <w:rPr>
                <w:color w:val="000000"/>
                <w:szCs w:val="24"/>
                <w:lang w:eastAsia="en-GB"/>
              </w:rPr>
              <w:t>27%</w:t>
            </w:r>
          </w:p>
        </w:tc>
        <w:tc>
          <w:tcPr>
            <w:tcW w:w="1815" w:type="dxa"/>
            <w:tcBorders>
              <w:top w:val="nil"/>
              <w:left w:val="nil"/>
              <w:bottom w:val="single" w:sz="4" w:space="0" w:color="auto"/>
              <w:right w:val="nil"/>
            </w:tcBorders>
            <w:shd w:val="clear" w:color="000000" w:fill="FFFFFF"/>
            <w:noWrap/>
            <w:vAlign w:val="bottom"/>
            <w:hideMark/>
          </w:tcPr>
          <w:p w:rsidR="00291E07" w:rsidRPr="00960C10" w:rsidRDefault="00291E07" w:rsidP="001B08CA">
            <w:pPr>
              <w:spacing w:before="0" w:after="0" w:line="240" w:lineRule="auto"/>
              <w:rPr>
                <w:color w:val="000000"/>
                <w:szCs w:val="24"/>
                <w:lang w:eastAsia="en-GB"/>
              </w:rPr>
            </w:pPr>
            <w:r w:rsidRPr="00960C10">
              <w:rPr>
                <w:color w:val="000000"/>
                <w:szCs w:val="24"/>
                <w:lang w:eastAsia="en-GB"/>
              </w:rPr>
              <w:t>100%</w:t>
            </w:r>
          </w:p>
        </w:tc>
      </w:tr>
    </w:tbl>
    <w:p w:rsidR="00291E07" w:rsidRPr="00960C10" w:rsidRDefault="00291E07" w:rsidP="001B08CA">
      <w:pPr>
        <w:spacing w:before="0" w:after="0"/>
        <w:jc w:val="both"/>
        <w:rPr>
          <w:szCs w:val="24"/>
        </w:rPr>
      </w:pPr>
      <w:r w:rsidRPr="00960C10">
        <w:rPr>
          <w:szCs w:val="24"/>
        </w:rPr>
        <w:t>* Properties which may or may not have cavity wall insulation.</w:t>
      </w:r>
    </w:p>
    <w:p w:rsidR="00291E07" w:rsidRPr="00960C10" w:rsidRDefault="00291E07" w:rsidP="001B08CA">
      <w:pPr>
        <w:spacing w:before="0" w:after="0"/>
        <w:jc w:val="both"/>
        <w:rPr>
          <w:szCs w:val="24"/>
        </w:rPr>
      </w:pPr>
      <w:r w:rsidRPr="00960C10">
        <w:rPr>
          <w:szCs w:val="24"/>
        </w:rPr>
        <w:t>** Not all remaining potential properties could be insulated and some which could be insulated would not be cost effective to insulate. This could be due to properties being hard to treat, having limited potential to save energy or having unfillable cavities.</w:t>
      </w:r>
    </w:p>
    <w:p w:rsidR="00291E07" w:rsidRPr="00FA511F" w:rsidRDefault="00291E07" w:rsidP="001B08CA">
      <w:pPr>
        <w:spacing w:before="0" w:after="0"/>
        <w:jc w:val="both"/>
        <w:rPr>
          <w:sz w:val="20"/>
        </w:rPr>
      </w:pPr>
    </w:p>
    <w:p w:rsidR="00291E07" w:rsidRDefault="00291E07" w:rsidP="001B08CA">
      <w:pPr>
        <w:spacing w:before="0" w:after="0"/>
        <w:jc w:val="both"/>
        <w:rPr>
          <w:u w:val="single"/>
        </w:rPr>
      </w:pPr>
      <w:r w:rsidRPr="00364ADD">
        <w:rPr>
          <w:u w:val="single"/>
        </w:rPr>
        <w:t>Loft insulation</w:t>
      </w:r>
    </w:p>
    <w:p w:rsidR="00291E07" w:rsidRPr="00364ADD" w:rsidRDefault="00291E07" w:rsidP="001B08CA">
      <w:pPr>
        <w:spacing w:before="0" w:after="0"/>
        <w:jc w:val="both"/>
        <w:rPr>
          <w:u w:val="single"/>
        </w:rPr>
      </w:pPr>
    </w:p>
    <w:p w:rsidR="00291E07" w:rsidRDefault="00291E07" w:rsidP="001B08CA">
      <w:pPr>
        <w:spacing w:before="0" w:after="0"/>
        <w:jc w:val="both"/>
      </w:pPr>
      <w:r>
        <w:t>In this publication l</w:t>
      </w:r>
      <w:r w:rsidRPr="00383A17">
        <w:t>ofts are defined as insulated if they have 125mm or more of insulation. Lofts with less than 125mm of insulation are defined as uninsulated as they would benefit most from top up insulation.</w:t>
      </w:r>
    </w:p>
    <w:p w:rsidR="00291E07" w:rsidRPr="00383A17" w:rsidRDefault="00291E07" w:rsidP="001B08CA">
      <w:pPr>
        <w:spacing w:before="0" w:after="0"/>
        <w:jc w:val="both"/>
      </w:pPr>
    </w:p>
    <w:p w:rsidR="00291E07" w:rsidRDefault="00291E07" w:rsidP="001B08CA">
      <w:pPr>
        <w:spacing w:before="0" w:after="0"/>
        <w:jc w:val="both"/>
      </w:pPr>
      <w:r>
        <w:t>Table 2.4</w:t>
      </w:r>
      <w:r w:rsidRPr="00383A17">
        <w:t xml:space="preserve"> below gives a breakdown of the remaining potential to insulate properties with a loft in the Great Britain housing stock.  At the </w:t>
      </w:r>
      <w:r>
        <w:t>end of September 2013</w:t>
      </w:r>
      <w:r w:rsidRPr="00383A17">
        <w:t xml:space="preserve"> it is estimated that there were </w:t>
      </w:r>
      <w:r w:rsidRPr="00964D73">
        <w:t>7.4</w:t>
      </w:r>
      <w:r w:rsidRPr="00383A17">
        <w:t xml:space="preserve"> million uninsulated lofts</w:t>
      </w:r>
      <w:r>
        <w:t xml:space="preserve"> (</w:t>
      </w:r>
      <w:r w:rsidRPr="00964D73">
        <w:t>31</w:t>
      </w:r>
      <w:r w:rsidRPr="00383A17">
        <w:t xml:space="preserve"> per cent of homes with lofts).  Of these </w:t>
      </w:r>
      <w:r w:rsidRPr="00964D73">
        <w:t>1.7</w:t>
      </w:r>
      <w:r w:rsidRPr="00383A17">
        <w:t xml:space="preserve"> million are considered to be hard to treat or unfillable which means the loft would be hard/costly to insulate or could not be insulated – this can occur in properties with a flat roof or in properties where the roof has a very shallow pitch which makes the loft space inaccessible.</w:t>
      </w:r>
    </w:p>
    <w:p w:rsidR="00291E07" w:rsidRDefault="00291E07" w:rsidP="001B08CA">
      <w:pPr>
        <w:rPr>
          <w:b/>
        </w:rPr>
      </w:pPr>
    </w:p>
    <w:p w:rsidR="00291E07" w:rsidRDefault="00291E07" w:rsidP="001B08CA">
      <w:pPr>
        <w:rPr>
          <w:b/>
        </w:rPr>
      </w:pPr>
      <w:r w:rsidRPr="00AF6D74">
        <w:rPr>
          <w:b/>
        </w:rPr>
        <w:t xml:space="preserve">Table </w:t>
      </w:r>
      <w:r>
        <w:rPr>
          <w:b/>
        </w:rPr>
        <w:t>2.4</w:t>
      </w:r>
      <w:r w:rsidRPr="00AF6D74">
        <w:rPr>
          <w:b/>
        </w:rPr>
        <w:t xml:space="preserve">: Loft insulation, </w:t>
      </w:r>
      <w:r>
        <w:rPr>
          <w:b/>
        </w:rPr>
        <w:t>September 2013</w:t>
      </w:r>
      <w:r w:rsidRPr="00AF6D74">
        <w:rPr>
          <w:b/>
        </w:rPr>
        <w:t xml:space="preserve"> (Thousands)</w:t>
      </w:r>
    </w:p>
    <w:tbl>
      <w:tblPr>
        <w:tblW w:w="9072" w:type="dxa"/>
        <w:tblInd w:w="108" w:type="dxa"/>
        <w:tblLayout w:type="fixed"/>
        <w:tblLook w:val="04A0" w:firstRow="1" w:lastRow="0" w:firstColumn="1" w:lastColumn="0" w:noHBand="0" w:noVBand="1"/>
      </w:tblPr>
      <w:tblGrid>
        <w:gridCol w:w="1814"/>
        <w:gridCol w:w="1814"/>
        <w:gridCol w:w="1815"/>
        <w:gridCol w:w="1814"/>
        <w:gridCol w:w="1815"/>
      </w:tblGrid>
      <w:tr w:rsidR="00291E07" w:rsidRPr="00960C10" w:rsidTr="00291E07">
        <w:trPr>
          <w:trHeight w:val="510"/>
        </w:trPr>
        <w:tc>
          <w:tcPr>
            <w:tcW w:w="1814" w:type="dxa"/>
            <w:tcBorders>
              <w:top w:val="single" w:sz="4" w:space="0" w:color="auto"/>
              <w:left w:val="nil"/>
              <w:bottom w:val="single" w:sz="4" w:space="0" w:color="auto"/>
              <w:right w:val="nil"/>
            </w:tcBorders>
            <w:shd w:val="clear" w:color="auto" w:fill="auto"/>
            <w:vAlign w:val="center"/>
            <w:hideMark/>
          </w:tcPr>
          <w:p w:rsidR="00291E07" w:rsidRPr="00960C10" w:rsidRDefault="00291E07" w:rsidP="001B08CA">
            <w:pPr>
              <w:spacing w:before="0" w:after="0" w:line="240" w:lineRule="auto"/>
              <w:rPr>
                <w:color w:val="000000"/>
                <w:szCs w:val="24"/>
                <w:lang w:eastAsia="en-GB"/>
              </w:rPr>
            </w:pPr>
            <w:r w:rsidRPr="00960C10">
              <w:rPr>
                <w:color w:val="000000"/>
                <w:szCs w:val="24"/>
                <w:lang w:eastAsia="en-GB"/>
              </w:rPr>
              <w:t>Insulation type</w:t>
            </w:r>
          </w:p>
        </w:tc>
        <w:tc>
          <w:tcPr>
            <w:tcW w:w="1814" w:type="dxa"/>
            <w:tcBorders>
              <w:top w:val="single" w:sz="4" w:space="0" w:color="auto"/>
              <w:left w:val="nil"/>
              <w:bottom w:val="single" w:sz="4" w:space="0" w:color="auto"/>
              <w:right w:val="nil"/>
            </w:tcBorders>
            <w:shd w:val="clear" w:color="auto" w:fill="auto"/>
            <w:vAlign w:val="center"/>
            <w:hideMark/>
          </w:tcPr>
          <w:p w:rsidR="00291E07" w:rsidRPr="00960C10" w:rsidRDefault="00291E07" w:rsidP="001B08CA">
            <w:pPr>
              <w:spacing w:before="0" w:after="0" w:line="240" w:lineRule="auto"/>
              <w:rPr>
                <w:color w:val="000000"/>
                <w:szCs w:val="24"/>
                <w:lang w:eastAsia="en-GB"/>
              </w:rPr>
            </w:pPr>
            <w:r w:rsidRPr="00960C10">
              <w:rPr>
                <w:color w:val="000000"/>
                <w:szCs w:val="24"/>
                <w:lang w:eastAsia="en-GB"/>
              </w:rPr>
              <w:t>Insulated</w:t>
            </w:r>
          </w:p>
        </w:tc>
        <w:tc>
          <w:tcPr>
            <w:tcW w:w="1815" w:type="dxa"/>
            <w:tcBorders>
              <w:top w:val="single" w:sz="4" w:space="0" w:color="auto"/>
              <w:left w:val="nil"/>
              <w:bottom w:val="single" w:sz="4" w:space="0" w:color="auto"/>
              <w:right w:val="nil"/>
            </w:tcBorders>
            <w:shd w:val="clear" w:color="auto" w:fill="auto"/>
            <w:vAlign w:val="center"/>
            <w:hideMark/>
          </w:tcPr>
          <w:p w:rsidR="00291E07" w:rsidRPr="00960C10" w:rsidRDefault="00291E07" w:rsidP="001B08CA">
            <w:pPr>
              <w:spacing w:before="0" w:after="0" w:line="240" w:lineRule="auto"/>
              <w:rPr>
                <w:color w:val="000000"/>
                <w:szCs w:val="24"/>
                <w:lang w:eastAsia="en-GB"/>
              </w:rPr>
            </w:pPr>
            <w:r w:rsidRPr="00960C10">
              <w:rPr>
                <w:color w:val="000000"/>
                <w:szCs w:val="24"/>
                <w:lang w:eastAsia="en-GB"/>
              </w:rPr>
              <w:t>Uncertainty*</w:t>
            </w:r>
          </w:p>
        </w:tc>
        <w:tc>
          <w:tcPr>
            <w:tcW w:w="1814" w:type="dxa"/>
            <w:tcBorders>
              <w:top w:val="single" w:sz="4" w:space="0" w:color="auto"/>
              <w:left w:val="nil"/>
              <w:bottom w:val="single" w:sz="4" w:space="0" w:color="auto"/>
              <w:right w:val="nil"/>
            </w:tcBorders>
            <w:shd w:val="clear" w:color="auto" w:fill="auto"/>
            <w:vAlign w:val="center"/>
            <w:hideMark/>
          </w:tcPr>
          <w:p w:rsidR="00291E07" w:rsidRPr="00960C10" w:rsidRDefault="00291E07" w:rsidP="001B08CA">
            <w:pPr>
              <w:spacing w:before="0" w:after="0" w:line="240" w:lineRule="auto"/>
              <w:rPr>
                <w:color w:val="000000"/>
                <w:szCs w:val="24"/>
                <w:lang w:eastAsia="en-GB"/>
              </w:rPr>
            </w:pPr>
            <w:r w:rsidRPr="00960C10">
              <w:rPr>
                <w:color w:val="000000"/>
                <w:szCs w:val="24"/>
                <w:lang w:eastAsia="en-GB"/>
              </w:rPr>
              <w:t>Remaining potential**</w:t>
            </w:r>
          </w:p>
        </w:tc>
        <w:tc>
          <w:tcPr>
            <w:tcW w:w="1815" w:type="dxa"/>
            <w:tcBorders>
              <w:top w:val="single" w:sz="4" w:space="0" w:color="auto"/>
              <w:left w:val="nil"/>
              <w:bottom w:val="single" w:sz="4" w:space="0" w:color="auto"/>
              <w:right w:val="nil"/>
            </w:tcBorders>
            <w:shd w:val="clear" w:color="auto" w:fill="auto"/>
            <w:vAlign w:val="center"/>
            <w:hideMark/>
          </w:tcPr>
          <w:p w:rsidR="00291E07" w:rsidRPr="00960C10" w:rsidRDefault="00291E07" w:rsidP="001B08CA">
            <w:pPr>
              <w:spacing w:before="0" w:after="0" w:line="240" w:lineRule="auto"/>
              <w:rPr>
                <w:color w:val="000000"/>
                <w:szCs w:val="24"/>
                <w:lang w:eastAsia="en-GB"/>
              </w:rPr>
            </w:pPr>
            <w:r w:rsidRPr="00960C10">
              <w:rPr>
                <w:color w:val="000000"/>
                <w:szCs w:val="24"/>
                <w:lang w:eastAsia="en-GB"/>
              </w:rPr>
              <w:t>Properties with a loft</w:t>
            </w:r>
          </w:p>
        </w:tc>
      </w:tr>
      <w:tr w:rsidR="00291E07" w:rsidRPr="00960C10" w:rsidTr="00291E07">
        <w:trPr>
          <w:trHeight w:val="255"/>
        </w:trPr>
        <w:tc>
          <w:tcPr>
            <w:tcW w:w="1814" w:type="dxa"/>
            <w:vMerge w:val="restart"/>
            <w:tcBorders>
              <w:top w:val="nil"/>
              <w:left w:val="nil"/>
              <w:bottom w:val="single" w:sz="4" w:space="0" w:color="000000"/>
              <w:right w:val="nil"/>
            </w:tcBorders>
            <w:shd w:val="clear" w:color="auto" w:fill="auto"/>
            <w:vAlign w:val="center"/>
            <w:hideMark/>
          </w:tcPr>
          <w:p w:rsidR="00291E07" w:rsidRPr="00960C10" w:rsidRDefault="00291E07" w:rsidP="001B08CA">
            <w:pPr>
              <w:spacing w:before="0" w:after="0" w:line="240" w:lineRule="auto"/>
              <w:rPr>
                <w:color w:val="000000"/>
                <w:szCs w:val="24"/>
                <w:lang w:eastAsia="en-GB"/>
              </w:rPr>
            </w:pPr>
            <w:r w:rsidRPr="00960C10">
              <w:rPr>
                <w:color w:val="000000"/>
                <w:szCs w:val="24"/>
                <w:lang w:eastAsia="en-GB"/>
              </w:rPr>
              <w:t>Loft insulation</w:t>
            </w:r>
          </w:p>
        </w:tc>
        <w:tc>
          <w:tcPr>
            <w:tcW w:w="1814" w:type="dxa"/>
            <w:tcBorders>
              <w:top w:val="nil"/>
              <w:left w:val="nil"/>
              <w:bottom w:val="nil"/>
              <w:right w:val="nil"/>
            </w:tcBorders>
            <w:shd w:val="clear" w:color="000000" w:fill="FFFFFF"/>
            <w:noWrap/>
            <w:vAlign w:val="bottom"/>
            <w:hideMark/>
          </w:tcPr>
          <w:p w:rsidR="00291E07" w:rsidRPr="00960C10" w:rsidRDefault="00291E07" w:rsidP="001B08CA">
            <w:pPr>
              <w:spacing w:before="0" w:after="0" w:line="240" w:lineRule="auto"/>
              <w:rPr>
                <w:color w:val="000000"/>
                <w:szCs w:val="24"/>
                <w:lang w:eastAsia="en-GB"/>
              </w:rPr>
            </w:pPr>
            <w:r w:rsidRPr="00960C10">
              <w:rPr>
                <w:color w:val="000000"/>
                <w:szCs w:val="24"/>
                <w:lang w:eastAsia="en-GB"/>
              </w:rPr>
              <w:t>16,290</w:t>
            </w:r>
          </w:p>
        </w:tc>
        <w:tc>
          <w:tcPr>
            <w:tcW w:w="1815" w:type="dxa"/>
            <w:tcBorders>
              <w:top w:val="nil"/>
              <w:left w:val="nil"/>
              <w:bottom w:val="nil"/>
              <w:right w:val="nil"/>
            </w:tcBorders>
            <w:shd w:val="clear" w:color="000000" w:fill="FFFFFF"/>
            <w:noWrap/>
            <w:vAlign w:val="bottom"/>
            <w:hideMark/>
          </w:tcPr>
          <w:p w:rsidR="00291E07" w:rsidRPr="00960C10" w:rsidRDefault="00291E07" w:rsidP="001B08CA">
            <w:pPr>
              <w:spacing w:before="0" w:after="0" w:line="240" w:lineRule="auto"/>
              <w:rPr>
                <w:color w:val="000000"/>
                <w:szCs w:val="24"/>
                <w:lang w:eastAsia="en-GB"/>
              </w:rPr>
            </w:pPr>
            <w:r w:rsidRPr="00960C10">
              <w:rPr>
                <w:color w:val="000000"/>
                <w:szCs w:val="24"/>
                <w:lang w:eastAsia="en-GB"/>
              </w:rPr>
              <w:t>100</w:t>
            </w:r>
          </w:p>
        </w:tc>
        <w:tc>
          <w:tcPr>
            <w:tcW w:w="1814" w:type="dxa"/>
            <w:tcBorders>
              <w:top w:val="nil"/>
              <w:left w:val="nil"/>
              <w:bottom w:val="nil"/>
              <w:right w:val="nil"/>
            </w:tcBorders>
            <w:shd w:val="clear" w:color="000000" w:fill="FFFFFF"/>
            <w:noWrap/>
            <w:vAlign w:val="bottom"/>
            <w:hideMark/>
          </w:tcPr>
          <w:p w:rsidR="00291E07" w:rsidRPr="00960C10" w:rsidRDefault="00291E07" w:rsidP="001B08CA">
            <w:pPr>
              <w:spacing w:before="0" w:after="0" w:line="240" w:lineRule="auto"/>
              <w:rPr>
                <w:color w:val="000000"/>
                <w:szCs w:val="24"/>
                <w:lang w:eastAsia="en-GB"/>
              </w:rPr>
            </w:pPr>
            <w:r w:rsidRPr="00960C10">
              <w:rPr>
                <w:color w:val="000000"/>
                <w:szCs w:val="24"/>
                <w:lang w:eastAsia="en-GB"/>
              </w:rPr>
              <w:t>7,370</w:t>
            </w:r>
          </w:p>
        </w:tc>
        <w:tc>
          <w:tcPr>
            <w:tcW w:w="1815" w:type="dxa"/>
            <w:tcBorders>
              <w:top w:val="nil"/>
              <w:left w:val="nil"/>
              <w:bottom w:val="nil"/>
              <w:right w:val="nil"/>
            </w:tcBorders>
            <w:shd w:val="clear" w:color="000000" w:fill="FFFFFF"/>
            <w:noWrap/>
            <w:vAlign w:val="bottom"/>
            <w:hideMark/>
          </w:tcPr>
          <w:p w:rsidR="00291E07" w:rsidRPr="00960C10" w:rsidRDefault="00291E07" w:rsidP="001B08CA">
            <w:pPr>
              <w:spacing w:before="0" w:after="0" w:line="240" w:lineRule="auto"/>
              <w:rPr>
                <w:color w:val="000000"/>
                <w:szCs w:val="24"/>
                <w:lang w:eastAsia="en-GB"/>
              </w:rPr>
            </w:pPr>
            <w:r w:rsidRPr="00960C10">
              <w:rPr>
                <w:color w:val="000000"/>
                <w:szCs w:val="24"/>
                <w:lang w:eastAsia="en-GB"/>
              </w:rPr>
              <w:t>23,760</w:t>
            </w:r>
          </w:p>
        </w:tc>
      </w:tr>
      <w:tr w:rsidR="00291E07" w:rsidRPr="00960C10" w:rsidTr="00291E07">
        <w:trPr>
          <w:trHeight w:val="255"/>
        </w:trPr>
        <w:tc>
          <w:tcPr>
            <w:tcW w:w="1814" w:type="dxa"/>
            <w:vMerge/>
            <w:tcBorders>
              <w:top w:val="nil"/>
              <w:left w:val="nil"/>
              <w:bottom w:val="single" w:sz="4" w:space="0" w:color="000000"/>
              <w:right w:val="nil"/>
            </w:tcBorders>
            <w:vAlign w:val="center"/>
            <w:hideMark/>
          </w:tcPr>
          <w:p w:rsidR="00291E07" w:rsidRPr="00960C10" w:rsidRDefault="00291E07" w:rsidP="001B08CA">
            <w:pPr>
              <w:spacing w:before="0" w:after="0" w:line="240" w:lineRule="auto"/>
              <w:rPr>
                <w:color w:val="000000"/>
                <w:szCs w:val="24"/>
                <w:lang w:eastAsia="en-GB"/>
              </w:rPr>
            </w:pPr>
          </w:p>
        </w:tc>
        <w:tc>
          <w:tcPr>
            <w:tcW w:w="1814" w:type="dxa"/>
            <w:tcBorders>
              <w:top w:val="nil"/>
              <w:left w:val="nil"/>
              <w:bottom w:val="single" w:sz="4" w:space="0" w:color="auto"/>
              <w:right w:val="nil"/>
            </w:tcBorders>
            <w:shd w:val="clear" w:color="000000" w:fill="FFFFFF"/>
            <w:noWrap/>
            <w:vAlign w:val="bottom"/>
            <w:hideMark/>
          </w:tcPr>
          <w:p w:rsidR="00291E07" w:rsidRPr="00960C10" w:rsidRDefault="00291E07" w:rsidP="001B08CA">
            <w:pPr>
              <w:spacing w:before="0" w:after="0" w:line="240" w:lineRule="auto"/>
              <w:rPr>
                <w:color w:val="000000"/>
                <w:szCs w:val="24"/>
                <w:lang w:eastAsia="en-GB"/>
              </w:rPr>
            </w:pPr>
            <w:r w:rsidRPr="00960C10">
              <w:rPr>
                <w:color w:val="000000"/>
                <w:szCs w:val="24"/>
                <w:lang w:eastAsia="en-GB"/>
              </w:rPr>
              <w:t>69%</w:t>
            </w:r>
          </w:p>
        </w:tc>
        <w:tc>
          <w:tcPr>
            <w:tcW w:w="1815" w:type="dxa"/>
            <w:tcBorders>
              <w:top w:val="nil"/>
              <w:left w:val="nil"/>
              <w:bottom w:val="single" w:sz="4" w:space="0" w:color="auto"/>
              <w:right w:val="nil"/>
            </w:tcBorders>
            <w:shd w:val="clear" w:color="000000" w:fill="FFFFFF"/>
            <w:noWrap/>
            <w:vAlign w:val="bottom"/>
            <w:hideMark/>
          </w:tcPr>
          <w:p w:rsidR="00291E07" w:rsidRPr="00960C10" w:rsidRDefault="00291E07" w:rsidP="001B08CA">
            <w:pPr>
              <w:spacing w:before="0" w:after="0" w:line="240" w:lineRule="auto"/>
              <w:rPr>
                <w:color w:val="000000"/>
                <w:szCs w:val="24"/>
                <w:lang w:eastAsia="en-GB"/>
              </w:rPr>
            </w:pPr>
            <w:r w:rsidRPr="00960C10">
              <w:rPr>
                <w:color w:val="000000"/>
                <w:szCs w:val="24"/>
                <w:lang w:eastAsia="en-GB"/>
              </w:rPr>
              <w:t>0.4%</w:t>
            </w:r>
          </w:p>
        </w:tc>
        <w:tc>
          <w:tcPr>
            <w:tcW w:w="1814" w:type="dxa"/>
            <w:tcBorders>
              <w:top w:val="nil"/>
              <w:left w:val="nil"/>
              <w:bottom w:val="single" w:sz="4" w:space="0" w:color="auto"/>
              <w:right w:val="nil"/>
            </w:tcBorders>
            <w:shd w:val="clear" w:color="000000" w:fill="FFFFFF"/>
            <w:noWrap/>
            <w:vAlign w:val="bottom"/>
            <w:hideMark/>
          </w:tcPr>
          <w:p w:rsidR="00291E07" w:rsidRPr="00960C10" w:rsidRDefault="00291E07" w:rsidP="001B08CA">
            <w:pPr>
              <w:spacing w:before="0" w:after="0" w:line="240" w:lineRule="auto"/>
              <w:rPr>
                <w:color w:val="000000"/>
                <w:szCs w:val="24"/>
                <w:lang w:eastAsia="en-GB"/>
              </w:rPr>
            </w:pPr>
            <w:r w:rsidRPr="00960C10">
              <w:rPr>
                <w:color w:val="000000"/>
                <w:szCs w:val="24"/>
                <w:lang w:eastAsia="en-GB"/>
              </w:rPr>
              <w:t>31%</w:t>
            </w:r>
          </w:p>
        </w:tc>
        <w:tc>
          <w:tcPr>
            <w:tcW w:w="1815" w:type="dxa"/>
            <w:tcBorders>
              <w:top w:val="nil"/>
              <w:left w:val="nil"/>
              <w:bottom w:val="single" w:sz="4" w:space="0" w:color="auto"/>
              <w:right w:val="nil"/>
            </w:tcBorders>
            <w:shd w:val="clear" w:color="000000" w:fill="FFFFFF"/>
            <w:noWrap/>
            <w:vAlign w:val="bottom"/>
            <w:hideMark/>
          </w:tcPr>
          <w:p w:rsidR="00291E07" w:rsidRPr="00960C10" w:rsidRDefault="00291E07" w:rsidP="001B08CA">
            <w:pPr>
              <w:spacing w:before="0" w:after="0" w:line="240" w:lineRule="auto"/>
              <w:rPr>
                <w:color w:val="000000"/>
                <w:szCs w:val="24"/>
                <w:lang w:eastAsia="en-GB"/>
              </w:rPr>
            </w:pPr>
            <w:r w:rsidRPr="00960C10">
              <w:rPr>
                <w:color w:val="000000"/>
                <w:szCs w:val="24"/>
                <w:lang w:eastAsia="en-GB"/>
              </w:rPr>
              <w:t>100%</w:t>
            </w:r>
          </w:p>
        </w:tc>
      </w:tr>
    </w:tbl>
    <w:p w:rsidR="00291E07" w:rsidRPr="00CB1910" w:rsidRDefault="00291E07" w:rsidP="001B08CA">
      <w:pPr>
        <w:spacing w:after="0"/>
        <w:jc w:val="both"/>
        <w:rPr>
          <w:szCs w:val="24"/>
        </w:rPr>
      </w:pPr>
      <w:r w:rsidRPr="00CB1910">
        <w:rPr>
          <w:szCs w:val="24"/>
        </w:rPr>
        <w:t>* Properties which may or may not have loft insulation.</w:t>
      </w:r>
    </w:p>
    <w:p w:rsidR="00291E07" w:rsidRPr="00CB1910" w:rsidRDefault="00291E07" w:rsidP="001B08CA">
      <w:pPr>
        <w:jc w:val="both"/>
        <w:rPr>
          <w:szCs w:val="24"/>
        </w:rPr>
      </w:pPr>
      <w:r w:rsidRPr="00CB1910">
        <w:rPr>
          <w:szCs w:val="24"/>
        </w:rPr>
        <w:t>** Not all remaining potential properties could be insulated and some which could be insulated would not be cost effective to insulate, due to lofts either being hard to treat or unfillable.</w:t>
      </w:r>
    </w:p>
    <w:p w:rsidR="00291E07" w:rsidRDefault="00291E07" w:rsidP="001B08CA">
      <w:pPr>
        <w:jc w:val="both"/>
        <w:rPr>
          <w:u w:val="single"/>
        </w:rPr>
      </w:pPr>
    </w:p>
    <w:p w:rsidR="00291E07" w:rsidRDefault="00291E07" w:rsidP="001B08CA">
      <w:pPr>
        <w:jc w:val="both"/>
        <w:rPr>
          <w:u w:val="single"/>
        </w:rPr>
      </w:pPr>
      <w:r w:rsidRPr="00383A17">
        <w:rPr>
          <w:u w:val="single"/>
        </w:rPr>
        <w:t>Solid wall insulation</w:t>
      </w:r>
    </w:p>
    <w:p w:rsidR="00291E07" w:rsidRPr="00383A17" w:rsidRDefault="00291E07" w:rsidP="001B08CA">
      <w:pPr>
        <w:jc w:val="both"/>
        <w:rPr>
          <w:u w:val="single"/>
        </w:rPr>
      </w:pPr>
    </w:p>
    <w:p w:rsidR="00291E07" w:rsidRPr="00383A17" w:rsidRDefault="00291E07" w:rsidP="001B08CA">
      <w:pPr>
        <w:jc w:val="both"/>
      </w:pPr>
      <w:r w:rsidRPr="00383A17">
        <w:t xml:space="preserve">Table </w:t>
      </w:r>
      <w:r>
        <w:t>2.5</w:t>
      </w:r>
      <w:r w:rsidRPr="00383A17">
        <w:t xml:space="preserve"> gives a breakdown of the remaining potential to insulate solid wall properties in the Great Britain housing stock.  It is estimated that at the </w:t>
      </w:r>
      <w:r>
        <w:t>end of September 2013</w:t>
      </w:r>
      <w:r w:rsidRPr="00383A17">
        <w:t xml:space="preserve"> there were </w:t>
      </w:r>
      <w:r w:rsidRPr="004B2C17">
        <w:t>7.7</w:t>
      </w:r>
      <w:r w:rsidRPr="00383A17">
        <w:t xml:space="preserve"> million uninsulated solid walls</w:t>
      </w:r>
      <w:r>
        <w:t xml:space="preserve"> (</w:t>
      </w:r>
      <w:r w:rsidRPr="004B2C17">
        <w:t>96</w:t>
      </w:r>
      <w:r w:rsidRPr="00383A17">
        <w:t xml:space="preserve"> per cent of homes with solid walls).  </w:t>
      </w:r>
      <w:r>
        <w:t>Previously Government schemes</w:t>
      </w:r>
      <w:r w:rsidRPr="00383A17">
        <w:t xml:space="preserve"> have focused on insulating homes with cavity walls due to the costs involved with insulating solid wall </w:t>
      </w:r>
      <w:r w:rsidRPr="004A51AA">
        <w:t xml:space="preserve">properties; however the launch of the Green Deal and ECO in January 2013 </w:t>
      </w:r>
      <w:r>
        <w:t>has switched the focus</w:t>
      </w:r>
      <w:r w:rsidRPr="004A51AA">
        <w:t xml:space="preserve"> to harder or more expensive to treat properties, including solid wall properties.  Of</w:t>
      </w:r>
      <w:r w:rsidRPr="00383A17">
        <w:t xml:space="preserve"> the remaining potential it may not be possible to insulate all uninsulated solid wall properties, it is likely that some of these will be too costly to treat </w:t>
      </w:r>
      <w:r>
        <w:t>or be within</w:t>
      </w:r>
      <w:r w:rsidRPr="00383A17">
        <w:t xml:space="preserve"> conservation areas and will therefore never be insulated</w:t>
      </w:r>
      <w:r>
        <w:t>, work is planned to assess the extent of this issue</w:t>
      </w:r>
      <w:r w:rsidRPr="00383A17">
        <w:t>.</w:t>
      </w:r>
    </w:p>
    <w:p w:rsidR="00291E07" w:rsidRDefault="00291E07" w:rsidP="001B08CA">
      <w:pPr>
        <w:rPr>
          <w:b/>
        </w:rPr>
      </w:pPr>
    </w:p>
    <w:p w:rsidR="00F01AFF" w:rsidRDefault="00F01AFF" w:rsidP="001B08CA">
      <w:pPr>
        <w:rPr>
          <w:b/>
        </w:rPr>
      </w:pPr>
    </w:p>
    <w:p w:rsidR="00F01AFF" w:rsidRDefault="00F01AFF" w:rsidP="001B08CA">
      <w:pPr>
        <w:rPr>
          <w:b/>
        </w:rPr>
      </w:pPr>
    </w:p>
    <w:p w:rsidR="00291E07" w:rsidRDefault="00291E07" w:rsidP="001B08CA">
      <w:pPr>
        <w:rPr>
          <w:b/>
        </w:rPr>
      </w:pPr>
      <w:r w:rsidRPr="00AF6D74">
        <w:rPr>
          <w:b/>
        </w:rPr>
        <w:lastRenderedPageBreak/>
        <w:t xml:space="preserve">Table </w:t>
      </w:r>
      <w:r>
        <w:rPr>
          <w:b/>
        </w:rPr>
        <w:t>2.5</w:t>
      </w:r>
      <w:r w:rsidRPr="00AF6D74">
        <w:rPr>
          <w:b/>
        </w:rPr>
        <w:t>: Sol</w:t>
      </w:r>
      <w:r>
        <w:rPr>
          <w:b/>
        </w:rPr>
        <w:t>i</w:t>
      </w:r>
      <w:r w:rsidRPr="00AF6D74">
        <w:rPr>
          <w:b/>
        </w:rPr>
        <w:t>d wall insulation</w:t>
      </w:r>
      <w:r>
        <w:rPr>
          <w:b/>
        </w:rPr>
        <w:t>, September 2013</w:t>
      </w:r>
      <w:r w:rsidRPr="00AF6D74">
        <w:rPr>
          <w:b/>
        </w:rPr>
        <w:t xml:space="preserve"> (Thousands)</w:t>
      </w:r>
    </w:p>
    <w:tbl>
      <w:tblPr>
        <w:tblW w:w="9072" w:type="dxa"/>
        <w:tblInd w:w="108" w:type="dxa"/>
        <w:tblLayout w:type="fixed"/>
        <w:tblLook w:val="04A0" w:firstRow="1" w:lastRow="0" w:firstColumn="1" w:lastColumn="0" w:noHBand="0" w:noVBand="1"/>
      </w:tblPr>
      <w:tblGrid>
        <w:gridCol w:w="1814"/>
        <w:gridCol w:w="1814"/>
        <w:gridCol w:w="1815"/>
        <w:gridCol w:w="1814"/>
        <w:gridCol w:w="1815"/>
      </w:tblGrid>
      <w:tr w:rsidR="00291E07" w:rsidRPr="00CB1910" w:rsidTr="00291E07">
        <w:trPr>
          <w:trHeight w:val="510"/>
        </w:trPr>
        <w:tc>
          <w:tcPr>
            <w:tcW w:w="1814" w:type="dxa"/>
            <w:tcBorders>
              <w:top w:val="single" w:sz="4" w:space="0" w:color="auto"/>
              <w:left w:val="nil"/>
              <w:bottom w:val="single" w:sz="4" w:space="0" w:color="auto"/>
              <w:right w:val="nil"/>
            </w:tcBorders>
            <w:shd w:val="clear" w:color="000000" w:fill="FFFFFF"/>
            <w:vAlign w:val="center"/>
            <w:hideMark/>
          </w:tcPr>
          <w:p w:rsidR="00291E07" w:rsidRPr="00CB1910" w:rsidRDefault="00291E07" w:rsidP="001B08CA">
            <w:pPr>
              <w:spacing w:before="0" w:after="0" w:line="240" w:lineRule="auto"/>
              <w:rPr>
                <w:color w:val="000000"/>
                <w:szCs w:val="24"/>
                <w:lang w:eastAsia="en-GB"/>
              </w:rPr>
            </w:pPr>
            <w:r w:rsidRPr="00CB1910">
              <w:rPr>
                <w:color w:val="000000"/>
                <w:szCs w:val="24"/>
                <w:lang w:eastAsia="en-GB"/>
              </w:rPr>
              <w:t>Insulation type</w:t>
            </w:r>
          </w:p>
        </w:tc>
        <w:tc>
          <w:tcPr>
            <w:tcW w:w="1814" w:type="dxa"/>
            <w:tcBorders>
              <w:top w:val="single" w:sz="4" w:space="0" w:color="auto"/>
              <w:left w:val="nil"/>
              <w:bottom w:val="single" w:sz="4" w:space="0" w:color="auto"/>
              <w:right w:val="nil"/>
            </w:tcBorders>
            <w:shd w:val="clear" w:color="000000" w:fill="FFFFFF"/>
            <w:vAlign w:val="center"/>
            <w:hideMark/>
          </w:tcPr>
          <w:p w:rsidR="00291E07" w:rsidRPr="00CB1910" w:rsidRDefault="00291E07" w:rsidP="001B08CA">
            <w:pPr>
              <w:spacing w:before="0" w:after="0" w:line="240" w:lineRule="auto"/>
              <w:rPr>
                <w:color w:val="000000"/>
                <w:szCs w:val="24"/>
                <w:lang w:eastAsia="en-GB"/>
              </w:rPr>
            </w:pPr>
            <w:r w:rsidRPr="00CB1910">
              <w:rPr>
                <w:color w:val="000000"/>
                <w:szCs w:val="24"/>
                <w:lang w:eastAsia="en-GB"/>
              </w:rPr>
              <w:t>Insulated</w:t>
            </w:r>
          </w:p>
        </w:tc>
        <w:tc>
          <w:tcPr>
            <w:tcW w:w="1815" w:type="dxa"/>
            <w:tcBorders>
              <w:top w:val="single" w:sz="4" w:space="0" w:color="auto"/>
              <w:left w:val="nil"/>
              <w:bottom w:val="single" w:sz="4" w:space="0" w:color="auto"/>
              <w:right w:val="nil"/>
            </w:tcBorders>
            <w:shd w:val="clear" w:color="000000" w:fill="FFFFFF"/>
            <w:vAlign w:val="center"/>
            <w:hideMark/>
          </w:tcPr>
          <w:p w:rsidR="00291E07" w:rsidRPr="00CB1910" w:rsidRDefault="00291E07" w:rsidP="001B08CA">
            <w:pPr>
              <w:spacing w:before="0" w:after="0" w:line="240" w:lineRule="auto"/>
              <w:rPr>
                <w:color w:val="000000"/>
                <w:szCs w:val="24"/>
                <w:lang w:eastAsia="en-GB"/>
              </w:rPr>
            </w:pPr>
            <w:r w:rsidRPr="00CB1910">
              <w:rPr>
                <w:color w:val="000000"/>
                <w:szCs w:val="24"/>
                <w:lang w:eastAsia="en-GB"/>
              </w:rPr>
              <w:t>Uncertainty</w:t>
            </w:r>
          </w:p>
        </w:tc>
        <w:tc>
          <w:tcPr>
            <w:tcW w:w="1814" w:type="dxa"/>
            <w:tcBorders>
              <w:top w:val="single" w:sz="4" w:space="0" w:color="auto"/>
              <w:left w:val="nil"/>
              <w:bottom w:val="single" w:sz="4" w:space="0" w:color="auto"/>
              <w:right w:val="nil"/>
            </w:tcBorders>
            <w:shd w:val="clear" w:color="000000" w:fill="FFFFFF"/>
            <w:vAlign w:val="center"/>
            <w:hideMark/>
          </w:tcPr>
          <w:p w:rsidR="00291E07" w:rsidRPr="00CB1910" w:rsidRDefault="00291E07" w:rsidP="001B08CA">
            <w:pPr>
              <w:spacing w:before="0" w:after="0" w:line="240" w:lineRule="auto"/>
              <w:rPr>
                <w:color w:val="000000"/>
                <w:szCs w:val="24"/>
                <w:lang w:eastAsia="en-GB"/>
              </w:rPr>
            </w:pPr>
            <w:r w:rsidRPr="00CB1910">
              <w:rPr>
                <w:color w:val="000000"/>
                <w:szCs w:val="24"/>
                <w:lang w:eastAsia="en-GB"/>
              </w:rPr>
              <w:t>Remaining potential</w:t>
            </w:r>
          </w:p>
        </w:tc>
        <w:tc>
          <w:tcPr>
            <w:tcW w:w="1815" w:type="dxa"/>
            <w:tcBorders>
              <w:top w:val="single" w:sz="4" w:space="0" w:color="auto"/>
              <w:left w:val="nil"/>
              <w:bottom w:val="single" w:sz="4" w:space="0" w:color="auto"/>
              <w:right w:val="nil"/>
            </w:tcBorders>
            <w:shd w:val="clear" w:color="000000" w:fill="FFFFFF"/>
            <w:vAlign w:val="center"/>
            <w:hideMark/>
          </w:tcPr>
          <w:p w:rsidR="00291E07" w:rsidRPr="00CB1910" w:rsidRDefault="00291E07" w:rsidP="001B08CA">
            <w:pPr>
              <w:spacing w:before="0" w:after="0" w:line="240" w:lineRule="auto"/>
              <w:rPr>
                <w:color w:val="000000"/>
                <w:szCs w:val="24"/>
                <w:lang w:eastAsia="en-GB"/>
              </w:rPr>
            </w:pPr>
            <w:r w:rsidRPr="00CB1910">
              <w:rPr>
                <w:color w:val="000000"/>
                <w:szCs w:val="24"/>
                <w:lang w:eastAsia="en-GB"/>
              </w:rPr>
              <w:t>Solid wall properties</w:t>
            </w:r>
          </w:p>
        </w:tc>
      </w:tr>
      <w:tr w:rsidR="00291E07" w:rsidRPr="00CB1910" w:rsidTr="00291E07">
        <w:trPr>
          <w:trHeight w:val="255"/>
        </w:trPr>
        <w:tc>
          <w:tcPr>
            <w:tcW w:w="1814" w:type="dxa"/>
            <w:vMerge w:val="restart"/>
            <w:tcBorders>
              <w:top w:val="nil"/>
              <w:left w:val="nil"/>
              <w:bottom w:val="single" w:sz="4" w:space="0" w:color="000000"/>
              <w:right w:val="nil"/>
            </w:tcBorders>
            <w:shd w:val="clear" w:color="000000" w:fill="FFFFFF"/>
            <w:vAlign w:val="center"/>
            <w:hideMark/>
          </w:tcPr>
          <w:p w:rsidR="00291E07" w:rsidRPr="00CB1910" w:rsidRDefault="00291E07" w:rsidP="001B08CA">
            <w:pPr>
              <w:spacing w:before="0" w:after="0" w:line="240" w:lineRule="auto"/>
              <w:rPr>
                <w:color w:val="000000"/>
                <w:szCs w:val="24"/>
                <w:lang w:eastAsia="en-GB"/>
              </w:rPr>
            </w:pPr>
            <w:r w:rsidRPr="00CB1910">
              <w:rPr>
                <w:color w:val="000000"/>
                <w:szCs w:val="24"/>
                <w:lang w:eastAsia="en-GB"/>
              </w:rPr>
              <w:t>Solid wall insulation</w:t>
            </w:r>
          </w:p>
        </w:tc>
        <w:tc>
          <w:tcPr>
            <w:tcW w:w="1814" w:type="dxa"/>
            <w:tcBorders>
              <w:top w:val="nil"/>
              <w:left w:val="nil"/>
              <w:bottom w:val="nil"/>
              <w:right w:val="nil"/>
            </w:tcBorders>
            <w:shd w:val="clear" w:color="000000" w:fill="FFFFFF"/>
            <w:noWrap/>
            <w:vAlign w:val="bottom"/>
            <w:hideMark/>
          </w:tcPr>
          <w:p w:rsidR="00291E07" w:rsidRPr="00CB1910" w:rsidRDefault="00291E07" w:rsidP="001B08CA">
            <w:pPr>
              <w:spacing w:before="0" w:after="0" w:line="240" w:lineRule="auto"/>
              <w:rPr>
                <w:color w:val="000000"/>
                <w:szCs w:val="24"/>
                <w:lang w:eastAsia="en-GB"/>
              </w:rPr>
            </w:pPr>
            <w:r w:rsidRPr="00CB1910">
              <w:rPr>
                <w:color w:val="000000"/>
                <w:szCs w:val="24"/>
                <w:lang w:eastAsia="en-GB"/>
              </w:rPr>
              <w:t>217</w:t>
            </w:r>
          </w:p>
        </w:tc>
        <w:tc>
          <w:tcPr>
            <w:tcW w:w="1815" w:type="dxa"/>
            <w:tcBorders>
              <w:top w:val="nil"/>
              <w:left w:val="nil"/>
              <w:bottom w:val="nil"/>
              <w:right w:val="nil"/>
            </w:tcBorders>
            <w:shd w:val="clear" w:color="000000" w:fill="FFFFFF"/>
            <w:noWrap/>
            <w:vAlign w:val="bottom"/>
            <w:hideMark/>
          </w:tcPr>
          <w:p w:rsidR="00291E07" w:rsidRPr="00CB1910" w:rsidRDefault="00291E07" w:rsidP="001B08CA">
            <w:pPr>
              <w:spacing w:before="0" w:after="0" w:line="240" w:lineRule="auto"/>
              <w:rPr>
                <w:color w:val="000000"/>
                <w:szCs w:val="24"/>
                <w:lang w:eastAsia="en-GB"/>
              </w:rPr>
            </w:pPr>
            <w:r w:rsidRPr="00CB1910">
              <w:rPr>
                <w:color w:val="000000"/>
                <w:szCs w:val="24"/>
                <w:lang w:eastAsia="en-GB"/>
              </w:rPr>
              <w:t>126</w:t>
            </w:r>
          </w:p>
        </w:tc>
        <w:tc>
          <w:tcPr>
            <w:tcW w:w="1814" w:type="dxa"/>
            <w:tcBorders>
              <w:top w:val="nil"/>
              <w:left w:val="nil"/>
              <w:bottom w:val="nil"/>
              <w:right w:val="nil"/>
            </w:tcBorders>
            <w:shd w:val="clear" w:color="000000" w:fill="FFFFFF"/>
            <w:noWrap/>
            <w:vAlign w:val="bottom"/>
            <w:hideMark/>
          </w:tcPr>
          <w:p w:rsidR="00291E07" w:rsidRPr="00CB1910" w:rsidRDefault="00291E07" w:rsidP="001B08CA">
            <w:pPr>
              <w:spacing w:before="0" w:after="0" w:line="240" w:lineRule="auto"/>
              <w:rPr>
                <w:color w:val="000000"/>
                <w:szCs w:val="24"/>
                <w:lang w:eastAsia="en-GB"/>
              </w:rPr>
            </w:pPr>
            <w:r w:rsidRPr="00CB1910">
              <w:rPr>
                <w:color w:val="000000"/>
                <w:szCs w:val="24"/>
                <w:lang w:eastAsia="en-GB"/>
              </w:rPr>
              <w:t>7,650</w:t>
            </w:r>
          </w:p>
        </w:tc>
        <w:tc>
          <w:tcPr>
            <w:tcW w:w="1815" w:type="dxa"/>
            <w:tcBorders>
              <w:top w:val="nil"/>
              <w:left w:val="nil"/>
              <w:bottom w:val="nil"/>
              <w:right w:val="nil"/>
            </w:tcBorders>
            <w:shd w:val="clear" w:color="000000" w:fill="FFFFFF"/>
            <w:noWrap/>
            <w:vAlign w:val="bottom"/>
            <w:hideMark/>
          </w:tcPr>
          <w:p w:rsidR="00291E07" w:rsidRPr="00CB1910" w:rsidRDefault="00291E07" w:rsidP="001B08CA">
            <w:pPr>
              <w:spacing w:before="0" w:after="0" w:line="240" w:lineRule="auto"/>
              <w:rPr>
                <w:color w:val="000000"/>
                <w:szCs w:val="24"/>
                <w:lang w:eastAsia="en-GB"/>
              </w:rPr>
            </w:pPr>
            <w:r w:rsidRPr="00CB1910">
              <w:rPr>
                <w:color w:val="000000"/>
                <w:szCs w:val="24"/>
                <w:lang w:eastAsia="en-GB"/>
              </w:rPr>
              <w:t>7,990</w:t>
            </w:r>
          </w:p>
        </w:tc>
      </w:tr>
      <w:tr w:rsidR="00291E07" w:rsidRPr="00CB1910" w:rsidTr="00291E07">
        <w:trPr>
          <w:trHeight w:val="255"/>
        </w:trPr>
        <w:tc>
          <w:tcPr>
            <w:tcW w:w="1814" w:type="dxa"/>
            <w:vMerge/>
            <w:tcBorders>
              <w:top w:val="nil"/>
              <w:left w:val="nil"/>
              <w:bottom w:val="single" w:sz="4" w:space="0" w:color="000000"/>
              <w:right w:val="nil"/>
            </w:tcBorders>
            <w:vAlign w:val="center"/>
            <w:hideMark/>
          </w:tcPr>
          <w:p w:rsidR="00291E07" w:rsidRPr="00CB1910" w:rsidRDefault="00291E07" w:rsidP="001B08CA">
            <w:pPr>
              <w:spacing w:before="0" w:after="0" w:line="240" w:lineRule="auto"/>
              <w:rPr>
                <w:color w:val="000000"/>
                <w:szCs w:val="24"/>
                <w:lang w:eastAsia="en-GB"/>
              </w:rPr>
            </w:pPr>
          </w:p>
        </w:tc>
        <w:tc>
          <w:tcPr>
            <w:tcW w:w="1814" w:type="dxa"/>
            <w:tcBorders>
              <w:top w:val="nil"/>
              <w:left w:val="nil"/>
              <w:bottom w:val="single" w:sz="4" w:space="0" w:color="auto"/>
              <w:right w:val="nil"/>
            </w:tcBorders>
            <w:shd w:val="clear" w:color="000000" w:fill="FFFFFF"/>
            <w:noWrap/>
            <w:vAlign w:val="bottom"/>
            <w:hideMark/>
          </w:tcPr>
          <w:p w:rsidR="00291E07" w:rsidRPr="00CB1910" w:rsidRDefault="00291E07" w:rsidP="001B08CA">
            <w:pPr>
              <w:spacing w:before="0" w:after="0" w:line="240" w:lineRule="auto"/>
              <w:rPr>
                <w:color w:val="000000"/>
                <w:szCs w:val="24"/>
                <w:lang w:eastAsia="en-GB"/>
              </w:rPr>
            </w:pPr>
            <w:r w:rsidRPr="00CB1910">
              <w:rPr>
                <w:color w:val="000000"/>
                <w:szCs w:val="24"/>
                <w:lang w:eastAsia="en-GB"/>
              </w:rPr>
              <w:t>3%</w:t>
            </w:r>
          </w:p>
        </w:tc>
        <w:tc>
          <w:tcPr>
            <w:tcW w:w="1815" w:type="dxa"/>
            <w:tcBorders>
              <w:top w:val="nil"/>
              <w:left w:val="nil"/>
              <w:bottom w:val="single" w:sz="4" w:space="0" w:color="auto"/>
              <w:right w:val="nil"/>
            </w:tcBorders>
            <w:shd w:val="clear" w:color="000000" w:fill="FFFFFF"/>
            <w:noWrap/>
            <w:vAlign w:val="bottom"/>
            <w:hideMark/>
          </w:tcPr>
          <w:p w:rsidR="00291E07" w:rsidRPr="00CB1910" w:rsidRDefault="00291E07" w:rsidP="001B08CA">
            <w:pPr>
              <w:spacing w:before="0" w:after="0" w:line="240" w:lineRule="auto"/>
              <w:rPr>
                <w:color w:val="000000"/>
                <w:szCs w:val="24"/>
                <w:lang w:eastAsia="en-GB"/>
              </w:rPr>
            </w:pPr>
            <w:r w:rsidRPr="00CB1910">
              <w:rPr>
                <w:color w:val="000000"/>
                <w:szCs w:val="24"/>
                <w:lang w:eastAsia="en-GB"/>
              </w:rPr>
              <w:t>2%</w:t>
            </w:r>
          </w:p>
        </w:tc>
        <w:tc>
          <w:tcPr>
            <w:tcW w:w="1814" w:type="dxa"/>
            <w:tcBorders>
              <w:top w:val="nil"/>
              <w:left w:val="nil"/>
              <w:bottom w:val="single" w:sz="4" w:space="0" w:color="auto"/>
              <w:right w:val="nil"/>
            </w:tcBorders>
            <w:shd w:val="clear" w:color="000000" w:fill="FFFFFF"/>
            <w:noWrap/>
            <w:vAlign w:val="bottom"/>
            <w:hideMark/>
          </w:tcPr>
          <w:p w:rsidR="00291E07" w:rsidRPr="00CB1910" w:rsidRDefault="00291E07" w:rsidP="001B08CA">
            <w:pPr>
              <w:spacing w:before="0" w:after="0" w:line="240" w:lineRule="auto"/>
              <w:rPr>
                <w:color w:val="000000"/>
                <w:szCs w:val="24"/>
                <w:lang w:eastAsia="en-GB"/>
              </w:rPr>
            </w:pPr>
            <w:r w:rsidRPr="00CB1910">
              <w:rPr>
                <w:color w:val="000000"/>
                <w:szCs w:val="24"/>
                <w:lang w:eastAsia="en-GB"/>
              </w:rPr>
              <w:t>96%</w:t>
            </w:r>
          </w:p>
        </w:tc>
        <w:tc>
          <w:tcPr>
            <w:tcW w:w="1815" w:type="dxa"/>
            <w:tcBorders>
              <w:top w:val="nil"/>
              <w:left w:val="nil"/>
              <w:bottom w:val="single" w:sz="4" w:space="0" w:color="auto"/>
              <w:right w:val="nil"/>
            </w:tcBorders>
            <w:shd w:val="clear" w:color="000000" w:fill="FFFFFF"/>
            <w:noWrap/>
            <w:vAlign w:val="bottom"/>
            <w:hideMark/>
          </w:tcPr>
          <w:p w:rsidR="00291E07" w:rsidRPr="00CB1910" w:rsidRDefault="00291E07" w:rsidP="001B08CA">
            <w:pPr>
              <w:spacing w:before="0" w:after="0" w:line="240" w:lineRule="auto"/>
              <w:rPr>
                <w:color w:val="000000"/>
                <w:szCs w:val="24"/>
                <w:lang w:eastAsia="en-GB"/>
              </w:rPr>
            </w:pPr>
            <w:r w:rsidRPr="00CB1910">
              <w:rPr>
                <w:color w:val="000000"/>
                <w:szCs w:val="24"/>
                <w:lang w:eastAsia="en-GB"/>
              </w:rPr>
              <w:t>100%</w:t>
            </w:r>
          </w:p>
        </w:tc>
      </w:tr>
    </w:tbl>
    <w:p w:rsidR="00291E07" w:rsidRPr="00CB1910" w:rsidRDefault="00291E07" w:rsidP="00D76AE6">
      <w:pPr>
        <w:spacing w:after="0"/>
        <w:jc w:val="both"/>
        <w:rPr>
          <w:szCs w:val="24"/>
        </w:rPr>
      </w:pPr>
      <w:r w:rsidRPr="00CB1910">
        <w:rPr>
          <w:szCs w:val="24"/>
        </w:rPr>
        <w:t>* Properties which may or may not have solid wall insulation.</w:t>
      </w:r>
    </w:p>
    <w:p w:rsidR="00291E07" w:rsidRPr="00CB1910" w:rsidRDefault="00291E07" w:rsidP="00D76AE6">
      <w:pPr>
        <w:spacing w:after="0"/>
        <w:jc w:val="both"/>
        <w:rPr>
          <w:szCs w:val="24"/>
        </w:rPr>
      </w:pPr>
      <w:r w:rsidRPr="00CB1910">
        <w:rPr>
          <w:szCs w:val="24"/>
        </w:rPr>
        <w:t>** Not all remaining potential properties would be insulated as it is likely that some of these would be too costly to treat or be within conservation areas.</w:t>
      </w:r>
    </w:p>
    <w:p w:rsidR="00291E07" w:rsidRDefault="00291E07" w:rsidP="00291E07">
      <w:pPr>
        <w:spacing w:after="0"/>
        <w:rPr>
          <w:b/>
        </w:rPr>
      </w:pPr>
    </w:p>
    <w:p w:rsidR="00291E07" w:rsidRDefault="00291E07" w:rsidP="00291E07">
      <w:pPr>
        <w:pStyle w:val="Heading2"/>
      </w:pPr>
    </w:p>
    <w:p w:rsidR="00291E07" w:rsidRDefault="00291E07" w:rsidP="00291E07">
      <w:pPr>
        <w:pStyle w:val="Heading2"/>
      </w:pPr>
    </w:p>
    <w:p w:rsidR="00291E07" w:rsidRDefault="00291E07" w:rsidP="00291E07">
      <w:pPr>
        <w:pStyle w:val="Heading2"/>
      </w:pPr>
    </w:p>
    <w:p w:rsidR="00291E07" w:rsidRDefault="00291E07" w:rsidP="00291E07">
      <w:pPr>
        <w:pStyle w:val="Heading2"/>
      </w:pPr>
    </w:p>
    <w:p w:rsidR="00291E07" w:rsidRDefault="00291E07" w:rsidP="00291E07">
      <w:pPr>
        <w:pStyle w:val="Heading2"/>
      </w:pPr>
    </w:p>
    <w:p w:rsidR="00291E07" w:rsidRDefault="00291E07" w:rsidP="00291E07">
      <w:pPr>
        <w:pStyle w:val="Heading2"/>
      </w:pPr>
    </w:p>
    <w:p w:rsidR="00291E07" w:rsidRDefault="00291E07" w:rsidP="00291E07">
      <w:pPr>
        <w:pStyle w:val="Heading2"/>
      </w:pPr>
    </w:p>
    <w:p w:rsidR="00C8423E" w:rsidRPr="00300603" w:rsidRDefault="00291E07" w:rsidP="00300603">
      <w:pPr>
        <w:pStyle w:val="ChapterHead"/>
        <w:spacing w:before="0" w:after="200"/>
        <w:rPr>
          <w:rFonts w:cs="Arial"/>
          <w:szCs w:val="50"/>
        </w:rPr>
      </w:pPr>
      <w:r>
        <w:rPr>
          <w:rFonts w:cs="Arial"/>
          <w:szCs w:val="50"/>
        </w:rPr>
        <w:br w:type="page"/>
      </w:r>
      <w:bookmarkStart w:id="86" w:name="_Toc375046017"/>
      <w:r w:rsidR="000F3D99">
        <w:rPr>
          <w:rFonts w:cs="Arial"/>
          <w:szCs w:val="50"/>
        </w:rPr>
        <w:lastRenderedPageBreak/>
        <w:t>Annex A</w:t>
      </w:r>
      <w:r w:rsidR="00614FD5" w:rsidRPr="008A5812">
        <w:rPr>
          <w:rFonts w:cs="Arial"/>
          <w:szCs w:val="50"/>
        </w:rPr>
        <w:t xml:space="preserve"> – Background</w:t>
      </w:r>
      <w:bookmarkEnd w:id="61"/>
      <w:bookmarkEnd w:id="86"/>
    </w:p>
    <w:p w:rsidR="00D12323" w:rsidRPr="008A5812" w:rsidRDefault="00D12323" w:rsidP="00300603">
      <w:pPr>
        <w:pStyle w:val="Heading2"/>
        <w:spacing w:before="0" w:after="0"/>
      </w:pPr>
      <w:bookmarkStart w:id="87" w:name="_Toc375046018"/>
      <w:r w:rsidRPr="008A5812">
        <w:t>Green Deal</w:t>
      </w:r>
      <w:bookmarkEnd w:id="87"/>
    </w:p>
    <w:p w:rsidR="00D12323" w:rsidRPr="008A5812" w:rsidRDefault="00D12323" w:rsidP="00300603">
      <w:pPr>
        <w:spacing w:before="0" w:after="0" w:line="240" w:lineRule="auto"/>
        <w:jc w:val="both"/>
        <w:rPr>
          <w:szCs w:val="24"/>
        </w:rPr>
      </w:pPr>
    </w:p>
    <w:p w:rsidR="00D12323" w:rsidRPr="008A5812" w:rsidRDefault="00D12323" w:rsidP="00300603">
      <w:pPr>
        <w:spacing w:before="0" w:after="0" w:line="240" w:lineRule="auto"/>
        <w:jc w:val="both"/>
        <w:rPr>
          <w:szCs w:val="24"/>
        </w:rPr>
      </w:pPr>
      <w:r w:rsidRPr="008A5812">
        <w:rPr>
          <w:szCs w:val="24"/>
        </w:rPr>
        <w:t xml:space="preserve">The </w:t>
      </w:r>
      <w:hyperlink r:id="rId64" w:history="1">
        <w:r w:rsidRPr="008A5812">
          <w:rPr>
            <w:rStyle w:val="Hyperlink"/>
            <w:rFonts w:ascii="Arial" w:hAnsi="Arial"/>
            <w:szCs w:val="24"/>
          </w:rPr>
          <w:t>Green Deal</w:t>
        </w:r>
      </w:hyperlink>
      <w:r w:rsidRPr="008A5812">
        <w:rPr>
          <w:b/>
          <w:szCs w:val="24"/>
        </w:rPr>
        <w:t xml:space="preserve"> </w:t>
      </w:r>
      <w:r w:rsidRPr="008A5812">
        <w:rPr>
          <w:szCs w:val="24"/>
        </w:rPr>
        <w:t xml:space="preserve">(GD) was launched on 28 January 2013 in England and Wales (and on 25 February in Scotland) and will tackle a number of the key barriers to the take-up of energy efficiency measures. </w:t>
      </w:r>
    </w:p>
    <w:p w:rsidR="00D12323" w:rsidRPr="008A5812" w:rsidRDefault="00D12323" w:rsidP="00300603">
      <w:pPr>
        <w:spacing w:before="0" w:after="0" w:line="240" w:lineRule="auto"/>
        <w:jc w:val="both"/>
        <w:rPr>
          <w:szCs w:val="24"/>
        </w:rPr>
      </w:pPr>
    </w:p>
    <w:p w:rsidR="00D12323" w:rsidRPr="008A5812" w:rsidRDefault="00D12323" w:rsidP="00300603">
      <w:pPr>
        <w:spacing w:before="0" w:after="0" w:line="240" w:lineRule="auto"/>
        <w:jc w:val="both"/>
        <w:rPr>
          <w:szCs w:val="24"/>
        </w:rPr>
      </w:pPr>
      <w:r w:rsidRPr="008A5812">
        <w:rPr>
          <w:szCs w:val="24"/>
        </w:rPr>
        <w:t>Customers having Green Deal Assessments undertaken have the choice of how they proceed. They might take the view that their home is sufficiently energy efficient, or that they want to finance work through a Green Deal Plan or that they want to use alternative funding arrangements (e.g. use of savings).</w:t>
      </w:r>
    </w:p>
    <w:p w:rsidR="007719FF" w:rsidRPr="008A5812" w:rsidRDefault="007719FF" w:rsidP="00300603">
      <w:pPr>
        <w:spacing w:before="0" w:after="0" w:line="240" w:lineRule="auto"/>
        <w:jc w:val="both"/>
        <w:rPr>
          <w:szCs w:val="24"/>
        </w:rPr>
      </w:pPr>
    </w:p>
    <w:p w:rsidR="00D12323" w:rsidRPr="008A5812" w:rsidRDefault="00D12323" w:rsidP="00300603">
      <w:pPr>
        <w:spacing w:before="0" w:after="0" w:line="240" w:lineRule="auto"/>
        <w:jc w:val="both"/>
        <w:rPr>
          <w:szCs w:val="24"/>
        </w:rPr>
      </w:pPr>
      <w:bookmarkStart w:id="88" w:name="OLE_LINK17"/>
      <w:bookmarkStart w:id="89" w:name="OLE_LINK18"/>
      <w:r w:rsidRPr="008A5812">
        <w:rPr>
          <w:szCs w:val="24"/>
        </w:rPr>
        <w:t>The Green Deal process for households is briefly described below:</w:t>
      </w:r>
    </w:p>
    <w:p w:rsidR="00D12323" w:rsidRPr="008A5812" w:rsidRDefault="00D12323" w:rsidP="00300603">
      <w:pPr>
        <w:spacing w:before="0" w:after="0" w:line="240" w:lineRule="auto"/>
        <w:jc w:val="both"/>
        <w:rPr>
          <w:szCs w:val="24"/>
        </w:rPr>
      </w:pPr>
    </w:p>
    <w:p w:rsidR="00D12323" w:rsidRPr="008A5812" w:rsidRDefault="00D12323" w:rsidP="00300603">
      <w:pPr>
        <w:spacing w:before="0" w:after="0" w:line="240" w:lineRule="auto"/>
        <w:jc w:val="both"/>
        <w:rPr>
          <w:szCs w:val="24"/>
        </w:rPr>
      </w:pPr>
      <w:r w:rsidRPr="00D46E4B">
        <w:rPr>
          <w:b/>
          <w:szCs w:val="24"/>
        </w:rPr>
        <w:t>Step 1</w:t>
      </w:r>
      <w:r w:rsidRPr="008A5812">
        <w:rPr>
          <w:szCs w:val="24"/>
        </w:rPr>
        <w:t xml:space="preserve"> – Assessment – A Green Deal assessor will come to the home, talk to the owner/occupier about their energy use and see if they can benefit from making energy efficiency improvements to their property.</w:t>
      </w:r>
    </w:p>
    <w:p w:rsidR="00D12323" w:rsidRPr="008A5812" w:rsidRDefault="00D12323" w:rsidP="00300603">
      <w:pPr>
        <w:spacing w:before="0" w:after="0" w:line="240" w:lineRule="auto"/>
        <w:jc w:val="both"/>
        <w:rPr>
          <w:szCs w:val="24"/>
        </w:rPr>
      </w:pPr>
    </w:p>
    <w:p w:rsidR="00D12323" w:rsidRPr="008A5812" w:rsidRDefault="00D12323" w:rsidP="00300603">
      <w:pPr>
        <w:spacing w:before="0" w:after="0" w:line="240" w:lineRule="auto"/>
        <w:jc w:val="both"/>
        <w:rPr>
          <w:szCs w:val="24"/>
        </w:rPr>
      </w:pPr>
      <w:r w:rsidRPr="00D46E4B">
        <w:rPr>
          <w:b/>
          <w:szCs w:val="24"/>
        </w:rPr>
        <w:t>Step 2</w:t>
      </w:r>
      <w:r w:rsidRPr="008A5812">
        <w:rPr>
          <w:szCs w:val="24"/>
        </w:rPr>
        <w:t xml:space="preserve"> – Recommendations – The assessor will recommend improvements that are appropriate for the property and indicate whether they are expected to pay for themselves through reduced energy bills.</w:t>
      </w:r>
    </w:p>
    <w:p w:rsidR="00D12323" w:rsidRPr="008A5812" w:rsidRDefault="00D12323" w:rsidP="00300603">
      <w:pPr>
        <w:spacing w:before="0" w:after="0" w:line="240" w:lineRule="auto"/>
        <w:jc w:val="both"/>
        <w:rPr>
          <w:szCs w:val="24"/>
        </w:rPr>
      </w:pPr>
    </w:p>
    <w:p w:rsidR="00D12323" w:rsidRPr="008A5812" w:rsidRDefault="00D12323" w:rsidP="00300603">
      <w:pPr>
        <w:spacing w:before="0" w:after="0" w:line="240" w:lineRule="auto"/>
        <w:jc w:val="both"/>
        <w:rPr>
          <w:szCs w:val="24"/>
        </w:rPr>
      </w:pPr>
      <w:r w:rsidRPr="00D46E4B">
        <w:rPr>
          <w:b/>
          <w:szCs w:val="24"/>
        </w:rPr>
        <w:t>Step 3</w:t>
      </w:r>
      <w:r w:rsidRPr="008A5812">
        <w:rPr>
          <w:szCs w:val="24"/>
        </w:rPr>
        <w:t xml:space="preserve"> – Quotes – Green Deal Providers will discuss with the owner/occupier whether a Green Deal Plan is right for them and quote for the recommended improvements, including the savings estimates, savings period, first year instalments and payment period for each improvement. A number of quotes can be obtained.</w:t>
      </w:r>
    </w:p>
    <w:p w:rsidR="00D12323" w:rsidRPr="008A5812" w:rsidRDefault="00D12323" w:rsidP="00300603">
      <w:pPr>
        <w:spacing w:before="0" w:after="0" w:line="240" w:lineRule="auto"/>
        <w:jc w:val="both"/>
        <w:rPr>
          <w:szCs w:val="24"/>
        </w:rPr>
      </w:pPr>
    </w:p>
    <w:p w:rsidR="00D12323" w:rsidRPr="008A5812" w:rsidRDefault="00D12323" w:rsidP="00300603">
      <w:pPr>
        <w:spacing w:before="0" w:after="0" w:line="240" w:lineRule="auto"/>
        <w:jc w:val="both"/>
        <w:rPr>
          <w:szCs w:val="24"/>
        </w:rPr>
      </w:pPr>
      <w:r w:rsidRPr="00D46E4B">
        <w:rPr>
          <w:b/>
          <w:szCs w:val="24"/>
        </w:rPr>
        <w:t>Step 4</w:t>
      </w:r>
      <w:r w:rsidRPr="008A5812">
        <w:rPr>
          <w:szCs w:val="24"/>
        </w:rPr>
        <w:t xml:space="preserve"> – Signing a Plan – The customer chooses to proceed with a given provider and package of measures. The owner/occupier needs to obtain the necessary consent to make improvements to the property before they can agree terms with the GD Provider of a Green Deal Plan</w:t>
      </w:r>
      <w:r w:rsidRPr="008A5812">
        <w:rPr>
          <w:rStyle w:val="FootnoteReference"/>
          <w:szCs w:val="24"/>
        </w:rPr>
        <w:footnoteReference w:id="28"/>
      </w:r>
      <w:r w:rsidRPr="008A5812">
        <w:rPr>
          <w:szCs w:val="24"/>
        </w:rPr>
        <w:t>, at which stage they enter a cooling-off period</w:t>
      </w:r>
      <w:r w:rsidRPr="008A5812">
        <w:rPr>
          <w:rStyle w:val="FootnoteReference"/>
          <w:szCs w:val="24"/>
        </w:rPr>
        <w:footnoteReference w:id="29"/>
      </w:r>
      <w:r w:rsidRPr="008A5812">
        <w:rPr>
          <w:szCs w:val="24"/>
        </w:rPr>
        <w:t>.</w:t>
      </w:r>
    </w:p>
    <w:p w:rsidR="00D12323" w:rsidRPr="008A5812" w:rsidRDefault="00D12323" w:rsidP="00300603">
      <w:pPr>
        <w:spacing w:before="0" w:after="0" w:line="240" w:lineRule="auto"/>
        <w:jc w:val="both"/>
        <w:rPr>
          <w:szCs w:val="24"/>
        </w:rPr>
      </w:pPr>
    </w:p>
    <w:p w:rsidR="00D12323" w:rsidRPr="008A5812" w:rsidRDefault="00D12323" w:rsidP="00300603">
      <w:pPr>
        <w:spacing w:before="0" w:after="0" w:line="240" w:lineRule="auto"/>
        <w:jc w:val="both"/>
        <w:rPr>
          <w:szCs w:val="24"/>
        </w:rPr>
      </w:pPr>
      <w:r w:rsidRPr="00D46E4B">
        <w:rPr>
          <w:b/>
          <w:szCs w:val="24"/>
        </w:rPr>
        <w:t>Step 5</w:t>
      </w:r>
      <w:r w:rsidRPr="008A5812">
        <w:rPr>
          <w:szCs w:val="24"/>
        </w:rPr>
        <w:t xml:space="preserve"> – Installation – Once a Green Deal Plan has been agreed, the Provider will arrange for the improvements to be made by a Green Deal Installer. Once the installation has been completed a letter is sent to the Bill Payer and, at this stage, the Green Deal Plan goes ‘live’. </w:t>
      </w:r>
    </w:p>
    <w:p w:rsidR="00D12323" w:rsidRPr="008A5812" w:rsidRDefault="00D12323" w:rsidP="00300603">
      <w:pPr>
        <w:spacing w:before="0" w:after="0" w:line="240" w:lineRule="auto"/>
        <w:jc w:val="both"/>
        <w:rPr>
          <w:szCs w:val="24"/>
        </w:rPr>
      </w:pPr>
    </w:p>
    <w:p w:rsidR="00D12323" w:rsidRPr="008A5812" w:rsidRDefault="00D12323" w:rsidP="00300603">
      <w:pPr>
        <w:spacing w:before="0" w:after="0" w:line="240" w:lineRule="auto"/>
        <w:jc w:val="both"/>
        <w:rPr>
          <w:szCs w:val="24"/>
        </w:rPr>
      </w:pPr>
      <w:r w:rsidRPr="008A5812">
        <w:rPr>
          <w:szCs w:val="24"/>
        </w:rPr>
        <w:t>Repayments will be no more than what a typical household should save in energy costs.</w:t>
      </w:r>
    </w:p>
    <w:bookmarkEnd w:id="88"/>
    <w:bookmarkEnd w:id="89"/>
    <w:p w:rsidR="00D12323" w:rsidRPr="008A5812" w:rsidRDefault="00D12323" w:rsidP="00300603">
      <w:pPr>
        <w:spacing w:before="0" w:after="0" w:line="240" w:lineRule="auto"/>
        <w:jc w:val="both"/>
        <w:rPr>
          <w:szCs w:val="24"/>
        </w:rPr>
      </w:pPr>
      <w:r w:rsidRPr="008A5812">
        <w:rPr>
          <w:szCs w:val="24"/>
        </w:rPr>
        <w:t xml:space="preserve"> </w:t>
      </w:r>
    </w:p>
    <w:p w:rsidR="00D12323" w:rsidRPr="008A5812" w:rsidRDefault="00AF2024" w:rsidP="00300603">
      <w:pPr>
        <w:pStyle w:val="Heading2"/>
        <w:spacing w:before="0" w:after="0"/>
      </w:pPr>
      <w:r>
        <w:rPr>
          <w:rFonts w:eastAsia="Calibri"/>
        </w:rPr>
        <w:br w:type="page"/>
      </w:r>
      <w:bookmarkStart w:id="90" w:name="_Toc375046019"/>
      <w:r w:rsidR="00D12323" w:rsidRPr="008A5812">
        <w:rPr>
          <w:rFonts w:eastAsia="Calibri"/>
        </w:rPr>
        <w:lastRenderedPageBreak/>
        <w:t>E</w:t>
      </w:r>
      <w:r w:rsidR="00D12323" w:rsidRPr="008A5812">
        <w:t>nergy Company Obligation</w:t>
      </w:r>
      <w:bookmarkEnd w:id="90"/>
    </w:p>
    <w:p w:rsidR="00D12323" w:rsidRPr="008A5812" w:rsidRDefault="00D12323" w:rsidP="00300603">
      <w:pPr>
        <w:pStyle w:val="NormalWeb"/>
        <w:jc w:val="both"/>
        <w:rPr>
          <w:rFonts w:ascii="Arial" w:hAnsi="Arial" w:cs="Arial"/>
          <w:u w:val="single"/>
        </w:rPr>
      </w:pPr>
    </w:p>
    <w:p w:rsidR="00D12323" w:rsidRPr="008A5812" w:rsidRDefault="00D12323" w:rsidP="00300603">
      <w:pPr>
        <w:pStyle w:val="NormalWeb"/>
        <w:jc w:val="both"/>
        <w:rPr>
          <w:rFonts w:ascii="Arial" w:hAnsi="Arial" w:cs="Arial"/>
          <w:color w:val="000000"/>
        </w:rPr>
      </w:pPr>
      <w:r w:rsidRPr="008A5812">
        <w:rPr>
          <w:rFonts w:ascii="Arial" w:hAnsi="Arial" w:cs="Arial"/>
        </w:rPr>
        <w:t xml:space="preserve">The </w:t>
      </w:r>
      <w:hyperlink r:id="rId65" w:history="1">
        <w:r w:rsidRPr="008A5812">
          <w:rPr>
            <w:rStyle w:val="Hyperlink"/>
            <w:rFonts w:ascii="Arial" w:hAnsi="Arial" w:cs="Arial"/>
          </w:rPr>
          <w:t>Energy Company Obligation</w:t>
        </w:r>
      </w:hyperlink>
      <w:r w:rsidRPr="008A5812">
        <w:rPr>
          <w:rFonts w:ascii="Arial" w:hAnsi="Arial" w:cs="Arial"/>
        </w:rPr>
        <w:t xml:space="preserve"> (ECO) started on 1 January 2013 (although energy </w:t>
      </w:r>
      <w:r w:rsidRPr="008A5812">
        <w:rPr>
          <w:rFonts w:ascii="Arial" w:hAnsi="Arial" w:cs="Arial"/>
          <w:color w:val="000000"/>
        </w:rPr>
        <w:t>companies have been able to count against their targets measures delivered since 1 October 2012) and runs to 31 March 2015. It broadly takes over from two previous schemes (Carbon Emissions Reduction Target - CERT - and Community Energy Saving Programme - CESP) and focuses on providing energy efficiency measures to low income and vulnerable consumers and those living</w:t>
      </w:r>
      <w:r w:rsidR="00DF6EF3">
        <w:rPr>
          <w:rFonts w:ascii="Arial" w:hAnsi="Arial" w:cs="Arial"/>
          <w:color w:val="000000"/>
        </w:rPr>
        <w:t xml:space="preserve"> in 'hard-to-treat' properties.</w:t>
      </w:r>
    </w:p>
    <w:p w:rsidR="00D12323" w:rsidRPr="008A5812" w:rsidRDefault="00D12323" w:rsidP="00300603">
      <w:pPr>
        <w:pStyle w:val="NormalWeb"/>
        <w:jc w:val="both"/>
        <w:rPr>
          <w:rFonts w:ascii="Arial" w:hAnsi="Arial" w:cs="Arial"/>
          <w:color w:val="FF0000"/>
        </w:rPr>
      </w:pPr>
    </w:p>
    <w:p w:rsidR="00D12323" w:rsidRPr="008A5812" w:rsidRDefault="00D12323" w:rsidP="00300603">
      <w:pPr>
        <w:pStyle w:val="NormalWeb"/>
        <w:jc w:val="both"/>
        <w:rPr>
          <w:rFonts w:ascii="Arial" w:hAnsi="Arial" w:cs="Arial"/>
          <w:color w:val="000000"/>
        </w:rPr>
      </w:pPr>
      <w:bookmarkStart w:id="91" w:name="ECOSUB"/>
      <w:r w:rsidRPr="008A5812">
        <w:rPr>
          <w:rFonts w:ascii="Arial" w:hAnsi="Arial" w:cs="Arial"/>
          <w:color w:val="000000"/>
        </w:rPr>
        <w:t xml:space="preserve">There are three main ECO obligations </w:t>
      </w:r>
      <w:bookmarkEnd w:id="91"/>
      <w:r w:rsidRPr="008A5812">
        <w:rPr>
          <w:rFonts w:ascii="Arial" w:hAnsi="Arial" w:cs="Arial"/>
          <w:color w:val="000000"/>
        </w:rPr>
        <w:t>– The Carbon Saving Obligation (CSO); Carbon Saving Communities (CSCO) and Affordable Warmth (HHCRO).</w:t>
      </w:r>
    </w:p>
    <w:p w:rsidR="00D12323" w:rsidRPr="008A5812" w:rsidRDefault="00D12323" w:rsidP="00300603">
      <w:pPr>
        <w:pStyle w:val="NormalWeb"/>
        <w:spacing w:line="270" w:lineRule="atLeast"/>
        <w:jc w:val="both"/>
        <w:rPr>
          <w:rFonts w:ascii="Arial" w:hAnsi="Arial" w:cs="Arial"/>
        </w:rPr>
      </w:pPr>
    </w:p>
    <w:p w:rsidR="00D12323" w:rsidRPr="008A5812" w:rsidRDefault="00D12323" w:rsidP="00300603">
      <w:pPr>
        <w:pStyle w:val="NormalWeb"/>
        <w:spacing w:line="270" w:lineRule="atLeast"/>
        <w:jc w:val="both"/>
        <w:rPr>
          <w:rFonts w:ascii="Arial" w:hAnsi="Arial" w:cs="Arial"/>
        </w:rPr>
      </w:pPr>
      <w:r w:rsidRPr="008A5812">
        <w:rPr>
          <w:rFonts w:ascii="Arial" w:hAnsi="Arial" w:cs="Arial"/>
          <w:u w:val="single"/>
        </w:rPr>
        <w:t>Carbon Saving Obligation</w:t>
      </w:r>
      <w:r w:rsidRPr="008A5812">
        <w:rPr>
          <w:rFonts w:ascii="Arial" w:hAnsi="Arial" w:cs="Arial"/>
        </w:rPr>
        <w:t xml:space="preserve"> - This covers the installation of measures like solid wall and hard-to-treat cavity wall insulation, which ordinarily can’t be financed solely through the Green Deal. </w:t>
      </w:r>
    </w:p>
    <w:p w:rsidR="00D12323" w:rsidRPr="008A5812" w:rsidRDefault="00D12323" w:rsidP="00300603">
      <w:pPr>
        <w:pStyle w:val="NormalWeb"/>
        <w:spacing w:line="270" w:lineRule="atLeast"/>
        <w:jc w:val="both"/>
        <w:rPr>
          <w:rFonts w:ascii="Arial" w:hAnsi="Arial" w:cs="Arial"/>
        </w:rPr>
      </w:pPr>
    </w:p>
    <w:p w:rsidR="00D12323" w:rsidRPr="008A5812" w:rsidRDefault="00D12323" w:rsidP="00300603">
      <w:pPr>
        <w:pStyle w:val="NormalWeb"/>
        <w:spacing w:line="270" w:lineRule="atLeast"/>
        <w:jc w:val="both"/>
        <w:rPr>
          <w:rFonts w:ascii="Arial" w:hAnsi="Arial" w:cs="Arial"/>
        </w:rPr>
      </w:pPr>
      <w:r w:rsidRPr="008A5812">
        <w:rPr>
          <w:rFonts w:ascii="Arial" w:hAnsi="Arial" w:cs="Arial"/>
          <w:u w:val="single"/>
        </w:rPr>
        <w:t>Carbon Saving Communities Obligation</w:t>
      </w:r>
      <w:r w:rsidRPr="008A5812">
        <w:rPr>
          <w:rFonts w:ascii="Arial" w:hAnsi="Arial" w:cs="Arial"/>
        </w:rPr>
        <w:t xml:space="preserve"> - This provides insulation measures to households in specified areas of low income. It also makes sure that 15 per cent of each supplier’s obligation is used to upgrade more hard-to-reach low-income households in rural areas.</w:t>
      </w:r>
    </w:p>
    <w:p w:rsidR="00D12323" w:rsidRPr="008A5812" w:rsidRDefault="00D12323" w:rsidP="00300603">
      <w:pPr>
        <w:pStyle w:val="NormalWeb"/>
        <w:spacing w:line="270" w:lineRule="atLeast"/>
        <w:jc w:val="both"/>
        <w:rPr>
          <w:rFonts w:ascii="Arial" w:hAnsi="Arial" w:cs="Arial"/>
        </w:rPr>
      </w:pPr>
    </w:p>
    <w:p w:rsidR="00D12323" w:rsidRDefault="00D12323" w:rsidP="00300603">
      <w:pPr>
        <w:pStyle w:val="NormalWeb"/>
        <w:spacing w:line="270" w:lineRule="atLeast"/>
        <w:jc w:val="both"/>
        <w:rPr>
          <w:rFonts w:ascii="Arial" w:hAnsi="Arial" w:cs="Arial"/>
        </w:rPr>
      </w:pPr>
      <w:r w:rsidRPr="008A5812">
        <w:rPr>
          <w:rFonts w:ascii="Arial" w:hAnsi="Arial" w:cs="Arial"/>
          <w:u w:val="single"/>
        </w:rPr>
        <w:t>Affordable Warmth Obligation</w:t>
      </w:r>
      <w:r w:rsidRPr="008A5812">
        <w:rPr>
          <w:rFonts w:ascii="Arial" w:hAnsi="Arial" w:cs="Arial"/>
        </w:rPr>
        <w:t xml:space="preserve"> - This provides heating and insulation measures to consumers living in private tenure properties who receive particular means-tested benefits. This obligation supports low-income consumers who are vulnerable to the impact of living in cold homes, including the elderly, disabled and families.</w:t>
      </w:r>
    </w:p>
    <w:p w:rsidR="00CB4CF1" w:rsidRDefault="00CB4CF1" w:rsidP="00300603">
      <w:pPr>
        <w:pStyle w:val="NormalWeb"/>
        <w:spacing w:line="270" w:lineRule="atLeast"/>
        <w:jc w:val="both"/>
        <w:rPr>
          <w:rFonts w:ascii="Arial" w:hAnsi="Arial" w:cs="Arial"/>
        </w:rPr>
      </w:pPr>
    </w:p>
    <w:p w:rsidR="00CB4CF1" w:rsidRPr="00CB4CF1" w:rsidRDefault="00CB4CF1" w:rsidP="00CB4CF1">
      <w:pPr>
        <w:pStyle w:val="NormalWeb"/>
        <w:spacing w:line="270" w:lineRule="atLeast"/>
        <w:jc w:val="both"/>
        <w:rPr>
          <w:rFonts w:ascii="Arial" w:hAnsi="Arial" w:cs="Arial"/>
          <w:color w:val="000000" w:themeColor="text1"/>
        </w:rPr>
      </w:pPr>
      <w:r w:rsidRPr="00CB4CF1">
        <w:rPr>
          <w:rFonts w:ascii="Arial" w:hAnsi="Arial" w:cs="Arial"/>
          <w:color w:val="000000" w:themeColor="text1"/>
        </w:rPr>
        <w:t xml:space="preserve">The Government has recently announced proposals for a </w:t>
      </w:r>
      <w:hyperlink r:id="rId66" w:history="1">
        <w:r w:rsidRPr="003C0B10">
          <w:rPr>
            <w:rStyle w:val="Hyperlink"/>
            <w:rFonts w:ascii="Arial" w:hAnsi="Arial" w:cs="Arial"/>
          </w:rPr>
          <w:t>set of changes to ECO</w:t>
        </w:r>
      </w:hyperlink>
      <w:r w:rsidR="00812F13">
        <w:rPr>
          <w:rFonts w:ascii="Arial" w:hAnsi="Arial" w:cs="Arial"/>
          <w:color w:val="000000" w:themeColor="text1"/>
        </w:rPr>
        <w:t>. These include: extending</w:t>
      </w:r>
      <w:r w:rsidRPr="00CB4CF1">
        <w:rPr>
          <w:rFonts w:ascii="Arial" w:hAnsi="Arial" w:cs="Arial"/>
          <w:color w:val="000000" w:themeColor="text1"/>
        </w:rPr>
        <w:t xml:space="preserve"> through to 2017, with new targets; reducing the ambition of the Carbon Saving Obligation element; and allowing new measures (loft and standard cavity wall insulation, and district heating) to be eligible under that element.  The Government plans to consult on these proposals early </w:t>
      </w:r>
      <w:r w:rsidR="00812F13">
        <w:rPr>
          <w:rFonts w:ascii="Arial" w:hAnsi="Arial" w:cs="Arial"/>
          <w:color w:val="000000" w:themeColor="text1"/>
        </w:rPr>
        <w:t>in 2014</w:t>
      </w:r>
      <w:r w:rsidRPr="00CB4CF1">
        <w:rPr>
          <w:rFonts w:ascii="Arial" w:hAnsi="Arial" w:cs="Arial"/>
          <w:color w:val="000000" w:themeColor="text1"/>
        </w:rPr>
        <w:t>, and intends that changes should ta</w:t>
      </w:r>
      <w:r>
        <w:rPr>
          <w:rFonts w:ascii="Arial" w:hAnsi="Arial" w:cs="Arial"/>
          <w:color w:val="000000" w:themeColor="text1"/>
        </w:rPr>
        <w:t>ke effect as from 1 April 2014.</w:t>
      </w:r>
    </w:p>
    <w:p w:rsidR="00D12323" w:rsidRPr="008A5812" w:rsidRDefault="00D12323" w:rsidP="00300603">
      <w:pPr>
        <w:pStyle w:val="NormalWeb"/>
        <w:jc w:val="both"/>
        <w:rPr>
          <w:rFonts w:ascii="Arial" w:hAnsi="Arial" w:cs="Arial"/>
          <w:u w:val="single"/>
        </w:rPr>
      </w:pPr>
    </w:p>
    <w:p w:rsidR="00D12323" w:rsidRPr="008A5812" w:rsidRDefault="00D12323" w:rsidP="00300603">
      <w:pPr>
        <w:pStyle w:val="NormalWeb"/>
        <w:spacing w:line="270" w:lineRule="atLeast"/>
        <w:jc w:val="both"/>
        <w:rPr>
          <w:rFonts w:ascii="Arial" w:hAnsi="Arial" w:cs="Arial"/>
          <w:u w:val="single"/>
        </w:rPr>
      </w:pPr>
      <w:r w:rsidRPr="008A5812">
        <w:rPr>
          <w:rFonts w:ascii="Arial" w:hAnsi="Arial" w:cs="Arial"/>
          <w:u w:val="single"/>
        </w:rPr>
        <w:t>How do the Green Deal and ECO interact?</w:t>
      </w:r>
    </w:p>
    <w:p w:rsidR="00D12323" w:rsidRPr="008A5812" w:rsidRDefault="00D12323" w:rsidP="00300603">
      <w:pPr>
        <w:pStyle w:val="NormalWeb"/>
        <w:spacing w:line="270" w:lineRule="atLeast"/>
        <w:jc w:val="both"/>
        <w:rPr>
          <w:rFonts w:ascii="Arial" w:hAnsi="Arial" w:cs="Arial"/>
        </w:rPr>
      </w:pPr>
    </w:p>
    <w:p w:rsidR="00D12323" w:rsidRPr="008A5812" w:rsidRDefault="00D12323" w:rsidP="00300603">
      <w:pPr>
        <w:pStyle w:val="NormalWeb"/>
        <w:spacing w:line="270" w:lineRule="atLeast"/>
        <w:jc w:val="both"/>
        <w:rPr>
          <w:rFonts w:ascii="Arial" w:hAnsi="Arial" w:cs="Arial"/>
          <w:color w:val="FF0000"/>
        </w:rPr>
      </w:pPr>
      <w:r w:rsidRPr="008A5812">
        <w:rPr>
          <w:rFonts w:ascii="Arial" w:hAnsi="Arial" w:cs="Arial"/>
        </w:rPr>
        <w:t>Following a GD Assessment there will be a range of measures which could improve the energy efficiency of the property. Some of these could be paid for through GD finance, up to the point where the expected annual cost will not exceed what a typical household should save in energy costs. However, depending on the measure or the property, other sources of finance may also be required. ECO funding could be one of these sources, for example for measures such as Solid Wall Insulation and hard-to-treat Cavity Wall insulation.</w:t>
      </w:r>
      <w:r w:rsidRPr="008A5812">
        <w:rPr>
          <w:rFonts w:ascii="Arial" w:hAnsi="Arial" w:cs="Arial"/>
          <w:color w:val="FF0000"/>
        </w:rPr>
        <w:t xml:space="preserve"> </w:t>
      </w:r>
    </w:p>
    <w:p w:rsidR="00D12323" w:rsidRPr="008A5812" w:rsidRDefault="00D12323" w:rsidP="00300603">
      <w:pPr>
        <w:pStyle w:val="NormalWeb"/>
        <w:spacing w:line="270" w:lineRule="atLeast"/>
        <w:jc w:val="both"/>
        <w:rPr>
          <w:rFonts w:ascii="Arial" w:hAnsi="Arial" w:cs="Arial"/>
          <w:color w:val="FF0000"/>
          <w:highlight w:val="yellow"/>
        </w:rPr>
      </w:pPr>
    </w:p>
    <w:p w:rsidR="00D12323" w:rsidRPr="00300F50" w:rsidRDefault="00D12323" w:rsidP="00300603">
      <w:pPr>
        <w:pStyle w:val="Heading2"/>
        <w:spacing w:before="0" w:after="0"/>
      </w:pPr>
      <w:bookmarkStart w:id="92" w:name="_Toc375046020"/>
      <w:r w:rsidRPr="00300F50">
        <w:t>Green Deal Cashback</w:t>
      </w:r>
      <w:bookmarkEnd w:id="92"/>
    </w:p>
    <w:p w:rsidR="00D12323" w:rsidRPr="00300F50" w:rsidRDefault="00D12323" w:rsidP="00300603">
      <w:pPr>
        <w:pStyle w:val="NormalWeb"/>
        <w:spacing w:line="270" w:lineRule="atLeast"/>
        <w:jc w:val="both"/>
        <w:rPr>
          <w:rFonts w:ascii="Arial" w:hAnsi="Arial" w:cs="Arial"/>
          <w:color w:val="000000"/>
          <w:u w:val="single"/>
        </w:rPr>
      </w:pPr>
    </w:p>
    <w:p w:rsidR="00D12323" w:rsidRDefault="00D12323" w:rsidP="00300603">
      <w:pPr>
        <w:autoSpaceDE w:val="0"/>
        <w:autoSpaceDN w:val="0"/>
        <w:adjustRightInd w:val="0"/>
        <w:spacing w:before="0" w:after="0" w:line="240" w:lineRule="auto"/>
        <w:jc w:val="both"/>
        <w:rPr>
          <w:iCs/>
          <w:color w:val="000000"/>
          <w:szCs w:val="24"/>
        </w:rPr>
      </w:pPr>
      <w:r w:rsidRPr="00300F50">
        <w:rPr>
          <w:iCs/>
          <w:color w:val="000000"/>
          <w:szCs w:val="24"/>
          <w:lang w:eastAsia="en-GB"/>
        </w:rPr>
        <w:t xml:space="preserve">The Green Deal Cashback Scheme rewards the first Green Deal customers. It is a first-come, first served offer where householders can claim cash back from Government on energy saving improvements like insulation, front doors, windows and boilers with packages worth over £1000. It is available for households in </w:t>
      </w:r>
      <w:r w:rsidRPr="00300F50">
        <w:rPr>
          <w:iCs/>
          <w:color w:val="000000"/>
          <w:szCs w:val="24"/>
        </w:rPr>
        <w:t xml:space="preserve">England and Wales. </w:t>
      </w:r>
      <w:r w:rsidRPr="008A5812">
        <w:rPr>
          <w:szCs w:val="24"/>
        </w:rPr>
        <w:t xml:space="preserve">For more information on Cashback please see the </w:t>
      </w:r>
      <w:hyperlink r:id="rId67" w:history="1">
        <w:r w:rsidRPr="008A5812">
          <w:rPr>
            <w:rStyle w:val="Hyperlink"/>
            <w:rFonts w:ascii="Arial" w:hAnsi="Arial"/>
            <w:szCs w:val="24"/>
          </w:rPr>
          <w:t>Cashback website</w:t>
        </w:r>
      </w:hyperlink>
      <w:r w:rsidRPr="008A5812">
        <w:rPr>
          <w:rStyle w:val="Hyperlink"/>
          <w:rFonts w:ascii="Arial" w:hAnsi="Arial"/>
          <w:szCs w:val="24"/>
        </w:rPr>
        <w:t>.</w:t>
      </w:r>
      <w:r w:rsidRPr="00300F50">
        <w:rPr>
          <w:iCs/>
          <w:color w:val="000000"/>
          <w:szCs w:val="24"/>
        </w:rPr>
        <w:t xml:space="preserve"> For more information on the separate scheme that operates in Scotland please see the relevant </w:t>
      </w:r>
      <w:hyperlink r:id="rId68" w:history="1">
        <w:r w:rsidRPr="008A5812">
          <w:rPr>
            <w:rStyle w:val="Hyperlink"/>
            <w:rFonts w:ascii="Arial" w:hAnsi="Arial"/>
            <w:iCs/>
            <w:szCs w:val="24"/>
          </w:rPr>
          <w:t>website</w:t>
        </w:r>
      </w:hyperlink>
      <w:r w:rsidRPr="00300F50">
        <w:rPr>
          <w:iCs/>
          <w:color w:val="000000"/>
          <w:szCs w:val="24"/>
        </w:rPr>
        <w:t>.</w:t>
      </w:r>
    </w:p>
    <w:p w:rsidR="002619A1" w:rsidRDefault="002619A1" w:rsidP="00300603">
      <w:pPr>
        <w:autoSpaceDE w:val="0"/>
        <w:autoSpaceDN w:val="0"/>
        <w:adjustRightInd w:val="0"/>
        <w:spacing w:before="0" w:after="0" w:line="240" w:lineRule="auto"/>
        <w:jc w:val="both"/>
        <w:rPr>
          <w:iCs/>
          <w:color w:val="000000"/>
          <w:szCs w:val="24"/>
        </w:rPr>
      </w:pPr>
    </w:p>
    <w:p w:rsidR="002619A1" w:rsidRDefault="002619A1" w:rsidP="002619A1">
      <w:pPr>
        <w:pStyle w:val="Heading2"/>
        <w:spacing w:before="0" w:after="0"/>
      </w:pPr>
    </w:p>
    <w:p w:rsidR="002619A1" w:rsidRDefault="002619A1" w:rsidP="002619A1">
      <w:pPr>
        <w:pStyle w:val="Heading2"/>
        <w:spacing w:before="0" w:after="0"/>
      </w:pPr>
    </w:p>
    <w:p w:rsidR="002619A1" w:rsidRDefault="002619A1" w:rsidP="002619A1">
      <w:pPr>
        <w:pStyle w:val="Heading2"/>
        <w:spacing w:before="0" w:after="0"/>
      </w:pPr>
    </w:p>
    <w:p w:rsidR="002619A1" w:rsidRDefault="002619A1" w:rsidP="002619A1">
      <w:pPr>
        <w:pStyle w:val="Heading2"/>
        <w:spacing w:before="0" w:after="0"/>
      </w:pPr>
    </w:p>
    <w:p w:rsidR="002619A1" w:rsidRPr="008A5812" w:rsidRDefault="002619A1" w:rsidP="002619A1">
      <w:pPr>
        <w:pStyle w:val="Heading2"/>
        <w:spacing w:before="0" w:after="0"/>
      </w:pPr>
      <w:bookmarkStart w:id="93" w:name="_Toc375046021"/>
      <w:r>
        <w:lastRenderedPageBreak/>
        <w:t>ECO delivery costs</w:t>
      </w:r>
      <w:bookmarkEnd w:id="93"/>
    </w:p>
    <w:p w:rsidR="002619A1" w:rsidRDefault="002619A1" w:rsidP="00300603">
      <w:pPr>
        <w:pStyle w:val="Heading2"/>
        <w:spacing w:before="0" w:after="0"/>
      </w:pPr>
      <w:bookmarkStart w:id="94" w:name="OLE_LINK13"/>
      <w:bookmarkStart w:id="95" w:name="OLE_LINK14"/>
    </w:p>
    <w:p w:rsidR="00E9747A" w:rsidRPr="00E9747A" w:rsidRDefault="00E9747A" w:rsidP="002619A1">
      <w:pPr>
        <w:spacing w:before="0" w:after="0" w:line="240" w:lineRule="auto"/>
        <w:jc w:val="both"/>
        <w:rPr>
          <w:bCs/>
          <w:color w:val="000000"/>
          <w:szCs w:val="24"/>
          <w:lang w:eastAsia="en-GB"/>
        </w:rPr>
      </w:pPr>
      <w:r>
        <w:rPr>
          <w:bCs/>
          <w:color w:val="000000"/>
          <w:szCs w:val="24"/>
          <w:lang w:eastAsia="en-GB"/>
        </w:rPr>
        <w:t xml:space="preserve">ECO delivery costs are reported by obligated energy suppliers </w:t>
      </w:r>
      <w:r w:rsidR="00322A97" w:rsidRPr="0094680F">
        <w:rPr>
          <w:szCs w:val="24"/>
        </w:rPr>
        <w:t>at the end of the month following each reporting month.</w:t>
      </w:r>
    </w:p>
    <w:p w:rsidR="00E9747A" w:rsidRDefault="00E9747A" w:rsidP="002619A1">
      <w:pPr>
        <w:spacing w:before="0" w:after="0" w:line="240" w:lineRule="auto"/>
        <w:jc w:val="both"/>
        <w:rPr>
          <w:b/>
          <w:bCs/>
          <w:color w:val="000000"/>
          <w:szCs w:val="24"/>
          <w:lang w:eastAsia="en-GB"/>
        </w:rPr>
      </w:pPr>
    </w:p>
    <w:p w:rsidR="002619A1" w:rsidRPr="0094680F" w:rsidRDefault="002619A1" w:rsidP="002619A1">
      <w:pPr>
        <w:spacing w:before="0" w:after="0" w:line="240" w:lineRule="auto"/>
        <w:jc w:val="both"/>
        <w:rPr>
          <w:szCs w:val="24"/>
        </w:rPr>
      </w:pPr>
      <w:r w:rsidRPr="0094680F">
        <w:rPr>
          <w:b/>
          <w:bCs/>
          <w:color w:val="000000"/>
          <w:szCs w:val="24"/>
          <w:lang w:eastAsia="en-GB"/>
        </w:rPr>
        <w:t>ECO delivery</w:t>
      </w:r>
      <w:r w:rsidRPr="0094680F">
        <w:rPr>
          <w:color w:val="000000"/>
          <w:szCs w:val="24"/>
          <w:lang w:eastAsia="en-GB"/>
        </w:rPr>
        <w:t xml:space="preserve"> </w:t>
      </w:r>
      <w:r w:rsidRPr="0094680F">
        <w:rPr>
          <w:b/>
          <w:bCs/>
          <w:color w:val="000000"/>
          <w:szCs w:val="24"/>
          <w:lang w:eastAsia="en-GB"/>
        </w:rPr>
        <w:t xml:space="preserve">costs </w:t>
      </w:r>
      <w:r w:rsidRPr="0094680F">
        <w:rPr>
          <w:color w:val="000000"/>
          <w:szCs w:val="24"/>
          <w:lang w:eastAsia="en-GB"/>
        </w:rPr>
        <w:t>are defined as the cost of installing an ECO measure in a property. This includes the costs of technical monitoring, cost of assessment, costs involved with searching for ECO properties, installation costs and marketing costs by delivery partners involved with promoting the ECO obligations. Administrative costs are not included in delivery cos</w:t>
      </w:r>
      <w:r w:rsidR="00E9747A">
        <w:rPr>
          <w:color w:val="000000"/>
          <w:szCs w:val="24"/>
          <w:lang w:eastAsia="en-GB"/>
        </w:rPr>
        <w:t>ts</w:t>
      </w:r>
      <w:r w:rsidRPr="0094680F">
        <w:rPr>
          <w:color w:val="000000"/>
          <w:szCs w:val="24"/>
          <w:lang w:eastAsia="en-GB"/>
        </w:rPr>
        <w:t xml:space="preserve">. </w:t>
      </w:r>
    </w:p>
    <w:p w:rsidR="002619A1" w:rsidRDefault="002619A1" w:rsidP="002619A1">
      <w:pPr>
        <w:spacing w:after="0" w:line="240" w:lineRule="auto"/>
        <w:ind w:left="-28"/>
        <w:jc w:val="both"/>
      </w:pPr>
    </w:p>
    <w:p w:rsidR="002619A1" w:rsidRDefault="002619A1" w:rsidP="002619A1">
      <w:pPr>
        <w:spacing w:before="0" w:after="0" w:line="240" w:lineRule="auto"/>
        <w:ind w:left="-28"/>
        <w:jc w:val="both"/>
      </w:pPr>
      <w:r>
        <w:t xml:space="preserve">In addition, </w:t>
      </w:r>
      <w:r w:rsidRPr="00D7040F">
        <w:rPr>
          <w:b/>
        </w:rPr>
        <w:t>ad</w:t>
      </w:r>
      <w:r>
        <w:rPr>
          <w:b/>
        </w:rPr>
        <w:t xml:space="preserve">ministrative costs </w:t>
      </w:r>
      <w:r>
        <w:t xml:space="preserve">are collected every quarter from suppliers and include: reporting and compliance, own marketing and direct administrative costs. Figures up to </w:t>
      </w:r>
      <w:r w:rsidR="00322A97">
        <w:t>the end of S</w:t>
      </w:r>
      <w:r>
        <w:t>e</w:t>
      </w:r>
      <w:r w:rsidR="00322A97">
        <w:t>ptember</w:t>
      </w:r>
      <w:r>
        <w:t xml:space="preserve"> 2013 show</w:t>
      </w:r>
      <w:r w:rsidR="00322A97">
        <w:t xml:space="preserve"> aggregate expenditure of £57</w:t>
      </w:r>
      <w:r>
        <w:t>m. However, overall administrative costs reported are likely to be relatively small compared to delivery costs and, in addition, they may be front-loaded as suppliers will invest significantly in the development of IT / reporting systems to support delivery of the scheme. Suppliers make returns on administrative costs at the end of the month following each reporting quarter.</w:t>
      </w:r>
    </w:p>
    <w:p w:rsidR="00322A97" w:rsidRPr="00D46E4B" w:rsidRDefault="00322A97" w:rsidP="002619A1">
      <w:pPr>
        <w:spacing w:before="0" w:after="0" w:line="240" w:lineRule="auto"/>
        <w:ind w:left="-28"/>
        <w:jc w:val="both"/>
      </w:pPr>
    </w:p>
    <w:p w:rsidR="00322A97" w:rsidRPr="00D46E4B" w:rsidRDefault="00322A97" w:rsidP="002619A1">
      <w:pPr>
        <w:spacing w:before="0" w:after="0" w:line="240" w:lineRule="auto"/>
        <w:ind w:left="-28"/>
        <w:jc w:val="both"/>
      </w:pPr>
      <w:r w:rsidRPr="00D46E4B">
        <w:t>Full definitions on</w:t>
      </w:r>
      <w:r w:rsidR="00D46E4B" w:rsidRPr="00D46E4B">
        <w:t xml:space="preserve"> ECO costs</w:t>
      </w:r>
      <w:r w:rsidRPr="00D46E4B">
        <w:t xml:space="preserve"> are included </w:t>
      </w:r>
      <w:hyperlink r:id="rId69" w:history="1">
        <w:r w:rsidRPr="00D46E4B">
          <w:rPr>
            <w:rStyle w:val="Hyperlink"/>
            <w:rFonts w:ascii="Arial" w:hAnsi="Arial"/>
          </w:rPr>
          <w:t>here</w:t>
        </w:r>
      </w:hyperlink>
    </w:p>
    <w:p w:rsidR="002619A1" w:rsidRDefault="002619A1" w:rsidP="00300603">
      <w:pPr>
        <w:pStyle w:val="Heading2"/>
        <w:spacing w:before="0" w:after="0"/>
      </w:pPr>
    </w:p>
    <w:p w:rsidR="00D12323" w:rsidRPr="008A5812" w:rsidRDefault="00D12323" w:rsidP="00300603">
      <w:pPr>
        <w:pStyle w:val="Heading2"/>
        <w:spacing w:before="0" w:after="0"/>
      </w:pPr>
      <w:bookmarkStart w:id="96" w:name="_Toc375046022"/>
      <w:r w:rsidRPr="008A5812">
        <w:t>ECO Brokerage</w:t>
      </w:r>
      <w:bookmarkEnd w:id="96"/>
    </w:p>
    <w:p w:rsidR="00D12323" w:rsidRPr="008A5812" w:rsidRDefault="00D12323" w:rsidP="00300603">
      <w:pPr>
        <w:pStyle w:val="NormalWeb"/>
        <w:spacing w:line="270" w:lineRule="atLeast"/>
        <w:jc w:val="both"/>
        <w:rPr>
          <w:rFonts w:ascii="Arial" w:hAnsi="Arial" w:cs="Arial"/>
        </w:rPr>
      </w:pPr>
      <w:bookmarkStart w:id="97" w:name="OLE_LINK3"/>
      <w:bookmarkStart w:id="98" w:name="OLE_LINK4"/>
    </w:p>
    <w:p w:rsidR="00D12323" w:rsidRPr="00300F50" w:rsidRDefault="00D12323" w:rsidP="00300603">
      <w:pPr>
        <w:pStyle w:val="NormalWeb"/>
        <w:spacing w:line="270" w:lineRule="atLeast"/>
        <w:jc w:val="both"/>
        <w:rPr>
          <w:rFonts w:ascii="Arial" w:hAnsi="Arial" w:cs="Arial"/>
          <w:color w:val="000000"/>
        </w:rPr>
      </w:pPr>
      <w:bookmarkStart w:id="99" w:name="OLE_LINK10"/>
      <w:bookmarkStart w:id="100" w:name="OLE_LINK12"/>
      <w:bookmarkEnd w:id="97"/>
      <w:bookmarkEnd w:id="98"/>
      <w:r w:rsidRPr="00300F50">
        <w:rPr>
          <w:rFonts w:ascii="Arial" w:hAnsi="Arial" w:cs="Arial"/>
          <w:color w:val="000000"/>
        </w:rPr>
        <w:t xml:space="preserve">The </w:t>
      </w:r>
      <w:hyperlink r:id="rId70" w:history="1">
        <w:r w:rsidRPr="008A5812">
          <w:rPr>
            <w:rStyle w:val="Hyperlink"/>
            <w:rFonts w:ascii="Arial" w:hAnsi="Arial" w:cs="Arial"/>
          </w:rPr>
          <w:t>ECO Brokerage</w:t>
        </w:r>
      </w:hyperlink>
      <w:r w:rsidRPr="00300F50">
        <w:rPr>
          <w:rFonts w:ascii="Arial" w:hAnsi="Arial" w:cs="Arial"/>
          <w:color w:val="000000"/>
        </w:rPr>
        <w:t xml:space="preserve"> system operates as a fortnightly anonymous auction where GD Providers can sell ‘lots’ of future measures of ECO Carbon Saving Obligation, ECO Carbon Saving Communities and ECO Affordable Warmth, to energy companies in return for ECO subsidy. </w:t>
      </w:r>
    </w:p>
    <w:p w:rsidR="00D12323" w:rsidRPr="00300F50" w:rsidRDefault="00D12323" w:rsidP="00300603">
      <w:pPr>
        <w:pStyle w:val="NormalWeb"/>
        <w:spacing w:line="270" w:lineRule="atLeast"/>
        <w:jc w:val="both"/>
        <w:rPr>
          <w:rFonts w:ascii="Arial" w:hAnsi="Arial" w:cs="Arial"/>
          <w:color w:val="000000"/>
        </w:rPr>
      </w:pPr>
    </w:p>
    <w:p w:rsidR="00D12323" w:rsidRPr="00300F50" w:rsidRDefault="00D12323" w:rsidP="00300603">
      <w:pPr>
        <w:pStyle w:val="NormalWeb"/>
        <w:spacing w:line="270" w:lineRule="atLeast"/>
        <w:jc w:val="both"/>
        <w:rPr>
          <w:rFonts w:ascii="Arial" w:hAnsi="Arial" w:cs="Arial"/>
          <w:color w:val="000000"/>
        </w:rPr>
      </w:pPr>
      <w:r w:rsidRPr="00300F50">
        <w:rPr>
          <w:rFonts w:ascii="Arial" w:hAnsi="Arial" w:cs="Arial"/>
          <w:color w:val="000000"/>
          <w:lang w:val="en-US"/>
        </w:rPr>
        <w:t>This market-based mechanism has been introduced to support an open and competitive market for the delivery of the ECO. Brokerage allows a</w:t>
      </w:r>
      <w:r w:rsidRPr="00300F50">
        <w:rPr>
          <w:rFonts w:ascii="Arial" w:hAnsi="Arial" w:cs="Arial"/>
          <w:color w:val="000000"/>
        </w:rPr>
        <w:t xml:space="preserve"> range of Green Deal providers to fairly compete on price to attract ECO support and enables energy suppliers to deliver their obligations at the lowest possible cost, thereby reducing the impact on customer energy bills. </w:t>
      </w:r>
    </w:p>
    <w:p w:rsidR="00D12323" w:rsidRPr="00300F50" w:rsidRDefault="00D12323" w:rsidP="00300603">
      <w:pPr>
        <w:pStyle w:val="NormalWeb"/>
        <w:spacing w:line="270" w:lineRule="atLeast"/>
        <w:jc w:val="both"/>
        <w:rPr>
          <w:rFonts w:ascii="Arial" w:hAnsi="Arial" w:cs="Arial"/>
          <w:color w:val="000000"/>
        </w:rPr>
      </w:pPr>
    </w:p>
    <w:p w:rsidR="00D12323" w:rsidRPr="00300F50" w:rsidRDefault="00D12323" w:rsidP="00300603">
      <w:pPr>
        <w:pStyle w:val="NormalWeb"/>
        <w:spacing w:line="270" w:lineRule="atLeast"/>
        <w:jc w:val="both"/>
        <w:rPr>
          <w:rFonts w:ascii="Arial" w:hAnsi="Arial" w:cs="Arial"/>
          <w:color w:val="000000"/>
        </w:rPr>
      </w:pPr>
      <w:r w:rsidRPr="00300F50">
        <w:rPr>
          <w:rFonts w:ascii="Arial" w:hAnsi="Arial" w:cs="Arial"/>
          <w:color w:val="000000"/>
        </w:rPr>
        <w:t>Sellers (GD Providers) can make a competitive offer on brokerage by leveraging additional sources of finance, such as part funding measures through Green Deal Finance, partnerships with local authorities, or driving down costs by economies of scale.</w:t>
      </w:r>
      <w:bookmarkEnd w:id="94"/>
      <w:bookmarkEnd w:id="95"/>
      <w:bookmarkEnd w:id="99"/>
      <w:bookmarkEnd w:id="100"/>
    </w:p>
    <w:p w:rsidR="00D12323" w:rsidRPr="00300F50" w:rsidRDefault="00D12323" w:rsidP="00300603">
      <w:pPr>
        <w:pStyle w:val="NormalWeb"/>
        <w:spacing w:line="270" w:lineRule="atLeast"/>
        <w:jc w:val="both"/>
        <w:rPr>
          <w:rFonts w:ascii="Arial" w:hAnsi="Arial" w:cs="Arial"/>
          <w:color w:val="000000"/>
        </w:rPr>
      </w:pPr>
    </w:p>
    <w:p w:rsidR="006505B5" w:rsidRDefault="006505B5" w:rsidP="00300603">
      <w:pPr>
        <w:pStyle w:val="Heading2"/>
        <w:spacing w:before="0" w:after="0"/>
      </w:pPr>
    </w:p>
    <w:p w:rsidR="00D12323" w:rsidRDefault="00D12323" w:rsidP="00300603">
      <w:pPr>
        <w:pStyle w:val="Heading2"/>
        <w:spacing w:before="0" w:after="0"/>
      </w:pPr>
      <w:bookmarkStart w:id="101" w:name="_Toc375046023"/>
      <w:r w:rsidRPr="008A5812">
        <w:t>The Supply Chain</w:t>
      </w:r>
      <w:bookmarkEnd w:id="101"/>
    </w:p>
    <w:p w:rsidR="00300603" w:rsidRPr="00300603" w:rsidRDefault="00300603" w:rsidP="00300603">
      <w:pPr>
        <w:spacing w:before="0" w:after="0"/>
      </w:pPr>
    </w:p>
    <w:p w:rsidR="00D12323" w:rsidRPr="008A5812" w:rsidRDefault="00D12323" w:rsidP="00300603">
      <w:pPr>
        <w:spacing w:before="0" w:after="0" w:line="240" w:lineRule="auto"/>
        <w:jc w:val="both"/>
        <w:rPr>
          <w:szCs w:val="24"/>
        </w:rPr>
      </w:pPr>
      <w:r w:rsidRPr="008A5812">
        <w:rPr>
          <w:szCs w:val="24"/>
        </w:rPr>
        <w:t>To understand more about the organisations and infrastructure underpinning the Green Deal, this report also includes a section summarising the trends in the number of Green Deal Advisors (and Assessor organisations), the number of Green Deal Providers and the number of Green Deal Installer organisations.</w:t>
      </w:r>
    </w:p>
    <w:p w:rsidR="00D12323" w:rsidRPr="008A5812" w:rsidRDefault="00D12323" w:rsidP="00300603">
      <w:pPr>
        <w:spacing w:before="0" w:after="0" w:line="270" w:lineRule="atLeast"/>
        <w:rPr>
          <w:b/>
          <w:bCs/>
          <w:szCs w:val="24"/>
        </w:rPr>
      </w:pPr>
    </w:p>
    <w:p w:rsidR="006505B5" w:rsidRDefault="006505B5" w:rsidP="00C32763">
      <w:pPr>
        <w:pStyle w:val="Heading2"/>
        <w:spacing w:before="0" w:after="0"/>
      </w:pPr>
    </w:p>
    <w:p w:rsidR="00C32763" w:rsidRDefault="00C32763" w:rsidP="00C32763">
      <w:pPr>
        <w:pStyle w:val="Heading2"/>
        <w:spacing w:before="0" w:after="0"/>
      </w:pPr>
      <w:bookmarkStart w:id="102" w:name="_Toc375046024"/>
      <w:r>
        <w:t>Pioneer Places</w:t>
      </w:r>
      <w:bookmarkEnd w:id="102"/>
    </w:p>
    <w:p w:rsidR="00C32763" w:rsidRDefault="00C32763" w:rsidP="00300603">
      <w:pPr>
        <w:spacing w:before="0" w:after="0" w:line="240" w:lineRule="auto"/>
        <w:rPr>
          <w:b/>
          <w:bCs/>
          <w:szCs w:val="24"/>
        </w:rPr>
      </w:pPr>
    </w:p>
    <w:p w:rsidR="009C224B" w:rsidRDefault="009C224B" w:rsidP="00DD57E4">
      <w:pPr>
        <w:spacing w:before="0" w:after="0"/>
        <w:jc w:val="both"/>
      </w:pPr>
      <w:r>
        <w:t>The Green Deal Pioneer Places Fund of £10m was allocated to Local Authorities and/or consortia of Local Authorities in England to demonstrate ambitious approaches to kick starting local Green Deal activity in both the domestic and non-domestic sectors. Activities that were supported by the DECC funding included:</w:t>
      </w:r>
    </w:p>
    <w:p w:rsidR="00DD57E4" w:rsidRPr="00DD57E4" w:rsidRDefault="00DD57E4" w:rsidP="00DD57E4">
      <w:pPr>
        <w:spacing w:before="0" w:after="0"/>
        <w:jc w:val="both"/>
      </w:pPr>
    </w:p>
    <w:p w:rsidR="009C224B" w:rsidRDefault="009C224B" w:rsidP="00D76AE6">
      <w:pPr>
        <w:numPr>
          <w:ilvl w:val="0"/>
          <w:numId w:val="37"/>
        </w:numPr>
        <w:spacing w:before="0" w:after="0"/>
        <w:jc w:val="both"/>
        <w:rPr>
          <w:color w:val="000000" w:themeColor="text1"/>
        </w:rPr>
      </w:pPr>
      <w:r w:rsidRPr="009C224B">
        <w:rPr>
          <w:color w:val="000000" w:themeColor="text1"/>
        </w:rPr>
        <w:t>funding the Green Deal Assessment by Authorised Assessors;</w:t>
      </w:r>
    </w:p>
    <w:p w:rsidR="009C224B" w:rsidRPr="009C224B" w:rsidRDefault="009C224B" w:rsidP="00D76AE6">
      <w:pPr>
        <w:numPr>
          <w:ilvl w:val="0"/>
          <w:numId w:val="37"/>
        </w:numPr>
        <w:spacing w:before="0" w:after="0"/>
        <w:jc w:val="both"/>
        <w:rPr>
          <w:color w:val="000000" w:themeColor="text1"/>
        </w:rPr>
      </w:pPr>
      <w:r w:rsidRPr="009C224B">
        <w:rPr>
          <w:color w:val="000000" w:themeColor="text1"/>
        </w:rPr>
        <w:lastRenderedPageBreak/>
        <w:t>piloting local marketing approaches, including a street by street approach to roll out;</w:t>
      </w:r>
    </w:p>
    <w:p w:rsidR="009C224B" w:rsidRPr="009C224B" w:rsidRDefault="009C224B" w:rsidP="00D76AE6">
      <w:pPr>
        <w:numPr>
          <w:ilvl w:val="0"/>
          <w:numId w:val="37"/>
        </w:numPr>
        <w:spacing w:before="0" w:after="0"/>
        <w:jc w:val="both"/>
        <w:rPr>
          <w:color w:val="000000" w:themeColor="text1"/>
        </w:rPr>
      </w:pPr>
      <w:r w:rsidRPr="009C224B">
        <w:rPr>
          <w:color w:val="000000" w:themeColor="text1"/>
        </w:rPr>
        <w:t>establishing a network of local Green Deal show homes;</w:t>
      </w:r>
    </w:p>
    <w:p w:rsidR="009C224B" w:rsidRPr="009C224B" w:rsidRDefault="009C224B" w:rsidP="00D76AE6">
      <w:pPr>
        <w:numPr>
          <w:ilvl w:val="0"/>
          <w:numId w:val="37"/>
        </w:numPr>
        <w:spacing w:before="0" w:after="0"/>
        <w:jc w:val="both"/>
        <w:rPr>
          <w:color w:val="000000" w:themeColor="text1"/>
        </w:rPr>
      </w:pPr>
      <w:r w:rsidRPr="009C224B">
        <w:rPr>
          <w:color w:val="000000" w:themeColor="text1"/>
        </w:rPr>
        <w:t>area wide events to publicise the Green Deal;</w:t>
      </w:r>
    </w:p>
    <w:p w:rsidR="009C224B" w:rsidRPr="009C224B" w:rsidRDefault="009C224B" w:rsidP="00D76AE6">
      <w:pPr>
        <w:numPr>
          <w:ilvl w:val="0"/>
          <w:numId w:val="37"/>
        </w:numPr>
        <w:spacing w:before="0" w:after="0"/>
        <w:jc w:val="both"/>
        <w:rPr>
          <w:color w:val="000000" w:themeColor="text1"/>
        </w:rPr>
      </w:pPr>
      <w:r w:rsidRPr="009C224B">
        <w:rPr>
          <w:color w:val="000000" w:themeColor="text1"/>
        </w:rPr>
        <w:t xml:space="preserve">working with local partners such as the local NHS to drive demand for the Green Deal; </w:t>
      </w:r>
    </w:p>
    <w:p w:rsidR="009C224B" w:rsidRPr="009C224B" w:rsidRDefault="009C224B" w:rsidP="00D76AE6">
      <w:pPr>
        <w:numPr>
          <w:ilvl w:val="0"/>
          <w:numId w:val="37"/>
        </w:numPr>
        <w:spacing w:before="0" w:after="0"/>
        <w:jc w:val="both"/>
        <w:rPr>
          <w:color w:val="000000" w:themeColor="text1"/>
        </w:rPr>
      </w:pPr>
      <w:r w:rsidRPr="009C224B">
        <w:rPr>
          <w:color w:val="000000" w:themeColor="text1"/>
        </w:rPr>
        <w:t>working with community and other civil society groups to deliver demand for the Green Deal.</w:t>
      </w:r>
    </w:p>
    <w:p w:rsidR="009C224B" w:rsidRDefault="009C224B" w:rsidP="009C224B">
      <w:pPr>
        <w:spacing w:before="0" w:after="0"/>
        <w:rPr>
          <w:color w:val="1F497D"/>
        </w:rPr>
      </w:pPr>
    </w:p>
    <w:p w:rsidR="00DD57E4" w:rsidRPr="00217A69" w:rsidRDefault="002843E1" w:rsidP="00217A69">
      <w:pPr>
        <w:spacing w:before="0" w:after="0"/>
        <w:rPr>
          <w:color w:val="1F497D"/>
          <w:szCs w:val="24"/>
        </w:rPr>
      </w:pPr>
      <w:r w:rsidRPr="00217A69">
        <w:rPr>
          <w:color w:val="000000" w:themeColor="text1"/>
        </w:rPr>
        <w:t>The</w:t>
      </w:r>
      <w:r w:rsidR="000D0C4C">
        <w:rPr>
          <w:color w:val="000000" w:themeColor="text1"/>
        </w:rPr>
        <w:t xml:space="preserve"> </w:t>
      </w:r>
      <w:r w:rsidR="000D0C4C" w:rsidRPr="009079D3">
        <w:rPr>
          <w:color w:val="000000" w:themeColor="text1"/>
        </w:rPr>
        <w:t>accompanying</w:t>
      </w:r>
      <w:r w:rsidR="00812F13" w:rsidRPr="009079D3">
        <w:rPr>
          <w:color w:val="000000" w:themeColor="text1"/>
        </w:rPr>
        <w:t xml:space="preserve"> </w:t>
      </w:r>
      <w:hyperlink r:id="rId71" w:history="1">
        <w:r w:rsidR="00812F13" w:rsidRPr="009079D3">
          <w:rPr>
            <w:rStyle w:val="Hyperlink"/>
            <w:rFonts w:ascii="Arial" w:hAnsi="Arial"/>
            <w:szCs w:val="24"/>
          </w:rPr>
          <w:t>Methodology note</w:t>
        </w:r>
      </w:hyperlink>
      <w:r w:rsidRPr="009079D3">
        <w:rPr>
          <w:color w:val="000000" w:themeColor="text1"/>
        </w:rPr>
        <w:t xml:space="preserve"> contains a</w:t>
      </w:r>
      <w:r w:rsidRPr="00217A69">
        <w:rPr>
          <w:color w:val="000000" w:themeColor="text1"/>
        </w:rPr>
        <w:t xml:space="preserve"> table of the</w:t>
      </w:r>
      <w:r w:rsidR="00FD0B61" w:rsidRPr="00217A69">
        <w:rPr>
          <w:color w:val="0D0D0D" w:themeColor="text1" w:themeTint="F2"/>
          <w:szCs w:val="24"/>
        </w:rPr>
        <w:t xml:space="preserve"> full list of lead Local</w:t>
      </w:r>
      <w:r w:rsidR="00FD0B61" w:rsidRPr="00217A69">
        <w:rPr>
          <w:szCs w:val="24"/>
        </w:rPr>
        <w:t xml:space="preserve"> Authorities and/or consortia of Local Authorities which form part of these projects</w:t>
      </w:r>
    </w:p>
    <w:p w:rsidR="00144EE8" w:rsidRDefault="00144EE8" w:rsidP="00144EE8">
      <w:pPr>
        <w:pStyle w:val="Heading2"/>
      </w:pPr>
      <w:bookmarkStart w:id="103" w:name="_Toc375046025"/>
      <w:r w:rsidRPr="00217A69">
        <w:t>Core Cities</w:t>
      </w:r>
      <w:bookmarkEnd w:id="103"/>
    </w:p>
    <w:p w:rsidR="00B4382F" w:rsidRPr="00B4382F" w:rsidRDefault="00B4382F" w:rsidP="00B4382F">
      <w:pPr>
        <w:jc w:val="both"/>
        <w:rPr>
          <w:color w:val="0D0D0D" w:themeColor="text1" w:themeTint="F2"/>
        </w:rPr>
      </w:pPr>
      <w:r w:rsidRPr="00B4382F">
        <w:rPr>
          <w:color w:val="0D0D0D" w:themeColor="text1" w:themeTint="F2"/>
        </w:rPr>
        <w:t>Eight cities across England received funding of £10.8m in total to trial early aspects of the Green Deal process and support them to help kick-start the Green Deal. The projects included retrofitting properties across whole communities.</w:t>
      </w:r>
    </w:p>
    <w:p w:rsidR="00B4382F" w:rsidRPr="00B4382F" w:rsidRDefault="00B4382F" w:rsidP="00B4382F">
      <w:pPr>
        <w:jc w:val="both"/>
        <w:rPr>
          <w:color w:val="0D0D0D" w:themeColor="text1" w:themeTint="F2"/>
        </w:rPr>
      </w:pPr>
    </w:p>
    <w:p w:rsidR="00B4382F" w:rsidRPr="00B4382F" w:rsidRDefault="00B4382F" w:rsidP="00B4382F">
      <w:pPr>
        <w:jc w:val="both"/>
        <w:rPr>
          <w:color w:val="0D0D0D" w:themeColor="text1" w:themeTint="F2"/>
        </w:rPr>
      </w:pPr>
      <w:r w:rsidRPr="00B4382F">
        <w:rPr>
          <w:color w:val="0D0D0D" w:themeColor="text1" w:themeTint="F2"/>
        </w:rPr>
        <w:t>The cities were:</w:t>
      </w:r>
    </w:p>
    <w:p w:rsidR="00B4382F" w:rsidRPr="00B4382F" w:rsidRDefault="00B4382F" w:rsidP="00B4382F">
      <w:pPr>
        <w:numPr>
          <w:ilvl w:val="0"/>
          <w:numId w:val="38"/>
        </w:numPr>
        <w:spacing w:before="0" w:after="0"/>
        <w:jc w:val="both"/>
        <w:rPr>
          <w:color w:val="0D0D0D" w:themeColor="text1" w:themeTint="F2"/>
        </w:rPr>
      </w:pPr>
      <w:r w:rsidRPr="00B4382F">
        <w:rPr>
          <w:color w:val="0D0D0D" w:themeColor="text1" w:themeTint="F2"/>
        </w:rPr>
        <w:t>Birmingham</w:t>
      </w:r>
    </w:p>
    <w:p w:rsidR="00B4382F" w:rsidRPr="00B4382F" w:rsidRDefault="00B4382F" w:rsidP="00B4382F">
      <w:pPr>
        <w:numPr>
          <w:ilvl w:val="0"/>
          <w:numId w:val="38"/>
        </w:numPr>
        <w:spacing w:before="0" w:after="0"/>
        <w:jc w:val="both"/>
        <w:rPr>
          <w:color w:val="0D0D0D" w:themeColor="text1" w:themeTint="F2"/>
        </w:rPr>
      </w:pPr>
      <w:r w:rsidRPr="00B4382F">
        <w:rPr>
          <w:color w:val="0D0D0D" w:themeColor="text1" w:themeTint="F2"/>
        </w:rPr>
        <w:t>Bristol</w:t>
      </w:r>
    </w:p>
    <w:p w:rsidR="00B4382F" w:rsidRPr="00B4382F" w:rsidRDefault="00B4382F" w:rsidP="00B4382F">
      <w:pPr>
        <w:numPr>
          <w:ilvl w:val="0"/>
          <w:numId w:val="38"/>
        </w:numPr>
        <w:spacing w:before="0" w:after="0"/>
        <w:jc w:val="both"/>
        <w:rPr>
          <w:color w:val="0D0D0D" w:themeColor="text1" w:themeTint="F2"/>
        </w:rPr>
      </w:pPr>
      <w:r w:rsidRPr="00B4382F">
        <w:rPr>
          <w:color w:val="0D0D0D" w:themeColor="text1" w:themeTint="F2"/>
        </w:rPr>
        <w:t>Leeds</w:t>
      </w:r>
    </w:p>
    <w:p w:rsidR="00B4382F" w:rsidRPr="00B4382F" w:rsidRDefault="00B4382F" w:rsidP="00B4382F">
      <w:pPr>
        <w:numPr>
          <w:ilvl w:val="0"/>
          <w:numId w:val="38"/>
        </w:numPr>
        <w:spacing w:before="0" w:after="0"/>
        <w:jc w:val="both"/>
        <w:rPr>
          <w:color w:val="0D0D0D" w:themeColor="text1" w:themeTint="F2"/>
        </w:rPr>
      </w:pPr>
      <w:r w:rsidRPr="00B4382F">
        <w:rPr>
          <w:color w:val="0D0D0D" w:themeColor="text1" w:themeTint="F2"/>
        </w:rPr>
        <w:t>Liverpool</w:t>
      </w:r>
    </w:p>
    <w:p w:rsidR="00B4382F" w:rsidRPr="00B4382F" w:rsidRDefault="00B4382F" w:rsidP="00B4382F">
      <w:pPr>
        <w:numPr>
          <w:ilvl w:val="0"/>
          <w:numId w:val="38"/>
        </w:numPr>
        <w:spacing w:before="0" w:after="0"/>
        <w:jc w:val="both"/>
        <w:rPr>
          <w:color w:val="0D0D0D" w:themeColor="text1" w:themeTint="F2"/>
        </w:rPr>
      </w:pPr>
      <w:r w:rsidRPr="00B4382F">
        <w:rPr>
          <w:color w:val="0D0D0D" w:themeColor="text1" w:themeTint="F2"/>
        </w:rPr>
        <w:t>Manchester</w:t>
      </w:r>
    </w:p>
    <w:p w:rsidR="00B4382F" w:rsidRPr="00B4382F" w:rsidRDefault="00B4382F" w:rsidP="00B4382F">
      <w:pPr>
        <w:numPr>
          <w:ilvl w:val="0"/>
          <w:numId w:val="38"/>
        </w:numPr>
        <w:spacing w:before="0" w:after="0"/>
        <w:jc w:val="both"/>
        <w:rPr>
          <w:color w:val="0D0D0D" w:themeColor="text1" w:themeTint="F2"/>
        </w:rPr>
      </w:pPr>
      <w:r w:rsidRPr="00B4382F">
        <w:rPr>
          <w:color w:val="0D0D0D" w:themeColor="text1" w:themeTint="F2"/>
        </w:rPr>
        <w:t>Newcastle</w:t>
      </w:r>
    </w:p>
    <w:p w:rsidR="00B4382F" w:rsidRPr="00B4382F" w:rsidRDefault="00B4382F" w:rsidP="00B4382F">
      <w:pPr>
        <w:numPr>
          <w:ilvl w:val="0"/>
          <w:numId w:val="38"/>
        </w:numPr>
        <w:spacing w:before="0" w:after="0"/>
        <w:jc w:val="both"/>
        <w:rPr>
          <w:color w:val="0D0D0D" w:themeColor="text1" w:themeTint="F2"/>
        </w:rPr>
      </w:pPr>
      <w:r w:rsidRPr="00B4382F">
        <w:rPr>
          <w:color w:val="0D0D0D" w:themeColor="text1" w:themeTint="F2"/>
        </w:rPr>
        <w:t>Nottingham</w:t>
      </w:r>
    </w:p>
    <w:p w:rsidR="00B4382F" w:rsidRPr="00B4382F" w:rsidRDefault="00B4382F" w:rsidP="00B4382F">
      <w:pPr>
        <w:numPr>
          <w:ilvl w:val="0"/>
          <w:numId w:val="38"/>
        </w:numPr>
        <w:spacing w:before="0" w:after="0"/>
        <w:jc w:val="both"/>
        <w:rPr>
          <w:color w:val="0D0D0D" w:themeColor="text1" w:themeTint="F2"/>
        </w:rPr>
      </w:pPr>
      <w:r w:rsidRPr="00B4382F">
        <w:rPr>
          <w:color w:val="0D0D0D" w:themeColor="text1" w:themeTint="F2"/>
        </w:rPr>
        <w:t xml:space="preserve">Sheffield </w:t>
      </w:r>
    </w:p>
    <w:p w:rsidR="00B4382F" w:rsidRPr="00B4382F" w:rsidRDefault="00B4382F" w:rsidP="00B4382F">
      <w:pPr>
        <w:jc w:val="both"/>
        <w:rPr>
          <w:rFonts w:eastAsia="Calibri"/>
          <w:color w:val="0D0D0D" w:themeColor="text1" w:themeTint="F2"/>
        </w:rPr>
      </w:pPr>
    </w:p>
    <w:p w:rsidR="00B4382F" w:rsidRDefault="00B4382F" w:rsidP="00E31168">
      <w:pPr>
        <w:spacing w:before="0" w:after="0"/>
        <w:jc w:val="both"/>
        <w:rPr>
          <w:color w:val="0D0D0D" w:themeColor="text1" w:themeTint="F2"/>
        </w:rPr>
      </w:pPr>
      <w:r w:rsidRPr="00B4382F">
        <w:rPr>
          <w:color w:val="0D0D0D" w:themeColor="text1" w:themeTint="F2"/>
        </w:rPr>
        <w:t>The projects provided feedback and data on the elements of the Green Deal framework such as assessment and installation.</w:t>
      </w:r>
    </w:p>
    <w:p w:rsidR="00E31168" w:rsidRPr="00B4382F" w:rsidRDefault="00E31168" w:rsidP="00E31168">
      <w:pPr>
        <w:spacing w:before="0" w:after="0"/>
        <w:jc w:val="both"/>
        <w:rPr>
          <w:color w:val="0D0D0D" w:themeColor="text1" w:themeTint="F2"/>
        </w:rPr>
      </w:pPr>
    </w:p>
    <w:p w:rsidR="00B4382F" w:rsidRPr="00B4382F" w:rsidRDefault="00B4382F" w:rsidP="00E31168">
      <w:pPr>
        <w:spacing w:before="0" w:after="0"/>
        <w:jc w:val="both"/>
        <w:rPr>
          <w:color w:val="0D0D0D" w:themeColor="text1" w:themeTint="F2"/>
        </w:rPr>
      </w:pPr>
      <w:r w:rsidRPr="00B4382F">
        <w:rPr>
          <w:color w:val="0D0D0D" w:themeColor="text1" w:themeTint="F2"/>
        </w:rPr>
        <w:t>The cities’ projects also generated match funding. This work is supporting future Green Deal activity in these cities, including raised awareness of the Green Deal through community engagement and show homes, and a stimulus to local supply chains such as trained Green Deal advisors and registered installers.</w:t>
      </w:r>
    </w:p>
    <w:p w:rsidR="00144EE8" w:rsidRDefault="00144EE8" w:rsidP="00144EE8">
      <w:pPr>
        <w:spacing w:before="0" w:after="0"/>
        <w:jc w:val="both"/>
      </w:pPr>
    </w:p>
    <w:p w:rsidR="008B4D9A" w:rsidRDefault="00C32B92" w:rsidP="00C32763">
      <w:pPr>
        <w:spacing w:before="0" w:after="0" w:line="240" w:lineRule="auto"/>
        <w:rPr>
          <w:bCs/>
          <w:szCs w:val="24"/>
        </w:rPr>
      </w:pPr>
      <w:r w:rsidRPr="00C32B92">
        <w:rPr>
          <w:bCs/>
          <w:szCs w:val="24"/>
        </w:rPr>
        <w:t>Further information on Core Cities and Pion</w:t>
      </w:r>
      <w:r>
        <w:rPr>
          <w:bCs/>
          <w:szCs w:val="24"/>
        </w:rPr>
        <w:t>e</w:t>
      </w:r>
      <w:r w:rsidR="008B4D9A">
        <w:rPr>
          <w:bCs/>
          <w:szCs w:val="24"/>
        </w:rPr>
        <w:t>er Place can be found at</w:t>
      </w:r>
    </w:p>
    <w:p w:rsidR="00C32B92" w:rsidRPr="00C32B92" w:rsidRDefault="0012033E" w:rsidP="00C32763">
      <w:pPr>
        <w:spacing w:before="0" w:after="0" w:line="240" w:lineRule="auto"/>
        <w:rPr>
          <w:bCs/>
          <w:szCs w:val="24"/>
        </w:rPr>
      </w:pPr>
      <w:hyperlink r:id="rId72" w:history="1">
        <w:r w:rsidR="00C32B92" w:rsidRPr="00C32B92">
          <w:rPr>
            <w:rStyle w:val="Hyperlink"/>
            <w:rFonts w:ascii="Arial" w:hAnsi="Arial"/>
            <w:bCs/>
            <w:szCs w:val="24"/>
          </w:rPr>
          <w:t>https://www.gov.uk/local-authorities-and-the-green-deal</w:t>
        </w:r>
      </w:hyperlink>
    </w:p>
    <w:p w:rsidR="007719FF" w:rsidRPr="008A5812" w:rsidRDefault="007719FF" w:rsidP="00C32763">
      <w:pPr>
        <w:spacing w:before="0" w:after="0" w:line="240" w:lineRule="auto"/>
        <w:rPr>
          <w:b/>
          <w:bCs/>
          <w:szCs w:val="24"/>
        </w:rPr>
      </w:pPr>
      <w:r w:rsidRPr="008A5812">
        <w:rPr>
          <w:b/>
          <w:bCs/>
          <w:szCs w:val="24"/>
        </w:rPr>
        <w:br w:type="page"/>
      </w:r>
    </w:p>
    <w:p w:rsidR="0003252A" w:rsidRDefault="0003252A" w:rsidP="00300603">
      <w:pPr>
        <w:pStyle w:val="ChapterHead"/>
        <w:spacing w:before="0" w:after="0"/>
        <w:rPr>
          <w:rFonts w:cs="Arial"/>
          <w:szCs w:val="50"/>
        </w:rPr>
      </w:pPr>
      <w:bookmarkStart w:id="104" w:name="_Toc375046026"/>
      <w:r w:rsidRPr="008A5812">
        <w:rPr>
          <w:rFonts w:cs="Arial"/>
          <w:szCs w:val="50"/>
        </w:rPr>
        <w:t>A</w:t>
      </w:r>
      <w:r w:rsidR="000F3D99">
        <w:rPr>
          <w:rFonts w:cs="Arial"/>
          <w:szCs w:val="50"/>
        </w:rPr>
        <w:t>nnex B</w:t>
      </w:r>
      <w:r w:rsidRPr="008A5812">
        <w:rPr>
          <w:rFonts w:cs="Arial"/>
          <w:szCs w:val="50"/>
        </w:rPr>
        <w:t xml:space="preserve"> – Sources and Methodology</w:t>
      </w:r>
      <w:bookmarkEnd w:id="104"/>
    </w:p>
    <w:p w:rsidR="00300603" w:rsidRPr="00300603" w:rsidRDefault="00300603" w:rsidP="00300603">
      <w:pPr>
        <w:pStyle w:val="Introduction"/>
        <w:spacing w:before="0" w:after="0"/>
      </w:pPr>
    </w:p>
    <w:p w:rsidR="00C95448" w:rsidRPr="00300603" w:rsidRDefault="00C95448" w:rsidP="00C95448">
      <w:pPr>
        <w:pStyle w:val="Heading2"/>
        <w:spacing w:before="0" w:after="0"/>
      </w:pPr>
      <w:bookmarkStart w:id="105" w:name="_Toc375046027"/>
      <w:bookmarkStart w:id="106" w:name="OLE_LINK11"/>
      <w:r w:rsidRPr="00C06107">
        <w:t>Experimental Statistics</w:t>
      </w:r>
      <w:bookmarkEnd w:id="105"/>
      <w:r>
        <w:br/>
      </w:r>
    </w:p>
    <w:p w:rsidR="00C95448" w:rsidRDefault="00C95448" w:rsidP="00C95448">
      <w:pPr>
        <w:spacing w:before="0" w:after="0" w:line="270" w:lineRule="atLeast"/>
        <w:jc w:val="both"/>
        <w:rPr>
          <w:szCs w:val="24"/>
        </w:rPr>
      </w:pPr>
      <w:r w:rsidRPr="008A5812">
        <w:rPr>
          <w:szCs w:val="24"/>
        </w:rPr>
        <w:t>These estimates are released as Experimental Statistics which means they are official statistics undergoing an evaluation process prior to being assessed as Na</w:t>
      </w:r>
      <w:r w:rsidR="00C93928">
        <w:rPr>
          <w:szCs w:val="24"/>
        </w:rPr>
        <w:t>tional Statistics.</w:t>
      </w:r>
      <w:r w:rsidRPr="008A5812">
        <w:rPr>
          <w:szCs w:val="24"/>
        </w:rPr>
        <w:t xml:space="preserve"> They are published in order to involve users and stakeholders in their development, and as a means to build in quality assurance during development. </w:t>
      </w:r>
    </w:p>
    <w:p w:rsidR="00C724F6" w:rsidRDefault="00C724F6" w:rsidP="00C95448">
      <w:pPr>
        <w:spacing w:before="0" w:after="0" w:line="270" w:lineRule="atLeast"/>
        <w:jc w:val="both"/>
        <w:rPr>
          <w:szCs w:val="24"/>
        </w:rPr>
      </w:pPr>
    </w:p>
    <w:p w:rsidR="00C724F6" w:rsidRDefault="00C724F6" w:rsidP="00C724F6">
      <w:pPr>
        <w:spacing w:before="0" w:after="0" w:line="270" w:lineRule="atLeast"/>
        <w:jc w:val="both"/>
        <w:rPr>
          <w:color w:val="FF0000"/>
          <w:szCs w:val="24"/>
        </w:rPr>
      </w:pPr>
      <w:r w:rsidRPr="008A5812">
        <w:rPr>
          <w:szCs w:val="24"/>
        </w:rPr>
        <w:t xml:space="preserve">More information on the </w:t>
      </w:r>
      <w:r w:rsidRPr="00812F13">
        <w:rPr>
          <w:szCs w:val="24"/>
        </w:rPr>
        <w:t xml:space="preserve">methodology is </w:t>
      </w:r>
      <w:r w:rsidRPr="009079D3">
        <w:rPr>
          <w:szCs w:val="24"/>
        </w:rPr>
        <w:t xml:space="preserve">included </w:t>
      </w:r>
      <w:hyperlink r:id="rId73" w:history="1">
        <w:r w:rsidRPr="009079D3">
          <w:rPr>
            <w:rStyle w:val="Hyperlink"/>
            <w:rFonts w:ascii="Arial" w:hAnsi="Arial"/>
            <w:szCs w:val="24"/>
          </w:rPr>
          <w:t>here</w:t>
        </w:r>
      </w:hyperlink>
      <w:r w:rsidRPr="009079D3">
        <w:rPr>
          <w:szCs w:val="24"/>
        </w:rPr>
        <w:t>.</w:t>
      </w:r>
      <w:r w:rsidRPr="00300603">
        <w:rPr>
          <w:szCs w:val="24"/>
        </w:rPr>
        <w:t xml:space="preserve"> </w:t>
      </w:r>
    </w:p>
    <w:p w:rsidR="00C724F6" w:rsidRPr="008A5812" w:rsidRDefault="00C724F6" w:rsidP="00C724F6">
      <w:pPr>
        <w:spacing w:before="0" w:after="0" w:line="270" w:lineRule="atLeast"/>
        <w:jc w:val="both"/>
        <w:rPr>
          <w:szCs w:val="24"/>
        </w:rPr>
      </w:pPr>
    </w:p>
    <w:p w:rsidR="00C724F6" w:rsidRDefault="00C724F6" w:rsidP="00C724F6">
      <w:pPr>
        <w:spacing w:before="0" w:after="0" w:line="270" w:lineRule="atLeast"/>
        <w:jc w:val="both"/>
        <w:rPr>
          <w:szCs w:val="24"/>
        </w:rPr>
      </w:pPr>
      <w:r w:rsidRPr="008A5812">
        <w:rPr>
          <w:szCs w:val="24"/>
        </w:rPr>
        <w:t>As with any new data collection, there are likely to be some data quality issues to resolve as the process beds in. There</w:t>
      </w:r>
      <w:r w:rsidR="00C93928">
        <w:rPr>
          <w:szCs w:val="24"/>
        </w:rPr>
        <w:t>fore data in the monthly Green Deal and Energy Company Obligation (ECO)</w:t>
      </w:r>
      <w:r w:rsidR="00C93928" w:rsidRPr="008A5812">
        <w:rPr>
          <w:szCs w:val="24"/>
        </w:rPr>
        <w:t xml:space="preserve"> </w:t>
      </w:r>
      <w:r w:rsidR="00C93928">
        <w:rPr>
          <w:szCs w:val="24"/>
        </w:rPr>
        <w:t>releases</w:t>
      </w:r>
      <w:r w:rsidRPr="008A5812">
        <w:rPr>
          <w:szCs w:val="24"/>
        </w:rPr>
        <w:t xml:space="preserve"> should be treated as provisional and subject to revision. </w:t>
      </w:r>
    </w:p>
    <w:p w:rsidR="00C95448" w:rsidRDefault="00C95448" w:rsidP="00C95448">
      <w:pPr>
        <w:pStyle w:val="Heading2"/>
      </w:pPr>
      <w:bookmarkStart w:id="107" w:name="_Toc375046028"/>
      <w:r>
        <w:t>Green Deal and ECO estimates</w:t>
      </w:r>
      <w:bookmarkEnd w:id="107"/>
    </w:p>
    <w:p w:rsidR="00C95448" w:rsidRDefault="00C95448" w:rsidP="00C95448">
      <w:pPr>
        <w:spacing w:before="0" w:after="0" w:line="270" w:lineRule="atLeast"/>
        <w:jc w:val="both"/>
        <w:rPr>
          <w:szCs w:val="24"/>
        </w:rPr>
      </w:pPr>
    </w:p>
    <w:p w:rsidR="00C95448" w:rsidRDefault="00C95448" w:rsidP="00C95448">
      <w:pPr>
        <w:spacing w:before="0" w:after="0" w:line="270" w:lineRule="atLeast"/>
        <w:jc w:val="both"/>
        <w:rPr>
          <w:szCs w:val="24"/>
        </w:rPr>
      </w:pPr>
      <w:r w:rsidRPr="008A5812">
        <w:rPr>
          <w:szCs w:val="24"/>
        </w:rPr>
        <w:t>The estimates</w:t>
      </w:r>
      <w:r>
        <w:rPr>
          <w:szCs w:val="24"/>
        </w:rPr>
        <w:t xml:space="preserve"> </w:t>
      </w:r>
      <w:r w:rsidR="00C93928">
        <w:rPr>
          <w:szCs w:val="24"/>
        </w:rPr>
        <w:t>relating to the Green Deal and ECO</w:t>
      </w:r>
      <w:r w:rsidRPr="008A5812">
        <w:rPr>
          <w:szCs w:val="24"/>
        </w:rPr>
        <w:t xml:space="preserve"> in this and future Statistical Release</w:t>
      </w:r>
      <w:r>
        <w:rPr>
          <w:szCs w:val="24"/>
        </w:rPr>
        <w:t>s</w:t>
      </w:r>
      <w:r w:rsidRPr="008A5812">
        <w:rPr>
          <w:szCs w:val="24"/>
        </w:rPr>
        <w:t xml:space="preserve"> use administrative data generated as part of the Green Deal and </w:t>
      </w:r>
      <w:r>
        <w:rPr>
          <w:szCs w:val="24"/>
        </w:rPr>
        <w:t>ECO</w:t>
      </w:r>
      <w:r w:rsidRPr="008A5812">
        <w:rPr>
          <w:szCs w:val="24"/>
        </w:rPr>
        <w:t xml:space="preserve"> processes. </w:t>
      </w:r>
    </w:p>
    <w:p w:rsidR="00C95448" w:rsidRPr="008A5812" w:rsidRDefault="00C95448" w:rsidP="00C95448">
      <w:pPr>
        <w:spacing w:before="0" w:after="0" w:line="270" w:lineRule="atLeast"/>
        <w:jc w:val="both"/>
        <w:rPr>
          <w:szCs w:val="24"/>
        </w:rPr>
      </w:pPr>
    </w:p>
    <w:p w:rsidR="00D12323" w:rsidRDefault="00D12323" w:rsidP="00300603">
      <w:pPr>
        <w:spacing w:before="0" w:after="0" w:line="270" w:lineRule="atLeast"/>
        <w:jc w:val="both"/>
        <w:rPr>
          <w:szCs w:val="24"/>
        </w:rPr>
      </w:pPr>
      <w:r w:rsidRPr="008A5812">
        <w:rPr>
          <w:szCs w:val="24"/>
        </w:rPr>
        <w:t xml:space="preserve">There are seven main sources of information: </w:t>
      </w:r>
    </w:p>
    <w:p w:rsidR="00C95448" w:rsidRPr="008A5812" w:rsidRDefault="00C95448" w:rsidP="00300603">
      <w:pPr>
        <w:spacing w:before="0" w:after="0" w:line="270" w:lineRule="atLeast"/>
        <w:jc w:val="both"/>
        <w:rPr>
          <w:szCs w:val="24"/>
        </w:rPr>
      </w:pPr>
    </w:p>
    <w:p w:rsidR="00D12323" w:rsidRPr="008A5812" w:rsidRDefault="00D12323" w:rsidP="003C6A41">
      <w:pPr>
        <w:numPr>
          <w:ilvl w:val="0"/>
          <w:numId w:val="6"/>
        </w:numPr>
        <w:spacing w:before="0" w:line="270" w:lineRule="atLeast"/>
        <w:jc w:val="both"/>
        <w:rPr>
          <w:szCs w:val="24"/>
        </w:rPr>
      </w:pPr>
      <w:r w:rsidRPr="008A5812">
        <w:rPr>
          <w:szCs w:val="24"/>
        </w:rPr>
        <w:t xml:space="preserve">Landmark – who manage the national lodgement of Green Deal Assessments in England and Wales </w:t>
      </w:r>
    </w:p>
    <w:p w:rsidR="00D12323" w:rsidRPr="008A5812" w:rsidRDefault="00D12323" w:rsidP="003C6A41">
      <w:pPr>
        <w:numPr>
          <w:ilvl w:val="0"/>
          <w:numId w:val="6"/>
        </w:numPr>
        <w:spacing w:before="0" w:line="270" w:lineRule="atLeast"/>
        <w:jc w:val="both"/>
        <w:rPr>
          <w:szCs w:val="24"/>
        </w:rPr>
      </w:pPr>
      <w:r w:rsidRPr="008A5812">
        <w:rPr>
          <w:szCs w:val="24"/>
        </w:rPr>
        <w:t>Energy Savings Trust (EST) – who manage the national lodgement of Green Deal Assessments in Scotland</w:t>
      </w:r>
    </w:p>
    <w:p w:rsidR="00D12323" w:rsidRPr="008A5812" w:rsidRDefault="00D12323" w:rsidP="003C6A41">
      <w:pPr>
        <w:numPr>
          <w:ilvl w:val="0"/>
          <w:numId w:val="6"/>
        </w:numPr>
        <w:spacing w:before="0" w:line="270" w:lineRule="atLeast"/>
        <w:jc w:val="both"/>
        <w:rPr>
          <w:szCs w:val="24"/>
        </w:rPr>
      </w:pPr>
      <w:r w:rsidRPr="008A5812">
        <w:rPr>
          <w:szCs w:val="24"/>
        </w:rPr>
        <w:t>Green Deal Central Charge Database – which manages the recording and administration of Green Deal Plans</w:t>
      </w:r>
    </w:p>
    <w:p w:rsidR="00D12323" w:rsidRPr="008A5812" w:rsidRDefault="00D12323" w:rsidP="003C6A41">
      <w:pPr>
        <w:numPr>
          <w:ilvl w:val="0"/>
          <w:numId w:val="6"/>
        </w:numPr>
        <w:spacing w:before="0" w:line="270" w:lineRule="atLeast"/>
        <w:jc w:val="both"/>
        <w:rPr>
          <w:szCs w:val="24"/>
        </w:rPr>
      </w:pPr>
      <w:r w:rsidRPr="008A5812">
        <w:rPr>
          <w:szCs w:val="24"/>
        </w:rPr>
        <w:t>Ofgem – who administer the Energy Company Obligation and collect information from energy companies on measures installed under ECO.</w:t>
      </w:r>
    </w:p>
    <w:p w:rsidR="00D12323" w:rsidRPr="008A5812" w:rsidRDefault="00D12323" w:rsidP="003C6A41">
      <w:pPr>
        <w:numPr>
          <w:ilvl w:val="0"/>
          <w:numId w:val="6"/>
        </w:numPr>
        <w:spacing w:before="0" w:line="270" w:lineRule="atLeast"/>
        <w:jc w:val="both"/>
        <w:rPr>
          <w:szCs w:val="24"/>
        </w:rPr>
      </w:pPr>
      <w:r w:rsidRPr="008A5812">
        <w:rPr>
          <w:szCs w:val="24"/>
        </w:rPr>
        <w:t>The Green Deal Oversight and Regulation Body (ORB) – who administer the certification of GD organisations (including assessors, installers and providers)</w:t>
      </w:r>
    </w:p>
    <w:p w:rsidR="00D12323" w:rsidRPr="008A5812" w:rsidRDefault="00D12323" w:rsidP="003C6A41">
      <w:pPr>
        <w:numPr>
          <w:ilvl w:val="0"/>
          <w:numId w:val="6"/>
        </w:numPr>
        <w:spacing w:before="0" w:line="270" w:lineRule="atLeast"/>
        <w:jc w:val="both"/>
        <w:rPr>
          <w:szCs w:val="24"/>
        </w:rPr>
      </w:pPr>
      <w:r w:rsidRPr="008A5812">
        <w:rPr>
          <w:szCs w:val="24"/>
        </w:rPr>
        <w:t>Data on ECO brokerage is publically available following each auction.</w:t>
      </w:r>
    </w:p>
    <w:p w:rsidR="00D12323" w:rsidRPr="008A5812" w:rsidRDefault="00D12323" w:rsidP="007719FF">
      <w:pPr>
        <w:numPr>
          <w:ilvl w:val="0"/>
          <w:numId w:val="6"/>
        </w:numPr>
        <w:spacing w:before="0" w:line="276" w:lineRule="auto"/>
        <w:jc w:val="both"/>
        <w:rPr>
          <w:szCs w:val="24"/>
        </w:rPr>
      </w:pPr>
      <w:r w:rsidRPr="008A5812">
        <w:rPr>
          <w:szCs w:val="24"/>
        </w:rPr>
        <w:t xml:space="preserve">Capita – who administer the </w:t>
      </w:r>
      <w:hyperlink r:id="rId74" w:history="1">
        <w:r w:rsidRPr="008A5812">
          <w:rPr>
            <w:rStyle w:val="Hyperlink"/>
            <w:rFonts w:ascii="Arial" w:hAnsi="Arial"/>
            <w:szCs w:val="24"/>
          </w:rPr>
          <w:t>Green Deal Cashback Scheme</w:t>
        </w:r>
      </w:hyperlink>
    </w:p>
    <w:p w:rsidR="00D12323" w:rsidRPr="008A5812" w:rsidRDefault="00D12323" w:rsidP="00D12323">
      <w:pPr>
        <w:spacing w:after="0" w:line="270" w:lineRule="atLeast"/>
        <w:jc w:val="both"/>
        <w:rPr>
          <w:szCs w:val="24"/>
        </w:rPr>
      </w:pPr>
      <w:r w:rsidRPr="008A5812">
        <w:rPr>
          <w:szCs w:val="24"/>
        </w:rPr>
        <w:t>This report uses data from Landmark and the Energy Savings Trust for numbers of lodged Assessments</w:t>
      </w:r>
      <w:r w:rsidR="00AF2024">
        <w:rPr>
          <w:szCs w:val="24"/>
        </w:rPr>
        <w:t xml:space="preserve"> and on measures installed using Green Deal finance</w:t>
      </w:r>
      <w:r w:rsidRPr="008A5812">
        <w:rPr>
          <w:szCs w:val="24"/>
        </w:rPr>
        <w:t>, data from the Central Charge Database on Green Deal Plans, data from the Cashback Scheme Administrator on Cashback vouchers issued and measures installed, data from Ofgem on ECO measures, data from the ORB for the supply chain and the published data on ECO brokerage.</w:t>
      </w:r>
    </w:p>
    <w:p w:rsidR="00300603" w:rsidRDefault="00300603" w:rsidP="006D2B70">
      <w:pPr>
        <w:spacing w:before="0" w:after="0" w:line="270" w:lineRule="atLeast"/>
        <w:jc w:val="both"/>
        <w:rPr>
          <w:szCs w:val="24"/>
        </w:rPr>
      </w:pPr>
    </w:p>
    <w:p w:rsidR="00300603" w:rsidRDefault="00300603" w:rsidP="006D2B70">
      <w:pPr>
        <w:spacing w:before="0" w:after="0" w:line="270" w:lineRule="atLeast"/>
        <w:jc w:val="both"/>
        <w:rPr>
          <w:u w:val="single"/>
        </w:rPr>
      </w:pPr>
      <w:r w:rsidRPr="00CF3AFB">
        <w:rPr>
          <w:u w:val="single"/>
        </w:rPr>
        <w:t>Property Characteristics</w:t>
      </w:r>
    </w:p>
    <w:p w:rsidR="006D2B70" w:rsidRPr="00300603" w:rsidRDefault="006D2B70" w:rsidP="006D2B70">
      <w:pPr>
        <w:spacing w:before="0" w:after="0" w:line="270" w:lineRule="atLeast"/>
        <w:jc w:val="both"/>
        <w:rPr>
          <w:u w:val="single"/>
        </w:rPr>
      </w:pPr>
    </w:p>
    <w:p w:rsidR="00300603" w:rsidRDefault="00300603" w:rsidP="006D2B70">
      <w:pPr>
        <w:spacing w:before="0" w:after="0" w:line="270" w:lineRule="atLeast"/>
        <w:jc w:val="both"/>
      </w:pPr>
      <w:r>
        <w:t>Information relating to the characteristics of properties getting GD Assessments is taken from the Energy Performance Certificate relating to the GD Assessment. Properties</w:t>
      </w:r>
      <w:r w:rsidRPr="00C50423">
        <w:t xml:space="preserve"> can be built in a large variety of configurations. A basic divisi</w:t>
      </w:r>
      <w:r>
        <w:t>on is between free-standing or s</w:t>
      </w:r>
      <w:r w:rsidRPr="00C50423">
        <w:t xml:space="preserve">ingle-family houses and various types of attached or multi-user dwellings. Both sorts may vary greatly in scale and </w:t>
      </w:r>
      <w:r w:rsidRPr="00C50423">
        <w:lastRenderedPageBreak/>
        <w:t xml:space="preserve">amount of accommodation provided. </w:t>
      </w:r>
      <w:r>
        <w:t>M</w:t>
      </w:r>
      <w:r w:rsidRPr="00C50423">
        <w:t>any variations are purely matters of style rather than spatial arrangement or scale.</w:t>
      </w:r>
      <w:r>
        <w:t xml:space="preserve"> </w:t>
      </w:r>
    </w:p>
    <w:p w:rsidR="006D2B70" w:rsidRDefault="006D2B70" w:rsidP="006D2B70">
      <w:pPr>
        <w:spacing w:before="0" w:after="0" w:line="270" w:lineRule="atLeast"/>
        <w:jc w:val="both"/>
        <w:rPr>
          <w:u w:val="single"/>
        </w:rPr>
      </w:pPr>
    </w:p>
    <w:p w:rsidR="00300603" w:rsidRPr="00CF3AFB" w:rsidRDefault="00300603" w:rsidP="006D2B70">
      <w:pPr>
        <w:spacing w:before="0" w:after="0" w:line="270" w:lineRule="atLeast"/>
        <w:jc w:val="both"/>
        <w:rPr>
          <w:u w:val="single"/>
        </w:rPr>
      </w:pPr>
      <w:r w:rsidRPr="00CF3AFB">
        <w:rPr>
          <w:u w:val="single"/>
        </w:rPr>
        <w:t>Energy Efficiency Rating</w:t>
      </w:r>
    </w:p>
    <w:p w:rsidR="00300603" w:rsidRDefault="00300603" w:rsidP="006D2B70">
      <w:pPr>
        <w:spacing w:before="0" w:after="0" w:line="270" w:lineRule="atLeast"/>
        <w:jc w:val="both"/>
      </w:pPr>
    </w:p>
    <w:p w:rsidR="00300603" w:rsidRPr="008C7D29" w:rsidRDefault="00300603" w:rsidP="006D2B70">
      <w:pPr>
        <w:spacing w:before="0" w:after="0" w:line="240" w:lineRule="auto"/>
        <w:contextualSpacing/>
        <w:jc w:val="both"/>
      </w:pPr>
      <w:r w:rsidRPr="008C7D29">
        <w:t xml:space="preserve">The </w:t>
      </w:r>
      <w:r>
        <w:t>Energy Efficiency R</w:t>
      </w:r>
      <w:r w:rsidRPr="008C7D29">
        <w:t>ating</w:t>
      </w:r>
      <w:r>
        <w:t xml:space="preserve"> (EER)</w:t>
      </w:r>
      <w:r w:rsidRPr="008C7D29">
        <w:t xml:space="preserve"> is presented in an A-G banding system for an Energy Performance Certificate, where Band A rating represents low energy costs (i.e. the most efficient band) and Band G rating represents high energy costs (the least efficient band). </w:t>
      </w:r>
    </w:p>
    <w:p w:rsidR="00300603" w:rsidRDefault="00300603" w:rsidP="006D2B70">
      <w:pPr>
        <w:spacing w:before="0" w:after="0" w:line="270" w:lineRule="atLeast"/>
        <w:jc w:val="both"/>
      </w:pPr>
    </w:p>
    <w:p w:rsidR="00300603" w:rsidRPr="008C7D29" w:rsidRDefault="00300603" w:rsidP="006D2B70">
      <w:pPr>
        <w:spacing w:before="0" w:after="0" w:line="240" w:lineRule="auto"/>
        <w:contextualSpacing/>
        <w:jc w:val="both"/>
      </w:pPr>
      <w:r w:rsidRPr="008C7D29">
        <w:t>The EER bands based on SAP</w:t>
      </w:r>
      <w:r w:rsidRPr="008C7D29">
        <w:rPr>
          <w:vertAlign w:val="superscript"/>
        </w:rPr>
        <w:footnoteReference w:id="30"/>
      </w:r>
      <w:r w:rsidRPr="008C7D29">
        <w:t xml:space="preserve"> are:</w:t>
      </w:r>
    </w:p>
    <w:p w:rsidR="00300603" w:rsidRPr="008C7D29" w:rsidRDefault="00300603" w:rsidP="006D2B70">
      <w:pPr>
        <w:spacing w:before="0" w:after="0" w:line="240" w:lineRule="auto"/>
        <w:ind w:left="720"/>
        <w:contextualSpacing/>
        <w:jc w:val="both"/>
      </w:pPr>
    </w:p>
    <w:p w:rsidR="00300603" w:rsidRPr="008C7D29" w:rsidRDefault="00300603" w:rsidP="006D2B70">
      <w:pPr>
        <w:numPr>
          <w:ilvl w:val="0"/>
          <w:numId w:val="35"/>
        </w:numPr>
        <w:spacing w:before="0" w:after="0" w:line="240" w:lineRule="auto"/>
        <w:contextualSpacing/>
        <w:jc w:val="both"/>
      </w:pPr>
      <w:r w:rsidRPr="008C7D29">
        <w:t>Band A (92 plus)</w:t>
      </w:r>
    </w:p>
    <w:p w:rsidR="00300603" w:rsidRPr="008C7D29" w:rsidRDefault="00300603" w:rsidP="006D2B70">
      <w:pPr>
        <w:numPr>
          <w:ilvl w:val="0"/>
          <w:numId w:val="35"/>
        </w:numPr>
        <w:spacing w:before="0" w:after="0" w:line="240" w:lineRule="auto"/>
        <w:contextualSpacing/>
        <w:jc w:val="both"/>
      </w:pPr>
      <w:r w:rsidRPr="008C7D29">
        <w:t>Band B (81-91)</w:t>
      </w:r>
    </w:p>
    <w:p w:rsidR="00300603" w:rsidRPr="008C7D29" w:rsidRDefault="00300603" w:rsidP="006D2B70">
      <w:pPr>
        <w:numPr>
          <w:ilvl w:val="0"/>
          <w:numId w:val="35"/>
        </w:numPr>
        <w:spacing w:before="0" w:after="0" w:line="240" w:lineRule="auto"/>
        <w:contextualSpacing/>
        <w:jc w:val="both"/>
      </w:pPr>
      <w:r w:rsidRPr="008C7D29">
        <w:t>Band C (69-90)</w:t>
      </w:r>
    </w:p>
    <w:p w:rsidR="00300603" w:rsidRPr="008C7D29" w:rsidRDefault="00300603" w:rsidP="006D2B70">
      <w:pPr>
        <w:numPr>
          <w:ilvl w:val="0"/>
          <w:numId w:val="35"/>
        </w:numPr>
        <w:spacing w:before="0" w:after="0" w:line="240" w:lineRule="auto"/>
        <w:contextualSpacing/>
        <w:jc w:val="both"/>
      </w:pPr>
      <w:r w:rsidRPr="008C7D29">
        <w:t>Band D (55-68)</w:t>
      </w:r>
    </w:p>
    <w:p w:rsidR="00300603" w:rsidRPr="008C7D29" w:rsidRDefault="00300603" w:rsidP="006D2B70">
      <w:pPr>
        <w:numPr>
          <w:ilvl w:val="0"/>
          <w:numId w:val="35"/>
        </w:numPr>
        <w:spacing w:before="0" w:after="0" w:line="240" w:lineRule="auto"/>
        <w:contextualSpacing/>
        <w:jc w:val="both"/>
      </w:pPr>
      <w:r w:rsidRPr="008C7D29">
        <w:t>Band E (39-54)</w:t>
      </w:r>
    </w:p>
    <w:p w:rsidR="00300603" w:rsidRPr="008C7D29" w:rsidRDefault="00300603" w:rsidP="006D2B70">
      <w:pPr>
        <w:numPr>
          <w:ilvl w:val="0"/>
          <w:numId w:val="35"/>
        </w:numPr>
        <w:spacing w:before="0" w:after="0" w:line="240" w:lineRule="auto"/>
        <w:contextualSpacing/>
        <w:jc w:val="both"/>
      </w:pPr>
      <w:r w:rsidRPr="008C7D29">
        <w:t>Band F (21-38)</w:t>
      </w:r>
    </w:p>
    <w:p w:rsidR="00300603" w:rsidRPr="008C7D29" w:rsidRDefault="00300603" w:rsidP="006D2B70">
      <w:pPr>
        <w:numPr>
          <w:ilvl w:val="0"/>
          <w:numId w:val="35"/>
        </w:numPr>
        <w:spacing w:before="0" w:after="0" w:line="240" w:lineRule="auto"/>
        <w:contextualSpacing/>
        <w:jc w:val="both"/>
      </w:pPr>
      <w:r w:rsidRPr="008C7D29">
        <w:t>Band G (1-20)</w:t>
      </w:r>
    </w:p>
    <w:p w:rsidR="00300603" w:rsidRDefault="00300603" w:rsidP="006D2B70">
      <w:pPr>
        <w:spacing w:before="0" w:after="0" w:line="270" w:lineRule="atLeast"/>
        <w:jc w:val="both"/>
        <w:rPr>
          <w:szCs w:val="24"/>
        </w:rPr>
      </w:pPr>
    </w:p>
    <w:p w:rsidR="001B59B9" w:rsidRDefault="001B59B9" w:rsidP="001B59B9">
      <w:pPr>
        <w:pStyle w:val="Heading2"/>
      </w:pPr>
      <w:bookmarkStart w:id="108" w:name="_Toc375046029"/>
      <w:r>
        <w:t>Insulation statistics</w:t>
      </w:r>
      <w:bookmarkEnd w:id="108"/>
    </w:p>
    <w:p w:rsidR="006E309E" w:rsidRDefault="001B59B9" w:rsidP="006E309E">
      <w:pPr>
        <w:jc w:val="both"/>
      </w:pPr>
      <w:r>
        <w:t>The following</w:t>
      </w:r>
      <w:r w:rsidR="006E309E">
        <w:t xml:space="preserve"> types of insula</w:t>
      </w:r>
      <w:r>
        <w:t>tion which are included in the</w:t>
      </w:r>
      <w:r w:rsidR="006E309E">
        <w:t xml:space="preserve"> estimates of home insulation levels in Gre</w:t>
      </w:r>
      <w:r>
        <w:t>at Britain.</w:t>
      </w:r>
    </w:p>
    <w:p w:rsidR="0007309E" w:rsidRDefault="006E309E" w:rsidP="0007309E">
      <w:pPr>
        <w:spacing w:before="0" w:after="0" w:line="270" w:lineRule="exact"/>
        <w:jc w:val="both"/>
        <w:rPr>
          <w:u w:val="single"/>
        </w:rPr>
      </w:pPr>
      <w:r w:rsidRPr="00EA207E">
        <w:rPr>
          <w:u w:val="single"/>
        </w:rPr>
        <w:t>Cavity wall insulation</w:t>
      </w:r>
    </w:p>
    <w:p w:rsidR="0007309E" w:rsidRDefault="0007309E" w:rsidP="0007309E">
      <w:pPr>
        <w:spacing w:before="0" w:after="0" w:line="270" w:lineRule="exact"/>
        <w:jc w:val="both"/>
        <w:rPr>
          <w:u w:val="single"/>
        </w:rPr>
      </w:pPr>
    </w:p>
    <w:p w:rsidR="006E309E" w:rsidRDefault="0007309E" w:rsidP="0007309E">
      <w:pPr>
        <w:spacing w:before="0" w:after="0" w:line="270" w:lineRule="exact"/>
        <w:jc w:val="both"/>
      </w:pPr>
      <w:r w:rsidRPr="0007309E">
        <w:t>M</w:t>
      </w:r>
      <w:r w:rsidR="006E309E" w:rsidRPr="0007309E">
        <w:t>any homes</w:t>
      </w:r>
      <w:r w:rsidR="006E309E">
        <w:t xml:space="preserve"> built in Great Britain have external walls made up of an inner and outer wall with a small cavity in between.  These have been typical since the 1930s, but some older properties will also have them.  Cavity walls were used initially because they were cheaper (as the inner leaf could use non-decorative brick) and had a greater resistance to moisture moving from outside to inside.  The presence of a cavity also improves the thermal performance of the wall, especially if the cavity is insulated.  Since the mid-1980s, homes have been increasingly built with pre-insulated cavity walls, though the type of blockwork used for the inner leaf has also contributed to the improved thermal performance required by Building Regulations.</w:t>
      </w:r>
    </w:p>
    <w:p w:rsidR="0007309E" w:rsidRPr="0007309E" w:rsidRDefault="0007309E" w:rsidP="0007309E">
      <w:pPr>
        <w:spacing w:before="0" w:after="0" w:line="270" w:lineRule="exact"/>
        <w:jc w:val="both"/>
        <w:rPr>
          <w:u w:val="single"/>
        </w:rPr>
      </w:pPr>
    </w:p>
    <w:p w:rsidR="006E309E" w:rsidRDefault="006E309E" w:rsidP="0007309E">
      <w:pPr>
        <w:spacing w:before="0" w:after="0" w:line="270" w:lineRule="exact"/>
        <w:jc w:val="both"/>
        <w:rPr>
          <w:u w:val="single"/>
        </w:rPr>
      </w:pPr>
      <w:r w:rsidRPr="00EA207E">
        <w:rPr>
          <w:u w:val="single"/>
        </w:rPr>
        <w:t>Loft insulation</w:t>
      </w:r>
    </w:p>
    <w:p w:rsidR="0007309E" w:rsidRDefault="0007309E" w:rsidP="0007309E">
      <w:pPr>
        <w:spacing w:before="0" w:after="0" w:line="270" w:lineRule="exact"/>
        <w:jc w:val="both"/>
        <w:rPr>
          <w:u w:val="single"/>
        </w:rPr>
      </w:pPr>
    </w:p>
    <w:p w:rsidR="006E309E" w:rsidRDefault="006E309E" w:rsidP="0007309E">
      <w:pPr>
        <w:spacing w:before="0" w:after="0" w:line="270" w:lineRule="exact"/>
        <w:jc w:val="both"/>
      </w:pPr>
      <w:r>
        <w:t>Some loft insulation has been installed in new homes since 1965.  Current building regulations for new homes require a roof to have a thermal transmittance (U-value) of at least as low as 0.13 W/m²</w:t>
      </w:r>
      <w:r w:rsidRPr="00F107D0">
        <w:t>.K,</w:t>
      </w:r>
      <w:r>
        <w:t xml:space="preserve"> which would typically be achieved with 300mm of loft insulation.  There is a strong ‘diminishing returns’ effect with savings from increasing the depth of loft insulation, so the first inch gives about half the savings from full insulation.  Therefore, a threshold of 125mm is used in these statistics since homes with less than this would expect to see significant improvements in energy efficiency from a top-up.</w:t>
      </w:r>
    </w:p>
    <w:p w:rsidR="0007309E" w:rsidRDefault="0007309E" w:rsidP="0007309E">
      <w:pPr>
        <w:spacing w:before="0" w:after="0" w:line="270" w:lineRule="exact"/>
        <w:jc w:val="both"/>
      </w:pPr>
    </w:p>
    <w:p w:rsidR="006E309E" w:rsidRDefault="006E309E" w:rsidP="0007309E">
      <w:pPr>
        <w:spacing w:before="0" w:after="0" w:line="270" w:lineRule="exact"/>
        <w:jc w:val="both"/>
        <w:rPr>
          <w:u w:val="single"/>
        </w:rPr>
      </w:pPr>
      <w:r w:rsidRPr="00F107D0">
        <w:rPr>
          <w:u w:val="single"/>
        </w:rPr>
        <w:t>Solid wall insulation</w:t>
      </w:r>
    </w:p>
    <w:p w:rsidR="0007309E" w:rsidRPr="00F107D0" w:rsidRDefault="0007309E" w:rsidP="0007309E">
      <w:pPr>
        <w:spacing w:before="0" w:after="0" w:line="270" w:lineRule="exact"/>
        <w:jc w:val="both"/>
        <w:rPr>
          <w:u w:val="single"/>
        </w:rPr>
      </w:pPr>
    </w:p>
    <w:p w:rsidR="006E309E" w:rsidRDefault="006E309E" w:rsidP="0007309E">
      <w:pPr>
        <w:spacing w:before="0" w:after="0" w:line="270" w:lineRule="exact"/>
        <w:jc w:val="both"/>
        <w:rPr>
          <w:szCs w:val="50"/>
        </w:rPr>
      </w:pPr>
      <w:r>
        <w:t xml:space="preserve">It is possible to improve the thermal performance of solid walls by adding insulation either internally or externally.  There is a wide variety of technical solutions that can be used to insulate either the internal or external face of the wall.  Current building regulations require a </w:t>
      </w:r>
      <w:r>
        <w:lastRenderedPageBreak/>
        <w:t>target U-value of 0.35 W/m²</w:t>
      </w:r>
      <w:r w:rsidRPr="00F107D0">
        <w:t>.K</w:t>
      </w:r>
      <w:r>
        <w:t xml:space="preserve"> to be reached if this modification to the wall is made.  It is likely that installations of solid wall insulation before 2002 (i.e. before the first phase of the Energy Efficiency Commitment) may not achieve this level of thermal performance, so these are recorded separately in the statistics.</w:t>
      </w:r>
      <w:r>
        <w:rPr>
          <w:szCs w:val="50"/>
        </w:rPr>
        <w:t xml:space="preserve"> </w:t>
      </w:r>
    </w:p>
    <w:p w:rsidR="00C95448" w:rsidRDefault="00C95448" w:rsidP="0007309E">
      <w:pPr>
        <w:spacing w:before="0" w:after="0" w:line="270" w:lineRule="exact"/>
        <w:jc w:val="both"/>
        <w:rPr>
          <w:szCs w:val="50"/>
        </w:rPr>
      </w:pPr>
    </w:p>
    <w:p w:rsidR="008A0B43" w:rsidRDefault="009079D3" w:rsidP="009079D3">
      <w:pPr>
        <w:spacing w:after="0" w:line="270" w:lineRule="atLeast"/>
        <w:jc w:val="both"/>
      </w:pPr>
      <w:r>
        <w:t>A methodology note setting out how estimates of home insulation levels in Great Britain are produced is available at:</w:t>
      </w:r>
      <w:r w:rsidRPr="009079D3">
        <w:t xml:space="preserve"> </w:t>
      </w:r>
      <w:hyperlink r:id="rId75" w:history="1">
        <w:r w:rsidR="008A0B43" w:rsidRPr="005371DF">
          <w:rPr>
            <w:rStyle w:val="Hyperlink"/>
            <w:rFonts w:ascii="Arial" w:hAnsi="Arial"/>
          </w:rPr>
          <w:t>https://www.gov.uk/government/publications/home-insulation-levels-in-gb-methodology-note-for-statistical-releases</w:t>
        </w:r>
      </w:hyperlink>
    </w:p>
    <w:p w:rsidR="00C95448" w:rsidRPr="00D83C81" w:rsidRDefault="00C95448" w:rsidP="00C95448">
      <w:pPr>
        <w:pStyle w:val="Heading2"/>
      </w:pPr>
      <w:bookmarkStart w:id="109" w:name="_Toc375046030"/>
      <w:bookmarkEnd w:id="106"/>
      <w:r w:rsidRPr="00D83C81">
        <w:t>Revisions</w:t>
      </w:r>
      <w:bookmarkEnd w:id="109"/>
    </w:p>
    <w:p w:rsidR="00C95448" w:rsidRDefault="00C95448" w:rsidP="00C95448">
      <w:pPr>
        <w:spacing w:before="0" w:after="0" w:line="270" w:lineRule="atLeast"/>
        <w:jc w:val="both"/>
        <w:rPr>
          <w:szCs w:val="24"/>
        </w:rPr>
      </w:pPr>
      <w:r w:rsidRPr="00AA69EA">
        <w:rPr>
          <w:szCs w:val="24"/>
        </w:rPr>
        <w:t xml:space="preserve">On occasions, previously published data will need to be revised due to changes to source data, methodology or correcting of errors. </w:t>
      </w:r>
      <w:r>
        <w:rPr>
          <w:szCs w:val="24"/>
        </w:rPr>
        <w:t>Provisional data will be marked with a “p” in the tables and</w:t>
      </w:r>
      <w:r w:rsidRPr="008A5812">
        <w:rPr>
          <w:szCs w:val="24"/>
        </w:rPr>
        <w:t xml:space="preserve"> revisions will be </w:t>
      </w:r>
      <w:r w:rsidRPr="003657BE">
        <w:rPr>
          <w:szCs w:val="24"/>
        </w:rPr>
        <w:t>denoted with “r”</w:t>
      </w:r>
      <w:r w:rsidRPr="008A5812">
        <w:rPr>
          <w:szCs w:val="24"/>
        </w:rPr>
        <w:t xml:space="preserve"> in the data tables</w:t>
      </w:r>
      <w:r>
        <w:rPr>
          <w:szCs w:val="24"/>
        </w:rPr>
        <w:t>. Explanation will be provided for</w:t>
      </w:r>
      <w:r w:rsidRPr="008A5812">
        <w:rPr>
          <w:szCs w:val="24"/>
        </w:rPr>
        <w:t xml:space="preserve"> any significant revisions.</w:t>
      </w:r>
    </w:p>
    <w:p w:rsidR="0003252A" w:rsidRPr="00FB3E32" w:rsidRDefault="0003252A" w:rsidP="00FB3E32">
      <w:pPr>
        <w:pStyle w:val="Heading2"/>
      </w:pPr>
      <w:bookmarkStart w:id="110" w:name="_Toc372045048"/>
      <w:bookmarkStart w:id="111" w:name="_Toc372133531"/>
      <w:bookmarkStart w:id="112" w:name="_Toc375046031"/>
      <w:bookmarkEnd w:id="14"/>
      <w:r w:rsidRPr="00FB3E32">
        <w:t>Further Information and Feedback</w:t>
      </w:r>
      <w:bookmarkEnd w:id="110"/>
      <w:bookmarkEnd w:id="111"/>
      <w:bookmarkEnd w:id="112"/>
    </w:p>
    <w:p w:rsidR="00C95448" w:rsidRPr="008A5812" w:rsidRDefault="00C95448" w:rsidP="00C95448">
      <w:pPr>
        <w:pStyle w:val="Paragraphtext"/>
        <w:spacing w:before="0" w:after="0"/>
        <w:jc w:val="both"/>
        <w:rPr>
          <w:rFonts w:cs="Arial"/>
          <w:szCs w:val="24"/>
        </w:rPr>
      </w:pPr>
      <w:r w:rsidRPr="008A5812">
        <w:rPr>
          <w:rFonts w:cs="Arial"/>
          <w:szCs w:val="24"/>
        </w:rPr>
        <w:t>Any enquiries or comments in relation to this statistical release should be sent to DECC Statistic</w:t>
      </w:r>
      <w:r>
        <w:rPr>
          <w:rFonts w:cs="Arial"/>
          <w:szCs w:val="24"/>
        </w:rPr>
        <w:t>ian</w:t>
      </w:r>
      <w:r w:rsidRPr="008A5812">
        <w:rPr>
          <w:rFonts w:cs="Arial"/>
          <w:szCs w:val="24"/>
        </w:rPr>
        <w:t xml:space="preserve">s at the following email address: </w:t>
      </w:r>
      <w:hyperlink r:id="rId76" w:history="1">
        <w:r w:rsidRPr="008A5812">
          <w:rPr>
            <w:rStyle w:val="Hyperlink"/>
            <w:rFonts w:ascii="Arial" w:hAnsi="Arial" w:cs="Arial"/>
            <w:szCs w:val="24"/>
          </w:rPr>
          <w:t>EnergyEfficiency.Stats@decc.gsi.gov.uk</w:t>
        </w:r>
      </w:hyperlink>
      <w:r w:rsidRPr="008A5812">
        <w:rPr>
          <w:rFonts w:cs="Arial"/>
          <w:szCs w:val="24"/>
        </w:rPr>
        <w:t xml:space="preserve"> </w:t>
      </w:r>
    </w:p>
    <w:p w:rsidR="00D72894" w:rsidRPr="008A5812" w:rsidRDefault="00D72894" w:rsidP="00106DBE">
      <w:pPr>
        <w:pStyle w:val="Paragraphtext"/>
        <w:spacing w:before="0" w:after="0"/>
        <w:jc w:val="both"/>
        <w:rPr>
          <w:rFonts w:cs="Arial"/>
          <w:szCs w:val="24"/>
        </w:rPr>
      </w:pPr>
    </w:p>
    <w:p w:rsidR="00B35CEF" w:rsidRPr="008A5812" w:rsidRDefault="00B35CEF" w:rsidP="00106DBE">
      <w:pPr>
        <w:pStyle w:val="Paragraphtext"/>
        <w:spacing w:before="0" w:after="0"/>
        <w:jc w:val="both"/>
        <w:rPr>
          <w:rFonts w:cs="Arial"/>
          <w:szCs w:val="24"/>
        </w:rPr>
      </w:pPr>
      <w:r w:rsidRPr="008A5812">
        <w:rPr>
          <w:rFonts w:cs="Arial"/>
          <w:szCs w:val="24"/>
        </w:rPr>
        <w:t>C</w:t>
      </w:r>
      <w:r w:rsidR="00D72894" w:rsidRPr="008A5812">
        <w:rPr>
          <w:rFonts w:cs="Arial"/>
          <w:szCs w:val="24"/>
        </w:rPr>
        <w:t>ontact telephone: 0300 068 5202</w:t>
      </w:r>
    </w:p>
    <w:p w:rsidR="00D72894" w:rsidRPr="008A5812" w:rsidRDefault="00D72894" w:rsidP="00106DBE">
      <w:pPr>
        <w:pStyle w:val="Paragraphtext"/>
        <w:spacing w:before="0" w:after="0"/>
        <w:jc w:val="both"/>
        <w:rPr>
          <w:rFonts w:cs="Arial"/>
          <w:szCs w:val="24"/>
        </w:rPr>
      </w:pPr>
    </w:p>
    <w:p w:rsidR="00B35CEF" w:rsidRPr="008A5812" w:rsidRDefault="00B35CEF" w:rsidP="00106DBE">
      <w:pPr>
        <w:pStyle w:val="Paragraphtext"/>
        <w:spacing w:before="0" w:after="0"/>
        <w:jc w:val="both"/>
        <w:rPr>
          <w:rFonts w:cs="Arial"/>
          <w:szCs w:val="24"/>
        </w:rPr>
      </w:pPr>
      <w:r w:rsidRPr="008A5812">
        <w:rPr>
          <w:rFonts w:cs="Arial"/>
          <w:szCs w:val="24"/>
        </w:rPr>
        <w:t>The statistician responsible for this publication is Matt Walker.</w:t>
      </w:r>
    </w:p>
    <w:p w:rsidR="00D72894" w:rsidRPr="008A5812" w:rsidRDefault="00D72894" w:rsidP="00106DBE">
      <w:pPr>
        <w:pStyle w:val="Paragraphtext"/>
        <w:spacing w:before="0" w:after="0"/>
        <w:jc w:val="both"/>
        <w:rPr>
          <w:rFonts w:cs="Arial"/>
          <w:szCs w:val="24"/>
        </w:rPr>
      </w:pPr>
    </w:p>
    <w:p w:rsidR="00106DBE" w:rsidRDefault="00B35CEF" w:rsidP="00106DBE">
      <w:pPr>
        <w:pStyle w:val="Paragraphtext"/>
        <w:spacing w:before="0" w:after="0"/>
        <w:jc w:val="both"/>
        <w:rPr>
          <w:rFonts w:cs="Arial"/>
          <w:szCs w:val="24"/>
        </w:rPr>
      </w:pPr>
      <w:r w:rsidRPr="008A5812">
        <w:rPr>
          <w:rFonts w:cs="Arial"/>
          <w:szCs w:val="24"/>
        </w:rPr>
        <w:t xml:space="preserve">Further information on energy statistics is available at </w:t>
      </w:r>
    </w:p>
    <w:p w:rsidR="00B35CEF" w:rsidRPr="008A5812" w:rsidRDefault="0012033E" w:rsidP="00106DBE">
      <w:pPr>
        <w:pStyle w:val="Paragraphtext"/>
        <w:spacing w:before="0" w:after="0"/>
        <w:jc w:val="both"/>
        <w:rPr>
          <w:rFonts w:cs="Arial"/>
          <w:szCs w:val="24"/>
        </w:rPr>
      </w:pPr>
      <w:hyperlink r:id="rId77" w:history="1">
        <w:r w:rsidR="00B35CEF" w:rsidRPr="008A5812">
          <w:rPr>
            <w:rStyle w:val="Hyperlink"/>
            <w:rFonts w:ascii="Arial" w:hAnsi="Arial" w:cs="Arial"/>
            <w:szCs w:val="24"/>
          </w:rPr>
          <w:t>https://www.gov.uk/government/organisations/department-of-energy-climate-change/about/statistics</w:t>
        </w:r>
      </w:hyperlink>
      <w:r w:rsidR="00B35CEF" w:rsidRPr="008A5812">
        <w:rPr>
          <w:rFonts w:cs="Arial"/>
          <w:szCs w:val="24"/>
        </w:rPr>
        <w:t xml:space="preserve"> </w:t>
      </w:r>
    </w:p>
    <w:p w:rsidR="00B35CEF" w:rsidRPr="008A5812" w:rsidRDefault="00B35CEF" w:rsidP="00106DBE">
      <w:pPr>
        <w:pStyle w:val="Heading2"/>
        <w:jc w:val="both"/>
      </w:pPr>
      <w:bookmarkStart w:id="113" w:name="_Toc375046032"/>
      <w:r w:rsidRPr="008A5812">
        <w:t>Next Release</w:t>
      </w:r>
      <w:bookmarkEnd w:id="113"/>
    </w:p>
    <w:p w:rsidR="00D72894" w:rsidRPr="008A5812" w:rsidRDefault="00D72894" w:rsidP="00106DBE">
      <w:pPr>
        <w:pStyle w:val="Paragraphtext"/>
        <w:spacing w:before="0" w:after="0"/>
        <w:jc w:val="both"/>
        <w:rPr>
          <w:rFonts w:cs="Arial"/>
          <w:szCs w:val="24"/>
        </w:rPr>
      </w:pPr>
    </w:p>
    <w:p w:rsidR="00A56350" w:rsidRDefault="00DC1A45" w:rsidP="00A56350">
      <w:pPr>
        <w:pStyle w:val="Paragraphtext"/>
        <w:spacing w:before="0" w:after="0"/>
        <w:jc w:val="both"/>
      </w:pPr>
      <w:r>
        <w:t>The nex</w:t>
      </w:r>
      <w:r w:rsidR="000D0C4C">
        <w:t xml:space="preserve">t quarterly publication is </w:t>
      </w:r>
      <w:r>
        <w:t xml:space="preserve">planned for publication at 9.30am on </w:t>
      </w:r>
      <w:r>
        <w:rPr>
          <w:b/>
          <w:bCs/>
        </w:rPr>
        <w:t>20 March 2013</w:t>
      </w:r>
      <w:r>
        <w:t xml:space="preserve"> and will contain more detailed information on activity up to the end of December, including geographic breakdowns of Green Deal Assessments and ECO measures. We will look to include estimates of measures installed through alternative finance mechanisms if we have sufficiently robust evidence. We are also currently investigating whether it would be suitable to publish sub-Local Authority data as part of this quarterly release series.</w:t>
      </w:r>
    </w:p>
    <w:p w:rsidR="00DC1A45" w:rsidRDefault="00DC1A45" w:rsidP="00A56350">
      <w:pPr>
        <w:pStyle w:val="Paragraphtext"/>
        <w:spacing w:before="0" w:after="0"/>
        <w:jc w:val="both"/>
      </w:pPr>
    </w:p>
    <w:p w:rsidR="00DC1A45" w:rsidRPr="008A5812" w:rsidRDefault="00DC1A45" w:rsidP="00A56350">
      <w:pPr>
        <w:pStyle w:val="Paragraphtext"/>
        <w:spacing w:before="0" w:after="0"/>
        <w:jc w:val="both"/>
        <w:rPr>
          <w:rFonts w:cs="Arial"/>
        </w:rPr>
        <w:sectPr w:rsidR="00DC1A45" w:rsidRPr="008A5812" w:rsidSect="00496EA9">
          <w:headerReference w:type="even" r:id="rId78"/>
          <w:headerReference w:type="default" r:id="rId79"/>
          <w:headerReference w:type="first" r:id="rId80"/>
          <w:pgSz w:w="11906" w:h="16838" w:code="9"/>
          <w:pgMar w:top="1134" w:right="851" w:bottom="851" w:left="851" w:header="567" w:footer="567" w:gutter="0"/>
          <w:cols w:space="720"/>
          <w:formProt w:val="0"/>
          <w:titlePg/>
        </w:sectPr>
      </w:pPr>
    </w:p>
    <w:p w:rsidR="008A5812" w:rsidRPr="00300F50" w:rsidRDefault="00647603" w:rsidP="00647603">
      <w:pPr>
        <w:pStyle w:val="Paragraphtext"/>
        <w:spacing w:line="240" w:lineRule="auto"/>
        <w:rPr>
          <w:rFonts w:cs="Arial"/>
          <w:color w:val="FFFFFF"/>
          <w:sz w:val="28"/>
          <w:szCs w:val="28"/>
        </w:rPr>
      </w:pPr>
      <w:r w:rsidRPr="00300F50">
        <w:rPr>
          <w:rFonts w:cs="Arial"/>
          <w:color w:val="FFFFFF"/>
          <w:sz w:val="28"/>
          <w:szCs w:val="28"/>
        </w:rPr>
        <w:lastRenderedPageBreak/>
        <w:t xml:space="preserve">© Crown copyright </w:t>
      </w:r>
      <w:r w:rsidR="000C27CC" w:rsidRPr="00300F50">
        <w:rPr>
          <w:rFonts w:cs="Arial"/>
          <w:color w:val="FFFFFF"/>
          <w:sz w:val="28"/>
          <w:szCs w:val="28"/>
        </w:rPr>
        <w:t>2013</w:t>
      </w:r>
    </w:p>
    <w:p w:rsidR="00647603" w:rsidRPr="00300F50" w:rsidRDefault="00647603" w:rsidP="00647603">
      <w:pPr>
        <w:pStyle w:val="Paragraphtext"/>
        <w:spacing w:line="240" w:lineRule="auto"/>
        <w:rPr>
          <w:rFonts w:cs="Arial"/>
          <w:color w:val="FFFFFF"/>
          <w:sz w:val="28"/>
          <w:szCs w:val="28"/>
        </w:rPr>
      </w:pPr>
      <w:r w:rsidRPr="00300F50">
        <w:rPr>
          <w:rFonts w:cs="Arial"/>
          <w:color w:val="FFFFFF"/>
          <w:sz w:val="28"/>
          <w:szCs w:val="28"/>
        </w:rPr>
        <w:t>Department of Energy &amp; Climate Change</w:t>
      </w:r>
    </w:p>
    <w:p w:rsidR="00647603" w:rsidRPr="00300F50" w:rsidRDefault="00647603" w:rsidP="00647603">
      <w:pPr>
        <w:pStyle w:val="Paragraphtext"/>
        <w:spacing w:line="240" w:lineRule="auto"/>
        <w:rPr>
          <w:rFonts w:cs="Arial"/>
          <w:color w:val="FFFFFF"/>
          <w:sz w:val="28"/>
          <w:szCs w:val="28"/>
        </w:rPr>
      </w:pPr>
      <w:r w:rsidRPr="00300F50">
        <w:rPr>
          <w:rFonts w:cs="Arial"/>
          <w:color w:val="FFFFFF"/>
          <w:sz w:val="28"/>
          <w:szCs w:val="28"/>
        </w:rPr>
        <w:t>3 Whitehall Place</w:t>
      </w:r>
    </w:p>
    <w:p w:rsidR="00647603" w:rsidRPr="00300F50" w:rsidRDefault="00647603" w:rsidP="00647603">
      <w:pPr>
        <w:pStyle w:val="Paragraphtext"/>
        <w:spacing w:line="240" w:lineRule="auto"/>
        <w:rPr>
          <w:rFonts w:cs="Arial"/>
          <w:color w:val="FFFFFF"/>
          <w:sz w:val="28"/>
          <w:szCs w:val="28"/>
        </w:rPr>
      </w:pPr>
      <w:r w:rsidRPr="00300F50">
        <w:rPr>
          <w:rFonts w:cs="Arial"/>
          <w:color w:val="FFFFFF"/>
          <w:sz w:val="28"/>
          <w:szCs w:val="28"/>
        </w:rPr>
        <w:t>London SW1A 2AW</w:t>
      </w:r>
    </w:p>
    <w:p w:rsidR="00647603" w:rsidRPr="00300F50" w:rsidRDefault="0012033E" w:rsidP="00647603">
      <w:pPr>
        <w:pStyle w:val="Paragraphtext"/>
        <w:spacing w:line="240" w:lineRule="auto"/>
        <w:rPr>
          <w:rFonts w:cs="Arial"/>
          <w:color w:val="FFFFFF"/>
          <w:sz w:val="28"/>
          <w:szCs w:val="28"/>
        </w:rPr>
      </w:pPr>
      <w:hyperlink r:id="rId81" w:history="1">
        <w:r w:rsidR="00647603" w:rsidRPr="008A5812">
          <w:rPr>
            <w:rStyle w:val="Hyperlink"/>
            <w:rFonts w:ascii="Arial" w:hAnsi="Arial" w:cs="Arial"/>
            <w:sz w:val="28"/>
            <w:szCs w:val="28"/>
          </w:rPr>
          <w:t>www.gov.uk/decc</w:t>
        </w:r>
      </w:hyperlink>
      <w:r w:rsidR="00647603" w:rsidRPr="00300F50">
        <w:rPr>
          <w:rFonts w:cs="Arial"/>
          <w:color w:val="FFFFFF"/>
          <w:sz w:val="28"/>
          <w:szCs w:val="28"/>
        </w:rPr>
        <w:t xml:space="preserve"> </w:t>
      </w:r>
    </w:p>
    <w:p w:rsidR="00647603" w:rsidRPr="00300F50" w:rsidRDefault="00647603" w:rsidP="00647603">
      <w:pPr>
        <w:pStyle w:val="Paragraphtext"/>
        <w:spacing w:line="240" w:lineRule="auto"/>
        <w:rPr>
          <w:rFonts w:cs="Arial"/>
          <w:color w:val="FFFFFF"/>
          <w:sz w:val="28"/>
          <w:szCs w:val="28"/>
        </w:rPr>
      </w:pPr>
    </w:p>
    <w:sectPr w:rsidR="00647603" w:rsidRPr="00300F50" w:rsidSect="00647603">
      <w:headerReference w:type="even" r:id="rId82"/>
      <w:headerReference w:type="default" r:id="rId83"/>
      <w:headerReference w:type="first" r:id="rId84"/>
      <w:footerReference w:type="first" r:id="rId85"/>
      <w:pgSz w:w="11906" w:h="16838" w:code="9"/>
      <w:pgMar w:top="12474" w:right="851" w:bottom="851" w:left="851" w:header="567" w:footer="567"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033E" w:rsidRDefault="0012033E">
      <w:r>
        <w:separator/>
      </w:r>
    </w:p>
  </w:endnote>
  <w:endnote w:type="continuationSeparator" w:id="0">
    <w:p w:rsidR="0012033E" w:rsidRDefault="001203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Neue">
    <w:altName w:val="Malgun Gothic"/>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33E" w:rsidRDefault="0012033E" w:rsidP="00FB25A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E226F">
      <w:rPr>
        <w:rStyle w:val="PageNumber"/>
        <w:noProof/>
      </w:rPr>
      <w:t>32</w:t>
    </w:r>
    <w:r>
      <w:rPr>
        <w:rStyle w:val="PageNumber"/>
      </w:rPr>
      <w:fldChar w:fldCharType="end"/>
    </w:r>
  </w:p>
  <w:p w:rsidR="0012033E" w:rsidRDefault="0012033E">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33E" w:rsidRPr="008B74D5" w:rsidRDefault="0012033E" w:rsidP="008B74D5">
    <w:pPr>
      <w:pStyle w:val="Footer"/>
    </w:pPr>
    <w:r>
      <w:fldChar w:fldCharType="begin"/>
    </w:r>
    <w:r>
      <w:instrText xml:space="preserve"> PAGE </w:instrText>
    </w:r>
    <w:r>
      <w:fldChar w:fldCharType="separate"/>
    </w:r>
    <w:r w:rsidR="001E226F">
      <w:rPr>
        <w:noProof/>
      </w:rPr>
      <w:t>33</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33E" w:rsidRDefault="0012033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33E" w:rsidRDefault="0012033E" w:rsidP="008B74D5">
    <w:pPr>
      <w:pStyle w:val="Footer"/>
    </w:pPr>
    <w:r>
      <w:fldChar w:fldCharType="begin"/>
    </w:r>
    <w:r>
      <w:instrText xml:space="preserve"> PAGE </w:instrText>
    </w:r>
    <w:r>
      <w:fldChar w:fldCharType="separate"/>
    </w:r>
    <w:r w:rsidR="001E226F">
      <w:rPr>
        <w:noProof/>
      </w:rPr>
      <w:t>3</w:t>
    </w:r>
    <w:r>
      <w:fldChar w:fldCharType="end"/>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33E" w:rsidRDefault="0012033E" w:rsidP="008B74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033E" w:rsidRPr="00D85261" w:rsidRDefault="0012033E" w:rsidP="00D85261">
      <w:pPr>
        <w:pBdr>
          <w:top w:val="single" w:sz="6" w:space="1" w:color="auto"/>
        </w:pBdr>
        <w:spacing w:after="0" w:line="240" w:lineRule="auto"/>
        <w:rPr>
          <w:sz w:val="16"/>
          <w:szCs w:val="16"/>
        </w:rPr>
      </w:pPr>
    </w:p>
  </w:footnote>
  <w:footnote w:type="continuationSeparator" w:id="0">
    <w:p w:rsidR="0012033E" w:rsidRDefault="0012033E">
      <w:r>
        <w:continuationSeparator/>
      </w:r>
    </w:p>
  </w:footnote>
  <w:footnote w:id="1">
    <w:p w:rsidR="0012033E" w:rsidRPr="00AE5C27" w:rsidRDefault="0012033E" w:rsidP="00291E07">
      <w:pPr>
        <w:pStyle w:val="NoSpacing"/>
        <w:jc w:val="both"/>
        <w:rPr>
          <w:rFonts w:ascii="Arial" w:hAnsi="Arial" w:cs="Arial"/>
          <w:sz w:val="20"/>
          <w:szCs w:val="20"/>
        </w:rPr>
      </w:pPr>
      <w:r w:rsidRPr="00AE5C27">
        <w:rPr>
          <w:rStyle w:val="FootnoteReference"/>
          <w:rFonts w:ascii="Arial" w:hAnsi="Arial" w:cs="Arial"/>
          <w:sz w:val="20"/>
          <w:szCs w:val="20"/>
        </w:rPr>
        <w:footnoteRef/>
      </w:r>
      <w:r w:rsidRPr="00AE5C27">
        <w:rPr>
          <w:rFonts w:ascii="Arial" w:hAnsi="Arial" w:cs="Arial"/>
          <w:sz w:val="20"/>
          <w:szCs w:val="20"/>
        </w:rPr>
        <w:t xml:space="preserve"> </w:t>
      </w:r>
      <w:hyperlink r:id="rId1" w:history="1">
        <w:r w:rsidRPr="00AE5C27">
          <w:rPr>
            <w:rStyle w:val="Hyperlink"/>
            <w:rFonts w:ascii="Arial" w:hAnsi="Arial" w:cs="Arial"/>
            <w:sz w:val="20"/>
            <w:szCs w:val="20"/>
          </w:rPr>
          <w:t>https://www.gov.uk/government/uploads/system/uploads/attachment_data/file/47961/decc-business-plan-2011-2015.pdf</w:t>
        </w:r>
      </w:hyperlink>
    </w:p>
  </w:footnote>
  <w:footnote w:id="2">
    <w:p w:rsidR="0012033E" w:rsidRPr="009F01D4" w:rsidRDefault="0012033E" w:rsidP="00C453CE">
      <w:pPr>
        <w:pStyle w:val="FootnoteText"/>
        <w:spacing w:after="0"/>
      </w:pPr>
      <w:r w:rsidRPr="009F01D4">
        <w:rPr>
          <w:rStyle w:val="FootnoteReference"/>
        </w:rPr>
        <w:footnoteRef/>
      </w:r>
      <w:r w:rsidRPr="009F01D4">
        <w:t xml:space="preserve"> English Housing Survey, Headline Report 2011-12, Annex Table 16</w:t>
      </w:r>
    </w:p>
    <w:p w:rsidR="0012033E" w:rsidRPr="0017774D" w:rsidRDefault="0012033E" w:rsidP="00C453CE">
      <w:pPr>
        <w:pStyle w:val="FootnoteText"/>
        <w:spacing w:after="0"/>
        <w:rPr>
          <w:sz w:val="18"/>
          <w:szCs w:val="18"/>
        </w:rPr>
      </w:pPr>
      <w:hyperlink r:id="rId2" w:history="1">
        <w:r w:rsidRPr="009F01D4">
          <w:rPr>
            <w:rStyle w:val="Hyperlink"/>
            <w:rFonts w:ascii="Arial" w:hAnsi="Arial"/>
            <w:sz w:val="20"/>
          </w:rPr>
          <w:t>https://www.gov.uk/government/collections/green-deal-and-energy-company-obligation-eco-statistics</w:t>
        </w:r>
      </w:hyperlink>
    </w:p>
  </w:footnote>
  <w:footnote w:id="3">
    <w:p w:rsidR="0012033E" w:rsidRPr="00AE5C27" w:rsidRDefault="0012033E" w:rsidP="00C453CE">
      <w:pPr>
        <w:pStyle w:val="FootnoteText"/>
        <w:jc w:val="both"/>
      </w:pPr>
      <w:r w:rsidRPr="00AE5C27">
        <w:rPr>
          <w:rStyle w:val="FootnoteReference"/>
        </w:rPr>
        <w:footnoteRef/>
      </w:r>
      <w:r w:rsidRPr="00AE5C27">
        <w:t xml:space="preserve"> The equivalent split is not available for Welsh properties, which make up around 6 per cent of the housing stock in Engl</w:t>
      </w:r>
      <w:r>
        <w:t>and and Wales</w:t>
      </w:r>
    </w:p>
  </w:footnote>
  <w:footnote w:id="4">
    <w:p w:rsidR="0012033E" w:rsidRPr="0017774D" w:rsidRDefault="0012033E" w:rsidP="00C453CE">
      <w:pPr>
        <w:pStyle w:val="FootnoteText"/>
        <w:rPr>
          <w:sz w:val="18"/>
          <w:szCs w:val="18"/>
        </w:rPr>
      </w:pPr>
      <w:r w:rsidRPr="00AE5C27">
        <w:rPr>
          <w:rStyle w:val="FootnoteReference"/>
        </w:rPr>
        <w:footnoteRef/>
      </w:r>
      <w:r w:rsidRPr="00AE5C27">
        <w:t xml:space="preserve"> DCLG, English Housing Survey, Headline Report 2011-12, Annex Table 1.4 </w:t>
      </w:r>
      <w:hyperlink r:id="rId3" w:history="1">
        <w:r w:rsidRPr="00AE5C27">
          <w:rPr>
            <w:rStyle w:val="Hyperlink"/>
            <w:rFonts w:ascii="Arial" w:hAnsi="Arial"/>
            <w:sz w:val="20"/>
          </w:rPr>
          <w:t>https://www.gov.uk/government/uploads/system/uploads/attachment_data/file/211224/Chapter_1_Tables__Figures_and_Annex_Tables.xls</w:t>
        </w:r>
      </w:hyperlink>
    </w:p>
  </w:footnote>
  <w:footnote w:id="5">
    <w:p w:rsidR="0012033E" w:rsidRPr="00AE5C27" w:rsidRDefault="0012033E" w:rsidP="00C453CE">
      <w:pPr>
        <w:pStyle w:val="FootnoteText"/>
      </w:pPr>
      <w:r w:rsidRPr="00AE5C27">
        <w:rPr>
          <w:rStyle w:val="FootnoteReference"/>
        </w:rPr>
        <w:footnoteRef/>
      </w:r>
      <w:r w:rsidRPr="00AE5C27">
        <w:t xml:space="preserve"> DCLG</w:t>
      </w:r>
      <w:r>
        <w:t>, Live tables on dwelling stock</w:t>
      </w:r>
      <w:r w:rsidRPr="00AE5C27">
        <w:t>,</w:t>
      </w:r>
      <w:r>
        <w:t xml:space="preserve"> </w:t>
      </w:r>
      <w:r w:rsidRPr="00AE5C27">
        <w:t xml:space="preserve">by </w:t>
      </w:r>
      <w:r>
        <w:t>tenure, Great Britain Table 102</w:t>
      </w:r>
      <w:r w:rsidRPr="00AE5C27">
        <w:t xml:space="preserve"> </w:t>
      </w:r>
      <w:hyperlink r:id="rId4" w:history="1">
        <w:r w:rsidRPr="00AE5C27">
          <w:rPr>
            <w:rStyle w:val="Hyperlink"/>
            <w:rFonts w:ascii="Arial" w:hAnsi="Arial"/>
            <w:sz w:val="20"/>
          </w:rPr>
          <w:t>https://www.gov.uk/government/statistical-data-sets/live-tables-on-dwelling-stock-including-vacants</w:t>
        </w:r>
      </w:hyperlink>
      <w:r w:rsidRPr="00AE5C27">
        <w:t xml:space="preserve"> </w:t>
      </w:r>
    </w:p>
  </w:footnote>
  <w:footnote w:id="6">
    <w:p w:rsidR="0012033E" w:rsidRPr="00AE5C27" w:rsidRDefault="0012033E" w:rsidP="00C453CE">
      <w:pPr>
        <w:pStyle w:val="FootnoteText"/>
      </w:pPr>
      <w:r w:rsidRPr="00AE5C27">
        <w:rPr>
          <w:rStyle w:val="FootnoteReference"/>
        </w:rPr>
        <w:footnoteRef/>
      </w:r>
      <w:r w:rsidRPr="00AE5C27">
        <w:t xml:space="preserve"> Off-Grid Energy, An OFT market study, October 2011, Off-grid populations by nation, Table 3.1 </w:t>
      </w:r>
      <w:hyperlink r:id="rId5" w:history="1">
        <w:r w:rsidRPr="00AE5C27">
          <w:rPr>
            <w:rStyle w:val="Hyperlink"/>
            <w:rFonts w:ascii="Arial" w:hAnsi="Arial"/>
            <w:sz w:val="20"/>
          </w:rPr>
          <w:t>http://www.oft.gov.uk/shared_oft/market-studies/off-grid/OFT1380.pdf</w:t>
        </w:r>
      </w:hyperlink>
      <w:r w:rsidRPr="00AE5C27">
        <w:t xml:space="preserve"> </w:t>
      </w:r>
    </w:p>
  </w:footnote>
  <w:footnote w:id="7">
    <w:p w:rsidR="0012033E" w:rsidRDefault="0012033E" w:rsidP="001D741A">
      <w:pPr>
        <w:pStyle w:val="FootnoteText"/>
        <w:jc w:val="both"/>
      </w:pPr>
      <w:r>
        <w:rPr>
          <w:rStyle w:val="FootnoteReference"/>
        </w:rPr>
        <w:footnoteRef/>
      </w:r>
      <w:r>
        <w:t xml:space="preserve"> </w:t>
      </w:r>
      <w:r w:rsidRPr="00382423">
        <w:t>This includes a number of measures which were also reported as ECO measures.</w:t>
      </w:r>
    </w:p>
  </w:footnote>
  <w:footnote w:id="8">
    <w:p w:rsidR="0012033E" w:rsidRDefault="0012033E" w:rsidP="001D741A">
      <w:pPr>
        <w:pStyle w:val="FootnoteText"/>
        <w:jc w:val="both"/>
      </w:pPr>
      <w:r>
        <w:rPr>
          <w:rStyle w:val="FootnoteReference"/>
        </w:rPr>
        <w:footnoteRef/>
      </w:r>
      <w:r>
        <w:t xml:space="preserve"> This includes a small number of properties where the Cashback payment was made in October 2013 but the measures were installed before the end of September 2013.</w:t>
      </w:r>
    </w:p>
  </w:footnote>
  <w:footnote w:id="9">
    <w:p w:rsidR="0012033E" w:rsidRPr="00FE6485" w:rsidRDefault="0012033E" w:rsidP="001D741A">
      <w:pPr>
        <w:pStyle w:val="FootnoteText"/>
        <w:jc w:val="both"/>
      </w:pPr>
      <w:r w:rsidRPr="00FE6485">
        <w:rPr>
          <w:rStyle w:val="FootnoteReference"/>
        </w:rPr>
        <w:footnoteRef/>
      </w:r>
      <w:r w:rsidRPr="00FE6485">
        <w:t xml:space="preserve"> These figures only present breakdowns for England and Wales. A</w:t>
      </w:r>
      <w:r w:rsidRPr="00FE6485">
        <w:rPr>
          <w:iCs/>
          <w:color w:val="000000"/>
        </w:rPr>
        <w:t xml:space="preserve"> separate Cashback scheme operates in Scotland (see </w:t>
      </w:r>
      <w:hyperlink r:id="rId6" w:history="1">
        <w:r w:rsidRPr="00FE6485">
          <w:rPr>
            <w:rStyle w:val="Hyperlink"/>
            <w:rFonts w:ascii="Arial" w:hAnsi="Arial"/>
            <w:iCs/>
            <w:sz w:val="20"/>
          </w:rPr>
          <w:t>website</w:t>
        </w:r>
      </w:hyperlink>
      <w:r w:rsidRPr="00FE6485">
        <w:rPr>
          <w:iCs/>
          <w:color w:val="000000"/>
        </w:rPr>
        <w:t>).</w:t>
      </w:r>
    </w:p>
  </w:footnote>
  <w:footnote w:id="10">
    <w:p w:rsidR="0012033E" w:rsidRPr="007C5903" w:rsidRDefault="0012033E" w:rsidP="007C5903">
      <w:pPr>
        <w:pStyle w:val="FootnoteText"/>
        <w:spacing w:after="120"/>
        <w:jc w:val="both"/>
      </w:pPr>
      <w:r w:rsidRPr="007C5903">
        <w:rPr>
          <w:rStyle w:val="FootnoteReference"/>
        </w:rPr>
        <w:footnoteRef/>
      </w:r>
      <w:r w:rsidRPr="007C5903">
        <w:t xml:space="preserve"> The number of unique properties by ECO obligation does not tally to the total number of unique properties (266,016) as a property can have a number of different measures installed under different ECO obligations.</w:t>
      </w:r>
    </w:p>
  </w:footnote>
  <w:footnote w:id="11">
    <w:p w:rsidR="0012033E" w:rsidRDefault="0012033E" w:rsidP="007C5903">
      <w:pPr>
        <w:pStyle w:val="FootnoteText"/>
        <w:spacing w:after="120"/>
        <w:jc w:val="both"/>
      </w:pPr>
      <w:r w:rsidRPr="007C5903">
        <w:rPr>
          <w:rStyle w:val="FootnoteReference"/>
        </w:rPr>
        <w:footnoteRef/>
      </w:r>
      <w:r w:rsidRPr="007C5903">
        <w:t xml:space="preserve"> Table 23, Fuel poverty statistics 2011, </w:t>
      </w:r>
      <w:hyperlink r:id="rId7" w:history="1">
        <w:r w:rsidRPr="007C5903">
          <w:rPr>
            <w:rStyle w:val="Hyperlink"/>
            <w:rFonts w:ascii="Arial" w:hAnsi="Arial"/>
            <w:sz w:val="20"/>
          </w:rPr>
          <w:t>https://www.gov.uk/government/publications/fuel-poverty-2011-detailed-tables</w:t>
        </w:r>
      </w:hyperlink>
    </w:p>
  </w:footnote>
  <w:footnote w:id="12">
    <w:p w:rsidR="0012033E" w:rsidRDefault="0012033E" w:rsidP="00C877B7">
      <w:pPr>
        <w:pStyle w:val="FootnoteText"/>
        <w:jc w:val="both"/>
      </w:pPr>
      <w:r>
        <w:rPr>
          <w:rStyle w:val="FootnoteReference"/>
        </w:rPr>
        <w:footnoteRef/>
      </w:r>
      <w:r>
        <w:t xml:space="preserve"> Individual Installers within an installer organisation</w:t>
      </w:r>
      <w:r w:rsidRPr="0045708B">
        <w:t xml:space="preserve"> do</w:t>
      </w:r>
      <w:r>
        <w:t xml:space="preserve"> not</w:t>
      </w:r>
      <w:r w:rsidRPr="0045708B">
        <w:t xml:space="preserve"> need to register</w:t>
      </w:r>
      <w:r>
        <w:t>.</w:t>
      </w:r>
    </w:p>
  </w:footnote>
  <w:footnote w:id="13">
    <w:p w:rsidR="0012033E" w:rsidRDefault="0012033E" w:rsidP="00C877B7">
      <w:pPr>
        <w:pStyle w:val="FootnoteText"/>
        <w:jc w:val="both"/>
      </w:pPr>
      <w:r>
        <w:rPr>
          <w:rStyle w:val="FootnoteReference"/>
        </w:rPr>
        <w:footnoteRef/>
      </w:r>
      <w:r>
        <w:t xml:space="preserve"> GD accredited organisations are able to provide their operational coverage information onto the ORB consumer search tool on a voluntary basis. Some organisations have waited until they are ready to delivery GD services before providing their details. Separate entries have been submitted for each individual</w:t>
      </w:r>
      <w:r w:rsidRPr="00437345">
        <w:t xml:space="preserve"> sub-division </w:t>
      </w:r>
      <w:r>
        <w:t>of an organisation which has its own certification ID.</w:t>
      </w:r>
    </w:p>
  </w:footnote>
  <w:footnote w:id="14">
    <w:p w:rsidR="0012033E" w:rsidRDefault="0012033E" w:rsidP="00C877B7">
      <w:pPr>
        <w:pStyle w:val="FootnoteText"/>
        <w:jc w:val="both"/>
      </w:pPr>
      <w:r>
        <w:rPr>
          <w:rStyle w:val="FootnoteReference"/>
        </w:rPr>
        <w:footnoteRef/>
      </w:r>
      <w:r>
        <w:t xml:space="preserve"> This information is taken from the 28</w:t>
      </w:r>
      <w:r w:rsidRPr="00B50F5D">
        <w:t xml:space="preserve">th </w:t>
      </w:r>
      <w:r>
        <w:t>October</w:t>
      </w:r>
      <w:r w:rsidRPr="00B50F5D">
        <w:t xml:space="preserve"> 2013</w:t>
      </w:r>
      <w:r>
        <w:t xml:space="preserve"> as there are lags resulting from the time it takes for organisations to provide their information. Earlier information provided may not be representative of delivery of services in the first half of 2013.</w:t>
      </w:r>
    </w:p>
  </w:footnote>
  <w:footnote w:id="15">
    <w:p w:rsidR="0012033E" w:rsidRPr="00AE5C27" w:rsidRDefault="0012033E" w:rsidP="00291E07">
      <w:pPr>
        <w:pStyle w:val="NoSpacing"/>
        <w:jc w:val="both"/>
        <w:rPr>
          <w:rFonts w:ascii="Arial" w:hAnsi="Arial" w:cs="Arial"/>
          <w:sz w:val="20"/>
          <w:szCs w:val="20"/>
        </w:rPr>
      </w:pPr>
      <w:r w:rsidRPr="00AE5C27">
        <w:rPr>
          <w:rStyle w:val="FootnoteReference"/>
          <w:rFonts w:ascii="Arial" w:hAnsi="Arial" w:cs="Arial"/>
          <w:sz w:val="20"/>
          <w:szCs w:val="20"/>
        </w:rPr>
        <w:footnoteRef/>
      </w:r>
      <w:hyperlink r:id="rId8" w:history="1">
        <w:r w:rsidRPr="00AE5C27">
          <w:rPr>
            <w:rStyle w:val="Hyperlink"/>
            <w:rFonts w:ascii="Arial" w:hAnsi="Arial" w:cs="Arial"/>
            <w:sz w:val="20"/>
            <w:szCs w:val="20"/>
          </w:rPr>
          <w:t>http://www.ofgem.gov.uk/Sustainability/Environment/EnergyEff/CU/Pages/CU.aspx</w:t>
        </w:r>
      </w:hyperlink>
    </w:p>
  </w:footnote>
  <w:footnote w:id="16">
    <w:p w:rsidR="0012033E" w:rsidRPr="00AE5C27" w:rsidRDefault="0012033E" w:rsidP="00291E07">
      <w:pPr>
        <w:pStyle w:val="NoSpacing"/>
        <w:jc w:val="both"/>
        <w:rPr>
          <w:rFonts w:ascii="Arial" w:hAnsi="Arial" w:cs="Arial"/>
          <w:sz w:val="20"/>
          <w:szCs w:val="20"/>
        </w:rPr>
      </w:pPr>
      <w:r w:rsidRPr="00AE5C27">
        <w:rPr>
          <w:rStyle w:val="FootnoteReference"/>
          <w:rFonts w:ascii="Arial" w:hAnsi="Arial" w:cs="Arial"/>
          <w:sz w:val="20"/>
          <w:szCs w:val="20"/>
        </w:rPr>
        <w:footnoteRef/>
      </w:r>
      <w:hyperlink r:id="rId9" w:history="1">
        <w:r w:rsidRPr="00AE5C27">
          <w:rPr>
            <w:rStyle w:val="Hyperlink"/>
            <w:rFonts w:ascii="Arial" w:hAnsi="Arial" w:cs="Arial"/>
            <w:sz w:val="20"/>
            <w:szCs w:val="20"/>
          </w:rPr>
          <w:t>http://www.ofgem.gov.uk/Sustainability/Environment/EnergyEff/cesp/Pages/cesp.aspx</w:t>
        </w:r>
      </w:hyperlink>
      <w:r w:rsidRPr="00AE5C27">
        <w:rPr>
          <w:rFonts w:ascii="Arial" w:hAnsi="Arial" w:cs="Arial"/>
          <w:sz w:val="20"/>
          <w:szCs w:val="20"/>
        </w:rPr>
        <w:t xml:space="preserve"> </w:t>
      </w:r>
    </w:p>
  </w:footnote>
  <w:footnote w:id="17">
    <w:p w:rsidR="0012033E" w:rsidRPr="00AE5C27" w:rsidRDefault="0012033E" w:rsidP="00291E07">
      <w:pPr>
        <w:pStyle w:val="NoSpacing"/>
        <w:jc w:val="both"/>
        <w:rPr>
          <w:rStyle w:val="Hyperlink"/>
          <w:rFonts w:ascii="Arial" w:hAnsi="Arial"/>
          <w:sz w:val="20"/>
          <w:szCs w:val="20"/>
        </w:rPr>
      </w:pPr>
      <w:r w:rsidRPr="00AE5C27">
        <w:rPr>
          <w:rStyle w:val="FootnoteReference"/>
          <w:rFonts w:ascii="Arial" w:hAnsi="Arial" w:cs="Arial"/>
          <w:sz w:val="20"/>
          <w:szCs w:val="20"/>
        </w:rPr>
        <w:footnoteRef/>
      </w:r>
      <w:hyperlink r:id="rId10" w:history="1">
        <w:r w:rsidRPr="00AE5C27">
          <w:rPr>
            <w:rStyle w:val="Hyperlink"/>
            <w:rFonts w:ascii="Arial" w:hAnsi="Arial"/>
            <w:sz w:val="20"/>
            <w:szCs w:val="20"/>
          </w:rPr>
          <w:t>https://www.gov.uk/government/policies/helping-households-to-cut-their-energy-bills/supporting-pages/warm-front-scheme</w:t>
        </w:r>
      </w:hyperlink>
    </w:p>
  </w:footnote>
  <w:footnote w:id="18">
    <w:p w:rsidR="0012033E" w:rsidRPr="00AE5C27" w:rsidRDefault="0012033E" w:rsidP="00291E07">
      <w:pPr>
        <w:pStyle w:val="FootnoteText"/>
        <w:spacing w:after="0"/>
        <w:jc w:val="both"/>
      </w:pPr>
      <w:r w:rsidRPr="00AE5C27">
        <w:rPr>
          <w:rStyle w:val="FootnoteReference"/>
        </w:rPr>
        <w:footnoteRef/>
      </w:r>
      <w:hyperlink r:id="rId11" w:history="1">
        <w:r w:rsidRPr="00AE5C27">
          <w:rPr>
            <w:rStyle w:val="Hyperlink"/>
            <w:rFonts w:ascii="Arial" w:hAnsi="Arial"/>
            <w:sz w:val="20"/>
          </w:rPr>
          <w:t>https://www.gov.uk/green-deal-energy-saving-measures</w:t>
        </w:r>
      </w:hyperlink>
    </w:p>
  </w:footnote>
  <w:footnote w:id="19">
    <w:p w:rsidR="0012033E" w:rsidRPr="00C91006" w:rsidRDefault="0012033E" w:rsidP="00291E07">
      <w:pPr>
        <w:pStyle w:val="FootnoteText"/>
        <w:jc w:val="both"/>
        <w:rPr>
          <w:sz w:val="22"/>
          <w:szCs w:val="22"/>
        </w:rPr>
      </w:pPr>
      <w:r w:rsidRPr="00AE5C27">
        <w:rPr>
          <w:rStyle w:val="FootnoteReference"/>
        </w:rPr>
        <w:footnoteRef/>
      </w:r>
      <w:hyperlink r:id="rId12" w:history="1">
        <w:r w:rsidRPr="00AE5C27">
          <w:rPr>
            <w:rStyle w:val="Hyperlink"/>
            <w:rFonts w:ascii="Arial" w:hAnsi="Arial"/>
            <w:sz w:val="20"/>
          </w:rPr>
          <w:t>https://www.gov.uk/government/policies/helping-households-to-cut-their-energy-bills/supporting-pages/energy-companies-obligation-eco</w:t>
        </w:r>
      </w:hyperlink>
    </w:p>
  </w:footnote>
  <w:footnote w:id="20">
    <w:p w:rsidR="0012033E" w:rsidRPr="00AE5C27" w:rsidRDefault="0012033E" w:rsidP="00291E07">
      <w:pPr>
        <w:pStyle w:val="FootnoteText"/>
        <w:spacing w:after="0"/>
        <w:jc w:val="both"/>
      </w:pPr>
      <w:r w:rsidRPr="00AE5C27">
        <w:rPr>
          <w:rStyle w:val="FootnoteReference"/>
        </w:rPr>
        <w:footnoteRef/>
      </w:r>
      <w:r w:rsidRPr="00AE5C27">
        <w:t xml:space="preserve"> Information is not available on the wall construction of new homes.  Typically building regulations would be met by insulated cavity walls but other construction types could be used.  In this publication it is assumed that all new builds since April 2008 have cavity wall insulation.</w:t>
      </w:r>
    </w:p>
  </w:footnote>
  <w:footnote w:id="21">
    <w:p w:rsidR="0012033E" w:rsidRPr="00AE5C27" w:rsidRDefault="0012033E" w:rsidP="00291E07">
      <w:pPr>
        <w:pStyle w:val="FootnoteText"/>
        <w:jc w:val="both"/>
      </w:pPr>
      <w:r w:rsidRPr="00AE5C27">
        <w:rPr>
          <w:rStyle w:val="FootnoteReference"/>
        </w:rPr>
        <w:footnoteRef/>
      </w:r>
      <w:r w:rsidRPr="00AE5C27">
        <w:t xml:space="preserve"> </w:t>
      </w:r>
      <w:hyperlink r:id="rId13" w:history="1">
        <w:r w:rsidRPr="00AE5C27">
          <w:rPr>
            <w:rStyle w:val="Hyperlink"/>
            <w:rFonts w:ascii="Arial" w:hAnsi="Arial"/>
            <w:sz w:val="20"/>
          </w:rPr>
          <w:t>https://www.ofgem.gov.uk/ofgem-publications/58765/open-letter-cert-cesp-210912.pdf</w:t>
        </w:r>
      </w:hyperlink>
    </w:p>
  </w:footnote>
  <w:footnote w:id="22">
    <w:p w:rsidR="0012033E" w:rsidRPr="00285C75" w:rsidRDefault="0012033E" w:rsidP="00291E07">
      <w:pPr>
        <w:pStyle w:val="NoSpacing"/>
        <w:jc w:val="both"/>
        <w:rPr>
          <w:rFonts w:ascii="Arial" w:hAnsi="Arial" w:cs="Arial"/>
        </w:rPr>
      </w:pPr>
      <w:r w:rsidRPr="00AE5C27">
        <w:rPr>
          <w:rStyle w:val="FootnoteReference"/>
          <w:rFonts w:ascii="Arial" w:hAnsi="Arial" w:cs="Arial"/>
          <w:sz w:val="20"/>
          <w:szCs w:val="20"/>
        </w:rPr>
        <w:footnoteRef/>
      </w:r>
      <w:r w:rsidRPr="00AE5C27">
        <w:rPr>
          <w:rFonts w:ascii="Arial" w:hAnsi="Arial" w:cs="Arial"/>
          <w:sz w:val="20"/>
          <w:szCs w:val="20"/>
        </w:rPr>
        <w:t xml:space="preserve"> Solid wall insulation has been defined throughout this report as internal or external wall insulation installed through Government schemes.</w:t>
      </w:r>
    </w:p>
  </w:footnote>
  <w:footnote w:id="23">
    <w:p w:rsidR="0012033E" w:rsidRPr="00AE5C27" w:rsidRDefault="0012033E" w:rsidP="00291E07">
      <w:pPr>
        <w:pStyle w:val="NoSpacing"/>
        <w:jc w:val="both"/>
        <w:rPr>
          <w:rFonts w:ascii="Arial" w:hAnsi="Arial" w:cs="Arial"/>
          <w:sz w:val="20"/>
          <w:szCs w:val="20"/>
        </w:rPr>
      </w:pPr>
      <w:r w:rsidRPr="00AE5C27">
        <w:rPr>
          <w:rStyle w:val="FootnoteReference"/>
          <w:rFonts w:ascii="Arial" w:hAnsi="Arial" w:cs="Arial"/>
          <w:sz w:val="20"/>
          <w:szCs w:val="20"/>
        </w:rPr>
        <w:footnoteRef/>
      </w:r>
      <w:r w:rsidRPr="00AE5C27">
        <w:rPr>
          <w:rFonts w:ascii="Arial" w:hAnsi="Arial" w:cs="Arial"/>
          <w:sz w:val="20"/>
          <w:szCs w:val="20"/>
        </w:rPr>
        <w:t xml:space="preserve"> Information is not available on the wall construction of new homes.  Typically building regulations would be met by insulated cavity walls but other construction types could be used.  In this publication it is assumed that all new builds since April 2008 have cavity wall insulation.</w:t>
      </w:r>
    </w:p>
  </w:footnote>
  <w:footnote w:id="24">
    <w:p w:rsidR="0012033E" w:rsidRPr="007F2B6B" w:rsidRDefault="0012033E" w:rsidP="00291E07">
      <w:pPr>
        <w:pStyle w:val="FootnoteText"/>
        <w:spacing w:after="0"/>
      </w:pPr>
      <w:r w:rsidRPr="007F2B6B">
        <w:rPr>
          <w:rStyle w:val="FootnoteReference"/>
        </w:rPr>
        <w:footnoteRef/>
      </w:r>
      <w:r w:rsidRPr="007F2B6B">
        <w:t xml:space="preserve"> Estimates of solid wall insulation are based only on delivery of solid wall insulation through Government schemes (including the Energy Efficiency Commitment).</w:t>
      </w:r>
    </w:p>
  </w:footnote>
  <w:footnote w:id="25">
    <w:p w:rsidR="0012033E" w:rsidRPr="00AE5C27" w:rsidRDefault="0012033E" w:rsidP="00291E07">
      <w:pPr>
        <w:pStyle w:val="FootnoteText"/>
        <w:spacing w:after="0"/>
      </w:pPr>
      <w:r w:rsidRPr="00AE5C27">
        <w:rPr>
          <w:rStyle w:val="FootnoteReference"/>
        </w:rPr>
        <w:footnoteRef/>
      </w:r>
      <w:r w:rsidRPr="00AE5C27">
        <w:t xml:space="preserve"> </w:t>
      </w:r>
      <w:hyperlink r:id="rId14" w:history="1">
        <w:r>
          <w:rPr>
            <w:rStyle w:val="Hyperlink"/>
            <w:rFonts w:ascii="Arial" w:hAnsi="Arial"/>
            <w:sz w:val="20"/>
          </w:rPr>
          <w:t>https://www.gov.uk/government/collections/green-deal-and-energy-company-obligation-eco-statistics</w:t>
        </w:r>
      </w:hyperlink>
    </w:p>
  </w:footnote>
  <w:footnote w:id="26">
    <w:p w:rsidR="0012033E" w:rsidRPr="00AE5C27" w:rsidRDefault="0012033E" w:rsidP="00291E07">
      <w:pPr>
        <w:pStyle w:val="FootnoteText"/>
        <w:spacing w:after="0"/>
        <w:jc w:val="both"/>
      </w:pPr>
      <w:r w:rsidRPr="00AE5C27">
        <w:rPr>
          <w:rStyle w:val="FootnoteReference"/>
        </w:rPr>
        <w:footnoteRef/>
      </w:r>
      <w:r w:rsidRPr="00AE5C27">
        <w:t xml:space="preserve"> Although these properties are not fully insulated it is likely that they already have a relatively good thermal performance which means savings from having cavity wall insulation installed would be lower than for older properties. Limited potential properties are those built between 1983 and 1995 for England and Wales, and between 1984 and 1991 for Scotland.</w:t>
      </w:r>
    </w:p>
  </w:footnote>
  <w:footnote w:id="27">
    <w:p w:rsidR="0012033E" w:rsidRDefault="0012033E" w:rsidP="00291E07">
      <w:pPr>
        <w:jc w:val="both"/>
      </w:pPr>
      <w:r w:rsidRPr="00AE5C27">
        <w:rPr>
          <w:rStyle w:val="FootnoteReference"/>
          <w:sz w:val="20"/>
        </w:rPr>
        <w:footnoteRef/>
      </w:r>
      <w:r w:rsidRPr="00AE5C27">
        <w:rPr>
          <w:sz w:val="20"/>
        </w:rPr>
        <w:t xml:space="preserve"> Hard to treat cavities are ones that are more difficult or more expensive to fill than standard cavities.  This can include properties with a narrow cavity, and properties of either concrete or metal frame construction.  The definition of hard to treat used in this publication is based on a report commissioned by DECC using the 2008 Housing Surveys (</w:t>
      </w:r>
      <w:hyperlink r:id="rId15" w:history="1">
        <w:r w:rsidRPr="00AE5C27">
          <w:rPr>
            <w:rStyle w:val="Hyperlink"/>
            <w:rFonts w:ascii="Arial" w:hAnsi="Arial"/>
            <w:sz w:val="20"/>
          </w:rPr>
          <w:t>https://www.gov.uk/government/uploads/system/uploads /attachment_data/file/48433/5620-review-of-the-number-of-cavity-walls-in-great-brit.pdf</w:t>
        </w:r>
      </w:hyperlink>
      <w:r w:rsidRPr="00AE5C27">
        <w:rPr>
          <w:sz w:val="20"/>
        </w:rPr>
        <w:t>), the ECO definition of hard treat differs from this definition slightly as it also includes partial fill cavities and cavity wall dwellings over three storeys (compared to over four in the Inbuilt definition) and excludes some cavities which assessors would not be able to identify as hard to treat, such as dwellings with high exposure to wind and rain.</w:t>
      </w:r>
      <w:r w:rsidRPr="008157EC">
        <w:rPr>
          <w:sz w:val="20"/>
        </w:rPr>
        <w:t xml:space="preserve"> </w:t>
      </w:r>
    </w:p>
  </w:footnote>
  <w:footnote w:id="28">
    <w:p w:rsidR="0012033E" w:rsidRPr="008A5812" w:rsidRDefault="0012033E" w:rsidP="00D12323">
      <w:pPr>
        <w:pStyle w:val="FootnoteText"/>
        <w:spacing w:after="0"/>
        <w:jc w:val="both"/>
      </w:pPr>
      <w:r w:rsidRPr="008A5812">
        <w:rPr>
          <w:rStyle w:val="FootnoteReference"/>
        </w:rPr>
        <w:footnoteRef/>
      </w:r>
      <w:r w:rsidRPr="008A5812">
        <w:t xml:space="preserve"> The Plan is a contract between the owner/occupier and the Provider – it sets out the work that will be done and the repayments.</w:t>
      </w:r>
    </w:p>
  </w:footnote>
  <w:footnote w:id="29">
    <w:p w:rsidR="0012033E" w:rsidRDefault="0012033E" w:rsidP="00D12323">
      <w:pPr>
        <w:pStyle w:val="FootnoteText"/>
        <w:spacing w:after="0"/>
        <w:jc w:val="both"/>
      </w:pPr>
      <w:r w:rsidRPr="008A5812">
        <w:rPr>
          <w:rStyle w:val="FootnoteReference"/>
        </w:rPr>
        <w:footnoteRef/>
      </w:r>
      <w:r w:rsidRPr="008A5812">
        <w:t xml:space="preserve"> For example, in the case of a Green Deal Plan that is regulated by the Consumer Credit Act 1974, the consumer will have 14 days to withdraw from the part of the Green Deal Plan which provides credit.</w:t>
      </w:r>
    </w:p>
  </w:footnote>
  <w:footnote w:id="30">
    <w:p w:rsidR="0012033E" w:rsidRPr="00D76AE6" w:rsidRDefault="0012033E" w:rsidP="00D76AE6">
      <w:pPr>
        <w:pStyle w:val="FootnoteText"/>
        <w:spacing w:after="0"/>
        <w:jc w:val="both"/>
      </w:pPr>
      <w:r w:rsidRPr="00D76AE6">
        <w:rPr>
          <w:rStyle w:val="FootnoteReference"/>
        </w:rPr>
        <w:footnoteRef/>
      </w:r>
      <w:r w:rsidRPr="00D76AE6">
        <w:t xml:space="preserve"> Information on the Standard Assessment Procedure can be found here </w:t>
      </w:r>
    </w:p>
    <w:p w:rsidR="0012033E" w:rsidRDefault="0012033E" w:rsidP="00D76AE6">
      <w:pPr>
        <w:pStyle w:val="FootnoteText"/>
        <w:spacing w:after="0"/>
        <w:jc w:val="both"/>
      </w:pPr>
      <w:hyperlink r:id="rId16" w:history="1">
        <w:r w:rsidRPr="00D76AE6">
          <w:rPr>
            <w:rStyle w:val="Hyperlink"/>
            <w:rFonts w:ascii="Arial" w:hAnsi="Arial"/>
            <w:sz w:val="20"/>
          </w:rPr>
          <w:t>https://www.gov.uk/standard-assessment-procedure</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33E" w:rsidRDefault="0012033E">
    <w:pPr>
      <w:pStyle w:val="Header"/>
    </w:pPr>
    <w:fldSimple w:instr=" STYLEREF &quot;Chapter Head&quot; \* MERGEFORMAT ">
      <w:r w:rsidR="001E226F">
        <w:rPr>
          <w:noProof/>
        </w:rPr>
        <w:t>Executive summary</w:t>
      </w:r>
    </w:fldSimple>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33E" w:rsidRDefault="0012033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33E" w:rsidRDefault="0012033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33E" w:rsidRDefault="0012033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alt="Decc-graphic2.pdf" style="position:absolute;left:0;text-align:left;margin-left:-42.5pt;margin-top:-28.15pt;width:595.3pt;height:840.95pt;z-index:-251657728;visibility:visible">
          <v:imagedata r:id="rId1" o:title="Decc-graphic2"/>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33E" w:rsidRDefault="0012033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33E" w:rsidRDefault="0012033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2051" type="#_x0000_t75" alt="Decc-graphic2.pdf" style="position:absolute;left:0;text-align:left;margin-left:-42.8pt;margin-top:-30.75pt;width:595.3pt;height:840.95pt;z-index:-251658752;visibility:visible">
          <v:imagedata r:id="rId1" o:title="Decc-graphic2"/>
        </v:shape>
      </w:pict>
    </w:r>
    <w:r>
      <w:rPr>
        <w:noProof/>
      </w:rPr>
      <w:pict>
        <v:shape id="Picture 18" o:spid="_x0000_s2050" type="#_x0000_t75" alt="DECC logo." style="position:absolute;left:0;text-align:left;margin-left:-14.75pt;margin-top:.4pt;width:106.85pt;height:70.85pt;z-index:251656704;visibility:visible">
          <v:imagedata r:id="rId2" o:title="DECC logo"/>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33E" w:rsidRDefault="0012033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33E" w:rsidRDefault="0012033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33E" w:rsidRDefault="0012033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33E" w:rsidRDefault="0012033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33E" w:rsidRDefault="0012033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33E" w:rsidRDefault="001203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449DB"/>
    <w:multiLevelType w:val="hybridMultilevel"/>
    <w:tmpl w:val="C6345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F71A8F"/>
    <w:multiLevelType w:val="hybridMultilevel"/>
    <w:tmpl w:val="3716B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9B762C"/>
    <w:multiLevelType w:val="hybridMultilevel"/>
    <w:tmpl w:val="791E0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BA7B8A"/>
    <w:multiLevelType w:val="hybridMultilevel"/>
    <w:tmpl w:val="50262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AB04A4"/>
    <w:multiLevelType w:val="hybridMultilevel"/>
    <w:tmpl w:val="64661D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091F1622"/>
    <w:multiLevelType w:val="hybridMultilevel"/>
    <w:tmpl w:val="C43A78CC"/>
    <w:lvl w:ilvl="0" w:tplc="902C7A9A">
      <w:start w:val="1"/>
      <w:numFmt w:val="decimal"/>
      <w:lvlText w:val="%1."/>
      <w:lvlJc w:val="left"/>
      <w:pPr>
        <w:ind w:left="720" w:hanging="360"/>
      </w:pPr>
      <w:rPr>
        <w:rFonts w:ascii="Arial" w:hAnsi="Arial" w:cs="Arial"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E8E7EB7"/>
    <w:multiLevelType w:val="hybridMultilevel"/>
    <w:tmpl w:val="33CA4E2E"/>
    <w:lvl w:ilvl="0" w:tplc="8938A4C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FC120E7"/>
    <w:multiLevelType w:val="hybridMultilevel"/>
    <w:tmpl w:val="0802B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2AF0A82"/>
    <w:multiLevelType w:val="hybridMultilevel"/>
    <w:tmpl w:val="7FE4E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2CE1922"/>
    <w:multiLevelType w:val="hybridMultilevel"/>
    <w:tmpl w:val="D0E0A2E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nsid w:val="21446010"/>
    <w:multiLevelType w:val="hybridMultilevel"/>
    <w:tmpl w:val="A81AA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865723C"/>
    <w:multiLevelType w:val="hybridMultilevel"/>
    <w:tmpl w:val="89922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D8E5880"/>
    <w:multiLevelType w:val="hybridMultilevel"/>
    <w:tmpl w:val="3822C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2053791"/>
    <w:multiLevelType w:val="multilevel"/>
    <w:tmpl w:val="2D8CE0CA"/>
    <w:lvl w:ilvl="0">
      <w:start w:val="1"/>
      <w:numFmt w:val="lowerRoman"/>
      <w:pStyle w:val="Listnumbered"/>
      <w:lvlText w:val="%1."/>
      <w:lvlJc w:val="left"/>
      <w:pPr>
        <w:tabs>
          <w:tab w:val="num" w:pos="360"/>
        </w:tabs>
        <w:ind w:left="360" w:hanging="360"/>
      </w:pPr>
      <w:rPr>
        <w:rFonts w:hint="default"/>
      </w:rPr>
    </w:lvl>
    <w:lvl w:ilvl="1">
      <w:start w:val="1"/>
      <w:numFmt w:val="lowerRoman"/>
      <w:lvlText w:val="%1.%2."/>
      <w:lvlJc w:val="left"/>
      <w:pPr>
        <w:tabs>
          <w:tab w:val="num" w:pos="792"/>
        </w:tabs>
        <w:ind w:left="792" w:hanging="432"/>
      </w:pPr>
      <w:rPr>
        <w:rFonts w:hint="default"/>
        <w:color w:val="auto"/>
      </w:rPr>
    </w:lvl>
    <w:lvl w:ilvl="2">
      <w:start w:val="1"/>
      <w:numFmt w:val="lowerRoman"/>
      <w:lvlText w:val="%1.%2.%3."/>
      <w:lvlJc w:val="left"/>
      <w:pPr>
        <w:tabs>
          <w:tab w:val="num" w:pos="1440"/>
        </w:tabs>
        <w:ind w:left="1224" w:hanging="504"/>
      </w:pPr>
      <w:rPr>
        <w:rFonts w:hint="default"/>
        <w:color w:val="auto"/>
      </w:rPr>
    </w:lvl>
    <w:lvl w:ilvl="3">
      <w:start w:val="1"/>
      <w:numFmt w:val="none"/>
      <w:lvlText w:val="%1.%2.%3.%4."/>
      <w:lvlJc w:val="left"/>
      <w:pPr>
        <w:tabs>
          <w:tab w:val="num" w:pos="2160"/>
        </w:tabs>
        <w:ind w:left="1728" w:hanging="648"/>
      </w:pPr>
      <w:rPr>
        <w:rFonts w:hint="default"/>
      </w:rPr>
    </w:lvl>
    <w:lvl w:ilvl="4">
      <w:start w:val="1"/>
      <w:numFmt w:val="none"/>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nsid w:val="32A63D90"/>
    <w:multiLevelType w:val="hybridMultilevel"/>
    <w:tmpl w:val="DE10B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2AE011A"/>
    <w:multiLevelType w:val="hybridMultilevel"/>
    <w:tmpl w:val="F49C8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4067CC6"/>
    <w:multiLevelType w:val="multilevel"/>
    <w:tmpl w:val="0A303D78"/>
    <w:lvl w:ilvl="0">
      <w:start w:val="1"/>
      <w:numFmt w:val="lowerLetter"/>
      <w:pStyle w:val="Listalpha"/>
      <w:lvlText w:val="%1)"/>
      <w:lvlJc w:val="left"/>
      <w:pPr>
        <w:tabs>
          <w:tab w:val="num" w:pos="1080"/>
        </w:tabs>
        <w:ind w:left="1080" w:hanging="360"/>
      </w:pPr>
      <w:rPr>
        <w:rFonts w:hint="default"/>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1800"/>
        </w:tabs>
        <w:ind w:left="1800" w:hanging="360"/>
      </w:pPr>
      <w:rPr>
        <w:rFonts w:ascii="Symbol" w:hAnsi="Symbol" w:hint="default"/>
        <w:color w:val="auto"/>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7">
    <w:nsid w:val="3A6E513D"/>
    <w:multiLevelType w:val="hybridMultilevel"/>
    <w:tmpl w:val="6276CA5A"/>
    <w:lvl w:ilvl="0" w:tplc="D26E7B4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C763BB3"/>
    <w:multiLevelType w:val="hybridMultilevel"/>
    <w:tmpl w:val="B6A0A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E0E6647"/>
    <w:multiLevelType w:val="multilevel"/>
    <w:tmpl w:val="08E0FAD4"/>
    <w:lvl w:ilvl="0">
      <w:start w:val="1"/>
      <w:numFmt w:val="bullet"/>
      <w:pStyle w:val="Listbullet1"/>
      <w:lvlText w:val=""/>
      <w:lvlJc w:val="left"/>
      <w:pPr>
        <w:ind w:left="1211" w:hanging="360"/>
      </w:pPr>
      <w:rPr>
        <w:rFonts w:ascii="Symbol" w:hAnsi="Symbol" w:hint="default"/>
        <w:color w:val="00AEEF"/>
      </w:rPr>
    </w:lvl>
    <w:lvl w:ilvl="1">
      <w:start w:val="1"/>
      <w:numFmt w:val="bullet"/>
      <w:pStyle w:val="Listbullet2"/>
      <w:lvlText w:val=""/>
      <w:lvlJc w:val="left"/>
      <w:pPr>
        <w:tabs>
          <w:tab w:val="num" w:pos="720"/>
        </w:tabs>
        <w:ind w:left="720" w:hanging="360"/>
      </w:pPr>
      <w:rPr>
        <w:rFonts w:ascii="Symbol" w:hAnsi="Symbol" w:hint="default"/>
        <w:color w:val="auto"/>
      </w:rPr>
    </w:lvl>
    <w:lvl w:ilvl="2">
      <w:start w:val="1"/>
      <w:numFmt w:val="bullet"/>
      <w:pStyle w:val="Listbullet3"/>
      <w:lvlText w:val="-"/>
      <w:lvlJc w:val="left"/>
      <w:pPr>
        <w:tabs>
          <w:tab w:val="num" w:pos="1080"/>
        </w:tabs>
        <w:ind w:left="1080" w:hanging="360"/>
      </w:pPr>
      <w:rPr>
        <w:rFonts w:ascii="Arial" w:hAnsi="Aria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nsid w:val="3E377B27"/>
    <w:multiLevelType w:val="hybridMultilevel"/>
    <w:tmpl w:val="A1D290C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39C0498"/>
    <w:multiLevelType w:val="hybridMultilevel"/>
    <w:tmpl w:val="FBE406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82D3149"/>
    <w:multiLevelType w:val="hybridMultilevel"/>
    <w:tmpl w:val="DDA4735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3">
    <w:nsid w:val="4F6B7836"/>
    <w:multiLevelType w:val="singleLevel"/>
    <w:tmpl w:val="120217FE"/>
    <w:lvl w:ilvl="0">
      <w:start w:val="1"/>
      <w:numFmt w:val="decimal"/>
      <w:pStyle w:val="Subsnumberedparagraphs"/>
      <w:lvlText w:val="%1."/>
      <w:lvlJc w:val="left"/>
      <w:pPr>
        <w:ind w:left="357" w:hanging="357"/>
      </w:pPr>
      <w:rPr>
        <w:rFonts w:ascii="Arial" w:hAnsi="Arial" w:cs="Arial" w:hint="default"/>
        <w:b w:val="0"/>
        <w:color w:val="auto"/>
        <w:sz w:val="24"/>
        <w:szCs w:val="24"/>
      </w:rPr>
    </w:lvl>
  </w:abstractNum>
  <w:abstractNum w:abstractNumId="24">
    <w:nsid w:val="51A73192"/>
    <w:multiLevelType w:val="hybridMultilevel"/>
    <w:tmpl w:val="DDD2481A"/>
    <w:lvl w:ilvl="0" w:tplc="44F6DFD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2F1209A"/>
    <w:multiLevelType w:val="hybridMultilevel"/>
    <w:tmpl w:val="EF8C5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4353FEF"/>
    <w:multiLevelType w:val="hybridMultilevel"/>
    <w:tmpl w:val="F56239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5AA33CF"/>
    <w:multiLevelType w:val="hybridMultilevel"/>
    <w:tmpl w:val="5E428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8462C76"/>
    <w:multiLevelType w:val="hybridMultilevel"/>
    <w:tmpl w:val="DA7A26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09E5B38"/>
    <w:multiLevelType w:val="hybridMultilevel"/>
    <w:tmpl w:val="76064E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6CE026D8"/>
    <w:multiLevelType w:val="hybridMultilevel"/>
    <w:tmpl w:val="B3AC6B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F362AFA"/>
    <w:multiLevelType w:val="hybridMultilevel"/>
    <w:tmpl w:val="FC641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1B4669F"/>
    <w:multiLevelType w:val="hybridMultilevel"/>
    <w:tmpl w:val="38B61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26C683D"/>
    <w:multiLevelType w:val="hybridMultilevel"/>
    <w:tmpl w:val="885C9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42B7440"/>
    <w:multiLevelType w:val="multilevel"/>
    <w:tmpl w:val="DA823368"/>
    <w:lvl w:ilvl="0">
      <w:start w:val="1"/>
      <w:numFmt w:val="decimal"/>
      <w:pStyle w:val="ChptHead"/>
      <w:lvlText w:val="%1."/>
      <w:lvlJc w:val="left"/>
      <w:pPr>
        <w:tabs>
          <w:tab w:val="num" w:pos="360"/>
        </w:tabs>
        <w:ind w:left="360" w:hanging="360"/>
      </w:pPr>
      <w:rPr>
        <w:rFonts w:hint="default"/>
      </w:rPr>
    </w:lvl>
    <w:lvl w:ilvl="1">
      <w:start w:val="1"/>
      <w:numFmt w:val="decimal"/>
      <w:pStyle w:val="Paragraphnumbered"/>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5">
    <w:nsid w:val="7E0559D4"/>
    <w:multiLevelType w:val="hybridMultilevel"/>
    <w:tmpl w:val="DD685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FF0731B"/>
    <w:multiLevelType w:val="hybridMultilevel"/>
    <w:tmpl w:val="2D4E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34"/>
  </w:num>
  <w:num w:numId="3">
    <w:abstractNumId w:val="13"/>
  </w:num>
  <w:num w:numId="4">
    <w:abstractNumId w:val="16"/>
  </w:num>
  <w:num w:numId="5">
    <w:abstractNumId w:val="27"/>
  </w:num>
  <w:num w:numId="6">
    <w:abstractNumId w:val="8"/>
  </w:num>
  <w:num w:numId="7">
    <w:abstractNumId w:val="6"/>
  </w:num>
  <w:num w:numId="8">
    <w:abstractNumId w:val="10"/>
  </w:num>
  <w:num w:numId="9">
    <w:abstractNumId w:val="18"/>
  </w:num>
  <w:num w:numId="10">
    <w:abstractNumId w:val="12"/>
  </w:num>
  <w:num w:numId="11">
    <w:abstractNumId w:val="33"/>
  </w:num>
  <w:num w:numId="12">
    <w:abstractNumId w:val="35"/>
  </w:num>
  <w:num w:numId="13">
    <w:abstractNumId w:val="7"/>
  </w:num>
  <w:num w:numId="14">
    <w:abstractNumId w:val="2"/>
  </w:num>
  <w:num w:numId="15">
    <w:abstractNumId w:val="24"/>
  </w:num>
  <w:num w:numId="16">
    <w:abstractNumId w:val="0"/>
  </w:num>
  <w:num w:numId="17">
    <w:abstractNumId w:val="4"/>
  </w:num>
  <w:num w:numId="18">
    <w:abstractNumId w:val="14"/>
  </w:num>
  <w:num w:numId="19">
    <w:abstractNumId w:val="15"/>
  </w:num>
  <w:num w:numId="20">
    <w:abstractNumId w:val="11"/>
  </w:num>
  <w:num w:numId="21">
    <w:abstractNumId w:val="31"/>
  </w:num>
  <w:num w:numId="22">
    <w:abstractNumId w:val="5"/>
  </w:num>
  <w:num w:numId="23">
    <w:abstractNumId w:val="30"/>
  </w:num>
  <w:num w:numId="2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20"/>
  </w:num>
  <w:num w:numId="2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28"/>
  </w:num>
  <w:num w:numId="30">
    <w:abstractNumId w:val="32"/>
  </w:num>
  <w:num w:numId="31">
    <w:abstractNumId w:val="25"/>
  </w:num>
  <w:num w:numId="32">
    <w:abstractNumId w:val="29"/>
  </w:num>
  <w:num w:numId="33">
    <w:abstractNumId w:val="21"/>
  </w:num>
  <w:num w:numId="34">
    <w:abstractNumId w:val="1"/>
  </w:num>
  <w:num w:numId="35">
    <w:abstractNumId w:val="3"/>
  </w:num>
  <w:num w:numId="36">
    <w:abstractNumId w:val="17"/>
  </w:num>
  <w:num w:numId="37">
    <w:abstractNumId w:val="17"/>
  </w:num>
  <w:num w:numId="38">
    <w:abstractNumId w:val="27"/>
  </w:num>
  <w:num w:numId="39">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1"/>
  <w:activeWritingStyle w:appName="MSWord" w:lang="en-GB" w:vendorID="64" w:dllVersion="131077" w:nlCheck="1" w:checkStyle="1"/>
  <w:activeWritingStyle w:appName="MSWord" w:lang="en-US" w:vendorID="64" w:dllVersion="131078" w:nlCheck="1" w:checkStyle="1"/>
  <w:proofState w:spelling="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Moves/>
  <w:defaultTabStop w:val="720"/>
  <w:evenAndOddHeaders/>
  <w:displayHorizontalDrawingGridEvery w:val="0"/>
  <w:displayVerticalDrawingGridEvery w:val="0"/>
  <w:doNotUseMarginsForDrawingGridOrigin/>
  <w:noPunctuationKerning/>
  <w:characterSpacingControl w:val="doNotCompress"/>
  <w:hdrShapeDefaults>
    <o:shapedefaults v:ext="edit" spidmax="2052">
      <o:colormru v:ext="edit" colors="#01d1ae"/>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50F4E"/>
    <w:rsid w:val="00004C7C"/>
    <w:rsid w:val="00007F0B"/>
    <w:rsid w:val="00017256"/>
    <w:rsid w:val="00022CDD"/>
    <w:rsid w:val="0002370D"/>
    <w:rsid w:val="00031926"/>
    <w:rsid w:val="0003252A"/>
    <w:rsid w:val="000374A9"/>
    <w:rsid w:val="0003780D"/>
    <w:rsid w:val="0004106F"/>
    <w:rsid w:val="00043E08"/>
    <w:rsid w:val="00051DE6"/>
    <w:rsid w:val="000532EE"/>
    <w:rsid w:val="00054D4E"/>
    <w:rsid w:val="000564B6"/>
    <w:rsid w:val="0006123D"/>
    <w:rsid w:val="00072C53"/>
    <w:rsid w:val="0007309E"/>
    <w:rsid w:val="00074DFE"/>
    <w:rsid w:val="00084CED"/>
    <w:rsid w:val="00090E71"/>
    <w:rsid w:val="000948BE"/>
    <w:rsid w:val="000A37D1"/>
    <w:rsid w:val="000A58A7"/>
    <w:rsid w:val="000A6FF0"/>
    <w:rsid w:val="000A7029"/>
    <w:rsid w:val="000A73D0"/>
    <w:rsid w:val="000A74DA"/>
    <w:rsid w:val="000B5CAF"/>
    <w:rsid w:val="000C15BD"/>
    <w:rsid w:val="000C27CC"/>
    <w:rsid w:val="000C5549"/>
    <w:rsid w:val="000C6D7D"/>
    <w:rsid w:val="000D0170"/>
    <w:rsid w:val="000D0C4C"/>
    <w:rsid w:val="000D1F2E"/>
    <w:rsid w:val="000D36F8"/>
    <w:rsid w:val="000D6E25"/>
    <w:rsid w:val="000E4CBB"/>
    <w:rsid w:val="000E5896"/>
    <w:rsid w:val="000E7A31"/>
    <w:rsid w:val="000F3D99"/>
    <w:rsid w:val="000F4B03"/>
    <w:rsid w:val="000F5BAA"/>
    <w:rsid w:val="000F7468"/>
    <w:rsid w:val="0010085D"/>
    <w:rsid w:val="00101615"/>
    <w:rsid w:val="0010186C"/>
    <w:rsid w:val="001048D3"/>
    <w:rsid w:val="00106DBE"/>
    <w:rsid w:val="00107D4C"/>
    <w:rsid w:val="001161E7"/>
    <w:rsid w:val="001165D9"/>
    <w:rsid w:val="001177EA"/>
    <w:rsid w:val="0012033E"/>
    <w:rsid w:val="001235EA"/>
    <w:rsid w:val="001236EF"/>
    <w:rsid w:val="00125140"/>
    <w:rsid w:val="00127E85"/>
    <w:rsid w:val="00136242"/>
    <w:rsid w:val="001371C6"/>
    <w:rsid w:val="00144EE8"/>
    <w:rsid w:val="001574BB"/>
    <w:rsid w:val="001632E7"/>
    <w:rsid w:val="00170DD3"/>
    <w:rsid w:val="0017263F"/>
    <w:rsid w:val="00174CFA"/>
    <w:rsid w:val="00175BD8"/>
    <w:rsid w:val="0017774D"/>
    <w:rsid w:val="00183230"/>
    <w:rsid w:val="0018381A"/>
    <w:rsid w:val="00190CEA"/>
    <w:rsid w:val="00193980"/>
    <w:rsid w:val="001946E3"/>
    <w:rsid w:val="0019698D"/>
    <w:rsid w:val="00197DFC"/>
    <w:rsid w:val="001A7251"/>
    <w:rsid w:val="001B08CA"/>
    <w:rsid w:val="001B59B9"/>
    <w:rsid w:val="001B7E76"/>
    <w:rsid w:val="001C0183"/>
    <w:rsid w:val="001C1519"/>
    <w:rsid w:val="001C6F3E"/>
    <w:rsid w:val="001D5B1A"/>
    <w:rsid w:val="001D741A"/>
    <w:rsid w:val="001E1146"/>
    <w:rsid w:val="001E226F"/>
    <w:rsid w:val="001E271D"/>
    <w:rsid w:val="001E7594"/>
    <w:rsid w:val="001F4BE7"/>
    <w:rsid w:val="001F7746"/>
    <w:rsid w:val="0021193E"/>
    <w:rsid w:val="00211C72"/>
    <w:rsid w:val="00215650"/>
    <w:rsid w:val="00217A69"/>
    <w:rsid w:val="00217B13"/>
    <w:rsid w:val="002201C1"/>
    <w:rsid w:val="00222237"/>
    <w:rsid w:val="002241BF"/>
    <w:rsid w:val="002319DA"/>
    <w:rsid w:val="00242098"/>
    <w:rsid w:val="0024448F"/>
    <w:rsid w:val="00245D53"/>
    <w:rsid w:val="00247639"/>
    <w:rsid w:val="00247DB2"/>
    <w:rsid w:val="00251497"/>
    <w:rsid w:val="00253F81"/>
    <w:rsid w:val="00257640"/>
    <w:rsid w:val="00261887"/>
    <w:rsid w:val="002619A1"/>
    <w:rsid w:val="002662FE"/>
    <w:rsid w:val="00271295"/>
    <w:rsid w:val="00273816"/>
    <w:rsid w:val="00274669"/>
    <w:rsid w:val="002843E1"/>
    <w:rsid w:val="00284DD0"/>
    <w:rsid w:val="00285C75"/>
    <w:rsid w:val="00286217"/>
    <w:rsid w:val="002878E4"/>
    <w:rsid w:val="0029002A"/>
    <w:rsid w:val="00291E07"/>
    <w:rsid w:val="00293344"/>
    <w:rsid w:val="0029629B"/>
    <w:rsid w:val="002A0494"/>
    <w:rsid w:val="002A2F62"/>
    <w:rsid w:val="002B0545"/>
    <w:rsid w:val="002B7674"/>
    <w:rsid w:val="002C3684"/>
    <w:rsid w:val="002C6612"/>
    <w:rsid w:val="002D15AF"/>
    <w:rsid w:val="002D353E"/>
    <w:rsid w:val="002D369C"/>
    <w:rsid w:val="002D53A2"/>
    <w:rsid w:val="002E3BF4"/>
    <w:rsid w:val="002F1300"/>
    <w:rsid w:val="002F2904"/>
    <w:rsid w:val="002F6FC0"/>
    <w:rsid w:val="002F7B1D"/>
    <w:rsid w:val="00300603"/>
    <w:rsid w:val="00300F50"/>
    <w:rsid w:val="00322A97"/>
    <w:rsid w:val="003269F2"/>
    <w:rsid w:val="00332B6D"/>
    <w:rsid w:val="0033422A"/>
    <w:rsid w:val="003372F1"/>
    <w:rsid w:val="003414DD"/>
    <w:rsid w:val="00345EE2"/>
    <w:rsid w:val="00346104"/>
    <w:rsid w:val="0035303E"/>
    <w:rsid w:val="003569AF"/>
    <w:rsid w:val="003620BB"/>
    <w:rsid w:val="00367A43"/>
    <w:rsid w:val="00376EB0"/>
    <w:rsid w:val="003770D0"/>
    <w:rsid w:val="00377616"/>
    <w:rsid w:val="00382423"/>
    <w:rsid w:val="003839B4"/>
    <w:rsid w:val="00384D78"/>
    <w:rsid w:val="00385EFB"/>
    <w:rsid w:val="00393E75"/>
    <w:rsid w:val="003A2D3B"/>
    <w:rsid w:val="003A428A"/>
    <w:rsid w:val="003A7106"/>
    <w:rsid w:val="003B2919"/>
    <w:rsid w:val="003B686D"/>
    <w:rsid w:val="003B7DB8"/>
    <w:rsid w:val="003C0B10"/>
    <w:rsid w:val="003C6A41"/>
    <w:rsid w:val="003C7CDB"/>
    <w:rsid w:val="003D1FDE"/>
    <w:rsid w:val="003D40C9"/>
    <w:rsid w:val="003D4150"/>
    <w:rsid w:val="003D59C3"/>
    <w:rsid w:val="003E17F1"/>
    <w:rsid w:val="003E23FC"/>
    <w:rsid w:val="003E505D"/>
    <w:rsid w:val="003E6FF5"/>
    <w:rsid w:val="003F3860"/>
    <w:rsid w:val="003F5043"/>
    <w:rsid w:val="00400C35"/>
    <w:rsid w:val="00401C89"/>
    <w:rsid w:val="0040395B"/>
    <w:rsid w:val="004137F7"/>
    <w:rsid w:val="00415EE4"/>
    <w:rsid w:val="00423B95"/>
    <w:rsid w:val="00423FF1"/>
    <w:rsid w:val="004317C5"/>
    <w:rsid w:val="00434962"/>
    <w:rsid w:val="0044439B"/>
    <w:rsid w:val="004448E5"/>
    <w:rsid w:val="00447D02"/>
    <w:rsid w:val="00450F4E"/>
    <w:rsid w:val="00455015"/>
    <w:rsid w:val="00455D54"/>
    <w:rsid w:val="00460740"/>
    <w:rsid w:val="00461888"/>
    <w:rsid w:val="004669C3"/>
    <w:rsid w:val="00466C75"/>
    <w:rsid w:val="00466DBE"/>
    <w:rsid w:val="00476A90"/>
    <w:rsid w:val="00484799"/>
    <w:rsid w:val="00486E4E"/>
    <w:rsid w:val="00491465"/>
    <w:rsid w:val="00494A42"/>
    <w:rsid w:val="004955B3"/>
    <w:rsid w:val="00496EA9"/>
    <w:rsid w:val="004A472A"/>
    <w:rsid w:val="004A6290"/>
    <w:rsid w:val="004A7A6A"/>
    <w:rsid w:val="004B58EF"/>
    <w:rsid w:val="004B6831"/>
    <w:rsid w:val="004C0373"/>
    <w:rsid w:val="004D5D49"/>
    <w:rsid w:val="004E035F"/>
    <w:rsid w:val="004E44B6"/>
    <w:rsid w:val="00501ED9"/>
    <w:rsid w:val="0050316A"/>
    <w:rsid w:val="00506630"/>
    <w:rsid w:val="00516843"/>
    <w:rsid w:val="0051760B"/>
    <w:rsid w:val="00521B67"/>
    <w:rsid w:val="00522088"/>
    <w:rsid w:val="005257A4"/>
    <w:rsid w:val="00531A97"/>
    <w:rsid w:val="005375F1"/>
    <w:rsid w:val="005407CF"/>
    <w:rsid w:val="00546E91"/>
    <w:rsid w:val="005504AC"/>
    <w:rsid w:val="0055396C"/>
    <w:rsid w:val="00554BE5"/>
    <w:rsid w:val="00556BEC"/>
    <w:rsid w:val="00562EF8"/>
    <w:rsid w:val="0056693D"/>
    <w:rsid w:val="0056741B"/>
    <w:rsid w:val="00575ED4"/>
    <w:rsid w:val="00576E8B"/>
    <w:rsid w:val="005806D6"/>
    <w:rsid w:val="0058513A"/>
    <w:rsid w:val="00585D63"/>
    <w:rsid w:val="0058668E"/>
    <w:rsid w:val="00593B7F"/>
    <w:rsid w:val="00595D27"/>
    <w:rsid w:val="005B7CB0"/>
    <w:rsid w:val="005C580D"/>
    <w:rsid w:val="005C70A5"/>
    <w:rsid w:val="005C7CA4"/>
    <w:rsid w:val="005D1BB8"/>
    <w:rsid w:val="005E7FA7"/>
    <w:rsid w:val="005F2B90"/>
    <w:rsid w:val="005F47CE"/>
    <w:rsid w:val="005F5D2E"/>
    <w:rsid w:val="0060295C"/>
    <w:rsid w:val="00605559"/>
    <w:rsid w:val="00607637"/>
    <w:rsid w:val="00614FD5"/>
    <w:rsid w:val="00616187"/>
    <w:rsid w:val="006305E7"/>
    <w:rsid w:val="006312D3"/>
    <w:rsid w:val="00634A60"/>
    <w:rsid w:val="00637A9C"/>
    <w:rsid w:val="00647603"/>
    <w:rsid w:val="006505B5"/>
    <w:rsid w:val="00653830"/>
    <w:rsid w:val="00656651"/>
    <w:rsid w:val="00656CED"/>
    <w:rsid w:val="006653D2"/>
    <w:rsid w:val="00665A70"/>
    <w:rsid w:val="006731A4"/>
    <w:rsid w:val="006779EF"/>
    <w:rsid w:val="0068071D"/>
    <w:rsid w:val="006A5E00"/>
    <w:rsid w:val="006A6CF7"/>
    <w:rsid w:val="006A7A57"/>
    <w:rsid w:val="006B5BE6"/>
    <w:rsid w:val="006C0F27"/>
    <w:rsid w:val="006C530C"/>
    <w:rsid w:val="006C6AFF"/>
    <w:rsid w:val="006C7267"/>
    <w:rsid w:val="006C7C48"/>
    <w:rsid w:val="006D0CC6"/>
    <w:rsid w:val="006D27C5"/>
    <w:rsid w:val="006D2B70"/>
    <w:rsid w:val="006D47B5"/>
    <w:rsid w:val="006D5897"/>
    <w:rsid w:val="006D5D73"/>
    <w:rsid w:val="006D62D1"/>
    <w:rsid w:val="006D693D"/>
    <w:rsid w:val="006D734E"/>
    <w:rsid w:val="006E309E"/>
    <w:rsid w:val="006E384C"/>
    <w:rsid w:val="006F07CB"/>
    <w:rsid w:val="006F4D88"/>
    <w:rsid w:val="00702723"/>
    <w:rsid w:val="00703428"/>
    <w:rsid w:val="00705A31"/>
    <w:rsid w:val="00706510"/>
    <w:rsid w:val="00706B3F"/>
    <w:rsid w:val="0071097F"/>
    <w:rsid w:val="00710CDA"/>
    <w:rsid w:val="0071453A"/>
    <w:rsid w:val="007146F4"/>
    <w:rsid w:val="007165CB"/>
    <w:rsid w:val="007176B0"/>
    <w:rsid w:val="00721C77"/>
    <w:rsid w:val="007236E3"/>
    <w:rsid w:val="00724F30"/>
    <w:rsid w:val="00725696"/>
    <w:rsid w:val="00725951"/>
    <w:rsid w:val="00730CE9"/>
    <w:rsid w:val="00733647"/>
    <w:rsid w:val="00742CE7"/>
    <w:rsid w:val="00744830"/>
    <w:rsid w:val="00744AAE"/>
    <w:rsid w:val="007502AA"/>
    <w:rsid w:val="00760043"/>
    <w:rsid w:val="0076616B"/>
    <w:rsid w:val="007719FF"/>
    <w:rsid w:val="00792747"/>
    <w:rsid w:val="00792DFF"/>
    <w:rsid w:val="0079586B"/>
    <w:rsid w:val="007A25FE"/>
    <w:rsid w:val="007A5606"/>
    <w:rsid w:val="007A6030"/>
    <w:rsid w:val="007B588D"/>
    <w:rsid w:val="007C00FB"/>
    <w:rsid w:val="007C08B6"/>
    <w:rsid w:val="007C1A03"/>
    <w:rsid w:val="007C1E2D"/>
    <w:rsid w:val="007C5903"/>
    <w:rsid w:val="007C7C83"/>
    <w:rsid w:val="007D375F"/>
    <w:rsid w:val="007E1CB3"/>
    <w:rsid w:val="007F2B6B"/>
    <w:rsid w:val="007F57B8"/>
    <w:rsid w:val="007F7015"/>
    <w:rsid w:val="00802ACB"/>
    <w:rsid w:val="00805647"/>
    <w:rsid w:val="00805CA0"/>
    <w:rsid w:val="00811B79"/>
    <w:rsid w:val="00812F13"/>
    <w:rsid w:val="008157B0"/>
    <w:rsid w:val="00817954"/>
    <w:rsid w:val="0085228F"/>
    <w:rsid w:val="00853AA3"/>
    <w:rsid w:val="00855AC0"/>
    <w:rsid w:val="00864351"/>
    <w:rsid w:val="00864D40"/>
    <w:rsid w:val="008659F4"/>
    <w:rsid w:val="00872BC3"/>
    <w:rsid w:val="0087707B"/>
    <w:rsid w:val="00877257"/>
    <w:rsid w:val="0087774E"/>
    <w:rsid w:val="008856DC"/>
    <w:rsid w:val="00891689"/>
    <w:rsid w:val="0089209B"/>
    <w:rsid w:val="00897897"/>
    <w:rsid w:val="008A0B43"/>
    <w:rsid w:val="008A43E6"/>
    <w:rsid w:val="008A5812"/>
    <w:rsid w:val="008A6065"/>
    <w:rsid w:val="008A739B"/>
    <w:rsid w:val="008A7D99"/>
    <w:rsid w:val="008B1E85"/>
    <w:rsid w:val="008B2215"/>
    <w:rsid w:val="008B4089"/>
    <w:rsid w:val="008B4D9A"/>
    <w:rsid w:val="008B74D5"/>
    <w:rsid w:val="008B798A"/>
    <w:rsid w:val="008C3541"/>
    <w:rsid w:val="008C4ABB"/>
    <w:rsid w:val="008D25E5"/>
    <w:rsid w:val="008E6704"/>
    <w:rsid w:val="008E6CEA"/>
    <w:rsid w:val="008E74B5"/>
    <w:rsid w:val="008F084B"/>
    <w:rsid w:val="008F1AD2"/>
    <w:rsid w:val="008F4B52"/>
    <w:rsid w:val="008F5C6D"/>
    <w:rsid w:val="00901427"/>
    <w:rsid w:val="009036D6"/>
    <w:rsid w:val="00905A0B"/>
    <w:rsid w:val="009079D3"/>
    <w:rsid w:val="0092001D"/>
    <w:rsid w:val="00920796"/>
    <w:rsid w:val="00927623"/>
    <w:rsid w:val="009357AB"/>
    <w:rsid w:val="00942C1F"/>
    <w:rsid w:val="00945559"/>
    <w:rsid w:val="00947692"/>
    <w:rsid w:val="00947EA2"/>
    <w:rsid w:val="009522AA"/>
    <w:rsid w:val="00954093"/>
    <w:rsid w:val="00964D4D"/>
    <w:rsid w:val="00965265"/>
    <w:rsid w:val="00970EA9"/>
    <w:rsid w:val="00975728"/>
    <w:rsid w:val="00975E83"/>
    <w:rsid w:val="00981C72"/>
    <w:rsid w:val="009840D5"/>
    <w:rsid w:val="009877A4"/>
    <w:rsid w:val="009A367B"/>
    <w:rsid w:val="009A48D7"/>
    <w:rsid w:val="009B1568"/>
    <w:rsid w:val="009B2972"/>
    <w:rsid w:val="009B6095"/>
    <w:rsid w:val="009B6714"/>
    <w:rsid w:val="009C224B"/>
    <w:rsid w:val="009C2289"/>
    <w:rsid w:val="009D56C9"/>
    <w:rsid w:val="009D6BFC"/>
    <w:rsid w:val="009E2CB7"/>
    <w:rsid w:val="009E7605"/>
    <w:rsid w:val="009F01D4"/>
    <w:rsid w:val="009F3E9E"/>
    <w:rsid w:val="009F5B44"/>
    <w:rsid w:val="009F5CC2"/>
    <w:rsid w:val="009F5E67"/>
    <w:rsid w:val="00A04888"/>
    <w:rsid w:val="00A0544F"/>
    <w:rsid w:val="00A071D2"/>
    <w:rsid w:val="00A10673"/>
    <w:rsid w:val="00A13B82"/>
    <w:rsid w:val="00A15D74"/>
    <w:rsid w:val="00A1783D"/>
    <w:rsid w:val="00A21277"/>
    <w:rsid w:val="00A2214A"/>
    <w:rsid w:val="00A221DF"/>
    <w:rsid w:val="00A3396D"/>
    <w:rsid w:val="00A36D01"/>
    <w:rsid w:val="00A37BA6"/>
    <w:rsid w:val="00A56350"/>
    <w:rsid w:val="00A6442F"/>
    <w:rsid w:val="00A73F13"/>
    <w:rsid w:val="00A7631E"/>
    <w:rsid w:val="00A83231"/>
    <w:rsid w:val="00A859E6"/>
    <w:rsid w:val="00A867B4"/>
    <w:rsid w:val="00A86E75"/>
    <w:rsid w:val="00A90BE2"/>
    <w:rsid w:val="00A937F4"/>
    <w:rsid w:val="00A96189"/>
    <w:rsid w:val="00A979BF"/>
    <w:rsid w:val="00AA01BF"/>
    <w:rsid w:val="00AA2D70"/>
    <w:rsid w:val="00AA4467"/>
    <w:rsid w:val="00AB1997"/>
    <w:rsid w:val="00AB3F8E"/>
    <w:rsid w:val="00AB505A"/>
    <w:rsid w:val="00AB6445"/>
    <w:rsid w:val="00AC2A11"/>
    <w:rsid w:val="00AC5646"/>
    <w:rsid w:val="00AC60C8"/>
    <w:rsid w:val="00AD44B6"/>
    <w:rsid w:val="00AD4EFF"/>
    <w:rsid w:val="00AD7749"/>
    <w:rsid w:val="00AE0CB3"/>
    <w:rsid w:val="00AE5C27"/>
    <w:rsid w:val="00AF077E"/>
    <w:rsid w:val="00AF2024"/>
    <w:rsid w:val="00B16B07"/>
    <w:rsid w:val="00B22929"/>
    <w:rsid w:val="00B26728"/>
    <w:rsid w:val="00B32C51"/>
    <w:rsid w:val="00B35CEF"/>
    <w:rsid w:val="00B36F62"/>
    <w:rsid w:val="00B410F0"/>
    <w:rsid w:val="00B4382F"/>
    <w:rsid w:val="00B47113"/>
    <w:rsid w:val="00B47286"/>
    <w:rsid w:val="00B5320D"/>
    <w:rsid w:val="00B53271"/>
    <w:rsid w:val="00B53884"/>
    <w:rsid w:val="00B540A0"/>
    <w:rsid w:val="00B6327B"/>
    <w:rsid w:val="00B66943"/>
    <w:rsid w:val="00B67B7F"/>
    <w:rsid w:val="00B752ED"/>
    <w:rsid w:val="00B85237"/>
    <w:rsid w:val="00B85BC4"/>
    <w:rsid w:val="00B902C2"/>
    <w:rsid w:val="00B95825"/>
    <w:rsid w:val="00B978DC"/>
    <w:rsid w:val="00BA6A48"/>
    <w:rsid w:val="00BB1FB4"/>
    <w:rsid w:val="00BB31B3"/>
    <w:rsid w:val="00BB6756"/>
    <w:rsid w:val="00BC3AC2"/>
    <w:rsid w:val="00BC718C"/>
    <w:rsid w:val="00BC7ED2"/>
    <w:rsid w:val="00BD3F5A"/>
    <w:rsid w:val="00BE0EAA"/>
    <w:rsid w:val="00BE646A"/>
    <w:rsid w:val="00BF0D56"/>
    <w:rsid w:val="00C06107"/>
    <w:rsid w:val="00C139D8"/>
    <w:rsid w:val="00C152CB"/>
    <w:rsid w:val="00C207E7"/>
    <w:rsid w:val="00C32763"/>
    <w:rsid w:val="00C32B92"/>
    <w:rsid w:val="00C35042"/>
    <w:rsid w:val="00C43BE4"/>
    <w:rsid w:val="00C453CE"/>
    <w:rsid w:val="00C454B9"/>
    <w:rsid w:val="00C466D3"/>
    <w:rsid w:val="00C50FC5"/>
    <w:rsid w:val="00C52181"/>
    <w:rsid w:val="00C53668"/>
    <w:rsid w:val="00C56AEA"/>
    <w:rsid w:val="00C57F9D"/>
    <w:rsid w:val="00C6064C"/>
    <w:rsid w:val="00C60DF3"/>
    <w:rsid w:val="00C61853"/>
    <w:rsid w:val="00C6274E"/>
    <w:rsid w:val="00C724F6"/>
    <w:rsid w:val="00C8423E"/>
    <w:rsid w:val="00C8677B"/>
    <w:rsid w:val="00C877B7"/>
    <w:rsid w:val="00C905EB"/>
    <w:rsid w:val="00C91006"/>
    <w:rsid w:val="00C92340"/>
    <w:rsid w:val="00C92F38"/>
    <w:rsid w:val="00C92F4C"/>
    <w:rsid w:val="00C93928"/>
    <w:rsid w:val="00C95448"/>
    <w:rsid w:val="00CA28EB"/>
    <w:rsid w:val="00CA3DC6"/>
    <w:rsid w:val="00CB113B"/>
    <w:rsid w:val="00CB1716"/>
    <w:rsid w:val="00CB4CF1"/>
    <w:rsid w:val="00CB5D52"/>
    <w:rsid w:val="00CC11E0"/>
    <w:rsid w:val="00CC14D8"/>
    <w:rsid w:val="00CC5009"/>
    <w:rsid w:val="00CC67E0"/>
    <w:rsid w:val="00CD692B"/>
    <w:rsid w:val="00CE2665"/>
    <w:rsid w:val="00CE3EF6"/>
    <w:rsid w:val="00CE60C6"/>
    <w:rsid w:val="00CE6451"/>
    <w:rsid w:val="00CF10C9"/>
    <w:rsid w:val="00CF39F4"/>
    <w:rsid w:val="00CF6621"/>
    <w:rsid w:val="00D00230"/>
    <w:rsid w:val="00D03891"/>
    <w:rsid w:val="00D054F7"/>
    <w:rsid w:val="00D11CC7"/>
    <w:rsid w:val="00D12323"/>
    <w:rsid w:val="00D17B88"/>
    <w:rsid w:val="00D20033"/>
    <w:rsid w:val="00D2039D"/>
    <w:rsid w:val="00D21F92"/>
    <w:rsid w:val="00D2633D"/>
    <w:rsid w:val="00D31987"/>
    <w:rsid w:val="00D37124"/>
    <w:rsid w:val="00D43EF1"/>
    <w:rsid w:val="00D46E4B"/>
    <w:rsid w:val="00D52D61"/>
    <w:rsid w:val="00D60C35"/>
    <w:rsid w:val="00D62847"/>
    <w:rsid w:val="00D62944"/>
    <w:rsid w:val="00D7038A"/>
    <w:rsid w:val="00D703AF"/>
    <w:rsid w:val="00D71E9B"/>
    <w:rsid w:val="00D72894"/>
    <w:rsid w:val="00D76AE6"/>
    <w:rsid w:val="00D801C2"/>
    <w:rsid w:val="00D84CF2"/>
    <w:rsid w:val="00D85261"/>
    <w:rsid w:val="00D912D5"/>
    <w:rsid w:val="00D93BBD"/>
    <w:rsid w:val="00D96F9F"/>
    <w:rsid w:val="00DA54C0"/>
    <w:rsid w:val="00DA5DEE"/>
    <w:rsid w:val="00DA7331"/>
    <w:rsid w:val="00DA76D2"/>
    <w:rsid w:val="00DB06BF"/>
    <w:rsid w:val="00DB1D64"/>
    <w:rsid w:val="00DB59F3"/>
    <w:rsid w:val="00DB7A00"/>
    <w:rsid w:val="00DC0FA1"/>
    <w:rsid w:val="00DC1055"/>
    <w:rsid w:val="00DC1A45"/>
    <w:rsid w:val="00DC34CA"/>
    <w:rsid w:val="00DC67FF"/>
    <w:rsid w:val="00DD0BE1"/>
    <w:rsid w:val="00DD57E4"/>
    <w:rsid w:val="00DD6CB3"/>
    <w:rsid w:val="00DE2CF9"/>
    <w:rsid w:val="00DE2E21"/>
    <w:rsid w:val="00DE7939"/>
    <w:rsid w:val="00DF27C9"/>
    <w:rsid w:val="00DF5456"/>
    <w:rsid w:val="00DF5EBB"/>
    <w:rsid w:val="00DF6EF3"/>
    <w:rsid w:val="00E00A55"/>
    <w:rsid w:val="00E01497"/>
    <w:rsid w:val="00E04C2A"/>
    <w:rsid w:val="00E13C26"/>
    <w:rsid w:val="00E14A29"/>
    <w:rsid w:val="00E22027"/>
    <w:rsid w:val="00E2670A"/>
    <w:rsid w:val="00E31168"/>
    <w:rsid w:val="00E320F5"/>
    <w:rsid w:val="00E37ADB"/>
    <w:rsid w:val="00E436B3"/>
    <w:rsid w:val="00E50CB3"/>
    <w:rsid w:val="00E52CE8"/>
    <w:rsid w:val="00E54EA2"/>
    <w:rsid w:val="00E60EC7"/>
    <w:rsid w:val="00E62B6B"/>
    <w:rsid w:val="00E6498C"/>
    <w:rsid w:val="00E80130"/>
    <w:rsid w:val="00E82B6F"/>
    <w:rsid w:val="00E82B77"/>
    <w:rsid w:val="00E831E2"/>
    <w:rsid w:val="00E83D26"/>
    <w:rsid w:val="00E90724"/>
    <w:rsid w:val="00E94612"/>
    <w:rsid w:val="00E9747A"/>
    <w:rsid w:val="00EA185E"/>
    <w:rsid w:val="00EA5B06"/>
    <w:rsid w:val="00EA5D38"/>
    <w:rsid w:val="00EB0A90"/>
    <w:rsid w:val="00EB6438"/>
    <w:rsid w:val="00EC1E86"/>
    <w:rsid w:val="00EC1F32"/>
    <w:rsid w:val="00EC252E"/>
    <w:rsid w:val="00EC36F3"/>
    <w:rsid w:val="00EC4CC0"/>
    <w:rsid w:val="00EC7641"/>
    <w:rsid w:val="00ED27D5"/>
    <w:rsid w:val="00ED403E"/>
    <w:rsid w:val="00ED4B22"/>
    <w:rsid w:val="00ED54B5"/>
    <w:rsid w:val="00EE4805"/>
    <w:rsid w:val="00EE4AB9"/>
    <w:rsid w:val="00EE4B99"/>
    <w:rsid w:val="00EF1F71"/>
    <w:rsid w:val="00EF278B"/>
    <w:rsid w:val="00EF5D0B"/>
    <w:rsid w:val="00F01AFF"/>
    <w:rsid w:val="00F052D3"/>
    <w:rsid w:val="00F1001A"/>
    <w:rsid w:val="00F12302"/>
    <w:rsid w:val="00F307A2"/>
    <w:rsid w:val="00F30B87"/>
    <w:rsid w:val="00F31808"/>
    <w:rsid w:val="00F3404A"/>
    <w:rsid w:val="00F40A8B"/>
    <w:rsid w:val="00F44F87"/>
    <w:rsid w:val="00F5166B"/>
    <w:rsid w:val="00F53F8B"/>
    <w:rsid w:val="00F541EA"/>
    <w:rsid w:val="00F542C0"/>
    <w:rsid w:val="00F7089E"/>
    <w:rsid w:val="00F75181"/>
    <w:rsid w:val="00F76C6A"/>
    <w:rsid w:val="00F76E1C"/>
    <w:rsid w:val="00F770DF"/>
    <w:rsid w:val="00F77169"/>
    <w:rsid w:val="00F805AC"/>
    <w:rsid w:val="00F8119F"/>
    <w:rsid w:val="00F85F5A"/>
    <w:rsid w:val="00F95448"/>
    <w:rsid w:val="00FA35BF"/>
    <w:rsid w:val="00FA4A82"/>
    <w:rsid w:val="00FA55A3"/>
    <w:rsid w:val="00FB25A0"/>
    <w:rsid w:val="00FB26BA"/>
    <w:rsid w:val="00FB3E32"/>
    <w:rsid w:val="00FB4A95"/>
    <w:rsid w:val="00FB50DB"/>
    <w:rsid w:val="00FC2012"/>
    <w:rsid w:val="00FC419E"/>
    <w:rsid w:val="00FC7841"/>
    <w:rsid w:val="00FD0B61"/>
    <w:rsid w:val="00FD2A4E"/>
    <w:rsid w:val="00FD4270"/>
    <w:rsid w:val="00FD5072"/>
    <w:rsid w:val="00FD6952"/>
    <w:rsid w:val="00FE1A97"/>
    <w:rsid w:val="00FE6485"/>
    <w:rsid w:val="00FE7493"/>
    <w:rsid w:val="00FF69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colormru v:ext="edit" colors="#01d1ae"/>
    </o:shapedefaults>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semiHidden="0" w:uiPriority="0" w:unhideWhenUsed="0"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5407CF"/>
    <w:pPr>
      <w:spacing w:before="120" w:after="120" w:line="280" w:lineRule="exact"/>
    </w:pPr>
    <w:rPr>
      <w:rFonts w:ascii="Arial" w:hAnsi="Arial" w:cs="Arial"/>
      <w:sz w:val="24"/>
      <w:lang w:eastAsia="en-US"/>
    </w:rPr>
  </w:style>
  <w:style w:type="paragraph" w:styleId="Heading1">
    <w:name w:val="heading 1"/>
    <w:basedOn w:val="Normal"/>
    <w:next w:val="Paragraphtext"/>
    <w:link w:val="Heading1Char"/>
    <w:qFormat/>
    <w:rsid w:val="000F7468"/>
    <w:pPr>
      <w:keepNext/>
      <w:spacing w:before="240" w:line="380" w:lineRule="exact"/>
      <w:outlineLvl w:val="0"/>
    </w:pPr>
    <w:rPr>
      <w:color w:val="00AEEF"/>
      <w:sz w:val="32"/>
    </w:rPr>
  </w:style>
  <w:style w:type="paragraph" w:styleId="Heading2">
    <w:name w:val="heading 2"/>
    <w:basedOn w:val="Normal"/>
    <w:next w:val="Normal"/>
    <w:qFormat/>
    <w:rsid w:val="00FA55A3"/>
    <w:pPr>
      <w:spacing w:before="240"/>
      <w:outlineLvl w:val="1"/>
    </w:pPr>
    <w:rPr>
      <w:b/>
      <w:color w:val="00AEEF"/>
    </w:rPr>
  </w:style>
  <w:style w:type="paragraph" w:styleId="Heading3">
    <w:name w:val="heading 3"/>
    <w:basedOn w:val="Normal"/>
    <w:next w:val="Normal"/>
    <w:qFormat/>
    <w:rsid w:val="00FA55A3"/>
    <w:pPr>
      <w:outlineLvl w:val="2"/>
    </w:pPr>
    <w:rPr>
      <w:b/>
    </w:rPr>
  </w:style>
  <w:style w:type="paragraph" w:styleId="Heading4">
    <w:name w:val="heading 4"/>
    <w:basedOn w:val="Normal"/>
    <w:next w:val="Normal"/>
    <w:qFormat/>
    <w:rsid w:val="000F7468"/>
    <w:pPr>
      <w:outlineLvl w:val="3"/>
    </w:pPr>
    <w:rPr>
      <w:color w:val="00AEEF"/>
    </w:rPr>
  </w:style>
  <w:style w:type="paragraph" w:styleId="Heading5">
    <w:name w:val="heading 5"/>
    <w:basedOn w:val="Normal"/>
    <w:next w:val="Normal"/>
    <w:qFormat/>
    <w:rsid w:val="00FA55A3"/>
    <w:pPr>
      <w:spacing w:before="240" w:after="60"/>
      <w:outlineLvl w:val="4"/>
    </w:pPr>
    <w:rPr>
      <w:bCs/>
      <w:i/>
      <w:iCs/>
      <w:szCs w:val="26"/>
    </w:rPr>
  </w:style>
  <w:style w:type="paragraph" w:styleId="Heading6">
    <w:name w:val="heading 6"/>
    <w:basedOn w:val="Normal"/>
    <w:next w:val="Normal"/>
    <w:link w:val="Heading6Char"/>
    <w:uiPriority w:val="9"/>
    <w:qFormat/>
    <w:rsid w:val="00FA55A3"/>
    <w:pPr>
      <w:spacing w:before="240" w:after="60"/>
      <w:outlineLvl w:val="5"/>
    </w:pPr>
    <w:rPr>
      <w:rFonts w:eastAsia="MS Mincho" w:cs="Times New Roman"/>
      <w:b/>
      <w:bCs/>
      <w:sz w:val="22"/>
      <w:szCs w:val="22"/>
    </w:rPr>
  </w:style>
  <w:style w:type="paragraph" w:styleId="Heading7">
    <w:name w:val="heading 7"/>
    <w:basedOn w:val="Normal"/>
    <w:next w:val="Normal"/>
    <w:link w:val="Heading7Char"/>
    <w:uiPriority w:val="9"/>
    <w:qFormat/>
    <w:rsid w:val="00FA55A3"/>
    <w:pPr>
      <w:spacing w:before="240" w:after="60"/>
      <w:outlineLvl w:val="6"/>
    </w:pPr>
    <w:rPr>
      <w:rFonts w:eastAsia="MS Mincho" w:cs="Times New Roman"/>
      <w:i/>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rsid w:val="004D5D49"/>
    <w:rPr>
      <w:rFonts w:cs="Times New Roman"/>
    </w:rPr>
  </w:style>
  <w:style w:type="character" w:customStyle="1" w:styleId="Heading6Char">
    <w:name w:val="Heading 6 Char"/>
    <w:link w:val="Heading6"/>
    <w:uiPriority w:val="9"/>
    <w:rsid w:val="00FA55A3"/>
    <w:rPr>
      <w:rFonts w:ascii="Arial" w:eastAsia="MS Mincho" w:hAnsi="Arial"/>
      <w:b/>
      <w:bCs/>
      <w:sz w:val="22"/>
      <w:szCs w:val="22"/>
      <w:lang w:eastAsia="en-US"/>
    </w:rPr>
  </w:style>
  <w:style w:type="character" w:customStyle="1" w:styleId="Heading7Char">
    <w:name w:val="Heading 7 Char"/>
    <w:link w:val="Heading7"/>
    <w:uiPriority w:val="9"/>
    <w:rsid w:val="00FA55A3"/>
    <w:rPr>
      <w:rFonts w:ascii="Arial" w:eastAsia="MS Mincho" w:hAnsi="Arial"/>
      <w:i/>
      <w:sz w:val="22"/>
      <w:szCs w:val="24"/>
      <w:lang w:eastAsia="en-US"/>
    </w:rPr>
  </w:style>
  <w:style w:type="paragraph" w:customStyle="1" w:styleId="Listbullet2">
    <w:name w:val="List bullet2"/>
    <w:rsid w:val="00FA55A3"/>
    <w:pPr>
      <w:numPr>
        <w:ilvl w:val="1"/>
        <w:numId w:val="1"/>
      </w:numPr>
      <w:tabs>
        <w:tab w:val="clear" w:pos="720"/>
        <w:tab w:val="num" w:pos="1418"/>
      </w:tabs>
      <w:spacing w:before="120" w:after="120" w:line="320" w:lineRule="exact"/>
      <w:ind w:left="1418" w:hanging="567"/>
      <w:contextualSpacing/>
    </w:pPr>
    <w:rPr>
      <w:rFonts w:ascii="Arial" w:hAnsi="Arial"/>
      <w:sz w:val="24"/>
      <w:lang w:eastAsia="en-US"/>
    </w:rPr>
  </w:style>
  <w:style w:type="paragraph" w:customStyle="1" w:styleId="Figureschartstitle">
    <w:name w:val="Figures/charts title"/>
    <w:basedOn w:val="Introduction"/>
    <w:rsid w:val="005407CF"/>
    <w:pPr>
      <w:spacing w:before="120" w:after="60" w:line="240" w:lineRule="auto"/>
      <w:outlineLvl w:val="5"/>
    </w:pPr>
    <w:rPr>
      <w:b/>
      <w:sz w:val="22"/>
    </w:rPr>
  </w:style>
  <w:style w:type="paragraph" w:customStyle="1" w:styleId="Introduction">
    <w:name w:val="Introduction"/>
    <w:basedOn w:val="Normal"/>
    <w:next w:val="Paragraphtext"/>
    <w:rsid w:val="00EF1F71"/>
    <w:pPr>
      <w:spacing w:before="240" w:line="380" w:lineRule="exact"/>
    </w:pPr>
    <w:rPr>
      <w:rFonts w:cs="Times New Roman"/>
      <w:color w:val="00AEEF"/>
      <w:sz w:val="32"/>
    </w:rPr>
  </w:style>
  <w:style w:type="paragraph" w:customStyle="1" w:styleId="Titlepagetext">
    <w:name w:val="Title page text"/>
    <w:basedOn w:val="Normal"/>
    <w:next w:val="Paragraphtext"/>
    <w:rsid w:val="00FA55A3"/>
    <w:rPr>
      <w:b/>
    </w:rPr>
  </w:style>
  <w:style w:type="character" w:styleId="FollowedHyperlink">
    <w:name w:val="FollowedHyperlink"/>
    <w:uiPriority w:val="99"/>
    <w:semiHidden/>
    <w:rPr>
      <w:rFonts w:ascii="Arial" w:hAnsi="Arial"/>
      <w:color w:val="800080"/>
      <w:sz w:val="24"/>
      <w:u w:val="single"/>
    </w:rPr>
  </w:style>
  <w:style w:type="paragraph" w:customStyle="1" w:styleId="Listalpha">
    <w:name w:val="List alpha"/>
    <w:rsid w:val="00FA55A3"/>
    <w:pPr>
      <w:numPr>
        <w:numId w:val="4"/>
      </w:numPr>
      <w:spacing w:before="120" w:after="120" w:line="320" w:lineRule="exact"/>
      <w:ind w:left="357" w:hanging="357"/>
    </w:pPr>
    <w:rPr>
      <w:rFonts w:ascii="Arial" w:hAnsi="Arial"/>
      <w:sz w:val="24"/>
      <w:lang w:eastAsia="en-US"/>
    </w:rPr>
  </w:style>
  <w:style w:type="paragraph" w:customStyle="1" w:styleId="Listbullet1">
    <w:name w:val="List bullet1"/>
    <w:rsid w:val="00FA55A3"/>
    <w:pPr>
      <w:numPr>
        <w:numId w:val="1"/>
      </w:numPr>
      <w:tabs>
        <w:tab w:val="left" w:pos="851"/>
      </w:tabs>
      <w:spacing w:before="120" w:after="120" w:line="320" w:lineRule="exact"/>
      <w:ind w:left="885" w:hanging="397"/>
    </w:pPr>
    <w:rPr>
      <w:rFonts w:ascii="Arial" w:hAnsi="Arial" w:cs="Arial"/>
      <w:sz w:val="24"/>
      <w:lang w:eastAsia="en-US"/>
    </w:rPr>
  </w:style>
  <w:style w:type="paragraph" w:customStyle="1" w:styleId="ChapterHead">
    <w:name w:val="Chapter Head"/>
    <w:basedOn w:val="Normal"/>
    <w:next w:val="Introduction"/>
    <w:rsid w:val="00D52D61"/>
    <w:pPr>
      <w:keepNext/>
      <w:spacing w:before="1000" w:after="2000" w:line="540" w:lineRule="exact"/>
      <w:contextualSpacing/>
      <w:outlineLvl w:val="0"/>
    </w:pPr>
    <w:rPr>
      <w:rFonts w:cs="Times New Roman"/>
      <w:color w:val="00AEEF"/>
      <w:sz w:val="50"/>
    </w:rPr>
  </w:style>
  <w:style w:type="paragraph" w:customStyle="1" w:styleId="Footnote">
    <w:name w:val="Footnote"/>
    <w:basedOn w:val="Normal"/>
    <w:rsid w:val="00D37124"/>
    <w:pPr>
      <w:spacing w:after="60"/>
    </w:pPr>
    <w:rPr>
      <w:sz w:val="20"/>
    </w:rPr>
  </w:style>
  <w:style w:type="paragraph" w:customStyle="1" w:styleId="Listnumbered">
    <w:name w:val="List numbered"/>
    <w:rsid w:val="00FA55A3"/>
    <w:pPr>
      <w:numPr>
        <w:numId w:val="3"/>
      </w:numPr>
      <w:spacing w:before="120" w:after="120" w:line="320" w:lineRule="exact"/>
      <w:ind w:left="357" w:hanging="357"/>
    </w:pPr>
    <w:rPr>
      <w:rFonts w:ascii="Arial" w:hAnsi="Arial"/>
      <w:sz w:val="24"/>
      <w:lang w:eastAsia="en-US"/>
    </w:rPr>
  </w:style>
  <w:style w:type="paragraph" w:customStyle="1" w:styleId="Listbullet3">
    <w:name w:val="List bullet3"/>
    <w:rsid w:val="00FA55A3"/>
    <w:pPr>
      <w:numPr>
        <w:ilvl w:val="2"/>
        <w:numId w:val="1"/>
      </w:numPr>
      <w:spacing w:after="60"/>
      <w:ind w:left="1843" w:hanging="425"/>
      <w:contextualSpacing/>
    </w:pPr>
    <w:rPr>
      <w:rFonts w:ascii="Arial" w:hAnsi="Arial"/>
      <w:sz w:val="24"/>
      <w:lang w:eastAsia="en-US"/>
    </w:rPr>
  </w:style>
  <w:style w:type="paragraph" w:customStyle="1" w:styleId="Notesexample">
    <w:name w:val="Notes/example"/>
    <w:basedOn w:val="Caption"/>
    <w:next w:val="Paragraphtext"/>
    <w:rsid w:val="00E6498C"/>
    <w:pPr>
      <w:outlineLvl w:val="4"/>
    </w:pPr>
    <w:rPr>
      <w:color w:val="00AEEF"/>
      <w:sz w:val="22"/>
    </w:rPr>
  </w:style>
  <w:style w:type="paragraph" w:styleId="Caption">
    <w:name w:val="caption"/>
    <w:basedOn w:val="Normal"/>
    <w:next w:val="Normal"/>
    <w:qFormat/>
    <w:rsid w:val="005407CF"/>
    <w:rPr>
      <w:b/>
      <w:bCs/>
      <w:sz w:val="20"/>
    </w:rPr>
  </w:style>
  <w:style w:type="paragraph" w:customStyle="1" w:styleId="RunningHeads">
    <w:name w:val="Running Heads"/>
    <w:rsid w:val="00FA55A3"/>
    <w:pPr>
      <w:spacing w:line="240" w:lineRule="exact"/>
    </w:pPr>
    <w:rPr>
      <w:rFonts w:ascii="Arial" w:hAnsi="Arial" w:cs="Arial"/>
      <w:sz w:val="18"/>
      <w:lang w:eastAsia="en-US"/>
    </w:rPr>
  </w:style>
  <w:style w:type="paragraph" w:styleId="Footer">
    <w:name w:val="footer"/>
    <w:basedOn w:val="Normal"/>
    <w:link w:val="FooterChar"/>
    <w:uiPriority w:val="99"/>
    <w:rsid w:val="008B74D5"/>
    <w:pPr>
      <w:tabs>
        <w:tab w:val="center" w:pos="4153"/>
        <w:tab w:val="right" w:pos="8306"/>
      </w:tabs>
      <w:jc w:val="center"/>
    </w:pPr>
    <w:rPr>
      <w:sz w:val="22"/>
    </w:rPr>
  </w:style>
  <w:style w:type="character" w:customStyle="1" w:styleId="FooterChar">
    <w:name w:val="Footer Char"/>
    <w:link w:val="Footer"/>
    <w:uiPriority w:val="99"/>
    <w:rsid w:val="00D12323"/>
    <w:rPr>
      <w:rFonts w:ascii="Arial" w:hAnsi="Arial" w:cs="Arial"/>
      <w:sz w:val="22"/>
      <w:lang w:eastAsia="en-US"/>
    </w:rPr>
  </w:style>
  <w:style w:type="paragraph" w:styleId="Title">
    <w:name w:val="Title"/>
    <w:basedOn w:val="Normal"/>
    <w:qFormat/>
    <w:rsid w:val="006D62D1"/>
    <w:pPr>
      <w:spacing w:after="240" w:line="840" w:lineRule="exact"/>
      <w:outlineLvl w:val="0"/>
    </w:pPr>
    <w:rPr>
      <w:rFonts w:cs="Times New Roman"/>
      <w:color w:val="00AEEF"/>
      <w:sz w:val="76"/>
    </w:rPr>
  </w:style>
  <w:style w:type="character" w:styleId="Hyperlink">
    <w:name w:val="Hyperlink"/>
    <w:uiPriority w:val="99"/>
    <w:rsid w:val="008E6704"/>
    <w:rPr>
      <w:rFonts w:ascii="Helvetica Neue" w:hAnsi="Helvetica Neue"/>
      <w:color w:val="0000FF"/>
      <w:sz w:val="24"/>
      <w:u w:val="single"/>
    </w:rPr>
  </w:style>
  <w:style w:type="paragraph" w:styleId="TOC1">
    <w:name w:val="toc 1"/>
    <w:basedOn w:val="Normal"/>
    <w:next w:val="Normal"/>
    <w:autoRedefine/>
    <w:uiPriority w:val="39"/>
    <w:rsid w:val="003B686D"/>
    <w:pPr>
      <w:tabs>
        <w:tab w:val="right" w:leader="dot" w:pos="10082"/>
      </w:tabs>
      <w:ind w:right="142"/>
    </w:pPr>
    <w:rPr>
      <w:color w:val="00AEEF"/>
    </w:rPr>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Subtitle">
    <w:name w:val="Subtitle"/>
    <w:basedOn w:val="Normal"/>
    <w:qFormat/>
    <w:rsid w:val="00EC252E"/>
    <w:pPr>
      <w:spacing w:line="520" w:lineRule="exact"/>
      <w:outlineLvl w:val="1"/>
    </w:pPr>
    <w:rPr>
      <w:rFonts w:cs="Times New Roman"/>
      <w:sz w:val="44"/>
    </w:rPr>
  </w:style>
  <w:style w:type="paragraph" w:customStyle="1" w:styleId="Paragraphnumbered">
    <w:name w:val="Paragraph numbered"/>
    <w:basedOn w:val="Paragraphtext"/>
    <w:rsid w:val="00B26728"/>
    <w:pPr>
      <w:numPr>
        <w:ilvl w:val="1"/>
        <w:numId w:val="2"/>
      </w:numPr>
      <w:ind w:left="794" w:hanging="794"/>
    </w:pPr>
  </w:style>
  <w:style w:type="paragraph" w:styleId="Date">
    <w:name w:val="Date"/>
    <w:next w:val="Normal"/>
    <w:link w:val="DateChar"/>
    <w:uiPriority w:val="99"/>
    <w:unhideWhenUsed/>
    <w:rsid w:val="00721C77"/>
    <w:pPr>
      <w:spacing w:before="240"/>
      <w:ind w:right="284"/>
      <w:jc w:val="right"/>
    </w:pPr>
    <w:rPr>
      <w:rFonts w:ascii="Arial" w:hAnsi="Arial"/>
      <w:color w:val="FFFFFF"/>
      <w:sz w:val="28"/>
      <w:lang w:eastAsia="en-US"/>
    </w:rPr>
  </w:style>
  <w:style w:type="character" w:customStyle="1" w:styleId="DateChar">
    <w:name w:val="Date Char"/>
    <w:link w:val="Date"/>
    <w:uiPriority w:val="99"/>
    <w:rsid w:val="00721C77"/>
    <w:rPr>
      <w:rFonts w:ascii="Arial" w:hAnsi="Arial"/>
      <w:color w:val="FFFFFF"/>
      <w:sz w:val="28"/>
      <w:lang w:eastAsia="en-US"/>
    </w:rPr>
  </w:style>
  <w:style w:type="paragraph" w:customStyle="1" w:styleId="ChptHead">
    <w:name w:val="Chpt Head"/>
    <w:basedOn w:val="ChapterHead"/>
    <w:next w:val="Paragraphtext"/>
    <w:rsid w:val="006C530C"/>
    <w:pPr>
      <w:numPr>
        <w:numId w:val="2"/>
      </w:numPr>
      <w:ind w:left="357" w:hanging="357"/>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D12323"/>
    <w:rPr>
      <w:rFonts w:ascii="Tahoma" w:hAnsi="Tahoma" w:cs="Tahoma"/>
      <w:sz w:val="16"/>
      <w:szCs w:val="16"/>
      <w:lang w:eastAsia="en-US"/>
    </w:rPr>
  </w:style>
  <w:style w:type="paragraph" w:styleId="Header">
    <w:name w:val="header"/>
    <w:basedOn w:val="Normal"/>
    <w:link w:val="HeaderChar"/>
    <w:uiPriority w:val="99"/>
    <w:rsid w:val="00D62944"/>
    <w:pPr>
      <w:tabs>
        <w:tab w:val="center" w:pos="4153"/>
        <w:tab w:val="right" w:pos="8306"/>
      </w:tabs>
      <w:jc w:val="right"/>
    </w:pPr>
    <w:rPr>
      <w:color w:val="666666"/>
      <w:sz w:val="22"/>
    </w:rPr>
  </w:style>
  <w:style w:type="character" w:customStyle="1" w:styleId="HeaderChar">
    <w:name w:val="Header Char"/>
    <w:link w:val="Header"/>
    <w:uiPriority w:val="99"/>
    <w:rsid w:val="00D12323"/>
    <w:rPr>
      <w:rFonts w:ascii="Arial" w:hAnsi="Arial" w:cs="Arial"/>
      <w:color w:val="666666"/>
      <w:sz w:val="22"/>
      <w:lang w:eastAsia="en-US"/>
    </w:rPr>
  </w:style>
  <w:style w:type="paragraph" w:styleId="FootnoteText">
    <w:name w:val="footnote text"/>
    <w:basedOn w:val="Normal"/>
    <w:link w:val="FootnoteTextChar"/>
    <w:uiPriority w:val="99"/>
    <w:semiHidden/>
    <w:rsid w:val="00D85261"/>
    <w:pPr>
      <w:spacing w:before="0" w:after="60" w:line="240" w:lineRule="exact"/>
    </w:pPr>
    <w:rPr>
      <w:sz w:val="20"/>
    </w:rPr>
  </w:style>
  <w:style w:type="character" w:customStyle="1" w:styleId="FootnoteTextChar">
    <w:name w:val="Footnote Text Char"/>
    <w:link w:val="FootnoteText"/>
    <w:uiPriority w:val="99"/>
    <w:semiHidden/>
    <w:rsid w:val="00D12323"/>
    <w:rPr>
      <w:rFonts w:ascii="Arial" w:hAnsi="Arial" w:cs="Arial"/>
      <w:lang w:eastAsia="en-US"/>
    </w:rPr>
  </w:style>
  <w:style w:type="character" w:styleId="FootnoteReference">
    <w:name w:val="footnote reference"/>
    <w:uiPriority w:val="99"/>
    <w:semiHidden/>
    <w:rPr>
      <w:vertAlign w:val="superscript"/>
    </w:rPr>
  </w:style>
  <w:style w:type="character" w:styleId="PageNumber">
    <w:name w:val="page number"/>
    <w:basedOn w:val="DefaultParagraphFont"/>
    <w:semiHidden/>
  </w:style>
  <w:style w:type="character" w:customStyle="1" w:styleId="colour">
    <w:name w:val="colour"/>
    <w:uiPriority w:val="1"/>
    <w:qFormat/>
    <w:rsid w:val="00A7631E"/>
    <w:rPr>
      <w:color w:val="00AEEF"/>
    </w:rPr>
  </w:style>
  <w:style w:type="paragraph" w:styleId="TOCHeading">
    <w:name w:val="TOC Heading"/>
    <w:basedOn w:val="ChapterHead"/>
    <w:next w:val="Normal"/>
    <w:uiPriority w:val="71"/>
    <w:unhideWhenUsed/>
    <w:qFormat/>
    <w:rsid w:val="00B36F62"/>
    <w:pPr>
      <w:spacing w:after="1000"/>
    </w:pPr>
  </w:style>
  <w:style w:type="paragraph" w:customStyle="1" w:styleId="Boxtext">
    <w:name w:val="Box text"/>
    <w:basedOn w:val="Paragraphtext"/>
    <w:next w:val="Paragraphtext"/>
    <w:qFormat/>
    <w:rsid w:val="00A867B4"/>
    <w:pPr>
      <w:shd w:val="clear" w:color="auto" w:fill="CAEEFF"/>
      <w:ind w:left="567" w:right="567"/>
    </w:pPr>
  </w:style>
  <w:style w:type="character" w:customStyle="1" w:styleId="CommentTextChar">
    <w:name w:val="Comment Text Char"/>
    <w:link w:val="CommentText"/>
    <w:uiPriority w:val="99"/>
    <w:semiHidden/>
    <w:rsid w:val="00D12323"/>
    <w:rPr>
      <w:rFonts w:ascii="Calibri" w:eastAsia="Calibri" w:hAnsi="Calibri"/>
      <w:lang w:eastAsia="en-US"/>
    </w:rPr>
  </w:style>
  <w:style w:type="paragraph" w:styleId="CommentText">
    <w:name w:val="annotation text"/>
    <w:basedOn w:val="Normal"/>
    <w:link w:val="CommentTextChar"/>
    <w:uiPriority w:val="99"/>
    <w:semiHidden/>
    <w:unhideWhenUsed/>
    <w:rsid w:val="00D12323"/>
    <w:pPr>
      <w:spacing w:before="0" w:after="200" w:line="276" w:lineRule="auto"/>
    </w:pPr>
    <w:rPr>
      <w:rFonts w:ascii="Calibri" w:eastAsia="Calibri" w:hAnsi="Calibri" w:cs="Times New Roman"/>
      <w:sz w:val="20"/>
    </w:rPr>
  </w:style>
  <w:style w:type="character" w:customStyle="1" w:styleId="CommentSubjectChar">
    <w:name w:val="Comment Subject Char"/>
    <w:link w:val="CommentSubject"/>
    <w:uiPriority w:val="99"/>
    <w:semiHidden/>
    <w:rsid w:val="00D12323"/>
    <w:rPr>
      <w:rFonts w:ascii="Calibri" w:eastAsia="Calibri" w:hAnsi="Calibri"/>
      <w:b/>
      <w:bCs/>
      <w:lang w:eastAsia="en-US"/>
    </w:rPr>
  </w:style>
  <w:style w:type="paragraph" w:styleId="CommentSubject">
    <w:name w:val="annotation subject"/>
    <w:basedOn w:val="CommentText"/>
    <w:next w:val="CommentText"/>
    <w:link w:val="CommentSubjectChar"/>
    <w:uiPriority w:val="99"/>
    <w:semiHidden/>
    <w:unhideWhenUsed/>
    <w:rsid w:val="00D12323"/>
    <w:rPr>
      <w:b/>
      <w:bCs/>
    </w:rPr>
  </w:style>
  <w:style w:type="paragraph" w:customStyle="1" w:styleId="Default">
    <w:name w:val="Default"/>
    <w:rsid w:val="00D12323"/>
    <w:pPr>
      <w:autoSpaceDE w:val="0"/>
      <w:autoSpaceDN w:val="0"/>
      <w:adjustRightInd w:val="0"/>
    </w:pPr>
    <w:rPr>
      <w:rFonts w:ascii="Arial" w:eastAsia="Calibri" w:hAnsi="Arial" w:cs="Arial"/>
      <w:color w:val="000000"/>
      <w:sz w:val="24"/>
      <w:szCs w:val="24"/>
    </w:rPr>
  </w:style>
  <w:style w:type="paragraph" w:styleId="NoSpacing">
    <w:name w:val="No Spacing"/>
    <w:uiPriority w:val="1"/>
    <w:qFormat/>
    <w:rsid w:val="00D12323"/>
    <w:rPr>
      <w:rFonts w:ascii="Calibri" w:eastAsia="Calibri" w:hAnsi="Calibri"/>
      <w:sz w:val="22"/>
      <w:szCs w:val="22"/>
      <w:lang w:eastAsia="en-US"/>
    </w:rPr>
  </w:style>
  <w:style w:type="paragraph" w:styleId="ListParagraph">
    <w:name w:val="List Paragraph"/>
    <w:basedOn w:val="Normal"/>
    <w:uiPriority w:val="34"/>
    <w:qFormat/>
    <w:rsid w:val="00D12323"/>
    <w:pPr>
      <w:spacing w:before="0" w:after="0" w:line="240" w:lineRule="auto"/>
      <w:ind w:left="720"/>
    </w:pPr>
    <w:rPr>
      <w:rFonts w:ascii="Calibri" w:hAnsi="Calibri" w:cs="Times New Roman"/>
      <w:sz w:val="22"/>
      <w:szCs w:val="22"/>
    </w:rPr>
  </w:style>
  <w:style w:type="paragraph" w:styleId="NormalWeb">
    <w:name w:val="Normal (Web)"/>
    <w:basedOn w:val="Normal"/>
    <w:uiPriority w:val="99"/>
    <w:unhideWhenUsed/>
    <w:rsid w:val="00D12323"/>
    <w:pPr>
      <w:spacing w:before="0" w:after="0" w:line="240" w:lineRule="auto"/>
    </w:pPr>
    <w:rPr>
      <w:rFonts w:ascii="Times New Roman" w:hAnsi="Times New Roman" w:cs="Times New Roman"/>
      <w:szCs w:val="24"/>
      <w:lang w:eastAsia="en-GB"/>
    </w:rPr>
  </w:style>
  <w:style w:type="paragraph" w:styleId="TableofFigures">
    <w:name w:val="table of figures"/>
    <w:basedOn w:val="Normal"/>
    <w:next w:val="Normal"/>
    <w:uiPriority w:val="99"/>
    <w:unhideWhenUsed/>
    <w:rsid w:val="000F4B03"/>
  </w:style>
  <w:style w:type="character" w:styleId="CommentReference">
    <w:name w:val="annotation reference"/>
    <w:uiPriority w:val="99"/>
    <w:semiHidden/>
    <w:unhideWhenUsed/>
    <w:rsid w:val="00B66943"/>
    <w:rPr>
      <w:sz w:val="16"/>
      <w:szCs w:val="16"/>
    </w:rPr>
  </w:style>
  <w:style w:type="table" w:styleId="TableGrid">
    <w:name w:val="Table Grid"/>
    <w:basedOn w:val="TableNormal"/>
    <w:uiPriority w:val="59"/>
    <w:rsid w:val="00415EE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
    <w:name w:val="Light List - Accent 11"/>
    <w:basedOn w:val="TableNormal"/>
    <w:uiPriority w:val="61"/>
    <w:rsid w:val="00415EE4"/>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
    <w:name w:val="Light List - Accent 12"/>
    <w:basedOn w:val="TableNormal"/>
    <w:uiPriority w:val="61"/>
    <w:rsid w:val="00415EE4"/>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eading1Char">
    <w:name w:val="Heading 1 Char"/>
    <w:link w:val="Heading1"/>
    <w:rsid w:val="00C91006"/>
    <w:rPr>
      <w:rFonts w:ascii="Arial" w:hAnsi="Arial" w:cs="Arial"/>
      <w:color w:val="00AEEF"/>
      <w:sz w:val="32"/>
      <w:lang w:eastAsia="en-US"/>
    </w:rPr>
  </w:style>
  <w:style w:type="paragraph" w:customStyle="1" w:styleId="Subsnumberedparagraphs">
    <w:name w:val="Subs numbered paragraphs"/>
    <w:basedOn w:val="Normal"/>
    <w:qFormat/>
    <w:rsid w:val="00AD44B6"/>
    <w:pPr>
      <w:numPr>
        <w:numId w:val="39"/>
      </w:numPr>
      <w:spacing w:before="0" w:line="240" w:lineRule="auto"/>
      <w:ind w:left="-28" w:hanging="397"/>
    </w:pPr>
    <w:rPr>
      <w:rFonts w:eastAsia="Calibr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97474">
      <w:bodyDiv w:val="1"/>
      <w:marLeft w:val="0"/>
      <w:marRight w:val="0"/>
      <w:marTop w:val="0"/>
      <w:marBottom w:val="0"/>
      <w:divBdr>
        <w:top w:val="none" w:sz="0" w:space="0" w:color="auto"/>
        <w:left w:val="none" w:sz="0" w:space="0" w:color="auto"/>
        <w:bottom w:val="none" w:sz="0" w:space="0" w:color="auto"/>
        <w:right w:val="none" w:sz="0" w:space="0" w:color="auto"/>
      </w:divBdr>
    </w:div>
    <w:div w:id="78871775">
      <w:bodyDiv w:val="1"/>
      <w:marLeft w:val="0"/>
      <w:marRight w:val="0"/>
      <w:marTop w:val="0"/>
      <w:marBottom w:val="0"/>
      <w:divBdr>
        <w:top w:val="none" w:sz="0" w:space="0" w:color="auto"/>
        <w:left w:val="none" w:sz="0" w:space="0" w:color="auto"/>
        <w:bottom w:val="none" w:sz="0" w:space="0" w:color="auto"/>
        <w:right w:val="none" w:sz="0" w:space="0" w:color="auto"/>
      </w:divBdr>
    </w:div>
    <w:div w:id="153448663">
      <w:bodyDiv w:val="1"/>
      <w:marLeft w:val="0"/>
      <w:marRight w:val="0"/>
      <w:marTop w:val="0"/>
      <w:marBottom w:val="0"/>
      <w:divBdr>
        <w:top w:val="none" w:sz="0" w:space="0" w:color="auto"/>
        <w:left w:val="none" w:sz="0" w:space="0" w:color="auto"/>
        <w:bottom w:val="none" w:sz="0" w:space="0" w:color="auto"/>
        <w:right w:val="none" w:sz="0" w:space="0" w:color="auto"/>
      </w:divBdr>
    </w:div>
    <w:div w:id="283268792">
      <w:bodyDiv w:val="1"/>
      <w:marLeft w:val="0"/>
      <w:marRight w:val="0"/>
      <w:marTop w:val="0"/>
      <w:marBottom w:val="0"/>
      <w:divBdr>
        <w:top w:val="none" w:sz="0" w:space="0" w:color="auto"/>
        <w:left w:val="none" w:sz="0" w:space="0" w:color="auto"/>
        <w:bottom w:val="none" w:sz="0" w:space="0" w:color="auto"/>
        <w:right w:val="none" w:sz="0" w:space="0" w:color="auto"/>
      </w:divBdr>
    </w:div>
    <w:div w:id="307134117">
      <w:bodyDiv w:val="1"/>
      <w:marLeft w:val="0"/>
      <w:marRight w:val="0"/>
      <w:marTop w:val="0"/>
      <w:marBottom w:val="0"/>
      <w:divBdr>
        <w:top w:val="none" w:sz="0" w:space="0" w:color="auto"/>
        <w:left w:val="none" w:sz="0" w:space="0" w:color="auto"/>
        <w:bottom w:val="none" w:sz="0" w:space="0" w:color="auto"/>
        <w:right w:val="none" w:sz="0" w:space="0" w:color="auto"/>
      </w:divBdr>
    </w:div>
    <w:div w:id="325864735">
      <w:bodyDiv w:val="1"/>
      <w:marLeft w:val="0"/>
      <w:marRight w:val="0"/>
      <w:marTop w:val="0"/>
      <w:marBottom w:val="0"/>
      <w:divBdr>
        <w:top w:val="none" w:sz="0" w:space="0" w:color="auto"/>
        <w:left w:val="none" w:sz="0" w:space="0" w:color="auto"/>
        <w:bottom w:val="none" w:sz="0" w:space="0" w:color="auto"/>
        <w:right w:val="none" w:sz="0" w:space="0" w:color="auto"/>
      </w:divBdr>
    </w:div>
    <w:div w:id="350762781">
      <w:bodyDiv w:val="1"/>
      <w:marLeft w:val="0"/>
      <w:marRight w:val="0"/>
      <w:marTop w:val="0"/>
      <w:marBottom w:val="0"/>
      <w:divBdr>
        <w:top w:val="none" w:sz="0" w:space="0" w:color="auto"/>
        <w:left w:val="none" w:sz="0" w:space="0" w:color="auto"/>
        <w:bottom w:val="none" w:sz="0" w:space="0" w:color="auto"/>
        <w:right w:val="none" w:sz="0" w:space="0" w:color="auto"/>
      </w:divBdr>
    </w:div>
    <w:div w:id="528446848">
      <w:bodyDiv w:val="1"/>
      <w:marLeft w:val="0"/>
      <w:marRight w:val="0"/>
      <w:marTop w:val="0"/>
      <w:marBottom w:val="0"/>
      <w:divBdr>
        <w:top w:val="none" w:sz="0" w:space="0" w:color="auto"/>
        <w:left w:val="none" w:sz="0" w:space="0" w:color="auto"/>
        <w:bottom w:val="none" w:sz="0" w:space="0" w:color="auto"/>
        <w:right w:val="none" w:sz="0" w:space="0" w:color="auto"/>
      </w:divBdr>
    </w:div>
    <w:div w:id="656761115">
      <w:bodyDiv w:val="1"/>
      <w:marLeft w:val="0"/>
      <w:marRight w:val="0"/>
      <w:marTop w:val="0"/>
      <w:marBottom w:val="0"/>
      <w:divBdr>
        <w:top w:val="none" w:sz="0" w:space="0" w:color="auto"/>
        <w:left w:val="none" w:sz="0" w:space="0" w:color="auto"/>
        <w:bottom w:val="none" w:sz="0" w:space="0" w:color="auto"/>
        <w:right w:val="none" w:sz="0" w:space="0" w:color="auto"/>
      </w:divBdr>
    </w:div>
    <w:div w:id="740179861">
      <w:bodyDiv w:val="1"/>
      <w:marLeft w:val="0"/>
      <w:marRight w:val="0"/>
      <w:marTop w:val="0"/>
      <w:marBottom w:val="0"/>
      <w:divBdr>
        <w:top w:val="none" w:sz="0" w:space="0" w:color="auto"/>
        <w:left w:val="none" w:sz="0" w:space="0" w:color="auto"/>
        <w:bottom w:val="none" w:sz="0" w:space="0" w:color="auto"/>
        <w:right w:val="none" w:sz="0" w:space="0" w:color="auto"/>
      </w:divBdr>
    </w:div>
    <w:div w:id="883785418">
      <w:bodyDiv w:val="1"/>
      <w:marLeft w:val="0"/>
      <w:marRight w:val="0"/>
      <w:marTop w:val="0"/>
      <w:marBottom w:val="0"/>
      <w:divBdr>
        <w:top w:val="none" w:sz="0" w:space="0" w:color="auto"/>
        <w:left w:val="none" w:sz="0" w:space="0" w:color="auto"/>
        <w:bottom w:val="none" w:sz="0" w:space="0" w:color="auto"/>
        <w:right w:val="none" w:sz="0" w:space="0" w:color="auto"/>
      </w:divBdr>
    </w:div>
    <w:div w:id="1065566918">
      <w:bodyDiv w:val="1"/>
      <w:marLeft w:val="0"/>
      <w:marRight w:val="0"/>
      <w:marTop w:val="0"/>
      <w:marBottom w:val="0"/>
      <w:divBdr>
        <w:top w:val="none" w:sz="0" w:space="0" w:color="auto"/>
        <w:left w:val="none" w:sz="0" w:space="0" w:color="auto"/>
        <w:bottom w:val="none" w:sz="0" w:space="0" w:color="auto"/>
        <w:right w:val="none" w:sz="0" w:space="0" w:color="auto"/>
      </w:divBdr>
    </w:div>
    <w:div w:id="1069233114">
      <w:bodyDiv w:val="1"/>
      <w:marLeft w:val="0"/>
      <w:marRight w:val="0"/>
      <w:marTop w:val="0"/>
      <w:marBottom w:val="0"/>
      <w:divBdr>
        <w:top w:val="none" w:sz="0" w:space="0" w:color="auto"/>
        <w:left w:val="none" w:sz="0" w:space="0" w:color="auto"/>
        <w:bottom w:val="none" w:sz="0" w:space="0" w:color="auto"/>
        <w:right w:val="none" w:sz="0" w:space="0" w:color="auto"/>
      </w:divBdr>
    </w:div>
    <w:div w:id="1149980396">
      <w:bodyDiv w:val="1"/>
      <w:marLeft w:val="0"/>
      <w:marRight w:val="0"/>
      <w:marTop w:val="0"/>
      <w:marBottom w:val="0"/>
      <w:divBdr>
        <w:top w:val="none" w:sz="0" w:space="0" w:color="auto"/>
        <w:left w:val="none" w:sz="0" w:space="0" w:color="auto"/>
        <w:bottom w:val="none" w:sz="0" w:space="0" w:color="auto"/>
        <w:right w:val="none" w:sz="0" w:space="0" w:color="auto"/>
      </w:divBdr>
    </w:div>
    <w:div w:id="1150753930">
      <w:bodyDiv w:val="1"/>
      <w:marLeft w:val="0"/>
      <w:marRight w:val="0"/>
      <w:marTop w:val="0"/>
      <w:marBottom w:val="0"/>
      <w:divBdr>
        <w:top w:val="none" w:sz="0" w:space="0" w:color="auto"/>
        <w:left w:val="none" w:sz="0" w:space="0" w:color="auto"/>
        <w:bottom w:val="none" w:sz="0" w:space="0" w:color="auto"/>
        <w:right w:val="none" w:sz="0" w:space="0" w:color="auto"/>
      </w:divBdr>
    </w:div>
    <w:div w:id="1236432559">
      <w:bodyDiv w:val="1"/>
      <w:marLeft w:val="0"/>
      <w:marRight w:val="0"/>
      <w:marTop w:val="0"/>
      <w:marBottom w:val="0"/>
      <w:divBdr>
        <w:top w:val="none" w:sz="0" w:space="0" w:color="auto"/>
        <w:left w:val="none" w:sz="0" w:space="0" w:color="auto"/>
        <w:bottom w:val="none" w:sz="0" w:space="0" w:color="auto"/>
        <w:right w:val="none" w:sz="0" w:space="0" w:color="auto"/>
      </w:divBdr>
    </w:div>
    <w:div w:id="1239631852">
      <w:bodyDiv w:val="1"/>
      <w:marLeft w:val="0"/>
      <w:marRight w:val="0"/>
      <w:marTop w:val="0"/>
      <w:marBottom w:val="0"/>
      <w:divBdr>
        <w:top w:val="none" w:sz="0" w:space="0" w:color="auto"/>
        <w:left w:val="none" w:sz="0" w:space="0" w:color="auto"/>
        <w:bottom w:val="none" w:sz="0" w:space="0" w:color="auto"/>
        <w:right w:val="none" w:sz="0" w:space="0" w:color="auto"/>
      </w:divBdr>
    </w:div>
    <w:div w:id="1334066727">
      <w:bodyDiv w:val="1"/>
      <w:marLeft w:val="0"/>
      <w:marRight w:val="0"/>
      <w:marTop w:val="0"/>
      <w:marBottom w:val="0"/>
      <w:divBdr>
        <w:top w:val="none" w:sz="0" w:space="0" w:color="auto"/>
        <w:left w:val="none" w:sz="0" w:space="0" w:color="auto"/>
        <w:bottom w:val="none" w:sz="0" w:space="0" w:color="auto"/>
        <w:right w:val="none" w:sz="0" w:space="0" w:color="auto"/>
      </w:divBdr>
    </w:div>
    <w:div w:id="1355884674">
      <w:bodyDiv w:val="1"/>
      <w:marLeft w:val="0"/>
      <w:marRight w:val="0"/>
      <w:marTop w:val="0"/>
      <w:marBottom w:val="0"/>
      <w:divBdr>
        <w:top w:val="none" w:sz="0" w:space="0" w:color="auto"/>
        <w:left w:val="none" w:sz="0" w:space="0" w:color="auto"/>
        <w:bottom w:val="none" w:sz="0" w:space="0" w:color="auto"/>
        <w:right w:val="none" w:sz="0" w:space="0" w:color="auto"/>
      </w:divBdr>
    </w:div>
    <w:div w:id="1454136234">
      <w:bodyDiv w:val="1"/>
      <w:marLeft w:val="0"/>
      <w:marRight w:val="0"/>
      <w:marTop w:val="0"/>
      <w:marBottom w:val="0"/>
      <w:divBdr>
        <w:top w:val="none" w:sz="0" w:space="0" w:color="auto"/>
        <w:left w:val="none" w:sz="0" w:space="0" w:color="auto"/>
        <w:bottom w:val="none" w:sz="0" w:space="0" w:color="auto"/>
        <w:right w:val="none" w:sz="0" w:space="0" w:color="auto"/>
      </w:divBdr>
    </w:div>
    <w:div w:id="1766264108">
      <w:bodyDiv w:val="1"/>
      <w:marLeft w:val="0"/>
      <w:marRight w:val="0"/>
      <w:marTop w:val="0"/>
      <w:marBottom w:val="0"/>
      <w:divBdr>
        <w:top w:val="none" w:sz="0" w:space="0" w:color="auto"/>
        <w:left w:val="none" w:sz="0" w:space="0" w:color="auto"/>
        <w:bottom w:val="none" w:sz="0" w:space="0" w:color="auto"/>
        <w:right w:val="none" w:sz="0" w:space="0" w:color="auto"/>
      </w:divBdr>
    </w:div>
    <w:div w:id="1782339621">
      <w:bodyDiv w:val="1"/>
      <w:marLeft w:val="0"/>
      <w:marRight w:val="0"/>
      <w:marTop w:val="0"/>
      <w:marBottom w:val="0"/>
      <w:divBdr>
        <w:top w:val="none" w:sz="0" w:space="0" w:color="auto"/>
        <w:left w:val="none" w:sz="0" w:space="0" w:color="auto"/>
        <w:bottom w:val="none" w:sz="0" w:space="0" w:color="auto"/>
        <w:right w:val="none" w:sz="0" w:space="0" w:color="auto"/>
      </w:divBdr>
    </w:div>
    <w:div w:id="1804425959">
      <w:bodyDiv w:val="1"/>
      <w:marLeft w:val="0"/>
      <w:marRight w:val="0"/>
      <w:marTop w:val="0"/>
      <w:marBottom w:val="0"/>
      <w:divBdr>
        <w:top w:val="none" w:sz="0" w:space="0" w:color="auto"/>
        <w:left w:val="none" w:sz="0" w:space="0" w:color="auto"/>
        <w:bottom w:val="none" w:sz="0" w:space="0" w:color="auto"/>
        <w:right w:val="none" w:sz="0" w:space="0" w:color="auto"/>
      </w:divBdr>
    </w:div>
    <w:div w:id="1907064032">
      <w:bodyDiv w:val="1"/>
      <w:marLeft w:val="0"/>
      <w:marRight w:val="0"/>
      <w:marTop w:val="0"/>
      <w:marBottom w:val="0"/>
      <w:divBdr>
        <w:top w:val="none" w:sz="0" w:space="0" w:color="auto"/>
        <w:left w:val="none" w:sz="0" w:space="0" w:color="auto"/>
        <w:bottom w:val="none" w:sz="0" w:space="0" w:color="auto"/>
        <w:right w:val="none" w:sz="0" w:space="0" w:color="auto"/>
      </w:divBdr>
    </w:div>
    <w:div w:id="1917278446">
      <w:bodyDiv w:val="1"/>
      <w:marLeft w:val="0"/>
      <w:marRight w:val="0"/>
      <w:marTop w:val="0"/>
      <w:marBottom w:val="0"/>
      <w:divBdr>
        <w:top w:val="none" w:sz="0" w:space="0" w:color="auto"/>
        <w:left w:val="none" w:sz="0" w:space="0" w:color="auto"/>
        <w:bottom w:val="none" w:sz="0" w:space="0" w:color="auto"/>
        <w:right w:val="none" w:sz="0" w:space="0" w:color="auto"/>
      </w:divBdr>
    </w:div>
    <w:div w:id="1971476506">
      <w:bodyDiv w:val="1"/>
      <w:marLeft w:val="0"/>
      <w:marRight w:val="0"/>
      <w:marTop w:val="0"/>
      <w:marBottom w:val="0"/>
      <w:divBdr>
        <w:top w:val="none" w:sz="0" w:space="0" w:color="auto"/>
        <w:left w:val="none" w:sz="0" w:space="0" w:color="auto"/>
        <w:bottom w:val="none" w:sz="0" w:space="0" w:color="auto"/>
        <w:right w:val="none" w:sz="0" w:space="0" w:color="auto"/>
      </w:divBdr>
    </w:div>
    <w:div w:id="2039968257">
      <w:bodyDiv w:val="1"/>
      <w:marLeft w:val="0"/>
      <w:marRight w:val="0"/>
      <w:marTop w:val="0"/>
      <w:marBottom w:val="0"/>
      <w:divBdr>
        <w:top w:val="none" w:sz="0" w:space="0" w:color="auto"/>
        <w:left w:val="none" w:sz="0" w:space="0" w:color="auto"/>
        <w:bottom w:val="none" w:sz="0" w:space="0" w:color="auto"/>
        <w:right w:val="none" w:sz="0" w:space="0" w:color="auto"/>
      </w:divBdr>
    </w:div>
    <w:div w:id="20596957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nationalarchives.gov.uk/doc/open-government-licence/" TargetMode="External"/><Relationship Id="rId26" Type="http://schemas.openxmlformats.org/officeDocument/2006/relationships/hyperlink" Target="https://www.gov.uk/government/uploads/system/uploads/attachment_data/file/267306/Quarterly_GD__ECO_and_insulation_statistics_tables_-_19_December_2013.xlsx" TargetMode="External"/><Relationship Id="rId39" Type="http://schemas.openxmlformats.org/officeDocument/2006/relationships/hyperlink" Target="https://www.gov.uk/government/publications/domestic-green-deal-and-eco-statistics-methodology-note" TargetMode="External"/><Relationship Id="rId21" Type="http://schemas.openxmlformats.org/officeDocument/2006/relationships/header" Target="header4.xml"/><Relationship Id="rId34" Type="http://schemas.openxmlformats.org/officeDocument/2006/relationships/hyperlink" Target="https://www.gov.uk/government/publications/domestic-green-deal-and-eco-statistics-methodology-note" TargetMode="External"/><Relationship Id="rId42" Type="http://schemas.openxmlformats.org/officeDocument/2006/relationships/image" Target="media/image8.jpeg"/><Relationship Id="rId47" Type="http://schemas.openxmlformats.org/officeDocument/2006/relationships/hyperlink" Target="https://www.gov.uk/government/uploads/system/uploads/attachment_data/file/267306/Quarterly_GD__ECO_and_insulation_statistics_tables_-_19_December_2013.xlsx" TargetMode="External"/><Relationship Id="rId50" Type="http://schemas.openxmlformats.org/officeDocument/2006/relationships/hyperlink" Target="https://www.gov.uk/government/uploads/system/uploads/attachment_data/file/267306/Quarterly_GD__ECO_and_insulation_statistics_tables_-_19_December_2013.xlsx" TargetMode="External"/><Relationship Id="rId55" Type="http://schemas.openxmlformats.org/officeDocument/2006/relationships/hyperlink" Target="https://www.gov.uk/government/uploads/system/uploads/attachment_data/file/267306/Quarterly_GD__ECO_and_insulation_statistics_tables_-_19_December_2013.xlsx" TargetMode="External"/><Relationship Id="rId63" Type="http://schemas.openxmlformats.org/officeDocument/2006/relationships/hyperlink" Target="https://www.gov.uk/government/uploads/system/uploads/attachment_data/file/267306/Quarterly_GD__ECO_and_insulation_statistics_tables_-_19_December_2013.xlsx" TargetMode="External"/><Relationship Id="rId68" Type="http://schemas.openxmlformats.org/officeDocument/2006/relationships/hyperlink" Target="http://www.energysavingtrust.org.uk/scotland/Take-action/Find-a-grant/Green-Homes-Cashback-Scheme" TargetMode="External"/><Relationship Id="rId76" Type="http://schemas.openxmlformats.org/officeDocument/2006/relationships/hyperlink" Target="mailto:EnergyEfficiency.Stats@decc.gsi.gov.uk" TargetMode="External"/><Relationship Id="rId84" Type="http://schemas.openxmlformats.org/officeDocument/2006/relationships/header" Target="header12.xml"/><Relationship Id="rId7" Type="http://schemas.microsoft.com/office/2007/relationships/stylesWithEffects" Target="stylesWithEffects.xml"/><Relationship Id="rId71" Type="http://schemas.openxmlformats.org/officeDocument/2006/relationships/hyperlink" Target="https://www.gov.uk/government/publications/domestic-green-deal-and-eco-statistics-methodology-note"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hyperlink" Target="https://www.gov.uk/government/policies/helping-households-to-cut-their-energy-bills/supporting-pages/energy-companies-obligation-eco" TargetMode="External"/><Relationship Id="rId37" Type="http://schemas.openxmlformats.org/officeDocument/2006/relationships/hyperlink" Target="https://www.gov.uk/energy-companies-obligation-brokerage" TargetMode="External"/><Relationship Id="rId40" Type="http://schemas.openxmlformats.org/officeDocument/2006/relationships/hyperlink" Target="http://www.greendealorb.co.uk/" TargetMode="External"/><Relationship Id="rId45" Type="http://schemas.openxmlformats.org/officeDocument/2006/relationships/hyperlink" Target="https://www.gov.uk/government/uploads/system/uploads/attachment_data/file/267306/Quarterly_GD__ECO_and_insulation_statistics_tables_-_19_December_2013.xlsx" TargetMode="External"/><Relationship Id="rId53" Type="http://schemas.openxmlformats.org/officeDocument/2006/relationships/hyperlink" Target="https://www.gov.uk/government/uploads/system/uploads/attachment_data/file/267306/Quarterly_GD__ECO_and_insulation_statistics_tables_-_19_December_2013.xlsx" TargetMode="External"/><Relationship Id="rId58" Type="http://schemas.openxmlformats.org/officeDocument/2006/relationships/image" Target="media/image12.emf"/><Relationship Id="rId66" Type="http://schemas.openxmlformats.org/officeDocument/2006/relationships/hyperlink" Target="https://www.gov.uk/government/news/govt-action-to-help-hardworking-people-with-energy-bills" TargetMode="External"/><Relationship Id="rId74" Type="http://schemas.openxmlformats.org/officeDocument/2006/relationships/hyperlink" Target="https://gdcashback.decc.gov.uk/" TargetMode="External"/><Relationship Id="rId79" Type="http://schemas.openxmlformats.org/officeDocument/2006/relationships/header" Target="header8.xml"/><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gov.uk/government/uploads/system/uploads/attachment_data/file/267306/Quarterly_GD__ECO_and_insulation_statistics_tables_-_19_December_2013.xlsx" TargetMode="External"/><Relationship Id="rId82" Type="http://schemas.openxmlformats.org/officeDocument/2006/relationships/header" Target="header10.xml"/><Relationship Id="rId19" Type="http://schemas.openxmlformats.org/officeDocument/2006/relationships/hyperlink" Target="mailto:psi@nationalarchives.gsi.gov.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yperlink" Target="https://www.gov.uk/getting-a-green-deal-information-for-householders-and-landlords" TargetMode="External"/><Relationship Id="rId30" Type="http://schemas.openxmlformats.org/officeDocument/2006/relationships/image" Target="media/image5.png"/><Relationship Id="rId35" Type="http://schemas.openxmlformats.org/officeDocument/2006/relationships/hyperlink" Target="https://www.gov.uk/government/uploads/system/uploads/attachment_data/file/42984/5533-final-stage-impact-assessment-for-the-green-deal-a.pdf" TargetMode="External"/><Relationship Id="rId43" Type="http://schemas.openxmlformats.org/officeDocument/2006/relationships/image" Target="media/image9.jpeg"/><Relationship Id="rId48" Type="http://schemas.openxmlformats.org/officeDocument/2006/relationships/hyperlink" Target="https://www.gov.uk/government/uploads/system/uploads/attachment_data/file/267306/Quarterly_GD__ECO_and_insulation_statistics_tables_-_19_December_2013.xlsx" TargetMode="External"/><Relationship Id="rId56" Type="http://schemas.openxmlformats.org/officeDocument/2006/relationships/image" Target="media/image10.emf"/><Relationship Id="rId64" Type="http://schemas.openxmlformats.org/officeDocument/2006/relationships/hyperlink" Target="https://www.gov.uk/green-deal-energy-saving-measures" TargetMode="External"/><Relationship Id="rId69" Type="http://schemas.openxmlformats.org/officeDocument/2006/relationships/hyperlink" Target="https://www.gov.uk/government/publications/domestic-green-deal-and-eco-statistics-methodology-note" TargetMode="External"/><Relationship Id="rId77" Type="http://schemas.openxmlformats.org/officeDocument/2006/relationships/hyperlink" Target="https://www.gov.uk/government/organisations/department-of-energy-climate-change/about/statistics" TargetMode="External"/><Relationship Id="rId8" Type="http://schemas.openxmlformats.org/officeDocument/2006/relationships/settings" Target="settings.xml"/><Relationship Id="rId51" Type="http://schemas.openxmlformats.org/officeDocument/2006/relationships/hyperlink" Target="https://www.gov.uk/government/uploads/system/uploads/attachment_data/file/267306/Quarterly_GD__ECO_and_insulation_statistics_tables_-_19_December_2013.xlsx" TargetMode="External"/><Relationship Id="rId72" Type="http://schemas.openxmlformats.org/officeDocument/2006/relationships/hyperlink" Target="https://www.gov.uk/local-authorities-and-the-green-deal" TargetMode="External"/><Relationship Id="rId80" Type="http://schemas.openxmlformats.org/officeDocument/2006/relationships/header" Target="header9.xml"/><Relationship Id="rId85"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gov.uk/government/organisations/department-of-energy-climate-change/series/green-deal-and-energy-company-obligation-eco-statistics" TargetMode="External"/><Relationship Id="rId33" Type="http://schemas.openxmlformats.org/officeDocument/2006/relationships/image" Target="media/image7.jpeg"/><Relationship Id="rId38" Type="http://schemas.openxmlformats.org/officeDocument/2006/relationships/hyperlink" Target="https://www.gov.uk/government/uploads/system/uploads/attachment_data/file/42984/5533-final-stage-impact-assessment-for-the-green-deal-a.pdf" TargetMode="External"/><Relationship Id="rId46" Type="http://schemas.openxmlformats.org/officeDocument/2006/relationships/hyperlink" Target="https://www.gov.uk/government/uploads/system/uploads/attachment_data/file/267306/Quarterly_GD__ECO_and_insulation_statistics_tables_-_19_December_2013.xlsx" TargetMode="External"/><Relationship Id="rId59" Type="http://schemas.openxmlformats.org/officeDocument/2006/relationships/image" Target="media/image13.emf"/><Relationship Id="rId67" Type="http://schemas.openxmlformats.org/officeDocument/2006/relationships/hyperlink" Target="http://www.gov.uk/greendealcashback" TargetMode="External"/><Relationship Id="rId20" Type="http://schemas.openxmlformats.org/officeDocument/2006/relationships/hyperlink" Target="mailto:EnergyEfficiency.Stats@decc.gsi.gov.uk" TargetMode="External"/><Relationship Id="rId41" Type="http://schemas.openxmlformats.org/officeDocument/2006/relationships/hyperlink" Target="http://www.greendealorb.co.uk/consumersearch" TargetMode="External"/><Relationship Id="rId54" Type="http://schemas.openxmlformats.org/officeDocument/2006/relationships/hyperlink" Target="https://www.gov.uk/government/uploads/system/uploads/attachment_data/file/267306/Quarterly_GD__ECO_and_insulation_statistics_tables_-_19_December_2013.xlsx" TargetMode="External"/><Relationship Id="rId62" Type="http://schemas.openxmlformats.org/officeDocument/2006/relationships/image" Target="media/image15.emf"/><Relationship Id="rId70" Type="http://schemas.openxmlformats.org/officeDocument/2006/relationships/hyperlink" Target="https://www.gov.uk/energy-companies-obligation-brokerage" TargetMode="External"/><Relationship Id="rId75" Type="http://schemas.openxmlformats.org/officeDocument/2006/relationships/hyperlink" Target="https://www.gov.uk/government/publications/home-insulation-levels-in-gb-methodology-note-for-statistical-releases" TargetMode="External"/><Relationship Id="rId83"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image" Target="media/image3.png"/><Relationship Id="rId36" Type="http://schemas.openxmlformats.org/officeDocument/2006/relationships/hyperlink" Target="https://www.gov.uk/energy-companies-obligation-brokerage" TargetMode="External"/><Relationship Id="rId49" Type="http://schemas.openxmlformats.org/officeDocument/2006/relationships/hyperlink" Target="https://www.gov.uk/government/uploads/system/uploads/attachment_data/file/267306/Quarterly_GD__ECO_and_insulation_statistics_tables_-_19_December_2013.xlsx" TargetMode="External"/><Relationship Id="rId57" Type="http://schemas.openxmlformats.org/officeDocument/2006/relationships/image" Target="media/image11.emf"/><Relationship Id="rId10" Type="http://schemas.openxmlformats.org/officeDocument/2006/relationships/footnotes" Target="footnotes.xml"/><Relationship Id="rId31" Type="http://schemas.openxmlformats.org/officeDocument/2006/relationships/image" Target="media/image6.jpeg"/><Relationship Id="rId44" Type="http://schemas.openxmlformats.org/officeDocument/2006/relationships/hyperlink" Target="https://www.gov.uk/government/uploads/system/uploads/attachment_data/file/267306/Quarterly_GD__ECO_and_insulation_statistics_tables_-_19_December_2013.xlsx" TargetMode="External"/><Relationship Id="rId52" Type="http://schemas.openxmlformats.org/officeDocument/2006/relationships/hyperlink" Target="https://www.gov.uk/government/uploads/system/uploads/attachment_data/file/267306/Quarterly_GD__ECO_and_insulation_statistics_tables_-_19_December_2013.xlsx" TargetMode="External"/><Relationship Id="rId60" Type="http://schemas.openxmlformats.org/officeDocument/2006/relationships/image" Target="media/image14.emf"/><Relationship Id="rId65" Type="http://schemas.openxmlformats.org/officeDocument/2006/relationships/hyperlink" Target="https://www.gov.uk/government/policies/helping-households-to-cut-their-energy-bills/supporting-pages/energy-companies-obligation-eco" TargetMode="External"/><Relationship Id="rId73" Type="http://schemas.openxmlformats.org/officeDocument/2006/relationships/hyperlink" Target="https://www.gov.uk/government/publications/domestic-green-deal-and-eco-statistics-methodology-note" TargetMode="External"/><Relationship Id="rId78" Type="http://schemas.openxmlformats.org/officeDocument/2006/relationships/header" Target="header7.xml"/><Relationship Id="rId81" Type="http://schemas.openxmlformats.org/officeDocument/2006/relationships/hyperlink" Target="http://www.gov.uk/decc" TargetMode="External"/><Relationship Id="rId86"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ofgem.gov.uk/Sustainability/Environment/EnergyEff/CU/Pages/CU.aspx" TargetMode="External"/><Relationship Id="rId13" Type="http://schemas.openxmlformats.org/officeDocument/2006/relationships/hyperlink" Target="https://www.ofgem.gov.uk/ofgem-publications/58765/open-letter-cert-cesp-210912.pdf" TargetMode="External"/><Relationship Id="rId3" Type="http://schemas.openxmlformats.org/officeDocument/2006/relationships/hyperlink" Target="https://www.gov.uk/government/uploads/system/uploads/attachment_data/file/211224/Chapter_1_Tables__Figures_and_Annex_Tables.xls" TargetMode="External"/><Relationship Id="rId7" Type="http://schemas.openxmlformats.org/officeDocument/2006/relationships/hyperlink" Target="https://www.gov.uk/government/publications/fuel-poverty-2011-detailed-tables" TargetMode="External"/><Relationship Id="rId12" Type="http://schemas.openxmlformats.org/officeDocument/2006/relationships/hyperlink" Target="https://www.gov.uk/government/policies/helping-households-to-cut-their-energy-bills/supporting-pages/energy-companies-obligation-eco" TargetMode="External"/><Relationship Id="rId2" Type="http://schemas.openxmlformats.org/officeDocument/2006/relationships/hyperlink" Target="https://www.gov.uk/government/collections/green-deal-and-energy-company-obligation-eco-statistics" TargetMode="External"/><Relationship Id="rId16" Type="http://schemas.openxmlformats.org/officeDocument/2006/relationships/hyperlink" Target="https://www.gov.uk/standard-assessment-procedure" TargetMode="External"/><Relationship Id="rId1" Type="http://schemas.openxmlformats.org/officeDocument/2006/relationships/hyperlink" Target="https://www.gov.uk/government/uploads/system/uploads/attachment_data/file/47961/decc-business-plan-2011-2015.pdf" TargetMode="External"/><Relationship Id="rId6" Type="http://schemas.openxmlformats.org/officeDocument/2006/relationships/hyperlink" Target="http://www.energysavingtrust.org.uk/scotland/Take-action/Find-a-grant/Green-Homes-Cashback-Scheme" TargetMode="External"/><Relationship Id="rId11" Type="http://schemas.openxmlformats.org/officeDocument/2006/relationships/hyperlink" Target="https://www.gov.uk/green-deal-energy-saving-measures" TargetMode="External"/><Relationship Id="rId5" Type="http://schemas.openxmlformats.org/officeDocument/2006/relationships/hyperlink" Target="http://www.oft.gov.uk/shared_oft/market-studies/off-grid/OFT1380.pdf" TargetMode="External"/><Relationship Id="rId15" Type="http://schemas.openxmlformats.org/officeDocument/2006/relationships/hyperlink" Target="https://www.gov.uk/government/uploads/system/uploads/attachment_data/file/48433/5620-review-of-the-number-of-cavity-walls-in-great-brit.pdf" TargetMode="External"/><Relationship Id="rId10" Type="http://schemas.openxmlformats.org/officeDocument/2006/relationships/hyperlink" Target="https://www.gov.uk/government/policies/helping-households-to-cut-their-energy-bills/supporting-pages/warm-front-scheme" TargetMode="External"/><Relationship Id="rId4" Type="http://schemas.openxmlformats.org/officeDocument/2006/relationships/hyperlink" Target="https://www.gov.uk/government/statistical-data-sets/live-tables-on-dwelling-stock-including-vacants" TargetMode="External"/><Relationship Id="rId9" Type="http://schemas.openxmlformats.org/officeDocument/2006/relationships/hyperlink" Target="http://www.ofgem.gov.uk/Sustainability/Environment/EnergyEff/cesp/Pages/cesp.aspx" TargetMode="External"/><Relationship Id="rId14" Type="http://schemas.openxmlformats.org/officeDocument/2006/relationships/hyperlink" Target="https://www.gov.uk/government/collections/green-deal-and-energy-company-obligation-eco-statistics"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U:\Statistics\Energy%20Efficiency\8.%20Green%20Deal\Restricted\November%20releases\Word%20Draft\Statistical%20release%20-%20Green%20Deal%20and%20ECO%20in%20GB%20-%2019%20November%20v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A42F145830E9C4DA7DD0FA0AD8C4B35" ma:contentTypeVersion="1" ma:contentTypeDescription="Create a new document." ma:contentTypeScope="" ma:versionID="d70ea42bf5a6953fb7cdec4cf43ec2f2">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8C34A-7716-437F-B286-13A6525065DB}">
  <ds:schemaRefs>
    <ds:schemaRef ds:uri="http://schemas.microsoft.com/office/2006/metadata/properties"/>
    <ds:schemaRef ds:uri="http://schemas.microsoft.com/office/2006/documentManagement/types"/>
    <ds:schemaRef ds:uri="http://purl.org/dc/terms/"/>
    <ds:schemaRef ds:uri="http://purl.org/dc/dcmitype/"/>
    <ds:schemaRef ds:uri="http://purl.org/dc/elements/1.1/"/>
    <ds:schemaRef ds:uri="http://www.w3.org/XML/1998/namespace"/>
    <ds:schemaRef ds:uri="http://schemas.microsoft.com/sharepoint/v3"/>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F44560B3-DB9E-43B5-A901-DA1F5C8CA3C3}">
  <ds:schemaRefs>
    <ds:schemaRef ds:uri="http://schemas.microsoft.com/sharepoint/v3/contenttype/forms"/>
  </ds:schemaRefs>
</ds:datastoreItem>
</file>

<file path=customXml/itemProps3.xml><?xml version="1.0" encoding="utf-8"?>
<ds:datastoreItem xmlns:ds="http://schemas.openxmlformats.org/officeDocument/2006/customXml" ds:itemID="{8E7E9D1A-EB46-48E7-B018-66C0D63525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6F4228-49AD-4D43-B37F-85AD1AEA5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Statistical release - Green Deal and ECO in GB - 19 November v0.1</Template>
  <TotalTime>338</TotalTime>
  <Pages>47</Pages>
  <Words>12157</Words>
  <Characters>69298</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DECC Title</vt:lpstr>
    </vt:vector>
  </TitlesOfParts>
  <Company>Department of Energy &amp; Climate Change</Company>
  <LinksUpToDate>false</LinksUpToDate>
  <CharactersWithSpaces>81293</CharactersWithSpaces>
  <SharedDoc>false</SharedDoc>
  <HyperlinkBase/>
  <HLinks>
    <vt:vector size="234" baseType="variant">
      <vt:variant>
        <vt:i4>6684797</vt:i4>
      </vt:variant>
      <vt:variant>
        <vt:i4>252</vt:i4>
      </vt:variant>
      <vt:variant>
        <vt:i4>0</vt:i4>
      </vt:variant>
      <vt:variant>
        <vt:i4>5</vt:i4>
      </vt:variant>
      <vt:variant>
        <vt:lpwstr>http://www.gov.uk/decc</vt:lpwstr>
      </vt:variant>
      <vt:variant>
        <vt:lpwstr/>
      </vt:variant>
      <vt:variant>
        <vt:i4>5046346</vt:i4>
      </vt:variant>
      <vt:variant>
        <vt:i4>249</vt:i4>
      </vt:variant>
      <vt:variant>
        <vt:i4>0</vt:i4>
      </vt:variant>
      <vt:variant>
        <vt:i4>5</vt:i4>
      </vt:variant>
      <vt:variant>
        <vt:lpwstr>https://www.gov.uk/government/organisations/department-of-energy-climate-change/about/statistics</vt:lpwstr>
      </vt:variant>
      <vt:variant>
        <vt:lpwstr/>
      </vt:variant>
      <vt:variant>
        <vt:i4>6357002</vt:i4>
      </vt:variant>
      <vt:variant>
        <vt:i4>246</vt:i4>
      </vt:variant>
      <vt:variant>
        <vt:i4>0</vt:i4>
      </vt:variant>
      <vt:variant>
        <vt:i4>5</vt:i4>
      </vt:variant>
      <vt:variant>
        <vt:lpwstr>mailto:EnergyEfficiency.Stats@decc.gsi.gov.uk</vt:lpwstr>
      </vt:variant>
      <vt:variant>
        <vt:lpwstr/>
      </vt:variant>
      <vt:variant>
        <vt:i4>3735652</vt:i4>
      </vt:variant>
      <vt:variant>
        <vt:i4>243</vt:i4>
      </vt:variant>
      <vt:variant>
        <vt:i4>0</vt:i4>
      </vt:variant>
      <vt:variant>
        <vt:i4>5</vt:i4>
      </vt:variant>
      <vt:variant>
        <vt:lpwstr>https://www.gov.uk/government/publications/domestic-green-deal-and-eco-statistics-methodology-note</vt:lpwstr>
      </vt:variant>
      <vt:variant>
        <vt:lpwstr/>
      </vt:variant>
      <vt:variant>
        <vt:i4>7667834</vt:i4>
      </vt:variant>
      <vt:variant>
        <vt:i4>240</vt:i4>
      </vt:variant>
      <vt:variant>
        <vt:i4>0</vt:i4>
      </vt:variant>
      <vt:variant>
        <vt:i4>5</vt:i4>
      </vt:variant>
      <vt:variant>
        <vt:lpwstr>https://gdcashback.decc.gov.uk/</vt:lpwstr>
      </vt:variant>
      <vt:variant>
        <vt:lpwstr/>
      </vt:variant>
      <vt:variant>
        <vt:i4>1048645</vt:i4>
      </vt:variant>
      <vt:variant>
        <vt:i4>237</vt:i4>
      </vt:variant>
      <vt:variant>
        <vt:i4>0</vt:i4>
      </vt:variant>
      <vt:variant>
        <vt:i4>5</vt:i4>
      </vt:variant>
      <vt:variant>
        <vt:lpwstr>https://www.gov.uk/energy-companies-obligation-brokerage</vt:lpwstr>
      </vt:variant>
      <vt:variant>
        <vt:lpwstr/>
      </vt:variant>
      <vt:variant>
        <vt:i4>1507356</vt:i4>
      </vt:variant>
      <vt:variant>
        <vt:i4>234</vt:i4>
      </vt:variant>
      <vt:variant>
        <vt:i4>0</vt:i4>
      </vt:variant>
      <vt:variant>
        <vt:i4>5</vt:i4>
      </vt:variant>
      <vt:variant>
        <vt:lpwstr>http://www.energysavingtrust.org.uk/scotland/Take-action/Find-a-grant/Green-Homes-Cashback-Scheme</vt:lpwstr>
      </vt:variant>
      <vt:variant>
        <vt:lpwstr/>
      </vt:variant>
      <vt:variant>
        <vt:i4>6488183</vt:i4>
      </vt:variant>
      <vt:variant>
        <vt:i4>231</vt:i4>
      </vt:variant>
      <vt:variant>
        <vt:i4>0</vt:i4>
      </vt:variant>
      <vt:variant>
        <vt:i4>5</vt:i4>
      </vt:variant>
      <vt:variant>
        <vt:lpwstr>http://www.gov.uk/greendealcashback</vt:lpwstr>
      </vt:variant>
      <vt:variant>
        <vt:lpwstr/>
      </vt:variant>
      <vt:variant>
        <vt:i4>1507346</vt:i4>
      </vt:variant>
      <vt:variant>
        <vt:i4>228</vt:i4>
      </vt:variant>
      <vt:variant>
        <vt:i4>0</vt:i4>
      </vt:variant>
      <vt:variant>
        <vt:i4>5</vt:i4>
      </vt:variant>
      <vt:variant>
        <vt:lpwstr>https://www.gov.uk/government/policies/helping-households-to-cut-their-energy-bills/supporting-pages/energy-companies-obligation-eco</vt:lpwstr>
      </vt:variant>
      <vt:variant>
        <vt:lpwstr/>
      </vt:variant>
      <vt:variant>
        <vt:i4>1179649</vt:i4>
      </vt:variant>
      <vt:variant>
        <vt:i4>225</vt:i4>
      </vt:variant>
      <vt:variant>
        <vt:i4>0</vt:i4>
      </vt:variant>
      <vt:variant>
        <vt:i4>5</vt:i4>
      </vt:variant>
      <vt:variant>
        <vt:lpwstr>https://www.gov.uk/green-deal-energy-saving-measures</vt:lpwstr>
      </vt:variant>
      <vt:variant>
        <vt:lpwstr/>
      </vt:variant>
      <vt:variant>
        <vt:i4>3473513</vt:i4>
      </vt:variant>
      <vt:variant>
        <vt:i4>222</vt:i4>
      </vt:variant>
      <vt:variant>
        <vt:i4>0</vt:i4>
      </vt:variant>
      <vt:variant>
        <vt:i4>5</vt:i4>
      </vt:variant>
      <vt:variant>
        <vt:lpwstr>http://www.ofgem.gov.uk/Sustainability/Environment/ECO/Info-for-suppliers/Pages/index.aspx</vt:lpwstr>
      </vt:variant>
      <vt:variant>
        <vt:lpwstr/>
      </vt:variant>
      <vt:variant>
        <vt:i4>3735652</vt:i4>
      </vt:variant>
      <vt:variant>
        <vt:i4>219</vt:i4>
      </vt:variant>
      <vt:variant>
        <vt:i4>0</vt:i4>
      </vt:variant>
      <vt:variant>
        <vt:i4>5</vt:i4>
      </vt:variant>
      <vt:variant>
        <vt:lpwstr>https://www.gov.uk/government/publications/domestic-green-deal-and-eco-statistics-methodology-note</vt:lpwstr>
      </vt:variant>
      <vt:variant>
        <vt:lpwstr/>
      </vt:variant>
      <vt:variant>
        <vt:i4>5963781</vt:i4>
      </vt:variant>
      <vt:variant>
        <vt:i4>216</vt:i4>
      </vt:variant>
      <vt:variant>
        <vt:i4>0</vt:i4>
      </vt:variant>
      <vt:variant>
        <vt:i4>5</vt:i4>
      </vt:variant>
      <vt:variant>
        <vt:lpwstr>http://www.greendealorb.co.uk/consumersearch</vt:lpwstr>
      </vt:variant>
      <vt:variant>
        <vt:lpwstr/>
      </vt:variant>
      <vt:variant>
        <vt:i4>2556009</vt:i4>
      </vt:variant>
      <vt:variant>
        <vt:i4>213</vt:i4>
      </vt:variant>
      <vt:variant>
        <vt:i4>0</vt:i4>
      </vt:variant>
      <vt:variant>
        <vt:i4>5</vt:i4>
      </vt:variant>
      <vt:variant>
        <vt:lpwstr>http://www.greendealorb.co.uk/</vt:lpwstr>
      </vt:variant>
      <vt:variant>
        <vt:lpwstr/>
      </vt:variant>
      <vt:variant>
        <vt:i4>4915281</vt:i4>
      </vt:variant>
      <vt:variant>
        <vt:i4>210</vt:i4>
      </vt:variant>
      <vt:variant>
        <vt:i4>0</vt:i4>
      </vt:variant>
      <vt:variant>
        <vt:i4>5</vt:i4>
      </vt:variant>
      <vt:variant>
        <vt:lpwstr>https://www.gov.uk/government/publications/green-deal-and-energy-company-obligation-eco-january-june-2013-statistics</vt:lpwstr>
      </vt:variant>
      <vt:variant>
        <vt:lpwstr/>
      </vt:variant>
      <vt:variant>
        <vt:i4>1048645</vt:i4>
      </vt:variant>
      <vt:variant>
        <vt:i4>201</vt:i4>
      </vt:variant>
      <vt:variant>
        <vt:i4>0</vt:i4>
      </vt:variant>
      <vt:variant>
        <vt:i4>5</vt:i4>
      </vt:variant>
      <vt:variant>
        <vt:lpwstr>https://www.gov.uk/energy-companies-obligation-brokerage</vt:lpwstr>
      </vt:variant>
      <vt:variant>
        <vt:lpwstr/>
      </vt:variant>
      <vt:variant>
        <vt:i4>1048645</vt:i4>
      </vt:variant>
      <vt:variant>
        <vt:i4>192</vt:i4>
      </vt:variant>
      <vt:variant>
        <vt:i4>0</vt:i4>
      </vt:variant>
      <vt:variant>
        <vt:i4>5</vt:i4>
      </vt:variant>
      <vt:variant>
        <vt:lpwstr>https://www.gov.uk/energy-companies-obligation-brokerage</vt:lpwstr>
      </vt:variant>
      <vt:variant>
        <vt:lpwstr/>
      </vt:variant>
      <vt:variant>
        <vt:i4>393222</vt:i4>
      </vt:variant>
      <vt:variant>
        <vt:i4>189</vt:i4>
      </vt:variant>
      <vt:variant>
        <vt:i4>0</vt:i4>
      </vt:variant>
      <vt:variant>
        <vt:i4>5</vt:i4>
      </vt:variant>
      <vt:variant>
        <vt:lpwstr>https://www.gov.uk/government/publications/green-deal-assessment-survey-wave-2-summary-report</vt:lpwstr>
      </vt:variant>
      <vt:variant>
        <vt:lpwstr/>
      </vt:variant>
      <vt:variant>
        <vt:i4>7471231</vt:i4>
      </vt:variant>
      <vt:variant>
        <vt:i4>180</vt:i4>
      </vt:variant>
      <vt:variant>
        <vt:i4>0</vt:i4>
      </vt:variant>
      <vt:variant>
        <vt:i4>5</vt:i4>
      </vt:variant>
      <vt:variant>
        <vt:lpwstr/>
      </vt:variant>
      <vt:variant>
        <vt:lpwstr>ECOSUB</vt:lpwstr>
      </vt:variant>
      <vt:variant>
        <vt:i4>7471231</vt:i4>
      </vt:variant>
      <vt:variant>
        <vt:i4>171</vt:i4>
      </vt:variant>
      <vt:variant>
        <vt:i4>0</vt:i4>
      </vt:variant>
      <vt:variant>
        <vt:i4>5</vt:i4>
      </vt:variant>
      <vt:variant>
        <vt:lpwstr/>
      </vt:variant>
      <vt:variant>
        <vt:lpwstr>ECOSUB</vt:lpwstr>
      </vt:variant>
      <vt:variant>
        <vt:i4>1507346</vt:i4>
      </vt:variant>
      <vt:variant>
        <vt:i4>168</vt:i4>
      </vt:variant>
      <vt:variant>
        <vt:i4>0</vt:i4>
      </vt:variant>
      <vt:variant>
        <vt:i4>5</vt:i4>
      </vt:variant>
      <vt:variant>
        <vt:lpwstr>https://www.gov.uk/government/policies/helping-households-to-cut-their-energy-bills/supporting-pages/energy-companies-obligation-eco</vt:lpwstr>
      </vt:variant>
      <vt:variant>
        <vt:lpwstr/>
      </vt:variant>
      <vt:variant>
        <vt:i4>6488183</vt:i4>
      </vt:variant>
      <vt:variant>
        <vt:i4>159</vt:i4>
      </vt:variant>
      <vt:variant>
        <vt:i4>0</vt:i4>
      </vt:variant>
      <vt:variant>
        <vt:i4>5</vt:i4>
      </vt:variant>
      <vt:variant>
        <vt:lpwstr>http://www.gov.uk/greendealcashback</vt:lpwstr>
      </vt:variant>
      <vt:variant>
        <vt:lpwstr/>
      </vt:variant>
      <vt:variant>
        <vt:i4>2818166</vt:i4>
      </vt:variant>
      <vt:variant>
        <vt:i4>144</vt:i4>
      </vt:variant>
      <vt:variant>
        <vt:i4>0</vt:i4>
      </vt:variant>
      <vt:variant>
        <vt:i4>5</vt:i4>
      </vt:variant>
      <vt:variant>
        <vt:lpwstr/>
      </vt:variant>
      <vt:variant>
        <vt:lpwstr>Chart1</vt:lpwstr>
      </vt:variant>
      <vt:variant>
        <vt:i4>4194331</vt:i4>
      </vt:variant>
      <vt:variant>
        <vt:i4>141</vt:i4>
      </vt:variant>
      <vt:variant>
        <vt:i4>0</vt:i4>
      </vt:variant>
      <vt:variant>
        <vt:i4>5</vt:i4>
      </vt:variant>
      <vt:variant>
        <vt:lpwstr>https://www.gov.uk/getting-a-green-deal-information-for-householders-and-landlords</vt:lpwstr>
      </vt:variant>
      <vt:variant>
        <vt:lpwstr>getting-your-home-assessed</vt:lpwstr>
      </vt:variant>
      <vt:variant>
        <vt:i4>4915281</vt:i4>
      </vt:variant>
      <vt:variant>
        <vt:i4>138</vt:i4>
      </vt:variant>
      <vt:variant>
        <vt:i4>0</vt:i4>
      </vt:variant>
      <vt:variant>
        <vt:i4>5</vt:i4>
      </vt:variant>
      <vt:variant>
        <vt:lpwstr>https://www.gov.uk/government/publications/green-deal-and-energy-company-obligation-eco-january-june-2013-statistics</vt:lpwstr>
      </vt:variant>
      <vt:variant>
        <vt:lpwstr/>
      </vt:variant>
      <vt:variant>
        <vt:i4>4915281</vt:i4>
      </vt:variant>
      <vt:variant>
        <vt:i4>135</vt:i4>
      </vt:variant>
      <vt:variant>
        <vt:i4>0</vt:i4>
      </vt:variant>
      <vt:variant>
        <vt:i4>5</vt:i4>
      </vt:variant>
      <vt:variant>
        <vt:lpwstr>https://www.gov.uk/government/publications/green-deal-and-energy-company-obligation-eco-january-june-2013-statistics</vt:lpwstr>
      </vt:variant>
      <vt:variant>
        <vt:lpwstr/>
      </vt:variant>
      <vt:variant>
        <vt:i4>6881399</vt:i4>
      </vt:variant>
      <vt:variant>
        <vt:i4>132</vt:i4>
      </vt:variant>
      <vt:variant>
        <vt:i4>0</vt:i4>
      </vt:variant>
      <vt:variant>
        <vt:i4>5</vt:i4>
      </vt:variant>
      <vt:variant>
        <vt:lpwstr/>
      </vt:variant>
      <vt:variant>
        <vt:lpwstr>AnnexB</vt:lpwstr>
      </vt:variant>
      <vt:variant>
        <vt:i4>1441849</vt:i4>
      </vt:variant>
      <vt:variant>
        <vt:i4>125</vt:i4>
      </vt:variant>
      <vt:variant>
        <vt:i4>0</vt:i4>
      </vt:variant>
      <vt:variant>
        <vt:i4>5</vt:i4>
      </vt:variant>
      <vt:variant>
        <vt:lpwstr/>
      </vt:variant>
      <vt:variant>
        <vt:lpwstr>_Toc372290145</vt:lpwstr>
      </vt:variant>
      <vt:variant>
        <vt:i4>1441849</vt:i4>
      </vt:variant>
      <vt:variant>
        <vt:i4>119</vt:i4>
      </vt:variant>
      <vt:variant>
        <vt:i4>0</vt:i4>
      </vt:variant>
      <vt:variant>
        <vt:i4>5</vt:i4>
      </vt:variant>
      <vt:variant>
        <vt:lpwstr/>
      </vt:variant>
      <vt:variant>
        <vt:lpwstr>_Toc372290144</vt:lpwstr>
      </vt:variant>
      <vt:variant>
        <vt:i4>1441849</vt:i4>
      </vt:variant>
      <vt:variant>
        <vt:i4>113</vt:i4>
      </vt:variant>
      <vt:variant>
        <vt:i4>0</vt:i4>
      </vt:variant>
      <vt:variant>
        <vt:i4>5</vt:i4>
      </vt:variant>
      <vt:variant>
        <vt:lpwstr/>
      </vt:variant>
      <vt:variant>
        <vt:lpwstr>_Toc372290143</vt:lpwstr>
      </vt:variant>
      <vt:variant>
        <vt:i4>1441849</vt:i4>
      </vt:variant>
      <vt:variant>
        <vt:i4>107</vt:i4>
      </vt:variant>
      <vt:variant>
        <vt:i4>0</vt:i4>
      </vt:variant>
      <vt:variant>
        <vt:i4>5</vt:i4>
      </vt:variant>
      <vt:variant>
        <vt:lpwstr/>
      </vt:variant>
      <vt:variant>
        <vt:lpwstr>_Toc372290142</vt:lpwstr>
      </vt:variant>
      <vt:variant>
        <vt:i4>1441849</vt:i4>
      </vt:variant>
      <vt:variant>
        <vt:i4>101</vt:i4>
      </vt:variant>
      <vt:variant>
        <vt:i4>0</vt:i4>
      </vt:variant>
      <vt:variant>
        <vt:i4>5</vt:i4>
      </vt:variant>
      <vt:variant>
        <vt:lpwstr/>
      </vt:variant>
      <vt:variant>
        <vt:lpwstr>_Toc372290141</vt:lpwstr>
      </vt:variant>
      <vt:variant>
        <vt:i4>1441849</vt:i4>
      </vt:variant>
      <vt:variant>
        <vt:i4>95</vt:i4>
      </vt:variant>
      <vt:variant>
        <vt:i4>0</vt:i4>
      </vt:variant>
      <vt:variant>
        <vt:i4>5</vt:i4>
      </vt:variant>
      <vt:variant>
        <vt:lpwstr/>
      </vt:variant>
      <vt:variant>
        <vt:lpwstr>_Toc372290140</vt:lpwstr>
      </vt:variant>
      <vt:variant>
        <vt:i4>1114169</vt:i4>
      </vt:variant>
      <vt:variant>
        <vt:i4>89</vt:i4>
      </vt:variant>
      <vt:variant>
        <vt:i4>0</vt:i4>
      </vt:variant>
      <vt:variant>
        <vt:i4>5</vt:i4>
      </vt:variant>
      <vt:variant>
        <vt:lpwstr/>
      </vt:variant>
      <vt:variant>
        <vt:lpwstr>_Toc372290139</vt:lpwstr>
      </vt:variant>
      <vt:variant>
        <vt:i4>5111822</vt:i4>
      </vt:variant>
      <vt:variant>
        <vt:i4>9</vt:i4>
      </vt:variant>
      <vt:variant>
        <vt:i4>0</vt:i4>
      </vt:variant>
      <vt:variant>
        <vt:i4>5</vt:i4>
      </vt:variant>
      <vt:variant>
        <vt:lpwstr>https://www.gov.uk/government/collections/green-deal-and-energy-company-obligation-eco-statistics</vt:lpwstr>
      </vt:variant>
      <vt:variant>
        <vt:lpwstr/>
      </vt:variant>
      <vt:variant>
        <vt:i4>6357002</vt:i4>
      </vt:variant>
      <vt:variant>
        <vt:i4>6</vt:i4>
      </vt:variant>
      <vt:variant>
        <vt:i4>0</vt:i4>
      </vt:variant>
      <vt:variant>
        <vt:i4>5</vt:i4>
      </vt:variant>
      <vt:variant>
        <vt:lpwstr>mailto:EnergyEfficiency.Stats@decc.gsi.gov.uk</vt:lpwstr>
      </vt:variant>
      <vt:variant>
        <vt:lpwstr/>
      </vt:variant>
      <vt:variant>
        <vt:i4>3670022</vt:i4>
      </vt:variant>
      <vt:variant>
        <vt:i4>3</vt:i4>
      </vt:variant>
      <vt:variant>
        <vt:i4>0</vt:i4>
      </vt:variant>
      <vt:variant>
        <vt:i4>5</vt:i4>
      </vt:variant>
      <vt:variant>
        <vt:lpwstr>mailto:psi@nationalarchives.gsi.gov.uk</vt:lpwstr>
      </vt:variant>
      <vt:variant>
        <vt:lpwstr/>
      </vt:variant>
      <vt:variant>
        <vt:i4>6553714</vt:i4>
      </vt:variant>
      <vt:variant>
        <vt:i4>0</vt:i4>
      </vt:variant>
      <vt:variant>
        <vt:i4>0</vt:i4>
      </vt:variant>
      <vt:variant>
        <vt:i4>5</vt:i4>
      </vt:variant>
      <vt:variant>
        <vt:lpwstr>http://www.nationalarchives.gov.uk/doc/open-government-licence/</vt:lpwstr>
      </vt:variant>
      <vt:variant>
        <vt:lpwstr/>
      </vt:variant>
      <vt:variant>
        <vt:i4>3407925</vt:i4>
      </vt:variant>
      <vt:variant>
        <vt:i4>0</vt:i4>
      </vt:variant>
      <vt:variant>
        <vt:i4>0</vt:i4>
      </vt:variant>
      <vt:variant>
        <vt:i4>5</vt:i4>
      </vt:variant>
      <vt:variant>
        <vt:lpwstr>https://www.ofgem.gov.uk/ofgem-publications/59029/energy-companies-obligation-eco-list-measures-and-additional-information.pdf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DECC Title</dc:title>
  <dc:creator>Antoniades Peter (Green Deal)</dc:creator>
  <cp:lastModifiedBy>Walker Matt (Green Deal)</cp:lastModifiedBy>
  <cp:revision>33</cp:revision>
  <cp:lastPrinted>2013-12-19T12:20:00Z</cp:lastPrinted>
  <dcterms:created xsi:type="dcterms:W3CDTF">2013-12-17T08:34:00Z</dcterms:created>
  <dcterms:modified xsi:type="dcterms:W3CDTF">2013-12-19T12:20:00Z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0x010100DA42F145830E9C4DA7DD0FA0AD8C4B35</vt:lpwstr>
  </property>
</Properties>
</file>