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D" w:rsidRPr="00724930" w:rsidRDefault="006E64C0" w:rsidP="002D73AD">
      <w:pPr>
        <w:pStyle w:val="Default"/>
        <w:rPr>
          <w:rFonts w:ascii="Arial Narrow" w:hAnsi="Arial Narrow"/>
          <w:b/>
          <w:sz w:val="28"/>
          <w:szCs w:val="28"/>
        </w:rPr>
      </w:pPr>
      <w:r w:rsidRPr="00724930">
        <w:rPr>
          <w:rFonts w:ascii="Arial Narrow" w:hAnsi="Arial Narrow"/>
          <w:b/>
          <w:sz w:val="28"/>
          <w:szCs w:val="28"/>
        </w:rPr>
        <w:t>Reuniting Europe Programme Evaluation – 7 projects in Croatia 2011-12</w:t>
      </w:r>
    </w:p>
    <w:p w:rsidR="00203AEC" w:rsidRDefault="00203AEC" w:rsidP="002D73AD">
      <w:pPr>
        <w:pStyle w:val="Default"/>
        <w:rPr>
          <w:rFonts w:ascii="Arial Narrow" w:hAnsi="Arial Narrow"/>
          <w:b/>
          <w:sz w:val="22"/>
          <w:szCs w:val="22"/>
        </w:rPr>
      </w:pPr>
    </w:p>
    <w:p w:rsidR="00096D6E" w:rsidRDefault="00096D6E" w:rsidP="002D73AD">
      <w:pPr>
        <w:pStyle w:val="Default"/>
        <w:rPr>
          <w:rFonts w:ascii="Arial Narrow" w:hAnsi="Arial Narrow"/>
          <w:b/>
          <w:sz w:val="22"/>
          <w:szCs w:val="22"/>
        </w:rPr>
      </w:pPr>
    </w:p>
    <w:p w:rsidR="00203AEC" w:rsidRDefault="006E64C0" w:rsidP="002D73AD">
      <w:pPr>
        <w:pStyle w:val="Default"/>
        <w:rPr>
          <w:rFonts w:ascii="Arial Narrow" w:hAnsi="Arial Narrow"/>
          <w:b/>
          <w:sz w:val="22"/>
          <w:szCs w:val="22"/>
        </w:rPr>
      </w:pPr>
      <w:r>
        <w:rPr>
          <w:rFonts w:ascii="Arial Narrow" w:hAnsi="Arial Narrow"/>
          <w:b/>
          <w:sz w:val="22"/>
          <w:szCs w:val="22"/>
        </w:rPr>
        <w:t>Programme Background</w:t>
      </w:r>
    </w:p>
    <w:p w:rsidR="006E64C0" w:rsidRDefault="006E64C0" w:rsidP="002D73AD">
      <w:pPr>
        <w:pStyle w:val="Default"/>
        <w:rPr>
          <w:rFonts w:ascii="Arial Narrow" w:hAnsi="Arial Narrow"/>
          <w:b/>
          <w:sz w:val="22"/>
          <w:szCs w:val="22"/>
        </w:rPr>
      </w:pPr>
    </w:p>
    <w:p w:rsidR="00096D6E" w:rsidRDefault="00096D6E" w:rsidP="00096D6E">
      <w:pPr>
        <w:pStyle w:val="ListParagraph"/>
        <w:spacing w:after="200"/>
        <w:ind w:left="0"/>
        <w:contextualSpacing w:val="0"/>
        <w:rPr>
          <w:rFonts w:cs="Arial"/>
        </w:rPr>
      </w:pPr>
      <w:r w:rsidRPr="00F37FCF">
        <w:rPr>
          <w:rFonts w:cs="Arial"/>
        </w:rPr>
        <w:t>On accession to the EU</w:t>
      </w:r>
      <w:r>
        <w:rPr>
          <w:rFonts w:cs="Arial"/>
        </w:rPr>
        <w:t xml:space="preserve"> in July 2013</w:t>
      </w:r>
      <w:r w:rsidRPr="00F37FCF">
        <w:rPr>
          <w:rFonts w:cs="Arial"/>
        </w:rPr>
        <w:t xml:space="preserve">, Croatia </w:t>
      </w:r>
      <w:r>
        <w:rPr>
          <w:rFonts w:cs="Arial"/>
        </w:rPr>
        <w:t>was</w:t>
      </w:r>
      <w:r w:rsidRPr="00F37FCF">
        <w:rPr>
          <w:rFonts w:cs="Arial"/>
        </w:rPr>
        <w:t xml:space="preserve"> the first country from the former Yugoslavia to have transformed itself from a war-torn state to NATO and EU member. This </w:t>
      </w:r>
      <w:r>
        <w:rPr>
          <w:rFonts w:cs="Arial"/>
        </w:rPr>
        <w:t>was</w:t>
      </w:r>
      <w:r w:rsidRPr="00F37FCF">
        <w:rPr>
          <w:rFonts w:cs="Arial"/>
        </w:rPr>
        <w:t xml:space="preserve"> achieved in less than twenty years. </w:t>
      </w:r>
    </w:p>
    <w:p w:rsidR="006E64C0" w:rsidRDefault="00785C29" w:rsidP="006E64C0">
      <w:pPr>
        <w:rPr>
          <w:rFonts w:cs="Arial"/>
        </w:rPr>
      </w:pPr>
      <w:r>
        <w:rPr>
          <w:rFonts w:cs="Arial"/>
        </w:rPr>
        <w:t xml:space="preserve">The </w:t>
      </w:r>
      <w:r w:rsidR="006E64C0">
        <w:rPr>
          <w:rFonts w:cs="Arial"/>
        </w:rPr>
        <w:t>B</w:t>
      </w:r>
      <w:r>
        <w:rPr>
          <w:rFonts w:cs="Arial"/>
        </w:rPr>
        <w:t xml:space="preserve">ritish </w:t>
      </w:r>
      <w:r w:rsidR="006E64C0">
        <w:rPr>
          <w:rFonts w:cs="Arial"/>
        </w:rPr>
        <w:t>E</w:t>
      </w:r>
      <w:r>
        <w:rPr>
          <w:rFonts w:cs="Arial"/>
        </w:rPr>
        <w:t>mbassy</w:t>
      </w:r>
      <w:r w:rsidR="006E64C0">
        <w:rPr>
          <w:rFonts w:cs="Arial"/>
        </w:rPr>
        <w:t xml:space="preserve"> Zagreb </w:t>
      </w:r>
      <w:r w:rsidR="006E64C0" w:rsidRPr="00F37FCF">
        <w:rPr>
          <w:rFonts w:cs="Arial"/>
        </w:rPr>
        <w:t>used</w:t>
      </w:r>
      <w:r w:rsidR="006E64C0">
        <w:rPr>
          <w:rFonts w:cs="Arial"/>
        </w:rPr>
        <w:t xml:space="preserve"> the </w:t>
      </w:r>
      <w:r>
        <w:rPr>
          <w:rFonts w:cs="Arial"/>
        </w:rPr>
        <w:t xml:space="preserve">Reuniting Europe </w:t>
      </w:r>
      <w:r w:rsidR="006E64C0">
        <w:rPr>
          <w:rFonts w:cs="Arial"/>
        </w:rPr>
        <w:t xml:space="preserve">programme </w:t>
      </w:r>
      <w:r w:rsidR="00096D6E">
        <w:rPr>
          <w:rFonts w:cs="Arial"/>
        </w:rPr>
        <w:t xml:space="preserve">in 2011 – 2012 </w:t>
      </w:r>
      <w:r w:rsidR="006E64C0" w:rsidRPr="00F37FCF">
        <w:rPr>
          <w:rFonts w:cs="Arial"/>
        </w:rPr>
        <w:t xml:space="preserve">to help </w:t>
      </w:r>
      <w:r>
        <w:rPr>
          <w:rFonts w:cs="Arial"/>
        </w:rPr>
        <w:t xml:space="preserve">maintain Croatia’s progress during the Accession Process as well as to </w:t>
      </w:r>
      <w:r w:rsidR="006E64C0">
        <w:rPr>
          <w:rFonts w:cs="Arial"/>
        </w:rPr>
        <w:t>build</w:t>
      </w:r>
      <w:r w:rsidR="006E64C0" w:rsidRPr="00F37FCF">
        <w:rPr>
          <w:rFonts w:cs="Arial"/>
        </w:rPr>
        <w:t xml:space="preserve"> Britain’s influence</w:t>
      </w:r>
      <w:r w:rsidR="006E64C0">
        <w:rPr>
          <w:rFonts w:cs="Arial"/>
        </w:rPr>
        <w:t xml:space="preserve"> in Croatia</w:t>
      </w:r>
      <w:r w:rsidR="006E64C0" w:rsidRPr="00F37FCF">
        <w:rPr>
          <w:rFonts w:cs="Arial"/>
        </w:rPr>
        <w:t xml:space="preserve"> by promoting British values and diplomatic influence through all strata of Croatia</w:t>
      </w:r>
      <w:r>
        <w:rPr>
          <w:rFonts w:cs="Arial"/>
        </w:rPr>
        <w:t xml:space="preserve">n society. The Embassy ran </w:t>
      </w:r>
      <w:r w:rsidR="00362CB6">
        <w:rPr>
          <w:rFonts w:cs="Arial"/>
        </w:rPr>
        <w:t>seven</w:t>
      </w:r>
      <w:r>
        <w:rPr>
          <w:rFonts w:cs="Arial"/>
        </w:rPr>
        <w:t xml:space="preserve"> projects </w:t>
      </w:r>
      <w:r w:rsidR="00362CB6">
        <w:rPr>
          <w:rFonts w:cs="Arial"/>
        </w:rPr>
        <w:t>under</w:t>
      </w:r>
      <w:r w:rsidR="00096D6E">
        <w:rPr>
          <w:rFonts w:cs="Arial"/>
        </w:rPr>
        <w:t xml:space="preserve"> the programme </w:t>
      </w:r>
      <w:r w:rsidR="008E5A4E">
        <w:rPr>
          <w:rFonts w:cs="Arial"/>
        </w:rPr>
        <w:t>with a total value of £519,000. The projects focussed o</w:t>
      </w:r>
      <w:r>
        <w:rPr>
          <w:rFonts w:cs="Arial"/>
        </w:rPr>
        <w:t xml:space="preserve">n </w:t>
      </w:r>
      <w:r w:rsidR="008E5A4E">
        <w:rPr>
          <w:rFonts w:cs="Arial"/>
        </w:rPr>
        <w:t>two</w:t>
      </w:r>
      <w:r>
        <w:rPr>
          <w:rFonts w:cs="Arial"/>
        </w:rPr>
        <w:t xml:space="preserve"> </w:t>
      </w:r>
      <w:r w:rsidR="008E5A4E">
        <w:rPr>
          <w:rFonts w:cs="Arial"/>
        </w:rPr>
        <w:t xml:space="preserve">main </w:t>
      </w:r>
      <w:r w:rsidR="001B0778">
        <w:rPr>
          <w:rFonts w:cs="Arial"/>
        </w:rPr>
        <w:t xml:space="preserve">areas </w:t>
      </w:r>
      <w:r w:rsidR="00362CB6">
        <w:rPr>
          <w:rFonts w:cs="Arial"/>
        </w:rPr>
        <w:t>–</w:t>
      </w:r>
      <w:r>
        <w:rPr>
          <w:rFonts w:cs="Arial"/>
        </w:rPr>
        <w:t xml:space="preserve"> </w:t>
      </w:r>
      <w:r w:rsidR="001B0778">
        <w:rPr>
          <w:rFonts w:cs="Arial"/>
          <w:bCs/>
        </w:rPr>
        <w:t>building</w:t>
      </w:r>
      <w:r w:rsidR="00362CB6">
        <w:rPr>
          <w:rFonts w:cs="Arial"/>
          <w:bCs/>
        </w:rPr>
        <w:t xml:space="preserve"> </w:t>
      </w:r>
      <w:r w:rsidR="006E64C0" w:rsidRPr="00F37FCF">
        <w:rPr>
          <w:rFonts w:cs="Arial"/>
          <w:bCs/>
        </w:rPr>
        <w:t>ca</w:t>
      </w:r>
      <w:r w:rsidR="0025123F">
        <w:rPr>
          <w:rFonts w:cs="Arial"/>
          <w:bCs/>
        </w:rPr>
        <w:t xml:space="preserve">pacity in public administration, </w:t>
      </w:r>
      <w:r w:rsidR="006E64C0" w:rsidRPr="00F37FCF">
        <w:rPr>
          <w:rFonts w:cs="Arial"/>
          <w:bCs/>
        </w:rPr>
        <w:t>strengthen</w:t>
      </w:r>
      <w:r w:rsidR="001B0778">
        <w:rPr>
          <w:rFonts w:cs="Arial"/>
          <w:bCs/>
        </w:rPr>
        <w:t>ing</w:t>
      </w:r>
      <w:r w:rsidR="006E64C0" w:rsidRPr="00F37FCF">
        <w:rPr>
          <w:rFonts w:cs="Arial"/>
          <w:bCs/>
        </w:rPr>
        <w:t xml:space="preserve"> reforms in the justice sector</w:t>
      </w:r>
      <w:r w:rsidR="00362CB6">
        <w:rPr>
          <w:rFonts w:cs="Arial"/>
          <w:bCs/>
        </w:rPr>
        <w:t>,</w:t>
      </w:r>
      <w:r w:rsidR="006E64C0" w:rsidRPr="00F37FCF">
        <w:rPr>
          <w:rFonts w:cs="Arial"/>
          <w:bCs/>
        </w:rPr>
        <w:t xml:space="preserve"> and </w:t>
      </w:r>
      <w:r w:rsidR="001B0778" w:rsidRPr="00F37FCF">
        <w:rPr>
          <w:rFonts w:cs="Arial"/>
          <w:bCs/>
        </w:rPr>
        <w:t>promot</w:t>
      </w:r>
      <w:r w:rsidR="001B0778">
        <w:rPr>
          <w:rFonts w:cs="Arial"/>
          <w:bCs/>
        </w:rPr>
        <w:t>ing</w:t>
      </w:r>
      <w:r w:rsidR="006E64C0" w:rsidRPr="00F37FCF">
        <w:rPr>
          <w:rFonts w:cs="Arial"/>
          <w:bCs/>
        </w:rPr>
        <w:t xml:space="preserve"> human rights.</w:t>
      </w:r>
      <w:r w:rsidR="006E64C0" w:rsidRPr="00F37FCF">
        <w:rPr>
          <w:rFonts w:cs="Arial"/>
        </w:rPr>
        <w:t xml:space="preserve"> </w:t>
      </w:r>
      <w:r w:rsidR="008E5A4E">
        <w:rPr>
          <w:rFonts w:cs="Arial"/>
        </w:rPr>
        <w:t xml:space="preserve"> </w:t>
      </w:r>
    </w:p>
    <w:p w:rsidR="00724930" w:rsidRPr="00983DAE" w:rsidRDefault="00724930" w:rsidP="006E64C0">
      <w:pPr>
        <w:rPr>
          <w:rFonts w:cs="Arial"/>
        </w:rPr>
      </w:pPr>
    </w:p>
    <w:p w:rsidR="006E64C0" w:rsidRDefault="006E64C0" w:rsidP="006E64C0">
      <w:pPr>
        <w:rPr>
          <w:rFonts w:cs="Arial"/>
        </w:rPr>
      </w:pPr>
      <w:r>
        <w:rPr>
          <w:rFonts w:cs="Arial"/>
          <w:b/>
        </w:rPr>
        <w:t>2011-12 Programme Details</w:t>
      </w:r>
      <w:r w:rsidRPr="00983DAE">
        <w:rPr>
          <w:rFonts w:cs="Arial"/>
        </w:rPr>
        <w:t>:</w:t>
      </w:r>
    </w:p>
    <w:p w:rsidR="00785C29" w:rsidRDefault="00785C29" w:rsidP="006E64C0">
      <w:pPr>
        <w:rPr>
          <w:rFonts w:cs="Arial"/>
          <w:b/>
        </w:rPr>
      </w:pPr>
    </w:p>
    <w:tbl>
      <w:tblPr>
        <w:tblStyle w:val="TableGrid"/>
        <w:tblW w:w="9322" w:type="dxa"/>
        <w:tblLook w:val="04A0"/>
      </w:tblPr>
      <w:tblGrid>
        <w:gridCol w:w="1242"/>
        <w:gridCol w:w="2454"/>
        <w:gridCol w:w="4350"/>
        <w:gridCol w:w="1276"/>
      </w:tblGrid>
      <w:tr w:rsidR="008E5A4E" w:rsidTr="008E5A4E">
        <w:tc>
          <w:tcPr>
            <w:tcW w:w="1242" w:type="dxa"/>
          </w:tcPr>
          <w:p w:rsidR="008E5A4E" w:rsidRPr="008E5A4E" w:rsidRDefault="008E5A4E" w:rsidP="006E64C0">
            <w:pPr>
              <w:rPr>
                <w:rFonts w:cs="Arial"/>
                <w:sz w:val="22"/>
                <w:szCs w:val="22"/>
              </w:rPr>
            </w:pPr>
            <w:r w:rsidRPr="008E5A4E">
              <w:rPr>
                <w:rFonts w:cs="Arial"/>
                <w:sz w:val="22"/>
                <w:szCs w:val="22"/>
              </w:rPr>
              <w:t>Project Code</w:t>
            </w:r>
          </w:p>
        </w:tc>
        <w:tc>
          <w:tcPr>
            <w:tcW w:w="2454" w:type="dxa"/>
          </w:tcPr>
          <w:p w:rsidR="008E5A4E" w:rsidRPr="008E5A4E" w:rsidRDefault="008E5A4E" w:rsidP="006E64C0">
            <w:pPr>
              <w:rPr>
                <w:rFonts w:cs="Arial"/>
                <w:sz w:val="22"/>
                <w:szCs w:val="22"/>
              </w:rPr>
            </w:pPr>
            <w:r w:rsidRPr="008E5A4E">
              <w:rPr>
                <w:rFonts w:cs="Arial"/>
                <w:sz w:val="22"/>
                <w:szCs w:val="22"/>
              </w:rPr>
              <w:t>Project Title</w:t>
            </w:r>
          </w:p>
        </w:tc>
        <w:tc>
          <w:tcPr>
            <w:tcW w:w="4350" w:type="dxa"/>
          </w:tcPr>
          <w:p w:rsidR="008E5A4E" w:rsidRPr="008E5A4E" w:rsidRDefault="008E5A4E" w:rsidP="006E64C0">
            <w:pPr>
              <w:rPr>
                <w:rFonts w:cs="Arial"/>
                <w:sz w:val="22"/>
                <w:szCs w:val="22"/>
              </w:rPr>
            </w:pPr>
            <w:r w:rsidRPr="008E5A4E">
              <w:rPr>
                <w:rFonts w:cs="Arial"/>
                <w:sz w:val="22"/>
                <w:szCs w:val="22"/>
              </w:rPr>
              <w:t>Purpose</w:t>
            </w:r>
          </w:p>
        </w:tc>
        <w:tc>
          <w:tcPr>
            <w:tcW w:w="1276" w:type="dxa"/>
          </w:tcPr>
          <w:p w:rsidR="008E5A4E" w:rsidRPr="008E5A4E" w:rsidRDefault="008E5A4E" w:rsidP="006E64C0">
            <w:pPr>
              <w:rPr>
                <w:rFonts w:cs="Arial"/>
                <w:sz w:val="22"/>
                <w:szCs w:val="22"/>
              </w:rPr>
            </w:pPr>
            <w:r w:rsidRPr="008E5A4E">
              <w:rPr>
                <w:rFonts w:cs="Arial"/>
                <w:sz w:val="22"/>
                <w:szCs w:val="22"/>
              </w:rPr>
              <w:t>Dates</w:t>
            </w:r>
          </w:p>
        </w:tc>
      </w:tr>
      <w:tr w:rsidR="008E5A4E" w:rsidTr="008E5A4E">
        <w:tc>
          <w:tcPr>
            <w:tcW w:w="1242" w:type="dxa"/>
          </w:tcPr>
          <w:p w:rsidR="008E5A4E" w:rsidRPr="008E5A4E" w:rsidRDefault="005930EB" w:rsidP="006E64C0">
            <w:pPr>
              <w:rPr>
                <w:rFonts w:cs="Arial"/>
                <w:sz w:val="22"/>
                <w:szCs w:val="22"/>
              </w:rPr>
            </w:pPr>
            <w:r>
              <w:rPr>
                <w:rFonts w:cs="Arial"/>
                <w:sz w:val="22"/>
                <w:szCs w:val="22"/>
              </w:rPr>
              <w:t>GB-3-</w:t>
            </w:r>
            <w:r w:rsidR="008E5A4E" w:rsidRPr="008E5A4E">
              <w:rPr>
                <w:rFonts w:cs="Arial"/>
                <w:sz w:val="22"/>
                <w:szCs w:val="22"/>
              </w:rPr>
              <w:t>PEU SRE 000613</w:t>
            </w:r>
          </w:p>
        </w:tc>
        <w:tc>
          <w:tcPr>
            <w:tcW w:w="2454" w:type="dxa"/>
          </w:tcPr>
          <w:p w:rsidR="008E5A4E" w:rsidRPr="008E5A4E" w:rsidRDefault="008E5A4E" w:rsidP="006E64C0">
            <w:pPr>
              <w:rPr>
                <w:rFonts w:cs="Arial"/>
                <w:sz w:val="22"/>
                <w:szCs w:val="22"/>
              </w:rPr>
            </w:pPr>
            <w:r w:rsidRPr="008E5A4E">
              <w:rPr>
                <w:rFonts w:cs="Arial"/>
                <w:sz w:val="22"/>
                <w:szCs w:val="22"/>
              </w:rPr>
              <w:t>Judicial Umbrella project 1</w:t>
            </w:r>
          </w:p>
        </w:tc>
        <w:tc>
          <w:tcPr>
            <w:tcW w:w="4350" w:type="dxa"/>
          </w:tcPr>
          <w:p w:rsidR="008E5A4E" w:rsidRPr="008E5A4E" w:rsidRDefault="008E5A4E" w:rsidP="006E64C0">
            <w:pPr>
              <w:rPr>
                <w:rFonts w:cs="Arial"/>
                <w:sz w:val="22"/>
                <w:szCs w:val="22"/>
              </w:rPr>
            </w:pPr>
            <w:r w:rsidRPr="008E5A4E">
              <w:rPr>
                <w:rFonts w:cs="Arial"/>
                <w:sz w:val="22"/>
                <w:szCs w:val="22"/>
              </w:rPr>
              <w:t>To provide supervision and advice to the three court managers and in parallel review the scheme encouraging co-ordination of all relevant judicial stakeholders.</w:t>
            </w:r>
          </w:p>
        </w:tc>
        <w:tc>
          <w:tcPr>
            <w:tcW w:w="1276" w:type="dxa"/>
          </w:tcPr>
          <w:p w:rsidR="008E5A4E" w:rsidRPr="008E5A4E" w:rsidRDefault="008E5A4E" w:rsidP="006E64C0">
            <w:pPr>
              <w:rPr>
                <w:rFonts w:cs="Arial"/>
                <w:sz w:val="22"/>
                <w:szCs w:val="22"/>
              </w:rPr>
            </w:pPr>
            <w:r w:rsidRPr="008E5A4E">
              <w:rPr>
                <w:rFonts w:cs="Arial"/>
                <w:sz w:val="22"/>
                <w:szCs w:val="22"/>
              </w:rPr>
              <w:t>Apr 10 – Mar 12</w:t>
            </w:r>
          </w:p>
        </w:tc>
      </w:tr>
      <w:tr w:rsidR="008E5A4E" w:rsidTr="008E5A4E">
        <w:tc>
          <w:tcPr>
            <w:tcW w:w="1242" w:type="dxa"/>
          </w:tcPr>
          <w:p w:rsidR="008E5A4E" w:rsidRPr="008E5A4E" w:rsidRDefault="005930EB" w:rsidP="006E64C0">
            <w:pPr>
              <w:rPr>
                <w:rFonts w:cs="Arial"/>
                <w:sz w:val="22"/>
                <w:szCs w:val="22"/>
              </w:rPr>
            </w:pPr>
            <w:r>
              <w:rPr>
                <w:rFonts w:cs="Arial"/>
                <w:sz w:val="22"/>
                <w:szCs w:val="22"/>
              </w:rPr>
              <w:t>GB-3-</w:t>
            </w:r>
            <w:r w:rsidR="008E5A4E" w:rsidRPr="008E5A4E">
              <w:rPr>
                <w:rFonts w:cs="Arial"/>
                <w:sz w:val="22"/>
                <w:szCs w:val="22"/>
              </w:rPr>
              <w:t>PEU SRE 000721</w:t>
            </w:r>
          </w:p>
        </w:tc>
        <w:tc>
          <w:tcPr>
            <w:tcW w:w="2454" w:type="dxa"/>
          </w:tcPr>
          <w:p w:rsidR="008E5A4E" w:rsidRPr="008E5A4E" w:rsidRDefault="008E5A4E" w:rsidP="006E64C0">
            <w:pPr>
              <w:rPr>
                <w:rFonts w:cs="Arial"/>
                <w:sz w:val="22"/>
                <w:szCs w:val="22"/>
              </w:rPr>
            </w:pPr>
            <w:r w:rsidRPr="008E5A4E">
              <w:rPr>
                <w:rFonts w:cs="Arial"/>
                <w:sz w:val="22"/>
                <w:szCs w:val="22"/>
              </w:rPr>
              <w:t>Support the setting up of Zagreb Faculty Legal Clinic</w:t>
            </w:r>
          </w:p>
        </w:tc>
        <w:tc>
          <w:tcPr>
            <w:tcW w:w="4350" w:type="dxa"/>
          </w:tcPr>
          <w:p w:rsidR="008E5A4E" w:rsidRPr="008E5A4E" w:rsidRDefault="008E5A4E" w:rsidP="006E64C0">
            <w:pPr>
              <w:rPr>
                <w:rFonts w:cs="Arial"/>
                <w:sz w:val="22"/>
                <w:szCs w:val="22"/>
              </w:rPr>
            </w:pPr>
            <w:r w:rsidRPr="008E5A4E">
              <w:rPr>
                <w:rFonts w:cs="Arial"/>
                <w:sz w:val="22"/>
                <w:szCs w:val="22"/>
              </w:rPr>
              <w:t>Ensure that Zagreb Faculty Clinic offers best practice legal aid to the public</w:t>
            </w:r>
          </w:p>
        </w:tc>
        <w:tc>
          <w:tcPr>
            <w:tcW w:w="1276" w:type="dxa"/>
          </w:tcPr>
          <w:p w:rsidR="008E5A4E" w:rsidRPr="008E5A4E" w:rsidRDefault="008E5A4E" w:rsidP="006E64C0">
            <w:pPr>
              <w:rPr>
                <w:rFonts w:cs="Arial"/>
                <w:sz w:val="22"/>
                <w:szCs w:val="22"/>
              </w:rPr>
            </w:pPr>
            <w:r w:rsidRPr="008E5A4E">
              <w:rPr>
                <w:rFonts w:cs="Arial"/>
                <w:sz w:val="22"/>
                <w:szCs w:val="22"/>
              </w:rPr>
              <w:t>May 11 – Mar 12</w:t>
            </w:r>
          </w:p>
        </w:tc>
      </w:tr>
      <w:tr w:rsidR="008E5A4E" w:rsidTr="008E5A4E">
        <w:tc>
          <w:tcPr>
            <w:tcW w:w="1242" w:type="dxa"/>
          </w:tcPr>
          <w:p w:rsidR="008E5A4E" w:rsidRPr="008E5A4E" w:rsidRDefault="005930EB" w:rsidP="006E64C0">
            <w:pPr>
              <w:rPr>
                <w:rFonts w:cs="Arial"/>
                <w:sz w:val="22"/>
                <w:szCs w:val="22"/>
              </w:rPr>
            </w:pPr>
            <w:r>
              <w:rPr>
                <w:rFonts w:cs="Arial"/>
                <w:sz w:val="22"/>
                <w:szCs w:val="22"/>
              </w:rPr>
              <w:t>GB-3-</w:t>
            </w:r>
            <w:r w:rsidR="008E5A4E" w:rsidRPr="008E5A4E">
              <w:rPr>
                <w:rFonts w:cs="Arial"/>
                <w:sz w:val="22"/>
                <w:szCs w:val="22"/>
              </w:rPr>
              <w:t>PEU SRE 000722</w:t>
            </w:r>
          </w:p>
        </w:tc>
        <w:tc>
          <w:tcPr>
            <w:tcW w:w="2454" w:type="dxa"/>
          </w:tcPr>
          <w:p w:rsidR="008E5A4E" w:rsidRPr="008E5A4E" w:rsidRDefault="008E5A4E" w:rsidP="006E64C0">
            <w:pPr>
              <w:rPr>
                <w:rFonts w:cs="Arial"/>
                <w:sz w:val="22"/>
                <w:szCs w:val="22"/>
              </w:rPr>
            </w:pPr>
            <w:r w:rsidRPr="008E5A4E">
              <w:rPr>
                <w:rFonts w:cs="Arial"/>
                <w:sz w:val="22"/>
                <w:szCs w:val="22"/>
              </w:rPr>
              <w:t>Bringing British Public Administration skills to Knin, Zadar and Split</w:t>
            </w:r>
          </w:p>
        </w:tc>
        <w:tc>
          <w:tcPr>
            <w:tcW w:w="4350" w:type="dxa"/>
          </w:tcPr>
          <w:p w:rsidR="008E5A4E" w:rsidRPr="008E5A4E" w:rsidRDefault="008E5A4E" w:rsidP="006E64C0">
            <w:pPr>
              <w:rPr>
                <w:rFonts w:cs="Arial"/>
                <w:sz w:val="22"/>
                <w:szCs w:val="22"/>
              </w:rPr>
            </w:pPr>
            <w:r w:rsidRPr="008E5A4E">
              <w:rPr>
                <w:rFonts w:cs="Arial"/>
                <w:sz w:val="22"/>
                <w:szCs w:val="22"/>
              </w:rPr>
              <w:t>To strengthen the effectiveness of public administration in Croatian local administration</w:t>
            </w:r>
          </w:p>
        </w:tc>
        <w:tc>
          <w:tcPr>
            <w:tcW w:w="1276" w:type="dxa"/>
          </w:tcPr>
          <w:p w:rsidR="008E5A4E" w:rsidRPr="008E5A4E" w:rsidRDefault="008E5A4E" w:rsidP="008E5A4E">
            <w:pPr>
              <w:rPr>
                <w:rFonts w:cs="Arial"/>
                <w:sz w:val="22"/>
                <w:szCs w:val="22"/>
              </w:rPr>
            </w:pPr>
            <w:r w:rsidRPr="008E5A4E">
              <w:rPr>
                <w:rFonts w:cs="Arial"/>
                <w:sz w:val="22"/>
                <w:szCs w:val="22"/>
              </w:rPr>
              <w:t>May 11 – Jun 12</w:t>
            </w:r>
          </w:p>
        </w:tc>
      </w:tr>
      <w:tr w:rsidR="008E5A4E" w:rsidTr="008E5A4E">
        <w:tc>
          <w:tcPr>
            <w:tcW w:w="1242" w:type="dxa"/>
          </w:tcPr>
          <w:p w:rsidR="008E5A4E" w:rsidRPr="008E5A4E" w:rsidRDefault="005930EB" w:rsidP="006E64C0">
            <w:pPr>
              <w:rPr>
                <w:rFonts w:cs="Arial"/>
                <w:sz w:val="22"/>
                <w:szCs w:val="22"/>
              </w:rPr>
            </w:pPr>
            <w:r>
              <w:rPr>
                <w:rFonts w:cs="Arial"/>
                <w:sz w:val="22"/>
                <w:szCs w:val="22"/>
              </w:rPr>
              <w:t>GB-3-</w:t>
            </w:r>
            <w:r w:rsidR="008E5A4E" w:rsidRPr="008E5A4E">
              <w:rPr>
                <w:rFonts w:cs="Arial"/>
                <w:sz w:val="22"/>
                <w:szCs w:val="22"/>
              </w:rPr>
              <w:t>PEU SRE 000723</w:t>
            </w:r>
          </w:p>
        </w:tc>
        <w:tc>
          <w:tcPr>
            <w:tcW w:w="2454" w:type="dxa"/>
          </w:tcPr>
          <w:p w:rsidR="008E5A4E" w:rsidRPr="008E5A4E" w:rsidRDefault="008E5A4E" w:rsidP="006E64C0">
            <w:pPr>
              <w:rPr>
                <w:rFonts w:cs="Arial"/>
                <w:sz w:val="22"/>
                <w:szCs w:val="22"/>
              </w:rPr>
            </w:pPr>
            <w:r w:rsidRPr="008E5A4E">
              <w:rPr>
                <w:rFonts w:cs="Arial"/>
                <w:sz w:val="22"/>
                <w:szCs w:val="22"/>
              </w:rPr>
              <w:t>Bring judiciary closer to the public – train spokespersons of County Courts in Croatia</w:t>
            </w:r>
          </w:p>
        </w:tc>
        <w:tc>
          <w:tcPr>
            <w:tcW w:w="4350" w:type="dxa"/>
          </w:tcPr>
          <w:p w:rsidR="008E5A4E" w:rsidRPr="008E5A4E" w:rsidRDefault="008E5A4E" w:rsidP="006E64C0">
            <w:pPr>
              <w:rPr>
                <w:rFonts w:cs="Arial"/>
                <w:sz w:val="22"/>
                <w:szCs w:val="22"/>
              </w:rPr>
            </w:pPr>
            <w:r w:rsidRPr="008E5A4E">
              <w:rPr>
                <w:rFonts w:cs="Arial"/>
                <w:sz w:val="22"/>
                <w:szCs w:val="22"/>
              </w:rPr>
              <w:t>To improve the public perception of courts in Croatia through improvement of County Court spokespeople skills</w:t>
            </w:r>
          </w:p>
        </w:tc>
        <w:tc>
          <w:tcPr>
            <w:tcW w:w="1276" w:type="dxa"/>
          </w:tcPr>
          <w:p w:rsidR="008E5A4E" w:rsidRPr="008E5A4E" w:rsidRDefault="008E5A4E" w:rsidP="006E64C0">
            <w:pPr>
              <w:rPr>
                <w:rFonts w:cs="Arial"/>
                <w:sz w:val="22"/>
                <w:szCs w:val="22"/>
              </w:rPr>
            </w:pPr>
            <w:r w:rsidRPr="008E5A4E">
              <w:rPr>
                <w:rFonts w:cs="Arial"/>
                <w:sz w:val="22"/>
                <w:szCs w:val="22"/>
              </w:rPr>
              <w:t>May 11 – Mar 12</w:t>
            </w:r>
          </w:p>
        </w:tc>
      </w:tr>
      <w:tr w:rsidR="008E5A4E" w:rsidTr="008E5A4E">
        <w:tc>
          <w:tcPr>
            <w:tcW w:w="1242" w:type="dxa"/>
          </w:tcPr>
          <w:p w:rsidR="008E5A4E" w:rsidRPr="008E5A4E" w:rsidRDefault="005930EB" w:rsidP="006E64C0">
            <w:pPr>
              <w:rPr>
                <w:rFonts w:cs="Arial"/>
                <w:sz w:val="22"/>
                <w:szCs w:val="22"/>
              </w:rPr>
            </w:pPr>
            <w:r>
              <w:rPr>
                <w:rFonts w:cs="Arial"/>
                <w:sz w:val="22"/>
                <w:szCs w:val="22"/>
              </w:rPr>
              <w:t>GB-3-</w:t>
            </w:r>
            <w:r w:rsidR="008E5A4E" w:rsidRPr="008E5A4E">
              <w:rPr>
                <w:rFonts w:cs="Arial"/>
                <w:sz w:val="22"/>
                <w:szCs w:val="22"/>
              </w:rPr>
              <w:t>PEU SRE 000724</w:t>
            </w:r>
          </w:p>
        </w:tc>
        <w:tc>
          <w:tcPr>
            <w:tcW w:w="2454" w:type="dxa"/>
          </w:tcPr>
          <w:p w:rsidR="008E5A4E" w:rsidRPr="008E5A4E" w:rsidRDefault="008E5A4E" w:rsidP="006E64C0">
            <w:pPr>
              <w:rPr>
                <w:rFonts w:cs="Arial"/>
                <w:sz w:val="22"/>
                <w:szCs w:val="22"/>
              </w:rPr>
            </w:pPr>
            <w:r w:rsidRPr="008E5A4E">
              <w:rPr>
                <w:rFonts w:cs="Arial"/>
                <w:sz w:val="22"/>
                <w:szCs w:val="22"/>
              </w:rPr>
              <w:t>Strengthen the ability of the Croatian law enforcement agencies to deprive offenders of the proceeds of crime</w:t>
            </w:r>
          </w:p>
        </w:tc>
        <w:tc>
          <w:tcPr>
            <w:tcW w:w="4350" w:type="dxa"/>
          </w:tcPr>
          <w:p w:rsidR="008E5A4E" w:rsidRPr="008E5A4E" w:rsidRDefault="008E5A4E" w:rsidP="006E64C0">
            <w:pPr>
              <w:rPr>
                <w:rFonts w:cs="Arial"/>
                <w:sz w:val="22"/>
                <w:szCs w:val="22"/>
              </w:rPr>
            </w:pPr>
            <w:r w:rsidRPr="008E5A4E">
              <w:rPr>
                <w:rFonts w:cs="Arial"/>
                <w:sz w:val="22"/>
                <w:szCs w:val="22"/>
              </w:rPr>
              <w:t>Strengthen the ability of the Croatian law enforcement agencies to implement article 82 of the Criminal Code to deprive offenders of the proceeds of crime</w:t>
            </w:r>
          </w:p>
        </w:tc>
        <w:tc>
          <w:tcPr>
            <w:tcW w:w="1276" w:type="dxa"/>
          </w:tcPr>
          <w:p w:rsidR="008E5A4E" w:rsidRPr="008E5A4E" w:rsidRDefault="008E5A4E" w:rsidP="006E64C0">
            <w:pPr>
              <w:rPr>
                <w:rFonts w:cs="Arial"/>
                <w:sz w:val="22"/>
                <w:szCs w:val="22"/>
              </w:rPr>
            </w:pPr>
            <w:r w:rsidRPr="008E5A4E">
              <w:rPr>
                <w:rFonts w:cs="Arial"/>
                <w:sz w:val="22"/>
                <w:szCs w:val="22"/>
              </w:rPr>
              <w:t>May 11 – Mar 12</w:t>
            </w:r>
          </w:p>
        </w:tc>
      </w:tr>
      <w:tr w:rsidR="008E5A4E" w:rsidTr="008E5A4E">
        <w:tc>
          <w:tcPr>
            <w:tcW w:w="1242" w:type="dxa"/>
          </w:tcPr>
          <w:p w:rsidR="008E5A4E" w:rsidRPr="008E5A4E" w:rsidRDefault="005930EB" w:rsidP="006E64C0">
            <w:pPr>
              <w:rPr>
                <w:rFonts w:cs="Arial"/>
                <w:sz w:val="22"/>
                <w:szCs w:val="22"/>
              </w:rPr>
            </w:pPr>
            <w:r>
              <w:rPr>
                <w:rFonts w:cs="Arial"/>
                <w:sz w:val="22"/>
                <w:szCs w:val="22"/>
              </w:rPr>
              <w:t>GB-3-</w:t>
            </w:r>
            <w:r w:rsidR="008E5A4E" w:rsidRPr="008E5A4E">
              <w:rPr>
                <w:rFonts w:cs="Arial"/>
                <w:sz w:val="22"/>
                <w:szCs w:val="22"/>
              </w:rPr>
              <w:t>PEU SRE 000725</w:t>
            </w:r>
          </w:p>
        </w:tc>
        <w:tc>
          <w:tcPr>
            <w:tcW w:w="2454" w:type="dxa"/>
          </w:tcPr>
          <w:p w:rsidR="008E5A4E" w:rsidRPr="008E5A4E" w:rsidRDefault="008E5A4E" w:rsidP="006E64C0">
            <w:pPr>
              <w:rPr>
                <w:rFonts w:cs="Arial"/>
                <w:sz w:val="22"/>
                <w:szCs w:val="22"/>
              </w:rPr>
            </w:pPr>
            <w:r w:rsidRPr="008E5A4E">
              <w:rPr>
                <w:rFonts w:cs="Arial"/>
                <w:sz w:val="22"/>
                <w:szCs w:val="22"/>
              </w:rPr>
              <w:t>Strengthen the implementation of the new Freedom of Information Act</w:t>
            </w:r>
          </w:p>
        </w:tc>
        <w:tc>
          <w:tcPr>
            <w:tcW w:w="4350" w:type="dxa"/>
          </w:tcPr>
          <w:p w:rsidR="008E5A4E" w:rsidRPr="008E5A4E" w:rsidRDefault="008E5A4E" w:rsidP="006E64C0">
            <w:pPr>
              <w:rPr>
                <w:rFonts w:cs="Arial"/>
                <w:sz w:val="22"/>
                <w:szCs w:val="22"/>
              </w:rPr>
            </w:pPr>
            <w:r w:rsidRPr="008E5A4E">
              <w:rPr>
                <w:rFonts w:cs="Arial"/>
                <w:sz w:val="22"/>
                <w:szCs w:val="22"/>
              </w:rPr>
              <w:t>To train Data Protection Agency staff and information officers in line ministries and local administration to better understand their role in implementation of the Freedom of Information Act, whilst developing a standardized approach to classification of documents and recording of Freedom of Information requests.</w:t>
            </w:r>
          </w:p>
        </w:tc>
        <w:tc>
          <w:tcPr>
            <w:tcW w:w="1276" w:type="dxa"/>
          </w:tcPr>
          <w:p w:rsidR="008E5A4E" w:rsidRPr="008E5A4E" w:rsidRDefault="008E5A4E" w:rsidP="006E64C0">
            <w:pPr>
              <w:rPr>
                <w:rFonts w:cs="Arial"/>
                <w:sz w:val="22"/>
                <w:szCs w:val="22"/>
              </w:rPr>
            </w:pPr>
            <w:r w:rsidRPr="008E5A4E">
              <w:rPr>
                <w:rFonts w:cs="Arial"/>
                <w:sz w:val="22"/>
                <w:szCs w:val="22"/>
              </w:rPr>
              <w:t>May 11 – Mar 12</w:t>
            </w:r>
          </w:p>
        </w:tc>
      </w:tr>
      <w:tr w:rsidR="008E5A4E" w:rsidTr="008E5A4E">
        <w:tc>
          <w:tcPr>
            <w:tcW w:w="1242" w:type="dxa"/>
          </w:tcPr>
          <w:p w:rsidR="008E5A4E" w:rsidRPr="008E5A4E" w:rsidRDefault="005930EB" w:rsidP="006E64C0">
            <w:pPr>
              <w:rPr>
                <w:rFonts w:cs="Arial"/>
                <w:sz w:val="22"/>
                <w:szCs w:val="22"/>
              </w:rPr>
            </w:pPr>
            <w:r>
              <w:rPr>
                <w:rFonts w:cs="Arial"/>
                <w:sz w:val="22"/>
                <w:szCs w:val="22"/>
              </w:rPr>
              <w:t>GB-3-</w:t>
            </w:r>
            <w:r w:rsidR="008E5A4E" w:rsidRPr="008E5A4E">
              <w:rPr>
                <w:rFonts w:cs="Arial"/>
                <w:sz w:val="22"/>
                <w:szCs w:val="22"/>
              </w:rPr>
              <w:t>PEU SRE 000726</w:t>
            </w:r>
          </w:p>
        </w:tc>
        <w:tc>
          <w:tcPr>
            <w:tcW w:w="2454" w:type="dxa"/>
          </w:tcPr>
          <w:p w:rsidR="008E5A4E" w:rsidRPr="008E5A4E" w:rsidRDefault="008E5A4E" w:rsidP="006E64C0">
            <w:pPr>
              <w:rPr>
                <w:rFonts w:cs="Arial"/>
                <w:sz w:val="22"/>
                <w:szCs w:val="22"/>
              </w:rPr>
            </w:pPr>
            <w:r w:rsidRPr="008E5A4E">
              <w:rPr>
                <w:rFonts w:cs="Arial"/>
                <w:sz w:val="22"/>
                <w:szCs w:val="22"/>
              </w:rPr>
              <w:t>Adviser to Central Office for Development Strategy / Co-ordination of EU Funds (CODEF)</w:t>
            </w:r>
          </w:p>
        </w:tc>
        <w:tc>
          <w:tcPr>
            <w:tcW w:w="4350" w:type="dxa"/>
          </w:tcPr>
          <w:p w:rsidR="008E5A4E" w:rsidRPr="008E5A4E" w:rsidRDefault="008E5A4E" w:rsidP="006E64C0">
            <w:pPr>
              <w:rPr>
                <w:rFonts w:cs="Arial"/>
                <w:sz w:val="22"/>
                <w:szCs w:val="22"/>
              </w:rPr>
            </w:pPr>
            <w:r w:rsidRPr="008E5A4E">
              <w:rPr>
                <w:rFonts w:cs="Arial"/>
                <w:sz w:val="22"/>
                <w:szCs w:val="22"/>
              </w:rPr>
              <w:t>To help CODEF meet the timetable for EU accession negotiations under Chapter 22 (Regional Policy and Coordination of Structural Instruments) with a view to maximising Croatia’s future absorption of EU funds.</w:t>
            </w:r>
          </w:p>
        </w:tc>
        <w:tc>
          <w:tcPr>
            <w:tcW w:w="1276" w:type="dxa"/>
          </w:tcPr>
          <w:p w:rsidR="008E5A4E" w:rsidRPr="008E5A4E" w:rsidRDefault="008E5A4E" w:rsidP="006E64C0">
            <w:pPr>
              <w:rPr>
                <w:rFonts w:cs="Arial"/>
                <w:sz w:val="22"/>
                <w:szCs w:val="22"/>
              </w:rPr>
            </w:pPr>
            <w:r w:rsidRPr="008E5A4E">
              <w:rPr>
                <w:rFonts w:cs="Arial"/>
                <w:sz w:val="22"/>
                <w:szCs w:val="22"/>
              </w:rPr>
              <w:t>Apr 11 – Sep 11</w:t>
            </w:r>
          </w:p>
        </w:tc>
      </w:tr>
    </w:tbl>
    <w:p w:rsidR="00785C29" w:rsidRDefault="00785C29" w:rsidP="006E64C0">
      <w:pPr>
        <w:rPr>
          <w:rFonts w:cs="Arial"/>
          <w:b/>
        </w:rPr>
      </w:pPr>
    </w:p>
    <w:p w:rsidR="006E64C0" w:rsidRDefault="006E64C0" w:rsidP="006E64C0">
      <w:pPr>
        <w:rPr>
          <w:rFonts w:cs="Arial"/>
          <w:b/>
        </w:rPr>
      </w:pPr>
    </w:p>
    <w:p w:rsidR="00724930" w:rsidRDefault="00724930" w:rsidP="006E64C0">
      <w:pPr>
        <w:rPr>
          <w:rFonts w:cs="Arial"/>
          <w:b/>
        </w:rPr>
      </w:pPr>
    </w:p>
    <w:p w:rsidR="004E519D" w:rsidRPr="00724930" w:rsidRDefault="00145034" w:rsidP="002D73AD">
      <w:pPr>
        <w:pStyle w:val="Default"/>
        <w:rPr>
          <w:rFonts w:ascii="Arial Narrow" w:hAnsi="Arial Narrow"/>
          <w:b/>
          <w:sz w:val="28"/>
          <w:szCs w:val="28"/>
        </w:rPr>
      </w:pPr>
      <w:r w:rsidRPr="00724930">
        <w:rPr>
          <w:rFonts w:ascii="Arial Narrow" w:hAnsi="Arial Narrow"/>
          <w:b/>
          <w:sz w:val="28"/>
          <w:szCs w:val="28"/>
        </w:rPr>
        <w:lastRenderedPageBreak/>
        <w:t>Key Findings</w:t>
      </w:r>
    </w:p>
    <w:p w:rsidR="00145034" w:rsidRDefault="00145034" w:rsidP="00362CB6">
      <w:pPr>
        <w:pStyle w:val="Default"/>
        <w:rPr>
          <w:rFonts w:ascii="Arial Narrow" w:hAnsi="Arial Narrow"/>
          <w:sz w:val="22"/>
          <w:szCs w:val="22"/>
        </w:rPr>
      </w:pPr>
    </w:p>
    <w:p w:rsidR="005D7B73" w:rsidRDefault="001B0778" w:rsidP="00362CB6">
      <w:pPr>
        <w:pStyle w:val="Default"/>
        <w:numPr>
          <w:ilvl w:val="0"/>
          <w:numId w:val="4"/>
        </w:numPr>
        <w:rPr>
          <w:rFonts w:ascii="Arial Narrow" w:hAnsi="Arial Narrow"/>
          <w:sz w:val="22"/>
          <w:szCs w:val="22"/>
        </w:rPr>
      </w:pPr>
      <w:r>
        <w:rPr>
          <w:rFonts w:ascii="Arial Narrow" w:hAnsi="Arial Narrow"/>
          <w:sz w:val="22"/>
          <w:szCs w:val="22"/>
        </w:rPr>
        <w:t>This strategically aligned programme contributed to enabling Croatia to sustain momentum and drive on key issues in the lead up to its eventual accession; and served to enhance the UK’s bilateral relationship with a new EU member.</w:t>
      </w:r>
    </w:p>
    <w:p w:rsidR="005D7B73" w:rsidRDefault="005D7B73" w:rsidP="00362CB6">
      <w:pPr>
        <w:pStyle w:val="Default"/>
        <w:ind w:left="720"/>
        <w:rPr>
          <w:rFonts w:ascii="Arial Narrow" w:hAnsi="Arial Narrow"/>
          <w:sz w:val="22"/>
          <w:szCs w:val="22"/>
        </w:rPr>
      </w:pPr>
    </w:p>
    <w:p w:rsidR="005D7B73" w:rsidRDefault="00EA1455" w:rsidP="00362CB6">
      <w:pPr>
        <w:pStyle w:val="Default"/>
        <w:numPr>
          <w:ilvl w:val="0"/>
          <w:numId w:val="4"/>
        </w:numPr>
        <w:rPr>
          <w:rFonts w:ascii="Arial Narrow" w:hAnsi="Arial Narrow"/>
          <w:sz w:val="22"/>
          <w:szCs w:val="22"/>
        </w:rPr>
      </w:pPr>
      <w:r>
        <w:rPr>
          <w:rFonts w:ascii="Arial Narrow" w:hAnsi="Arial Narrow"/>
          <w:sz w:val="22"/>
          <w:szCs w:val="22"/>
        </w:rPr>
        <w:t>Some</w:t>
      </w:r>
      <w:r w:rsidR="001B0778">
        <w:rPr>
          <w:rFonts w:ascii="Arial Narrow" w:hAnsi="Arial Narrow"/>
          <w:sz w:val="22"/>
          <w:szCs w:val="22"/>
        </w:rPr>
        <w:t xml:space="preserve"> projects were overly ambitious and lacked sufficient local buy in.  Consequently </w:t>
      </w:r>
      <w:r w:rsidR="00362CB6">
        <w:rPr>
          <w:rFonts w:ascii="Arial Narrow" w:hAnsi="Arial Narrow"/>
          <w:sz w:val="22"/>
          <w:szCs w:val="22"/>
        </w:rPr>
        <w:t>they</w:t>
      </w:r>
      <w:r w:rsidR="001B0778">
        <w:rPr>
          <w:rFonts w:ascii="Arial Narrow" w:hAnsi="Arial Narrow"/>
          <w:sz w:val="22"/>
          <w:szCs w:val="22"/>
        </w:rPr>
        <w:t xml:space="preserve"> have not yet delivered all their outputs.  Evidence suggests that work is still in progress.</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Relevance </w:t>
      </w:r>
    </w:p>
    <w:p w:rsidR="002D73AD" w:rsidRDefault="002D73AD" w:rsidP="002D73AD">
      <w:pPr>
        <w:pStyle w:val="Default"/>
        <w:rPr>
          <w:rFonts w:ascii="Arial Narrow" w:hAnsi="Arial Narrow"/>
          <w:sz w:val="22"/>
          <w:szCs w:val="22"/>
        </w:rPr>
      </w:pPr>
    </w:p>
    <w:p w:rsidR="00096D6E" w:rsidRPr="00495275" w:rsidRDefault="00096D6E" w:rsidP="00096D6E">
      <w:pPr>
        <w:rPr>
          <w:rFonts w:cs="Arial"/>
        </w:rPr>
      </w:pPr>
      <w:r w:rsidRPr="00495275">
        <w:rPr>
          <w:rFonts w:cs="Arial"/>
        </w:rPr>
        <w:t>T</w:t>
      </w:r>
      <w:r w:rsidRPr="00495275">
        <w:rPr>
          <w:rFonts w:cs="Arial"/>
          <w:lang w:eastAsia="en-GB"/>
        </w:rPr>
        <w:t xml:space="preserve">he </w:t>
      </w:r>
      <w:r>
        <w:rPr>
          <w:rFonts w:cs="Arial"/>
          <w:lang w:eastAsia="en-GB"/>
        </w:rPr>
        <w:t>programme was coherent and strategically aligned with the re</w:t>
      </w:r>
      <w:r w:rsidRPr="00495275">
        <w:rPr>
          <w:rFonts w:cs="Arial"/>
          <w:lang w:eastAsia="en-GB"/>
        </w:rPr>
        <w:t>form priorities</w:t>
      </w:r>
      <w:r>
        <w:rPr>
          <w:rFonts w:cs="Arial"/>
          <w:lang w:eastAsia="en-GB"/>
        </w:rPr>
        <w:t xml:space="preserve"> for Croatia’s EU Accession, </w:t>
      </w:r>
      <w:r w:rsidRPr="00495275">
        <w:rPr>
          <w:rFonts w:cs="Arial"/>
        </w:rPr>
        <w:t>focus</w:t>
      </w:r>
      <w:r>
        <w:rPr>
          <w:rFonts w:cs="Arial"/>
        </w:rPr>
        <w:t xml:space="preserve">sing </w:t>
      </w:r>
      <w:r w:rsidRPr="00495275">
        <w:rPr>
          <w:rFonts w:cs="Arial"/>
        </w:rPr>
        <w:t>on judicial reform and strengthening public administration</w:t>
      </w:r>
      <w:r>
        <w:rPr>
          <w:rFonts w:cs="Arial"/>
          <w:lang w:eastAsia="en-GB"/>
        </w:rPr>
        <w:t xml:space="preserve"> in support of the Embassy’s </w:t>
      </w:r>
      <w:r w:rsidRPr="00495275">
        <w:rPr>
          <w:rFonts w:cs="Arial"/>
          <w:lang w:eastAsia="en-GB"/>
        </w:rPr>
        <w:t>objectives</w:t>
      </w:r>
      <w:r>
        <w:rPr>
          <w:rFonts w:cs="Arial"/>
        </w:rPr>
        <w:t xml:space="preserve">.  </w:t>
      </w:r>
      <w:r w:rsidR="004E0C98">
        <w:rPr>
          <w:rFonts w:cs="Arial"/>
        </w:rPr>
        <w:t>Efforts were made to identify key policy areas where our programme could add value.</w:t>
      </w:r>
    </w:p>
    <w:p w:rsidR="00096D6E" w:rsidRPr="00495275" w:rsidRDefault="00096D6E" w:rsidP="00096D6E">
      <w:pPr>
        <w:rPr>
          <w:rFonts w:cs="Arial"/>
        </w:rPr>
      </w:pPr>
    </w:p>
    <w:p w:rsidR="00096D6E" w:rsidRDefault="00096D6E" w:rsidP="00096D6E">
      <w:pPr>
        <w:autoSpaceDE w:val="0"/>
        <w:autoSpaceDN w:val="0"/>
        <w:adjustRightInd w:val="0"/>
        <w:rPr>
          <w:rFonts w:cs="Arial"/>
        </w:rPr>
      </w:pPr>
      <w:r w:rsidRPr="00495275">
        <w:rPr>
          <w:rFonts w:cs="Arial"/>
          <w:lang w:eastAsia="en-GB"/>
        </w:rPr>
        <w:t>The timing of</w:t>
      </w:r>
      <w:r>
        <w:rPr>
          <w:rFonts w:cs="Arial"/>
          <w:lang w:eastAsia="en-GB"/>
        </w:rPr>
        <w:t xml:space="preserve"> </w:t>
      </w:r>
      <w:r w:rsidRPr="00495275">
        <w:rPr>
          <w:rFonts w:cs="Arial"/>
          <w:lang w:eastAsia="en-GB"/>
        </w:rPr>
        <w:t>the chosen projects was good</w:t>
      </w:r>
      <w:r>
        <w:rPr>
          <w:rFonts w:cs="Arial"/>
          <w:lang w:eastAsia="en-GB"/>
        </w:rPr>
        <w:t xml:space="preserve"> in that they </w:t>
      </w:r>
      <w:r w:rsidRPr="00495275">
        <w:rPr>
          <w:rFonts w:cs="Arial"/>
          <w:lang w:eastAsia="en-GB"/>
        </w:rPr>
        <w:t>responded to priorities arising from the close EU accession date</w:t>
      </w:r>
      <w:r>
        <w:rPr>
          <w:rFonts w:cs="Arial"/>
          <w:lang w:eastAsia="en-GB"/>
        </w:rPr>
        <w:t xml:space="preserve"> – the judicial/rule of law chapters were the closing elements of the EU accession negotiations – however m</w:t>
      </w:r>
      <w:r>
        <w:rPr>
          <w:rFonts w:cs="Arial"/>
        </w:rPr>
        <w:t xml:space="preserve">ore could have been done at project selection stage to ensure that the most relevant projects were selected in support of a </w:t>
      </w:r>
      <w:r w:rsidR="00362CB6">
        <w:rPr>
          <w:rFonts w:cs="Arial"/>
        </w:rPr>
        <w:t xml:space="preserve">strong </w:t>
      </w:r>
      <w:r>
        <w:rPr>
          <w:rFonts w:cs="Arial"/>
        </w:rPr>
        <w:t xml:space="preserve">overall strategy. The process for </w:t>
      </w:r>
      <w:r w:rsidRPr="00495275">
        <w:rPr>
          <w:rFonts w:cs="Arial"/>
        </w:rPr>
        <w:t xml:space="preserve">identifying </w:t>
      </w:r>
      <w:r w:rsidRPr="00495275">
        <w:rPr>
          <w:rFonts w:cs="Arial"/>
          <w:lang w:eastAsia="en-GB"/>
        </w:rPr>
        <w:t xml:space="preserve">projects and </w:t>
      </w:r>
      <w:r w:rsidRPr="00495275">
        <w:rPr>
          <w:rFonts w:cs="Arial"/>
        </w:rPr>
        <w:t>selecting implementers</w:t>
      </w:r>
      <w:r>
        <w:rPr>
          <w:rFonts w:cs="Arial"/>
        </w:rPr>
        <w:t xml:space="preserve"> should have been more transparent and focused on beneficiary need. Over-emphasis on implementation through international organisations may have weakened the ownership and input of Croatian Institutions.  </w:t>
      </w:r>
      <w:r w:rsidR="004E0C98">
        <w:rPr>
          <w:rFonts w:cs="Arial"/>
        </w:rPr>
        <w:t xml:space="preserve"> The programme did enable broad use of UK expertise allowing for wider bilateral </w:t>
      </w:r>
      <w:proofErr w:type="gramStart"/>
      <w:r w:rsidR="004E0C98">
        <w:rPr>
          <w:rFonts w:cs="Arial"/>
        </w:rPr>
        <w:t>benefits</w:t>
      </w:r>
      <w:r w:rsidR="00362CB6">
        <w:rPr>
          <w:rFonts w:cs="Arial"/>
        </w:rPr>
        <w:t>,</w:t>
      </w:r>
      <w:proofErr w:type="gramEnd"/>
      <w:r w:rsidR="004E0C98">
        <w:rPr>
          <w:rFonts w:cs="Arial"/>
        </w:rPr>
        <w:t xml:space="preserve"> however greater consultation with </w:t>
      </w:r>
      <w:r w:rsidR="00362CB6">
        <w:rPr>
          <w:rFonts w:cs="Arial"/>
        </w:rPr>
        <w:t xml:space="preserve">a </w:t>
      </w:r>
      <w:r w:rsidR="004E0C98">
        <w:rPr>
          <w:rFonts w:cs="Arial"/>
        </w:rPr>
        <w:t>wider constituency in country would have supported greater programme relevance.</w:t>
      </w:r>
    </w:p>
    <w:p w:rsidR="00096D6E" w:rsidRPr="004E519D" w:rsidRDefault="00096D6E" w:rsidP="002D73AD">
      <w:pPr>
        <w:pStyle w:val="Default"/>
        <w:rPr>
          <w:rFonts w:ascii="Arial Narrow" w:hAnsi="Arial Narrow"/>
          <w:sz w:val="22"/>
          <w:szCs w:val="22"/>
        </w:rPr>
      </w:pPr>
    </w:p>
    <w:p w:rsidR="002D73AD" w:rsidRDefault="002D73AD" w:rsidP="002D73AD">
      <w:pPr>
        <w:pStyle w:val="Default"/>
        <w:rPr>
          <w:rFonts w:ascii="Arial Narrow" w:hAnsi="Arial Narrow"/>
          <w:b/>
          <w:sz w:val="22"/>
          <w:szCs w:val="22"/>
        </w:rPr>
      </w:pPr>
      <w:r w:rsidRPr="004E519D">
        <w:rPr>
          <w:rFonts w:ascii="Arial Narrow" w:hAnsi="Arial Narrow"/>
          <w:b/>
          <w:sz w:val="22"/>
          <w:szCs w:val="22"/>
        </w:rPr>
        <w:t xml:space="preserve">Efficiency </w:t>
      </w:r>
    </w:p>
    <w:p w:rsidR="00096D6E" w:rsidRPr="004E519D" w:rsidRDefault="00096D6E" w:rsidP="002D73AD">
      <w:pPr>
        <w:pStyle w:val="Default"/>
        <w:rPr>
          <w:rFonts w:ascii="Arial Narrow" w:hAnsi="Arial Narrow"/>
          <w:b/>
          <w:sz w:val="22"/>
          <w:szCs w:val="22"/>
        </w:rPr>
      </w:pPr>
    </w:p>
    <w:p w:rsidR="00096D6E" w:rsidRDefault="00096D6E" w:rsidP="00096D6E">
      <w:pPr>
        <w:jc w:val="both"/>
        <w:rPr>
          <w:rFonts w:cs="Arial"/>
        </w:rPr>
      </w:pPr>
      <w:r>
        <w:rPr>
          <w:rFonts w:cs="Arial"/>
        </w:rPr>
        <w:t>The Embassy</w:t>
      </w:r>
      <w:r w:rsidR="00620C93">
        <w:rPr>
          <w:rFonts w:cs="Arial"/>
        </w:rPr>
        <w:t xml:space="preserve"> </w:t>
      </w:r>
      <w:r w:rsidRPr="00BD551E">
        <w:rPr>
          <w:rFonts w:cs="Arial"/>
        </w:rPr>
        <w:t>work</w:t>
      </w:r>
      <w:r w:rsidR="0063237B">
        <w:rPr>
          <w:rFonts w:cs="Arial"/>
        </w:rPr>
        <w:t>ed</w:t>
      </w:r>
      <w:r w:rsidRPr="00BD551E">
        <w:rPr>
          <w:rFonts w:cs="Arial"/>
        </w:rPr>
        <w:t xml:space="preserve"> with implementers to redesign </w:t>
      </w:r>
      <w:r w:rsidR="00620C93">
        <w:rPr>
          <w:rFonts w:cs="Arial"/>
        </w:rPr>
        <w:t xml:space="preserve">some of the </w:t>
      </w:r>
      <w:r w:rsidRPr="00BD551E">
        <w:rPr>
          <w:rFonts w:cs="Arial"/>
        </w:rPr>
        <w:t xml:space="preserve">projects mid implementation in order to ensure that they remained efficient, continued to add value and did not duplicate new donor work. </w:t>
      </w:r>
      <w:r>
        <w:rPr>
          <w:rFonts w:cs="Arial"/>
        </w:rPr>
        <w:t>However m</w:t>
      </w:r>
      <w:r w:rsidRPr="00BD551E">
        <w:rPr>
          <w:rFonts w:cs="Arial"/>
        </w:rPr>
        <w:t xml:space="preserve">ost of the projects evaluated </w:t>
      </w:r>
      <w:r w:rsidR="00F839C2">
        <w:rPr>
          <w:rFonts w:cs="Arial"/>
        </w:rPr>
        <w:t>are still</w:t>
      </w:r>
      <w:r w:rsidRPr="00BD551E">
        <w:rPr>
          <w:rFonts w:cs="Arial"/>
        </w:rPr>
        <w:t xml:space="preserve"> to achieve their original indicators and many of their outputs. </w:t>
      </w:r>
      <w:r>
        <w:rPr>
          <w:rFonts w:cs="Arial"/>
        </w:rPr>
        <w:t xml:space="preserve">Court Managers are still not in place (see above) and under the Freedom of Information Act project only 41 individuals, out of a projected 100, were trained.  </w:t>
      </w:r>
    </w:p>
    <w:p w:rsidR="0063237B" w:rsidRDefault="0063237B" w:rsidP="00096D6E">
      <w:pPr>
        <w:jc w:val="both"/>
        <w:rPr>
          <w:rFonts w:cs="Arial"/>
        </w:rPr>
      </w:pPr>
    </w:p>
    <w:p w:rsidR="00096D6E" w:rsidRPr="00BD551E" w:rsidRDefault="00096D6E" w:rsidP="00096D6E">
      <w:pPr>
        <w:jc w:val="both"/>
        <w:rPr>
          <w:rFonts w:cs="Arial"/>
          <w:lang w:eastAsia="en-GB"/>
        </w:rPr>
      </w:pPr>
      <w:r w:rsidRPr="00BD551E">
        <w:rPr>
          <w:rFonts w:cs="Arial"/>
          <w:lang w:eastAsia="en-GB"/>
        </w:rPr>
        <w:t>The programme supported projects which were developed by implementers</w:t>
      </w:r>
      <w:r w:rsidR="00362CB6">
        <w:rPr>
          <w:rFonts w:cs="Arial"/>
          <w:lang w:eastAsia="en-GB"/>
        </w:rPr>
        <w:t xml:space="preserve">. </w:t>
      </w:r>
      <w:r w:rsidRPr="00BD551E">
        <w:rPr>
          <w:rFonts w:cs="Arial"/>
          <w:lang w:eastAsia="en-GB"/>
        </w:rPr>
        <w:t>Priorities were identified as a result of donor -implementer dialogue rather than consultation with the beneficiary.</w:t>
      </w:r>
      <w:r w:rsidRPr="00BD551E">
        <w:rPr>
          <w:rFonts w:cs="Arial"/>
        </w:rPr>
        <w:t xml:space="preserve"> Consequently projects did</w:t>
      </w:r>
      <w:r w:rsidR="00362CB6">
        <w:rPr>
          <w:rFonts w:cs="Arial"/>
        </w:rPr>
        <w:t xml:space="preserve"> not</w:t>
      </w:r>
      <w:r w:rsidRPr="00BD551E">
        <w:rPr>
          <w:rFonts w:cs="Arial"/>
        </w:rPr>
        <w:t xml:space="preserve"> adequately respond to local priorities or circumstance and lacked necessary high level buy in to achieve impact. Often international consultants were used where partnership with local implementers would have been both less costly and more sustainable.</w:t>
      </w:r>
      <w:r>
        <w:rPr>
          <w:rFonts w:cs="Arial"/>
        </w:rPr>
        <w:t xml:space="preserve"> </w:t>
      </w:r>
      <w:r w:rsidRPr="00BD551E">
        <w:rPr>
          <w:rFonts w:cs="Arial"/>
          <w:lang w:eastAsia="en-GB"/>
        </w:rPr>
        <w:t xml:space="preserve">Where an international consultant was the most appropriate implementer, better value could have been achieved by pairing with Croatian counterparts. </w:t>
      </w:r>
      <w:r w:rsidR="00362CB6">
        <w:rPr>
          <w:rFonts w:cs="Arial"/>
          <w:lang w:eastAsia="en-GB"/>
        </w:rPr>
        <w:t>I</w:t>
      </w:r>
      <w:r w:rsidRPr="00BD551E">
        <w:rPr>
          <w:rFonts w:cs="Arial"/>
          <w:lang w:eastAsia="en-GB"/>
        </w:rPr>
        <w:t>n the area of training delivery, engaging local trainers would have allowed shared learning</w:t>
      </w:r>
      <w:r>
        <w:rPr>
          <w:rFonts w:cs="Arial"/>
          <w:lang w:eastAsia="en-GB"/>
        </w:rPr>
        <w:t xml:space="preserve"> and the embedding of benefits.</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Effectiveness </w:t>
      </w:r>
    </w:p>
    <w:p w:rsidR="00620C93" w:rsidRDefault="00620C93" w:rsidP="00620C93">
      <w:pPr>
        <w:rPr>
          <w:rFonts w:cs="Arial"/>
        </w:rPr>
      </w:pPr>
    </w:p>
    <w:p w:rsidR="00620C93" w:rsidRDefault="00620C93" w:rsidP="00620C93">
      <w:pPr>
        <w:rPr>
          <w:rFonts w:cs="Arial"/>
        </w:rPr>
      </w:pPr>
      <w:r>
        <w:rPr>
          <w:rFonts w:cs="Arial"/>
          <w:lang w:eastAsia="en-GB"/>
        </w:rPr>
        <w:t>B</w:t>
      </w:r>
      <w:r w:rsidRPr="00645714">
        <w:rPr>
          <w:rFonts w:cs="Arial"/>
          <w:lang w:eastAsia="en-GB"/>
        </w:rPr>
        <w:t xml:space="preserve">eneficiaries </w:t>
      </w:r>
      <w:r>
        <w:rPr>
          <w:rFonts w:cs="Arial"/>
          <w:lang w:eastAsia="en-GB"/>
        </w:rPr>
        <w:t xml:space="preserve">consistently </w:t>
      </w:r>
      <w:r w:rsidRPr="00645714">
        <w:rPr>
          <w:rFonts w:cs="Arial"/>
          <w:lang w:eastAsia="en-GB"/>
        </w:rPr>
        <w:t>reported satisfaction with project effectiveness</w:t>
      </w:r>
      <w:r>
        <w:rPr>
          <w:rFonts w:cs="Arial"/>
          <w:lang w:eastAsia="en-GB"/>
        </w:rPr>
        <w:t xml:space="preserve">, praising the quality of UK expertise, and </w:t>
      </w:r>
      <w:r w:rsidR="00362CB6">
        <w:rPr>
          <w:rFonts w:cs="Arial"/>
          <w:lang w:eastAsia="en-GB"/>
        </w:rPr>
        <w:t>with the work</w:t>
      </w:r>
      <w:r>
        <w:rPr>
          <w:rFonts w:cs="Arial"/>
          <w:lang w:eastAsia="en-GB"/>
        </w:rPr>
        <w:t xml:space="preserve"> enabling Croatia to sustain momentum and drive in key issues</w:t>
      </w:r>
      <w:r w:rsidRPr="00645714">
        <w:rPr>
          <w:rFonts w:cs="Arial"/>
          <w:lang w:eastAsia="en-GB"/>
        </w:rPr>
        <w:t xml:space="preserve">. </w:t>
      </w:r>
      <w:r>
        <w:rPr>
          <w:rFonts w:cs="Arial"/>
        </w:rPr>
        <w:t xml:space="preserve">This allowed the Embassy to promote the UK as a keen supporter of Croatia – meaning that the Embassy was better placed to lobby effectively on EU accession issues, and enhance the UKs bilateral relationship with a soon to be new EU member.  </w:t>
      </w:r>
    </w:p>
    <w:p w:rsidR="00620C93" w:rsidRDefault="00620C93" w:rsidP="00620C93">
      <w:pPr>
        <w:rPr>
          <w:rFonts w:cs="Arial"/>
        </w:rPr>
      </w:pPr>
    </w:p>
    <w:p w:rsidR="00620C93" w:rsidRDefault="00620C93" w:rsidP="00620C93">
      <w:pPr>
        <w:rPr>
          <w:rFonts w:cs="Arial"/>
        </w:rPr>
      </w:pPr>
      <w:r>
        <w:rPr>
          <w:rFonts w:cs="Arial"/>
        </w:rPr>
        <w:lastRenderedPageBreak/>
        <w:t>The programme effectively acted to leverage greater EU funding in support of our objectives through contributing to the successful position</w:t>
      </w:r>
      <w:r w:rsidR="00362CB6">
        <w:rPr>
          <w:rFonts w:cs="Arial"/>
        </w:rPr>
        <w:t>ing</w:t>
      </w:r>
      <w:r>
        <w:rPr>
          <w:rFonts w:cs="Arial"/>
        </w:rPr>
        <w:t xml:space="preserve"> of the UK to win two EU Twinning projects: One €1.8m project on the</w:t>
      </w:r>
      <w:r w:rsidRPr="002B3302">
        <w:rPr>
          <w:rFonts w:cs="Arial"/>
        </w:rPr>
        <w:t xml:space="preserve"> establishment of probation services in Croatia</w:t>
      </w:r>
      <w:r>
        <w:rPr>
          <w:rFonts w:cs="Arial"/>
        </w:rPr>
        <w:t xml:space="preserve">; the other </w:t>
      </w:r>
      <w:r w:rsidR="00362CB6">
        <w:rPr>
          <w:rFonts w:cs="Arial"/>
        </w:rPr>
        <w:t>(</w:t>
      </w:r>
      <w:r>
        <w:rPr>
          <w:rFonts w:cs="Arial"/>
        </w:rPr>
        <w:t xml:space="preserve">still </w:t>
      </w:r>
      <w:r w:rsidRPr="002B3302">
        <w:rPr>
          <w:rFonts w:cs="Arial"/>
        </w:rPr>
        <w:t>ongoing</w:t>
      </w:r>
      <w:r w:rsidR="00362CB6">
        <w:rPr>
          <w:rFonts w:cs="Arial"/>
        </w:rPr>
        <w:t xml:space="preserve">) </w:t>
      </w:r>
      <w:r>
        <w:rPr>
          <w:rFonts w:cs="Arial"/>
        </w:rPr>
        <w:t>€2.6m project a</w:t>
      </w:r>
      <w:r w:rsidRPr="002B3302">
        <w:rPr>
          <w:rFonts w:cs="Arial"/>
        </w:rPr>
        <w:t>imed at strengthening the efficiency of Croatian judiciary.</w:t>
      </w:r>
    </w:p>
    <w:p w:rsidR="00620C93" w:rsidRDefault="00620C93" w:rsidP="00620C93">
      <w:pPr>
        <w:rPr>
          <w:rFonts w:cs="Arial"/>
        </w:rPr>
      </w:pPr>
    </w:p>
    <w:p w:rsidR="00620C93" w:rsidRPr="00645714" w:rsidRDefault="004E0C98" w:rsidP="00620C93">
      <w:pPr>
        <w:rPr>
          <w:rFonts w:cs="Arial"/>
        </w:rPr>
      </w:pPr>
      <w:r>
        <w:rPr>
          <w:rFonts w:cs="Arial"/>
        </w:rPr>
        <w:t>The implementation of projects within the programme supported the delivery of the two key strategic goals of the programme: supp</w:t>
      </w:r>
      <w:r w:rsidR="00362CB6">
        <w:rPr>
          <w:rFonts w:cs="Arial"/>
        </w:rPr>
        <w:t>orting Croatia down the EU path;</w:t>
      </w:r>
      <w:r>
        <w:rPr>
          <w:rFonts w:cs="Arial"/>
        </w:rPr>
        <w:t xml:space="preserve"> and promoting the UK as a natural partner.  </w:t>
      </w:r>
      <w:r w:rsidR="00620C93">
        <w:rPr>
          <w:rFonts w:cs="Arial"/>
        </w:rPr>
        <w:t xml:space="preserve">However the projects </w:t>
      </w:r>
      <w:r>
        <w:rPr>
          <w:rFonts w:cs="Arial"/>
        </w:rPr>
        <w:t xml:space="preserve">have not yet </w:t>
      </w:r>
      <w:r w:rsidR="00EA1455">
        <w:rPr>
          <w:rFonts w:cs="Arial"/>
        </w:rPr>
        <w:t xml:space="preserve">fully </w:t>
      </w:r>
      <w:r>
        <w:rPr>
          <w:rFonts w:cs="Arial"/>
        </w:rPr>
        <w:t xml:space="preserve">delivered </w:t>
      </w:r>
      <w:r w:rsidR="00620C93">
        <w:rPr>
          <w:rFonts w:cs="Arial"/>
        </w:rPr>
        <w:t xml:space="preserve">greater public administration capacity and justice sector reform in Croatia.  </w:t>
      </w:r>
      <w:r w:rsidR="00620C93" w:rsidRPr="00645714">
        <w:rPr>
          <w:rFonts w:cs="Arial"/>
        </w:rPr>
        <w:t xml:space="preserve">No project within the programme </w:t>
      </w:r>
      <w:r w:rsidR="00620C93">
        <w:rPr>
          <w:rFonts w:cs="Arial"/>
        </w:rPr>
        <w:t xml:space="preserve">has </w:t>
      </w:r>
      <w:r w:rsidR="00620C93" w:rsidRPr="00645714">
        <w:rPr>
          <w:rFonts w:cs="Arial"/>
        </w:rPr>
        <w:t>fully achieved its purpose</w:t>
      </w:r>
      <w:r w:rsidR="00620C93">
        <w:rPr>
          <w:rFonts w:cs="Arial"/>
        </w:rPr>
        <w:t xml:space="preserve"> </w:t>
      </w:r>
      <w:r>
        <w:rPr>
          <w:rFonts w:cs="Arial"/>
        </w:rPr>
        <w:t>to date</w:t>
      </w:r>
      <w:r w:rsidR="00620C93" w:rsidRPr="00645714">
        <w:rPr>
          <w:rFonts w:cs="Arial"/>
        </w:rPr>
        <w:t xml:space="preserve">. Whilst projects were well designed to ensure that outputs were strong and sufficient to deliver purpose, they were generally over ambitious in defining what could be achieved in the short time frame. </w:t>
      </w:r>
      <w:r>
        <w:rPr>
          <w:rFonts w:cs="Arial"/>
        </w:rPr>
        <w:t xml:space="preserve">More could </w:t>
      </w:r>
      <w:r w:rsidR="00EA1455">
        <w:rPr>
          <w:rFonts w:cs="Arial"/>
        </w:rPr>
        <w:t xml:space="preserve">also </w:t>
      </w:r>
      <w:r>
        <w:rPr>
          <w:rFonts w:cs="Arial"/>
        </w:rPr>
        <w:t>have been done to</w:t>
      </w:r>
      <w:r w:rsidR="00620C93" w:rsidRPr="00645714">
        <w:rPr>
          <w:rFonts w:cs="Arial"/>
        </w:rPr>
        <w:t xml:space="preserve"> ensure the required stakeholder buy in.  </w:t>
      </w:r>
    </w:p>
    <w:p w:rsidR="002D73AD" w:rsidRPr="004E519D" w:rsidRDefault="002D73AD"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Sustainability </w:t>
      </w:r>
    </w:p>
    <w:p w:rsidR="002D73AD" w:rsidRPr="004E519D" w:rsidRDefault="002D73AD" w:rsidP="002D73AD">
      <w:pPr>
        <w:pStyle w:val="Default"/>
        <w:rPr>
          <w:rFonts w:ascii="Arial Narrow" w:hAnsi="Arial Narrow"/>
          <w:sz w:val="22"/>
          <w:szCs w:val="22"/>
        </w:rPr>
      </w:pPr>
    </w:p>
    <w:p w:rsidR="00620C93" w:rsidRDefault="00620C93" w:rsidP="00620C93">
      <w:pPr>
        <w:autoSpaceDE w:val="0"/>
        <w:autoSpaceDN w:val="0"/>
        <w:adjustRightInd w:val="0"/>
        <w:rPr>
          <w:rFonts w:cs="Arial"/>
        </w:rPr>
      </w:pPr>
      <w:r>
        <w:rPr>
          <w:rFonts w:cs="Arial"/>
          <w:lang w:eastAsia="en-GB"/>
        </w:rPr>
        <w:t xml:space="preserve">The UK is seen as an effective and valued partner by the Government of Croatia and work to support them through the accession process, both diplomatically and financially through the Reuniting Europe programme continues to be recognised. </w:t>
      </w:r>
    </w:p>
    <w:p w:rsidR="00620C93" w:rsidRDefault="00620C93" w:rsidP="00620C93">
      <w:pPr>
        <w:autoSpaceDE w:val="0"/>
        <w:autoSpaceDN w:val="0"/>
        <w:adjustRightInd w:val="0"/>
        <w:rPr>
          <w:rFonts w:cs="Arial"/>
          <w:lang w:eastAsia="en-GB"/>
        </w:rPr>
      </w:pPr>
    </w:p>
    <w:p w:rsidR="00620C93" w:rsidRPr="00645714" w:rsidRDefault="00620C93" w:rsidP="00620C93">
      <w:pPr>
        <w:autoSpaceDE w:val="0"/>
        <w:autoSpaceDN w:val="0"/>
        <w:adjustRightInd w:val="0"/>
        <w:rPr>
          <w:rFonts w:cs="Arial"/>
        </w:rPr>
      </w:pPr>
      <w:r>
        <w:rPr>
          <w:rFonts w:cs="Arial"/>
          <w:lang w:eastAsia="en-GB"/>
        </w:rPr>
        <w:t xml:space="preserve">There was evidence that </w:t>
      </w:r>
      <w:r w:rsidRPr="00645714">
        <w:rPr>
          <w:rFonts w:cs="Arial"/>
          <w:lang w:eastAsia="en-GB"/>
        </w:rPr>
        <w:t xml:space="preserve">work begun in some projects is continuing </w:t>
      </w:r>
      <w:r>
        <w:rPr>
          <w:rFonts w:cs="Arial"/>
          <w:lang w:eastAsia="en-GB"/>
        </w:rPr>
        <w:t xml:space="preserve">and that </w:t>
      </w:r>
      <w:r w:rsidRPr="00645714">
        <w:rPr>
          <w:rFonts w:cs="Arial"/>
          <w:lang w:eastAsia="en-GB"/>
        </w:rPr>
        <w:t>progress</w:t>
      </w:r>
      <w:r>
        <w:rPr>
          <w:rFonts w:cs="Arial"/>
          <w:lang w:eastAsia="en-GB"/>
        </w:rPr>
        <w:t xml:space="preserve"> is being made towards </w:t>
      </w:r>
      <w:r w:rsidRPr="00645714">
        <w:rPr>
          <w:rFonts w:cs="Arial"/>
          <w:lang w:eastAsia="en-GB"/>
        </w:rPr>
        <w:t xml:space="preserve">outputs and ultimately project purpose. This </w:t>
      </w:r>
      <w:r>
        <w:rPr>
          <w:rFonts w:cs="Arial"/>
          <w:lang w:eastAsia="en-GB"/>
        </w:rPr>
        <w:t xml:space="preserve">is </w:t>
      </w:r>
      <w:r w:rsidRPr="00645714">
        <w:rPr>
          <w:rFonts w:cs="Arial"/>
          <w:lang w:eastAsia="en-GB"/>
        </w:rPr>
        <w:t>most obvious in the justice reform work where there was greatest alignment of</w:t>
      </w:r>
      <w:r>
        <w:rPr>
          <w:rFonts w:cs="Arial"/>
          <w:lang w:eastAsia="en-GB"/>
        </w:rPr>
        <w:t xml:space="preserve"> purpose with beneficiary need</w:t>
      </w:r>
      <w:r w:rsidR="00362CB6">
        <w:rPr>
          <w:rFonts w:cs="Arial"/>
          <w:lang w:eastAsia="en-GB"/>
        </w:rPr>
        <w:t xml:space="preserve">. </w:t>
      </w:r>
      <w:r w:rsidRPr="00645714">
        <w:rPr>
          <w:rFonts w:cs="Arial"/>
          <w:lang w:eastAsia="en-GB"/>
        </w:rPr>
        <w:t xml:space="preserve">In some cases, project outcomes </w:t>
      </w:r>
      <w:r>
        <w:rPr>
          <w:rFonts w:cs="Arial"/>
          <w:lang w:eastAsia="en-GB"/>
        </w:rPr>
        <w:t xml:space="preserve">have been </w:t>
      </w:r>
      <w:r w:rsidRPr="00645714">
        <w:rPr>
          <w:rFonts w:cs="Arial"/>
          <w:lang w:eastAsia="en-GB"/>
        </w:rPr>
        <w:t xml:space="preserve">sustained because they </w:t>
      </w:r>
      <w:r>
        <w:rPr>
          <w:rFonts w:cs="Arial"/>
          <w:lang w:eastAsia="en-GB"/>
        </w:rPr>
        <w:t>have</w:t>
      </w:r>
      <w:r w:rsidRPr="00645714">
        <w:rPr>
          <w:rFonts w:cs="Arial"/>
          <w:lang w:eastAsia="en-GB"/>
        </w:rPr>
        <w:t xml:space="preserve"> fed into and complemented other larger and longer term projects funded by </w:t>
      </w:r>
      <w:r>
        <w:rPr>
          <w:rFonts w:cs="Arial"/>
          <w:lang w:eastAsia="en-GB"/>
        </w:rPr>
        <w:t xml:space="preserve">different </w:t>
      </w:r>
      <w:r w:rsidRPr="00645714">
        <w:rPr>
          <w:rFonts w:cs="Arial"/>
          <w:lang w:eastAsia="en-GB"/>
        </w:rPr>
        <w:t xml:space="preserve">donors. </w:t>
      </w:r>
    </w:p>
    <w:p w:rsidR="00620C93" w:rsidRPr="00645714" w:rsidRDefault="00620C93" w:rsidP="00620C93">
      <w:pPr>
        <w:autoSpaceDE w:val="0"/>
        <w:autoSpaceDN w:val="0"/>
        <w:adjustRightInd w:val="0"/>
        <w:rPr>
          <w:rFonts w:cs="Arial"/>
          <w:lang w:eastAsia="en-GB"/>
        </w:rPr>
      </w:pPr>
    </w:p>
    <w:p w:rsidR="00620C93" w:rsidRPr="00645714" w:rsidRDefault="00620C93" w:rsidP="00620C93">
      <w:pPr>
        <w:autoSpaceDE w:val="0"/>
        <w:autoSpaceDN w:val="0"/>
        <w:adjustRightInd w:val="0"/>
        <w:rPr>
          <w:rFonts w:cs="Arial"/>
          <w:lang w:eastAsia="en-GB"/>
        </w:rPr>
      </w:pPr>
      <w:r w:rsidRPr="00645714">
        <w:rPr>
          <w:rFonts w:cs="Arial"/>
          <w:lang w:eastAsia="en-GB"/>
        </w:rPr>
        <w:t>Projects where there was no evidence of sustainability were those that lacked the necessary local buy in to achieve project purpose</w:t>
      </w:r>
      <w:r w:rsidR="00362CB6">
        <w:rPr>
          <w:rFonts w:cs="Arial"/>
          <w:lang w:eastAsia="en-GB"/>
        </w:rPr>
        <w:t>,</w:t>
      </w:r>
      <w:r w:rsidRPr="00645714">
        <w:rPr>
          <w:rFonts w:cs="Arial"/>
          <w:lang w:eastAsia="en-GB"/>
        </w:rPr>
        <w:t xml:space="preserve"> and where the implementer had no long term presence in country</w:t>
      </w:r>
      <w:r w:rsidR="00362CB6">
        <w:rPr>
          <w:rFonts w:cs="Arial"/>
          <w:lang w:eastAsia="en-GB"/>
        </w:rPr>
        <w:t>.</w:t>
      </w:r>
      <w:r>
        <w:rPr>
          <w:rFonts w:cs="Arial"/>
          <w:lang w:eastAsia="en-GB"/>
        </w:rPr>
        <w:t xml:space="preserve"> </w:t>
      </w:r>
    </w:p>
    <w:p w:rsidR="00620C93" w:rsidRPr="00645714" w:rsidRDefault="00620C93" w:rsidP="00620C93">
      <w:pPr>
        <w:autoSpaceDE w:val="0"/>
        <w:autoSpaceDN w:val="0"/>
        <w:adjustRightInd w:val="0"/>
        <w:rPr>
          <w:rFonts w:cs="Arial"/>
          <w:lang w:eastAsia="en-GB"/>
        </w:rPr>
      </w:pPr>
    </w:p>
    <w:p w:rsidR="00620C93" w:rsidRPr="00645714" w:rsidRDefault="00620C93" w:rsidP="00620C93">
      <w:pPr>
        <w:autoSpaceDE w:val="0"/>
        <w:autoSpaceDN w:val="0"/>
        <w:adjustRightInd w:val="0"/>
        <w:rPr>
          <w:rFonts w:cs="Arial"/>
          <w:lang w:eastAsia="en-GB"/>
        </w:rPr>
      </w:pPr>
      <w:r w:rsidRPr="00645714">
        <w:rPr>
          <w:rFonts w:cs="Arial"/>
          <w:lang w:eastAsia="en-GB"/>
        </w:rPr>
        <w:t xml:space="preserve">Greater sustainability could have been achieved if the programme had worked more closely with local implementers and beneficiary institutions in design and implementation of projects. This would have ensured </w:t>
      </w:r>
      <w:r w:rsidR="00362CB6">
        <w:rPr>
          <w:rFonts w:cs="Arial"/>
          <w:lang w:eastAsia="en-GB"/>
        </w:rPr>
        <w:t xml:space="preserve">greater </w:t>
      </w:r>
      <w:r w:rsidRPr="00645714">
        <w:rPr>
          <w:rFonts w:cs="Arial"/>
          <w:lang w:eastAsia="en-GB"/>
        </w:rPr>
        <w:t xml:space="preserve">relevance of purpose and increased local capacity to take forward the project work after the project ended. </w:t>
      </w:r>
    </w:p>
    <w:p w:rsidR="00620C93" w:rsidRPr="004E519D" w:rsidRDefault="00620C93" w:rsidP="002D73AD">
      <w:pPr>
        <w:pStyle w:val="Default"/>
        <w:rPr>
          <w:rFonts w:ascii="Arial Narrow" w:hAnsi="Arial Narrow"/>
          <w:sz w:val="22"/>
          <w:szCs w:val="22"/>
        </w:rPr>
      </w:pPr>
    </w:p>
    <w:p w:rsidR="002D73AD" w:rsidRPr="004E519D" w:rsidRDefault="002D73AD" w:rsidP="002D73AD">
      <w:pPr>
        <w:pStyle w:val="Default"/>
        <w:rPr>
          <w:rFonts w:ascii="Arial Narrow" w:hAnsi="Arial Narrow"/>
          <w:b/>
          <w:sz w:val="22"/>
          <w:szCs w:val="22"/>
        </w:rPr>
      </w:pPr>
      <w:r w:rsidRPr="004E519D">
        <w:rPr>
          <w:rFonts w:ascii="Arial Narrow" w:hAnsi="Arial Narrow"/>
          <w:b/>
          <w:sz w:val="22"/>
          <w:szCs w:val="22"/>
        </w:rPr>
        <w:t xml:space="preserve">Impact </w:t>
      </w:r>
    </w:p>
    <w:p w:rsidR="00620C93" w:rsidRDefault="00620C93" w:rsidP="00620C93">
      <w:pPr>
        <w:autoSpaceDE w:val="0"/>
        <w:autoSpaceDN w:val="0"/>
        <w:adjustRightInd w:val="0"/>
        <w:rPr>
          <w:rFonts w:cs="Arial"/>
          <w:lang w:eastAsia="en-GB"/>
        </w:rPr>
      </w:pPr>
    </w:p>
    <w:p w:rsidR="00620C93" w:rsidRPr="00F36B08" w:rsidRDefault="00724930" w:rsidP="00EA1455">
      <w:pPr>
        <w:autoSpaceDE w:val="0"/>
        <w:autoSpaceDN w:val="0"/>
        <w:adjustRightInd w:val="0"/>
        <w:rPr>
          <w:rFonts w:cs="Arial"/>
          <w:lang w:eastAsia="en-GB"/>
        </w:rPr>
      </w:pPr>
      <w:r>
        <w:rPr>
          <w:rFonts w:cs="Arial"/>
          <w:lang w:eastAsia="en-GB"/>
        </w:rPr>
        <w:t>The Embassy</w:t>
      </w:r>
      <w:r w:rsidR="00EA1455" w:rsidRPr="00EA1455">
        <w:rPr>
          <w:rFonts w:cs="Arial"/>
          <w:lang w:eastAsia="en-GB"/>
        </w:rPr>
        <w:t xml:space="preserve"> had picked a strong portfolio of relevant projects which, over the course of the programme enabled the UK to </w:t>
      </w:r>
      <w:r w:rsidR="00362CB6">
        <w:rPr>
          <w:rFonts w:cs="Arial"/>
          <w:lang w:eastAsia="en-GB"/>
        </w:rPr>
        <w:t>help</w:t>
      </w:r>
      <w:r w:rsidR="00EA1455" w:rsidRPr="00EA1455">
        <w:rPr>
          <w:rFonts w:cs="Arial"/>
          <w:lang w:eastAsia="en-GB"/>
        </w:rPr>
        <w:t xml:space="preserve"> Croatia demonstrate its commitment to reform as it worked </w:t>
      </w:r>
      <w:r w:rsidR="00EA1455">
        <w:rPr>
          <w:rFonts w:cs="Arial"/>
          <w:lang w:eastAsia="en-GB"/>
        </w:rPr>
        <w:t>towards eventual EU accession.  The programme allowed the UK to build stronger relationships with Croatian ministries</w:t>
      </w:r>
      <w:r w:rsidR="00EA1455" w:rsidRPr="00EA1455">
        <w:rPr>
          <w:rFonts w:cs="Arial"/>
          <w:lang w:eastAsia="en-GB"/>
        </w:rPr>
        <w:t>.</w:t>
      </w:r>
      <w:r w:rsidR="00EA1455">
        <w:rPr>
          <w:rFonts w:cs="Arial"/>
          <w:lang w:eastAsia="en-GB"/>
        </w:rPr>
        <w:t xml:space="preserve">  Strategically the programme had impact.  </w:t>
      </w:r>
      <w:r w:rsidR="00EA1455" w:rsidRPr="00EA1455">
        <w:rPr>
          <w:rFonts w:cs="Arial"/>
          <w:lang w:eastAsia="en-GB"/>
        </w:rPr>
        <w:t>However objectively ve</w:t>
      </w:r>
      <w:r w:rsidR="00EA1455">
        <w:rPr>
          <w:rFonts w:cs="Arial"/>
          <w:lang w:eastAsia="en-GB"/>
        </w:rPr>
        <w:t xml:space="preserve">ry few of the projects have yet to deliver concrete change, </w:t>
      </w:r>
      <w:r w:rsidR="00620C93" w:rsidRPr="00F36B08">
        <w:rPr>
          <w:rFonts w:cs="Arial"/>
          <w:lang w:eastAsia="en-GB"/>
        </w:rPr>
        <w:t xml:space="preserve">although there was some evidence of projects feeding into a slow incremental change in processes and mind sets, particularly through their contribution to on-going larger scale projects. </w:t>
      </w:r>
      <w:r w:rsidR="00620C93" w:rsidRPr="00F36B08">
        <w:rPr>
          <w:rFonts w:cs="Arial"/>
        </w:rPr>
        <w:t xml:space="preserve">Greater impact could have been achieved with more focus at design stage on defining achievable, impactful objectives. </w:t>
      </w:r>
    </w:p>
    <w:p w:rsidR="00620C93" w:rsidRPr="00F36B08" w:rsidRDefault="00620C93" w:rsidP="00620C93">
      <w:pPr>
        <w:rPr>
          <w:rFonts w:cs="Arial"/>
          <w:lang w:eastAsia="en-GB"/>
        </w:rPr>
      </w:pPr>
    </w:p>
    <w:p w:rsidR="00620C93" w:rsidRDefault="00620C93" w:rsidP="00620C93">
      <w:pPr>
        <w:rPr>
          <w:rFonts w:cs="Arial"/>
        </w:rPr>
      </w:pPr>
      <w:r w:rsidRPr="00F36B08">
        <w:rPr>
          <w:rFonts w:cs="Arial"/>
        </w:rPr>
        <w:t xml:space="preserve">Many of the implementers and beneficiaries commented that despite Croatia’s accession, the objectives of the </w:t>
      </w:r>
      <w:r>
        <w:rPr>
          <w:rFonts w:cs="Arial"/>
        </w:rPr>
        <w:t>British Embassy Zagreb’s</w:t>
      </w:r>
      <w:r w:rsidRPr="00F36B08">
        <w:rPr>
          <w:rFonts w:cs="Arial"/>
        </w:rPr>
        <w:t xml:space="preserve"> programme in justice and public administration remain unfulfilled and that there was a continued need for assistance.  </w:t>
      </w:r>
    </w:p>
    <w:p w:rsidR="00542F2F" w:rsidRDefault="00542F2F" w:rsidP="002D73AD">
      <w:pPr>
        <w:pStyle w:val="Default"/>
        <w:rPr>
          <w:rFonts w:ascii="Arial Narrow" w:hAnsi="Arial Narrow"/>
          <w:b/>
          <w:sz w:val="22"/>
          <w:szCs w:val="22"/>
        </w:rPr>
      </w:pPr>
    </w:p>
    <w:p w:rsidR="00F839C2" w:rsidRDefault="00F839C2" w:rsidP="002D73AD">
      <w:pPr>
        <w:pStyle w:val="Default"/>
        <w:rPr>
          <w:rFonts w:ascii="Arial Narrow" w:hAnsi="Arial Narrow"/>
          <w:b/>
          <w:sz w:val="22"/>
          <w:szCs w:val="22"/>
        </w:rPr>
      </w:pPr>
    </w:p>
    <w:p w:rsidR="00F839C2" w:rsidRDefault="00F839C2" w:rsidP="002D73AD">
      <w:pPr>
        <w:pStyle w:val="Default"/>
        <w:rPr>
          <w:rFonts w:ascii="Arial Narrow" w:hAnsi="Arial Narrow"/>
          <w:b/>
          <w:sz w:val="28"/>
          <w:szCs w:val="28"/>
        </w:rPr>
      </w:pPr>
    </w:p>
    <w:p w:rsidR="002D73AD" w:rsidRPr="00724930" w:rsidRDefault="0002494A" w:rsidP="002D73AD">
      <w:pPr>
        <w:pStyle w:val="Default"/>
        <w:rPr>
          <w:rFonts w:ascii="Arial Narrow" w:hAnsi="Arial Narrow"/>
          <w:b/>
          <w:sz w:val="28"/>
          <w:szCs w:val="28"/>
        </w:rPr>
      </w:pPr>
      <w:r w:rsidRPr="00724930">
        <w:rPr>
          <w:rFonts w:ascii="Arial Narrow" w:hAnsi="Arial Narrow"/>
          <w:b/>
          <w:sz w:val="28"/>
          <w:szCs w:val="28"/>
        </w:rPr>
        <w:lastRenderedPageBreak/>
        <w:t>Lessons Learned</w:t>
      </w:r>
    </w:p>
    <w:p w:rsidR="004E519D" w:rsidRPr="004E519D" w:rsidRDefault="004E519D" w:rsidP="002D73AD">
      <w:pPr>
        <w:pStyle w:val="Default"/>
        <w:rPr>
          <w:rFonts w:ascii="Arial Narrow" w:hAnsi="Arial Narrow"/>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8505"/>
      </w:tblGrid>
      <w:tr w:rsidR="00620C93" w:rsidRPr="00F51EF6" w:rsidTr="00724930">
        <w:tc>
          <w:tcPr>
            <w:tcW w:w="426" w:type="dxa"/>
          </w:tcPr>
          <w:p w:rsidR="00620C93" w:rsidRPr="00362CB6" w:rsidRDefault="00620C93" w:rsidP="00620C93">
            <w:pPr>
              <w:rPr>
                <w:rFonts w:cs="Arial"/>
              </w:rPr>
            </w:pPr>
            <w:r w:rsidRPr="00362CB6">
              <w:rPr>
                <w:rFonts w:cs="Arial"/>
              </w:rPr>
              <w:t>1.</w:t>
            </w:r>
          </w:p>
        </w:tc>
        <w:tc>
          <w:tcPr>
            <w:tcW w:w="8505" w:type="dxa"/>
          </w:tcPr>
          <w:p w:rsidR="00620C93" w:rsidRDefault="00620C93" w:rsidP="00620C93">
            <w:pPr>
              <w:rPr>
                <w:rFonts w:cs="Arial"/>
              </w:rPr>
            </w:pPr>
            <w:r>
              <w:rPr>
                <w:rFonts w:cs="Arial"/>
              </w:rPr>
              <w:t xml:space="preserve">Closer consultation with beneficiaries and stakeholders at project design stage to ensure projects match local need and circumstances.  </w:t>
            </w:r>
            <w:r w:rsidRPr="00495275">
              <w:rPr>
                <w:rFonts w:cs="Arial"/>
              </w:rPr>
              <w:t xml:space="preserve"> </w:t>
            </w:r>
          </w:p>
          <w:p w:rsidR="00724930" w:rsidRPr="00F51EF6" w:rsidRDefault="00724930" w:rsidP="00620C93">
            <w:pPr>
              <w:rPr>
                <w:rFonts w:cs="Arial"/>
              </w:rPr>
            </w:pPr>
          </w:p>
        </w:tc>
      </w:tr>
      <w:tr w:rsidR="00620C93" w:rsidRPr="00F51EF6" w:rsidTr="00724930">
        <w:tc>
          <w:tcPr>
            <w:tcW w:w="426" w:type="dxa"/>
          </w:tcPr>
          <w:p w:rsidR="00620C93" w:rsidRPr="00362CB6" w:rsidRDefault="00620C93" w:rsidP="00620C93">
            <w:pPr>
              <w:rPr>
                <w:rFonts w:cs="Arial"/>
              </w:rPr>
            </w:pPr>
            <w:r w:rsidRPr="00362CB6">
              <w:rPr>
                <w:rFonts w:cs="Arial"/>
              </w:rPr>
              <w:t>2.</w:t>
            </w:r>
          </w:p>
        </w:tc>
        <w:tc>
          <w:tcPr>
            <w:tcW w:w="8505" w:type="dxa"/>
          </w:tcPr>
          <w:p w:rsidR="00620C93" w:rsidRDefault="00620C93" w:rsidP="00620C93">
            <w:pPr>
              <w:tabs>
                <w:tab w:val="left" w:pos="1021"/>
              </w:tabs>
              <w:rPr>
                <w:rFonts w:cs="Arial"/>
              </w:rPr>
            </w:pPr>
            <w:r>
              <w:rPr>
                <w:rFonts w:cs="Arial"/>
              </w:rPr>
              <w:t xml:space="preserve">More partnership with local implementers to achieve greater </w:t>
            </w:r>
            <w:r w:rsidR="005930EB">
              <w:rPr>
                <w:rFonts w:cs="Arial"/>
              </w:rPr>
              <w:t>sustainability.</w:t>
            </w:r>
          </w:p>
          <w:p w:rsidR="00724930" w:rsidRPr="00F51EF6" w:rsidRDefault="00724930" w:rsidP="00620C93">
            <w:pPr>
              <w:tabs>
                <w:tab w:val="left" w:pos="1021"/>
              </w:tabs>
              <w:rPr>
                <w:rFonts w:cs="Arial"/>
              </w:rPr>
            </w:pPr>
          </w:p>
        </w:tc>
      </w:tr>
      <w:tr w:rsidR="00620C93" w:rsidRPr="00F51EF6" w:rsidTr="00724930">
        <w:tc>
          <w:tcPr>
            <w:tcW w:w="426" w:type="dxa"/>
          </w:tcPr>
          <w:p w:rsidR="00620C93" w:rsidRPr="00362CB6" w:rsidRDefault="00620C93" w:rsidP="00620C93">
            <w:pPr>
              <w:rPr>
                <w:rFonts w:cs="Arial"/>
              </w:rPr>
            </w:pPr>
            <w:r w:rsidRPr="00362CB6">
              <w:rPr>
                <w:rFonts w:cs="Arial"/>
              </w:rPr>
              <w:t>3.</w:t>
            </w:r>
          </w:p>
        </w:tc>
        <w:tc>
          <w:tcPr>
            <w:tcW w:w="8505" w:type="dxa"/>
          </w:tcPr>
          <w:p w:rsidR="00620C93" w:rsidRDefault="00724930" w:rsidP="00620C93">
            <w:pPr>
              <w:autoSpaceDE w:val="0"/>
              <w:autoSpaceDN w:val="0"/>
              <w:adjustRightInd w:val="0"/>
              <w:rPr>
                <w:rFonts w:cs="Arial"/>
                <w:lang w:eastAsia="en-GB"/>
              </w:rPr>
            </w:pPr>
            <w:r>
              <w:rPr>
                <w:rFonts w:cs="Arial"/>
              </w:rPr>
              <w:t>Integrate programme</w:t>
            </w:r>
            <w:r w:rsidR="00620C93">
              <w:rPr>
                <w:rFonts w:cs="Arial"/>
              </w:rPr>
              <w:t xml:space="preserve"> into wider Embassy work to ensure opportunities to </w:t>
            </w:r>
            <w:r w:rsidR="00620C93" w:rsidRPr="00645714">
              <w:rPr>
                <w:rFonts w:cs="Arial"/>
              </w:rPr>
              <w:t xml:space="preserve">strengthen diplomatic relations and build influence in support of strategic policy direction </w:t>
            </w:r>
            <w:r w:rsidR="00620C93">
              <w:rPr>
                <w:rFonts w:cs="Arial"/>
              </w:rPr>
              <w:t xml:space="preserve">are fully exploited. </w:t>
            </w:r>
            <w:r w:rsidR="00620C93" w:rsidRPr="00645714">
              <w:rPr>
                <w:rFonts w:cs="Arial"/>
              </w:rPr>
              <w:t xml:space="preserve"> </w:t>
            </w:r>
            <w:r w:rsidR="00620C93" w:rsidRPr="00645714">
              <w:rPr>
                <w:rFonts w:cs="Arial"/>
                <w:lang w:eastAsia="en-GB"/>
              </w:rPr>
              <w:t xml:space="preserve">  </w:t>
            </w:r>
          </w:p>
          <w:p w:rsidR="00724930" w:rsidRPr="00F51EF6" w:rsidRDefault="00724930" w:rsidP="00620C93">
            <w:pPr>
              <w:autoSpaceDE w:val="0"/>
              <w:autoSpaceDN w:val="0"/>
              <w:adjustRightInd w:val="0"/>
              <w:rPr>
                <w:rFonts w:cs="Arial"/>
              </w:rPr>
            </w:pPr>
          </w:p>
        </w:tc>
      </w:tr>
      <w:tr w:rsidR="00620C93" w:rsidTr="00724930">
        <w:tc>
          <w:tcPr>
            <w:tcW w:w="426" w:type="dxa"/>
          </w:tcPr>
          <w:p w:rsidR="00620C93" w:rsidRPr="00362CB6" w:rsidRDefault="00620C93" w:rsidP="00620C93">
            <w:pPr>
              <w:rPr>
                <w:rFonts w:cs="Arial"/>
              </w:rPr>
            </w:pPr>
            <w:r w:rsidRPr="00362CB6">
              <w:rPr>
                <w:rFonts w:cs="Arial"/>
              </w:rPr>
              <w:t>4.</w:t>
            </w:r>
          </w:p>
        </w:tc>
        <w:tc>
          <w:tcPr>
            <w:tcW w:w="8505" w:type="dxa"/>
          </w:tcPr>
          <w:p w:rsidR="00620C93" w:rsidRDefault="00620C93" w:rsidP="00620C93">
            <w:pPr>
              <w:autoSpaceDE w:val="0"/>
              <w:autoSpaceDN w:val="0"/>
              <w:adjustRightInd w:val="0"/>
              <w:rPr>
                <w:rFonts w:cs="Arial"/>
              </w:rPr>
            </w:pPr>
            <w:r>
              <w:rPr>
                <w:rFonts w:cs="Arial"/>
              </w:rPr>
              <w:t xml:space="preserve">Better project record keeping </w:t>
            </w:r>
            <w:proofErr w:type="gramStart"/>
            <w:r>
              <w:rPr>
                <w:rFonts w:cs="Arial"/>
              </w:rPr>
              <w:t>to help</w:t>
            </w:r>
            <w:proofErr w:type="gramEnd"/>
            <w:r>
              <w:rPr>
                <w:rFonts w:cs="Arial"/>
              </w:rPr>
              <w:t xml:space="preserve"> the Embassy and Programme benefit from lessons learnt.</w:t>
            </w:r>
          </w:p>
          <w:p w:rsidR="00724930" w:rsidRDefault="00724930" w:rsidP="00620C93">
            <w:pPr>
              <w:autoSpaceDE w:val="0"/>
              <w:autoSpaceDN w:val="0"/>
              <w:adjustRightInd w:val="0"/>
              <w:rPr>
                <w:rFonts w:cs="Arial"/>
              </w:rPr>
            </w:pPr>
          </w:p>
        </w:tc>
      </w:tr>
      <w:tr w:rsidR="00620C93" w:rsidTr="00724930">
        <w:tc>
          <w:tcPr>
            <w:tcW w:w="426" w:type="dxa"/>
          </w:tcPr>
          <w:p w:rsidR="00620C93" w:rsidRPr="00362CB6" w:rsidRDefault="00620C93" w:rsidP="00620C93">
            <w:pPr>
              <w:rPr>
                <w:rFonts w:cs="Arial"/>
              </w:rPr>
            </w:pPr>
            <w:r w:rsidRPr="00362CB6">
              <w:rPr>
                <w:rFonts w:cs="Arial"/>
              </w:rPr>
              <w:t>5.</w:t>
            </w:r>
          </w:p>
        </w:tc>
        <w:tc>
          <w:tcPr>
            <w:tcW w:w="8505" w:type="dxa"/>
          </w:tcPr>
          <w:p w:rsidR="00620C93" w:rsidRDefault="00620C93" w:rsidP="00620C93">
            <w:pPr>
              <w:autoSpaceDE w:val="0"/>
              <w:autoSpaceDN w:val="0"/>
              <w:adjustRightInd w:val="0"/>
              <w:rPr>
                <w:rFonts w:cs="Arial"/>
              </w:rPr>
            </w:pPr>
            <w:r w:rsidRPr="001F08E9">
              <w:rPr>
                <w:rFonts w:cs="Arial"/>
              </w:rPr>
              <w:t>Importance of timeliness. Given, that it is difficult to assess the pace of the legislation changes and the institutional responsiveness to intended changes, it is necessary to design the project that its purpose does not remain limited to the products of consultancy work, with no influence on improved practices.</w:t>
            </w:r>
          </w:p>
          <w:p w:rsidR="00724930" w:rsidRDefault="00724930" w:rsidP="00620C93">
            <w:pPr>
              <w:autoSpaceDE w:val="0"/>
              <w:autoSpaceDN w:val="0"/>
              <w:adjustRightInd w:val="0"/>
              <w:rPr>
                <w:rFonts w:cs="Arial"/>
              </w:rPr>
            </w:pPr>
          </w:p>
        </w:tc>
      </w:tr>
    </w:tbl>
    <w:p w:rsidR="003F13AD" w:rsidRPr="004E519D" w:rsidRDefault="003F13AD" w:rsidP="002D73AD">
      <w:pPr>
        <w:rPr>
          <w:sz w:val="22"/>
          <w:szCs w:val="22"/>
        </w:rPr>
      </w:pPr>
    </w:p>
    <w:sectPr w:rsidR="003F13AD" w:rsidRPr="004E519D" w:rsidSect="003F13A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CB6" w:rsidRDefault="00362CB6" w:rsidP="002D73AD">
      <w:r>
        <w:separator/>
      </w:r>
    </w:p>
  </w:endnote>
  <w:endnote w:type="continuationSeparator" w:id="0">
    <w:p w:rsidR="00362CB6" w:rsidRDefault="00362CB6" w:rsidP="002D73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6" w:rsidRDefault="00362CB6">
    <w:pPr>
      <w:pStyle w:val="Footer"/>
    </w:pPr>
  </w:p>
  <w:p w:rsidR="00362CB6" w:rsidRPr="002D73AD" w:rsidRDefault="00362CB6" w:rsidP="002D73AD">
    <w:pPr>
      <w:pStyle w:val="Footer"/>
      <w:spacing w:before="120"/>
      <w:jc w:val="right"/>
      <w:rPr>
        <w:rFonts w:ascii="Arial" w:hAnsi="Arial" w:cs="Arial"/>
        <w:sz w:val="12"/>
      </w:rPr>
    </w:pPr>
    <w:fldSimple w:instr=" FILENAME \p \* MERGEFORMAT ">
      <w:r w:rsidRPr="004E0C98">
        <w:rPr>
          <w:rFonts w:ascii="Arial" w:hAnsi="Arial" w:cs="Arial"/>
          <w:noProof/>
          <w:sz w:val="12"/>
        </w:rPr>
        <w:t>C</w:t>
      </w:r>
      <w:r>
        <w:rPr>
          <w:noProof/>
        </w:rPr>
        <w:t>:\Users\nryder4\AppData\Local\Microsoft\Windows\Temporary Internet Files\Outlook Temp\Reuniting Europe - Programme Evaluation Croatia 2011-12.docx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6" w:rsidRDefault="00362C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6" w:rsidRDefault="00362CB6">
    <w:pPr>
      <w:pStyle w:val="Footer"/>
    </w:pPr>
  </w:p>
  <w:p w:rsidR="00362CB6" w:rsidRPr="002D73AD" w:rsidRDefault="00362CB6" w:rsidP="002D73AD">
    <w:pPr>
      <w:pStyle w:val="Footer"/>
      <w:spacing w:before="120"/>
      <w:jc w:val="right"/>
      <w:rPr>
        <w:rFonts w:ascii="Arial" w:hAnsi="Arial" w:cs="Arial"/>
        <w:sz w:val="12"/>
      </w:rPr>
    </w:pPr>
    <w:fldSimple w:instr=" FILENAME \p \* MERGEFORMAT ">
      <w:r w:rsidRPr="004E0C98">
        <w:rPr>
          <w:rFonts w:ascii="Arial" w:hAnsi="Arial" w:cs="Arial"/>
          <w:noProof/>
          <w:sz w:val="12"/>
        </w:rPr>
        <w:t>C</w:t>
      </w:r>
      <w:r>
        <w:rPr>
          <w:noProof/>
        </w:rPr>
        <w:t>:\Users\nryder4\AppData\Local\Microsoft\Windows\Temporary Internet Files\Outlook Temp\Reuniting Europe - Programme Evaluation Croatia 2011-12.docx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CB6" w:rsidRDefault="00362CB6" w:rsidP="002D73AD">
      <w:r>
        <w:separator/>
      </w:r>
    </w:p>
  </w:footnote>
  <w:footnote w:type="continuationSeparator" w:id="0">
    <w:p w:rsidR="00362CB6" w:rsidRDefault="00362CB6" w:rsidP="002D73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6" w:rsidRDefault="00362C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6" w:rsidRDefault="00362C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CB6" w:rsidRDefault="00362C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74E86"/>
    <w:multiLevelType w:val="hybridMultilevel"/>
    <w:tmpl w:val="98F200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A2277DF"/>
    <w:multiLevelType w:val="hybridMultilevel"/>
    <w:tmpl w:val="E3EC7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F0972F6"/>
    <w:multiLevelType w:val="hybridMultilevel"/>
    <w:tmpl w:val="835601B4"/>
    <w:lvl w:ilvl="0" w:tplc="90520A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30E1DAD"/>
    <w:multiLevelType w:val="hybridMultilevel"/>
    <w:tmpl w:val="ACA4A502"/>
    <w:lvl w:ilvl="0" w:tplc="74401478">
      <w:numFmt w:val="bullet"/>
      <w:lvlText w:val="-"/>
      <w:lvlJc w:val="left"/>
      <w:pPr>
        <w:ind w:left="720" w:hanging="360"/>
      </w:pPr>
      <w:rPr>
        <w:rFonts w:ascii="Arial Narrow" w:eastAsiaTheme="minorHAns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D73AD"/>
    <w:rsid w:val="00005AF0"/>
    <w:rsid w:val="00007246"/>
    <w:rsid w:val="00013F6D"/>
    <w:rsid w:val="0001416E"/>
    <w:rsid w:val="0001418E"/>
    <w:rsid w:val="00017C27"/>
    <w:rsid w:val="000221BC"/>
    <w:rsid w:val="0002458A"/>
    <w:rsid w:val="0002494A"/>
    <w:rsid w:val="0002534E"/>
    <w:rsid w:val="00025416"/>
    <w:rsid w:val="00072B22"/>
    <w:rsid w:val="00096D6E"/>
    <w:rsid w:val="000A16AE"/>
    <w:rsid w:val="000A3551"/>
    <w:rsid w:val="000A365A"/>
    <w:rsid w:val="000A5010"/>
    <w:rsid w:val="000A7977"/>
    <w:rsid w:val="000B1D40"/>
    <w:rsid w:val="000D57F8"/>
    <w:rsid w:val="000E2A14"/>
    <w:rsid w:val="000E7D95"/>
    <w:rsid w:val="00115351"/>
    <w:rsid w:val="00132509"/>
    <w:rsid w:val="00134855"/>
    <w:rsid w:val="00145034"/>
    <w:rsid w:val="001454AC"/>
    <w:rsid w:val="00147C94"/>
    <w:rsid w:val="0015003D"/>
    <w:rsid w:val="00151DBA"/>
    <w:rsid w:val="00161658"/>
    <w:rsid w:val="00162ED6"/>
    <w:rsid w:val="0016415A"/>
    <w:rsid w:val="0016544E"/>
    <w:rsid w:val="00165AB2"/>
    <w:rsid w:val="001661D3"/>
    <w:rsid w:val="00173D5D"/>
    <w:rsid w:val="001774A2"/>
    <w:rsid w:val="00196C1D"/>
    <w:rsid w:val="001A034B"/>
    <w:rsid w:val="001B0778"/>
    <w:rsid w:val="001B6E1B"/>
    <w:rsid w:val="001C0296"/>
    <w:rsid w:val="001C4140"/>
    <w:rsid w:val="001D4414"/>
    <w:rsid w:val="001F1C82"/>
    <w:rsid w:val="002017FD"/>
    <w:rsid w:val="00201ED3"/>
    <w:rsid w:val="00203AEC"/>
    <w:rsid w:val="002107A6"/>
    <w:rsid w:val="002259A9"/>
    <w:rsid w:val="00225B3A"/>
    <w:rsid w:val="00240AF1"/>
    <w:rsid w:val="0025123F"/>
    <w:rsid w:val="002514EC"/>
    <w:rsid w:val="002560B8"/>
    <w:rsid w:val="00296C52"/>
    <w:rsid w:val="002A6AB2"/>
    <w:rsid w:val="002B5367"/>
    <w:rsid w:val="002C1956"/>
    <w:rsid w:val="002C1D06"/>
    <w:rsid w:val="002D73AD"/>
    <w:rsid w:val="002E46D9"/>
    <w:rsid w:val="002F3E8A"/>
    <w:rsid w:val="002F4418"/>
    <w:rsid w:val="002F5549"/>
    <w:rsid w:val="002F6AC6"/>
    <w:rsid w:val="00303970"/>
    <w:rsid w:val="00312328"/>
    <w:rsid w:val="00316BCD"/>
    <w:rsid w:val="00320615"/>
    <w:rsid w:val="0032145B"/>
    <w:rsid w:val="003455CA"/>
    <w:rsid w:val="00362CB6"/>
    <w:rsid w:val="003924ED"/>
    <w:rsid w:val="003967F1"/>
    <w:rsid w:val="003A107A"/>
    <w:rsid w:val="003A271F"/>
    <w:rsid w:val="003B39C5"/>
    <w:rsid w:val="003B44B9"/>
    <w:rsid w:val="003B7857"/>
    <w:rsid w:val="003C437E"/>
    <w:rsid w:val="003D181C"/>
    <w:rsid w:val="003D30A8"/>
    <w:rsid w:val="003E3AFC"/>
    <w:rsid w:val="003F13AD"/>
    <w:rsid w:val="003F1DD4"/>
    <w:rsid w:val="003F3FAD"/>
    <w:rsid w:val="003F5F74"/>
    <w:rsid w:val="0041384B"/>
    <w:rsid w:val="00416757"/>
    <w:rsid w:val="004261D7"/>
    <w:rsid w:val="00435F4D"/>
    <w:rsid w:val="00440989"/>
    <w:rsid w:val="00444948"/>
    <w:rsid w:val="00455F34"/>
    <w:rsid w:val="004739CF"/>
    <w:rsid w:val="004C0391"/>
    <w:rsid w:val="004E0C98"/>
    <w:rsid w:val="004E519D"/>
    <w:rsid w:val="004E7531"/>
    <w:rsid w:val="004F454F"/>
    <w:rsid w:val="004F6AC9"/>
    <w:rsid w:val="005008BC"/>
    <w:rsid w:val="00522581"/>
    <w:rsid w:val="005364A9"/>
    <w:rsid w:val="00541F95"/>
    <w:rsid w:val="00542F2F"/>
    <w:rsid w:val="00543DE7"/>
    <w:rsid w:val="00547A1C"/>
    <w:rsid w:val="00583382"/>
    <w:rsid w:val="005930EB"/>
    <w:rsid w:val="005970D7"/>
    <w:rsid w:val="005A2FB2"/>
    <w:rsid w:val="005A54C7"/>
    <w:rsid w:val="005A60DD"/>
    <w:rsid w:val="005B640A"/>
    <w:rsid w:val="005C2D77"/>
    <w:rsid w:val="005C7884"/>
    <w:rsid w:val="005D7B73"/>
    <w:rsid w:val="00607C1E"/>
    <w:rsid w:val="00620C93"/>
    <w:rsid w:val="0063237B"/>
    <w:rsid w:val="0063457F"/>
    <w:rsid w:val="00636507"/>
    <w:rsid w:val="0064489B"/>
    <w:rsid w:val="006469E4"/>
    <w:rsid w:val="00653378"/>
    <w:rsid w:val="00653AD1"/>
    <w:rsid w:val="00654081"/>
    <w:rsid w:val="00687F13"/>
    <w:rsid w:val="006A04D4"/>
    <w:rsid w:val="006A3EB3"/>
    <w:rsid w:val="006A4D2A"/>
    <w:rsid w:val="006A7CB0"/>
    <w:rsid w:val="006B7A3E"/>
    <w:rsid w:val="006B7C4B"/>
    <w:rsid w:val="006E00F1"/>
    <w:rsid w:val="006E64C0"/>
    <w:rsid w:val="006F5BF9"/>
    <w:rsid w:val="00700939"/>
    <w:rsid w:val="007152FC"/>
    <w:rsid w:val="00720393"/>
    <w:rsid w:val="00724930"/>
    <w:rsid w:val="00732A85"/>
    <w:rsid w:val="00741FF6"/>
    <w:rsid w:val="007438ED"/>
    <w:rsid w:val="00743EF2"/>
    <w:rsid w:val="00757B21"/>
    <w:rsid w:val="00767356"/>
    <w:rsid w:val="0077197F"/>
    <w:rsid w:val="00774328"/>
    <w:rsid w:val="00785C29"/>
    <w:rsid w:val="00795AEE"/>
    <w:rsid w:val="007A1428"/>
    <w:rsid w:val="007D1717"/>
    <w:rsid w:val="007D62FB"/>
    <w:rsid w:val="007E3765"/>
    <w:rsid w:val="007F44C8"/>
    <w:rsid w:val="00804B35"/>
    <w:rsid w:val="00822792"/>
    <w:rsid w:val="008276AB"/>
    <w:rsid w:val="00833215"/>
    <w:rsid w:val="00837C0F"/>
    <w:rsid w:val="00843C39"/>
    <w:rsid w:val="008502E1"/>
    <w:rsid w:val="00871F10"/>
    <w:rsid w:val="00880399"/>
    <w:rsid w:val="00880735"/>
    <w:rsid w:val="008808AD"/>
    <w:rsid w:val="00880A17"/>
    <w:rsid w:val="0089139F"/>
    <w:rsid w:val="008B059E"/>
    <w:rsid w:val="008B3A66"/>
    <w:rsid w:val="008E3CDB"/>
    <w:rsid w:val="008E5A4E"/>
    <w:rsid w:val="008E6ADC"/>
    <w:rsid w:val="008F1555"/>
    <w:rsid w:val="008F5D96"/>
    <w:rsid w:val="009229D0"/>
    <w:rsid w:val="00925DD1"/>
    <w:rsid w:val="00930B99"/>
    <w:rsid w:val="00932881"/>
    <w:rsid w:val="0095068A"/>
    <w:rsid w:val="0095497C"/>
    <w:rsid w:val="009638CD"/>
    <w:rsid w:val="00970AD5"/>
    <w:rsid w:val="009752C0"/>
    <w:rsid w:val="00976C16"/>
    <w:rsid w:val="009827F6"/>
    <w:rsid w:val="009A1913"/>
    <w:rsid w:val="009A49D2"/>
    <w:rsid w:val="009B6B44"/>
    <w:rsid w:val="009C7C41"/>
    <w:rsid w:val="00A00641"/>
    <w:rsid w:val="00A23FCD"/>
    <w:rsid w:val="00A43605"/>
    <w:rsid w:val="00A445F7"/>
    <w:rsid w:val="00A447CC"/>
    <w:rsid w:val="00A506C0"/>
    <w:rsid w:val="00A54F92"/>
    <w:rsid w:val="00A573EA"/>
    <w:rsid w:val="00A64D59"/>
    <w:rsid w:val="00A6500E"/>
    <w:rsid w:val="00A65CFB"/>
    <w:rsid w:val="00A71D95"/>
    <w:rsid w:val="00A83421"/>
    <w:rsid w:val="00A86070"/>
    <w:rsid w:val="00AA2DC8"/>
    <w:rsid w:val="00AB18BA"/>
    <w:rsid w:val="00AC31CD"/>
    <w:rsid w:val="00AD7973"/>
    <w:rsid w:val="00B50B0C"/>
    <w:rsid w:val="00B73E19"/>
    <w:rsid w:val="00B74862"/>
    <w:rsid w:val="00B7704C"/>
    <w:rsid w:val="00B82529"/>
    <w:rsid w:val="00B82F7D"/>
    <w:rsid w:val="00BB3E76"/>
    <w:rsid w:val="00BC296F"/>
    <w:rsid w:val="00BC4C4E"/>
    <w:rsid w:val="00BD1D93"/>
    <w:rsid w:val="00BD50CA"/>
    <w:rsid w:val="00BE6655"/>
    <w:rsid w:val="00BF02EF"/>
    <w:rsid w:val="00BF04CD"/>
    <w:rsid w:val="00BF2E85"/>
    <w:rsid w:val="00C27254"/>
    <w:rsid w:val="00C272E8"/>
    <w:rsid w:val="00C3360E"/>
    <w:rsid w:val="00C50329"/>
    <w:rsid w:val="00C61F31"/>
    <w:rsid w:val="00C71AE9"/>
    <w:rsid w:val="00C724D6"/>
    <w:rsid w:val="00C755F9"/>
    <w:rsid w:val="00CA00AA"/>
    <w:rsid w:val="00CB7070"/>
    <w:rsid w:val="00CC13C3"/>
    <w:rsid w:val="00CC1938"/>
    <w:rsid w:val="00CC2946"/>
    <w:rsid w:val="00CC4A05"/>
    <w:rsid w:val="00CC4FF3"/>
    <w:rsid w:val="00CC58E9"/>
    <w:rsid w:val="00CD521B"/>
    <w:rsid w:val="00CE60EF"/>
    <w:rsid w:val="00CF66EF"/>
    <w:rsid w:val="00D01925"/>
    <w:rsid w:val="00D171D0"/>
    <w:rsid w:val="00D24FD5"/>
    <w:rsid w:val="00D4345B"/>
    <w:rsid w:val="00D4598C"/>
    <w:rsid w:val="00D46B11"/>
    <w:rsid w:val="00D526D5"/>
    <w:rsid w:val="00D56A1D"/>
    <w:rsid w:val="00D65D59"/>
    <w:rsid w:val="00D71DC4"/>
    <w:rsid w:val="00D7312B"/>
    <w:rsid w:val="00DA2279"/>
    <w:rsid w:val="00DA6171"/>
    <w:rsid w:val="00DB75AD"/>
    <w:rsid w:val="00DE7DFF"/>
    <w:rsid w:val="00E103A1"/>
    <w:rsid w:val="00E21E18"/>
    <w:rsid w:val="00E23ECD"/>
    <w:rsid w:val="00E2564B"/>
    <w:rsid w:val="00E30BFC"/>
    <w:rsid w:val="00E358E1"/>
    <w:rsid w:val="00E36699"/>
    <w:rsid w:val="00E4255C"/>
    <w:rsid w:val="00E470B0"/>
    <w:rsid w:val="00E4797D"/>
    <w:rsid w:val="00E50A88"/>
    <w:rsid w:val="00E62F94"/>
    <w:rsid w:val="00E72147"/>
    <w:rsid w:val="00E8154B"/>
    <w:rsid w:val="00E83487"/>
    <w:rsid w:val="00EA1455"/>
    <w:rsid w:val="00F02E68"/>
    <w:rsid w:val="00F23BBC"/>
    <w:rsid w:val="00F27E52"/>
    <w:rsid w:val="00F31CDD"/>
    <w:rsid w:val="00F35718"/>
    <w:rsid w:val="00F36AB1"/>
    <w:rsid w:val="00F37069"/>
    <w:rsid w:val="00F407FA"/>
    <w:rsid w:val="00F45F34"/>
    <w:rsid w:val="00F678FE"/>
    <w:rsid w:val="00F740B9"/>
    <w:rsid w:val="00F839C2"/>
    <w:rsid w:val="00F86006"/>
    <w:rsid w:val="00F97E92"/>
    <w:rsid w:val="00FA78C3"/>
    <w:rsid w:val="00FA7AE6"/>
    <w:rsid w:val="00FB6903"/>
    <w:rsid w:val="00FB73EC"/>
    <w:rsid w:val="00FC00B6"/>
    <w:rsid w:val="00FD25E9"/>
    <w:rsid w:val="00FD3C28"/>
    <w:rsid w:val="00FD6918"/>
    <w:rsid w:val="00FE1303"/>
    <w:rsid w:val="00FE1605"/>
    <w:rsid w:val="00FE3885"/>
    <w:rsid w:val="00FE49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D73AD"/>
    <w:pPr>
      <w:tabs>
        <w:tab w:val="center" w:pos="4513"/>
        <w:tab w:val="right" w:pos="9026"/>
      </w:tabs>
    </w:pPr>
  </w:style>
  <w:style w:type="character" w:customStyle="1" w:styleId="HeaderChar">
    <w:name w:val="Header Char"/>
    <w:basedOn w:val="DefaultParagraphFont"/>
    <w:link w:val="Header"/>
    <w:uiPriority w:val="99"/>
    <w:semiHidden/>
    <w:rsid w:val="002D73AD"/>
  </w:style>
  <w:style w:type="paragraph" w:styleId="Footer">
    <w:name w:val="footer"/>
    <w:basedOn w:val="Normal"/>
    <w:link w:val="FooterChar"/>
    <w:uiPriority w:val="99"/>
    <w:unhideWhenUsed/>
    <w:rsid w:val="002D73AD"/>
    <w:pPr>
      <w:tabs>
        <w:tab w:val="center" w:pos="4513"/>
        <w:tab w:val="right" w:pos="9026"/>
      </w:tabs>
    </w:pPr>
  </w:style>
  <w:style w:type="character" w:customStyle="1" w:styleId="FooterChar">
    <w:name w:val="Footer Char"/>
    <w:basedOn w:val="DefaultParagraphFont"/>
    <w:link w:val="Footer"/>
    <w:uiPriority w:val="99"/>
    <w:rsid w:val="002D73AD"/>
  </w:style>
  <w:style w:type="paragraph" w:customStyle="1" w:styleId="Default">
    <w:name w:val="Default"/>
    <w:rsid w:val="002D73A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4E519D"/>
    <w:pPr>
      <w:ind w:left="720"/>
      <w:contextualSpacing/>
    </w:pPr>
  </w:style>
  <w:style w:type="character" w:styleId="CommentReference">
    <w:name w:val="annotation reference"/>
    <w:basedOn w:val="DefaultParagraphFont"/>
    <w:uiPriority w:val="99"/>
    <w:semiHidden/>
    <w:unhideWhenUsed/>
    <w:rsid w:val="0002494A"/>
    <w:rPr>
      <w:sz w:val="16"/>
      <w:szCs w:val="16"/>
    </w:rPr>
  </w:style>
  <w:style w:type="paragraph" w:styleId="CommentText">
    <w:name w:val="annotation text"/>
    <w:basedOn w:val="Normal"/>
    <w:link w:val="CommentTextChar"/>
    <w:uiPriority w:val="99"/>
    <w:semiHidden/>
    <w:unhideWhenUsed/>
    <w:rsid w:val="0002494A"/>
    <w:rPr>
      <w:sz w:val="20"/>
      <w:szCs w:val="20"/>
    </w:rPr>
  </w:style>
  <w:style w:type="character" w:customStyle="1" w:styleId="CommentTextChar">
    <w:name w:val="Comment Text Char"/>
    <w:basedOn w:val="DefaultParagraphFont"/>
    <w:link w:val="CommentText"/>
    <w:uiPriority w:val="99"/>
    <w:semiHidden/>
    <w:rsid w:val="0002494A"/>
    <w:rPr>
      <w:sz w:val="20"/>
      <w:szCs w:val="20"/>
    </w:rPr>
  </w:style>
  <w:style w:type="paragraph" w:styleId="CommentSubject">
    <w:name w:val="annotation subject"/>
    <w:basedOn w:val="CommentText"/>
    <w:next w:val="CommentText"/>
    <w:link w:val="CommentSubjectChar"/>
    <w:uiPriority w:val="99"/>
    <w:semiHidden/>
    <w:unhideWhenUsed/>
    <w:rsid w:val="0002494A"/>
    <w:rPr>
      <w:b/>
      <w:bCs/>
    </w:rPr>
  </w:style>
  <w:style w:type="character" w:customStyle="1" w:styleId="CommentSubjectChar">
    <w:name w:val="Comment Subject Char"/>
    <w:basedOn w:val="CommentTextChar"/>
    <w:link w:val="CommentSubject"/>
    <w:uiPriority w:val="99"/>
    <w:semiHidden/>
    <w:rsid w:val="0002494A"/>
    <w:rPr>
      <w:b/>
      <w:bCs/>
    </w:rPr>
  </w:style>
  <w:style w:type="paragraph" w:styleId="BalloonText">
    <w:name w:val="Balloon Text"/>
    <w:basedOn w:val="Normal"/>
    <w:link w:val="BalloonTextChar"/>
    <w:uiPriority w:val="99"/>
    <w:semiHidden/>
    <w:unhideWhenUsed/>
    <w:rsid w:val="0002494A"/>
    <w:rPr>
      <w:rFonts w:ascii="Tahoma" w:hAnsi="Tahoma" w:cs="Tahoma"/>
      <w:sz w:val="16"/>
      <w:szCs w:val="16"/>
    </w:rPr>
  </w:style>
  <w:style w:type="character" w:customStyle="1" w:styleId="BalloonTextChar">
    <w:name w:val="Balloon Text Char"/>
    <w:basedOn w:val="DefaultParagraphFont"/>
    <w:link w:val="BalloonText"/>
    <w:uiPriority w:val="99"/>
    <w:semiHidden/>
    <w:rsid w:val="0002494A"/>
    <w:rPr>
      <w:rFonts w:ascii="Tahoma" w:hAnsi="Tahoma" w:cs="Tahoma"/>
      <w:sz w:val="16"/>
      <w:szCs w:val="16"/>
    </w:rPr>
  </w:style>
  <w:style w:type="table" w:styleId="TableGrid">
    <w:name w:val="Table Grid"/>
    <w:basedOn w:val="TableNormal"/>
    <w:uiPriority w:val="59"/>
    <w:rsid w:val="008E5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361262">
      <w:bodyDiv w:val="1"/>
      <w:marLeft w:val="0"/>
      <w:marRight w:val="0"/>
      <w:marTop w:val="0"/>
      <w:marBottom w:val="0"/>
      <w:divBdr>
        <w:top w:val="none" w:sz="0" w:space="0" w:color="auto"/>
        <w:left w:val="none" w:sz="0" w:space="0" w:color="auto"/>
        <w:bottom w:val="none" w:sz="0" w:space="0" w:color="auto"/>
        <w:right w:val="none" w:sz="0" w:space="0" w:color="auto"/>
      </w:divBdr>
    </w:div>
    <w:div w:id="14182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1802-51EF-4719-90AD-D5A5FC62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Prosperity - Building an international movement of business leadership groups for a low carbon economy</vt:lpstr>
    </vt:vector>
  </TitlesOfParts>
  <Company>FCO</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Prosperity - Building an international movement of business leadership groups for a low carbon economy</dc:title>
  <dc:subject/>
  <dc:creator>nhearn</dc:creator>
  <cp:keywords/>
  <cp:lastModifiedBy>acowan</cp:lastModifiedBy>
  <cp:revision>4</cp:revision>
  <cp:lastPrinted>2013-06-24T12:15:00Z</cp:lastPrinted>
  <dcterms:created xsi:type="dcterms:W3CDTF">2013-11-14T16:17:00Z</dcterms:created>
  <dcterms:modified xsi:type="dcterms:W3CDTF">2013-11-14T16:50:00Z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True</vt:lpwstr>
  </property>
  <property fmtid="{D5CDD505-2E9C-101B-9397-08002B2CF9AE}" pid="13" name="Created">
    <vt:filetime>2013-06-09T23:00:00Z</vt:filetime>
  </property>
</Properties>
</file>