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16" w:rsidRPr="008A5812" w:rsidRDefault="00CB1716" w:rsidP="00CB1716">
      <w:pPr>
        <w:spacing w:after="160" w:line="240" w:lineRule="auto"/>
        <w:jc w:val="both"/>
        <w:rPr>
          <w:color w:val="009EE3"/>
          <w:sz w:val="52"/>
          <w:szCs w:val="52"/>
        </w:rPr>
      </w:pPr>
      <w:bookmarkStart w:id="0" w:name="OLE_LINK15"/>
      <w:bookmarkStart w:id="1" w:name="OLE_LINK16"/>
      <w:r w:rsidRPr="008A5812">
        <w:rPr>
          <w:color w:val="009EE3"/>
          <w:sz w:val="52"/>
          <w:szCs w:val="52"/>
        </w:rPr>
        <w:t>Domestic Green Deal and Energy Company Obligation in Great Britain, Monthly report</w:t>
      </w:r>
    </w:p>
    <w:p w:rsidR="00CB1716" w:rsidRPr="008A5812" w:rsidRDefault="00CB1716" w:rsidP="00CB1716">
      <w:pPr>
        <w:spacing w:after="160" w:line="240" w:lineRule="auto"/>
        <w:jc w:val="both"/>
        <w:rPr>
          <w:color w:val="009EE3"/>
          <w:sz w:val="52"/>
          <w:szCs w:val="52"/>
        </w:rPr>
      </w:pPr>
    </w:p>
    <w:p w:rsidR="00CB1716" w:rsidRPr="008A5812" w:rsidRDefault="00CB1716" w:rsidP="00CB1716">
      <w:pPr>
        <w:spacing w:after="160" w:line="240" w:lineRule="auto"/>
        <w:jc w:val="both"/>
        <w:rPr>
          <w:color w:val="009EE3"/>
          <w:sz w:val="52"/>
          <w:szCs w:val="5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A979BF" w:rsidRPr="0050316A" w:rsidRDefault="006D5D73" w:rsidP="0087707B">
      <w:pPr>
        <w:spacing w:after="160" w:line="240" w:lineRule="auto"/>
        <w:jc w:val="both"/>
        <w:rPr>
          <w:color w:val="FFFFFF"/>
          <w:sz w:val="32"/>
          <w:szCs w:val="32"/>
        </w:rPr>
      </w:pPr>
      <w:r>
        <w:rPr>
          <w:color w:val="FFFFFF"/>
          <w:sz w:val="32"/>
          <w:szCs w:val="32"/>
        </w:rPr>
        <w:t>Statistical release: Experimental statistics</w:t>
      </w:r>
      <w:bookmarkEnd w:id="0"/>
      <w:bookmarkEnd w:id="1"/>
    </w:p>
    <w:p w:rsidR="00721C77" w:rsidRPr="008A5812" w:rsidRDefault="00CB1716" w:rsidP="00721C77">
      <w:pPr>
        <w:pStyle w:val="Date"/>
        <w:rPr>
          <w:rFonts w:cs="Arial"/>
        </w:rPr>
        <w:sectPr w:rsidR="00721C77" w:rsidRPr="008A5812" w:rsidSect="00AB6445">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4253" w:right="851" w:bottom="567" w:left="851" w:header="680" w:footer="165" w:gutter="0"/>
          <w:cols w:space="720"/>
          <w:formProt w:val="0"/>
          <w:titlePg/>
        </w:sectPr>
      </w:pPr>
      <w:r w:rsidRPr="008A5812">
        <w:rPr>
          <w:rFonts w:cs="Arial"/>
        </w:rPr>
        <w:t>19 November 2013</w:t>
      </w:r>
    </w:p>
    <w:p w:rsidR="00927623" w:rsidRPr="008A5812" w:rsidRDefault="00927623" w:rsidP="00927623">
      <w:r w:rsidRPr="008A5812">
        <w:lastRenderedPageBreak/>
        <w:t xml:space="preserve">© Crown copyright </w:t>
      </w:r>
      <w:r w:rsidR="0087707B">
        <w:t>2013</w:t>
      </w:r>
      <w:r w:rsidR="00546E91" w:rsidRPr="008A5812">
        <w:t xml:space="preserve"> </w:t>
      </w:r>
    </w:p>
    <w:p w:rsidR="00927623" w:rsidRPr="008A5812" w:rsidRDefault="00927623" w:rsidP="00927623">
      <w:r w:rsidRPr="008A5812">
        <w:t>You may re-use this information (not including logos) free of charge in any format or medium, under the terms of the Open Government Licence.</w:t>
      </w:r>
      <w:r w:rsidR="00546E91" w:rsidRPr="008A5812">
        <w:t xml:space="preserve"> </w:t>
      </w:r>
    </w:p>
    <w:p w:rsidR="00927623" w:rsidRPr="008A5812" w:rsidRDefault="00927623" w:rsidP="00927623">
      <w:r w:rsidRPr="008A5812">
        <w:t xml:space="preserve">To view this licence, visit </w:t>
      </w:r>
      <w:hyperlink r:id="rId17" w:history="1">
        <w:r w:rsidRPr="008A5812">
          <w:rPr>
            <w:rStyle w:val="Hyperlink"/>
            <w:rFonts w:ascii="Arial" w:hAnsi="Arial"/>
          </w:rPr>
          <w:t>www.nationalarchives.gov.uk/doc/open-government-licence/</w:t>
        </w:r>
      </w:hyperlink>
      <w:r w:rsidRPr="008A5812">
        <w:t xml:space="preserve"> </w:t>
      </w:r>
      <w:r w:rsidRPr="008A5812">
        <w:br/>
        <w:t xml:space="preserve">or write to the Information Policy Team, The National Archives, Kew, London TW9 4DU, </w:t>
      </w:r>
      <w:r w:rsidRPr="008A5812">
        <w:br/>
        <w:t xml:space="preserve">or email: </w:t>
      </w:r>
      <w:hyperlink r:id="rId18" w:history="1">
        <w:r w:rsidRPr="008A5812">
          <w:rPr>
            <w:rStyle w:val="Hyperlink"/>
            <w:rFonts w:ascii="Arial" w:hAnsi="Arial"/>
          </w:rPr>
          <w:t>psi@nationalarchives.gsi.gov.uk</w:t>
        </w:r>
      </w:hyperlink>
      <w:r w:rsidRPr="008A5812">
        <w:t xml:space="preserve">. </w:t>
      </w:r>
    </w:p>
    <w:p w:rsidR="00B35CEF" w:rsidRPr="008A5812" w:rsidRDefault="00B35CEF" w:rsidP="00B35CEF">
      <w:r w:rsidRPr="008A5812">
        <w:t xml:space="preserve">Any enquiries or comments in relation to this statistical release should be sent to DECC’s Green Deal Statistics Team at the following email address: </w:t>
      </w:r>
      <w:hyperlink r:id="rId19" w:history="1">
        <w:r w:rsidRPr="008A5812">
          <w:rPr>
            <w:rStyle w:val="Hyperlink"/>
            <w:rFonts w:ascii="Arial" w:hAnsi="Arial"/>
          </w:rPr>
          <w:t>EnergyEfficiency.Stats@decc.gsi.gov.uk</w:t>
        </w:r>
      </w:hyperlink>
      <w:r w:rsidRPr="008A5812">
        <w:t xml:space="preserve"> </w:t>
      </w:r>
    </w:p>
    <w:p w:rsidR="00B35CEF" w:rsidRPr="008A5812" w:rsidRDefault="00B35CEF" w:rsidP="00B35CEF">
      <w:r w:rsidRPr="008A5812">
        <w:t>Contact telephone: 0300 068 5202</w:t>
      </w:r>
    </w:p>
    <w:p w:rsidR="00D912D5" w:rsidRPr="008A5812" w:rsidRDefault="00927623">
      <w:r w:rsidRPr="008A5812">
        <w:t>This document is also available from our website</w:t>
      </w:r>
      <w:r w:rsidR="00DC1055" w:rsidRPr="008A5812">
        <w:t xml:space="preserve"> </w:t>
      </w:r>
      <w:r w:rsidRPr="008A5812">
        <w:t xml:space="preserve">at </w:t>
      </w:r>
      <w:bookmarkStart w:id="2" w:name="_Toc180303268"/>
      <w:bookmarkStart w:id="3" w:name="_Toc287863054"/>
      <w:bookmarkStart w:id="4" w:name="_Toc150919533"/>
      <w:r w:rsidR="00CB1716" w:rsidRPr="008A5812">
        <w:fldChar w:fldCharType="begin"/>
      </w:r>
      <w:r w:rsidR="00CB1716" w:rsidRPr="008A5812">
        <w:instrText xml:space="preserve"> HYPERLINK "https://www.gov.uk/government/collections/green-deal-and-energy-company-obligation-eco-statistics" </w:instrText>
      </w:r>
      <w:r w:rsidR="00CB1716" w:rsidRPr="008A5812">
        <w:fldChar w:fldCharType="separate"/>
      </w:r>
      <w:r w:rsidR="00CB1716" w:rsidRPr="008A5812">
        <w:rPr>
          <w:rStyle w:val="Hyperlink"/>
          <w:rFonts w:ascii="Arial" w:hAnsi="Arial"/>
        </w:rPr>
        <w:t>https://www.gov.uk/government/collections/green-deal-and-energy-company-obligation-eco-statistics</w:t>
      </w:r>
      <w:r w:rsidR="00CB1716" w:rsidRPr="008A5812">
        <w:fldChar w:fldCharType="end"/>
      </w:r>
    </w:p>
    <w:p w:rsidR="00CB1716" w:rsidRPr="008A5812" w:rsidRDefault="00CB1716">
      <w:pPr>
        <w:sectPr w:rsidR="00CB1716" w:rsidRPr="008A5812" w:rsidSect="00FD2A4E">
          <w:headerReference w:type="even" r:id="rId20"/>
          <w:headerReference w:type="default" r:id="rId21"/>
          <w:headerReference w:type="first" r:id="rId22"/>
          <w:footerReference w:type="first" r:id="rId23"/>
          <w:pgSz w:w="11906" w:h="16838" w:code="9"/>
          <w:pgMar w:top="11340" w:right="851" w:bottom="907" w:left="851" w:header="624" w:footer="624" w:gutter="0"/>
          <w:cols w:space="720"/>
          <w:formProt w:val="0"/>
          <w:titlePg/>
        </w:sectPr>
      </w:pPr>
    </w:p>
    <w:p w:rsidR="00D912D5" w:rsidRPr="008A5812" w:rsidRDefault="00B67B7F" w:rsidP="00B36F62">
      <w:pPr>
        <w:pStyle w:val="TOCHeading"/>
        <w:rPr>
          <w:rFonts w:cs="Arial"/>
        </w:rPr>
      </w:pPr>
      <w:bookmarkStart w:id="5" w:name="_Toc300827391"/>
      <w:bookmarkStart w:id="6" w:name="_Toc300910623"/>
      <w:bookmarkStart w:id="7" w:name="_Toc222299826"/>
      <w:bookmarkStart w:id="8" w:name="_Toc222534404"/>
      <w:bookmarkStart w:id="9" w:name="_Toc222537685"/>
      <w:r w:rsidRPr="008A5812">
        <w:rPr>
          <w:rFonts w:cs="Arial"/>
        </w:rPr>
        <w:lastRenderedPageBreak/>
        <w:t>Contents</w:t>
      </w:r>
      <w:bookmarkEnd w:id="2"/>
      <w:bookmarkEnd w:id="3"/>
      <w:bookmarkEnd w:id="5"/>
      <w:bookmarkEnd w:id="6"/>
      <w:bookmarkEnd w:id="7"/>
      <w:bookmarkEnd w:id="8"/>
      <w:bookmarkEnd w:id="9"/>
    </w:p>
    <w:p w:rsidR="00F3404A" w:rsidRPr="003269F2" w:rsidRDefault="00A3396D">
      <w:pPr>
        <w:pStyle w:val="TOC3"/>
        <w:tabs>
          <w:tab w:val="right" w:leader="dot" w:pos="10194"/>
        </w:tabs>
        <w:rPr>
          <w:rFonts w:ascii="Calibri" w:hAnsi="Calibri" w:cs="Times New Roman"/>
          <w:noProof/>
          <w:sz w:val="22"/>
          <w:szCs w:val="22"/>
          <w:lang w:eastAsia="en-GB"/>
        </w:rPr>
      </w:pPr>
      <w:r w:rsidRPr="008A5812">
        <w:fldChar w:fldCharType="begin"/>
      </w:r>
      <w:r w:rsidRPr="008A5812">
        <w:instrText xml:space="preserve"> TOC \t "Heading 1,2,Heading 2,3,Chapter Head,1,Chpt Head,1" </w:instrText>
      </w:r>
      <w:r w:rsidRPr="008A5812">
        <w:fldChar w:fldCharType="separate"/>
      </w:r>
      <w:r w:rsidR="00F3404A">
        <w:rPr>
          <w:noProof/>
        </w:rPr>
        <w:t>Charts</w:t>
      </w:r>
      <w:r w:rsidR="00F3404A">
        <w:rPr>
          <w:noProof/>
        </w:rPr>
        <w:tab/>
      </w:r>
      <w:r w:rsidR="00F3404A">
        <w:rPr>
          <w:noProof/>
        </w:rPr>
        <w:fldChar w:fldCharType="begin"/>
      </w:r>
      <w:r w:rsidR="00F3404A">
        <w:rPr>
          <w:noProof/>
        </w:rPr>
        <w:instrText xml:space="preserve"> PAGEREF _Toc372290482 \h </w:instrText>
      </w:r>
      <w:r w:rsidR="00F3404A">
        <w:rPr>
          <w:noProof/>
        </w:rPr>
      </w:r>
      <w:r w:rsidR="00F3404A">
        <w:rPr>
          <w:noProof/>
        </w:rPr>
        <w:fldChar w:fldCharType="separate"/>
      </w:r>
      <w:r w:rsidR="006C0F27">
        <w:rPr>
          <w:noProof/>
        </w:rPr>
        <w:t>4</w:t>
      </w:r>
      <w:r w:rsidR="00F3404A">
        <w:rPr>
          <w:noProof/>
        </w:rPr>
        <w:fldChar w:fldCharType="end"/>
      </w:r>
    </w:p>
    <w:p w:rsidR="00F3404A" w:rsidRPr="003269F2" w:rsidRDefault="00F3404A">
      <w:pPr>
        <w:pStyle w:val="TOC1"/>
        <w:rPr>
          <w:rFonts w:ascii="Calibri" w:hAnsi="Calibri" w:cs="Times New Roman"/>
          <w:noProof/>
          <w:color w:val="auto"/>
          <w:sz w:val="22"/>
          <w:szCs w:val="22"/>
          <w:lang w:eastAsia="en-GB"/>
        </w:rPr>
      </w:pPr>
      <w:r w:rsidRPr="00FF053A">
        <w:rPr>
          <w:noProof/>
        </w:rPr>
        <w:t>Executive summary</w:t>
      </w:r>
      <w:r>
        <w:rPr>
          <w:noProof/>
        </w:rPr>
        <w:tab/>
      </w:r>
      <w:r>
        <w:rPr>
          <w:noProof/>
        </w:rPr>
        <w:fldChar w:fldCharType="begin"/>
      </w:r>
      <w:r>
        <w:rPr>
          <w:noProof/>
        </w:rPr>
        <w:instrText xml:space="preserve"> PAGEREF _Toc372290483 \h </w:instrText>
      </w:r>
      <w:r>
        <w:rPr>
          <w:noProof/>
        </w:rPr>
      </w:r>
      <w:r>
        <w:rPr>
          <w:noProof/>
        </w:rPr>
        <w:fldChar w:fldCharType="separate"/>
      </w:r>
      <w:r w:rsidR="006C0F27">
        <w:rPr>
          <w:noProof/>
        </w:rPr>
        <w:t>5</w:t>
      </w:r>
      <w:r>
        <w:rPr>
          <w:noProof/>
        </w:rPr>
        <w:fldChar w:fldCharType="end"/>
      </w:r>
    </w:p>
    <w:p w:rsidR="00F3404A" w:rsidRPr="003269F2" w:rsidRDefault="00F3404A">
      <w:pPr>
        <w:pStyle w:val="TOC3"/>
        <w:tabs>
          <w:tab w:val="right" w:leader="dot" w:pos="10194"/>
        </w:tabs>
        <w:rPr>
          <w:rFonts w:ascii="Calibri" w:hAnsi="Calibri" w:cs="Times New Roman"/>
          <w:noProof/>
          <w:sz w:val="22"/>
          <w:szCs w:val="22"/>
          <w:lang w:eastAsia="en-GB"/>
        </w:rPr>
      </w:pPr>
      <w:r>
        <w:rPr>
          <w:noProof/>
        </w:rPr>
        <w:t>Introduction</w:t>
      </w:r>
      <w:r>
        <w:rPr>
          <w:noProof/>
        </w:rPr>
        <w:tab/>
      </w:r>
      <w:r>
        <w:rPr>
          <w:noProof/>
        </w:rPr>
        <w:fldChar w:fldCharType="begin"/>
      </w:r>
      <w:r>
        <w:rPr>
          <w:noProof/>
        </w:rPr>
        <w:instrText xml:space="preserve"> PAGEREF _Toc372290484 \h </w:instrText>
      </w:r>
      <w:r>
        <w:rPr>
          <w:noProof/>
        </w:rPr>
      </w:r>
      <w:r>
        <w:rPr>
          <w:noProof/>
        </w:rPr>
        <w:fldChar w:fldCharType="separate"/>
      </w:r>
      <w:r w:rsidR="006C0F27">
        <w:rPr>
          <w:noProof/>
        </w:rPr>
        <w:t>5</w:t>
      </w:r>
      <w:r>
        <w:rPr>
          <w:noProof/>
        </w:rPr>
        <w:fldChar w:fldCharType="end"/>
      </w:r>
    </w:p>
    <w:p w:rsidR="00F3404A" w:rsidRPr="003269F2" w:rsidRDefault="00F3404A">
      <w:pPr>
        <w:pStyle w:val="TOC3"/>
        <w:tabs>
          <w:tab w:val="right" w:leader="dot" w:pos="10194"/>
        </w:tabs>
        <w:rPr>
          <w:rFonts w:ascii="Calibri" w:hAnsi="Calibri" w:cs="Times New Roman"/>
          <w:noProof/>
          <w:sz w:val="22"/>
          <w:szCs w:val="22"/>
          <w:lang w:eastAsia="en-GB"/>
        </w:rPr>
      </w:pPr>
      <w:r>
        <w:rPr>
          <w:noProof/>
        </w:rPr>
        <w:t>Key points</w:t>
      </w:r>
      <w:r>
        <w:rPr>
          <w:noProof/>
        </w:rPr>
        <w:tab/>
      </w:r>
      <w:r>
        <w:rPr>
          <w:noProof/>
        </w:rPr>
        <w:fldChar w:fldCharType="begin"/>
      </w:r>
      <w:r>
        <w:rPr>
          <w:noProof/>
        </w:rPr>
        <w:instrText xml:space="preserve"> PAGEREF _Toc372290485 \h </w:instrText>
      </w:r>
      <w:r>
        <w:rPr>
          <w:noProof/>
        </w:rPr>
      </w:r>
      <w:r>
        <w:rPr>
          <w:noProof/>
        </w:rPr>
        <w:fldChar w:fldCharType="separate"/>
      </w:r>
      <w:r w:rsidR="006C0F27">
        <w:rPr>
          <w:noProof/>
        </w:rPr>
        <w:t>5</w:t>
      </w:r>
      <w:r>
        <w:rPr>
          <w:noProof/>
        </w:rPr>
        <w:fldChar w:fldCharType="end"/>
      </w:r>
    </w:p>
    <w:p w:rsidR="00F3404A" w:rsidRPr="003269F2" w:rsidRDefault="00F3404A">
      <w:pPr>
        <w:pStyle w:val="TOC1"/>
        <w:rPr>
          <w:rFonts w:ascii="Calibri" w:hAnsi="Calibri" w:cs="Times New Roman"/>
          <w:noProof/>
          <w:color w:val="auto"/>
          <w:sz w:val="22"/>
          <w:szCs w:val="22"/>
          <w:lang w:eastAsia="en-GB"/>
        </w:rPr>
      </w:pPr>
      <w:r w:rsidRPr="00FF053A">
        <w:rPr>
          <w:noProof/>
        </w:rPr>
        <w:t>Detailed Results</w:t>
      </w:r>
      <w:r>
        <w:rPr>
          <w:noProof/>
        </w:rPr>
        <w:tab/>
      </w:r>
      <w:r>
        <w:rPr>
          <w:noProof/>
        </w:rPr>
        <w:fldChar w:fldCharType="begin"/>
      </w:r>
      <w:r>
        <w:rPr>
          <w:noProof/>
        </w:rPr>
        <w:instrText xml:space="preserve"> PAGEREF _Toc372290486 \h </w:instrText>
      </w:r>
      <w:r>
        <w:rPr>
          <w:noProof/>
        </w:rPr>
      </w:r>
      <w:r>
        <w:rPr>
          <w:noProof/>
        </w:rPr>
        <w:fldChar w:fldCharType="separate"/>
      </w:r>
      <w:r w:rsidR="006C0F27">
        <w:rPr>
          <w:noProof/>
        </w:rPr>
        <w:t>6</w:t>
      </w:r>
      <w:r>
        <w:rPr>
          <w:noProof/>
        </w:rPr>
        <w:fldChar w:fldCharType="end"/>
      </w:r>
    </w:p>
    <w:p w:rsidR="00F3404A" w:rsidRPr="003269F2" w:rsidRDefault="00F3404A">
      <w:pPr>
        <w:pStyle w:val="TOC3"/>
        <w:tabs>
          <w:tab w:val="right" w:leader="dot" w:pos="10194"/>
        </w:tabs>
        <w:rPr>
          <w:rFonts w:ascii="Calibri" w:hAnsi="Calibri" w:cs="Times New Roman"/>
          <w:noProof/>
          <w:sz w:val="22"/>
          <w:szCs w:val="22"/>
          <w:lang w:eastAsia="en-GB"/>
        </w:rPr>
      </w:pPr>
      <w:r>
        <w:rPr>
          <w:noProof/>
        </w:rPr>
        <w:t>Measures installed up to end September (Table 1)</w:t>
      </w:r>
      <w:r>
        <w:rPr>
          <w:noProof/>
        </w:rPr>
        <w:tab/>
      </w:r>
      <w:r>
        <w:rPr>
          <w:noProof/>
        </w:rPr>
        <w:fldChar w:fldCharType="begin"/>
      </w:r>
      <w:r>
        <w:rPr>
          <w:noProof/>
        </w:rPr>
        <w:instrText xml:space="preserve"> PAGEREF _Toc372290487 \h </w:instrText>
      </w:r>
      <w:r>
        <w:rPr>
          <w:noProof/>
        </w:rPr>
      </w:r>
      <w:r>
        <w:rPr>
          <w:noProof/>
        </w:rPr>
        <w:fldChar w:fldCharType="separate"/>
      </w:r>
      <w:r w:rsidR="006C0F27">
        <w:rPr>
          <w:noProof/>
        </w:rPr>
        <w:t>6</w:t>
      </w:r>
      <w:r>
        <w:rPr>
          <w:noProof/>
        </w:rPr>
        <w:fldChar w:fldCharType="end"/>
      </w:r>
    </w:p>
    <w:p w:rsidR="00F3404A" w:rsidRPr="003269F2" w:rsidRDefault="00F3404A">
      <w:pPr>
        <w:pStyle w:val="TOC3"/>
        <w:tabs>
          <w:tab w:val="right" w:leader="dot" w:pos="10194"/>
        </w:tabs>
        <w:rPr>
          <w:rFonts w:ascii="Calibri" w:hAnsi="Calibri" w:cs="Times New Roman"/>
          <w:noProof/>
          <w:sz w:val="22"/>
          <w:szCs w:val="22"/>
          <w:lang w:eastAsia="en-GB"/>
        </w:rPr>
      </w:pPr>
      <w:r>
        <w:rPr>
          <w:noProof/>
        </w:rPr>
        <w:t>Green Deal Assessments, by month (Table 2, Chart 1)</w:t>
      </w:r>
      <w:r>
        <w:rPr>
          <w:noProof/>
        </w:rPr>
        <w:tab/>
      </w:r>
      <w:r>
        <w:rPr>
          <w:noProof/>
        </w:rPr>
        <w:fldChar w:fldCharType="begin"/>
      </w:r>
      <w:r>
        <w:rPr>
          <w:noProof/>
        </w:rPr>
        <w:instrText xml:space="preserve"> PAGEREF _Toc372290488 \h </w:instrText>
      </w:r>
      <w:r>
        <w:rPr>
          <w:noProof/>
        </w:rPr>
      </w:r>
      <w:r>
        <w:rPr>
          <w:noProof/>
        </w:rPr>
        <w:fldChar w:fldCharType="separate"/>
      </w:r>
      <w:r w:rsidR="006C0F27">
        <w:rPr>
          <w:noProof/>
        </w:rPr>
        <w:t>6</w:t>
      </w:r>
      <w:r>
        <w:rPr>
          <w:noProof/>
        </w:rPr>
        <w:fldChar w:fldCharType="end"/>
      </w:r>
    </w:p>
    <w:p w:rsidR="00F3404A" w:rsidRPr="003269F2" w:rsidRDefault="00F3404A">
      <w:pPr>
        <w:pStyle w:val="TOC3"/>
        <w:tabs>
          <w:tab w:val="right" w:leader="dot" w:pos="10194"/>
        </w:tabs>
        <w:rPr>
          <w:rFonts w:ascii="Calibri" w:hAnsi="Calibri" w:cs="Times New Roman"/>
          <w:noProof/>
          <w:sz w:val="22"/>
          <w:szCs w:val="22"/>
          <w:lang w:eastAsia="en-GB"/>
        </w:rPr>
      </w:pPr>
      <w:r>
        <w:rPr>
          <w:noProof/>
        </w:rPr>
        <w:t>Green Deal Plans in unique properties, cumulative totals by month (Table 3, Chart 2)</w:t>
      </w:r>
      <w:r>
        <w:rPr>
          <w:noProof/>
        </w:rPr>
        <w:tab/>
      </w:r>
      <w:r>
        <w:rPr>
          <w:noProof/>
        </w:rPr>
        <w:fldChar w:fldCharType="begin"/>
      </w:r>
      <w:r>
        <w:rPr>
          <w:noProof/>
        </w:rPr>
        <w:instrText xml:space="preserve"> PAGEREF _Toc372290489 \h </w:instrText>
      </w:r>
      <w:r>
        <w:rPr>
          <w:noProof/>
        </w:rPr>
      </w:r>
      <w:r>
        <w:rPr>
          <w:noProof/>
        </w:rPr>
        <w:fldChar w:fldCharType="separate"/>
      </w:r>
      <w:r w:rsidR="006C0F27">
        <w:rPr>
          <w:noProof/>
        </w:rPr>
        <w:t>7</w:t>
      </w:r>
      <w:r>
        <w:rPr>
          <w:noProof/>
        </w:rPr>
        <w:fldChar w:fldCharType="end"/>
      </w:r>
    </w:p>
    <w:p w:rsidR="00F3404A" w:rsidRPr="003269F2" w:rsidRDefault="00F3404A">
      <w:pPr>
        <w:pStyle w:val="TOC3"/>
        <w:tabs>
          <w:tab w:val="right" w:leader="dot" w:pos="10194"/>
        </w:tabs>
        <w:rPr>
          <w:rFonts w:ascii="Calibri" w:hAnsi="Calibri" w:cs="Times New Roman"/>
          <w:noProof/>
          <w:sz w:val="22"/>
          <w:szCs w:val="22"/>
          <w:lang w:eastAsia="en-GB"/>
        </w:rPr>
      </w:pPr>
      <w:r>
        <w:rPr>
          <w:noProof/>
        </w:rPr>
        <w:t>Cashback vouchers where payments have been made, by month of installation (Table 4, Chart 3)</w:t>
      </w:r>
      <w:r>
        <w:rPr>
          <w:noProof/>
        </w:rPr>
        <w:tab/>
      </w:r>
      <w:r>
        <w:rPr>
          <w:noProof/>
        </w:rPr>
        <w:fldChar w:fldCharType="begin"/>
      </w:r>
      <w:r>
        <w:rPr>
          <w:noProof/>
        </w:rPr>
        <w:instrText xml:space="preserve"> PAGEREF _Toc372290490 \h </w:instrText>
      </w:r>
      <w:r>
        <w:rPr>
          <w:noProof/>
        </w:rPr>
      </w:r>
      <w:r>
        <w:rPr>
          <w:noProof/>
        </w:rPr>
        <w:fldChar w:fldCharType="separate"/>
      </w:r>
      <w:r w:rsidR="006C0F27">
        <w:rPr>
          <w:noProof/>
        </w:rPr>
        <w:t>9</w:t>
      </w:r>
      <w:r>
        <w:rPr>
          <w:noProof/>
        </w:rPr>
        <w:fldChar w:fldCharType="end"/>
      </w:r>
    </w:p>
    <w:p w:rsidR="00F3404A" w:rsidRPr="003269F2" w:rsidRDefault="00F3404A">
      <w:pPr>
        <w:pStyle w:val="TOC3"/>
        <w:tabs>
          <w:tab w:val="right" w:leader="dot" w:pos="10194"/>
        </w:tabs>
        <w:rPr>
          <w:rFonts w:ascii="Calibri" w:hAnsi="Calibri" w:cs="Times New Roman"/>
          <w:noProof/>
          <w:sz w:val="22"/>
          <w:szCs w:val="22"/>
          <w:lang w:eastAsia="en-GB"/>
        </w:rPr>
      </w:pPr>
      <w:r>
        <w:rPr>
          <w:noProof/>
        </w:rPr>
        <w:t>ECO measures installed by obligation, up to the end of September (Table 5, Table 5a, Chart 4, Chart 5)</w:t>
      </w:r>
      <w:r>
        <w:rPr>
          <w:noProof/>
        </w:rPr>
        <w:tab/>
      </w:r>
      <w:r>
        <w:rPr>
          <w:noProof/>
        </w:rPr>
        <w:fldChar w:fldCharType="begin"/>
      </w:r>
      <w:r>
        <w:rPr>
          <w:noProof/>
        </w:rPr>
        <w:instrText xml:space="preserve"> PAGEREF _Toc372290491 \h </w:instrText>
      </w:r>
      <w:r>
        <w:rPr>
          <w:noProof/>
        </w:rPr>
      </w:r>
      <w:r>
        <w:rPr>
          <w:noProof/>
        </w:rPr>
        <w:fldChar w:fldCharType="separate"/>
      </w:r>
      <w:r w:rsidR="006C0F27">
        <w:rPr>
          <w:noProof/>
        </w:rPr>
        <w:t>10</w:t>
      </w:r>
      <w:r>
        <w:rPr>
          <w:noProof/>
        </w:rPr>
        <w:fldChar w:fldCharType="end"/>
      </w:r>
    </w:p>
    <w:p w:rsidR="00F3404A" w:rsidRPr="003269F2" w:rsidRDefault="00F3404A">
      <w:pPr>
        <w:pStyle w:val="TOC3"/>
        <w:tabs>
          <w:tab w:val="right" w:leader="dot" w:pos="10194"/>
        </w:tabs>
        <w:rPr>
          <w:rFonts w:ascii="Calibri" w:hAnsi="Calibri" w:cs="Times New Roman"/>
          <w:noProof/>
          <w:sz w:val="22"/>
          <w:szCs w:val="22"/>
          <w:lang w:eastAsia="en-GB"/>
        </w:rPr>
      </w:pPr>
      <w:r>
        <w:rPr>
          <w:noProof/>
        </w:rPr>
        <w:t>Measures installed through other finance routes</w:t>
      </w:r>
      <w:r>
        <w:rPr>
          <w:noProof/>
        </w:rPr>
        <w:tab/>
      </w:r>
      <w:r>
        <w:rPr>
          <w:noProof/>
        </w:rPr>
        <w:fldChar w:fldCharType="begin"/>
      </w:r>
      <w:r>
        <w:rPr>
          <w:noProof/>
        </w:rPr>
        <w:instrText xml:space="preserve"> PAGEREF _Toc372290492 \h </w:instrText>
      </w:r>
      <w:r>
        <w:rPr>
          <w:noProof/>
        </w:rPr>
      </w:r>
      <w:r>
        <w:rPr>
          <w:noProof/>
        </w:rPr>
        <w:fldChar w:fldCharType="separate"/>
      </w:r>
      <w:r w:rsidR="006C0F27">
        <w:rPr>
          <w:noProof/>
        </w:rPr>
        <w:t>11</w:t>
      </w:r>
      <w:r>
        <w:rPr>
          <w:noProof/>
        </w:rPr>
        <w:fldChar w:fldCharType="end"/>
      </w:r>
    </w:p>
    <w:p w:rsidR="00F3404A" w:rsidRPr="003269F2" w:rsidRDefault="00F3404A">
      <w:pPr>
        <w:pStyle w:val="TOC3"/>
        <w:tabs>
          <w:tab w:val="right" w:leader="dot" w:pos="10194"/>
        </w:tabs>
        <w:rPr>
          <w:rFonts w:ascii="Calibri" w:hAnsi="Calibri" w:cs="Times New Roman"/>
          <w:noProof/>
          <w:sz w:val="22"/>
          <w:szCs w:val="22"/>
          <w:lang w:eastAsia="en-GB"/>
        </w:rPr>
      </w:pPr>
      <w:r>
        <w:rPr>
          <w:noProof/>
        </w:rPr>
        <w:t>ECO brokerage, as at the end of October (Table 6, Chart 6)</w:t>
      </w:r>
      <w:r>
        <w:rPr>
          <w:noProof/>
        </w:rPr>
        <w:tab/>
      </w:r>
      <w:r>
        <w:rPr>
          <w:noProof/>
        </w:rPr>
        <w:fldChar w:fldCharType="begin"/>
      </w:r>
      <w:r>
        <w:rPr>
          <w:noProof/>
        </w:rPr>
        <w:instrText xml:space="preserve"> PAGEREF _Toc372290493 \h </w:instrText>
      </w:r>
      <w:r>
        <w:rPr>
          <w:noProof/>
        </w:rPr>
      </w:r>
      <w:r>
        <w:rPr>
          <w:noProof/>
        </w:rPr>
        <w:fldChar w:fldCharType="separate"/>
      </w:r>
      <w:r w:rsidR="006C0F27">
        <w:rPr>
          <w:noProof/>
        </w:rPr>
        <w:t>12</w:t>
      </w:r>
      <w:r>
        <w:rPr>
          <w:noProof/>
        </w:rPr>
        <w:fldChar w:fldCharType="end"/>
      </w:r>
    </w:p>
    <w:p w:rsidR="00F3404A" w:rsidRPr="003269F2" w:rsidRDefault="00F3404A">
      <w:pPr>
        <w:pStyle w:val="TOC3"/>
        <w:tabs>
          <w:tab w:val="right" w:leader="dot" w:pos="10194"/>
        </w:tabs>
        <w:rPr>
          <w:rFonts w:ascii="Calibri" w:hAnsi="Calibri" w:cs="Times New Roman"/>
          <w:noProof/>
          <w:sz w:val="22"/>
          <w:szCs w:val="22"/>
          <w:lang w:eastAsia="en-GB"/>
        </w:rPr>
      </w:pPr>
      <w:r>
        <w:rPr>
          <w:noProof/>
        </w:rPr>
        <w:t>Supply chain, as at the end of October (Table 7, Chart 7)</w:t>
      </w:r>
      <w:r>
        <w:rPr>
          <w:noProof/>
        </w:rPr>
        <w:tab/>
      </w:r>
      <w:r>
        <w:rPr>
          <w:noProof/>
        </w:rPr>
        <w:fldChar w:fldCharType="begin"/>
      </w:r>
      <w:r>
        <w:rPr>
          <w:noProof/>
        </w:rPr>
        <w:instrText xml:space="preserve"> PAGEREF _Toc372290494 \h </w:instrText>
      </w:r>
      <w:r>
        <w:rPr>
          <w:noProof/>
        </w:rPr>
      </w:r>
      <w:r>
        <w:rPr>
          <w:noProof/>
        </w:rPr>
        <w:fldChar w:fldCharType="separate"/>
      </w:r>
      <w:r w:rsidR="006C0F27">
        <w:rPr>
          <w:noProof/>
        </w:rPr>
        <w:t>13</w:t>
      </w:r>
      <w:r>
        <w:rPr>
          <w:noProof/>
        </w:rPr>
        <w:fldChar w:fldCharType="end"/>
      </w:r>
    </w:p>
    <w:p w:rsidR="00F3404A" w:rsidRPr="003269F2" w:rsidRDefault="00F3404A">
      <w:pPr>
        <w:pStyle w:val="TOC1"/>
        <w:rPr>
          <w:rFonts w:ascii="Calibri" w:hAnsi="Calibri" w:cs="Times New Roman"/>
          <w:noProof/>
          <w:color w:val="auto"/>
          <w:sz w:val="22"/>
          <w:szCs w:val="22"/>
          <w:lang w:eastAsia="en-GB"/>
        </w:rPr>
      </w:pPr>
      <w:r w:rsidRPr="00FF053A">
        <w:rPr>
          <w:noProof/>
        </w:rPr>
        <w:t>Annex A – Tables</w:t>
      </w:r>
      <w:r>
        <w:rPr>
          <w:noProof/>
        </w:rPr>
        <w:tab/>
      </w:r>
      <w:r>
        <w:rPr>
          <w:noProof/>
        </w:rPr>
        <w:fldChar w:fldCharType="begin"/>
      </w:r>
      <w:r>
        <w:rPr>
          <w:noProof/>
        </w:rPr>
        <w:instrText xml:space="preserve"> PAGEREF _Toc372290495 \h </w:instrText>
      </w:r>
      <w:r>
        <w:rPr>
          <w:noProof/>
        </w:rPr>
      </w:r>
      <w:r>
        <w:rPr>
          <w:noProof/>
        </w:rPr>
        <w:fldChar w:fldCharType="separate"/>
      </w:r>
      <w:r w:rsidR="006C0F27">
        <w:rPr>
          <w:noProof/>
        </w:rPr>
        <w:t>14</w:t>
      </w:r>
      <w:r>
        <w:rPr>
          <w:noProof/>
        </w:rPr>
        <w:fldChar w:fldCharType="end"/>
      </w:r>
    </w:p>
    <w:p w:rsidR="00F3404A" w:rsidRPr="003269F2" w:rsidRDefault="00F3404A">
      <w:pPr>
        <w:pStyle w:val="TOC1"/>
        <w:rPr>
          <w:rFonts w:ascii="Calibri" w:hAnsi="Calibri" w:cs="Times New Roman"/>
          <w:noProof/>
          <w:color w:val="auto"/>
          <w:sz w:val="22"/>
          <w:szCs w:val="22"/>
          <w:lang w:eastAsia="en-GB"/>
        </w:rPr>
      </w:pPr>
      <w:r w:rsidRPr="00FF053A">
        <w:rPr>
          <w:noProof/>
        </w:rPr>
        <w:t>Annex B – Background</w:t>
      </w:r>
      <w:r>
        <w:rPr>
          <w:noProof/>
        </w:rPr>
        <w:tab/>
      </w:r>
      <w:r>
        <w:rPr>
          <w:noProof/>
        </w:rPr>
        <w:fldChar w:fldCharType="begin"/>
      </w:r>
      <w:r>
        <w:rPr>
          <w:noProof/>
        </w:rPr>
        <w:instrText xml:space="preserve"> PAGEREF _Toc372290496 \h </w:instrText>
      </w:r>
      <w:r>
        <w:rPr>
          <w:noProof/>
        </w:rPr>
      </w:r>
      <w:r>
        <w:rPr>
          <w:noProof/>
        </w:rPr>
        <w:fldChar w:fldCharType="separate"/>
      </w:r>
      <w:r w:rsidR="006C0F27">
        <w:rPr>
          <w:noProof/>
        </w:rPr>
        <w:t>25</w:t>
      </w:r>
      <w:r>
        <w:rPr>
          <w:noProof/>
        </w:rPr>
        <w:fldChar w:fldCharType="end"/>
      </w:r>
    </w:p>
    <w:p w:rsidR="00F3404A" w:rsidRPr="003269F2" w:rsidRDefault="00F3404A">
      <w:pPr>
        <w:pStyle w:val="TOC3"/>
        <w:tabs>
          <w:tab w:val="right" w:leader="dot" w:pos="10194"/>
        </w:tabs>
        <w:rPr>
          <w:rFonts w:ascii="Calibri" w:hAnsi="Calibri" w:cs="Times New Roman"/>
          <w:noProof/>
          <w:sz w:val="22"/>
          <w:szCs w:val="22"/>
          <w:lang w:eastAsia="en-GB"/>
        </w:rPr>
      </w:pPr>
      <w:r>
        <w:rPr>
          <w:noProof/>
        </w:rPr>
        <w:t>Green Deal</w:t>
      </w:r>
      <w:r>
        <w:rPr>
          <w:noProof/>
        </w:rPr>
        <w:tab/>
      </w:r>
      <w:r>
        <w:rPr>
          <w:noProof/>
        </w:rPr>
        <w:fldChar w:fldCharType="begin"/>
      </w:r>
      <w:r>
        <w:rPr>
          <w:noProof/>
        </w:rPr>
        <w:instrText xml:space="preserve"> PAGEREF _Toc372290497 \h </w:instrText>
      </w:r>
      <w:r>
        <w:rPr>
          <w:noProof/>
        </w:rPr>
      </w:r>
      <w:r>
        <w:rPr>
          <w:noProof/>
        </w:rPr>
        <w:fldChar w:fldCharType="separate"/>
      </w:r>
      <w:r w:rsidR="006C0F27">
        <w:rPr>
          <w:noProof/>
        </w:rPr>
        <w:t>25</w:t>
      </w:r>
      <w:r>
        <w:rPr>
          <w:noProof/>
        </w:rPr>
        <w:fldChar w:fldCharType="end"/>
      </w:r>
    </w:p>
    <w:p w:rsidR="00F3404A" w:rsidRPr="003269F2" w:rsidRDefault="00F3404A">
      <w:pPr>
        <w:pStyle w:val="TOC3"/>
        <w:tabs>
          <w:tab w:val="right" w:leader="dot" w:pos="10194"/>
        </w:tabs>
        <w:rPr>
          <w:rFonts w:ascii="Calibri" w:hAnsi="Calibri" w:cs="Times New Roman"/>
          <w:noProof/>
          <w:sz w:val="22"/>
          <w:szCs w:val="22"/>
          <w:lang w:eastAsia="en-GB"/>
        </w:rPr>
      </w:pPr>
      <w:r w:rsidRPr="00FF053A">
        <w:rPr>
          <w:rFonts w:eastAsia="Calibri"/>
          <w:noProof/>
        </w:rPr>
        <w:t>E</w:t>
      </w:r>
      <w:r>
        <w:rPr>
          <w:noProof/>
        </w:rPr>
        <w:t>nergy Company Obligation</w:t>
      </w:r>
      <w:r>
        <w:rPr>
          <w:noProof/>
        </w:rPr>
        <w:tab/>
      </w:r>
      <w:r>
        <w:rPr>
          <w:noProof/>
        </w:rPr>
        <w:fldChar w:fldCharType="begin"/>
      </w:r>
      <w:r>
        <w:rPr>
          <w:noProof/>
        </w:rPr>
        <w:instrText xml:space="preserve"> PAGEREF _Toc372290498 \h </w:instrText>
      </w:r>
      <w:r>
        <w:rPr>
          <w:noProof/>
        </w:rPr>
      </w:r>
      <w:r>
        <w:rPr>
          <w:noProof/>
        </w:rPr>
        <w:fldChar w:fldCharType="separate"/>
      </w:r>
      <w:r w:rsidR="006C0F27">
        <w:rPr>
          <w:noProof/>
        </w:rPr>
        <w:t>26</w:t>
      </w:r>
      <w:r>
        <w:rPr>
          <w:noProof/>
        </w:rPr>
        <w:fldChar w:fldCharType="end"/>
      </w:r>
    </w:p>
    <w:p w:rsidR="00F3404A" w:rsidRPr="003269F2" w:rsidRDefault="00F3404A">
      <w:pPr>
        <w:pStyle w:val="TOC3"/>
        <w:tabs>
          <w:tab w:val="right" w:leader="dot" w:pos="10194"/>
        </w:tabs>
        <w:rPr>
          <w:rFonts w:ascii="Calibri" w:hAnsi="Calibri" w:cs="Times New Roman"/>
          <w:noProof/>
          <w:sz w:val="22"/>
          <w:szCs w:val="22"/>
          <w:lang w:eastAsia="en-GB"/>
        </w:rPr>
      </w:pPr>
      <w:r>
        <w:rPr>
          <w:noProof/>
        </w:rPr>
        <w:t>Green Deal Cashback</w:t>
      </w:r>
      <w:r>
        <w:rPr>
          <w:noProof/>
        </w:rPr>
        <w:tab/>
      </w:r>
      <w:r>
        <w:rPr>
          <w:noProof/>
        </w:rPr>
        <w:fldChar w:fldCharType="begin"/>
      </w:r>
      <w:r>
        <w:rPr>
          <w:noProof/>
        </w:rPr>
        <w:instrText xml:space="preserve"> PAGEREF _Toc372290499 \h </w:instrText>
      </w:r>
      <w:r>
        <w:rPr>
          <w:noProof/>
        </w:rPr>
      </w:r>
      <w:r>
        <w:rPr>
          <w:noProof/>
        </w:rPr>
        <w:fldChar w:fldCharType="separate"/>
      </w:r>
      <w:r w:rsidR="006C0F27">
        <w:rPr>
          <w:noProof/>
        </w:rPr>
        <w:t>26</w:t>
      </w:r>
      <w:r>
        <w:rPr>
          <w:noProof/>
        </w:rPr>
        <w:fldChar w:fldCharType="end"/>
      </w:r>
    </w:p>
    <w:p w:rsidR="00F3404A" w:rsidRPr="003269F2" w:rsidRDefault="00F3404A">
      <w:pPr>
        <w:pStyle w:val="TOC3"/>
        <w:tabs>
          <w:tab w:val="right" w:leader="dot" w:pos="10194"/>
        </w:tabs>
        <w:rPr>
          <w:rFonts w:ascii="Calibri" w:hAnsi="Calibri" w:cs="Times New Roman"/>
          <w:noProof/>
          <w:sz w:val="22"/>
          <w:szCs w:val="22"/>
          <w:lang w:eastAsia="en-GB"/>
        </w:rPr>
      </w:pPr>
      <w:r>
        <w:rPr>
          <w:noProof/>
        </w:rPr>
        <w:t>ECO Brokerage</w:t>
      </w:r>
      <w:r>
        <w:rPr>
          <w:noProof/>
        </w:rPr>
        <w:tab/>
      </w:r>
      <w:r>
        <w:rPr>
          <w:noProof/>
        </w:rPr>
        <w:fldChar w:fldCharType="begin"/>
      </w:r>
      <w:r>
        <w:rPr>
          <w:noProof/>
        </w:rPr>
        <w:instrText xml:space="preserve"> PAGEREF _Toc372290500 \h </w:instrText>
      </w:r>
      <w:r>
        <w:rPr>
          <w:noProof/>
        </w:rPr>
      </w:r>
      <w:r>
        <w:rPr>
          <w:noProof/>
        </w:rPr>
        <w:fldChar w:fldCharType="separate"/>
      </w:r>
      <w:r w:rsidR="006C0F27">
        <w:rPr>
          <w:noProof/>
        </w:rPr>
        <w:t>27</w:t>
      </w:r>
      <w:r>
        <w:rPr>
          <w:noProof/>
        </w:rPr>
        <w:fldChar w:fldCharType="end"/>
      </w:r>
    </w:p>
    <w:p w:rsidR="00F3404A" w:rsidRPr="003269F2" w:rsidRDefault="00F3404A">
      <w:pPr>
        <w:pStyle w:val="TOC3"/>
        <w:tabs>
          <w:tab w:val="right" w:leader="dot" w:pos="10194"/>
        </w:tabs>
        <w:rPr>
          <w:rFonts w:ascii="Calibri" w:hAnsi="Calibri" w:cs="Times New Roman"/>
          <w:noProof/>
          <w:sz w:val="22"/>
          <w:szCs w:val="22"/>
          <w:lang w:eastAsia="en-GB"/>
        </w:rPr>
      </w:pPr>
      <w:r>
        <w:rPr>
          <w:noProof/>
        </w:rPr>
        <w:t>The Supply Chain</w:t>
      </w:r>
      <w:r>
        <w:rPr>
          <w:noProof/>
        </w:rPr>
        <w:tab/>
      </w:r>
      <w:r>
        <w:rPr>
          <w:noProof/>
        </w:rPr>
        <w:fldChar w:fldCharType="begin"/>
      </w:r>
      <w:r>
        <w:rPr>
          <w:noProof/>
        </w:rPr>
        <w:instrText xml:space="preserve"> PAGEREF _Toc372290501 \h </w:instrText>
      </w:r>
      <w:r>
        <w:rPr>
          <w:noProof/>
        </w:rPr>
      </w:r>
      <w:r>
        <w:rPr>
          <w:noProof/>
        </w:rPr>
        <w:fldChar w:fldCharType="separate"/>
      </w:r>
      <w:r w:rsidR="006C0F27">
        <w:rPr>
          <w:noProof/>
        </w:rPr>
        <w:t>27</w:t>
      </w:r>
      <w:r>
        <w:rPr>
          <w:noProof/>
        </w:rPr>
        <w:fldChar w:fldCharType="end"/>
      </w:r>
    </w:p>
    <w:p w:rsidR="00F3404A" w:rsidRPr="003269F2" w:rsidRDefault="00F3404A">
      <w:pPr>
        <w:pStyle w:val="TOC1"/>
        <w:rPr>
          <w:rFonts w:ascii="Calibri" w:hAnsi="Calibri" w:cs="Times New Roman"/>
          <w:noProof/>
          <w:color w:val="auto"/>
          <w:sz w:val="22"/>
          <w:szCs w:val="22"/>
          <w:lang w:eastAsia="en-GB"/>
        </w:rPr>
      </w:pPr>
      <w:r w:rsidRPr="00FF053A">
        <w:rPr>
          <w:noProof/>
        </w:rPr>
        <w:t>Annex C – Sources and Methodology</w:t>
      </w:r>
      <w:r>
        <w:rPr>
          <w:noProof/>
        </w:rPr>
        <w:tab/>
      </w:r>
      <w:r>
        <w:rPr>
          <w:noProof/>
        </w:rPr>
        <w:fldChar w:fldCharType="begin"/>
      </w:r>
      <w:r>
        <w:rPr>
          <w:noProof/>
        </w:rPr>
        <w:instrText xml:space="preserve"> PAGEREF _Toc372290502 \h </w:instrText>
      </w:r>
      <w:r>
        <w:rPr>
          <w:noProof/>
        </w:rPr>
      </w:r>
      <w:r>
        <w:rPr>
          <w:noProof/>
        </w:rPr>
        <w:fldChar w:fldCharType="separate"/>
      </w:r>
      <w:r w:rsidR="006C0F27">
        <w:rPr>
          <w:noProof/>
        </w:rPr>
        <w:t>28</w:t>
      </w:r>
      <w:r>
        <w:rPr>
          <w:noProof/>
        </w:rPr>
        <w:fldChar w:fldCharType="end"/>
      </w:r>
    </w:p>
    <w:p w:rsidR="00F3404A" w:rsidRPr="003269F2" w:rsidRDefault="00F3404A">
      <w:pPr>
        <w:pStyle w:val="TOC3"/>
        <w:tabs>
          <w:tab w:val="right" w:leader="dot" w:pos="10194"/>
        </w:tabs>
        <w:rPr>
          <w:rFonts w:ascii="Calibri" w:hAnsi="Calibri" w:cs="Times New Roman"/>
          <w:noProof/>
          <w:sz w:val="22"/>
          <w:szCs w:val="22"/>
          <w:lang w:eastAsia="en-GB"/>
        </w:rPr>
      </w:pPr>
      <w:r>
        <w:rPr>
          <w:noProof/>
        </w:rPr>
        <w:t>Experimental Statistics</w:t>
      </w:r>
      <w:r>
        <w:rPr>
          <w:noProof/>
        </w:rPr>
        <w:tab/>
      </w:r>
      <w:r>
        <w:rPr>
          <w:noProof/>
        </w:rPr>
        <w:fldChar w:fldCharType="begin"/>
      </w:r>
      <w:r>
        <w:rPr>
          <w:noProof/>
        </w:rPr>
        <w:instrText xml:space="preserve"> PAGEREF _Toc372290503 \h </w:instrText>
      </w:r>
      <w:r>
        <w:rPr>
          <w:noProof/>
        </w:rPr>
      </w:r>
      <w:r>
        <w:rPr>
          <w:noProof/>
        </w:rPr>
        <w:fldChar w:fldCharType="separate"/>
      </w:r>
      <w:r w:rsidR="006C0F27">
        <w:rPr>
          <w:noProof/>
        </w:rPr>
        <w:t>28</w:t>
      </w:r>
      <w:r>
        <w:rPr>
          <w:noProof/>
        </w:rPr>
        <w:fldChar w:fldCharType="end"/>
      </w:r>
    </w:p>
    <w:p w:rsidR="00F3404A" w:rsidRPr="003269F2" w:rsidRDefault="00F3404A">
      <w:pPr>
        <w:pStyle w:val="TOC3"/>
        <w:tabs>
          <w:tab w:val="right" w:leader="dot" w:pos="10194"/>
        </w:tabs>
        <w:rPr>
          <w:rFonts w:ascii="Calibri" w:hAnsi="Calibri" w:cs="Times New Roman"/>
          <w:noProof/>
          <w:sz w:val="22"/>
          <w:szCs w:val="22"/>
          <w:lang w:eastAsia="en-GB"/>
        </w:rPr>
      </w:pPr>
      <w:r>
        <w:rPr>
          <w:noProof/>
        </w:rPr>
        <w:t>Further Information and Feedback</w:t>
      </w:r>
      <w:r>
        <w:rPr>
          <w:noProof/>
        </w:rPr>
        <w:tab/>
      </w:r>
      <w:r>
        <w:rPr>
          <w:noProof/>
        </w:rPr>
        <w:fldChar w:fldCharType="begin"/>
      </w:r>
      <w:r>
        <w:rPr>
          <w:noProof/>
        </w:rPr>
        <w:instrText xml:space="preserve"> PAGEREF _Toc372290504 \h </w:instrText>
      </w:r>
      <w:r>
        <w:rPr>
          <w:noProof/>
        </w:rPr>
      </w:r>
      <w:r>
        <w:rPr>
          <w:noProof/>
        </w:rPr>
        <w:fldChar w:fldCharType="separate"/>
      </w:r>
      <w:r w:rsidR="006C0F27">
        <w:rPr>
          <w:noProof/>
        </w:rPr>
        <w:t>29</w:t>
      </w:r>
      <w:r>
        <w:rPr>
          <w:noProof/>
        </w:rPr>
        <w:fldChar w:fldCharType="end"/>
      </w:r>
    </w:p>
    <w:p w:rsidR="00F3404A" w:rsidRPr="003269F2" w:rsidRDefault="00F3404A">
      <w:pPr>
        <w:pStyle w:val="TOC3"/>
        <w:tabs>
          <w:tab w:val="right" w:leader="dot" w:pos="10194"/>
        </w:tabs>
        <w:rPr>
          <w:rFonts w:ascii="Calibri" w:hAnsi="Calibri" w:cs="Times New Roman"/>
          <w:noProof/>
          <w:sz w:val="22"/>
          <w:szCs w:val="22"/>
          <w:lang w:eastAsia="en-GB"/>
        </w:rPr>
      </w:pPr>
      <w:r>
        <w:rPr>
          <w:noProof/>
        </w:rPr>
        <w:t>Next Releases</w:t>
      </w:r>
      <w:r>
        <w:rPr>
          <w:noProof/>
        </w:rPr>
        <w:tab/>
      </w:r>
      <w:r>
        <w:rPr>
          <w:noProof/>
        </w:rPr>
        <w:fldChar w:fldCharType="begin"/>
      </w:r>
      <w:r>
        <w:rPr>
          <w:noProof/>
        </w:rPr>
        <w:instrText xml:space="preserve"> PAGEREF _Toc372290505 \h </w:instrText>
      </w:r>
      <w:r>
        <w:rPr>
          <w:noProof/>
        </w:rPr>
      </w:r>
      <w:r>
        <w:rPr>
          <w:noProof/>
        </w:rPr>
        <w:fldChar w:fldCharType="separate"/>
      </w:r>
      <w:r w:rsidR="006C0F27">
        <w:rPr>
          <w:noProof/>
        </w:rPr>
        <w:t>29</w:t>
      </w:r>
      <w:r>
        <w:rPr>
          <w:noProof/>
        </w:rPr>
        <w:fldChar w:fldCharType="end"/>
      </w:r>
    </w:p>
    <w:p w:rsidR="00D912D5" w:rsidRPr="008A5812" w:rsidRDefault="00A3396D">
      <w:pPr>
        <w:pStyle w:val="Paragraphtext"/>
        <w:rPr>
          <w:rFonts w:cs="Arial"/>
        </w:rPr>
      </w:pPr>
      <w:r w:rsidRPr="008A5812">
        <w:rPr>
          <w:rFonts w:cs="Arial"/>
        </w:rPr>
        <w:fldChar w:fldCharType="end"/>
      </w:r>
    </w:p>
    <w:p w:rsidR="00A3396D" w:rsidRDefault="00A3396D">
      <w:pPr>
        <w:pStyle w:val="Paragraphtext"/>
        <w:rPr>
          <w:rFonts w:cs="Arial"/>
        </w:rPr>
      </w:pPr>
    </w:p>
    <w:p w:rsidR="002A2F62" w:rsidRDefault="002A2F62">
      <w:pPr>
        <w:pStyle w:val="Paragraphtext"/>
        <w:rPr>
          <w:rFonts w:cs="Arial"/>
        </w:rPr>
      </w:pPr>
    </w:p>
    <w:p w:rsidR="002A2F62" w:rsidRDefault="002A2F62">
      <w:pPr>
        <w:pStyle w:val="Paragraphtext"/>
        <w:rPr>
          <w:rFonts w:cs="Arial"/>
        </w:rPr>
      </w:pPr>
    </w:p>
    <w:p w:rsidR="002A2F62" w:rsidRPr="008A5812" w:rsidRDefault="002A2F62">
      <w:pPr>
        <w:pStyle w:val="Paragraphtext"/>
        <w:rPr>
          <w:rFonts w:cs="Arial"/>
        </w:rPr>
      </w:pPr>
    </w:p>
    <w:p w:rsidR="0006123D" w:rsidRPr="008A5812" w:rsidRDefault="0006123D" w:rsidP="0006123D">
      <w:pPr>
        <w:rPr>
          <w:b/>
          <w:szCs w:val="24"/>
        </w:rPr>
      </w:pPr>
      <w:bookmarkStart w:id="10" w:name="_Toc287863055"/>
    </w:p>
    <w:p w:rsidR="0006123D" w:rsidRPr="00C92F38" w:rsidRDefault="0006123D" w:rsidP="00C92F38">
      <w:pPr>
        <w:pStyle w:val="Heading2"/>
        <w:rPr>
          <w:sz w:val="32"/>
          <w:szCs w:val="32"/>
        </w:rPr>
      </w:pPr>
      <w:bookmarkStart w:id="11" w:name="_Toc372290482"/>
      <w:r w:rsidRPr="00C92F38">
        <w:rPr>
          <w:sz w:val="32"/>
          <w:szCs w:val="32"/>
        </w:rPr>
        <w:t>Charts</w:t>
      </w:r>
      <w:bookmarkEnd w:id="11"/>
    </w:p>
    <w:p w:rsidR="006C6AFF" w:rsidRPr="003269F2" w:rsidRDefault="000F4B03">
      <w:pPr>
        <w:pStyle w:val="TableofFigures"/>
        <w:tabs>
          <w:tab w:val="right" w:leader="dot" w:pos="10194"/>
        </w:tabs>
        <w:rPr>
          <w:noProof/>
          <w:sz w:val="22"/>
          <w:szCs w:val="22"/>
          <w:lang w:eastAsia="en-GB"/>
        </w:rPr>
      </w:pPr>
      <w:r w:rsidRPr="00AF2024">
        <w:rPr>
          <w:b/>
          <w:szCs w:val="24"/>
        </w:rPr>
        <w:fldChar w:fldCharType="begin"/>
      </w:r>
      <w:r w:rsidRPr="00AF2024">
        <w:rPr>
          <w:b/>
          <w:szCs w:val="24"/>
        </w:rPr>
        <w:instrText xml:space="preserve"> TOC \h \z \c "Chart" </w:instrText>
      </w:r>
      <w:r w:rsidRPr="00AF2024">
        <w:rPr>
          <w:b/>
          <w:szCs w:val="24"/>
        </w:rPr>
        <w:fldChar w:fldCharType="separate"/>
      </w:r>
      <w:hyperlink w:anchor="_Toc372290139" w:history="1">
        <w:r w:rsidR="006C6AFF" w:rsidRPr="006C6AFF">
          <w:rPr>
            <w:rStyle w:val="Hyperlink"/>
            <w:rFonts w:ascii="Arial" w:eastAsia="MS Mincho" w:hAnsi="Arial"/>
            <w:noProof/>
          </w:rPr>
          <w:t>Chart 1 - Number of Green Deal Assessments lodged, by month</w:t>
        </w:r>
        <w:r w:rsidR="006C6AFF" w:rsidRPr="006C6AFF">
          <w:rPr>
            <w:noProof/>
            <w:webHidden/>
          </w:rPr>
          <w:tab/>
        </w:r>
        <w:r w:rsidR="006C6AFF" w:rsidRPr="006C6AFF">
          <w:rPr>
            <w:noProof/>
            <w:webHidden/>
          </w:rPr>
          <w:fldChar w:fldCharType="begin"/>
        </w:r>
        <w:r w:rsidR="006C6AFF" w:rsidRPr="006C6AFF">
          <w:rPr>
            <w:noProof/>
            <w:webHidden/>
          </w:rPr>
          <w:instrText xml:space="preserve"> PAGEREF _Toc372290139 \h </w:instrText>
        </w:r>
        <w:r w:rsidR="006C6AFF" w:rsidRPr="006C6AFF">
          <w:rPr>
            <w:noProof/>
            <w:webHidden/>
          </w:rPr>
        </w:r>
        <w:r w:rsidR="006C6AFF" w:rsidRPr="006C6AFF">
          <w:rPr>
            <w:noProof/>
            <w:webHidden/>
          </w:rPr>
          <w:fldChar w:fldCharType="separate"/>
        </w:r>
        <w:r w:rsidR="006C0F27">
          <w:rPr>
            <w:noProof/>
            <w:webHidden/>
          </w:rPr>
          <w:t>7</w:t>
        </w:r>
        <w:r w:rsidR="006C6AFF" w:rsidRPr="006C6AFF">
          <w:rPr>
            <w:noProof/>
            <w:webHidden/>
          </w:rPr>
          <w:fldChar w:fldCharType="end"/>
        </w:r>
      </w:hyperlink>
    </w:p>
    <w:p w:rsidR="006C6AFF" w:rsidRPr="003269F2" w:rsidRDefault="006C6AFF">
      <w:pPr>
        <w:pStyle w:val="TableofFigures"/>
        <w:tabs>
          <w:tab w:val="right" w:leader="dot" w:pos="10194"/>
        </w:tabs>
        <w:rPr>
          <w:noProof/>
          <w:sz w:val="22"/>
          <w:szCs w:val="22"/>
          <w:lang w:eastAsia="en-GB"/>
        </w:rPr>
      </w:pPr>
      <w:hyperlink w:anchor="_Toc372290140" w:history="1">
        <w:r w:rsidRPr="006C6AFF">
          <w:rPr>
            <w:rStyle w:val="Hyperlink"/>
            <w:rFonts w:ascii="Arial" w:eastAsia="MS Mincho" w:hAnsi="Arial"/>
            <w:noProof/>
          </w:rPr>
          <w:t>Chart 2 - Number of Green Deal Plans in unique properties, cumulative totals at end of each month, and by stages</w:t>
        </w:r>
        <w:r w:rsidRPr="006C6AFF">
          <w:rPr>
            <w:noProof/>
            <w:webHidden/>
          </w:rPr>
          <w:tab/>
        </w:r>
        <w:r w:rsidRPr="006C6AFF">
          <w:rPr>
            <w:noProof/>
            <w:webHidden/>
          </w:rPr>
          <w:fldChar w:fldCharType="begin"/>
        </w:r>
        <w:r w:rsidRPr="006C6AFF">
          <w:rPr>
            <w:noProof/>
            <w:webHidden/>
          </w:rPr>
          <w:instrText xml:space="preserve"> PAGEREF _Toc372290140 \h </w:instrText>
        </w:r>
        <w:r w:rsidRPr="006C6AFF">
          <w:rPr>
            <w:noProof/>
            <w:webHidden/>
          </w:rPr>
        </w:r>
        <w:r w:rsidRPr="006C6AFF">
          <w:rPr>
            <w:noProof/>
            <w:webHidden/>
          </w:rPr>
          <w:fldChar w:fldCharType="separate"/>
        </w:r>
        <w:r w:rsidR="006C0F27">
          <w:rPr>
            <w:noProof/>
            <w:webHidden/>
          </w:rPr>
          <w:t>8</w:t>
        </w:r>
        <w:r w:rsidRPr="006C6AFF">
          <w:rPr>
            <w:noProof/>
            <w:webHidden/>
          </w:rPr>
          <w:fldChar w:fldCharType="end"/>
        </w:r>
      </w:hyperlink>
    </w:p>
    <w:p w:rsidR="006C6AFF" w:rsidRPr="003269F2" w:rsidRDefault="006C6AFF">
      <w:pPr>
        <w:pStyle w:val="TableofFigures"/>
        <w:tabs>
          <w:tab w:val="right" w:leader="dot" w:pos="10194"/>
        </w:tabs>
        <w:rPr>
          <w:noProof/>
          <w:sz w:val="22"/>
          <w:szCs w:val="22"/>
          <w:lang w:eastAsia="en-GB"/>
        </w:rPr>
      </w:pPr>
      <w:hyperlink w:anchor="_Toc372290141" w:history="1">
        <w:r w:rsidRPr="006C6AFF">
          <w:rPr>
            <w:rStyle w:val="Hyperlink"/>
            <w:rFonts w:ascii="Arial" w:eastAsia="MS Mincho" w:hAnsi="Arial"/>
            <w:noProof/>
          </w:rPr>
          <w:t>Chart 3 - Number of Cashback vouchers where payments have been made, by month of installation</w:t>
        </w:r>
        <w:r w:rsidRPr="006C6AFF">
          <w:rPr>
            <w:noProof/>
            <w:webHidden/>
          </w:rPr>
          <w:tab/>
        </w:r>
        <w:r w:rsidRPr="006C6AFF">
          <w:rPr>
            <w:noProof/>
            <w:webHidden/>
          </w:rPr>
          <w:fldChar w:fldCharType="begin"/>
        </w:r>
        <w:r w:rsidRPr="006C6AFF">
          <w:rPr>
            <w:noProof/>
            <w:webHidden/>
          </w:rPr>
          <w:instrText xml:space="preserve"> PAGEREF _Toc372290141 \h </w:instrText>
        </w:r>
        <w:r w:rsidRPr="006C6AFF">
          <w:rPr>
            <w:noProof/>
            <w:webHidden/>
          </w:rPr>
        </w:r>
        <w:r w:rsidRPr="006C6AFF">
          <w:rPr>
            <w:noProof/>
            <w:webHidden/>
          </w:rPr>
          <w:fldChar w:fldCharType="separate"/>
        </w:r>
        <w:r w:rsidR="006C0F27">
          <w:rPr>
            <w:noProof/>
            <w:webHidden/>
          </w:rPr>
          <w:t>9</w:t>
        </w:r>
        <w:r w:rsidRPr="006C6AFF">
          <w:rPr>
            <w:noProof/>
            <w:webHidden/>
          </w:rPr>
          <w:fldChar w:fldCharType="end"/>
        </w:r>
      </w:hyperlink>
    </w:p>
    <w:p w:rsidR="006C6AFF" w:rsidRPr="003269F2" w:rsidRDefault="006C6AFF">
      <w:pPr>
        <w:pStyle w:val="TableofFigures"/>
        <w:tabs>
          <w:tab w:val="right" w:leader="dot" w:pos="10194"/>
        </w:tabs>
        <w:rPr>
          <w:noProof/>
          <w:sz w:val="22"/>
          <w:szCs w:val="22"/>
          <w:lang w:eastAsia="en-GB"/>
        </w:rPr>
      </w:pPr>
      <w:hyperlink w:anchor="_Toc372290142" w:history="1">
        <w:r w:rsidRPr="006C6AFF">
          <w:rPr>
            <w:rStyle w:val="Hyperlink"/>
            <w:rFonts w:ascii="Arial" w:eastAsia="MS Mincho" w:hAnsi="Arial"/>
            <w:noProof/>
          </w:rPr>
          <w:t>Chart 4 - Provisional cumulative number of ECO measures installed, by obligation, at end of each month</w:t>
        </w:r>
        <w:r w:rsidRPr="006C6AFF">
          <w:rPr>
            <w:noProof/>
            <w:webHidden/>
          </w:rPr>
          <w:tab/>
        </w:r>
        <w:r w:rsidRPr="006C6AFF">
          <w:rPr>
            <w:noProof/>
            <w:webHidden/>
          </w:rPr>
          <w:fldChar w:fldCharType="begin"/>
        </w:r>
        <w:r w:rsidRPr="006C6AFF">
          <w:rPr>
            <w:noProof/>
            <w:webHidden/>
          </w:rPr>
          <w:instrText xml:space="preserve"> PAGEREF _Toc372290142 \h </w:instrText>
        </w:r>
        <w:r w:rsidRPr="006C6AFF">
          <w:rPr>
            <w:noProof/>
            <w:webHidden/>
          </w:rPr>
        </w:r>
        <w:r w:rsidRPr="006C6AFF">
          <w:rPr>
            <w:noProof/>
            <w:webHidden/>
          </w:rPr>
          <w:fldChar w:fldCharType="separate"/>
        </w:r>
        <w:r w:rsidR="006C0F27">
          <w:rPr>
            <w:noProof/>
            <w:webHidden/>
          </w:rPr>
          <w:t>10</w:t>
        </w:r>
        <w:r w:rsidRPr="006C6AFF">
          <w:rPr>
            <w:noProof/>
            <w:webHidden/>
          </w:rPr>
          <w:fldChar w:fldCharType="end"/>
        </w:r>
      </w:hyperlink>
    </w:p>
    <w:p w:rsidR="006C6AFF" w:rsidRPr="003269F2" w:rsidRDefault="006C6AFF">
      <w:pPr>
        <w:pStyle w:val="TableofFigures"/>
        <w:tabs>
          <w:tab w:val="right" w:leader="dot" w:pos="10194"/>
        </w:tabs>
        <w:rPr>
          <w:noProof/>
          <w:sz w:val="22"/>
          <w:szCs w:val="22"/>
          <w:lang w:eastAsia="en-GB"/>
        </w:rPr>
      </w:pPr>
      <w:hyperlink w:anchor="_Toc372290143" w:history="1">
        <w:r w:rsidRPr="006C6AFF">
          <w:rPr>
            <w:rStyle w:val="Hyperlink"/>
            <w:rFonts w:ascii="Arial" w:eastAsia="MS Mincho" w:hAnsi="Arial"/>
            <w:noProof/>
          </w:rPr>
          <w:t>Chart 5 - Provisional number of measures installed under ECO, by measure type, by obligation, up to end September</w:t>
        </w:r>
        <w:r w:rsidRPr="006C6AFF">
          <w:rPr>
            <w:noProof/>
            <w:webHidden/>
          </w:rPr>
          <w:tab/>
        </w:r>
        <w:r w:rsidRPr="006C6AFF">
          <w:rPr>
            <w:noProof/>
            <w:webHidden/>
          </w:rPr>
          <w:fldChar w:fldCharType="begin"/>
        </w:r>
        <w:r w:rsidRPr="006C6AFF">
          <w:rPr>
            <w:noProof/>
            <w:webHidden/>
          </w:rPr>
          <w:instrText xml:space="preserve"> PAGEREF _Toc372290143 \h </w:instrText>
        </w:r>
        <w:r w:rsidRPr="006C6AFF">
          <w:rPr>
            <w:noProof/>
            <w:webHidden/>
          </w:rPr>
        </w:r>
        <w:r w:rsidRPr="006C6AFF">
          <w:rPr>
            <w:noProof/>
            <w:webHidden/>
          </w:rPr>
          <w:fldChar w:fldCharType="separate"/>
        </w:r>
        <w:r w:rsidR="006C0F27">
          <w:rPr>
            <w:noProof/>
            <w:webHidden/>
          </w:rPr>
          <w:t>11</w:t>
        </w:r>
        <w:r w:rsidRPr="006C6AFF">
          <w:rPr>
            <w:noProof/>
            <w:webHidden/>
          </w:rPr>
          <w:fldChar w:fldCharType="end"/>
        </w:r>
      </w:hyperlink>
    </w:p>
    <w:p w:rsidR="006C6AFF" w:rsidRPr="003269F2" w:rsidRDefault="006C6AFF">
      <w:pPr>
        <w:pStyle w:val="TableofFigures"/>
        <w:tabs>
          <w:tab w:val="right" w:leader="dot" w:pos="10194"/>
        </w:tabs>
        <w:rPr>
          <w:noProof/>
          <w:sz w:val="22"/>
          <w:szCs w:val="22"/>
          <w:lang w:eastAsia="en-GB"/>
        </w:rPr>
      </w:pPr>
      <w:hyperlink w:anchor="_Toc372290144" w:history="1">
        <w:r w:rsidRPr="006C6AFF">
          <w:rPr>
            <w:rStyle w:val="Hyperlink"/>
            <w:rFonts w:ascii="Arial" w:eastAsia="MS Mincho" w:hAnsi="Arial"/>
            <w:noProof/>
          </w:rPr>
          <w:t>Chart 6 - Value of ECO brokerage contracts let, by auction</w:t>
        </w:r>
        <w:r w:rsidRPr="006C6AFF">
          <w:rPr>
            <w:noProof/>
            <w:webHidden/>
          </w:rPr>
          <w:tab/>
        </w:r>
        <w:r w:rsidRPr="006C6AFF">
          <w:rPr>
            <w:noProof/>
            <w:webHidden/>
          </w:rPr>
          <w:fldChar w:fldCharType="begin"/>
        </w:r>
        <w:r w:rsidRPr="006C6AFF">
          <w:rPr>
            <w:noProof/>
            <w:webHidden/>
          </w:rPr>
          <w:instrText xml:space="preserve"> PAGEREF _Toc372290144 \h </w:instrText>
        </w:r>
        <w:r w:rsidRPr="006C6AFF">
          <w:rPr>
            <w:noProof/>
            <w:webHidden/>
          </w:rPr>
        </w:r>
        <w:r w:rsidRPr="006C6AFF">
          <w:rPr>
            <w:noProof/>
            <w:webHidden/>
          </w:rPr>
          <w:fldChar w:fldCharType="separate"/>
        </w:r>
        <w:r w:rsidR="006C0F27">
          <w:rPr>
            <w:noProof/>
            <w:webHidden/>
          </w:rPr>
          <w:t>12</w:t>
        </w:r>
        <w:r w:rsidRPr="006C6AFF">
          <w:rPr>
            <w:noProof/>
            <w:webHidden/>
          </w:rPr>
          <w:fldChar w:fldCharType="end"/>
        </w:r>
      </w:hyperlink>
    </w:p>
    <w:p w:rsidR="006C6AFF" w:rsidRPr="003269F2" w:rsidRDefault="006C6AFF">
      <w:pPr>
        <w:pStyle w:val="TableofFigures"/>
        <w:tabs>
          <w:tab w:val="right" w:leader="dot" w:pos="10194"/>
        </w:tabs>
        <w:rPr>
          <w:noProof/>
          <w:sz w:val="22"/>
          <w:szCs w:val="22"/>
          <w:lang w:eastAsia="en-GB"/>
        </w:rPr>
      </w:pPr>
      <w:hyperlink w:anchor="_Toc372290145" w:history="1">
        <w:r w:rsidRPr="006C6AFF">
          <w:rPr>
            <w:rStyle w:val="Hyperlink"/>
            <w:rFonts w:ascii="Arial" w:eastAsia="MS Mincho" w:hAnsi="Arial"/>
            <w:noProof/>
          </w:rPr>
          <w:t>Chart 7 - Development of supply chain (cumulative numbers) at end of each month</w:t>
        </w:r>
        <w:r w:rsidRPr="006C6AFF">
          <w:rPr>
            <w:noProof/>
            <w:webHidden/>
          </w:rPr>
          <w:tab/>
        </w:r>
        <w:r w:rsidRPr="006C6AFF">
          <w:rPr>
            <w:noProof/>
            <w:webHidden/>
          </w:rPr>
          <w:fldChar w:fldCharType="begin"/>
        </w:r>
        <w:r w:rsidRPr="006C6AFF">
          <w:rPr>
            <w:noProof/>
            <w:webHidden/>
          </w:rPr>
          <w:instrText xml:space="preserve"> PAGEREF _Toc372290145 \h </w:instrText>
        </w:r>
        <w:r w:rsidRPr="006C6AFF">
          <w:rPr>
            <w:noProof/>
            <w:webHidden/>
          </w:rPr>
        </w:r>
        <w:r w:rsidRPr="006C6AFF">
          <w:rPr>
            <w:noProof/>
            <w:webHidden/>
          </w:rPr>
          <w:fldChar w:fldCharType="separate"/>
        </w:r>
        <w:r w:rsidR="006C0F27">
          <w:rPr>
            <w:noProof/>
            <w:webHidden/>
          </w:rPr>
          <w:t>13</w:t>
        </w:r>
        <w:r w:rsidRPr="006C6AFF">
          <w:rPr>
            <w:noProof/>
            <w:webHidden/>
          </w:rPr>
          <w:fldChar w:fldCharType="end"/>
        </w:r>
      </w:hyperlink>
    </w:p>
    <w:p w:rsidR="000F4B03" w:rsidRDefault="000F4B03" w:rsidP="0006123D">
      <w:pPr>
        <w:rPr>
          <w:b/>
          <w:szCs w:val="24"/>
        </w:rPr>
      </w:pPr>
      <w:r w:rsidRPr="00AF2024">
        <w:rPr>
          <w:b/>
          <w:szCs w:val="24"/>
        </w:rPr>
        <w:fldChar w:fldCharType="end"/>
      </w:r>
    </w:p>
    <w:p w:rsidR="0006123D" w:rsidRPr="002A2F62" w:rsidRDefault="0006123D" w:rsidP="0006123D">
      <w:pPr>
        <w:pStyle w:val="Introduction"/>
        <w:rPr>
          <w:rFonts w:cs="Arial"/>
          <w:color w:val="FF0000"/>
        </w:rPr>
      </w:pPr>
    </w:p>
    <w:p w:rsidR="0006123D" w:rsidRPr="008A5812" w:rsidRDefault="0006123D" w:rsidP="0006123D">
      <w:pPr>
        <w:pStyle w:val="Paragraphtext"/>
        <w:rPr>
          <w:rFonts w:cs="Arial"/>
        </w:rPr>
      </w:pPr>
    </w:p>
    <w:p w:rsidR="0006123D" w:rsidRPr="008A5812" w:rsidRDefault="0006123D" w:rsidP="0006123D">
      <w:pPr>
        <w:pStyle w:val="Paragraphtext"/>
        <w:rPr>
          <w:rFonts w:cs="Arial"/>
        </w:rPr>
      </w:pPr>
    </w:p>
    <w:p w:rsidR="0006123D" w:rsidRPr="008A5812" w:rsidRDefault="0006123D" w:rsidP="0006123D">
      <w:pPr>
        <w:pStyle w:val="Paragraphtext"/>
        <w:rPr>
          <w:rFonts w:cs="Arial"/>
        </w:rPr>
        <w:sectPr w:rsidR="0006123D" w:rsidRPr="008A5812" w:rsidSect="00496EA9">
          <w:headerReference w:type="even" r:id="rId24"/>
          <w:headerReference w:type="default" r:id="rId25"/>
          <w:headerReference w:type="first" r:id="rId26"/>
          <w:pgSz w:w="11906" w:h="16838" w:code="9"/>
          <w:pgMar w:top="1134" w:right="851" w:bottom="851" w:left="851" w:header="567" w:footer="567" w:gutter="0"/>
          <w:cols w:space="720"/>
          <w:formProt w:val="0"/>
          <w:titlePg/>
        </w:sectPr>
      </w:pPr>
    </w:p>
    <w:p w:rsidR="00D912D5" w:rsidRPr="008A5812" w:rsidRDefault="00B67B7F" w:rsidP="006731A4">
      <w:pPr>
        <w:pStyle w:val="ChapterHead"/>
        <w:spacing w:before="0" w:after="120"/>
        <w:rPr>
          <w:rFonts w:cs="Arial"/>
        </w:rPr>
      </w:pPr>
      <w:bookmarkStart w:id="12" w:name="_Toc222299827"/>
      <w:bookmarkStart w:id="13" w:name="_Toc222534405"/>
      <w:bookmarkStart w:id="14" w:name="_Toc372290483"/>
      <w:r w:rsidRPr="008A5812">
        <w:rPr>
          <w:rFonts w:cs="Arial"/>
        </w:rPr>
        <w:lastRenderedPageBreak/>
        <w:t>Executive summary</w:t>
      </w:r>
      <w:bookmarkEnd w:id="4"/>
      <w:bookmarkEnd w:id="10"/>
      <w:bookmarkEnd w:id="12"/>
      <w:bookmarkEnd w:id="13"/>
      <w:bookmarkEnd w:id="14"/>
    </w:p>
    <w:p w:rsidR="00D12323" w:rsidRPr="008A5812" w:rsidRDefault="00D12323" w:rsidP="006731A4">
      <w:pPr>
        <w:pStyle w:val="Heading2"/>
        <w:spacing w:before="120"/>
      </w:pPr>
      <w:bookmarkStart w:id="15" w:name="_Toc287863056"/>
      <w:bookmarkStart w:id="16" w:name="_Toc372290484"/>
      <w:r w:rsidRPr="008A5812">
        <w:t>Introduction</w:t>
      </w:r>
      <w:bookmarkEnd w:id="16"/>
    </w:p>
    <w:p w:rsidR="0006123D" w:rsidRDefault="00D12323" w:rsidP="00084CED">
      <w:pPr>
        <w:jc w:val="both"/>
      </w:pPr>
      <w:r w:rsidRPr="008A5812">
        <w:t xml:space="preserve">This release presents the latest statistics up to the end of </w:t>
      </w:r>
      <w:r w:rsidR="00905A0B">
        <w:t>October</w:t>
      </w:r>
      <w:r w:rsidRPr="008A5812">
        <w:t xml:space="preserve"> on the Green Deal (GD) </w:t>
      </w:r>
      <w:r w:rsidR="00CC67E0">
        <w:t>and</w:t>
      </w:r>
      <w:r w:rsidRPr="008A5812">
        <w:t xml:space="preserve"> the Energy Company Obligation (ECO) up to the end of </w:t>
      </w:r>
      <w:r w:rsidR="00905A0B">
        <w:t>September.</w:t>
      </w:r>
    </w:p>
    <w:p w:rsidR="00D12323" w:rsidRPr="00FC7841" w:rsidRDefault="00D12323" w:rsidP="00084CED">
      <w:pPr>
        <w:spacing w:after="240"/>
        <w:jc w:val="both"/>
      </w:pPr>
      <w:r w:rsidRPr="008A5812">
        <w:t xml:space="preserve">For more details about the GD/ECO schemes, please see </w:t>
      </w:r>
      <w:hyperlink w:anchor="AnnexB" w:history="1">
        <w:r w:rsidRPr="00F95448">
          <w:rPr>
            <w:rStyle w:val="Hyperlink"/>
            <w:rFonts w:ascii="Arial" w:hAnsi="Arial"/>
          </w:rPr>
          <w:t>An</w:t>
        </w:r>
        <w:r w:rsidRPr="00F95448">
          <w:rPr>
            <w:rStyle w:val="Hyperlink"/>
            <w:rFonts w:ascii="Arial" w:hAnsi="Arial"/>
          </w:rPr>
          <w:t>n</w:t>
        </w:r>
        <w:r w:rsidRPr="00F95448">
          <w:rPr>
            <w:rStyle w:val="Hyperlink"/>
            <w:rFonts w:ascii="Arial" w:hAnsi="Arial"/>
          </w:rPr>
          <w:t>ex B</w:t>
        </w:r>
      </w:hyperlink>
      <w:r w:rsidRPr="008A5812">
        <w:t xml:space="preserve">. More detailed analysis of Green Deal Assessments lodged, Cashback measures installed and provisional measures installed under ECO up to the end of June are also available in the </w:t>
      </w:r>
      <w:hyperlink r:id="rId27" w:history="1">
        <w:r w:rsidRPr="00947EA2">
          <w:rPr>
            <w:rStyle w:val="Hyperlink"/>
            <w:rFonts w:ascii="Arial" w:hAnsi="Arial"/>
          </w:rPr>
          <w:t>quarterly statistical release</w:t>
        </w:r>
      </w:hyperlink>
      <w:r w:rsidRPr="008A5812">
        <w:t>.</w:t>
      </w:r>
    </w:p>
    <w:p w:rsidR="00D12323" w:rsidRPr="008A5812" w:rsidRDefault="00D12323" w:rsidP="00084CED">
      <w:pPr>
        <w:pStyle w:val="Heading2"/>
        <w:spacing w:before="120"/>
        <w:jc w:val="both"/>
      </w:pPr>
      <w:bookmarkStart w:id="17" w:name="_Toc372290485"/>
      <w:r w:rsidRPr="008A5812">
        <w:t>Key points</w:t>
      </w:r>
      <w:bookmarkEnd w:id="17"/>
      <w:r w:rsidRPr="008A5812">
        <w:tab/>
      </w:r>
    </w:p>
    <w:p w:rsidR="00FC7841" w:rsidRDefault="00947EA2" w:rsidP="00947EA2">
      <w:pPr>
        <w:numPr>
          <w:ilvl w:val="0"/>
          <w:numId w:val="5"/>
        </w:numPr>
        <w:spacing w:before="0" w:after="0"/>
        <w:jc w:val="both"/>
        <w:rPr>
          <w:szCs w:val="24"/>
        </w:rPr>
      </w:pPr>
      <w:r>
        <w:rPr>
          <w:szCs w:val="24"/>
        </w:rPr>
        <w:t>Measures installed - 31</w:t>
      </w:r>
      <w:r w:rsidR="00792DFF">
        <w:rPr>
          <w:szCs w:val="24"/>
        </w:rPr>
        <w:t>1</w:t>
      </w:r>
      <w:r>
        <w:rPr>
          <w:szCs w:val="24"/>
        </w:rPr>
        <w:t>,</w:t>
      </w:r>
      <w:r w:rsidR="00792DFF">
        <w:rPr>
          <w:szCs w:val="24"/>
        </w:rPr>
        <w:t>250</w:t>
      </w:r>
      <w:r w:rsidR="00CE60C6">
        <w:rPr>
          <w:szCs w:val="24"/>
        </w:rPr>
        <w:t xml:space="preserve"> </w:t>
      </w:r>
      <w:r w:rsidR="002E3BF4">
        <w:rPr>
          <w:szCs w:val="24"/>
        </w:rPr>
        <w:t>measures</w:t>
      </w:r>
      <w:r w:rsidR="001A7251">
        <w:rPr>
          <w:szCs w:val="24"/>
        </w:rPr>
        <w:t xml:space="preserve"> were installed in around 273</w:t>
      </w:r>
      <w:r w:rsidR="002E3BF4">
        <w:rPr>
          <w:szCs w:val="24"/>
        </w:rPr>
        <w:t xml:space="preserve">,000 properties through </w:t>
      </w:r>
      <w:r w:rsidR="002E3BF4" w:rsidRPr="00FC7841">
        <w:rPr>
          <w:szCs w:val="24"/>
        </w:rPr>
        <w:t>E</w:t>
      </w:r>
      <w:r w:rsidR="002E3BF4">
        <w:rPr>
          <w:szCs w:val="24"/>
        </w:rPr>
        <w:t>CO</w:t>
      </w:r>
      <w:r w:rsidR="002E3BF4" w:rsidRPr="00FC7841">
        <w:rPr>
          <w:szCs w:val="24"/>
        </w:rPr>
        <w:t>, Cashback and Green Deal</w:t>
      </w:r>
      <w:r w:rsidR="002E3BF4">
        <w:rPr>
          <w:szCs w:val="24"/>
        </w:rPr>
        <w:t xml:space="preserve"> </w:t>
      </w:r>
      <w:r w:rsidR="00CE60C6">
        <w:rPr>
          <w:szCs w:val="24"/>
        </w:rPr>
        <w:t>to</w:t>
      </w:r>
      <w:r w:rsidR="003E505D">
        <w:rPr>
          <w:szCs w:val="24"/>
        </w:rPr>
        <w:t xml:space="preserve"> the end of September</w:t>
      </w:r>
      <w:r w:rsidR="00084CED">
        <w:rPr>
          <w:szCs w:val="24"/>
        </w:rPr>
        <w:t xml:space="preserve"> (the latest month that we have </w:t>
      </w:r>
      <w:r w:rsidR="00CC67E0">
        <w:rPr>
          <w:szCs w:val="24"/>
        </w:rPr>
        <w:t xml:space="preserve">complete </w:t>
      </w:r>
      <w:r w:rsidR="00084CED">
        <w:rPr>
          <w:szCs w:val="24"/>
        </w:rPr>
        <w:t>data for)</w:t>
      </w:r>
      <w:r w:rsidR="008F5C6D">
        <w:rPr>
          <w:szCs w:val="24"/>
        </w:rPr>
        <w:t xml:space="preserve">, up from </w:t>
      </w:r>
      <w:r w:rsidR="00CC67E0">
        <w:rPr>
          <w:szCs w:val="24"/>
        </w:rPr>
        <w:t>251,655</w:t>
      </w:r>
      <w:r w:rsidR="009A367B">
        <w:rPr>
          <w:szCs w:val="24"/>
        </w:rPr>
        <w:t xml:space="preserve"> </w:t>
      </w:r>
      <w:r w:rsidR="00C466D3">
        <w:rPr>
          <w:szCs w:val="24"/>
        </w:rPr>
        <w:t xml:space="preserve">measures </w:t>
      </w:r>
      <w:r w:rsidR="009A367B">
        <w:rPr>
          <w:szCs w:val="24"/>
        </w:rPr>
        <w:t>to the end of August</w:t>
      </w:r>
      <w:r w:rsidR="003E505D">
        <w:rPr>
          <w:szCs w:val="24"/>
        </w:rPr>
        <w:t>.</w:t>
      </w:r>
      <w:r w:rsidR="00FC7841" w:rsidRPr="00FC7841">
        <w:rPr>
          <w:szCs w:val="24"/>
        </w:rPr>
        <w:t xml:space="preserve"> The </w:t>
      </w:r>
      <w:r w:rsidR="002E3BF4">
        <w:rPr>
          <w:szCs w:val="24"/>
        </w:rPr>
        <w:t>large</w:t>
      </w:r>
      <w:r>
        <w:rPr>
          <w:szCs w:val="24"/>
        </w:rPr>
        <w:t xml:space="preserve"> </w:t>
      </w:r>
      <w:r w:rsidR="00FC7841" w:rsidRPr="00FC7841">
        <w:rPr>
          <w:szCs w:val="24"/>
        </w:rPr>
        <w:t>majority of installed measures (</w:t>
      </w:r>
      <w:r>
        <w:rPr>
          <w:szCs w:val="24"/>
        </w:rPr>
        <w:t>98</w:t>
      </w:r>
      <w:r w:rsidR="00FC7841" w:rsidRPr="00FC7841">
        <w:rPr>
          <w:szCs w:val="24"/>
        </w:rPr>
        <w:t xml:space="preserve"> per cent) were delivered through E</w:t>
      </w:r>
      <w:r w:rsidR="009A367B">
        <w:rPr>
          <w:szCs w:val="24"/>
        </w:rPr>
        <w:t>CO</w:t>
      </w:r>
      <w:r w:rsidR="00FC7841" w:rsidRPr="00FC7841">
        <w:rPr>
          <w:szCs w:val="24"/>
        </w:rPr>
        <w:t>.</w:t>
      </w:r>
    </w:p>
    <w:p w:rsidR="00FC7841" w:rsidRPr="00FC7841" w:rsidRDefault="00FC7841" w:rsidP="006731A4">
      <w:pPr>
        <w:spacing w:before="0" w:after="0"/>
        <w:rPr>
          <w:szCs w:val="24"/>
        </w:rPr>
      </w:pPr>
    </w:p>
    <w:p w:rsidR="00D12323" w:rsidRPr="00FB50DB" w:rsidRDefault="00D12323" w:rsidP="00947EA2">
      <w:pPr>
        <w:pStyle w:val="ListParagraph"/>
        <w:numPr>
          <w:ilvl w:val="0"/>
          <w:numId w:val="5"/>
        </w:numPr>
        <w:contextualSpacing/>
        <w:jc w:val="both"/>
        <w:rPr>
          <w:rFonts w:ascii="Arial" w:hAnsi="Arial" w:cs="Arial"/>
          <w:sz w:val="24"/>
          <w:szCs w:val="24"/>
        </w:rPr>
      </w:pPr>
      <w:r w:rsidRPr="00FB50DB">
        <w:rPr>
          <w:rFonts w:ascii="Arial" w:hAnsi="Arial" w:cs="Arial"/>
          <w:sz w:val="24"/>
          <w:szCs w:val="24"/>
        </w:rPr>
        <w:t xml:space="preserve">GD Assessments – </w:t>
      </w:r>
      <w:r w:rsidR="00FB50DB" w:rsidRPr="00FB50DB">
        <w:rPr>
          <w:rFonts w:ascii="Arial" w:hAnsi="Arial" w:cs="Arial"/>
          <w:sz w:val="24"/>
          <w:szCs w:val="24"/>
        </w:rPr>
        <w:t>101,851</w:t>
      </w:r>
      <w:r w:rsidRPr="00FB50DB">
        <w:rPr>
          <w:rFonts w:ascii="Arial" w:hAnsi="Arial" w:cs="Arial"/>
          <w:sz w:val="24"/>
          <w:szCs w:val="24"/>
        </w:rPr>
        <w:t xml:space="preserve"> were lodged up to the end of </w:t>
      </w:r>
      <w:r w:rsidR="00F541EA" w:rsidRPr="00FB50DB">
        <w:rPr>
          <w:rFonts w:ascii="Arial" w:hAnsi="Arial" w:cs="Arial"/>
          <w:sz w:val="24"/>
          <w:szCs w:val="24"/>
        </w:rPr>
        <w:t>October</w:t>
      </w:r>
      <w:r w:rsidRPr="00FB50DB">
        <w:rPr>
          <w:rFonts w:ascii="Arial" w:hAnsi="Arial" w:cs="Arial"/>
          <w:sz w:val="24"/>
          <w:szCs w:val="24"/>
        </w:rPr>
        <w:t xml:space="preserve"> (Chart 1), up from </w:t>
      </w:r>
      <w:r w:rsidR="00F541EA" w:rsidRPr="00FB50DB">
        <w:rPr>
          <w:rFonts w:ascii="Arial" w:hAnsi="Arial" w:cs="Arial"/>
          <w:sz w:val="24"/>
          <w:szCs w:val="24"/>
        </w:rPr>
        <w:t>85,177</w:t>
      </w:r>
      <w:r w:rsidRPr="00FB50DB">
        <w:rPr>
          <w:rFonts w:ascii="Arial" w:hAnsi="Arial" w:cs="Arial"/>
          <w:sz w:val="24"/>
          <w:szCs w:val="24"/>
        </w:rPr>
        <w:t xml:space="preserve"> at end of </w:t>
      </w:r>
      <w:r w:rsidR="00FB50DB">
        <w:rPr>
          <w:rFonts w:ascii="Arial" w:hAnsi="Arial" w:cs="Arial"/>
          <w:sz w:val="24"/>
          <w:szCs w:val="24"/>
        </w:rPr>
        <w:t>September.</w:t>
      </w:r>
      <w:r w:rsidRPr="00FB50DB">
        <w:rPr>
          <w:rFonts w:ascii="Arial" w:hAnsi="Arial" w:cs="Arial"/>
          <w:sz w:val="24"/>
          <w:szCs w:val="24"/>
        </w:rPr>
        <w:t xml:space="preserve"> The </w:t>
      </w:r>
      <w:r w:rsidR="00FB50DB" w:rsidRPr="00FB50DB">
        <w:rPr>
          <w:rFonts w:ascii="Arial" w:hAnsi="Arial" w:cs="Arial"/>
          <w:sz w:val="24"/>
          <w:szCs w:val="24"/>
        </w:rPr>
        <w:t xml:space="preserve">16,674 </w:t>
      </w:r>
      <w:r w:rsidRPr="00FB50DB">
        <w:rPr>
          <w:rFonts w:ascii="Arial" w:hAnsi="Arial" w:cs="Arial"/>
          <w:sz w:val="24"/>
          <w:szCs w:val="24"/>
        </w:rPr>
        <w:t xml:space="preserve">GD Assessments in </w:t>
      </w:r>
      <w:r w:rsidR="00FB50DB" w:rsidRPr="00FB50DB">
        <w:rPr>
          <w:rFonts w:ascii="Arial" w:hAnsi="Arial" w:cs="Arial"/>
          <w:sz w:val="24"/>
          <w:szCs w:val="24"/>
        </w:rPr>
        <w:t>October</w:t>
      </w:r>
      <w:r w:rsidRPr="00FB50DB">
        <w:rPr>
          <w:rFonts w:ascii="Arial" w:hAnsi="Arial" w:cs="Arial"/>
          <w:sz w:val="24"/>
          <w:szCs w:val="24"/>
        </w:rPr>
        <w:t xml:space="preserve"> was </w:t>
      </w:r>
      <w:r w:rsidR="00FB50DB" w:rsidRPr="00FB50DB">
        <w:rPr>
          <w:rFonts w:ascii="Arial" w:hAnsi="Arial" w:cs="Arial"/>
          <w:sz w:val="24"/>
          <w:szCs w:val="24"/>
        </w:rPr>
        <w:t xml:space="preserve">19 </w:t>
      </w:r>
      <w:r w:rsidRPr="00FB50DB">
        <w:rPr>
          <w:rFonts w:ascii="Arial" w:hAnsi="Arial" w:cs="Arial"/>
          <w:sz w:val="24"/>
          <w:szCs w:val="24"/>
        </w:rPr>
        <w:t xml:space="preserve">per cent higher than the number in </w:t>
      </w:r>
      <w:r w:rsidR="00F541EA" w:rsidRPr="00FB50DB">
        <w:rPr>
          <w:rFonts w:ascii="Arial" w:hAnsi="Arial" w:cs="Arial"/>
          <w:sz w:val="24"/>
          <w:szCs w:val="24"/>
        </w:rPr>
        <w:t>September (13,967</w:t>
      </w:r>
      <w:r w:rsidRPr="00FB50DB">
        <w:rPr>
          <w:rFonts w:ascii="Arial" w:hAnsi="Arial" w:cs="Arial"/>
          <w:sz w:val="24"/>
          <w:szCs w:val="24"/>
        </w:rPr>
        <w:t xml:space="preserve">), </w:t>
      </w:r>
      <w:r w:rsidR="00F541EA" w:rsidRPr="00FB50DB">
        <w:rPr>
          <w:rFonts w:ascii="Arial" w:hAnsi="Arial" w:cs="Arial"/>
          <w:sz w:val="24"/>
          <w:szCs w:val="24"/>
        </w:rPr>
        <w:t xml:space="preserve">which in turn </w:t>
      </w:r>
      <w:proofErr w:type="gramStart"/>
      <w:r w:rsidR="00F541EA" w:rsidRPr="00FB50DB">
        <w:rPr>
          <w:rFonts w:ascii="Arial" w:hAnsi="Arial" w:cs="Arial"/>
          <w:sz w:val="24"/>
          <w:szCs w:val="24"/>
        </w:rPr>
        <w:t>was</w:t>
      </w:r>
      <w:proofErr w:type="gramEnd"/>
      <w:r w:rsidR="00F541EA" w:rsidRPr="00FB50DB">
        <w:rPr>
          <w:rFonts w:ascii="Arial" w:hAnsi="Arial" w:cs="Arial"/>
          <w:sz w:val="24"/>
          <w:szCs w:val="24"/>
        </w:rPr>
        <w:t xml:space="preserve"> seven per cent higher than the number in August</w:t>
      </w:r>
      <w:r w:rsidRPr="00FB50DB">
        <w:rPr>
          <w:rFonts w:ascii="Arial" w:hAnsi="Arial" w:cs="Arial"/>
          <w:sz w:val="24"/>
          <w:szCs w:val="24"/>
        </w:rPr>
        <w:t>.</w:t>
      </w:r>
    </w:p>
    <w:p w:rsidR="00D12323" w:rsidRPr="008A5812" w:rsidRDefault="00D12323" w:rsidP="00947EA2">
      <w:pPr>
        <w:pStyle w:val="ListParagraph"/>
        <w:contextualSpacing/>
        <w:jc w:val="both"/>
        <w:rPr>
          <w:rFonts w:ascii="Arial" w:hAnsi="Arial" w:cs="Arial"/>
          <w:sz w:val="24"/>
          <w:szCs w:val="24"/>
          <w:highlight w:val="yellow"/>
        </w:rPr>
      </w:pPr>
    </w:p>
    <w:p w:rsidR="00D12323" w:rsidRPr="008A5812" w:rsidRDefault="00D12323" w:rsidP="00947EA2">
      <w:pPr>
        <w:pStyle w:val="ListParagraph"/>
        <w:numPr>
          <w:ilvl w:val="0"/>
          <w:numId w:val="5"/>
        </w:numPr>
        <w:contextualSpacing/>
        <w:jc w:val="both"/>
        <w:rPr>
          <w:rFonts w:ascii="Arial" w:hAnsi="Arial" w:cs="Arial"/>
          <w:sz w:val="24"/>
          <w:szCs w:val="24"/>
        </w:rPr>
      </w:pPr>
      <w:r w:rsidRPr="008A5812">
        <w:rPr>
          <w:rFonts w:ascii="Arial" w:hAnsi="Arial" w:cs="Arial"/>
          <w:sz w:val="24"/>
          <w:szCs w:val="24"/>
        </w:rPr>
        <w:t xml:space="preserve">Green Deal Plans – </w:t>
      </w:r>
      <w:r w:rsidR="00FB50DB" w:rsidRPr="00FB50DB">
        <w:rPr>
          <w:rFonts w:ascii="Arial" w:hAnsi="Arial" w:cs="Arial"/>
          <w:sz w:val="24"/>
          <w:szCs w:val="24"/>
        </w:rPr>
        <w:t>1,173</w:t>
      </w:r>
      <w:r w:rsidRPr="008A5812">
        <w:rPr>
          <w:rFonts w:ascii="Arial" w:hAnsi="Arial" w:cs="Arial"/>
          <w:color w:val="FF0000"/>
          <w:sz w:val="24"/>
          <w:szCs w:val="24"/>
        </w:rPr>
        <w:t xml:space="preserve"> </w:t>
      </w:r>
      <w:r w:rsidR="009A367B" w:rsidRPr="00A10673">
        <w:rPr>
          <w:rFonts w:ascii="Arial" w:hAnsi="Arial" w:cs="Arial"/>
          <w:color w:val="000000"/>
          <w:sz w:val="24"/>
          <w:szCs w:val="24"/>
        </w:rPr>
        <w:t>households had</w:t>
      </w:r>
      <w:r w:rsidR="009A367B">
        <w:rPr>
          <w:rFonts w:ascii="Arial" w:hAnsi="Arial" w:cs="Arial"/>
          <w:color w:val="FF0000"/>
          <w:sz w:val="24"/>
          <w:szCs w:val="24"/>
        </w:rPr>
        <w:t xml:space="preserve"> </w:t>
      </w:r>
      <w:r w:rsidRPr="008A5812">
        <w:rPr>
          <w:rFonts w:ascii="Arial" w:hAnsi="Arial" w:cs="Arial"/>
          <w:sz w:val="24"/>
          <w:szCs w:val="24"/>
        </w:rPr>
        <w:t>Green Deal Plans</w:t>
      </w:r>
      <w:r w:rsidR="009A367B">
        <w:rPr>
          <w:rFonts w:ascii="Arial" w:hAnsi="Arial" w:cs="Arial"/>
          <w:sz w:val="24"/>
          <w:szCs w:val="24"/>
        </w:rPr>
        <w:t xml:space="preserve"> in progress</w:t>
      </w:r>
      <w:r w:rsidRPr="008A5812">
        <w:rPr>
          <w:rFonts w:ascii="Arial" w:hAnsi="Arial" w:cs="Arial"/>
          <w:sz w:val="24"/>
          <w:szCs w:val="24"/>
        </w:rPr>
        <w:t xml:space="preserve"> at </w:t>
      </w:r>
      <w:r w:rsidRPr="00FB50DB">
        <w:rPr>
          <w:rFonts w:ascii="Arial" w:hAnsi="Arial" w:cs="Arial"/>
          <w:sz w:val="24"/>
          <w:szCs w:val="24"/>
        </w:rPr>
        <w:t xml:space="preserve">the end of </w:t>
      </w:r>
      <w:r w:rsidR="00F541EA" w:rsidRPr="00FB50DB">
        <w:rPr>
          <w:rFonts w:ascii="Arial" w:hAnsi="Arial" w:cs="Arial"/>
          <w:sz w:val="24"/>
          <w:szCs w:val="24"/>
        </w:rPr>
        <w:t>Octobe</w:t>
      </w:r>
      <w:r w:rsidRPr="00FB50DB">
        <w:rPr>
          <w:rFonts w:ascii="Arial" w:hAnsi="Arial" w:cs="Arial"/>
          <w:sz w:val="24"/>
          <w:szCs w:val="24"/>
        </w:rPr>
        <w:t xml:space="preserve">r, compared to </w:t>
      </w:r>
      <w:r w:rsidR="00FB50DB" w:rsidRPr="00FB50DB">
        <w:rPr>
          <w:rFonts w:ascii="Arial" w:hAnsi="Arial" w:cs="Arial"/>
          <w:sz w:val="24"/>
          <w:szCs w:val="24"/>
        </w:rPr>
        <w:t>954</w:t>
      </w:r>
      <w:r w:rsidR="00F541EA" w:rsidRPr="00FB50DB">
        <w:rPr>
          <w:rFonts w:ascii="Arial" w:hAnsi="Arial" w:cs="Arial"/>
          <w:sz w:val="24"/>
          <w:szCs w:val="24"/>
        </w:rPr>
        <w:t xml:space="preserve"> </w:t>
      </w:r>
      <w:r w:rsidRPr="00FB50DB">
        <w:rPr>
          <w:rFonts w:ascii="Arial" w:hAnsi="Arial" w:cs="Arial"/>
          <w:sz w:val="24"/>
          <w:szCs w:val="24"/>
        </w:rPr>
        <w:t xml:space="preserve">at the end of </w:t>
      </w:r>
      <w:r w:rsidR="0010186C" w:rsidRPr="00FB50DB">
        <w:rPr>
          <w:rFonts w:ascii="Arial" w:hAnsi="Arial" w:cs="Arial"/>
          <w:sz w:val="24"/>
          <w:szCs w:val="24"/>
        </w:rPr>
        <w:t>September</w:t>
      </w:r>
      <w:r w:rsidRPr="00FB50DB">
        <w:rPr>
          <w:rFonts w:ascii="Arial" w:hAnsi="Arial" w:cs="Arial"/>
          <w:sz w:val="24"/>
          <w:szCs w:val="24"/>
        </w:rPr>
        <w:t xml:space="preserve">. Of these, </w:t>
      </w:r>
      <w:r w:rsidR="00FB50DB" w:rsidRPr="00FB50DB">
        <w:rPr>
          <w:rFonts w:ascii="Arial" w:hAnsi="Arial" w:cs="Arial"/>
          <w:sz w:val="24"/>
          <w:szCs w:val="24"/>
        </w:rPr>
        <w:t>360</w:t>
      </w:r>
      <w:r w:rsidR="0010186C" w:rsidRPr="00FB50DB">
        <w:rPr>
          <w:rFonts w:ascii="Arial" w:hAnsi="Arial" w:cs="Arial"/>
          <w:sz w:val="24"/>
          <w:szCs w:val="24"/>
        </w:rPr>
        <w:t xml:space="preserve"> </w:t>
      </w:r>
      <w:r w:rsidRPr="00FB50DB">
        <w:rPr>
          <w:rFonts w:ascii="Arial" w:hAnsi="Arial" w:cs="Arial"/>
          <w:sz w:val="24"/>
          <w:szCs w:val="24"/>
        </w:rPr>
        <w:t xml:space="preserve">were ‘new’ quotes for GD Plans (quote accepted), </w:t>
      </w:r>
      <w:r w:rsidR="00FB50DB" w:rsidRPr="00FB50DB">
        <w:rPr>
          <w:rFonts w:ascii="Arial" w:hAnsi="Arial" w:cs="Arial"/>
          <w:sz w:val="24"/>
          <w:szCs w:val="24"/>
        </w:rPr>
        <w:t>594</w:t>
      </w:r>
      <w:r w:rsidRPr="00FB50DB">
        <w:rPr>
          <w:rFonts w:ascii="Arial" w:hAnsi="Arial" w:cs="Arial"/>
          <w:sz w:val="24"/>
          <w:szCs w:val="24"/>
        </w:rPr>
        <w:t xml:space="preserve"> had moved to ‘pending’ (Plan signed) and </w:t>
      </w:r>
      <w:r w:rsidR="00FB50DB" w:rsidRPr="00FB50DB">
        <w:rPr>
          <w:rFonts w:ascii="Arial" w:hAnsi="Arial" w:cs="Arial"/>
          <w:sz w:val="24"/>
          <w:szCs w:val="24"/>
        </w:rPr>
        <w:t xml:space="preserve">219 </w:t>
      </w:r>
      <w:r w:rsidRPr="00FB50DB">
        <w:rPr>
          <w:rFonts w:ascii="Arial" w:hAnsi="Arial" w:cs="Arial"/>
          <w:sz w:val="24"/>
          <w:szCs w:val="24"/>
        </w:rPr>
        <w:t>were ‘live’</w:t>
      </w:r>
      <w:r w:rsidRPr="008A5812">
        <w:rPr>
          <w:rFonts w:ascii="Arial" w:hAnsi="Arial" w:cs="Arial"/>
          <w:sz w:val="24"/>
          <w:szCs w:val="24"/>
        </w:rPr>
        <w:t xml:space="preserve"> (</w:t>
      </w:r>
      <w:r w:rsidR="00E37ADB">
        <w:rPr>
          <w:rFonts w:ascii="Arial" w:hAnsi="Arial" w:cs="Arial"/>
          <w:sz w:val="24"/>
          <w:szCs w:val="24"/>
        </w:rPr>
        <w:t xml:space="preserve">all </w:t>
      </w:r>
      <w:r w:rsidRPr="008A5812">
        <w:rPr>
          <w:rFonts w:ascii="Arial" w:hAnsi="Arial" w:cs="Arial"/>
          <w:sz w:val="24"/>
          <w:szCs w:val="24"/>
        </w:rPr>
        <w:t>measures installed)</w:t>
      </w:r>
      <w:r w:rsidR="00CC67E0">
        <w:rPr>
          <w:rFonts w:ascii="Arial" w:hAnsi="Arial" w:cs="Arial"/>
          <w:sz w:val="24"/>
          <w:szCs w:val="24"/>
        </w:rPr>
        <w:t>, 19 per cent of all Plans</w:t>
      </w:r>
      <w:r w:rsidRPr="008A5812">
        <w:rPr>
          <w:rFonts w:ascii="Arial" w:hAnsi="Arial" w:cs="Arial"/>
          <w:sz w:val="24"/>
          <w:szCs w:val="24"/>
        </w:rPr>
        <w:t xml:space="preserve"> (Chart 2).</w:t>
      </w:r>
      <w:r w:rsidR="002E3BF4" w:rsidRPr="002E3BF4">
        <w:rPr>
          <w:rFonts w:ascii="Arial" w:hAnsi="Arial" w:cs="Arial"/>
          <w:sz w:val="24"/>
          <w:szCs w:val="24"/>
        </w:rPr>
        <w:t xml:space="preserve"> T</w:t>
      </w:r>
      <w:r w:rsidR="002E3BF4">
        <w:rPr>
          <w:rFonts w:ascii="Arial" w:hAnsi="Arial" w:cs="Arial"/>
          <w:sz w:val="24"/>
          <w:szCs w:val="24"/>
        </w:rPr>
        <w:t>he large majority of P</w:t>
      </w:r>
      <w:r w:rsidR="002E3BF4" w:rsidRPr="002E3BF4">
        <w:rPr>
          <w:rFonts w:ascii="Arial" w:hAnsi="Arial" w:cs="Arial"/>
          <w:sz w:val="24"/>
          <w:szCs w:val="24"/>
        </w:rPr>
        <w:t>lans have started from June onwards</w:t>
      </w:r>
      <w:r w:rsidR="002E3BF4">
        <w:rPr>
          <w:rFonts w:ascii="Arial" w:hAnsi="Arial" w:cs="Arial"/>
          <w:sz w:val="24"/>
          <w:szCs w:val="24"/>
        </w:rPr>
        <w:t>.</w:t>
      </w:r>
    </w:p>
    <w:p w:rsidR="00D12323" w:rsidRPr="008A5812" w:rsidRDefault="00D12323" w:rsidP="00947EA2">
      <w:pPr>
        <w:pStyle w:val="ListParagraph"/>
        <w:ind w:left="0"/>
        <w:contextualSpacing/>
        <w:jc w:val="both"/>
        <w:rPr>
          <w:rFonts w:ascii="Arial" w:hAnsi="Arial" w:cs="Arial"/>
          <w:sz w:val="24"/>
          <w:szCs w:val="24"/>
          <w:highlight w:val="yellow"/>
        </w:rPr>
      </w:pPr>
    </w:p>
    <w:p w:rsidR="00D12323" w:rsidRPr="008A5812" w:rsidRDefault="00D12323" w:rsidP="00947EA2">
      <w:pPr>
        <w:pStyle w:val="ListParagraph"/>
        <w:numPr>
          <w:ilvl w:val="0"/>
          <w:numId w:val="5"/>
        </w:numPr>
        <w:contextualSpacing/>
        <w:jc w:val="both"/>
        <w:rPr>
          <w:rFonts w:ascii="Arial" w:hAnsi="Arial" w:cs="Arial"/>
          <w:sz w:val="24"/>
          <w:szCs w:val="24"/>
        </w:rPr>
      </w:pPr>
      <w:r w:rsidRPr="008A5812">
        <w:rPr>
          <w:rFonts w:ascii="Arial" w:hAnsi="Arial" w:cs="Arial"/>
          <w:sz w:val="24"/>
          <w:szCs w:val="24"/>
        </w:rPr>
        <w:t xml:space="preserve">Cashback vouchers – by the end of </w:t>
      </w:r>
      <w:r w:rsidR="0010186C" w:rsidRPr="008A5812">
        <w:rPr>
          <w:rFonts w:ascii="Arial" w:hAnsi="Arial" w:cs="Arial"/>
          <w:sz w:val="24"/>
          <w:szCs w:val="24"/>
        </w:rPr>
        <w:t>October</w:t>
      </w:r>
      <w:r w:rsidRPr="00FB50DB">
        <w:rPr>
          <w:rFonts w:ascii="Arial" w:hAnsi="Arial" w:cs="Arial"/>
          <w:sz w:val="24"/>
          <w:szCs w:val="24"/>
        </w:rPr>
        <w:t xml:space="preserve">, </w:t>
      </w:r>
      <w:r w:rsidR="00FB50DB" w:rsidRPr="00FB50DB">
        <w:rPr>
          <w:rFonts w:ascii="Arial" w:hAnsi="Arial" w:cs="Arial"/>
          <w:sz w:val="24"/>
          <w:szCs w:val="24"/>
        </w:rPr>
        <w:t>9,522</w:t>
      </w:r>
      <w:r w:rsidR="0010186C" w:rsidRPr="00FB50DB">
        <w:rPr>
          <w:rFonts w:ascii="Arial" w:hAnsi="Arial" w:cs="Arial"/>
          <w:sz w:val="24"/>
          <w:szCs w:val="24"/>
        </w:rPr>
        <w:t xml:space="preserve"> </w:t>
      </w:r>
      <w:r w:rsidRPr="00FB50DB">
        <w:rPr>
          <w:rFonts w:ascii="Arial" w:hAnsi="Arial" w:cs="Arial"/>
          <w:sz w:val="24"/>
          <w:szCs w:val="24"/>
        </w:rPr>
        <w:t>had been</w:t>
      </w:r>
      <w:r w:rsidRPr="008A5812">
        <w:rPr>
          <w:rFonts w:ascii="Arial" w:hAnsi="Arial" w:cs="Arial"/>
          <w:sz w:val="24"/>
          <w:szCs w:val="24"/>
        </w:rPr>
        <w:t xml:space="preserve"> issued </w:t>
      </w:r>
      <w:r w:rsidRPr="00FB50DB">
        <w:rPr>
          <w:rFonts w:ascii="Arial" w:hAnsi="Arial" w:cs="Arial"/>
          <w:sz w:val="24"/>
          <w:szCs w:val="24"/>
        </w:rPr>
        <w:t xml:space="preserve">and, of these, </w:t>
      </w:r>
      <w:r w:rsidR="00FB50DB" w:rsidRPr="00FB50DB">
        <w:rPr>
          <w:rFonts w:ascii="Arial" w:hAnsi="Arial" w:cs="Arial"/>
          <w:sz w:val="24"/>
          <w:szCs w:val="24"/>
        </w:rPr>
        <w:t>7,453</w:t>
      </w:r>
      <w:r w:rsidR="0010186C" w:rsidRPr="00FB50DB">
        <w:rPr>
          <w:rFonts w:ascii="Arial" w:hAnsi="Arial" w:cs="Arial"/>
          <w:sz w:val="24"/>
          <w:szCs w:val="24"/>
        </w:rPr>
        <w:t xml:space="preserve"> </w:t>
      </w:r>
      <w:r w:rsidRPr="00FB50DB">
        <w:rPr>
          <w:rFonts w:ascii="Arial" w:hAnsi="Arial" w:cs="Arial"/>
          <w:sz w:val="24"/>
          <w:szCs w:val="24"/>
        </w:rPr>
        <w:t xml:space="preserve">vouchers had been paid (following installation of measures) with a value of </w:t>
      </w:r>
      <w:r w:rsidR="00FB26BA">
        <w:rPr>
          <w:rFonts w:ascii="Arial" w:hAnsi="Arial" w:cs="Arial"/>
          <w:sz w:val="24"/>
          <w:szCs w:val="24"/>
        </w:rPr>
        <w:t xml:space="preserve">just </w:t>
      </w:r>
      <w:r w:rsidR="00FB50DB">
        <w:rPr>
          <w:rFonts w:ascii="Arial" w:hAnsi="Arial" w:cs="Arial"/>
          <w:sz w:val="24"/>
          <w:szCs w:val="24"/>
        </w:rPr>
        <w:t xml:space="preserve">over </w:t>
      </w:r>
      <w:r w:rsidRPr="00FB50DB">
        <w:rPr>
          <w:rFonts w:ascii="Arial" w:hAnsi="Arial" w:cs="Arial"/>
          <w:sz w:val="24"/>
          <w:szCs w:val="24"/>
        </w:rPr>
        <w:t>£</w:t>
      </w:r>
      <w:r w:rsidR="00FB50DB">
        <w:rPr>
          <w:rFonts w:ascii="Arial" w:hAnsi="Arial" w:cs="Arial"/>
          <w:sz w:val="24"/>
          <w:szCs w:val="24"/>
        </w:rPr>
        <w:t xml:space="preserve">2 </w:t>
      </w:r>
      <w:r w:rsidRPr="00FB50DB">
        <w:rPr>
          <w:rFonts w:ascii="Arial" w:hAnsi="Arial" w:cs="Arial"/>
          <w:sz w:val="24"/>
          <w:szCs w:val="24"/>
        </w:rPr>
        <w:t>million (Chart 3). The majority of vouchers paid to date were in June and virtually all have</w:t>
      </w:r>
      <w:r w:rsidRPr="008A5812">
        <w:rPr>
          <w:rFonts w:ascii="Arial" w:hAnsi="Arial" w:cs="Arial"/>
          <w:sz w:val="24"/>
          <w:szCs w:val="24"/>
        </w:rPr>
        <w:t xml:space="preserve"> been for boiler replacements.</w:t>
      </w:r>
    </w:p>
    <w:p w:rsidR="00D12323" w:rsidRPr="008A5812" w:rsidRDefault="00D12323" w:rsidP="00947EA2">
      <w:pPr>
        <w:pStyle w:val="ListParagraph"/>
        <w:rPr>
          <w:rFonts w:ascii="Arial" w:hAnsi="Arial" w:cs="Arial"/>
          <w:sz w:val="24"/>
          <w:szCs w:val="24"/>
        </w:rPr>
      </w:pPr>
    </w:p>
    <w:p w:rsidR="00D12323" w:rsidRPr="00D84CF2" w:rsidRDefault="00D12323" w:rsidP="00947EA2">
      <w:pPr>
        <w:pStyle w:val="ListParagraph"/>
        <w:numPr>
          <w:ilvl w:val="0"/>
          <w:numId w:val="5"/>
        </w:numPr>
        <w:contextualSpacing/>
        <w:jc w:val="both"/>
        <w:rPr>
          <w:rFonts w:ascii="Arial" w:hAnsi="Arial" w:cs="Arial"/>
          <w:sz w:val="24"/>
          <w:szCs w:val="24"/>
        </w:rPr>
      </w:pPr>
      <w:r w:rsidRPr="00D84CF2">
        <w:rPr>
          <w:rFonts w:ascii="Arial" w:hAnsi="Arial" w:cs="Arial"/>
          <w:bCs/>
          <w:sz w:val="24"/>
          <w:szCs w:val="24"/>
        </w:rPr>
        <w:t>ECO measures - provisional figures, which are routinely subject to further checks by Ofgem, show</w:t>
      </w:r>
      <w:r w:rsidRPr="00D84CF2">
        <w:rPr>
          <w:rFonts w:ascii="Arial" w:hAnsi="Arial" w:cs="Arial"/>
          <w:sz w:val="24"/>
          <w:szCs w:val="24"/>
        </w:rPr>
        <w:t xml:space="preserve"> there were </w:t>
      </w:r>
      <w:r w:rsidR="00FB50DB" w:rsidRPr="00D84CF2">
        <w:rPr>
          <w:rFonts w:ascii="Arial" w:hAnsi="Arial" w:cs="Arial"/>
          <w:sz w:val="24"/>
          <w:szCs w:val="24"/>
        </w:rPr>
        <w:t>303,795</w:t>
      </w:r>
      <w:r w:rsidR="0010186C" w:rsidRPr="00D84CF2">
        <w:rPr>
          <w:rFonts w:ascii="Arial" w:hAnsi="Arial" w:cs="Arial"/>
          <w:sz w:val="24"/>
          <w:szCs w:val="24"/>
        </w:rPr>
        <w:t xml:space="preserve"> </w:t>
      </w:r>
      <w:r w:rsidRPr="00D84CF2">
        <w:rPr>
          <w:rFonts w:ascii="Arial" w:hAnsi="Arial" w:cs="Arial"/>
          <w:sz w:val="24"/>
          <w:szCs w:val="24"/>
        </w:rPr>
        <w:t xml:space="preserve">measures installed under ECO up to the end of </w:t>
      </w:r>
      <w:r w:rsidR="0010186C" w:rsidRPr="00D84CF2">
        <w:rPr>
          <w:rFonts w:ascii="Arial" w:hAnsi="Arial" w:cs="Arial"/>
          <w:sz w:val="24"/>
          <w:szCs w:val="24"/>
        </w:rPr>
        <w:t>September</w:t>
      </w:r>
      <w:r w:rsidRPr="00D84CF2">
        <w:rPr>
          <w:rFonts w:ascii="Arial" w:hAnsi="Arial" w:cs="Arial"/>
          <w:sz w:val="24"/>
          <w:szCs w:val="24"/>
        </w:rPr>
        <w:t xml:space="preserve"> (measures data takes longer to report and there is therefore an additional lag of one month). </w:t>
      </w:r>
      <w:r w:rsidR="00CC67E0">
        <w:rPr>
          <w:rFonts w:ascii="Arial" w:hAnsi="Arial" w:cs="Arial"/>
          <w:sz w:val="24"/>
          <w:szCs w:val="24"/>
        </w:rPr>
        <w:t xml:space="preserve">58,497 were installed in September, 50,212 in August and 44,927 in July. </w:t>
      </w:r>
      <w:r w:rsidR="00D84CF2" w:rsidRPr="00D84CF2">
        <w:rPr>
          <w:rFonts w:ascii="Arial" w:hAnsi="Arial" w:cs="Arial"/>
          <w:sz w:val="24"/>
          <w:szCs w:val="24"/>
        </w:rPr>
        <w:t>33 per cent of all ECO measures</w:t>
      </w:r>
      <w:r w:rsidRPr="00D84CF2">
        <w:rPr>
          <w:rFonts w:ascii="Arial" w:hAnsi="Arial" w:cs="Arial"/>
          <w:sz w:val="24"/>
          <w:szCs w:val="24"/>
        </w:rPr>
        <w:t xml:space="preserve"> installed to d</w:t>
      </w:r>
      <w:r w:rsidR="00D84CF2" w:rsidRPr="00D84CF2">
        <w:rPr>
          <w:rFonts w:ascii="Arial" w:hAnsi="Arial" w:cs="Arial"/>
          <w:sz w:val="24"/>
          <w:szCs w:val="24"/>
        </w:rPr>
        <w:t xml:space="preserve">ate were </w:t>
      </w:r>
      <w:r w:rsidR="003E505D">
        <w:rPr>
          <w:rFonts w:ascii="Arial" w:hAnsi="Arial" w:cs="Arial"/>
          <w:sz w:val="24"/>
          <w:szCs w:val="24"/>
        </w:rPr>
        <w:t>for cavity wall insulation, 32</w:t>
      </w:r>
      <w:r w:rsidR="00D84CF2" w:rsidRPr="00D84CF2">
        <w:rPr>
          <w:rFonts w:ascii="Arial" w:hAnsi="Arial" w:cs="Arial"/>
          <w:sz w:val="24"/>
          <w:szCs w:val="24"/>
        </w:rPr>
        <w:t xml:space="preserve"> per cent were for loft insulation, </w:t>
      </w:r>
      <w:r w:rsidR="00D84CF2">
        <w:rPr>
          <w:rFonts w:ascii="Arial" w:hAnsi="Arial" w:cs="Arial"/>
          <w:sz w:val="24"/>
          <w:szCs w:val="24"/>
        </w:rPr>
        <w:t xml:space="preserve">and </w:t>
      </w:r>
      <w:r w:rsidR="003E505D">
        <w:rPr>
          <w:rFonts w:ascii="Arial" w:hAnsi="Arial" w:cs="Arial"/>
          <w:sz w:val="24"/>
          <w:szCs w:val="24"/>
        </w:rPr>
        <w:t>27</w:t>
      </w:r>
      <w:r w:rsidR="00D84CF2" w:rsidRPr="00D84CF2">
        <w:rPr>
          <w:rFonts w:ascii="Arial" w:hAnsi="Arial" w:cs="Arial"/>
          <w:sz w:val="24"/>
          <w:szCs w:val="24"/>
        </w:rPr>
        <w:t xml:space="preserve"> per cent </w:t>
      </w:r>
      <w:r w:rsidR="00D84CF2">
        <w:rPr>
          <w:rFonts w:ascii="Arial" w:hAnsi="Arial" w:cs="Arial"/>
          <w:sz w:val="24"/>
          <w:szCs w:val="24"/>
        </w:rPr>
        <w:t>were for</w:t>
      </w:r>
      <w:r w:rsidR="00D84CF2" w:rsidRPr="00D84CF2">
        <w:rPr>
          <w:rFonts w:ascii="Arial" w:hAnsi="Arial" w:cs="Arial"/>
          <w:sz w:val="24"/>
          <w:szCs w:val="24"/>
        </w:rPr>
        <w:t xml:space="preserve"> </w:t>
      </w:r>
      <w:r w:rsidR="00D84CF2">
        <w:rPr>
          <w:rFonts w:ascii="Arial" w:hAnsi="Arial" w:cs="Arial"/>
          <w:sz w:val="24"/>
          <w:szCs w:val="24"/>
        </w:rPr>
        <w:t>boiler upgrades.</w:t>
      </w:r>
      <w:r w:rsidRPr="00D84CF2">
        <w:rPr>
          <w:rFonts w:ascii="Arial" w:hAnsi="Arial" w:cs="Arial"/>
          <w:sz w:val="24"/>
          <w:szCs w:val="24"/>
        </w:rPr>
        <w:t xml:space="preserve"> All solid wall insulation types accounted for four per cent (Chart </w:t>
      </w:r>
      <w:r w:rsidR="00491465">
        <w:rPr>
          <w:rFonts w:ascii="Arial" w:hAnsi="Arial" w:cs="Arial"/>
          <w:sz w:val="24"/>
          <w:szCs w:val="24"/>
        </w:rPr>
        <w:t>5</w:t>
      </w:r>
      <w:r w:rsidRPr="00D84CF2">
        <w:rPr>
          <w:rFonts w:ascii="Arial" w:hAnsi="Arial" w:cs="Arial"/>
          <w:sz w:val="24"/>
          <w:szCs w:val="24"/>
        </w:rPr>
        <w:t>).</w:t>
      </w:r>
    </w:p>
    <w:p w:rsidR="00D12323" w:rsidRPr="008A5812" w:rsidRDefault="00D12323" w:rsidP="00947EA2">
      <w:pPr>
        <w:pStyle w:val="ListParagraph"/>
        <w:ind w:left="0"/>
        <w:jc w:val="both"/>
        <w:rPr>
          <w:rFonts w:ascii="Arial" w:hAnsi="Arial" w:cs="Arial"/>
          <w:sz w:val="24"/>
          <w:szCs w:val="24"/>
        </w:rPr>
      </w:pPr>
    </w:p>
    <w:p w:rsidR="006731A4" w:rsidRDefault="00D12323" w:rsidP="006731A4">
      <w:pPr>
        <w:pStyle w:val="ListParagraph"/>
        <w:numPr>
          <w:ilvl w:val="0"/>
          <w:numId w:val="5"/>
        </w:numPr>
        <w:ind w:left="714" w:hanging="357"/>
        <w:contextualSpacing/>
        <w:jc w:val="both"/>
        <w:rPr>
          <w:rFonts w:ascii="Arial" w:hAnsi="Arial" w:cs="Arial"/>
          <w:sz w:val="24"/>
          <w:szCs w:val="24"/>
        </w:rPr>
      </w:pPr>
      <w:r w:rsidRPr="008A5812">
        <w:rPr>
          <w:rFonts w:ascii="Arial" w:hAnsi="Arial" w:cs="Arial"/>
          <w:sz w:val="24"/>
          <w:szCs w:val="24"/>
        </w:rPr>
        <w:t xml:space="preserve">ECO brokerage - </w:t>
      </w:r>
      <w:r w:rsidRPr="00864D40">
        <w:rPr>
          <w:rFonts w:ascii="Arial" w:hAnsi="Arial" w:cs="Arial"/>
          <w:sz w:val="24"/>
          <w:szCs w:val="24"/>
        </w:rPr>
        <w:t>£</w:t>
      </w:r>
      <w:r w:rsidR="00864D40">
        <w:rPr>
          <w:rFonts w:ascii="Arial" w:hAnsi="Arial" w:cs="Arial"/>
          <w:sz w:val="24"/>
          <w:szCs w:val="24"/>
        </w:rPr>
        <w:t>288</w:t>
      </w:r>
      <w:r w:rsidRPr="00864D40">
        <w:rPr>
          <w:rFonts w:ascii="Arial" w:hAnsi="Arial" w:cs="Arial"/>
          <w:sz w:val="24"/>
          <w:szCs w:val="24"/>
        </w:rPr>
        <w:t xml:space="preserve"> million</w:t>
      </w:r>
      <w:r w:rsidRPr="008A5812">
        <w:rPr>
          <w:rFonts w:ascii="Arial" w:hAnsi="Arial" w:cs="Arial"/>
          <w:sz w:val="24"/>
          <w:szCs w:val="24"/>
        </w:rPr>
        <w:t xml:space="preserve"> worth of contracts had been let through ECO brokerage up to end of </w:t>
      </w:r>
      <w:r w:rsidR="00864D40">
        <w:rPr>
          <w:rFonts w:ascii="Arial" w:hAnsi="Arial" w:cs="Arial"/>
          <w:sz w:val="24"/>
          <w:szCs w:val="24"/>
        </w:rPr>
        <w:t>October</w:t>
      </w:r>
      <w:r w:rsidR="0010186C" w:rsidRPr="008A5812">
        <w:rPr>
          <w:rFonts w:ascii="Arial" w:hAnsi="Arial" w:cs="Arial"/>
          <w:sz w:val="24"/>
          <w:szCs w:val="24"/>
        </w:rPr>
        <w:t xml:space="preserve"> compared to £23</w:t>
      </w:r>
      <w:r w:rsidRPr="008A5812">
        <w:rPr>
          <w:rFonts w:ascii="Arial" w:hAnsi="Arial" w:cs="Arial"/>
          <w:sz w:val="24"/>
          <w:szCs w:val="24"/>
        </w:rPr>
        <w:t xml:space="preserve">5 million at the end of </w:t>
      </w:r>
      <w:r w:rsidR="0010186C" w:rsidRPr="008A5812">
        <w:rPr>
          <w:rFonts w:ascii="Arial" w:hAnsi="Arial" w:cs="Arial"/>
          <w:sz w:val="24"/>
          <w:szCs w:val="24"/>
        </w:rPr>
        <w:t>September</w:t>
      </w:r>
      <w:r w:rsidR="00491465">
        <w:rPr>
          <w:rFonts w:ascii="Arial" w:hAnsi="Arial" w:cs="Arial"/>
          <w:sz w:val="24"/>
          <w:szCs w:val="24"/>
        </w:rPr>
        <w:t xml:space="preserve"> (Chart 6</w:t>
      </w:r>
      <w:r w:rsidRPr="008A5812">
        <w:rPr>
          <w:rFonts w:ascii="Arial" w:hAnsi="Arial" w:cs="Arial"/>
          <w:sz w:val="24"/>
          <w:szCs w:val="24"/>
        </w:rPr>
        <w:t>).</w:t>
      </w:r>
    </w:p>
    <w:p w:rsidR="006731A4" w:rsidRPr="006731A4" w:rsidRDefault="006731A4" w:rsidP="006731A4">
      <w:pPr>
        <w:pStyle w:val="ListParagraph"/>
        <w:ind w:left="0"/>
        <w:contextualSpacing/>
        <w:jc w:val="both"/>
        <w:rPr>
          <w:rFonts w:ascii="Arial" w:hAnsi="Arial" w:cs="Arial"/>
          <w:sz w:val="24"/>
          <w:szCs w:val="24"/>
        </w:rPr>
      </w:pPr>
    </w:p>
    <w:p w:rsidR="00D12323" w:rsidRPr="008A5812" w:rsidRDefault="00D12323" w:rsidP="00947EA2">
      <w:pPr>
        <w:pStyle w:val="ListParagraph"/>
        <w:numPr>
          <w:ilvl w:val="0"/>
          <w:numId w:val="5"/>
        </w:numPr>
        <w:contextualSpacing/>
        <w:jc w:val="both"/>
        <w:rPr>
          <w:rFonts w:ascii="Arial" w:hAnsi="Arial" w:cs="Arial"/>
          <w:sz w:val="24"/>
          <w:szCs w:val="24"/>
        </w:rPr>
      </w:pPr>
      <w:r w:rsidRPr="008A5812">
        <w:rPr>
          <w:rFonts w:ascii="Arial" w:hAnsi="Arial" w:cs="Arial"/>
          <w:sz w:val="24"/>
          <w:szCs w:val="24"/>
        </w:rPr>
        <w:t xml:space="preserve">GD </w:t>
      </w:r>
      <w:r w:rsidRPr="00864D40">
        <w:rPr>
          <w:rFonts w:ascii="Arial" w:hAnsi="Arial" w:cs="Arial"/>
          <w:sz w:val="24"/>
          <w:szCs w:val="24"/>
        </w:rPr>
        <w:t xml:space="preserve">supply chain - </w:t>
      </w:r>
      <w:r w:rsidR="00864D40" w:rsidRPr="00864D40">
        <w:rPr>
          <w:rFonts w:ascii="Arial" w:hAnsi="Arial" w:cs="Arial"/>
          <w:sz w:val="24"/>
          <w:szCs w:val="24"/>
        </w:rPr>
        <w:t xml:space="preserve">112 </w:t>
      </w:r>
      <w:r w:rsidRPr="00864D40">
        <w:rPr>
          <w:rFonts w:ascii="Arial" w:hAnsi="Arial" w:cs="Arial"/>
          <w:sz w:val="24"/>
          <w:szCs w:val="24"/>
        </w:rPr>
        <w:t xml:space="preserve">Green Deal Providers had been authorised up to the end of </w:t>
      </w:r>
      <w:r w:rsidR="0010186C" w:rsidRPr="00864D40">
        <w:rPr>
          <w:rFonts w:ascii="Arial" w:hAnsi="Arial" w:cs="Arial"/>
          <w:sz w:val="24"/>
          <w:szCs w:val="24"/>
        </w:rPr>
        <w:t>October</w:t>
      </w:r>
      <w:r w:rsidRPr="00864D40">
        <w:rPr>
          <w:rFonts w:ascii="Arial" w:hAnsi="Arial" w:cs="Arial"/>
          <w:sz w:val="24"/>
          <w:szCs w:val="24"/>
        </w:rPr>
        <w:t xml:space="preserve">. </w:t>
      </w:r>
      <w:r w:rsidR="00864D40" w:rsidRPr="00864D40">
        <w:rPr>
          <w:rFonts w:ascii="Arial" w:hAnsi="Arial" w:cs="Arial"/>
          <w:sz w:val="24"/>
          <w:szCs w:val="24"/>
        </w:rPr>
        <w:t xml:space="preserve">302 </w:t>
      </w:r>
      <w:r w:rsidRPr="00864D40">
        <w:rPr>
          <w:rFonts w:ascii="Arial" w:hAnsi="Arial" w:cs="Arial"/>
          <w:sz w:val="24"/>
          <w:szCs w:val="24"/>
        </w:rPr>
        <w:t xml:space="preserve">GD Assessor Organisations and the </w:t>
      </w:r>
      <w:r w:rsidR="00864D40" w:rsidRPr="00864D40">
        <w:rPr>
          <w:rFonts w:ascii="Arial" w:hAnsi="Arial" w:cs="Arial"/>
          <w:sz w:val="24"/>
          <w:szCs w:val="24"/>
        </w:rPr>
        <w:t xml:space="preserve">2,687 </w:t>
      </w:r>
      <w:r w:rsidRPr="00864D40">
        <w:rPr>
          <w:rFonts w:ascii="Arial" w:hAnsi="Arial" w:cs="Arial"/>
          <w:sz w:val="24"/>
          <w:szCs w:val="24"/>
        </w:rPr>
        <w:t xml:space="preserve">GD Advisors they employ had been accredited up to the end of </w:t>
      </w:r>
      <w:r w:rsidR="0010186C" w:rsidRPr="00864D40">
        <w:rPr>
          <w:rFonts w:ascii="Arial" w:hAnsi="Arial" w:cs="Arial"/>
          <w:sz w:val="24"/>
          <w:szCs w:val="24"/>
        </w:rPr>
        <w:t>October</w:t>
      </w:r>
      <w:r w:rsidR="00491465">
        <w:rPr>
          <w:rFonts w:ascii="Arial" w:hAnsi="Arial" w:cs="Arial"/>
          <w:sz w:val="24"/>
          <w:szCs w:val="24"/>
        </w:rPr>
        <w:t xml:space="preserve"> (Chart 7</w:t>
      </w:r>
      <w:r w:rsidRPr="00864D40">
        <w:rPr>
          <w:rFonts w:ascii="Arial" w:hAnsi="Arial" w:cs="Arial"/>
          <w:sz w:val="24"/>
          <w:szCs w:val="24"/>
        </w:rPr>
        <w:t>).</w:t>
      </w:r>
    </w:p>
    <w:p w:rsidR="0006123D" w:rsidRPr="008A5812" w:rsidRDefault="0006123D" w:rsidP="0006123D">
      <w:pPr>
        <w:pStyle w:val="ChapterHead"/>
        <w:spacing w:after="200"/>
        <w:rPr>
          <w:rFonts w:cs="Arial"/>
          <w:szCs w:val="50"/>
        </w:rPr>
      </w:pPr>
      <w:bookmarkStart w:id="18" w:name="_Toc372290486"/>
      <w:r w:rsidRPr="008A5812">
        <w:rPr>
          <w:rFonts w:cs="Arial"/>
          <w:szCs w:val="50"/>
        </w:rPr>
        <w:lastRenderedPageBreak/>
        <w:t>Detailed Results</w:t>
      </w:r>
      <w:bookmarkEnd w:id="18"/>
    </w:p>
    <w:p w:rsidR="00D12323" w:rsidRDefault="00D12323" w:rsidP="006D27C5">
      <w:pPr>
        <w:spacing w:before="0" w:after="0" w:line="270" w:lineRule="atLeast"/>
        <w:jc w:val="both"/>
        <w:rPr>
          <w:szCs w:val="24"/>
        </w:rPr>
      </w:pPr>
      <w:bookmarkStart w:id="19" w:name="Figure1"/>
      <w:r w:rsidRPr="008A5812">
        <w:rPr>
          <w:szCs w:val="24"/>
        </w:rPr>
        <w:t>This section of the report provides the latest available information on different elements of the Green Deal and ECO. This includes the number of Assessments and Green Deal Plans, Cashback vouchers spent, measures installed through Cashback and ECO, a summary of ECO brokerage and an overview of the supply chain.</w:t>
      </w:r>
    </w:p>
    <w:p w:rsidR="006D27C5" w:rsidRPr="008A5812" w:rsidRDefault="006D27C5" w:rsidP="006D27C5">
      <w:pPr>
        <w:spacing w:before="0" w:after="0" w:line="270" w:lineRule="atLeast"/>
        <w:jc w:val="both"/>
        <w:rPr>
          <w:szCs w:val="24"/>
        </w:rPr>
      </w:pPr>
    </w:p>
    <w:p w:rsidR="00D12323" w:rsidRDefault="00D12323" w:rsidP="006D27C5">
      <w:pPr>
        <w:spacing w:before="0" w:after="0" w:line="270" w:lineRule="atLeast"/>
        <w:jc w:val="both"/>
        <w:rPr>
          <w:szCs w:val="24"/>
        </w:rPr>
      </w:pPr>
      <w:r w:rsidRPr="008A5812">
        <w:rPr>
          <w:szCs w:val="24"/>
        </w:rPr>
        <w:t xml:space="preserve">The Green Deal and ECO </w:t>
      </w:r>
      <w:hyperlink r:id="rId28" w:history="1">
        <w:r w:rsidRPr="008A5812">
          <w:rPr>
            <w:rStyle w:val="Hyperlink"/>
            <w:rFonts w:ascii="Arial" w:hAnsi="Arial"/>
            <w:szCs w:val="24"/>
            <w:lang w:eastAsia="en-GB"/>
          </w:rPr>
          <w:t>quarterly statistical release</w:t>
        </w:r>
      </w:hyperlink>
      <w:r w:rsidRPr="008A5812">
        <w:rPr>
          <w:szCs w:val="24"/>
        </w:rPr>
        <w:t xml:space="preserve"> provides a range of analysis and further breakdowns on Assessments lodged, Cashback measures installed and provisional measures installed to the end of June.</w:t>
      </w:r>
    </w:p>
    <w:p w:rsidR="006D27C5" w:rsidRPr="008A5812" w:rsidRDefault="006D27C5" w:rsidP="006D27C5">
      <w:pPr>
        <w:spacing w:before="0" w:after="0" w:line="270" w:lineRule="atLeast"/>
        <w:jc w:val="both"/>
        <w:rPr>
          <w:szCs w:val="24"/>
        </w:rPr>
      </w:pPr>
    </w:p>
    <w:p w:rsidR="00705A31" w:rsidRPr="00614FD5" w:rsidRDefault="00222237" w:rsidP="00614FD5">
      <w:pPr>
        <w:pStyle w:val="Heading2"/>
      </w:pPr>
      <w:bookmarkStart w:id="20" w:name="_Toc372290487"/>
      <w:r w:rsidRPr="00614FD5">
        <w:t>Measures installed up to end September</w:t>
      </w:r>
      <w:r w:rsidR="006D47B5">
        <w:t xml:space="preserve"> (Table 1)</w:t>
      </w:r>
      <w:bookmarkEnd w:id="20"/>
    </w:p>
    <w:p w:rsidR="006D27C5" w:rsidRPr="008A5812" w:rsidRDefault="006D27C5" w:rsidP="006D27C5">
      <w:pPr>
        <w:spacing w:before="0" w:after="0" w:line="270" w:lineRule="atLeast"/>
        <w:jc w:val="both"/>
        <w:rPr>
          <w:szCs w:val="24"/>
          <w:u w:val="single"/>
        </w:rPr>
      </w:pPr>
    </w:p>
    <w:p w:rsidR="00705A31" w:rsidRPr="00730CE9" w:rsidRDefault="006D47B5" w:rsidP="006D27C5">
      <w:pPr>
        <w:spacing w:before="0" w:after="0" w:line="270" w:lineRule="atLeast"/>
        <w:jc w:val="both"/>
        <w:rPr>
          <w:szCs w:val="24"/>
        </w:rPr>
      </w:pPr>
      <w:r>
        <w:rPr>
          <w:szCs w:val="24"/>
        </w:rPr>
        <w:t>Table 1 shows that</w:t>
      </w:r>
      <w:r w:rsidR="00C466D3">
        <w:rPr>
          <w:szCs w:val="24"/>
        </w:rPr>
        <w:t xml:space="preserve"> t</w:t>
      </w:r>
      <w:r w:rsidR="00730CE9" w:rsidRPr="00730CE9">
        <w:rPr>
          <w:szCs w:val="24"/>
        </w:rPr>
        <w:t>he total number of measures installed in properties through the Energy Company Obligation, Cashback and Green Deal was 31</w:t>
      </w:r>
      <w:r w:rsidR="00E37ADB">
        <w:rPr>
          <w:szCs w:val="24"/>
        </w:rPr>
        <w:t>1,250</w:t>
      </w:r>
      <w:r w:rsidR="00730CE9" w:rsidRPr="00730CE9">
        <w:rPr>
          <w:szCs w:val="24"/>
        </w:rPr>
        <w:t xml:space="preserve"> </w:t>
      </w:r>
      <w:r w:rsidR="001A7251">
        <w:rPr>
          <w:szCs w:val="24"/>
        </w:rPr>
        <w:t xml:space="preserve">in around 273,000 properties </w:t>
      </w:r>
      <w:r w:rsidR="00730CE9" w:rsidRPr="00730CE9">
        <w:rPr>
          <w:szCs w:val="24"/>
        </w:rPr>
        <w:t xml:space="preserve">up to the end of September (the latest month that we have </w:t>
      </w:r>
      <w:r w:rsidR="00E37ADB" w:rsidRPr="00730CE9">
        <w:rPr>
          <w:szCs w:val="24"/>
        </w:rPr>
        <w:t>com</w:t>
      </w:r>
      <w:r w:rsidR="00E37ADB">
        <w:rPr>
          <w:szCs w:val="24"/>
        </w:rPr>
        <w:t xml:space="preserve">plete </w:t>
      </w:r>
      <w:r w:rsidR="00730CE9" w:rsidRPr="00730CE9">
        <w:rPr>
          <w:szCs w:val="24"/>
        </w:rPr>
        <w:t>data for)</w:t>
      </w:r>
      <w:r w:rsidR="00C466D3">
        <w:rPr>
          <w:szCs w:val="24"/>
        </w:rPr>
        <w:t>,</w:t>
      </w:r>
      <w:r w:rsidR="00E37ADB">
        <w:rPr>
          <w:szCs w:val="24"/>
        </w:rPr>
        <w:t xml:space="preserve"> up from 251,655 </w:t>
      </w:r>
      <w:r w:rsidR="00C466D3">
        <w:rPr>
          <w:szCs w:val="24"/>
        </w:rPr>
        <w:t xml:space="preserve">measures </w:t>
      </w:r>
      <w:r w:rsidR="00E37ADB">
        <w:rPr>
          <w:szCs w:val="24"/>
        </w:rPr>
        <w:t>to the end of August</w:t>
      </w:r>
      <w:r w:rsidR="00730CE9" w:rsidRPr="00730CE9">
        <w:rPr>
          <w:szCs w:val="24"/>
        </w:rPr>
        <w:t xml:space="preserve">. The vast majority of installed measures (98 per cent) were delivered through the Energy Company Obligation. </w:t>
      </w:r>
      <w:r w:rsidR="00B540A0" w:rsidRPr="00730CE9">
        <w:rPr>
          <w:szCs w:val="24"/>
        </w:rPr>
        <w:t>Further detailed results of each of these delivery mechanisms are within the main co</w:t>
      </w:r>
      <w:r w:rsidR="00DB1D64">
        <w:rPr>
          <w:szCs w:val="24"/>
        </w:rPr>
        <w:t xml:space="preserve">mmentary. </w:t>
      </w:r>
      <w:r w:rsidR="009E7605" w:rsidRPr="00730CE9">
        <w:rPr>
          <w:szCs w:val="24"/>
        </w:rPr>
        <w:t>This does</w:t>
      </w:r>
      <w:r w:rsidR="00593B7F">
        <w:rPr>
          <w:szCs w:val="24"/>
        </w:rPr>
        <w:t xml:space="preserve"> no</w:t>
      </w:r>
      <w:r w:rsidR="009E7605" w:rsidRPr="00730CE9">
        <w:rPr>
          <w:szCs w:val="24"/>
        </w:rPr>
        <w:t xml:space="preserve">t include measures installed </w:t>
      </w:r>
      <w:r w:rsidR="009A367B">
        <w:rPr>
          <w:szCs w:val="24"/>
        </w:rPr>
        <w:t xml:space="preserve">but financed </w:t>
      </w:r>
      <w:r w:rsidR="009E7605" w:rsidRPr="00730CE9">
        <w:rPr>
          <w:szCs w:val="24"/>
        </w:rPr>
        <w:t>outside the Green Deal framework, but that we will look to report on this for the first time in our quarterly release in December.</w:t>
      </w:r>
    </w:p>
    <w:p w:rsidR="00705A31" w:rsidRPr="008A5812" w:rsidRDefault="00705A31" w:rsidP="006D27C5">
      <w:pPr>
        <w:spacing w:before="0" w:after="0" w:line="270" w:lineRule="atLeast"/>
        <w:jc w:val="both"/>
        <w:rPr>
          <w:szCs w:val="24"/>
        </w:rPr>
      </w:pPr>
    </w:p>
    <w:p w:rsidR="00D12323" w:rsidRDefault="00D12323" w:rsidP="00614FD5">
      <w:pPr>
        <w:pStyle w:val="Heading2"/>
      </w:pPr>
      <w:bookmarkStart w:id="21" w:name="_Toc372290488"/>
      <w:r w:rsidRPr="008A5812">
        <w:t xml:space="preserve">Green Deal Assessments, by month (Table </w:t>
      </w:r>
      <w:r w:rsidR="006D47B5">
        <w:t>2</w:t>
      </w:r>
      <w:r w:rsidRPr="008A5812">
        <w:t>, Chart 1)</w:t>
      </w:r>
      <w:bookmarkEnd w:id="21"/>
    </w:p>
    <w:p w:rsidR="006D27C5" w:rsidRPr="008A5812" w:rsidRDefault="006D27C5" w:rsidP="006D27C5">
      <w:pPr>
        <w:spacing w:before="0" w:after="0" w:line="270" w:lineRule="atLeast"/>
        <w:jc w:val="both"/>
        <w:rPr>
          <w:szCs w:val="24"/>
          <w:u w:val="single"/>
        </w:rPr>
      </w:pPr>
    </w:p>
    <w:p w:rsidR="00D12323" w:rsidRDefault="00D12323" w:rsidP="006D27C5">
      <w:pPr>
        <w:spacing w:before="0" w:after="0" w:line="270" w:lineRule="atLeast"/>
        <w:jc w:val="both"/>
        <w:rPr>
          <w:szCs w:val="24"/>
        </w:rPr>
      </w:pPr>
      <w:r w:rsidRPr="008A5812">
        <w:rPr>
          <w:szCs w:val="24"/>
        </w:rPr>
        <w:t>The first step in the Green Deal process involves a Green Deal Assessor coming to the home, talking to the owner/occupier about their energy use and seeing if they can benefit from making energy efficiency improvements to their property.</w:t>
      </w:r>
    </w:p>
    <w:p w:rsidR="006D27C5" w:rsidRPr="008A5812" w:rsidRDefault="006D27C5" w:rsidP="006D27C5">
      <w:pPr>
        <w:spacing w:before="0" w:after="0" w:line="270" w:lineRule="atLeast"/>
        <w:jc w:val="both"/>
        <w:rPr>
          <w:szCs w:val="24"/>
        </w:rPr>
      </w:pPr>
    </w:p>
    <w:p w:rsidR="00D12323" w:rsidRPr="008A5812" w:rsidRDefault="00D12323" w:rsidP="006D27C5">
      <w:pPr>
        <w:spacing w:before="0" w:after="0" w:line="270" w:lineRule="atLeast"/>
        <w:jc w:val="both"/>
        <w:rPr>
          <w:szCs w:val="24"/>
        </w:rPr>
      </w:pPr>
      <w:r w:rsidRPr="008A5812">
        <w:rPr>
          <w:szCs w:val="24"/>
        </w:rPr>
        <w:t>The main output from this process is that a Green Deal Advice Report (using information from an Energy Performance Certificate and Occupancy Assessment) will be produced and will be lodged on a national register. The customer is then able to view the energy efficiency measures which have been recommended and understand the potential costs and savings.</w:t>
      </w:r>
    </w:p>
    <w:p w:rsidR="00D12323" w:rsidRDefault="00D12323" w:rsidP="006D27C5">
      <w:pPr>
        <w:spacing w:before="0" w:after="0" w:line="270" w:lineRule="atLeast"/>
        <w:jc w:val="both"/>
        <w:rPr>
          <w:szCs w:val="24"/>
        </w:rPr>
      </w:pPr>
      <w:r w:rsidRPr="008A5812">
        <w:rPr>
          <w:szCs w:val="24"/>
        </w:rPr>
        <w:t xml:space="preserve">For more information on the </w:t>
      </w:r>
      <w:hyperlink r:id="rId29" w:anchor="getting-your-home-assessed" w:history="1">
        <w:r w:rsidRPr="008A5812">
          <w:rPr>
            <w:rStyle w:val="Hyperlink"/>
            <w:rFonts w:ascii="Arial" w:hAnsi="Arial"/>
            <w:szCs w:val="24"/>
          </w:rPr>
          <w:t>GD assessment process see here</w:t>
        </w:r>
      </w:hyperlink>
      <w:r w:rsidRPr="008A5812">
        <w:rPr>
          <w:szCs w:val="24"/>
        </w:rPr>
        <w:t>.</w:t>
      </w:r>
    </w:p>
    <w:p w:rsidR="006D27C5" w:rsidRPr="008A5812" w:rsidRDefault="006D27C5" w:rsidP="006D27C5">
      <w:pPr>
        <w:spacing w:before="0" w:after="0" w:line="270" w:lineRule="atLeast"/>
        <w:jc w:val="both"/>
        <w:rPr>
          <w:szCs w:val="24"/>
        </w:rPr>
      </w:pPr>
    </w:p>
    <w:p w:rsidR="00D12323" w:rsidRPr="008A5812" w:rsidRDefault="00D12323" w:rsidP="006D27C5">
      <w:pPr>
        <w:spacing w:before="0" w:after="0" w:line="270" w:lineRule="atLeast"/>
        <w:jc w:val="both"/>
        <w:rPr>
          <w:szCs w:val="24"/>
        </w:rPr>
      </w:pPr>
      <w:r w:rsidRPr="008A5812">
        <w:rPr>
          <w:szCs w:val="24"/>
        </w:rPr>
        <w:t xml:space="preserve">At the end of </w:t>
      </w:r>
      <w:r w:rsidR="00476A90">
        <w:rPr>
          <w:szCs w:val="24"/>
        </w:rPr>
        <w:t>October there were 101,851</w:t>
      </w:r>
      <w:r w:rsidRPr="008A5812">
        <w:rPr>
          <w:szCs w:val="24"/>
        </w:rPr>
        <w:t xml:space="preserve"> GD Assessments lodged in total (</w:t>
      </w:r>
      <w:hyperlink w:anchor="Chart1" w:history="1">
        <w:r w:rsidRPr="008A5812">
          <w:rPr>
            <w:rStyle w:val="Hyperlink"/>
            <w:rFonts w:ascii="Arial" w:hAnsi="Arial"/>
            <w:szCs w:val="24"/>
          </w:rPr>
          <w:t>Char</w:t>
        </w:r>
        <w:r w:rsidRPr="008A5812">
          <w:rPr>
            <w:rStyle w:val="Hyperlink"/>
            <w:rFonts w:ascii="Arial" w:hAnsi="Arial"/>
            <w:szCs w:val="24"/>
          </w:rPr>
          <w:t>t</w:t>
        </w:r>
        <w:r w:rsidRPr="008A5812">
          <w:rPr>
            <w:rStyle w:val="Hyperlink"/>
            <w:rFonts w:ascii="Arial" w:hAnsi="Arial"/>
            <w:szCs w:val="24"/>
          </w:rPr>
          <w:t xml:space="preserve"> 1</w:t>
        </w:r>
      </w:hyperlink>
      <w:r w:rsidRPr="008A5812">
        <w:rPr>
          <w:szCs w:val="24"/>
        </w:rPr>
        <w:t xml:space="preserve">). The number of GD Assessments in </w:t>
      </w:r>
      <w:r w:rsidR="00476A90">
        <w:rPr>
          <w:szCs w:val="24"/>
        </w:rPr>
        <w:t>October w</w:t>
      </w:r>
      <w:r w:rsidR="00476A90" w:rsidRPr="00476A90">
        <w:rPr>
          <w:szCs w:val="24"/>
        </w:rPr>
        <w:t xml:space="preserve">as 19 per cent higher than </w:t>
      </w:r>
      <w:r w:rsidR="00476A90">
        <w:rPr>
          <w:szCs w:val="24"/>
        </w:rPr>
        <w:t>the number in September</w:t>
      </w:r>
      <w:r w:rsidR="00476A90" w:rsidRPr="00476A90">
        <w:rPr>
          <w:szCs w:val="24"/>
        </w:rPr>
        <w:t>, which in turn was seven per cent higher than the number in August.</w:t>
      </w:r>
      <w:r w:rsidR="00476A90">
        <w:rPr>
          <w:szCs w:val="24"/>
        </w:rPr>
        <w:t xml:space="preserve"> </w:t>
      </w:r>
    </w:p>
    <w:p w:rsidR="00705A31" w:rsidRPr="008A5812" w:rsidRDefault="00705A31" w:rsidP="00D12323">
      <w:pPr>
        <w:spacing w:after="0" w:line="270" w:lineRule="atLeast"/>
        <w:jc w:val="both"/>
        <w:rPr>
          <w:szCs w:val="24"/>
        </w:rPr>
      </w:pPr>
    </w:p>
    <w:p w:rsidR="006D27C5" w:rsidRDefault="006D27C5" w:rsidP="00705A31">
      <w:pPr>
        <w:spacing w:line="240" w:lineRule="auto"/>
      </w:pPr>
      <w:bookmarkStart w:id="22" w:name="OLE_LINK1"/>
      <w:bookmarkStart w:id="23" w:name="OLE_LINK2"/>
      <w:bookmarkStart w:id="24" w:name="OLE_LINK5"/>
      <w:bookmarkStart w:id="25" w:name="OLE_LINK6"/>
    </w:p>
    <w:p w:rsidR="00E37ADB" w:rsidRDefault="00E37ADB" w:rsidP="00705A31">
      <w:pPr>
        <w:spacing w:line="240" w:lineRule="auto"/>
      </w:pPr>
    </w:p>
    <w:p w:rsidR="00E37ADB" w:rsidRDefault="00E37ADB" w:rsidP="00705A31">
      <w:pPr>
        <w:spacing w:line="240" w:lineRule="auto"/>
      </w:pPr>
    </w:p>
    <w:p w:rsidR="00E37ADB" w:rsidRDefault="00E37ADB" w:rsidP="00705A31">
      <w:pPr>
        <w:spacing w:line="240" w:lineRule="auto"/>
      </w:pPr>
    </w:p>
    <w:p w:rsidR="008A43E6" w:rsidRDefault="008A43E6" w:rsidP="00705A31">
      <w:pPr>
        <w:spacing w:line="240" w:lineRule="auto"/>
      </w:pPr>
    </w:p>
    <w:p w:rsidR="00E37ADB" w:rsidRDefault="00E37ADB" w:rsidP="00705A31">
      <w:pPr>
        <w:spacing w:line="240" w:lineRule="auto"/>
      </w:pPr>
    </w:p>
    <w:p w:rsidR="006D27C5" w:rsidRDefault="006D27C5" w:rsidP="00705A31">
      <w:pPr>
        <w:spacing w:line="240" w:lineRule="auto"/>
      </w:pPr>
    </w:p>
    <w:p w:rsidR="009E7605" w:rsidRDefault="009E7605" w:rsidP="00705A31">
      <w:pPr>
        <w:spacing w:line="240" w:lineRule="auto"/>
      </w:pPr>
    </w:p>
    <w:p w:rsidR="00705A31" w:rsidRPr="000F4B03" w:rsidRDefault="000F4B03" w:rsidP="000F4B03">
      <w:pPr>
        <w:pStyle w:val="Caption"/>
        <w:rPr>
          <w:b w:val="0"/>
          <w:sz w:val="24"/>
          <w:szCs w:val="24"/>
        </w:rPr>
      </w:pPr>
      <w:bookmarkStart w:id="26" w:name="_Toc372290139"/>
      <w:bookmarkStart w:id="27" w:name="Chart1"/>
      <w:r w:rsidRPr="000F4B03">
        <w:rPr>
          <w:b w:val="0"/>
          <w:sz w:val="24"/>
          <w:szCs w:val="24"/>
        </w:rPr>
        <w:lastRenderedPageBreak/>
        <w:t xml:space="preserve">Chart </w:t>
      </w:r>
      <w:r w:rsidRPr="000F4B03">
        <w:rPr>
          <w:b w:val="0"/>
          <w:sz w:val="24"/>
          <w:szCs w:val="24"/>
        </w:rPr>
        <w:fldChar w:fldCharType="begin"/>
      </w:r>
      <w:r w:rsidRPr="000F4B03">
        <w:rPr>
          <w:b w:val="0"/>
          <w:sz w:val="24"/>
          <w:szCs w:val="24"/>
        </w:rPr>
        <w:instrText xml:space="preserve"> SEQ Chart \* ARABIC </w:instrText>
      </w:r>
      <w:r w:rsidRPr="000F4B03">
        <w:rPr>
          <w:b w:val="0"/>
          <w:sz w:val="24"/>
          <w:szCs w:val="24"/>
        </w:rPr>
        <w:fldChar w:fldCharType="separate"/>
      </w:r>
      <w:r w:rsidR="006C0F27">
        <w:rPr>
          <w:b w:val="0"/>
          <w:noProof/>
          <w:sz w:val="24"/>
          <w:szCs w:val="24"/>
        </w:rPr>
        <w:t>1</w:t>
      </w:r>
      <w:r w:rsidRPr="000F4B03">
        <w:rPr>
          <w:b w:val="0"/>
          <w:sz w:val="24"/>
          <w:szCs w:val="24"/>
        </w:rPr>
        <w:fldChar w:fldCharType="end"/>
      </w:r>
      <w:r w:rsidR="00705A31" w:rsidRPr="000F4B03">
        <w:rPr>
          <w:b w:val="0"/>
          <w:sz w:val="24"/>
          <w:szCs w:val="24"/>
        </w:rPr>
        <w:t xml:space="preserve"> - Number of Green Deal Assessments lodged, by month</w:t>
      </w:r>
      <w:bookmarkEnd w:id="26"/>
    </w:p>
    <w:bookmarkEnd w:id="22"/>
    <w:bookmarkEnd w:id="23"/>
    <w:bookmarkEnd w:id="24"/>
    <w:bookmarkEnd w:id="25"/>
    <w:bookmarkEnd w:id="27"/>
    <w:p w:rsidR="00705A31" w:rsidRPr="008A5812" w:rsidRDefault="00593B7F" w:rsidP="00705A31">
      <w:pPr>
        <w:spacing w:after="0" w:line="270" w:lineRule="atLeast"/>
        <w:jc w:val="both"/>
        <w:rPr>
          <w:szCs w:val="24"/>
        </w:rPr>
      </w:pPr>
      <w:r>
        <w:rPr>
          <w:noProof/>
          <w:szCs w:val="24"/>
          <w:lang w:eastAsia="en-GB"/>
        </w:rPr>
      </w:r>
      <w:r>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width:460.5pt;height:327pt;mso-position-horizontal-relative:char;mso-position-vertical-relative:line">
            <v:imagedata r:id="rId30" o:title=""/>
            <w10:wrap type="none"/>
            <w10:anchorlock/>
          </v:shape>
        </w:pict>
      </w:r>
    </w:p>
    <w:p w:rsidR="00D12323" w:rsidRPr="008A5812" w:rsidRDefault="00D12323" w:rsidP="00D12323">
      <w:pPr>
        <w:spacing w:after="0" w:line="270" w:lineRule="atLeast"/>
        <w:jc w:val="both"/>
        <w:rPr>
          <w:szCs w:val="24"/>
        </w:rPr>
      </w:pPr>
    </w:p>
    <w:p w:rsidR="00D12323" w:rsidRPr="008A5812" w:rsidRDefault="00D12323" w:rsidP="000374A9">
      <w:pPr>
        <w:pStyle w:val="Heading2"/>
        <w:spacing w:before="0" w:after="0"/>
      </w:pPr>
      <w:bookmarkStart w:id="28" w:name="_Toc372290489"/>
      <w:r w:rsidRPr="008A5812">
        <w:t>Green Deal Plans in unique properties, cum</w:t>
      </w:r>
      <w:r w:rsidR="008A43E6">
        <w:t>ulative totals by month (Table 3</w:t>
      </w:r>
      <w:r w:rsidRPr="008A5812">
        <w:t>, Chart 2)</w:t>
      </w:r>
      <w:bookmarkEnd w:id="28"/>
    </w:p>
    <w:p w:rsidR="00D12323" w:rsidRPr="008A5812" w:rsidRDefault="00D12323" w:rsidP="00D12323">
      <w:pPr>
        <w:spacing w:after="0" w:line="270" w:lineRule="atLeast"/>
        <w:jc w:val="both"/>
        <w:rPr>
          <w:szCs w:val="24"/>
          <w:u w:val="single"/>
        </w:rPr>
      </w:pPr>
    </w:p>
    <w:p w:rsidR="00D12323" w:rsidRDefault="00D12323" w:rsidP="001236EF">
      <w:pPr>
        <w:spacing w:before="0" w:after="0" w:line="270" w:lineRule="atLeast"/>
        <w:jc w:val="both"/>
        <w:rPr>
          <w:szCs w:val="24"/>
        </w:rPr>
      </w:pPr>
      <w:r w:rsidRPr="008A5812">
        <w:rPr>
          <w:szCs w:val="24"/>
        </w:rPr>
        <w:t>Following an Assessment, for householders who choose to take on some of the recommended measures, there are a number of routes to pay for the improvements. Some customers may choose Green Deal finance to pay for part or all of their planned improvements, whilst others may choose to pay for measures out of savings or other sources of finance, and some may be part funded through ECO support.</w:t>
      </w:r>
    </w:p>
    <w:p w:rsidR="001236EF" w:rsidRPr="008A5812" w:rsidRDefault="001236EF" w:rsidP="001236EF">
      <w:pPr>
        <w:spacing w:before="0" w:after="0" w:line="270" w:lineRule="atLeast"/>
        <w:jc w:val="both"/>
        <w:rPr>
          <w:szCs w:val="24"/>
        </w:rPr>
      </w:pPr>
    </w:p>
    <w:p w:rsidR="00D12323" w:rsidRDefault="00D12323" w:rsidP="001236EF">
      <w:pPr>
        <w:pStyle w:val="ListParagraph"/>
        <w:spacing w:line="270" w:lineRule="atLeast"/>
        <w:ind w:left="0"/>
        <w:contextualSpacing/>
        <w:jc w:val="both"/>
        <w:rPr>
          <w:rFonts w:ascii="Arial" w:hAnsi="Arial" w:cs="Arial"/>
          <w:sz w:val="24"/>
          <w:szCs w:val="24"/>
        </w:rPr>
      </w:pPr>
      <w:r w:rsidRPr="008A5812">
        <w:rPr>
          <w:rFonts w:ascii="Arial" w:hAnsi="Arial" w:cs="Arial"/>
          <w:sz w:val="24"/>
          <w:szCs w:val="24"/>
        </w:rPr>
        <w:t>For those who choose Green Deal finance, there are three stages in the life cycle of a Green Deal Plan for which reports are generated.</w:t>
      </w:r>
      <w:r w:rsidRPr="008A5812">
        <w:rPr>
          <w:rFonts w:ascii="Arial" w:hAnsi="Arial" w:cs="Arial"/>
          <w:b/>
          <w:sz w:val="24"/>
          <w:szCs w:val="24"/>
        </w:rPr>
        <w:t xml:space="preserve"> </w:t>
      </w:r>
      <w:r w:rsidRPr="008A5812">
        <w:rPr>
          <w:rFonts w:ascii="Arial" w:hAnsi="Arial" w:cs="Arial"/>
          <w:sz w:val="24"/>
          <w:szCs w:val="24"/>
        </w:rPr>
        <w:t xml:space="preserve">In total, there were </w:t>
      </w:r>
      <w:r w:rsidR="00706B3F">
        <w:rPr>
          <w:rFonts w:ascii="Arial" w:hAnsi="Arial" w:cs="Arial"/>
          <w:sz w:val="24"/>
          <w:szCs w:val="24"/>
        </w:rPr>
        <w:t>1,173</w:t>
      </w:r>
      <w:r w:rsidRPr="008A5812">
        <w:rPr>
          <w:rFonts w:ascii="Arial" w:hAnsi="Arial" w:cs="Arial"/>
          <w:sz w:val="24"/>
          <w:szCs w:val="24"/>
        </w:rPr>
        <w:t xml:space="preserve"> Green Deal Plans in the system at the end of </w:t>
      </w:r>
      <w:r w:rsidR="00706B3F">
        <w:rPr>
          <w:rFonts w:ascii="Arial" w:hAnsi="Arial" w:cs="Arial"/>
          <w:sz w:val="24"/>
          <w:szCs w:val="24"/>
        </w:rPr>
        <w:t>October,</w:t>
      </w:r>
      <w:r w:rsidRPr="008A5812">
        <w:rPr>
          <w:rFonts w:ascii="Arial" w:hAnsi="Arial" w:cs="Arial"/>
          <w:sz w:val="24"/>
          <w:szCs w:val="24"/>
        </w:rPr>
        <w:t xml:space="preserve"> up from </w:t>
      </w:r>
      <w:r w:rsidR="00706B3F">
        <w:rPr>
          <w:rFonts w:ascii="Arial" w:hAnsi="Arial" w:cs="Arial"/>
          <w:sz w:val="24"/>
          <w:szCs w:val="24"/>
        </w:rPr>
        <w:t>954</w:t>
      </w:r>
      <w:r w:rsidRPr="008A5812">
        <w:rPr>
          <w:rFonts w:ascii="Arial" w:hAnsi="Arial" w:cs="Arial"/>
          <w:sz w:val="24"/>
          <w:szCs w:val="24"/>
        </w:rPr>
        <w:t xml:space="preserve"> at the end of </w:t>
      </w:r>
      <w:r w:rsidR="00706B3F">
        <w:rPr>
          <w:rFonts w:ascii="Arial" w:hAnsi="Arial" w:cs="Arial"/>
          <w:sz w:val="24"/>
          <w:szCs w:val="24"/>
        </w:rPr>
        <w:t>September. Of these 1,173 Plans, 360</w:t>
      </w:r>
      <w:r w:rsidRPr="008A5812">
        <w:rPr>
          <w:rFonts w:ascii="Arial" w:hAnsi="Arial" w:cs="Arial"/>
          <w:sz w:val="24"/>
          <w:szCs w:val="24"/>
        </w:rPr>
        <w:t xml:space="preserve"> were ‘new’ quotes fo</w:t>
      </w:r>
      <w:r w:rsidR="00706B3F">
        <w:rPr>
          <w:rFonts w:ascii="Arial" w:hAnsi="Arial" w:cs="Arial"/>
          <w:sz w:val="24"/>
          <w:szCs w:val="24"/>
        </w:rPr>
        <w:t>r GD Plans (quote accepted), 594</w:t>
      </w:r>
      <w:r w:rsidRPr="008A5812">
        <w:rPr>
          <w:rFonts w:ascii="Arial" w:hAnsi="Arial" w:cs="Arial"/>
          <w:sz w:val="24"/>
          <w:szCs w:val="24"/>
        </w:rPr>
        <w:t xml:space="preserve"> had moved to ‘pending’ (Plan si</w:t>
      </w:r>
      <w:r w:rsidR="00706B3F">
        <w:rPr>
          <w:rFonts w:ascii="Arial" w:hAnsi="Arial" w:cs="Arial"/>
          <w:sz w:val="24"/>
          <w:szCs w:val="24"/>
        </w:rPr>
        <w:t>gned) and 219</w:t>
      </w:r>
      <w:r w:rsidRPr="008A5812">
        <w:rPr>
          <w:rFonts w:ascii="Arial" w:hAnsi="Arial" w:cs="Arial"/>
          <w:sz w:val="24"/>
          <w:szCs w:val="24"/>
        </w:rPr>
        <w:t xml:space="preserve"> were ‘live’ (measures installed</w:t>
      </w:r>
      <w:r w:rsidR="00E37ADB" w:rsidRPr="008A5812">
        <w:rPr>
          <w:rFonts w:ascii="Arial" w:hAnsi="Arial" w:cs="Arial"/>
          <w:sz w:val="24"/>
          <w:szCs w:val="24"/>
        </w:rPr>
        <w:t>)</w:t>
      </w:r>
      <w:r w:rsidR="00E37ADB">
        <w:rPr>
          <w:rFonts w:ascii="Arial" w:hAnsi="Arial" w:cs="Arial"/>
          <w:sz w:val="24"/>
          <w:szCs w:val="24"/>
        </w:rPr>
        <w:t>, 19 per cent of all Plans</w:t>
      </w:r>
      <w:r w:rsidRPr="008A5812">
        <w:rPr>
          <w:rFonts w:ascii="Arial" w:hAnsi="Arial" w:cs="Arial"/>
          <w:sz w:val="24"/>
          <w:szCs w:val="24"/>
        </w:rPr>
        <w:t xml:space="preserve">. The three reporting stages are presented in Table </w:t>
      </w:r>
      <w:r w:rsidR="006D47B5">
        <w:rPr>
          <w:rFonts w:ascii="Arial" w:hAnsi="Arial" w:cs="Arial"/>
          <w:sz w:val="24"/>
          <w:szCs w:val="24"/>
        </w:rPr>
        <w:t>3</w:t>
      </w:r>
      <w:r w:rsidRPr="008A5812">
        <w:rPr>
          <w:rFonts w:ascii="Arial" w:hAnsi="Arial" w:cs="Arial"/>
          <w:sz w:val="24"/>
          <w:szCs w:val="24"/>
        </w:rPr>
        <w:t xml:space="preserve"> and Chart 2 and described below:</w:t>
      </w:r>
    </w:p>
    <w:p w:rsidR="001236EF" w:rsidRPr="008A5812" w:rsidRDefault="001236EF" w:rsidP="001236EF">
      <w:pPr>
        <w:pStyle w:val="ListParagraph"/>
        <w:spacing w:line="270" w:lineRule="atLeast"/>
        <w:ind w:left="0"/>
        <w:contextualSpacing/>
        <w:jc w:val="both"/>
        <w:rPr>
          <w:rFonts w:ascii="Arial" w:hAnsi="Arial" w:cs="Arial"/>
          <w:sz w:val="24"/>
          <w:szCs w:val="24"/>
        </w:rPr>
      </w:pPr>
    </w:p>
    <w:p w:rsidR="00D12323" w:rsidRPr="00300F50" w:rsidRDefault="00D12323" w:rsidP="003C6A41">
      <w:pPr>
        <w:numPr>
          <w:ilvl w:val="0"/>
          <w:numId w:val="7"/>
        </w:numPr>
        <w:spacing w:before="0" w:after="200" w:line="270" w:lineRule="atLeast"/>
        <w:jc w:val="both"/>
        <w:rPr>
          <w:color w:val="000000"/>
          <w:szCs w:val="24"/>
        </w:rPr>
      </w:pPr>
      <w:proofErr w:type="gramStart"/>
      <w:r w:rsidRPr="00300F50">
        <w:rPr>
          <w:color w:val="000000"/>
          <w:szCs w:val="24"/>
        </w:rPr>
        <w:t>the</w:t>
      </w:r>
      <w:proofErr w:type="gramEnd"/>
      <w:r w:rsidRPr="00300F50">
        <w:rPr>
          <w:color w:val="000000"/>
          <w:szCs w:val="24"/>
        </w:rPr>
        <w:t xml:space="preserve"> </w:t>
      </w:r>
      <w:r w:rsidRPr="00300F50">
        <w:rPr>
          <w:b/>
          <w:color w:val="000000"/>
          <w:szCs w:val="24"/>
        </w:rPr>
        <w:t>first stage</w:t>
      </w:r>
      <w:r w:rsidRPr="00300F50">
        <w:rPr>
          <w:color w:val="000000"/>
          <w:szCs w:val="24"/>
        </w:rPr>
        <w:t xml:space="preserve"> (a ‘new’ Green Deal Plan) is </w:t>
      </w:r>
      <w:r w:rsidRPr="00300F50">
        <w:rPr>
          <w:bCs/>
          <w:color w:val="000000"/>
          <w:szCs w:val="24"/>
        </w:rPr>
        <w:t>after a customer has obtained a quote from a Green Deal Provider and confirmed they wish to proceed. T</w:t>
      </w:r>
      <w:r w:rsidRPr="00300F50">
        <w:rPr>
          <w:color w:val="000000"/>
          <w:szCs w:val="24"/>
        </w:rPr>
        <w:t xml:space="preserve">he Green Deal Provider has </w:t>
      </w:r>
      <w:r w:rsidRPr="00300F50">
        <w:rPr>
          <w:bCs/>
          <w:color w:val="000000"/>
          <w:szCs w:val="24"/>
        </w:rPr>
        <w:t xml:space="preserve">then </w:t>
      </w:r>
      <w:r w:rsidRPr="00300F50">
        <w:rPr>
          <w:color w:val="000000"/>
          <w:szCs w:val="24"/>
        </w:rPr>
        <w:t xml:space="preserve">successfully requested a Green Deal Plan record prior to signature by the customer. It is possible that more than one Green Deal Plan may be requested for each household. There were </w:t>
      </w:r>
      <w:r w:rsidR="00706B3F">
        <w:rPr>
          <w:color w:val="000000"/>
          <w:szCs w:val="24"/>
        </w:rPr>
        <w:t>360</w:t>
      </w:r>
      <w:r w:rsidRPr="00300F50">
        <w:rPr>
          <w:color w:val="000000"/>
          <w:szCs w:val="24"/>
        </w:rPr>
        <w:t xml:space="preserve"> households with a ‘new’ Green Deal Plan </w:t>
      </w:r>
      <w:r w:rsidR="00706B3F">
        <w:rPr>
          <w:color w:val="000000"/>
          <w:szCs w:val="24"/>
        </w:rPr>
        <w:t>reported up to the end of Octob</w:t>
      </w:r>
      <w:r w:rsidRPr="00300F50">
        <w:rPr>
          <w:color w:val="000000"/>
          <w:szCs w:val="24"/>
        </w:rPr>
        <w:t>er.</w:t>
      </w:r>
    </w:p>
    <w:p w:rsidR="00D12323" w:rsidRPr="008A5812" w:rsidRDefault="00D12323" w:rsidP="003C6A41">
      <w:pPr>
        <w:numPr>
          <w:ilvl w:val="0"/>
          <w:numId w:val="7"/>
        </w:numPr>
        <w:spacing w:before="0" w:after="200" w:line="270" w:lineRule="atLeast"/>
        <w:jc w:val="both"/>
        <w:rPr>
          <w:szCs w:val="24"/>
        </w:rPr>
      </w:pPr>
      <w:proofErr w:type="gramStart"/>
      <w:r w:rsidRPr="00300F50">
        <w:rPr>
          <w:color w:val="000000"/>
          <w:szCs w:val="24"/>
        </w:rPr>
        <w:t>the</w:t>
      </w:r>
      <w:proofErr w:type="gramEnd"/>
      <w:r w:rsidRPr="00300F50">
        <w:rPr>
          <w:color w:val="000000"/>
          <w:szCs w:val="24"/>
        </w:rPr>
        <w:t xml:space="preserve"> </w:t>
      </w:r>
      <w:r w:rsidRPr="00300F50">
        <w:rPr>
          <w:b/>
          <w:color w:val="000000"/>
          <w:szCs w:val="24"/>
        </w:rPr>
        <w:t>second stage</w:t>
      </w:r>
      <w:r w:rsidRPr="00300F50">
        <w:rPr>
          <w:color w:val="000000"/>
          <w:szCs w:val="24"/>
        </w:rPr>
        <w:t xml:space="preserve"> (a ‘pending’ Green Deal Plan) is when a Green Deal Plan has been signed by the customer, progress is being made to install Green Deal Plan measures and the Plan is being finalised so that c</w:t>
      </w:r>
      <w:r w:rsidR="00706B3F">
        <w:rPr>
          <w:color w:val="000000"/>
          <w:szCs w:val="24"/>
        </w:rPr>
        <w:t>harging can start. There were 594</w:t>
      </w:r>
      <w:r w:rsidRPr="00300F50">
        <w:rPr>
          <w:color w:val="000000"/>
          <w:szCs w:val="24"/>
        </w:rPr>
        <w:t xml:space="preserve"> households with ‘pending’ Green Deal Plans reported </w:t>
      </w:r>
      <w:r w:rsidRPr="008A5812">
        <w:rPr>
          <w:color w:val="000000"/>
          <w:szCs w:val="24"/>
        </w:rPr>
        <w:t xml:space="preserve">up to the end of </w:t>
      </w:r>
      <w:r w:rsidR="00706B3F">
        <w:rPr>
          <w:color w:val="000000"/>
          <w:szCs w:val="24"/>
        </w:rPr>
        <w:t>October.</w:t>
      </w:r>
    </w:p>
    <w:p w:rsidR="00D12323" w:rsidRDefault="00D12323" w:rsidP="003C6A41">
      <w:pPr>
        <w:numPr>
          <w:ilvl w:val="0"/>
          <w:numId w:val="7"/>
        </w:numPr>
        <w:spacing w:before="0" w:after="200" w:line="270" w:lineRule="atLeast"/>
        <w:jc w:val="both"/>
        <w:rPr>
          <w:color w:val="000000"/>
          <w:szCs w:val="24"/>
        </w:rPr>
      </w:pPr>
      <w:proofErr w:type="gramStart"/>
      <w:r w:rsidRPr="00300F50">
        <w:rPr>
          <w:color w:val="000000"/>
          <w:szCs w:val="24"/>
        </w:rPr>
        <w:lastRenderedPageBreak/>
        <w:t>the</w:t>
      </w:r>
      <w:proofErr w:type="gramEnd"/>
      <w:r w:rsidRPr="00300F50">
        <w:rPr>
          <w:color w:val="000000"/>
          <w:szCs w:val="24"/>
        </w:rPr>
        <w:t xml:space="preserve"> </w:t>
      </w:r>
      <w:r w:rsidRPr="00300F50">
        <w:rPr>
          <w:b/>
          <w:color w:val="000000"/>
          <w:szCs w:val="24"/>
        </w:rPr>
        <w:t>final stage</w:t>
      </w:r>
      <w:r w:rsidRPr="00300F50">
        <w:rPr>
          <w:color w:val="000000"/>
          <w:szCs w:val="24"/>
        </w:rPr>
        <w:t xml:space="preserve"> (a ‘live’ Green Deal Plan) is after the measures have been installed in the property, the information required to disclose the Plan to future bill payers has been attached to the Plan and the energy supplier has all the information required to bill Green Deal charges.  At this stage the daily charge has been confirmed along with the date from when the charge will be accrued on thei</w:t>
      </w:r>
      <w:r w:rsidR="00706B3F">
        <w:rPr>
          <w:color w:val="000000"/>
          <w:szCs w:val="24"/>
        </w:rPr>
        <w:t>r electricity bill. There were 219</w:t>
      </w:r>
      <w:r w:rsidRPr="00300F50">
        <w:rPr>
          <w:color w:val="000000"/>
          <w:szCs w:val="24"/>
        </w:rPr>
        <w:t xml:space="preserve"> ‘live’ Green Deal Plans reported up to the end of</w:t>
      </w:r>
      <w:r w:rsidRPr="008A5812">
        <w:rPr>
          <w:color w:val="000000"/>
          <w:szCs w:val="24"/>
        </w:rPr>
        <w:t xml:space="preserve"> </w:t>
      </w:r>
      <w:r w:rsidR="00706B3F">
        <w:rPr>
          <w:color w:val="000000"/>
          <w:szCs w:val="24"/>
        </w:rPr>
        <w:t>October</w:t>
      </w:r>
      <w:r w:rsidRPr="008A5812">
        <w:rPr>
          <w:color w:val="000000"/>
          <w:szCs w:val="24"/>
        </w:rPr>
        <w:t xml:space="preserve"> having installed at least one measure in each property.</w:t>
      </w:r>
    </w:p>
    <w:p w:rsidR="00706B3F" w:rsidRPr="00A86E75" w:rsidRDefault="00706B3F" w:rsidP="00706B3F">
      <w:pPr>
        <w:spacing w:before="0" w:after="200" w:line="270" w:lineRule="atLeast"/>
        <w:ind w:left="720"/>
        <w:jc w:val="both"/>
        <w:rPr>
          <w:szCs w:val="24"/>
        </w:rPr>
      </w:pPr>
      <w:r w:rsidRPr="00A86E75">
        <w:rPr>
          <w:szCs w:val="24"/>
        </w:rPr>
        <w:t xml:space="preserve">The total number of measures installed using Green Deal finance </w:t>
      </w:r>
      <w:r w:rsidR="00A86E75" w:rsidRPr="00A86E75">
        <w:rPr>
          <w:szCs w:val="24"/>
        </w:rPr>
        <w:t>was 481 up to the end of October</w:t>
      </w:r>
      <w:r w:rsidRPr="00A86E75">
        <w:rPr>
          <w:szCs w:val="24"/>
        </w:rPr>
        <w:t>.</w:t>
      </w:r>
      <w:r w:rsidR="00A86E75">
        <w:rPr>
          <w:szCs w:val="24"/>
        </w:rPr>
        <w:t xml:space="preserve"> Boilers accounted for 37 per cent of measures installed using Green Deal finance, p</w:t>
      </w:r>
      <w:r w:rsidR="00A86E75" w:rsidRPr="00A86E75">
        <w:rPr>
          <w:szCs w:val="24"/>
        </w:rPr>
        <w:t>hotovoltaics</w:t>
      </w:r>
      <w:r w:rsidR="00A86E75">
        <w:rPr>
          <w:szCs w:val="24"/>
        </w:rPr>
        <w:t xml:space="preserve"> were 16 per cent of all measures, heating controls were 15 per cent and solid wall insulation was 14 per cent (see Table </w:t>
      </w:r>
      <w:r w:rsidR="006D47B5">
        <w:rPr>
          <w:szCs w:val="24"/>
        </w:rPr>
        <w:t>3</w:t>
      </w:r>
      <w:r w:rsidR="00A86E75">
        <w:rPr>
          <w:szCs w:val="24"/>
        </w:rPr>
        <w:t>b).</w:t>
      </w:r>
    </w:p>
    <w:p w:rsidR="00D12323" w:rsidRDefault="00D12323" w:rsidP="001236EF">
      <w:pPr>
        <w:spacing w:before="0" w:after="0" w:line="270" w:lineRule="atLeast"/>
        <w:jc w:val="both"/>
        <w:rPr>
          <w:color w:val="000000"/>
          <w:szCs w:val="24"/>
        </w:rPr>
      </w:pPr>
      <w:r w:rsidRPr="00300F50">
        <w:rPr>
          <w:color w:val="000000"/>
          <w:szCs w:val="24"/>
        </w:rPr>
        <w:t xml:space="preserve">It </w:t>
      </w:r>
      <w:r w:rsidRPr="00300F50">
        <w:rPr>
          <w:bCs/>
          <w:color w:val="000000"/>
          <w:szCs w:val="24"/>
        </w:rPr>
        <w:t>has</w:t>
      </w:r>
      <w:r w:rsidRPr="00300F50">
        <w:rPr>
          <w:color w:val="000000"/>
          <w:szCs w:val="24"/>
        </w:rPr>
        <w:t xml:space="preserve"> only </w:t>
      </w:r>
      <w:r w:rsidRPr="00300F50">
        <w:rPr>
          <w:bCs/>
          <w:color w:val="000000"/>
          <w:szCs w:val="24"/>
        </w:rPr>
        <w:t>been</w:t>
      </w:r>
      <w:r w:rsidRPr="00300F50">
        <w:rPr>
          <w:color w:val="000000"/>
          <w:szCs w:val="24"/>
        </w:rPr>
        <w:t xml:space="preserve"> possible for Green Deal Providers to request Plans once commercial agreements between the Green Deal Finance Company and Green Deal Providers </w:t>
      </w:r>
      <w:r w:rsidRPr="00300F50">
        <w:rPr>
          <w:bCs/>
          <w:color w:val="000000"/>
          <w:szCs w:val="24"/>
        </w:rPr>
        <w:t>have been</w:t>
      </w:r>
      <w:r w:rsidRPr="00300F50">
        <w:rPr>
          <w:color w:val="000000"/>
          <w:szCs w:val="24"/>
        </w:rPr>
        <w:t xml:space="preserve"> agreed. I</w:t>
      </w:r>
      <w:r w:rsidRPr="00300F50">
        <w:rPr>
          <w:color w:val="000000"/>
          <w:szCs w:val="24"/>
          <w:lang w:eastAsia="en-GB"/>
        </w:rPr>
        <w:t xml:space="preserve">t took Green Deal Providers some time to prepare their businesses to bring offers to the market </w:t>
      </w:r>
      <w:r w:rsidRPr="00300F50">
        <w:rPr>
          <w:color w:val="000000"/>
          <w:szCs w:val="24"/>
        </w:rPr>
        <w:t>with Green Deal Plans being created from May onwards for the small number of GD Providers who have finalised their offer to date.</w:t>
      </w:r>
    </w:p>
    <w:p w:rsidR="001236EF" w:rsidRPr="00300F50" w:rsidRDefault="001236EF" w:rsidP="001236EF">
      <w:pPr>
        <w:spacing w:before="0" w:after="0" w:line="270" w:lineRule="atLeast"/>
        <w:jc w:val="both"/>
        <w:rPr>
          <w:color w:val="000000"/>
          <w:szCs w:val="24"/>
        </w:rPr>
      </w:pPr>
    </w:p>
    <w:p w:rsidR="00D12323" w:rsidRPr="002A2F62" w:rsidRDefault="002A2F62" w:rsidP="002A2F62">
      <w:pPr>
        <w:pStyle w:val="Caption"/>
        <w:rPr>
          <w:b w:val="0"/>
          <w:sz w:val="24"/>
          <w:szCs w:val="24"/>
        </w:rPr>
      </w:pPr>
      <w:bookmarkStart w:id="29" w:name="Chart2"/>
      <w:bookmarkStart w:id="30" w:name="_Toc372290140"/>
      <w:bookmarkEnd w:id="29"/>
      <w:r w:rsidRPr="002A2F62">
        <w:rPr>
          <w:b w:val="0"/>
          <w:sz w:val="24"/>
          <w:szCs w:val="24"/>
        </w:rPr>
        <w:t xml:space="preserve">Chart </w:t>
      </w:r>
      <w:r w:rsidRPr="002A2F62">
        <w:rPr>
          <w:b w:val="0"/>
          <w:sz w:val="24"/>
          <w:szCs w:val="24"/>
        </w:rPr>
        <w:fldChar w:fldCharType="begin"/>
      </w:r>
      <w:r w:rsidRPr="002A2F62">
        <w:rPr>
          <w:b w:val="0"/>
          <w:sz w:val="24"/>
          <w:szCs w:val="24"/>
        </w:rPr>
        <w:instrText xml:space="preserve"> SEQ Chart \* ARABIC </w:instrText>
      </w:r>
      <w:r w:rsidRPr="002A2F62">
        <w:rPr>
          <w:b w:val="0"/>
          <w:sz w:val="24"/>
          <w:szCs w:val="24"/>
        </w:rPr>
        <w:fldChar w:fldCharType="separate"/>
      </w:r>
      <w:r w:rsidR="006C0F27">
        <w:rPr>
          <w:b w:val="0"/>
          <w:noProof/>
          <w:sz w:val="24"/>
          <w:szCs w:val="24"/>
        </w:rPr>
        <w:t>2</w:t>
      </w:r>
      <w:r w:rsidRPr="002A2F62">
        <w:rPr>
          <w:b w:val="0"/>
          <w:sz w:val="24"/>
          <w:szCs w:val="24"/>
        </w:rPr>
        <w:fldChar w:fldCharType="end"/>
      </w:r>
      <w:r>
        <w:rPr>
          <w:b w:val="0"/>
          <w:sz w:val="24"/>
          <w:szCs w:val="24"/>
        </w:rPr>
        <w:t xml:space="preserve"> </w:t>
      </w:r>
      <w:r w:rsidR="00D12323" w:rsidRPr="002A2F62">
        <w:rPr>
          <w:b w:val="0"/>
          <w:sz w:val="24"/>
          <w:szCs w:val="24"/>
        </w:rPr>
        <w:t>- Number of Green Deal Plans in unique properties, cumulative totals at end of each month</w:t>
      </w:r>
      <w:r w:rsidR="001236EF" w:rsidRPr="002A2F62">
        <w:rPr>
          <w:b w:val="0"/>
          <w:sz w:val="24"/>
          <w:szCs w:val="24"/>
        </w:rPr>
        <w:t>, and by stages</w:t>
      </w:r>
      <w:bookmarkEnd w:id="30"/>
    </w:p>
    <w:p w:rsidR="001236EF" w:rsidRDefault="00E37ADB" w:rsidP="00D12323">
      <w:pPr>
        <w:spacing w:line="270" w:lineRule="atLeast"/>
        <w:jc w:val="both"/>
        <w:rPr>
          <w:szCs w:val="24"/>
        </w:rPr>
      </w:pPr>
      <w:r>
        <w:rPr>
          <w:noProof/>
          <w:szCs w:val="24"/>
          <w:lang w:eastAsia="en-GB"/>
        </w:rPr>
      </w:r>
      <w:r>
        <w:rPr>
          <w:szCs w:val="24"/>
        </w:rPr>
        <w:pict>
          <v:shape id="_x0000_s1046" type="#_x0000_t75" style="width:505.5pt;height:357pt;mso-position-horizontal-relative:char;mso-position-vertical-relative:line">
            <v:imagedata r:id="rId31" o:title=""/>
            <w10:wrap type="none"/>
            <w10:anchorlock/>
          </v:shape>
        </w:pict>
      </w:r>
    </w:p>
    <w:p w:rsidR="001236EF" w:rsidRPr="008A5812" w:rsidRDefault="001236EF" w:rsidP="00D12323">
      <w:pPr>
        <w:spacing w:line="270" w:lineRule="atLeast"/>
        <w:jc w:val="both"/>
        <w:rPr>
          <w:szCs w:val="24"/>
        </w:rPr>
      </w:pPr>
    </w:p>
    <w:p w:rsidR="000374A9" w:rsidRDefault="00D12323" w:rsidP="00D12323">
      <w:pPr>
        <w:spacing w:line="270" w:lineRule="atLeast"/>
        <w:jc w:val="both"/>
        <w:rPr>
          <w:szCs w:val="24"/>
        </w:rPr>
      </w:pPr>
      <w:r w:rsidRPr="008A5812">
        <w:rPr>
          <w:szCs w:val="24"/>
        </w:rPr>
        <w:t xml:space="preserve">As ‘new’ and ‘pending’ Green Deal Plans lead to installation of measures and charges starting to accrue, they will be replaced as ‘live’ Green Deal Plans in future monthly releases. </w:t>
      </w:r>
    </w:p>
    <w:p w:rsidR="003372F1" w:rsidRPr="008A5812" w:rsidRDefault="003372F1" w:rsidP="00D12323">
      <w:pPr>
        <w:spacing w:line="270" w:lineRule="atLeast"/>
        <w:jc w:val="both"/>
        <w:rPr>
          <w:szCs w:val="24"/>
        </w:rPr>
      </w:pPr>
    </w:p>
    <w:p w:rsidR="00D12323" w:rsidRDefault="00D12323" w:rsidP="000374A9">
      <w:pPr>
        <w:pStyle w:val="Heading2"/>
        <w:spacing w:before="0" w:after="0"/>
      </w:pPr>
      <w:bookmarkStart w:id="31" w:name="_Toc372290490"/>
      <w:r w:rsidRPr="008A5812">
        <w:lastRenderedPageBreak/>
        <w:t xml:space="preserve">Cashback vouchers where payments have been made, by month of </w:t>
      </w:r>
      <w:r w:rsidR="008A43E6">
        <w:t>installation (Table 4</w:t>
      </w:r>
      <w:r w:rsidRPr="008A5812">
        <w:t>, Chart 3)</w:t>
      </w:r>
      <w:bookmarkEnd w:id="31"/>
    </w:p>
    <w:p w:rsidR="003E17F1" w:rsidRPr="008A5812" w:rsidRDefault="003E17F1" w:rsidP="008B798A">
      <w:pPr>
        <w:spacing w:before="0" w:after="0" w:line="270" w:lineRule="atLeast"/>
        <w:jc w:val="both"/>
        <w:rPr>
          <w:szCs w:val="24"/>
          <w:u w:val="single"/>
        </w:rPr>
      </w:pPr>
    </w:p>
    <w:p w:rsidR="00D12323" w:rsidRDefault="00D12323" w:rsidP="008B798A">
      <w:pPr>
        <w:spacing w:before="0" w:after="0" w:line="270" w:lineRule="atLeast"/>
        <w:jc w:val="both"/>
        <w:rPr>
          <w:rStyle w:val="Hyperlink"/>
          <w:rFonts w:ascii="Arial" w:hAnsi="Arial"/>
          <w:szCs w:val="24"/>
        </w:rPr>
      </w:pPr>
      <w:r w:rsidRPr="008A5812">
        <w:rPr>
          <w:szCs w:val="24"/>
        </w:rPr>
        <w:t xml:space="preserve">The Cashback scheme has been available since January 2013 in England and Wales. It is a financial incentive specifically aimed to encourage domestic customers to get measures installed through the Green Deal process, although it is the customers’ choice whether they decide to take out Green Deal finance or other sources of finance to fund the installation of the measures. For more information on Cashback please see the </w:t>
      </w:r>
      <w:hyperlink r:id="rId32" w:history="1">
        <w:r w:rsidRPr="008A5812">
          <w:rPr>
            <w:rStyle w:val="Hyperlink"/>
            <w:rFonts w:ascii="Arial" w:hAnsi="Arial"/>
            <w:szCs w:val="24"/>
          </w:rPr>
          <w:t>Cashback website</w:t>
        </w:r>
      </w:hyperlink>
    </w:p>
    <w:p w:rsidR="008B798A" w:rsidRPr="008A5812" w:rsidRDefault="008B798A" w:rsidP="008B798A">
      <w:pPr>
        <w:spacing w:before="0" w:after="0" w:line="270" w:lineRule="atLeast"/>
        <w:jc w:val="both"/>
        <w:rPr>
          <w:szCs w:val="24"/>
        </w:rPr>
      </w:pPr>
    </w:p>
    <w:p w:rsidR="00D12323" w:rsidRDefault="00D12323" w:rsidP="008B798A">
      <w:pPr>
        <w:spacing w:before="0" w:after="0" w:line="270" w:lineRule="atLeast"/>
        <w:jc w:val="both"/>
        <w:rPr>
          <w:szCs w:val="24"/>
        </w:rPr>
      </w:pPr>
      <w:r w:rsidRPr="008A5812">
        <w:rPr>
          <w:szCs w:val="24"/>
        </w:rPr>
        <w:t xml:space="preserve">Table </w:t>
      </w:r>
      <w:r w:rsidR="006D47B5">
        <w:rPr>
          <w:szCs w:val="24"/>
        </w:rPr>
        <w:t>4</w:t>
      </w:r>
      <w:r w:rsidRPr="008A5812">
        <w:rPr>
          <w:szCs w:val="24"/>
        </w:rPr>
        <w:t xml:space="preserve"> and Chart 3 show that </w:t>
      </w:r>
      <w:r w:rsidR="008B798A">
        <w:rPr>
          <w:szCs w:val="24"/>
        </w:rPr>
        <w:t>7,453</w:t>
      </w:r>
      <w:r w:rsidRPr="008A5812">
        <w:rPr>
          <w:szCs w:val="24"/>
        </w:rPr>
        <w:t xml:space="preserve"> Cashback vouchers had been paid (following installation of measures) up to the end of </w:t>
      </w:r>
      <w:r w:rsidR="008B798A">
        <w:rPr>
          <w:szCs w:val="24"/>
        </w:rPr>
        <w:t>October</w:t>
      </w:r>
      <w:r w:rsidRPr="008A5812">
        <w:rPr>
          <w:szCs w:val="24"/>
        </w:rPr>
        <w:t xml:space="preserve"> with a total value of </w:t>
      </w:r>
      <w:r w:rsidR="008B798A">
        <w:rPr>
          <w:szCs w:val="24"/>
        </w:rPr>
        <w:t>over £2</w:t>
      </w:r>
      <w:r w:rsidRPr="008A5812">
        <w:rPr>
          <w:szCs w:val="24"/>
        </w:rPr>
        <w:t xml:space="preserve"> million. Although the available data on Cashback vouchers issued cannot be broken down to the same level o</w:t>
      </w:r>
      <w:r w:rsidR="008B798A">
        <w:rPr>
          <w:szCs w:val="24"/>
        </w:rPr>
        <w:t>f detail as vouchers paid, 9,522</w:t>
      </w:r>
      <w:r w:rsidRPr="008A5812">
        <w:rPr>
          <w:szCs w:val="24"/>
        </w:rPr>
        <w:t xml:space="preserve"> Cashback vouchers were issued up to the end of </w:t>
      </w:r>
      <w:r w:rsidR="008B798A">
        <w:rPr>
          <w:szCs w:val="24"/>
        </w:rPr>
        <w:t>Octobe</w:t>
      </w:r>
      <w:r w:rsidRPr="008A5812">
        <w:rPr>
          <w:szCs w:val="24"/>
        </w:rPr>
        <w:t>r with a total</w:t>
      </w:r>
      <w:r w:rsidR="008B798A">
        <w:rPr>
          <w:szCs w:val="24"/>
        </w:rPr>
        <w:t xml:space="preserve"> budget </w:t>
      </w:r>
      <w:proofErr w:type="spellStart"/>
      <w:r w:rsidR="008B798A">
        <w:rPr>
          <w:szCs w:val="24"/>
        </w:rPr>
        <w:t>committed</w:t>
      </w:r>
      <w:proofErr w:type="spellEnd"/>
      <w:r w:rsidR="008B798A">
        <w:rPr>
          <w:szCs w:val="24"/>
        </w:rPr>
        <w:t xml:space="preserve"> of around £2.9</w:t>
      </w:r>
      <w:r w:rsidRPr="008A5812">
        <w:rPr>
          <w:szCs w:val="24"/>
        </w:rPr>
        <w:t xml:space="preserve">m. </w:t>
      </w:r>
      <w:r w:rsidR="008B798A">
        <w:rPr>
          <w:szCs w:val="24"/>
        </w:rPr>
        <w:t>Around 22 per cent</w:t>
      </w:r>
      <w:r w:rsidRPr="008A5812">
        <w:rPr>
          <w:szCs w:val="24"/>
        </w:rPr>
        <w:t xml:space="preserve"> of these issued vouchers will have not been paid yet as payment is dependent on the installation of the measures.</w:t>
      </w:r>
      <w:bookmarkStart w:id="32" w:name="Chart3"/>
      <w:bookmarkEnd w:id="32"/>
    </w:p>
    <w:p w:rsidR="008B798A" w:rsidRPr="008A5812" w:rsidRDefault="008B798A" w:rsidP="008B798A">
      <w:pPr>
        <w:spacing w:before="0" w:after="0" w:line="270" w:lineRule="atLeast"/>
        <w:jc w:val="both"/>
        <w:rPr>
          <w:szCs w:val="24"/>
        </w:rPr>
      </w:pPr>
    </w:p>
    <w:p w:rsidR="00D12323" w:rsidRDefault="00D12323" w:rsidP="008B798A">
      <w:pPr>
        <w:spacing w:before="0" w:after="0" w:line="270" w:lineRule="atLeast"/>
        <w:jc w:val="both"/>
        <w:rPr>
          <w:color w:val="000000"/>
          <w:szCs w:val="24"/>
        </w:rPr>
      </w:pPr>
      <w:r w:rsidRPr="008A5812">
        <w:rPr>
          <w:szCs w:val="24"/>
        </w:rPr>
        <w:t>The majority of vouchers paid to date were installed in June. C</w:t>
      </w:r>
      <w:r w:rsidRPr="008A5812">
        <w:rPr>
          <w:color w:val="000000"/>
          <w:szCs w:val="24"/>
        </w:rPr>
        <w:t xml:space="preserve">ustomers only receive payments once Providers have confirmed to the Cashback Administrator that the measures have been installed and </w:t>
      </w:r>
      <w:proofErr w:type="gramStart"/>
      <w:r w:rsidRPr="008A5812">
        <w:rPr>
          <w:color w:val="000000"/>
          <w:szCs w:val="24"/>
        </w:rPr>
        <w:t>a large batch of payments were</w:t>
      </w:r>
      <w:proofErr w:type="gramEnd"/>
      <w:r w:rsidRPr="008A5812">
        <w:rPr>
          <w:color w:val="000000"/>
          <w:szCs w:val="24"/>
        </w:rPr>
        <w:t xml:space="preserve"> processed in June.</w:t>
      </w:r>
    </w:p>
    <w:p w:rsidR="008B798A" w:rsidRPr="008A5812" w:rsidRDefault="008B798A" w:rsidP="008B798A">
      <w:pPr>
        <w:spacing w:before="0" w:after="0" w:line="270" w:lineRule="atLeast"/>
        <w:jc w:val="both"/>
        <w:rPr>
          <w:szCs w:val="24"/>
        </w:rPr>
      </w:pPr>
    </w:p>
    <w:p w:rsidR="00D12323" w:rsidRPr="002A2F62" w:rsidRDefault="002A2F62" w:rsidP="002A2F62">
      <w:pPr>
        <w:pStyle w:val="Caption"/>
        <w:rPr>
          <w:b w:val="0"/>
          <w:sz w:val="24"/>
          <w:szCs w:val="24"/>
        </w:rPr>
      </w:pPr>
      <w:bookmarkStart w:id="33" w:name="_Toc372290141"/>
      <w:r w:rsidRPr="002A2F62">
        <w:rPr>
          <w:b w:val="0"/>
          <w:sz w:val="24"/>
          <w:szCs w:val="24"/>
        </w:rPr>
        <w:t xml:space="preserve">Chart </w:t>
      </w:r>
      <w:r w:rsidRPr="002A2F62">
        <w:rPr>
          <w:b w:val="0"/>
          <w:sz w:val="24"/>
          <w:szCs w:val="24"/>
        </w:rPr>
        <w:fldChar w:fldCharType="begin"/>
      </w:r>
      <w:r w:rsidRPr="002A2F62">
        <w:rPr>
          <w:b w:val="0"/>
          <w:sz w:val="24"/>
          <w:szCs w:val="24"/>
        </w:rPr>
        <w:instrText xml:space="preserve"> SEQ Chart \* ARABIC </w:instrText>
      </w:r>
      <w:r w:rsidRPr="002A2F62">
        <w:rPr>
          <w:b w:val="0"/>
          <w:sz w:val="24"/>
          <w:szCs w:val="24"/>
        </w:rPr>
        <w:fldChar w:fldCharType="separate"/>
      </w:r>
      <w:r w:rsidR="006C0F27">
        <w:rPr>
          <w:b w:val="0"/>
          <w:noProof/>
          <w:sz w:val="24"/>
          <w:szCs w:val="24"/>
        </w:rPr>
        <w:t>3</w:t>
      </w:r>
      <w:r w:rsidRPr="002A2F62">
        <w:rPr>
          <w:b w:val="0"/>
          <w:sz w:val="24"/>
          <w:szCs w:val="24"/>
        </w:rPr>
        <w:fldChar w:fldCharType="end"/>
      </w:r>
      <w:r w:rsidRPr="002A2F62">
        <w:rPr>
          <w:b w:val="0"/>
          <w:sz w:val="24"/>
          <w:szCs w:val="24"/>
        </w:rPr>
        <w:t xml:space="preserve"> </w:t>
      </w:r>
      <w:r w:rsidR="00D12323" w:rsidRPr="002A2F62">
        <w:rPr>
          <w:b w:val="0"/>
          <w:sz w:val="24"/>
          <w:szCs w:val="24"/>
        </w:rPr>
        <w:t>- Number of Cashback vouchers where payments have been made, by month of installation</w:t>
      </w:r>
      <w:bookmarkEnd w:id="33"/>
    </w:p>
    <w:p w:rsidR="00D12323" w:rsidRPr="008A5812" w:rsidRDefault="008B798A" w:rsidP="00D12323">
      <w:pPr>
        <w:spacing w:line="270" w:lineRule="atLeast"/>
        <w:jc w:val="both"/>
        <w:rPr>
          <w:szCs w:val="24"/>
        </w:rPr>
      </w:pPr>
      <w:r>
        <w:rPr>
          <w:noProof/>
          <w:szCs w:val="24"/>
          <w:lang w:eastAsia="en-GB"/>
        </w:rPr>
      </w:r>
      <w:r>
        <w:rPr>
          <w:szCs w:val="24"/>
        </w:rPr>
        <w:pict>
          <v:shape id="_x0000_s1030" type="#_x0000_t75" style="width:404.25pt;height:278.25pt;mso-position-horizontal-relative:char;mso-position-vertical-relative:line">
            <v:imagedata r:id="rId33" o:title=""/>
            <w10:wrap type="none"/>
            <w10:anchorlock/>
          </v:shape>
        </w:pict>
      </w:r>
    </w:p>
    <w:p w:rsidR="00D12323" w:rsidRDefault="00D12323" w:rsidP="003E17F1">
      <w:pPr>
        <w:spacing w:after="0" w:line="270" w:lineRule="atLeast"/>
        <w:jc w:val="both"/>
        <w:rPr>
          <w:szCs w:val="24"/>
          <w:u w:val="single"/>
        </w:rPr>
      </w:pPr>
      <w:r w:rsidRPr="008A5812">
        <w:rPr>
          <w:szCs w:val="24"/>
          <w:u w:val="single"/>
        </w:rPr>
        <w:t xml:space="preserve">Cashback measures where payments have been made (Table </w:t>
      </w:r>
      <w:r w:rsidR="007176B0">
        <w:rPr>
          <w:szCs w:val="24"/>
          <w:u w:val="single"/>
        </w:rPr>
        <w:t>4</w:t>
      </w:r>
      <w:r w:rsidRPr="008A5812">
        <w:rPr>
          <w:szCs w:val="24"/>
          <w:u w:val="single"/>
        </w:rPr>
        <w:t>a)</w:t>
      </w:r>
    </w:p>
    <w:p w:rsidR="003E17F1" w:rsidRPr="008A5812" w:rsidRDefault="003E17F1" w:rsidP="003E17F1">
      <w:pPr>
        <w:spacing w:after="0" w:line="270" w:lineRule="atLeast"/>
        <w:jc w:val="both"/>
        <w:rPr>
          <w:szCs w:val="24"/>
          <w:u w:val="single"/>
        </w:rPr>
      </w:pPr>
    </w:p>
    <w:p w:rsidR="00D12323" w:rsidRDefault="003E17F1" w:rsidP="003E17F1">
      <w:pPr>
        <w:spacing w:before="0" w:after="0" w:line="270" w:lineRule="atLeast"/>
        <w:jc w:val="both"/>
        <w:rPr>
          <w:szCs w:val="24"/>
        </w:rPr>
      </w:pPr>
      <w:r>
        <w:rPr>
          <w:szCs w:val="24"/>
        </w:rPr>
        <w:t>7,453</w:t>
      </w:r>
      <w:r w:rsidR="00D12323" w:rsidRPr="008A5812">
        <w:rPr>
          <w:szCs w:val="24"/>
        </w:rPr>
        <w:t xml:space="preserve"> Cashback measures wer</w:t>
      </w:r>
      <w:r>
        <w:rPr>
          <w:szCs w:val="24"/>
        </w:rPr>
        <w:t>e installed by the end of Octo</w:t>
      </w:r>
      <w:r w:rsidR="00D12323" w:rsidRPr="008A5812">
        <w:rPr>
          <w:szCs w:val="24"/>
        </w:rPr>
        <w:t xml:space="preserve">ber. More than one measure can be installed in a property and covered by a single Cashback payment. Table </w:t>
      </w:r>
      <w:r w:rsidR="007176B0">
        <w:rPr>
          <w:szCs w:val="24"/>
        </w:rPr>
        <w:t>4</w:t>
      </w:r>
      <w:r w:rsidR="00D12323" w:rsidRPr="008A5812">
        <w:rPr>
          <w:szCs w:val="24"/>
        </w:rPr>
        <w:t>a shows that replacement boilers were the main measure where Cash</w:t>
      </w:r>
      <w:r>
        <w:rPr>
          <w:szCs w:val="24"/>
        </w:rPr>
        <w:t>back payments have been made (95</w:t>
      </w:r>
      <w:r w:rsidR="00D12323" w:rsidRPr="008A5812">
        <w:rPr>
          <w:szCs w:val="24"/>
        </w:rPr>
        <w:t xml:space="preserve"> per cent of all Cashback measures </w:t>
      </w:r>
      <w:r>
        <w:rPr>
          <w:szCs w:val="24"/>
        </w:rPr>
        <w:t>installed), whilst a further three</w:t>
      </w:r>
      <w:r w:rsidR="00D12323" w:rsidRPr="008A5812">
        <w:rPr>
          <w:szCs w:val="24"/>
        </w:rPr>
        <w:t xml:space="preserve"> per cent were for loft insulation and one per cent for cavity wall insulation.</w:t>
      </w:r>
    </w:p>
    <w:p w:rsidR="003E17F1" w:rsidRPr="008A5812" w:rsidRDefault="003E17F1" w:rsidP="003E17F1">
      <w:pPr>
        <w:spacing w:before="0" w:after="0" w:line="270" w:lineRule="atLeast"/>
        <w:jc w:val="both"/>
        <w:rPr>
          <w:szCs w:val="24"/>
        </w:rPr>
      </w:pPr>
    </w:p>
    <w:p w:rsidR="00D12323" w:rsidRDefault="00D12323" w:rsidP="00C06107">
      <w:pPr>
        <w:pStyle w:val="Heading2"/>
        <w:spacing w:before="0" w:after="0"/>
      </w:pPr>
      <w:bookmarkStart w:id="34" w:name="_Toc372290491"/>
      <w:r w:rsidRPr="008A5812">
        <w:lastRenderedPageBreak/>
        <w:t xml:space="preserve">ECO measures installed by obligation, up to the end of </w:t>
      </w:r>
      <w:r w:rsidR="00F1001A">
        <w:t>September</w:t>
      </w:r>
      <w:r w:rsidRPr="008A5812">
        <w:t xml:space="preserve"> (Table </w:t>
      </w:r>
      <w:r w:rsidR="007176B0">
        <w:t>5</w:t>
      </w:r>
      <w:r w:rsidRPr="008A5812">
        <w:t xml:space="preserve">, Table </w:t>
      </w:r>
      <w:r w:rsidR="007176B0">
        <w:t>5</w:t>
      </w:r>
      <w:r w:rsidRPr="008A5812">
        <w:t xml:space="preserve">a, Chart 4, Chart </w:t>
      </w:r>
      <w:r w:rsidR="00AB3F8E">
        <w:t>5</w:t>
      </w:r>
      <w:r w:rsidRPr="008A5812">
        <w:t>)</w:t>
      </w:r>
      <w:bookmarkEnd w:id="34"/>
    </w:p>
    <w:p w:rsidR="003E17F1" w:rsidRPr="008A5812" w:rsidRDefault="003E17F1" w:rsidP="003E17F1">
      <w:pPr>
        <w:spacing w:before="0" w:after="0" w:line="270" w:lineRule="atLeast"/>
        <w:jc w:val="both"/>
        <w:rPr>
          <w:szCs w:val="24"/>
          <w:u w:val="single"/>
        </w:rPr>
      </w:pPr>
    </w:p>
    <w:p w:rsidR="00D12323" w:rsidRDefault="00D12323" w:rsidP="003E17F1">
      <w:pPr>
        <w:spacing w:before="0" w:after="0" w:line="270" w:lineRule="atLeast"/>
        <w:jc w:val="both"/>
        <w:rPr>
          <w:color w:val="000000"/>
          <w:szCs w:val="24"/>
        </w:rPr>
      </w:pPr>
      <w:r w:rsidRPr="008A5812">
        <w:rPr>
          <w:szCs w:val="24"/>
        </w:rPr>
        <w:t xml:space="preserve">The overall </w:t>
      </w:r>
      <w:hyperlink r:id="rId34" w:history="1">
        <w:r w:rsidRPr="008A5812">
          <w:rPr>
            <w:rStyle w:val="Hyperlink"/>
            <w:rFonts w:ascii="Arial" w:hAnsi="Arial"/>
            <w:szCs w:val="24"/>
          </w:rPr>
          <w:t>Energy Company Obligation</w:t>
        </w:r>
      </w:hyperlink>
      <w:r w:rsidRPr="008A5812">
        <w:rPr>
          <w:szCs w:val="24"/>
        </w:rPr>
        <w:t xml:space="preserve"> (ECO) period runs until </w:t>
      </w:r>
      <w:r w:rsidRPr="00300F50">
        <w:rPr>
          <w:color w:val="000000"/>
          <w:szCs w:val="24"/>
        </w:rPr>
        <w:t xml:space="preserve">31 March 2015. </w:t>
      </w:r>
      <w:r w:rsidRPr="008A5812">
        <w:rPr>
          <w:color w:val="000000"/>
          <w:szCs w:val="24"/>
        </w:rPr>
        <w:t xml:space="preserve">Information on measures installed under ECO is at a lag of a month compared to other figures presented in this release due to the time taken for information to be reported and verified. Hence, this release includes measures installed under ECO until the end of </w:t>
      </w:r>
      <w:r w:rsidR="00F1001A">
        <w:rPr>
          <w:color w:val="000000"/>
          <w:szCs w:val="24"/>
        </w:rPr>
        <w:t>September</w:t>
      </w:r>
      <w:r w:rsidRPr="008A5812">
        <w:rPr>
          <w:color w:val="000000"/>
          <w:szCs w:val="24"/>
        </w:rPr>
        <w:t xml:space="preserve"> 2013.</w:t>
      </w:r>
    </w:p>
    <w:p w:rsidR="003E17F1" w:rsidRPr="00300F50" w:rsidRDefault="003E17F1" w:rsidP="003E17F1">
      <w:pPr>
        <w:spacing w:before="0" w:after="0" w:line="270" w:lineRule="atLeast"/>
        <w:jc w:val="both"/>
        <w:rPr>
          <w:color w:val="000000"/>
          <w:szCs w:val="24"/>
        </w:rPr>
      </w:pPr>
    </w:p>
    <w:p w:rsidR="00D12323" w:rsidRDefault="00D12323" w:rsidP="003E17F1">
      <w:pPr>
        <w:spacing w:before="0" w:after="0" w:line="270" w:lineRule="atLeast"/>
        <w:jc w:val="both"/>
        <w:rPr>
          <w:szCs w:val="24"/>
        </w:rPr>
      </w:pPr>
      <w:r w:rsidRPr="008A5812">
        <w:rPr>
          <w:color w:val="000000"/>
          <w:szCs w:val="24"/>
        </w:rPr>
        <w:t>All measures installed under ECO are provisional until the end of the obligation period as checks are undertaken. Initial validation checks are undertaken by Ofgem in the month following receipt of data and longer-term audits are done over the obligation period (e.g. to verify the installation of the measures and the quality of installations and to ensure compliance with the ECO guidelines). Users should note that, in order to produce the most timely data possible, estimates in th</w:t>
      </w:r>
      <w:r w:rsidRPr="008A5812">
        <w:rPr>
          <w:szCs w:val="24"/>
        </w:rPr>
        <w:t xml:space="preserve">is </w:t>
      </w:r>
      <w:r w:rsidRPr="008A5812">
        <w:rPr>
          <w:color w:val="000000"/>
          <w:szCs w:val="24"/>
        </w:rPr>
        <w:t xml:space="preserve">report include a month of data that </w:t>
      </w:r>
      <w:r w:rsidRPr="008A5812">
        <w:rPr>
          <w:szCs w:val="24"/>
        </w:rPr>
        <w:t>has</w:t>
      </w:r>
      <w:r w:rsidRPr="008A5812">
        <w:rPr>
          <w:color w:val="000000"/>
          <w:szCs w:val="24"/>
        </w:rPr>
        <w:t xml:space="preserve"> yet to be through initial Ofgem validation checks</w:t>
      </w:r>
      <w:r w:rsidRPr="008A5812">
        <w:rPr>
          <w:szCs w:val="24"/>
        </w:rPr>
        <w:t xml:space="preserve"> (i.e. as reported by energy suppliers to Ofgem)</w:t>
      </w:r>
      <w:r w:rsidRPr="008A5812">
        <w:rPr>
          <w:color w:val="000000"/>
          <w:szCs w:val="24"/>
        </w:rPr>
        <w:t xml:space="preserve">. </w:t>
      </w:r>
      <w:r w:rsidRPr="008A5812">
        <w:rPr>
          <w:szCs w:val="24"/>
        </w:rPr>
        <w:t>Revisions to data are routinely included in releases and will be explained if they are large.</w:t>
      </w:r>
    </w:p>
    <w:p w:rsidR="003E17F1" w:rsidRPr="008A5812" w:rsidRDefault="003E17F1" w:rsidP="003E17F1">
      <w:pPr>
        <w:spacing w:before="0" w:after="0" w:line="270" w:lineRule="atLeast"/>
        <w:jc w:val="both"/>
        <w:rPr>
          <w:bCs/>
          <w:szCs w:val="24"/>
        </w:rPr>
      </w:pPr>
    </w:p>
    <w:p w:rsidR="00D12323" w:rsidRDefault="00D12323" w:rsidP="003E17F1">
      <w:pPr>
        <w:spacing w:before="0" w:after="0" w:line="270" w:lineRule="atLeast"/>
        <w:jc w:val="both"/>
        <w:rPr>
          <w:szCs w:val="24"/>
        </w:rPr>
      </w:pPr>
      <w:r w:rsidRPr="008A5812">
        <w:rPr>
          <w:color w:val="000000"/>
          <w:szCs w:val="24"/>
        </w:rPr>
        <w:t xml:space="preserve">Table </w:t>
      </w:r>
      <w:r w:rsidR="007176B0">
        <w:rPr>
          <w:color w:val="000000"/>
          <w:szCs w:val="24"/>
        </w:rPr>
        <w:t>5</w:t>
      </w:r>
      <w:r w:rsidRPr="008A5812">
        <w:rPr>
          <w:color w:val="000000"/>
          <w:szCs w:val="24"/>
        </w:rPr>
        <w:t xml:space="preserve"> shows the provisional number of measures installed under ECO and Chart 4 shows the cumulative total number of measures installed and by</w:t>
      </w:r>
      <w:r w:rsidRPr="008A5812">
        <w:rPr>
          <w:szCs w:val="24"/>
        </w:rPr>
        <w:t xml:space="preserve"> </w:t>
      </w:r>
      <w:hyperlink w:anchor="ECOSUB" w:history="1">
        <w:r w:rsidRPr="008A5812">
          <w:rPr>
            <w:rStyle w:val="Hyperlink"/>
            <w:rFonts w:ascii="Arial" w:hAnsi="Arial"/>
            <w:szCs w:val="24"/>
          </w:rPr>
          <w:t>ECO obligation</w:t>
        </w:r>
      </w:hyperlink>
      <w:r w:rsidRPr="008A5812">
        <w:rPr>
          <w:color w:val="000000"/>
          <w:szCs w:val="24"/>
        </w:rPr>
        <w:t xml:space="preserve"> by month of installation</w:t>
      </w:r>
      <w:r w:rsidRPr="008A5812">
        <w:rPr>
          <w:rStyle w:val="FootnoteReference"/>
          <w:color w:val="000000"/>
          <w:szCs w:val="24"/>
        </w:rPr>
        <w:footnoteReference w:id="1"/>
      </w:r>
      <w:r w:rsidR="00F1001A">
        <w:rPr>
          <w:color w:val="000000"/>
          <w:szCs w:val="24"/>
        </w:rPr>
        <w:t>. This shows that, of the 303,795</w:t>
      </w:r>
      <w:r w:rsidRPr="008A5812">
        <w:rPr>
          <w:color w:val="000000"/>
          <w:szCs w:val="24"/>
        </w:rPr>
        <w:t xml:space="preserve"> measures installed to the end of </w:t>
      </w:r>
      <w:r w:rsidR="00F1001A">
        <w:rPr>
          <w:color w:val="000000"/>
          <w:szCs w:val="24"/>
        </w:rPr>
        <w:t>September</w:t>
      </w:r>
      <w:r w:rsidRPr="008A5812">
        <w:rPr>
          <w:color w:val="000000"/>
          <w:szCs w:val="24"/>
        </w:rPr>
        <w:t xml:space="preserve">, </w:t>
      </w:r>
      <w:r w:rsidR="00F1001A">
        <w:rPr>
          <w:szCs w:val="24"/>
        </w:rPr>
        <w:t>58,497</w:t>
      </w:r>
      <w:r w:rsidRPr="008A5812">
        <w:rPr>
          <w:szCs w:val="24"/>
        </w:rPr>
        <w:t xml:space="preserve"> m</w:t>
      </w:r>
      <w:r w:rsidR="00F1001A">
        <w:rPr>
          <w:szCs w:val="24"/>
        </w:rPr>
        <w:t xml:space="preserve">easures were installed in September, which was </w:t>
      </w:r>
      <w:r w:rsidR="00C6064C">
        <w:rPr>
          <w:szCs w:val="24"/>
        </w:rPr>
        <w:t>around 17</w:t>
      </w:r>
      <w:r w:rsidRPr="008A5812">
        <w:rPr>
          <w:szCs w:val="24"/>
        </w:rPr>
        <w:t xml:space="preserve"> per cent higher than the numb</w:t>
      </w:r>
      <w:r w:rsidR="00F1001A">
        <w:rPr>
          <w:szCs w:val="24"/>
        </w:rPr>
        <w:t>er of measures installed in August (50,212</w:t>
      </w:r>
      <w:r w:rsidRPr="008A5812">
        <w:rPr>
          <w:szCs w:val="24"/>
        </w:rPr>
        <w:t xml:space="preserve">). </w:t>
      </w:r>
    </w:p>
    <w:p w:rsidR="003E17F1" w:rsidRPr="008A5812" w:rsidRDefault="003E17F1" w:rsidP="003E17F1">
      <w:pPr>
        <w:spacing w:before="0" w:after="0" w:line="270" w:lineRule="atLeast"/>
        <w:jc w:val="both"/>
        <w:rPr>
          <w:szCs w:val="24"/>
        </w:rPr>
      </w:pPr>
    </w:p>
    <w:p w:rsidR="00D12323" w:rsidRDefault="00F1001A" w:rsidP="003E17F1">
      <w:pPr>
        <w:spacing w:before="0" w:after="0" w:line="270" w:lineRule="atLeast"/>
        <w:jc w:val="both"/>
        <w:rPr>
          <w:color w:val="000000"/>
          <w:szCs w:val="24"/>
        </w:rPr>
      </w:pPr>
      <w:r>
        <w:rPr>
          <w:color w:val="000000"/>
          <w:szCs w:val="24"/>
        </w:rPr>
        <w:t>The split by obligation shows 33</w:t>
      </w:r>
      <w:r w:rsidR="00D12323" w:rsidRPr="008A5812">
        <w:rPr>
          <w:color w:val="000000"/>
          <w:szCs w:val="24"/>
        </w:rPr>
        <w:t xml:space="preserve"> per cent of measures installed under ECO were delivered through the Ca</w:t>
      </w:r>
      <w:r>
        <w:rPr>
          <w:color w:val="000000"/>
          <w:szCs w:val="24"/>
        </w:rPr>
        <w:t>rbon Saving Obligation (CSO), 25</w:t>
      </w:r>
      <w:r w:rsidR="00D12323" w:rsidRPr="008A5812">
        <w:rPr>
          <w:color w:val="000000"/>
          <w:szCs w:val="24"/>
        </w:rPr>
        <w:t xml:space="preserve"> per cent delivered were through Carbon S</w:t>
      </w:r>
      <w:r>
        <w:rPr>
          <w:color w:val="000000"/>
          <w:szCs w:val="24"/>
        </w:rPr>
        <w:t>avings Communities (CSCO) and 42</w:t>
      </w:r>
      <w:r w:rsidR="00D12323" w:rsidRPr="008A5812">
        <w:rPr>
          <w:color w:val="000000"/>
          <w:szCs w:val="24"/>
        </w:rPr>
        <w:t xml:space="preserve"> per cent were delivered through Affordable Warmth (HHCRO</w:t>
      </w:r>
      <w:r w:rsidR="00D12323" w:rsidRPr="008A5812">
        <w:rPr>
          <w:rStyle w:val="FootnoteReference"/>
          <w:color w:val="000000"/>
          <w:szCs w:val="24"/>
        </w:rPr>
        <w:footnoteReference w:id="2"/>
      </w:r>
      <w:r w:rsidR="00D12323" w:rsidRPr="008A5812">
        <w:rPr>
          <w:color w:val="000000"/>
          <w:szCs w:val="24"/>
        </w:rPr>
        <w:t>).</w:t>
      </w:r>
    </w:p>
    <w:p w:rsidR="003E17F1" w:rsidRPr="008A5812" w:rsidRDefault="003E17F1" w:rsidP="003E17F1">
      <w:pPr>
        <w:spacing w:before="0" w:after="0" w:line="270" w:lineRule="atLeast"/>
        <w:jc w:val="both"/>
        <w:rPr>
          <w:color w:val="000000"/>
          <w:szCs w:val="24"/>
        </w:rPr>
      </w:pPr>
    </w:p>
    <w:p w:rsidR="00AB505A" w:rsidRDefault="002A2F62" w:rsidP="002A2F62">
      <w:pPr>
        <w:pStyle w:val="Caption"/>
        <w:spacing w:before="0" w:after="0"/>
        <w:rPr>
          <w:b w:val="0"/>
          <w:color w:val="000000"/>
          <w:sz w:val="24"/>
          <w:szCs w:val="24"/>
        </w:rPr>
      </w:pPr>
      <w:bookmarkStart w:id="35" w:name="Chart4_"/>
      <w:bookmarkStart w:id="36" w:name="_Toc372290142"/>
      <w:r w:rsidRPr="002A2F62">
        <w:rPr>
          <w:b w:val="0"/>
          <w:sz w:val="24"/>
          <w:szCs w:val="24"/>
        </w:rPr>
        <w:t xml:space="preserve">Chart </w:t>
      </w:r>
      <w:r w:rsidRPr="002A2F62">
        <w:rPr>
          <w:b w:val="0"/>
          <w:sz w:val="24"/>
          <w:szCs w:val="24"/>
        </w:rPr>
        <w:fldChar w:fldCharType="begin"/>
      </w:r>
      <w:r w:rsidRPr="002A2F62">
        <w:rPr>
          <w:b w:val="0"/>
          <w:sz w:val="24"/>
          <w:szCs w:val="24"/>
        </w:rPr>
        <w:instrText xml:space="preserve"> SEQ Chart \* ARABIC </w:instrText>
      </w:r>
      <w:r w:rsidRPr="002A2F62">
        <w:rPr>
          <w:b w:val="0"/>
          <w:sz w:val="24"/>
          <w:szCs w:val="24"/>
        </w:rPr>
        <w:fldChar w:fldCharType="separate"/>
      </w:r>
      <w:r w:rsidR="006C0F27">
        <w:rPr>
          <w:b w:val="0"/>
          <w:noProof/>
          <w:sz w:val="24"/>
          <w:szCs w:val="24"/>
        </w:rPr>
        <w:t>4</w:t>
      </w:r>
      <w:r w:rsidRPr="002A2F62">
        <w:rPr>
          <w:b w:val="0"/>
          <w:sz w:val="24"/>
          <w:szCs w:val="24"/>
        </w:rPr>
        <w:fldChar w:fldCharType="end"/>
      </w:r>
      <w:r w:rsidRPr="002A2F62">
        <w:rPr>
          <w:b w:val="0"/>
          <w:sz w:val="24"/>
          <w:szCs w:val="24"/>
        </w:rPr>
        <w:t xml:space="preserve"> </w:t>
      </w:r>
      <w:r w:rsidR="00D12323" w:rsidRPr="002A2F62">
        <w:rPr>
          <w:b w:val="0"/>
          <w:sz w:val="24"/>
          <w:szCs w:val="24"/>
        </w:rPr>
        <w:t>- Provisional cumulative n</w:t>
      </w:r>
      <w:r w:rsidR="00D12323" w:rsidRPr="002A2F62">
        <w:rPr>
          <w:b w:val="0"/>
          <w:color w:val="000000"/>
          <w:sz w:val="24"/>
          <w:szCs w:val="24"/>
        </w:rPr>
        <w:t>umber of ECO measures installed, by obligation, at end of each month</w:t>
      </w:r>
      <w:bookmarkEnd w:id="36"/>
    </w:p>
    <w:p w:rsidR="00AB505A" w:rsidRDefault="00C6064C" w:rsidP="003E17F1">
      <w:pPr>
        <w:spacing w:before="0" w:after="0" w:line="270" w:lineRule="atLeast"/>
        <w:jc w:val="both"/>
        <w:rPr>
          <w:color w:val="000000"/>
          <w:szCs w:val="24"/>
        </w:rPr>
      </w:pPr>
      <w:r>
        <w:rPr>
          <w:noProof/>
          <w:color w:val="000000"/>
          <w:szCs w:val="24"/>
          <w:lang w:eastAsia="en-GB"/>
        </w:rPr>
      </w:r>
      <w:r>
        <w:rPr>
          <w:color w:val="000000"/>
          <w:szCs w:val="24"/>
        </w:rPr>
        <w:pict>
          <v:shape id="_x0000_s1043" type="#_x0000_t75" style="width:513.75pt;height:258pt;mso-position-horizontal-relative:char;mso-position-vertical-relative:line">
            <v:imagedata r:id="rId35" o:title=""/>
            <w10:wrap type="none"/>
            <w10:anchorlock/>
          </v:shape>
        </w:pict>
      </w:r>
    </w:p>
    <w:bookmarkEnd w:id="35"/>
    <w:p w:rsidR="00D12323" w:rsidRPr="008A5812" w:rsidRDefault="00D12323" w:rsidP="003E17F1">
      <w:pPr>
        <w:spacing w:before="0" w:after="0" w:line="270" w:lineRule="atLeast"/>
        <w:jc w:val="both"/>
        <w:rPr>
          <w:szCs w:val="24"/>
        </w:rPr>
      </w:pPr>
      <w:r w:rsidRPr="00300F50">
        <w:rPr>
          <w:color w:val="000000"/>
          <w:szCs w:val="24"/>
        </w:rPr>
        <w:lastRenderedPageBreak/>
        <w:t xml:space="preserve">Table </w:t>
      </w:r>
      <w:r w:rsidR="007176B0">
        <w:rPr>
          <w:color w:val="000000"/>
          <w:szCs w:val="24"/>
        </w:rPr>
        <w:t>5</w:t>
      </w:r>
      <w:r w:rsidRPr="00300F50">
        <w:rPr>
          <w:color w:val="000000"/>
          <w:szCs w:val="24"/>
        </w:rPr>
        <w:t xml:space="preserve">a and Chart </w:t>
      </w:r>
      <w:r w:rsidR="00CC14D8">
        <w:rPr>
          <w:color w:val="000000"/>
          <w:szCs w:val="24"/>
        </w:rPr>
        <w:t>5</w:t>
      </w:r>
      <w:r w:rsidRPr="00300F50">
        <w:rPr>
          <w:color w:val="000000"/>
          <w:szCs w:val="24"/>
        </w:rPr>
        <w:t xml:space="preserve"> show the provisional number of measures installed under ECO,</w:t>
      </w:r>
      <w:r w:rsidRPr="008A5812">
        <w:rPr>
          <w:color w:val="000000"/>
          <w:szCs w:val="24"/>
        </w:rPr>
        <w:t xml:space="preserve"> by measure type,</w:t>
      </w:r>
      <w:r w:rsidRPr="00300F50">
        <w:rPr>
          <w:color w:val="000000"/>
          <w:szCs w:val="24"/>
        </w:rPr>
        <w:t xml:space="preserve"> by</w:t>
      </w:r>
      <w:r w:rsidRPr="008A5812">
        <w:rPr>
          <w:szCs w:val="24"/>
        </w:rPr>
        <w:t xml:space="preserve"> </w:t>
      </w:r>
      <w:hyperlink w:anchor="ECOSUB" w:history="1">
        <w:r w:rsidRPr="008A5812">
          <w:rPr>
            <w:rStyle w:val="Hyperlink"/>
            <w:rFonts w:ascii="Arial" w:hAnsi="Arial"/>
            <w:szCs w:val="24"/>
          </w:rPr>
          <w:t>ECO obligation</w:t>
        </w:r>
      </w:hyperlink>
      <w:r w:rsidRPr="00300F50">
        <w:rPr>
          <w:color w:val="000000"/>
          <w:szCs w:val="24"/>
        </w:rPr>
        <w:t xml:space="preserve">. This shows that </w:t>
      </w:r>
      <w:r w:rsidRPr="008A5812">
        <w:rPr>
          <w:szCs w:val="24"/>
        </w:rPr>
        <w:t xml:space="preserve">the majority of the </w:t>
      </w:r>
      <w:r w:rsidR="00CE2665">
        <w:rPr>
          <w:color w:val="000000"/>
          <w:szCs w:val="24"/>
        </w:rPr>
        <w:t>303,795</w:t>
      </w:r>
      <w:r w:rsidR="00CE2665" w:rsidRPr="008A5812">
        <w:rPr>
          <w:color w:val="000000"/>
          <w:szCs w:val="24"/>
        </w:rPr>
        <w:t xml:space="preserve"> </w:t>
      </w:r>
      <w:r w:rsidRPr="008A5812">
        <w:rPr>
          <w:szCs w:val="24"/>
        </w:rPr>
        <w:t>measures installed under ECO were for cavity wall insulation (33 per cent)</w:t>
      </w:r>
      <w:r w:rsidR="00423FF1">
        <w:rPr>
          <w:szCs w:val="24"/>
        </w:rPr>
        <w:t>, loft insulation (32 per cent) and boiler upgrades (27</w:t>
      </w:r>
      <w:r w:rsidRPr="008A5812">
        <w:rPr>
          <w:szCs w:val="24"/>
        </w:rPr>
        <w:t xml:space="preserve"> per cent)</w:t>
      </w:r>
      <w:r w:rsidR="00423FF1">
        <w:rPr>
          <w:color w:val="000000"/>
          <w:szCs w:val="24"/>
        </w:rPr>
        <w:t>. Overall, 266,016</w:t>
      </w:r>
      <w:r w:rsidRPr="00300F50">
        <w:rPr>
          <w:color w:val="000000"/>
          <w:szCs w:val="24"/>
        </w:rPr>
        <w:t xml:space="preserve"> properties benefitted from one or more ECO measures being installed up to the end of </w:t>
      </w:r>
      <w:r w:rsidR="00423FF1">
        <w:rPr>
          <w:color w:val="000000"/>
          <w:szCs w:val="24"/>
        </w:rPr>
        <w:t>September</w:t>
      </w:r>
      <w:r w:rsidRPr="00300F50">
        <w:rPr>
          <w:color w:val="000000"/>
          <w:szCs w:val="24"/>
        </w:rPr>
        <w:t xml:space="preserve"> 2013 (Table </w:t>
      </w:r>
      <w:r w:rsidR="007176B0">
        <w:rPr>
          <w:color w:val="000000"/>
          <w:szCs w:val="24"/>
        </w:rPr>
        <w:t>5</w:t>
      </w:r>
      <w:r w:rsidRPr="00300F50">
        <w:rPr>
          <w:color w:val="000000"/>
          <w:szCs w:val="24"/>
        </w:rPr>
        <w:t>a).</w:t>
      </w:r>
    </w:p>
    <w:p w:rsidR="00D12323" w:rsidRPr="00300F50" w:rsidRDefault="00D12323" w:rsidP="003E17F1">
      <w:pPr>
        <w:spacing w:before="0" w:after="0" w:line="270" w:lineRule="atLeast"/>
        <w:jc w:val="both"/>
        <w:rPr>
          <w:color w:val="000000"/>
          <w:szCs w:val="24"/>
        </w:rPr>
      </w:pPr>
      <w:bookmarkStart w:id="37" w:name="Chart4"/>
      <w:bookmarkEnd w:id="37"/>
    </w:p>
    <w:p w:rsidR="00D12323" w:rsidRPr="002A2F62" w:rsidRDefault="002A2F62" w:rsidP="002A2F62">
      <w:pPr>
        <w:pStyle w:val="Caption"/>
        <w:rPr>
          <w:b w:val="0"/>
          <w:color w:val="000000"/>
          <w:sz w:val="24"/>
          <w:szCs w:val="24"/>
        </w:rPr>
      </w:pPr>
      <w:bookmarkStart w:id="38" w:name="_Toc372290143"/>
      <w:r w:rsidRPr="002A2F62">
        <w:rPr>
          <w:b w:val="0"/>
          <w:sz w:val="24"/>
          <w:szCs w:val="24"/>
        </w:rPr>
        <w:t xml:space="preserve">Chart </w:t>
      </w:r>
      <w:r w:rsidR="0055396C" w:rsidRPr="002A2F62">
        <w:rPr>
          <w:b w:val="0"/>
          <w:sz w:val="24"/>
          <w:szCs w:val="24"/>
        </w:rPr>
        <w:fldChar w:fldCharType="begin"/>
      </w:r>
      <w:r w:rsidR="0055396C" w:rsidRPr="002A2F62">
        <w:rPr>
          <w:b w:val="0"/>
          <w:sz w:val="24"/>
          <w:szCs w:val="24"/>
        </w:rPr>
        <w:instrText xml:space="preserve"> SEQ Chart \* ARABIC </w:instrText>
      </w:r>
      <w:r w:rsidR="0055396C" w:rsidRPr="002A2F62">
        <w:rPr>
          <w:b w:val="0"/>
          <w:sz w:val="24"/>
          <w:szCs w:val="24"/>
        </w:rPr>
        <w:fldChar w:fldCharType="separate"/>
      </w:r>
      <w:r w:rsidR="006C0F27">
        <w:rPr>
          <w:b w:val="0"/>
          <w:noProof/>
          <w:sz w:val="24"/>
          <w:szCs w:val="24"/>
        </w:rPr>
        <w:t>5</w:t>
      </w:r>
      <w:r w:rsidR="0055396C" w:rsidRPr="002A2F62">
        <w:rPr>
          <w:b w:val="0"/>
          <w:sz w:val="24"/>
          <w:szCs w:val="24"/>
        </w:rPr>
        <w:fldChar w:fldCharType="end"/>
      </w:r>
      <w:r w:rsidRPr="002A2F62">
        <w:rPr>
          <w:b w:val="0"/>
          <w:color w:val="000000"/>
          <w:sz w:val="24"/>
          <w:szCs w:val="24"/>
        </w:rPr>
        <w:t xml:space="preserve"> </w:t>
      </w:r>
      <w:r w:rsidR="00D12323" w:rsidRPr="002A2F62">
        <w:rPr>
          <w:b w:val="0"/>
          <w:color w:val="000000"/>
          <w:sz w:val="24"/>
          <w:szCs w:val="24"/>
        </w:rPr>
        <w:t>- Provisional number of measures installed under ECO, by measure type</w:t>
      </w:r>
      <w:r w:rsidR="00D12323" w:rsidRPr="002A2F62">
        <w:rPr>
          <w:rStyle w:val="FootnoteReference"/>
          <w:b w:val="0"/>
          <w:color w:val="000000"/>
          <w:sz w:val="24"/>
          <w:szCs w:val="24"/>
        </w:rPr>
        <w:footnoteReference w:id="3"/>
      </w:r>
      <w:r w:rsidR="00D12323" w:rsidRPr="002A2F62">
        <w:rPr>
          <w:b w:val="0"/>
          <w:color w:val="000000"/>
          <w:sz w:val="24"/>
          <w:szCs w:val="24"/>
        </w:rPr>
        <w:t xml:space="preserve">, by obligation, up to end </w:t>
      </w:r>
      <w:r w:rsidR="00423FF1" w:rsidRPr="002A2F62">
        <w:rPr>
          <w:b w:val="0"/>
          <w:color w:val="000000"/>
          <w:sz w:val="24"/>
          <w:szCs w:val="24"/>
        </w:rPr>
        <w:t>September</w:t>
      </w:r>
      <w:bookmarkEnd w:id="38"/>
    </w:p>
    <w:p w:rsidR="00423FF1" w:rsidRDefault="00423FF1" w:rsidP="003E17F1">
      <w:pPr>
        <w:spacing w:before="0" w:after="0" w:line="270" w:lineRule="atLeast"/>
        <w:jc w:val="both"/>
        <w:rPr>
          <w:color w:val="000000"/>
          <w:szCs w:val="24"/>
        </w:rPr>
      </w:pPr>
    </w:p>
    <w:p w:rsidR="00423FF1" w:rsidRDefault="001C1519" w:rsidP="003E17F1">
      <w:pPr>
        <w:spacing w:before="0" w:after="0" w:line="270" w:lineRule="atLeast"/>
        <w:jc w:val="both"/>
        <w:rPr>
          <w:color w:val="000000"/>
          <w:szCs w:val="24"/>
        </w:rPr>
      </w:pPr>
      <w:r>
        <w:rPr>
          <w:noProof/>
          <w:color w:val="000000"/>
          <w:szCs w:val="24"/>
          <w:lang w:eastAsia="en-GB"/>
        </w:rPr>
      </w:r>
      <w:r>
        <w:rPr>
          <w:color w:val="000000"/>
          <w:szCs w:val="24"/>
        </w:rPr>
        <w:pict>
          <v:shape id="_x0000_s1039" type="#_x0000_t75" style="width:484.5pt;height:296.25pt;mso-position-horizontal-relative:char;mso-position-vertical-relative:line">
            <v:imagedata r:id="rId36" o:title=""/>
            <w10:wrap type="none"/>
            <w10:anchorlock/>
          </v:shape>
        </w:pict>
      </w:r>
    </w:p>
    <w:p w:rsidR="00423FF1" w:rsidRPr="00300F50" w:rsidRDefault="00423FF1" w:rsidP="003E17F1">
      <w:pPr>
        <w:spacing w:before="0" w:after="0" w:line="270" w:lineRule="atLeast"/>
        <w:jc w:val="both"/>
        <w:rPr>
          <w:color w:val="000000"/>
          <w:szCs w:val="24"/>
        </w:rPr>
      </w:pPr>
    </w:p>
    <w:p w:rsidR="00423FF1" w:rsidRDefault="00423FF1" w:rsidP="00423FF1">
      <w:pPr>
        <w:spacing w:before="0" w:after="0" w:line="270" w:lineRule="atLeast"/>
        <w:jc w:val="both"/>
        <w:rPr>
          <w:color w:val="000000"/>
          <w:szCs w:val="24"/>
        </w:rPr>
      </w:pPr>
      <w:r w:rsidRPr="008A5812">
        <w:rPr>
          <w:color w:val="000000"/>
          <w:szCs w:val="24"/>
        </w:rPr>
        <w:t xml:space="preserve">The </w:t>
      </w:r>
      <w:r w:rsidR="00F5166B">
        <w:rPr>
          <w:color w:val="000000"/>
          <w:szCs w:val="24"/>
        </w:rPr>
        <w:t>majority (72</w:t>
      </w:r>
      <w:r>
        <w:rPr>
          <w:color w:val="000000"/>
          <w:szCs w:val="24"/>
        </w:rPr>
        <w:t xml:space="preserve"> per cent) of the 100,37</w:t>
      </w:r>
      <w:r w:rsidRPr="008A5812">
        <w:rPr>
          <w:color w:val="000000"/>
          <w:szCs w:val="24"/>
        </w:rPr>
        <w:t xml:space="preserve">8 cavity wall insulation measures installed were delivered </w:t>
      </w:r>
      <w:proofErr w:type="spellStart"/>
      <w:r w:rsidRPr="008A5812">
        <w:rPr>
          <w:color w:val="000000"/>
          <w:szCs w:val="24"/>
        </w:rPr>
        <w:t>to</w:t>
      </w:r>
      <w:proofErr w:type="spellEnd"/>
      <w:r w:rsidRPr="008A5812">
        <w:rPr>
          <w:color w:val="000000"/>
          <w:szCs w:val="24"/>
        </w:rPr>
        <w:t xml:space="preserve"> Hard to </w:t>
      </w:r>
      <w:proofErr w:type="gramStart"/>
      <w:r w:rsidRPr="008A5812">
        <w:rPr>
          <w:color w:val="000000"/>
          <w:szCs w:val="24"/>
        </w:rPr>
        <w:t>Treat</w:t>
      </w:r>
      <w:proofErr w:type="gramEnd"/>
      <w:r w:rsidRPr="008A5812">
        <w:rPr>
          <w:color w:val="000000"/>
          <w:szCs w:val="24"/>
        </w:rPr>
        <w:t xml:space="preserve"> cavity wall properties</w:t>
      </w:r>
      <w:r w:rsidRPr="008A5812">
        <w:rPr>
          <w:rStyle w:val="FootnoteReference"/>
          <w:color w:val="000000"/>
          <w:szCs w:val="24"/>
        </w:rPr>
        <w:footnoteReference w:id="4"/>
      </w:r>
      <w:r w:rsidRPr="008A5812">
        <w:rPr>
          <w:color w:val="000000"/>
          <w:szCs w:val="24"/>
        </w:rPr>
        <w:t xml:space="preserve">. </w:t>
      </w:r>
    </w:p>
    <w:p w:rsidR="00D12323" w:rsidRPr="00300F50" w:rsidRDefault="00D12323" w:rsidP="003E17F1">
      <w:pPr>
        <w:spacing w:before="0" w:after="0" w:line="270" w:lineRule="atLeast"/>
        <w:jc w:val="both"/>
        <w:rPr>
          <w:color w:val="000000"/>
          <w:szCs w:val="24"/>
        </w:rPr>
      </w:pPr>
    </w:p>
    <w:p w:rsidR="00D12323" w:rsidRDefault="00423FF1" w:rsidP="003E17F1">
      <w:pPr>
        <w:spacing w:before="0" w:after="0" w:line="270" w:lineRule="atLeast"/>
        <w:jc w:val="both"/>
        <w:rPr>
          <w:color w:val="000000"/>
          <w:szCs w:val="24"/>
        </w:rPr>
      </w:pPr>
      <w:r>
        <w:rPr>
          <w:color w:val="000000"/>
          <w:szCs w:val="24"/>
        </w:rPr>
        <w:t>The majority (75 per cent) of the 97,706</w:t>
      </w:r>
      <w:r w:rsidR="00D12323" w:rsidRPr="008A5812">
        <w:rPr>
          <w:color w:val="000000"/>
          <w:szCs w:val="24"/>
        </w:rPr>
        <w:t xml:space="preserve"> loft insulation measures installed under ECO up to the end of </w:t>
      </w:r>
      <w:r>
        <w:rPr>
          <w:color w:val="000000"/>
          <w:szCs w:val="24"/>
        </w:rPr>
        <w:t xml:space="preserve">September </w:t>
      </w:r>
      <w:r w:rsidR="00D12323" w:rsidRPr="008A5812">
        <w:rPr>
          <w:color w:val="000000"/>
          <w:szCs w:val="24"/>
        </w:rPr>
        <w:t>were top ups</w:t>
      </w:r>
      <w:r w:rsidR="00D12323" w:rsidRPr="008A5812">
        <w:rPr>
          <w:rStyle w:val="FootnoteReference"/>
          <w:color w:val="000000"/>
          <w:szCs w:val="24"/>
        </w:rPr>
        <w:footnoteReference w:id="5"/>
      </w:r>
      <w:r w:rsidR="00D12323" w:rsidRPr="008A5812">
        <w:rPr>
          <w:color w:val="000000"/>
          <w:szCs w:val="24"/>
        </w:rPr>
        <w:t>.</w:t>
      </w:r>
    </w:p>
    <w:p w:rsidR="003E17F1" w:rsidRPr="008A5812" w:rsidRDefault="003E17F1" w:rsidP="003E17F1">
      <w:pPr>
        <w:spacing w:before="0" w:after="0" w:line="270" w:lineRule="atLeast"/>
        <w:jc w:val="both"/>
        <w:rPr>
          <w:color w:val="000000"/>
          <w:szCs w:val="24"/>
        </w:rPr>
      </w:pPr>
    </w:p>
    <w:p w:rsidR="00D12323" w:rsidRDefault="00F5166B" w:rsidP="003E17F1">
      <w:pPr>
        <w:spacing w:before="0" w:after="0" w:line="270" w:lineRule="atLeast"/>
        <w:jc w:val="both"/>
        <w:rPr>
          <w:color w:val="000000"/>
          <w:szCs w:val="24"/>
        </w:rPr>
      </w:pPr>
      <w:r>
        <w:rPr>
          <w:color w:val="000000"/>
          <w:szCs w:val="24"/>
        </w:rPr>
        <w:t>Of the 12,780</w:t>
      </w:r>
      <w:r w:rsidR="00D12323" w:rsidRPr="008A5812">
        <w:rPr>
          <w:color w:val="000000"/>
          <w:szCs w:val="24"/>
        </w:rPr>
        <w:t xml:space="preserve"> solid wall measures installed virtually all were External Wall Insulation.</w:t>
      </w:r>
    </w:p>
    <w:p w:rsidR="006653D2" w:rsidRPr="008A5812" w:rsidRDefault="006653D2" w:rsidP="003E17F1">
      <w:pPr>
        <w:spacing w:before="0" w:after="0" w:line="270" w:lineRule="atLeast"/>
        <w:jc w:val="both"/>
        <w:rPr>
          <w:color w:val="000000"/>
          <w:szCs w:val="24"/>
        </w:rPr>
      </w:pPr>
    </w:p>
    <w:p w:rsidR="00D12323" w:rsidRDefault="00D12323" w:rsidP="00C06107">
      <w:pPr>
        <w:pStyle w:val="Heading2"/>
        <w:spacing w:before="0" w:after="0"/>
      </w:pPr>
      <w:bookmarkStart w:id="39" w:name="_Toc372290492"/>
      <w:r w:rsidRPr="008A5812">
        <w:t>Measures installed through other finance routes</w:t>
      </w:r>
      <w:bookmarkEnd w:id="39"/>
    </w:p>
    <w:p w:rsidR="006653D2" w:rsidRPr="006653D2" w:rsidRDefault="006653D2" w:rsidP="006653D2">
      <w:pPr>
        <w:spacing w:before="0" w:after="0"/>
      </w:pPr>
    </w:p>
    <w:bookmarkEnd w:id="19"/>
    <w:p w:rsidR="00D12323" w:rsidRDefault="00D12323" w:rsidP="006653D2">
      <w:pPr>
        <w:spacing w:before="0" w:after="0" w:line="270" w:lineRule="atLeast"/>
        <w:jc w:val="both"/>
        <w:rPr>
          <w:color w:val="000000"/>
          <w:szCs w:val="24"/>
        </w:rPr>
      </w:pPr>
      <w:r w:rsidRPr="00300F50">
        <w:rPr>
          <w:color w:val="000000"/>
          <w:szCs w:val="24"/>
        </w:rPr>
        <w:t xml:space="preserve">The figures in </w:t>
      </w:r>
      <w:r w:rsidR="008A43E6" w:rsidRPr="00300F50">
        <w:rPr>
          <w:color w:val="000000"/>
          <w:szCs w:val="24"/>
        </w:rPr>
        <w:t xml:space="preserve">Tables </w:t>
      </w:r>
      <w:r w:rsidR="008A43E6">
        <w:rPr>
          <w:color w:val="000000"/>
          <w:szCs w:val="24"/>
        </w:rPr>
        <w:t>3b (Green Deal</w:t>
      </w:r>
      <w:r w:rsidR="008A43E6" w:rsidRPr="00300F50">
        <w:rPr>
          <w:color w:val="000000"/>
          <w:szCs w:val="24"/>
        </w:rPr>
        <w:t xml:space="preserve">) </w:t>
      </w:r>
      <w:r w:rsidRPr="00300F50">
        <w:rPr>
          <w:color w:val="000000"/>
          <w:szCs w:val="24"/>
        </w:rPr>
        <w:t xml:space="preserve">Tables </w:t>
      </w:r>
      <w:r w:rsidR="007176B0">
        <w:rPr>
          <w:color w:val="000000"/>
          <w:szCs w:val="24"/>
        </w:rPr>
        <w:t>4</w:t>
      </w:r>
      <w:r w:rsidRPr="00300F50">
        <w:rPr>
          <w:color w:val="000000"/>
          <w:szCs w:val="24"/>
        </w:rPr>
        <w:t xml:space="preserve">a (Cashback) and Table </w:t>
      </w:r>
      <w:r w:rsidR="007176B0">
        <w:rPr>
          <w:color w:val="000000"/>
          <w:szCs w:val="24"/>
        </w:rPr>
        <w:t>5</w:t>
      </w:r>
      <w:r w:rsidRPr="00300F50">
        <w:rPr>
          <w:color w:val="000000"/>
          <w:szCs w:val="24"/>
        </w:rPr>
        <w:t xml:space="preserve">a (ECO) </w:t>
      </w:r>
      <w:r w:rsidRPr="00300F50">
        <w:rPr>
          <w:color w:val="000000"/>
          <w:szCs w:val="24"/>
          <w:u w:val="single"/>
        </w:rPr>
        <w:t>do not</w:t>
      </w:r>
      <w:r w:rsidRPr="00300F50">
        <w:rPr>
          <w:color w:val="000000"/>
          <w:szCs w:val="24"/>
        </w:rPr>
        <w:t xml:space="preserve"> include estimates of measures installed following a Green Deal Assessment where a measure is financed outside of GD finance, GD Cashback </w:t>
      </w:r>
      <w:r w:rsidR="001632E7">
        <w:rPr>
          <w:color w:val="000000"/>
          <w:szCs w:val="24"/>
        </w:rPr>
        <w:t>or</w:t>
      </w:r>
      <w:r w:rsidRPr="00300F50">
        <w:rPr>
          <w:color w:val="000000"/>
          <w:szCs w:val="24"/>
        </w:rPr>
        <w:t xml:space="preserve"> ECO. Alternative sources of finance may </w:t>
      </w:r>
      <w:r w:rsidRPr="00300F50">
        <w:rPr>
          <w:color w:val="000000"/>
          <w:szCs w:val="24"/>
        </w:rPr>
        <w:lastRenderedPageBreak/>
        <w:t>include householder savings or loans; Local Authority funding (such as through the Core Cities or Pioneer Places schemes) and other sources.</w:t>
      </w:r>
    </w:p>
    <w:p w:rsidR="003E17F1" w:rsidRPr="00300F50" w:rsidRDefault="003E17F1" w:rsidP="006653D2">
      <w:pPr>
        <w:spacing w:before="0" w:after="0" w:line="270" w:lineRule="atLeast"/>
        <w:jc w:val="both"/>
        <w:rPr>
          <w:color w:val="000000"/>
          <w:szCs w:val="24"/>
        </w:rPr>
      </w:pPr>
    </w:p>
    <w:p w:rsidR="00D12323" w:rsidRDefault="00D12323" w:rsidP="006653D2">
      <w:pPr>
        <w:spacing w:before="0" w:after="0" w:line="270" w:lineRule="atLeast"/>
        <w:jc w:val="both"/>
        <w:rPr>
          <w:color w:val="000000"/>
          <w:szCs w:val="24"/>
        </w:rPr>
      </w:pPr>
      <w:r w:rsidRPr="00300F50">
        <w:rPr>
          <w:color w:val="000000"/>
          <w:szCs w:val="24"/>
        </w:rPr>
        <w:t xml:space="preserve">However, </w:t>
      </w:r>
      <w:hyperlink r:id="rId37" w:history="1">
        <w:r w:rsidRPr="008A5812">
          <w:rPr>
            <w:rStyle w:val="Hyperlink"/>
            <w:rFonts w:ascii="Arial" w:hAnsi="Arial"/>
            <w:szCs w:val="24"/>
          </w:rPr>
          <w:t>research</w:t>
        </w:r>
      </w:hyperlink>
      <w:r w:rsidRPr="00300F50">
        <w:rPr>
          <w:color w:val="000000"/>
          <w:szCs w:val="24"/>
        </w:rPr>
        <w:t xml:space="preserve"> published by </w:t>
      </w:r>
      <w:r w:rsidRPr="008A5812">
        <w:rPr>
          <w:color w:val="000000"/>
          <w:szCs w:val="24"/>
        </w:rPr>
        <w:t>DECC on 17 September on householders who have had a GD assessment between 1st of April and 30th of June stated that 56 per cent of households who had a Green Deal assessment reported installing at least one recommended measure, and a further six per cent were in the process of installing measures.</w:t>
      </w:r>
      <w:r w:rsidR="001632E7">
        <w:rPr>
          <w:color w:val="000000"/>
          <w:szCs w:val="24"/>
        </w:rPr>
        <w:t xml:space="preserve"> Overall, </w:t>
      </w:r>
      <w:r w:rsidR="001632E7" w:rsidRPr="001632E7">
        <w:rPr>
          <w:color w:val="000000"/>
          <w:szCs w:val="24"/>
        </w:rPr>
        <w:t xml:space="preserve">81% of households who had a Green Deal assessment said they </w:t>
      </w:r>
      <w:proofErr w:type="gramStart"/>
      <w:r w:rsidR="001632E7" w:rsidRPr="001632E7">
        <w:rPr>
          <w:color w:val="000000"/>
          <w:szCs w:val="24"/>
        </w:rPr>
        <w:t>have,</w:t>
      </w:r>
      <w:proofErr w:type="gramEnd"/>
      <w:r w:rsidR="001632E7" w:rsidRPr="001632E7">
        <w:rPr>
          <w:color w:val="000000"/>
          <w:szCs w:val="24"/>
        </w:rPr>
        <w:t xml:space="preserve"> are getting or intend to install at least one energy saving measure</w:t>
      </w:r>
      <w:r w:rsidR="001632E7">
        <w:rPr>
          <w:color w:val="000000"/>
          <w:szCs w:val="24"/>
        </w:rPr>
        <w:t>.</w:t>
      </w:r>
    </w:p>
    <w:p w:rsidR="003E17F1" w:rsidRPr="008A5812" w:rsidRDefault="003E17F1" w:rsidP="006653D2">
      <w:pPr>
        <w:spacing w:before="0" w:after="0" w:line="270" w:lineRule="atLeast"/>
        <w:jc w:val="both"/>
        <w:rPr>
          <w:color w:val="000000"/>
          <w:szCs w:val="24"/>
        </w:rPr>
      </w:pPr>
    </w:p>
    <w:p w:rsidR="00D12323" w:rsidRDefault="00D12323" w:rsidP="006653D2">
      <w:pPr>
        <w:spacing w:before="0" w:after="0" w:line="270" w:lineRule="atLeast"/>
        <w:jc w:val="both"/>
        <w:rPr>
          <w:color w:val="000000"/>
          <w:szCs w:val="24"/>
        </w:rPr>
      </w:pPr>
      <w:r w:rsidRPr="008A5812">
        <w:rPr>
          <w:color w:val="000000"/>
          <w:szCs w:val="24"/>
        </w:rPr>
        <w:t>Around a fifth of those who had installed measures, stated self-finance as a method of payment and around half of those intending to install something stated that they will finance the installation of measures themselves. Some of these households indicated that they were applying for Cashback, but these findings suggest there may be a proportion of households installing measures which we will not pick up through our data sources, although the majority who plan to have measures installed have indicated they will be doing so through the GD/ECO framework. We will review this through further research</w:t>
      </w:r>
      <w:r w:rsidR="00CC14D8">
        <w:rPr>
          <w:color w:val="000000"/>
          <w:szCs w:val="24"/>
        </w:rPr>
        <w:t xml:space="preserve"> in December</w:t>
      </w:r>
      <w:r w:rsidRPr="008A5812">
        <w:rPr>
          <w:color w:val="000000"/>
          <w:szCs w:val="24"/>
        </w:rPr>
        <w:t>.</w:t>
      </w:r>
    </w:p>
    <w:p w:rsidR="003E17F1" w:rsidRPr="008A5812" w:rsidRDefault="003E17F1" w:rsidP="003E17F1">
      <w:pPr>
        <w:spacing w:before="0" w:after="0" w:line="270" w:lineRule="atLeast"/>
        <w:jc w:val="both"/>
        <w:rPr>
          <w:color w:val="000000"/>
          <w:szCs w:val="24"/>
        </w:rPr>
      </w:pPr>
    </w:p>
    <w:p w:rsidR="00D12323" w:rsidRDefault="00D12323" w:rsidP="00C06107">
      <w:pPr>
        <w:pStyle w:val="Heading2"/>
        <w:spacing w:before="0" w:after="0"/>
      </w:pPr>
      <w:bookmarkStart w:id="40" w:name="_Toc372290493"/>
      <w:r w:rsidRPr="008A5812">
        <w:t xml:space="preserve">ECO brokerage, as at the end of </w:t>
      </w:r>
      <w:r w:rsidR="00D703AF">
        <w:t xml:space="preserve">October </w:t>
      </w:r>
      <w:r w:rsidR="00AB3F8E">
        <w:t xml:space="preserve">(Table </w:t>
      </w:r>
      <w:r w:rsidR="00FB3E32">
        <w:t>6</w:t>
      </w:r>
      <w:r w:rsidR="00AB3F8E">
        <w:t>, Chart 6</w:t>
      </w:r>
      <w:r w:rsidRPr="008A5812">
        <w:t>)</w:t>
      </w:r>
      <w:bookmarkEnd w:id="40"/>
    </w:p>
    <w:p w:rsidR="00D703AF" w:rsidRPr="008A5812" w:rsidRDefault="00D703AF" w:rsidP="003E17F1">
      <w:pPr>
        <w:spacing w:before="0" w:after="0" w:line="270" w:lineRule="atLeast"/>
        <w:jc w:val="both"/>
        <w:rPr>
          <w:szCs w:val="24"/>
          <w:u w:val="single"/>
        </w:rPr>
      </w:pPr>
    </w:p>
    <w:p w:rsidR="00D12323" w:rsidRPr="008A5812" w:rsidRDefault="00D12323" w:rsidP="003E17F1">
      <w:pPr>
        <w:pStyle w:val="NormalWeb"/>
        <w:spacing w:line="270" w:lineRule="atLeast"/>
        <w:jc w:val="both"/>
        <w:rPr>
          <w:rFonts w:ascii="Arial" w:hAnsi="Arial" w:cs="Arial"/>
        </w:rPr>
      </w:pPr>
      <w:r w:rsidRPr="008A5812">
        <w:rPr>
          <w:rFonts w:ascii="Arial" w:hAnsi="Arial" w:cs="Arial"/>
        </w:rPr>
        <w:t xml:space="preserve">The </w:t>
      </w:r>
      <w:hyperlink r:id="rId38" w:history="1">
        <w:r w:rsidRPr="008A5812">
          <w:rPr>
            <w:rStyle w:val="Hyperlink"/>
            <w:rFonts w:ascii="Arial" w:hAnsi="Arial" w:cs="Arial"/>
          </w:rPr>
          <w:t>ECO Brokerage</w:t>
        </w:r>
      </w:hyperlink>
      <w:r w:rsidRPr="008A5812">
        <w:rPr>
          <w:rFonts w:ascii="Arial" w:hAnsi="Arial" w:cs="Arial"/>
        </w:rPr>
        <w:t xml:space="preserve"> system operates as a fortnightly anonymous auction where providers can sell ‘lots’ of future measures of ECO Carbon Saving Obligation, ECO Carbon Saving Communities and ECO Affordable Warmth, to energy companies in return for ECO subsidy. Chart </w:t>
      </w:r>
      <w:r w:rsidR="00CC14D8">
        <w:rPr>
          <w:rFonts w:ascii="Arial" w:hAnsi="Arial" w:cs="Arial"/>
        </w:rPr>
        <w:t>6</w:t>
      </w:r>
      <w:r w:rsidRPr="008A5812">
        <w:rPr>
          <w:rFonts w:ascii="Arial" w:hAnsi="Arial" w:cs="Arial"/>
        </w:rPr>
        <w:t xml:space="preserve"> shows that up to the end of </w:t>
      </w:r>
      <w:r w:rsidR="00D703AF">
        <w:rPr>
          <w:rFonts w:ascii="Arial" w:hAnsi="Arial" w:cs="Arial"/>
        </w:rPr>
        <w:t>October there have been 21</w:t>
      </w:r>
      <w:r w:rsidRPr="008A5812">
        <w:rPr>
          <w:rFonts w:ascii="Arial" w:hAnsi="Arial" w:cs="Arial"/>
        </w:rPr>
        <w:t xml:space="preserve"> auctions, with a total v</w:t>
      </w:r>
      <w:r w:rsidR="00D703AF">
        <w:rPr>
          <w:rFonts w:ascii="Arial" w:hAnsi="Arial" w:cs="Arial"/>
        </w:rPr>
        <w:t>alue of contracts let worth £288.2</w:t>
      </w:r>
      <w:r w:rsidRPr="008A5812">
        <w:rPr>
          <w:rFonts w:ascii="Arial" w:hAnsi="Arial" w:cs="Arial"/>
        </w:rPr>
        <w:t xml:space="preserve"> million. </w:t>
      </w:r>
      <w:bookmarkStart w:id="41" w:name="OLE_LINK9"/>
    </w:p>
    <w:p w:rsidR="00D12323" w:rsidRPr="002A2F62" w:rsidRDefault="0055396C" w:rsidP="002A2F62">
      <w:pPr>
        <w:pStyle w:val="Caption"/>
        <w:rPr>
          <w:b w:val="0"/>
          <w:sz w:val="24"/>
          <w:szCs w:val="24"/>
        </w:rPr>
      </w:pPr>
      <w:bookmarkStart w:id="42" w:name="Chart5"/>
      <w:bookmarkStart w:id="43" w:name="_Toc372290144"/>
      <w:bookmarkEnd w:id="41"/>
      <w:bookmarkEnd w:id="42"/>
      <w:r w:rsidRPr="0055396C">
        <w:rPr>
          <w:b w:val="0"/>
          <w:sz w:val="24"/>
          <w:szCs w:val="24"/>
        </w:rPr>
        <w:t xml:space="preserve">Chart </w:t>
      </w:r>
      <w:r w:rsidRPr="0055396C">
        <w:rPr>
          <w:b w:val="0"/>
          <w:sz w:val="24"/>
          <w:szCs w:val="24"/>
        </w:rPr>
        <w:fldChar w:fldCharType="begin"/>
      </w:r>
      <w:r w:rsidRPr="0055396C">
        <w:rPr>
          <w:b w:val="0"/>
          <w:sz w:val="24"/>
          <w:szCs w:val="24"/>
        </w:rPr>
        <w:instrText xml:space="preserve"> SEQ Chart \* ARABIC </w:instrText>
      </w:r>
      <w:r w:rsidRPr="0055396C">
        <w:rPr>
          <w:b w:val="0"/>
          <w:sz w:val="24"/>
          <w:szCs w:val="24"/>
        </w:rPr>
        <w:fldChar w:fldCharType="separate"/>
      </w:r>
      <w:r w:rsidR="006C0F27">
        <w:rPr>
          <w:b w:val="0"/>
          <w:noProof/>
          <w:sz w:val="24"/>
          <w:szCs w:val="24"/>
        </w:rPr>
        <w:t>6</w:t>
      </w:r>
      <w:r w:rsidRPr="0055396C">
        <w:rPr>
          <w:b w:val="0"/>
          <w:sz w:val="24"/>
          <w:szCs w:val="24"/>
        </w:rPr>
        <w:fldChar w:fldCharType="end"/>
      </w:r>
      <w:r>
        <w:rPr>
          <w:b w:val="0"/>
          <w:sz w:val="24"/>
          <w:szCs w:val="24"/>
        </w:rPr>
        <w:t xml:space="preserve"> </w:t>
      </w:r>
      <w:r w:rsidR="00D12323" w:rsidRPr="0055396C">
        <w:rPr>
          <w:b w:val="0"/>
          <w:sz w:val="24"/>
          <w:szCs w:val="24"/>
        </w:rPr>
        <w:t>-</w:t>
      </w:r>
      <w:r w:rsidR="00D12323" w:rsidRPr="002A2F62">
        <w:rPr>
          <w:b w:val="0"/>
          <w:sz w:val="24"/>
          <w:szCs w:val="24"/>
        </w:rPr>
        <w:t xml:space="preserve"> Value of ECO brokerage contracts let, by auction</w:t>
      </w:r>
      <w:bookmarkEnd w:id="43"/>
    </w:p>
    <w:p w:rsidR="00D703AF" w:rsidRPr="008A5812" w:rsidRDefault="00D703AF" w:rsidP="003E17F1">
      <w:pPr>
        <w:pStyle w:val="NormalWeb"/>
        <w:spacing w:line="270" w:lineRule="atLeast"/>
        <w:jc w:val="both"/>
        <w:rPr>
          <w:rFonts w:ascii="Arial" w:hAnsi="Arial" w:cs="Arial"/>
        </w:rPr>
      </w:pPr>
    </w:p>
    <w:p w:rsidR="00D12323" w:rsidRPr="008A5812" w:rsidRDefault="00D703AF" w:rsidP="003E17F1">
      <w:pPr>
        <w:pStyle w:val="NormalWeb"/>
        <w:spacing w:line="270" w:lineRule="atLeast"/>
        <w:jc w:val="both"/>
        <w:rPr>
          <w:rFonts w:ascii="Arial" w:hAnsi="Arial" w:cs="Arial"/>
        </w:rPr>
      </w:pPr>
      <w:r>
        <w:rPr>
          <w:rFonts w:ascii="Arial" w:hAnsi="Arial" w:cs="Arial"/>
          <w:noProof/>
        </w:rPr>
      </w:r>
      <w:r>
        <w:rPr>
          <w:rFonts w:ascii="Arial" w:hAnsi="Arial" w:cs="Arial"/>
        </w:rPr>
        <w:pict>
          <v:shape id="_x0000_s1034" type="#_x0000_t75" style="width:471.75pt;height:250.5pt;mso-position-horizontal-relative:char;mso-position-vertical-relative:line">
            <v:imagedata r:id="rId39" o:title=""/>
            <w10:wrap type="none"/>
            <w10:anchorlock/>
          </v:shape>
        </w:pict>
      </w:r>
    </w:p>
    <w:p w:rsidR="00D12323" w:rsidRPr="008A5812" w:rsidRDefault="00D12323" w:rsidP="003E17F1">
      <w:pPr>
        <w:spacing w:before="0" w:after="0" w:line="270" w:lineRule="atLeast"/>
        <w:rPr>
          <w:color w:val="FF0000"/>
          <w:szCs w:val="24"/>
        </w:rPr>
      </w:pPr>
    </w:p>
    <w:p w:rsidR="00D12323" w:rsidRPr="008A5812" w:rsidRDefault="00D12323" w:rsidP="003E17F1">
      <w:pPr>
        <w:spacing w:before="0" w:after="0" w:line="270" w:lineRule="atLeast"/>
        <w:rPr>
          <w:bCs/>
          <w:szCs w:val="24"/>
        </w:rPr>
      </w:pPr>
    </w:p>
    <w:p w:rsidR="00D12323" w:rsidRPr="008A5812" w:rsidRDefault="00D12323" w:rsidP="003E17F1">
      <w:pPr>
        <w:spacing w:before="0" w:after="0" w:line="270" w:lineRule="atLeast"/>
        <w:rPr>
          <w:rStyle w:val="Hyperlink"/>
          <w:rFonts w:ascii="Arial" w:hAnsi="Arial"/>
          <w:szCs w:val="24"/>
        </w:rPr>
      </w:pPr>
      <w:r w:rsidRPr="008A5812">
        <w:rPr>
          <w:bCs/>
          <w:szCs w:val="24"/>
        </w:rPr>
        <w:t xml:space="preserve">For more detail on the results of each auction, please see </w:t>
      </w:r>
      <w:hyperlink r:id="rId40" w:history="1">
        <w:r w:rsidRPr="008A5812">
          <w:rPr>
            <w:rStyle w:val="Hyperlink"/>
            <w:rFonts w:ascii="Arial" w:hAnsi="Arial"/>
            <w:szCs w:val="24"/>
          </w:rPr>
          <w:t>ECO Brokerage</w:t>
        </w:r>
      </w:hyperlink>
      <w:bookmarkStart w:id="44" w:name="OLE_LINK8"/>
      <w:bookmarkEnd w:id="44"/>
    </w:p>
    <w:p w:rsidR="000E5896" w:rsidRDefault="000E5896" w:rsidP="00614FD5">
      <w:pPr>
        <w:pStyle w:val="Heading2"/>
      </w:pPr>
    </w:p>
    <w:p w:rsidR="000E5896" w:rsidRDefault="000E5896" w:rsidP="00614FD5">
      <w:pPr>
        <w:pStyle w:val="Heading2"/>
      </w:pPr>
    </w:p>
    <w:p w:rsidR="00D12323" w:rsidRDefault="00D12323" w:rsidP="00614FD5">
      <w:pPr>
        <w:pStyle w:val="Heading2"/>
      </w:pPr>
      <w:bookmarkStart w:id="45" w:name="_Toc372290494"/>
      <w:r w:rsidRPr="008A5812">
        <w:lastRenderedPageBreak/>
        <w:t>Suppl</w:t>
      </w:r>
      <w:r w:rsidR="00455D54">
        <w:t>y chain, as at the end of Octo</w:t>
      </w:r>
      <w:r w:rsidR="00AB3F8E">
        <w:t>ber (</w:t>
      </w:r>
      <w:r w:rsidR="00FB3E32">
        <w:t xml:space="preserve">Table 7, </w:t>
      </w:r>
      <w:r w:rsidR="00AB3F8E">
        <w:t>Chart 7</w:t>
      </w:r>
      <w:r w:rsidRPr="008A5812">
        <w:t>)</w:t>
      </w:r>
      <w:bookmarkEnd w:id="45"/>
    </w:p>
    <w:p w:rsidR="00455D54" w:rsidRPr="008A5812" w:rsidRDefault="00455D54" w:rsidP="003E17F1">
      <w:pPr>
        <w:spacing w:before="0" w:after="0" w:line="270" w:lineRule="atLeast"/>
        <w:jc w:val="both"/>
        <w:rPr>
          <w:szCs w:val="24"/>
          <w:u w:val="single"/>
        </w:rPr>
      </w:pPr>
    </w:p>
    <w:p w:rsidR="00D12323" w:rsidRPr="008A5812" w:rsidRDefault="00D12323" w:rsidP="003E17F1">
      <w:pPr>
        <w:spacing w:before="0" w:after="0" w:line="270" w:lineRule="atLeast"/>
        <w:jc w:val="both"/>
        <w:rPr>
          <w:szCs w:val="24"/>
        </w:rPr>
      </w:pPr>
      <w:r w:rsidRPr="008A5812">
        <w:rPr>
          <w:szCs w:val="24"/>
        </w:rPr>
        <w:t>The supply chain to support the Green Deal has been developing since October 2012. This includes individual Advisors (who carry out and produce Green Deal Advice Reports) and Assessor organisations (who employ authorised Green Deal Advisors), Green Deal Providers (who quote for and arrange Green Deal Plans with householders and arrange for the measures to be installed), and Installer organisations</w:t>
      </w:r>
      <w:r w:rsidRPr="008A5812">
        <w:rPr>
          <w:rStyle w:val="FootnoteReference"/>
          <w:szCs w:val="24"/>
        </w:rPr>
        <w:footnoteReference w:id="6"/>
      </w:r>
      <w:r w:rsidRPr="008A5812">
        <w:rPr>
          <w:szCs w:val="24"/>
        </w:rPr>
        <w:t xml:space="preserve"> (who install energy efficiency improvements under the GD finance mechanism). Chart </w:t>
      </w:r>
      <w:r w:rsidR="00CC14D8">
        <w:rPr>
          <w:szCs w:val="24"/>
        </w:rPr>
        <w:t>7</w:t>
      </w:r>
      <w:r w:rsidRPr="008A5812">
        <w:rPr>
          <w:szCs w:val="24"/>
        </w:rPr>
        <w:t xml:space="preserve"> shows the number of organisations and individuals who have been accredited as of the end of each month.</w:t>
      </w:r>
      <w:bookmarkStart w:id="46" w:name="Chart6"/>
      <w:bookmarkEnd w:id="46"/>
    </w:p>
    <w:p w:rsidR="00D12323" w:rsidRPr="008A5812" w:rsidRDefault="00D12323" w:rsidP="002A2F62">
      <w:pPr>
        <w:spacing w:before="0" w:after="0" w:line="270" w:lineRule="atLeast"/>
        <w:jc w:val="both"/>
        <w:rPr>
          <w:szCs w:val="24"/>
        </w:rPr>
      </w:pPr>
    </w:p>
    <w:p w:rsidR="00D12323" w:rsidRPr="002A2F62" w:rsidRDefault="002A2F62" w:rsidP="002A2F62">
      <w:pPr>
        <w:pStyle w:val="Caption"/>
        <w:spacing w:before="0" w:after="0"/>
        <w:rPr>
          <w:b w:val="0"/>
          <w:sz w:val="24"/>
          <w:szCs w:val="24"/>
        </w:rPr>
      </w:pPr>
      <w:bookmarkStart w:id="47" w:name="_Toc372290145"/>
      <w:r w:rsidRPr="002A2F62">
        <w:rPr>
          <w:b w:val="0"/>
          <w:sz w:val="24"/>
          <w:szCs w:val="24"/>
        </w:rPr>
        <w:t xml:space="preserve">Chart </w:t>
      </w:r>
      <w:r w:rsidR="00486E4E" w:rsidRPr="002A2F62">
        <w:rPr>
          <w:b w:val="0"/>
          <w:sz w:val="24"/>
          <w:szCs w:val="24"/>
        </w:rPr>
        <w:fldChar w:fldCharType="begin"/>
      </w:r>
      <w:r w:rsidR="00486E4E" w:rsidRPr="002A2F62">
        <w:rPr>
          <w:b w:val="0"/>
          <w:sz w:val="24"/>
          <w:szCs w:val="24"/>
        </w:rPr>
        <w:instrText xml:space="preserve"> SEQ Chart \* ARABIC </w:instrText>
      </w:r>
      <w:r w:rsidR="00486E4E" w:rsidRPr="002A2F62">
        <w:rPr>
          <w:b w:val="0"/>
          <w:sz w:val="24"/>
          <w:szCs w:val="24"/>
        </w:rPr>
        <w:fldChar w:fldCharType="separate"/>
      </w:r>
      <w:r w:rsidR="006C0F27">
        <w:rPr>
          <w:b w:val="0"/>
          <w:noProof/>
          <w:sz w:val="24"/>
          <w:szCs w:val="24"/>
        </w:rPr>
        <w:t>7</w:t>
      </w:r>
      <w:r w:rsidR="00486E4E" w:rsidRPr="002A2F62">
        <w:rPr>
          <w:b w:val="0"/>
          <w:sz w:val="24"/>
          <w:szCs w:val="24"/>
        </w:rPr>
        <w:fldChar w:fldCharType="end"/>
      </w:r>
      <w:r w:rsidRPr="002A2F62">
        <w:rPr>
          <w:b w:val="0"/>
          <w:sz w:val="24"/>
          <w:szCs w:val="24"/>
        </w:rPr>
        <w:t xml:space="preserve"> </w:t>
      </w:r>
      <w:r w:rsidR="00D12323" w:rsidRPr="002A2F62">
        <w:rPr>
          <w:b w:val="0"/>
          <w:sz w:val="24"/>
          <w:szCs w:val="24"/>
        </w:rPr>
        <w:t>- Development of supply chain (cumulative numbers) at end of each month</w:t>
      </w:r>
      <w:bookmarkEnd w:id="47"/>
    </w:p>
    <w:p w:rsidR="002F2904" w:rsidRDefault="002F2904" w:rsidP="003E17F1">
      <w:pPr>
        <w:spacing w:before="0" w:after="0" w:line="270" w:lineRule="atLeast"/>
        <w:jc w:val="both"/>
        <w:rPr>
          <w:szCs w:val="24"/>
        </w:rPr>
      </w:pPr>
    </w:p>
    <w:p w:rsidR="002F2904" w:rsidRPr="008A5812" w:rsidRDefault="005C70A5" w:rsidP="003E17F1">
      <w:pPr>
        <w:spacing w:before="0" w:after="0" w:line="270" w:lineRule="atLeast"/>
        <w:jc w:val="both"/>
        <w:rPr>
          <w:szCs w:val="24"/>
        </w:rPr>
      </w:pPr>
      <w:r>
        <w:rPr>
          <w:noProof/>
          <w:szCs w:val="24"/>
          <w:lang w:eastAsia="en-GB"/>
        </w:rPr>
      </w:r>
      <w:r>
        <w:rPr>
          <w:szCs w:val="24"/>
        </w:rPr>
        <w:pict>
          <v:shape id="_x0000_s1045" type="#_x0000_t75" style="width:537pt;height:294pt;mso-position-horizontal-relative:char;mso-position-vertical-relative:line">
            <v:imagedata r:id="rId41" o:title=""/>
            <w10:wrap type="none"/>
            <w10:anchorlock/>
          </v:shape>
        </w:pict>
      </w:r>
    </w:p>
    <w:p w:rsidR="00D12323" w:rsidRPr="008A5812" w:rsidRDefault="00D12323" w:rsidP="003E17F1">
      <w:pPr>
        <w:spacing w:before="0" w:after="0" w:line="270" w:lineRule="atLeast"/>
        <w:jc w:val="both"/>
        <w:rPr>
          <w:b/>
          <w:szCs w:val="24"/>
        </w:rPr>
      </w:pPr>
    </w:p>
    <w:p w:rsidR="00D12323" w:rsidRDefault="00D12323" w:rsidP="003E17F1">
      <w:pPr>
        <w:spacing w:before="0" w:after="0" w:line="270" w:lineRule="atLeast"/>
        <w:jc w:val="both"/>
        <w:rPr>
          <w:szCs w:val="24"/>
        </w:rPr>
      </w:pPr>
      <w:r w:rsidRPr="008A5812">
        <w:rPr>
          <w:szCs w:val="24"/>
        </w:rPr>
        <w:t xml:space="preserve">The numbers of accredited GD Assessor organisations and individual Advisors has been increasing steadily since December as individual Assessors complete their training and are accredited. At the end of </w:t>
      </w:r>
      <w:r w:rsidR="005C580D">
        <w:rPr>
          <w:szCs w:val="24"/>
        </w:rPr>
        <w:t>Octobe</w:t>
      </w:r>
      <w:r w:rsidRPr="008A5812">
        <w:rPr>
          <w:szCs w:val="24"/>
        </w:rPr>
        <w:t xml:space="preserve">r there were </w:t>
      </w:r>
      <w:r w:rsidR="005C580D">
        <w:rPr>
          <w:szCs w:val="24"/>
        </w:rPr>
        <w:t>302</w:t>
      </w:r>
      <w:r w:rsidRPr="008A5812">
        <w:rPr>
          <w:szCs w:val="24"/>
        </w:rPr>
        <w:t xml:space="preserve"> organisations employing a total of </w:t>
      </w:r>
      <w:r w:rsidR="005C580D">
        <w:rPr>
          <w:szCs w:val="24"/>
        </w:rPr>
        <w:t>2,687</w:t>
      </w:r>
      <w:r w:rsidRPr="008A5812">
        <w:rPr>
          <w:szCs w:val="24"/>
        </w:rPr>
        <w:t xml:space="preserve"> Advisors, compared to 48 and 270 respectively at the end of January 2013.</w:t>
      </w:r>
    </w:p>
    <w:p w:rsidR="003E17F1" w:rsidRPr="008A5812" w:rsidRDefault="003E17F1" w:rsidP="003E17F1">
      <w:pPr>
        <w:spacing w:before="0" w:after="0" w:line="270" w:lineRule="atLeast"/>
        <w:jc w:val="both"/>
        <w:rPr>
          <w:szCs w:val="24"/>
        </w:rPr>
      </w:pPr>
    </w:p>
    <w:p w:rsidR="00D12323" w:rsidRPr="008A5812" w:rsidRDefault="00D12323" w:rsidP="003E17F1">
      <w:pPr>
        <w:spacing w:before="0" w:after="0" w:line="270" w:lineRule="atLeast"/>
        <w:jc w:val="both"/>
        <w:rPr>
          <w:szCs w:val="24"/>
        </w:rPr>
      </w:pPr>
      <w:r w:rsidRPr="008A5812">
        <w:rPr>
          <w:szCs w:val="24"/>
        </w:rPr>
        <w:t>The number of Green Dea</w:t>
      </w:r>
      <w:r w:rsidR="005C580D">
        <w:rPr>
          <w:szCs w:val="24"/>
        </w:rPr>
        <w:t>l Providers has increased to 112</w:t>
      </w:r>
      <w:r w:rsidRPr="008A5812">
        <w:rPr>
          <w:szCs w:val="24"/>
        </w:rPr>
        <w:t xml:space="preserve"> from 25 at the end of January 2013.</w:t>
      </w:r>
    </w:p>
    <w:p w:rsidR="00D12323" w:rsidRDefault="00D12323" w:rsidP="003E17F1">
      <w:pPr>
        <w:spacing w:before="0" w:after="0" w:line="270" w:lineRule="atLeast"/>
        <w:jc w:val="both"/>
        <w:rPr>
          <w:szCs w:val="24"/>
        </w:rPr>
      </w:pPr>
      <w:r w:rsidRPr="008A5812">
        <w:rPr>
          <w:szCs w:val="24"/>
        </w:rPr>
        <w:t>The number of accredited Installer organisations has increased steadily since the beginning of the year from 531 accredited</w:t>
      </w:r>
      <w:r w:rsidR="005C580D">
        <w:rPr>
          <w:szCs w:val="24"/>
        </w:rPr>
        <w:t xml:space="preserve"> at the end of January 2013 to 2,020</w:t>
      </w:r>
      <w:r w:rsidRPr="008A5812">
        <w:rPr>
          <w:szCs w:val="24"/>
        </w:rPr>
        <w:t xml:space="preserve"> organisations accredited at the end of </w:t>
      </w:r>
      <w:r w:rsidR="005C580D">
        <w:rPr>
          <w:szCs w:val="24"/>
        </w:rPr>
        <w:t>October</w:t>
      </w:r>
      <w:r w:rsidRPr="008A5812">
        <w:rPr>
          <w:szCs w:val="24"/>
        </w:rPr>
        <w:t xml:space="preserve"> 2013. These organisations will provide a wide range of different measures and in different geographical locations (see </w:t>
      </w:r>
      <w:hyperlink r:id="rId42" w:history="1">
        <w:r w:rsidRPr="008A5812">
          <w:rPr>
            <w:rStyle w:val="Hyperlink"/>
            <w:rFonts w:ascii="Arial" w:hAnsi="Arial"/>
            <w:szCs w:val="24"/>
            <w:lang w:eastAsia="en-GB"/>
          </w:rPr>
          <w:t>quarterly statistical release</w:t>
        </w:r>
      </w:hyperlink>
      <w:r w:rsidRPr="008A5812">
        <w:rPr>
          <w:szCs w:val="24"/>
        </w:rPr>
        <w:t xml:space="preserve"> for more details).</w:t>
      </w:r>
    </w:p>
    <w:p w:rsidR="003E17F1" w:rsidRPr="008A5812" w:rsidRDefault="003E17F1" w:rsidP="003E17F1">
      <w:pPr>
        <w:spacing w:before="0" w:after="0" w:line="270" w:lineRule="atLeast"/>
        <w:jc w:val="both"/>
        <w:rPr>
          <w:szCs w:val="24"/>
        </w:rPr>
      </w:pPr>
    </w:p>
    <w:p w:rsidR="00D12323" w:rsidRPr="008A5812" w:rsidRDefault="00D12323" w:rsidP="003E17F1">
      <w:pPr>
        <w:spacing w:before="0" w:after="0" w:line="270" w:lineRule="atLeast"/>
        <w:jc w:val="both"/>
        <w:rPr>
          <w:color w:val="FF0000"/>
          <w:szCs w:val="24"/>
        </w:rPr>
      </w:pPr>
      <w:r w:rsidRPr="00300F50">
        <w:rPr>
          <w:color w:val="000000"/>
          <w:szCs w:val="24"/>
        </w:rPr>
        <w:t>The</w:t>
      </w:r>
      <w:r w:rsidRPr="008A5812">
        <w:rPr>
          <w:color w:val="FF0000"/>
          <w:szCs w:val="24"/>
        </w:rPr>
        <w:t xml:space="preserve"> </w:t>
      </w:r>
      <w:r w:rsidRPr="008A5812">
        <w:rPr>
          <w:szCs w:val="24"/>
        </w:rPr>
        <w:t xml:space="preserve">Green Deal Oversight and Regulation Body (ORB) </w:t>
      </w:r>
      <w:r w:rsidRPr="00300F50">
        <w:rPr>
          <w:color w:val="000000"/>
          <w:szCs w:val="24"/>
        </w:rPr>
        <w:t xml:space="preserve">produces publically available information on the supply chain, and the latest figures are available by using the search tool on the </w:t>
      </w:r>
      <w:hyperlink r:id="rId43" w:history="1">
        <w:r w:rsidRPr="008A5812">
          <w:rPr>
            <w:rStyle w:val="Hyperlink"/>
            <w:rFonts w:ascii="Arial" w:hAnsi="Arial"/>
            <w:szCs w:val="24"/>
          </w:rPr>
          <w:t>ORB website</w:t>
        </w:r>
      </w:hyperlink>
      <w:r w:rsidRPr="00300F50">
        <w:rPr>
          <w:color w:val="000000"/>
          <w:szCs w:val="24"/>
        </w:rPr>
        <w:t xml:space="preserve">. There is also information available on </w:t>
      </w:r>
      <w:hyperlink r:id="rId44" w:history="1">
        <w:r w:rsidRPr="008A5812">
          <w:rPr>
            <w:rStyle w:val="Hyperlink"/>
            <w:rFonts w:ascii="Arial" w:hAnsi="Arial"/>
            <w:szCs w:val="24"/>
          </w:rPr>
          <w:t>contacts in local areas.</w:t>
        </w:r>
      </w:hyperlink>
    </w:p>
    <w:p w:rsidR="00705A31" w:rsidRPr="008A5812" w:rsidRDefault="00705A31" w:rsidP="003E17F1">
      <w:pPr>
        <w:spacing w:before="0" w:after="0" w:line="270" w:lineRule="atLeast"/>
        <w:rPr>
          <w:b/>
          <w:bCs/>
          <w:szCs w:val="24"/>
        </w:rPr>
      </w:pPr>
    </w:p>
    <w:p w:rsidR="00E90724" w:rsidRPr="008A5812" w:rsidRDefault="00C06107" w:rsidP="003E17F1">
      <w:pPr>
        <w:pStyle w:val="ChapterHead"/>
        <w:spacing w:before="0" w:after="100" w:afterAutospacing="1"/>
        <w:rPr>
          <w:rFonts w:cs="Arial"/>
          <w:szCs w:val="50"/>
        </w:rPr>
      </w:pPr>
      <w:r>
        <w:rPr>
          <w:rFonts w:cs="Arial"/>
          <w:szCs w:val="50"/>
        </w:rPr>
        <w:br w:type="page"/>
      </w:r>
      <w:bookmarkStart w:id="48" w:name="_Toc372290495"/>
      <w:r w:rsidR="00E90724" w:rsidRPr="008A5812">
        <w:rPr>
          <w:rFonts w:cs="Arial"/>
          <w:szCs w:val="50"/>
        </w:rPr>
        <w:lastRenderedPageBreak/>
        <w:t xml:space="preserve">Annex </w:t>
      </w:r>
      <w:proofErr w:type="gramStart"/>
      <w:r w:rsidR="00E90724" w:rsidRPr="008A5812">
        <w:rPr>
          <w:rFonts w:cs="Arial"/>
          <w:szCs w:val="50"/>
        </w:rPr>
        <w:t>A</w:t>
      </w:r>
      <w:proofErr w:type="gramEnd"/>
      <w:r w:rsidR="00E90724" w:rsidRPr="008A5812">
        <w:rPr>
          <w:rFonts w:cs="Arial"/>
          <w:szCs w:val="50"/>
        </w:rPr>
        <w:t xml:space="preserve"> – Tables</w:t>
      </w:r>
      <w:bookmarkEnd w:id="48"/>
    </w:p>
    <w:tbl>
      <w:tblPr>
        <w:tblW w:w="9796" w:type="dxa"/>
        <w:tblInd w:w="93" w:type="dxa"/>
        <w:tblLook w:val="04A0" w:firstRow="1" w:lastRow="0" w:firstColumn="1" w:lastColumn="0" w:noHBand="0" w:noVBand="1"/>
      </w:tblPr>
      <w:tblGrid>
        <w:gridCol w:w="2283"/>
        <w:gridCol w:w="1268"/>
        <w:gridCol w:w="1596"/>
        <w:gridCol w:w="1672"/>
        <w:gridCol w:w="2410"/>
        <w:gridCol w:w="567"/>
      </w:tblGrid>
      <w:tr w:rsidR="00FC2012" w:rsidRPr="008E6CEA" w:rsidTr="00EB0A90">
        <w:trPr>
          <w:gridAfter w:val="1"/>
          <w:wAfter w:w="567" w:type="dxa"/>
          <w:trHeight w:val="771"/>
        </w:trPr>
        <w:tc>
          <w:tcPr>
            <w:tcW w:w="9229" w:type="dxa"/>
            <w:gridSpan w:val="5"/>
            <w:tcBorders>
              <w:top w:val="nil"/>
              <w:left w:val="nil"/>
              <w:bottom w:val="nil"/>
              <w:right w:val="nil"/>
            </w:tcBorders>
            <w:shd w:val="clear" w:color="000000" w:fill="FFFFFF"/>
            <w:noWrap/>
            <w:vAlign w:val="bottom"/>
            <w:hideMark/>
          </w:tcPr>
          <w:p w:rsidR="00FC2012" w:rsidRPr="008E6CEA" w:rsidRDefault="00FC2012" w:rsidP="00FC2012">
            <w:pPr>
              <w:spacing w:before="0" w:line="240" w:lineRule="auto"/>
              <w:rPr>
                <w:b/>
                <w:bCs/>
                <w:color w:val="000000"/>
                <w:szCs w:val="24"/>
                <w:lang w:eastAsia="en-GB"/>
              </w:rPr>
            </w:pPr>
            <w:r w:rsidRPr="008E6CEA">
              <w:rPr>
                <w:b/>
                <w:bCs/>
                <w:color w:val="000000"/>
                <w:szCs w:val="24"/>
                <w:lang w:eastAsia="en-GB"/>
              </w:rPr>
              <w:t>Table 1: Provisional number of measures installed through ECO, Cashback or using Green Deal finance,</w:t>
            </w:r>
            <w:r>
              <w:rPr>
                <w:b/>
                <w:bCs/>
                <w:color w:val="000000"/>
                <w:szCs w:val="24"/>
                <w:lang w:eastAsia="en-GB"/>
              </w:rPr>
              <w:t xml:space="preserve"> by month of installation</w:t>
            </w:r>
          </w:p>
        </w:tc>
      </w:tr>
      <w:tr w:rsidR="00FC2012" w:rsidRPr="008E6CEA" w:rsidTr="00EB0A90">
        <w:trPr>
          <w:gridAfter w:val="1"/>
          <w:wAfter w:w="567" w:type="dxa"/>
          <w:trHeight w:val="255"/>
        </w:trPr>
        <w:tc>
          <w:tcPr>
            <w:tcW w:w="2283" w:type="dxa"/>
            <w:tcBorders>
              <w:top w:val="nil"/>
              <w:left w:val="nil"/>
              <w:bottom w:val="single" w:sz="4" w:space="0" w:color="auto"/>
              <w:right w:val="nil"/>
            </w:tcBorders>
            <w:shd w:val="clear" w:color="000000" w:fill="FFFFFF"/>
            <w:noWrap/>
            <w:vAlign w:val="bottom"/>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c>
          <w:tcPr>
            <w:tcW w:w="1268"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c>
          <w:tcPr>
            <w:tcW w:w="1596"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 </w:t>
            </w:r>
          </w:p>
        </w:tc>
        <w:tc>
          <w:tcPr>
            <w:tcW w:w="1672"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c>
          <w:tcPr>
            <w:tcW w:w="2410" w:type="dxa"/>
            <w:tcBorders>
              <w:top w:val="nil"/>
              <w:left w:val="nil"/>
              <w:bottom w:val="single" w:sz="4" w:space="0" w:color="auto"/>
              <w:right w:val="nil"/>
            </w:tcBorders>
            <w:shd w:val="clear" w:color="000000" w:fill="FFFFFF"/>
            <w:noWrap/>
            <w:vAlign w:val="bottom"/>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r>
      <w:tr w:rsidR="00FC2012" w:rsidRPr="008E6CEA" w:rsidTr="00EB0A90">
        <w:trPr>
          <w:gridAfter w:val="1"/>
          <w:wAfter w:w="567" w:type="dxa"/>
          <w:trHeight w:val="255"/>
        </w:trPr>
        <w:tc>
          <w:tcPr>
            <w:tcW w:w="2283" w:type="dxa"/>
            <w:tcBorders>
              <w:top w:val="nil"/>
              <w:left w:val="nil"/>
              <w:bottom w:val="nil"/>
              <w:right w:val="nil"/>
            </w:tcBorders>
            <w:shd w:val="clear" w:color="000000" w:fill="FFFFFF"/>
            <w:noWrap/>
            <w:vAlign w:val="center"/>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c>
          <w:tcPr>
            <w:tcW w:w="4536" w:type="dxa"/>
            <w:gridSpan w:val="3"/>
            <w:tcBorders>
              <w:top w:val="single" w:sz="4" w:space="0" w:color="auto"/>
              <w:left w:val="nil"/>
              <w:bottom w:val="single" w:sz="4" w:space="0" w:color="auto"/>
              <w:right w:val="nil"/>
            </w:tcBorders>
            <w:shd w:val="clear" w:color="000000" w:fill="FFFFFF"/>
            <w:noWrap/>
            <w:vAlign w:val="bottom"/>
            <w:hideMark/>
          </w:tcPr>
          <w:p w:rsidR="00FC2012" w:rsidRPr="008E6CEA" w:rsidRDefault="00FC2012" w:rsidP="003269F2">
            <w:pPr>
              <w:spacing w:before="0" w:line="240" w:lineRule="auto"/>
              <w:jc w:val="center"/>
              <w:rPr>
                <w:color w:val="000000"/>
                <w:szCs w:val="24"/>
                <w:lang w:eastAsia="en-GB"/>
              </w:rPr>
            </w:pPr>
            <w:r w:rsidRPr="008E6CEA">
              <w:rPr>
                <w:color w:val="000000"/>
                <w:szCs w:val="24"/>
                <w:lang w:eastAsia="en-GB"/>
              </w:rPr>
              <w:t>Delivery mechanism</w:t>
            </w:r>
          </w:p>
        </w:tc>
        <w:tc>
          <w:tcPr>
            <w:tcW w:w="2410"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r>
      <w:tr w:rsidR="00FC2012" w:rsidRPr="008E6CEA" w:rsidTr="00EB0A90">
        <w:trPr>
          <w:gridAfter w:val="1"/>
          <w:wAfter w:w="567" w:type="dxa"/>
          <w:trHeight w:val="555"/>
        </w:trPr>
        <w:tc>
          <w:tcPr>
            <w:tcW w:w="2283" w:type="dxa"/>
            <w:tcBorders>
              <w:top w:val="nil"/>
              <w:left w:val="nil"/>
              <w:bottom w:val="nil"/>
              <w:right w:val="nil"/>
            </w:tcBorders>
            <w:shd w:val="clear" w:color="000000" w:fill="FFFFFF"/>
            <w:noWrap/>
            <w:vAlign w:val="center"/>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Installation Month</w:t>
            </w:r>
            <w:r w:rsidRPr="008E6CEA">
              <w:rPr>
                <w:color w:val="000000"/>
                <w:szCs w:val="24"/>
                <w:vertAlign w:val="superscript"/>
                <w:lang w:eastAsia="en-GB"/>
              </w:rPr>
              <w:t xml:space="preserve"> 1</w:t>
            </w:r>
          </w:p>
        </w:tc>
        <w:tc>
          <w:tcPr>
            <w:tcW w:w="1268" w:type="dxa"/>
            <w:tcBorders>
              <w:top w:val="nil"/>
              <w:left w:val="nil"/>
              <w:bottom w:val="single" w:sz="4" w:space="0" w:color="auto"/>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ECO</w:t>
            </w:r>
          </w:p>
        </w:tc>
        <w:tc>
          <w:tcPr>
            <w:tcW w:w="1596" w:type="dxa"/>
            <w:tcBorders>
              <w:top w:val="nil"/>
              <w:left w:val="nil"/>
              <w:bottom w:val="single" w:sz="4" w:space="0" w:color="auto"/>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Cashback</w:t>
            </w:r>
          </w:p>
        </w:tc>
        <w:tc>
          <w:tcPr>
            <w:tcW w:w="1672" w:type="dxa"/>
            <w:tcBorders>
              <w:top w:val="nil"/>
              <w:left w:val="nil"/>
              <w:bottom w:val="single" w:sz="4" w:space="0" w:color="auto"/>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Green Deal</w:t>
            </w:r>
          </w:p>
        </w:tc>
        <w:tc>
          <w:tcPr>
            <w:tcW w:w="2410" w:type="dxa"/>
            <w:tcBorders>
              <w:top w:val="nil"/>
              <w:left w:val="nil"/>
              <w:bottom w:val="single" w:sz="4" w:space="0" w:color="auto"/>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Total number of measures installed</w:t>
            </w:r>
            <w:r w:rsidR="00EB0A90">
              <w:rPr>
                <w:color w:val="000000"/>
                <w:szCs w:val="24"/>
                <w:lang w:eastAsia="en-GB"/>
              </w:rPr>
              <w:t xml:space="preserve"> </w:t>
            </w:r>
            <w:r w:rsidR="00EB0A90" w:rsidRPr="00EB0A90">
              <w:rPr>
                <w:color w:val="000000"/>
                <w:szCs w:val="24"/>
                <w:vertAlign w:val="superscript"/>
                <w:lang w:eastAsia="en-GB"/>
              </w:rPr>
              <w:t>3</w:t>
            </w:r>
          </w:p>
        </w:tc>
      </w:tr>
      <w:tr w:rsidR="00FC2012" w:rsidRPr="008E6CEA" w:rsidTr="00EB0A90">
        <w:trPr>
          <w:gridAfter w:val="1"/>
          <w:wAfter w:w="567" w:type="dxa"/>
          <w:trHeight w:val="330"/>
        </w:trPr>
        <w:tc>
          <w:tcPr>
            <w:tcW w:w="2283" w:type="dxa"/>
            <w:tcBorders>
              <w:top w:val="nil"/>
              <w:left w:val="nil"/>
              <w:bottom w:val="nil"/>
              <w:right w:val="nil"/>
            </w:tcBorders>
            <w:shd w:val="clear" w:color="000000" w:fill="FFFFFF"/>
            <w:noWrap/>
            <w:vAlign w:val="center"/>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c>
          <w:tcPr>
            <w:tcW w:w="1268" w:type="dxa"/>
            <w:tcBorders>
              <w:top w:val="nil"/>
              <w:left w:val="nil"/>
              <w:bottom w:val="nil"/>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 </w:t>
            </w:r>
          </w:p>
        </w:tc>
        <w:tc>
          <w:tcPr>
            <w:tcW w:w="1596" w:type="dxa"/>
            <w:tcBorders>
              <w:top w:val="nil"/>
              <w:left w:val="nil"/>
              <w:bottom w:val="nil"/>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 </w:t>
            </w:r>
          </w:p>
        </w:tc>
        <w:tc>
          <w:tcPr>
            <w:tcW w:w="1672" w:type="dxa"/>
            <w:tcBorders>
              <w:top w:val="nil"/>
              <w:left w:val="nil"/>
              <w:bottom w:val="nil"/>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 </w:t>
            </w:r>
          </w:p>
        </w:tc>
        <w:tc>
          <w:tcPr>
            <w:tcW w:w="2410" w:type="dxa"/>
            <w:tcBorders>
              <w:top w:val="nil"/>
              <w:left w:val="nil"/>
              <w:bottom w:val="nil"/>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 </w:t>
            </w:r>
          </w:p>
        </w:tc>
      </w:tr>
      <w:tr w:rsidR="00FC2012" w:rsidRPr="008E6CEA" w:rsidTr="00EB0A90">
        <w:trPr>
          <w:gridAfter w:val="1"/>
          <w:wAfter w:w="567" w:type="dxa"/>
          <w:trHeight w:val="285"/>
        </w:trPr>
        <w:tc>
          <w:tcPr>
            <w:tcW w:w="2283"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January 2013</w:t>
            </w:r>
            <w:r w:rsidRPr="008E6CEA">
              <w:rPr>
                <w:color w:val="000000"/>
                <w:szCs w:val="24"/>
                <w:vertAlign w:val="superscript"/>
                <w:lang w:eastAsia="en-GB"/>
              </w:rPr>
              <w:t>2</w:t>
            </w:r>
          </w:p>
        </w:tc>
        <w:tc>
          <w:tcPr>
            <w:tcW w:w="1268" w:type="dxa"/>
            <w:tcBorders>
              <w:top w:val="nil"/>
              <w:left w:val="nil"/>
              <w:bottom w:val="nil"/>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14,658</w:t>
            </w:r>
          </w:p>
        </w:tc>
        <w:tc>
          <w:tcPr>
            <w:tcW w:w="1596" w:type="dxa"/>
            <w:tcBorders>
              <w:top w:val="nil"/>
              <w:left w:val="nil"/>
              <w:bottom w:val="nil"/>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0</w:t>
            </w:r>
          </w:p>
        </w:tc>
        <w:tc>
          <w:tcPr>
            <w:tcW w:w="1672" w:type="dxa"/>
            <w:tcBorders>
              <w:top w:val="nil"/>
              <w:left w:val="nil"/>
              <w:bottom w:val="nil"/>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0</w:t>
            </w:r>
          </w:p>
        </w:tc>
        <w:tc>
          <w:tcPr>
            <w:tcW w:w="2410" w:type="dxa"/>
            <w:tcBorders>
              <w:top w:val="nil"/>
              <w:left w:val="nil"/>
              <w:bottom w:val="nil"/>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14,658</w:t>
            </w:r>
          </w:p>
        </w:tc>
      </w:tr>
      <w:tr w:rsidR="00FC2012" w:rsidRPr="008E6CEA" w:rsidTr="00EB0A90">
        <w:trPr>
          <w:gridAfter w:val="1"/>
          <w:wAfter w:w="567" w:type="dxa"/>
          <w:trHeight w:val="285"/>
        </w:trPr>
        <w:tc>
          <w:tcPr>
            <w:tcW w:w="2283"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February 2013</w:t>
            </w:r>
          </w:p>
        </w:tc>
        <w:tc>
          <w:tcPr>
            <w:tcW w:w="1268" w:type="dxa"/>
            <w:tcBorders>
              <w:top w:val="nil"/>
              <w:left w:val="nil"/>
              <w:bottom w:val="nil"/>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18,576</w:t>
            </w:r>
          </w:p>
        </w:tc>
        <w:tc>
          <w:tcPr>
            <w:tcW w:w="1596" w:type="dxa"/>
            <w:tcBorders>
              <w:top w:val="nil"/>
              <w:left w:val="nil"/>
              <w:bottom w:val="nil"/>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94</w:t>
            </w:r>
          </w:p>
        </w:tc>
        <w:tc>
          <w:tcPr>
            <w:tcW w:w="1672" w:type="dxa"/>
            <w:tcBorders>
              <w:top w:val="nil"/>
              <w:left w:val="nil"/>
              <w:bottom w:val="nil"/>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0</w:t>
            </w:r>
          </w:p>
        </w:tc>
        <w:tc>
          <w:tcPr>
            <w:tcW w:w="2410" w:type="dxa"/>
            <w:tcBorders>
              <w:top w:val="nil"/>
              <w:left w:val="nil"/>
              <w:bottom w:val="nil"/>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18,670</w:t>
            </w:r>
          </w:p>
        </w:tc>
      </w:tr>
      <w:tr w:rsidR="00FC2012" w:rsidRPr="008E6CEA" w:rsidTr="00EB0A90">
        <w:trPr>
          <w:gridAfter w:val="1"/>
          <w:wAfter w:w="567" w:type="dxa"/>
          <w:trHeight w:val="285"/>
        </w:trPr>
        <w:tc>
          <w:tcPr>
            <w:tcW w:w="2283"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March 2013</w:t>
            </w:r>
          </w:p>
        </w:tc>
        <w:tc>
          <w:tcPr>
            <w:tcW w:w="1268" w:type="dxa"/>
            <w:tcBorders>
              <w:top w:val="nil"/>
              <w:left w:val="nil"/>
              <w:bottom w:val="nil"/>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21,164</w:t>
            </w:r>
          </w:p>
        </w:tc>
        <w:tc>
          <w:tcPr>
            <w:tcW w:w="1596" w:type="dxa"/>
            <w:tcBorders>
              <w:top w:val="nil"/>
              <w:left w:val="nil"/>
              <w:bottom w:val="nil"/>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132</w:t>
            </w:r>
          </w:p>
        </w:tc>
        <w:tc>
          <w:tcPr>
            <w:tcW w:w="1672" w:type="dxa"/>
            <w:tcBorders>
              <w:top w:val="nil"/>
              <w:left w:val="nil"/>
              <w:bottom w:val="nil"/>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0</w:t>
            </w:r>
          </w:p>
        </w:tc>
        <w:tc>
          <w:tcPr>
            <w:tcW w:w="2410" w:type="dxa"/>
            <w:tcBorders>
              <w:top w:val="nil"/>
              <w:left w:val="nil"/>
              <w:bottom w:val="nil"/>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21,296</w:t>
            </w:r>
          </w:p>
        </w:tc>
      </w:tr>
      <w:tr w:rsidR="00FC2012" w:rsidRPr="008E6CEA" w:rsidTr="00EB0A90">
        <w:trPr>
          <w:gridAfter w:val="1"/>
          <w:wAfter w:w="567" w:type="dxa"/>
          <w:trHeight w:val="285"/>
        </w:trPr>
        <w:tc>
          <w:tcPr>
            <w:tcW w:w="2283"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April 2013</w:t>
            </w:r>
          </w:p>
        </w:tc>
        <w:tc>
          <w:tcPr>
            <w:tcW w:w="1268" w:type="dxa"/>
            <w:tcBorders>
              <w:top w:val="nil"/>
              <w:left w:val="nil"/>
              <w:bottom w:val="nil"/>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27,809</w:t>
            </w:r>
          </w:p>
        </w:tc>
        <w:tc>
          <w:tcPr>
            <w:tcW w:w="1596" w:type="dxa"/>
            <w:tcBorders>
              <w:top w:val="nil"/>
              <w:left w:val="nil"/>
              <w:bottom w:val="nil"/>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110</w:t>
            </w:r>
          </w:p>
        </w:tc>
        <w:tc>
          <w:tcPr>
            <w:tcW w:w="1672" w:type="dxa"/>
            <w:tcBorders>
              <w:top w:val="nil"/>
              <w:left w:val="nil"/>
              <w:bottom w:val="nil"/>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0</w:t>
            </w:r>
          </w:p>
        </w:tc>
        <w:tc>
          <w:tcPr>
            <w:tcW w:w="2410" w:type="dxa"/>
            <w:tcBorders>
              <w:top w:val="nil"/>
              <w:left w:val="nil"/>
              <w:bottom w:val="nil"/>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27,919</w:t>
            </w:r>
          </w:p>
        </w:tc>
      </w:tr>
      <w:tr w:rsidR="00FC2012" w:rsidRPr="008E6CEA" w:rsidTr="00EB0A90">
        <w:trPr>
          <w:gridAfter w:val="1"/>
          <w:wAfter w:w="567" w:type="dxa"/>
          <w:trHeight w:val="285"/>
        </w:trPr>
        <w:tc>
          <w:tcPr>
            <w:tcW w:w="2283"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May 2013</w:t>
            </w:r>
          </w:p>
        </w:tc>
        <w:tc>
          <w:tcPr>
            <w:tcW w:w="1268" w:type="dxa"/>
            <w:tcBorders>
              <w:top w:val="nil"/>
              <w:left w:val="nil"/>
              <w:bottom w:val="nil"/>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33,853</w:t>
            </w:r>
          </w:p>
        </w:tc>
        <w:tc>
          <w:tcPr>
            <w:tcW w:w="1596" w:type="dxa"/>
            <w:tcBorders>
              <w:top w:val="nil"/>
              <w:left w:val="nil"/>
              <w:bottom w:val="nil"/>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145</w:t>
            </w:r>
          </w:p>
        </w:tc>
        <w:tc>
          <w:tcPr>
            <w:tcW w:w="1672" w:type="dxa"/>
            <w:tcBorders>
              <w:top w:val="nil"/>
              <w:left w:val="nil"/>
              <w:bottom w:val="nil"/>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0</w:t>
            </w:r>
          </w:p>
        </w:tc>
        <w:tc>
          <w:tcPr>
            <w:tcW w:w="2410" w:type="dxa"/>
            <w:tcBorders>
              <w:top w:val="nil"/>
              <w:left w:val="nil"/>
              <w:bottom w:val="nil"/>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33,998</w:t>
            </w:r>
          </w:p>
        </w:tc>
      </w:tr>
      <w:tr w:rsidR="00FC2012" w:rsidRPr="008E6CEA" w:rsidTr="00EB0A90">
        <w:trPr>
          <w:gridAfter w:val="1"/>
          <w:wAfter w:w="567" w:type="dxa"/>
          <w:trHeight w:val="255"/>
        </w:trPr>
        <w:tc>
          <w:tcPr>
            <w:tcW w:w="2283"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June 2013</w:t>
            </w:r>
          </w:p>
        </w:tc>
        <w:tc>
          <w:tcPr>
            <w:tcW w:w="1268"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34,099</w:t>
            </w:r>
          </w:p>
        </w:tc>
        <w:tc>
          <w:tcPr>
            <w:tcW w:w="1596"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3,333</w:t>
            </w:r>
          </w:p>
        </w:tc>
        <w:tc>
          <w:tcPr>
            <w:tcW w:w="1672"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5</w:t>
            </w:r>
          </w:p>
        </w:tc>
        <w:tc>
          <w:tcPr>
            <w:tcW w:w="2410"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37,437</w:t>
            </w:r>
          </w:p>
        </w:tc>
      </w:tr>
      <w:tr w:rsidR="00FC2012" w:rsidRPr="008E6CEA" w:rsidTr="00EB0A90">
        <w:trPr>
          <w:gridAfter w:val="1"/>
          <w:wAfter w:w="567" w:type="dxa"/>
          <w:trHeight w:val="255"/>
        </w:trPr>
        <w:tc>
          <w:tcPr>
            <w:tcW w:w="2283"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July 2013</w:t>
            </w:r>
          </w:p>
        </w:tc>
        <w:tc>
          <w:tcPr>
            <w:tcW w:w="1268"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44,927</w:t>
            </w:r>
          </w:p>
        </w:tc>
        <w:tc>
          <w:tcPr>
            <w:tcW w:w="1596"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1,266</w:t>
            </w:r>
          </w:p>
        </w:tc>
        <w:tc>
          <w:tcPr>
            <w:tcW w:w="1672"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7</w:t>
            </w:r>
          </w:p>
        </w:tc>
        <w:tc>
          <w:tcPr>
            <w:tcW w:w="2410"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46,200</w:t>
            </w:r>
          </w:p>
        </w:tc>
      </w:tr>
      <w:tr w:rsidR="00FC2012" w:rsidRPr="008E6CEA" w:rsidTr="00EB0A90">
        <w:trPr>
          <w:gridAfter w:val="1"/>
          <w:wAfter w:w="567" w:type="dxa"/>
          <w:trHeight w:val="255"/>
        </w:trPr>
        <w:tc>
          <w:tcPr>
            <w:tcW w:w="2283"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August 2013</w:t>
            </w:r>
          </w:p>
        </w:tc>
        <w:tc>
          <w:tcPr>
            <w:tcW w:w="1268"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50,212</w:t>
            </w:r>
          </w:p>
        </w:tc>
        <w:tc>
          <w:tcPr>
            <w:tcW w:w="1596"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1,154</w:t>
            </w:r>
          </w:p>
        </w:tc>
        <w:tc>
          <w:tcPr>
            <w:tcW w:w="1672"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111</w:t>
            </w:r>
          </w:p>
        </w:tc>
        <w:tc>
          <w:tcPr>
            <w:tcW w:w="2410"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51,477</w:t>
            </w:r>
          </w:p>
        </w:tc>
      </w:tr>
      <w:tr w:rsidR="00FC2012" w:rsidRPr="008E6CEA" w:rsidTr="00EB0A90">
        <w:trPr>
          <w:gridAfter w:val="1"/>
          <w:wAfter w:w="567" w:type="dxa"/>
          <w:trHeight w:val="255"/>
        </w:trPr>
        <w:tc>
          <w:tcPr>
            <w:tcW w:w="2283"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September 2013</w:t>
            </w:r>
          </w:p>
        </w:tc>
        <w:tc>
          <w:tcPr>
            <w:tcW w:w="1268"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58,497</w:t>
            </w:r>
          </w:p>
        </w:tc>
        <w:tc>
          <w:tcPr>
            <w:tcW w:w="1596"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1,010</w:t>
            </w:r>
          </w:p>
        </w:tc>
        <w:tc>
          <w:tcPr>
            <w:tcW w:w="1672"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88</w:t>
            </w:r>
          </w:p>
        </w:tc>
        <w:tc>
          <w:tcPr>
            <w:tcW w:w="2410"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59,595</w:t>
            </w:r>
          </w:p>
        </w:tc>
      </w:tr>
      <w:tr w:rsidR="00FC2012" w:rsidRPr="008E6CEA" w:rsidTr="00EB0A90">
        <w:trPr>
          <w:gridAfter w:val="1"/>
          <w:wAfter w:w="567" w:type="dxa"/>
          <w:trHeight w:val="255"/>
        </w:trPr>
        <w:tc>
          <w:tcPr>
            <w:tcW w:w="2283"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c>
          <w:tcPr>
            <w:tcW w:w="1268"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c>
          <w:tcPr>
            <w:tcW w:w="1596"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c>
          <w:tcPr>
            <w:tcW w:w="1672"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c>
          <w:tcPr>
            <w:tcW w:w="2410"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r>
      <w:tr w:rsidR="00FC2012" w:rsidRPr="008E6CEA" w:rsidTr="00EB0A90">
        <w:trPr>
          <w:gridAfter w:val="1"/>
          <w:wAfter w:w="567" w:type="dxa"/>
          <w:trHeight w:val="255"/>
        </w:trPr>
        <w:tc>
          <w:tcPr>
            <w:tcW w:w="2283" w:type="dxa"/>
            <w:tcBorders>
              <w:top w:val="nil"/>
              <w:left w:val="nil"/>
              <w:bottom w:val="single" w:sz="4" w:space="0" w:color="auto"/>
              <w:right w:val="nil"/>
            </w:tcBorders>
            <w:shd w:val="clear" w:color="000000" w:fill="FFFFFF"/>
            <w:noWrap/>
            <w:vAlign w:val="bottom"/>
            <w:hideMark/>
          </w:tcPr>
          <w:p w:rsidR="00FC2012" w:rsidRPr="008E6CEA" w:rsidRDefault="00FC2012" w:rsidP="003269F2">
            <w:pPr>
              <w:spacing w:before="0" w:line="240" w:lineRule="auto"/>
              <w:rPr>
                <w:b/>
                <w:bCs/>
                <w:color w:val="000000"/>
                <w:szCs w:val="24"/>
                <w:lang w:eastAsia="en-GB"/>
              </w:rPr>
            </w:pPr>
            <w:r w:rsidRPr="008E6CEA">
              <w:rPr>
                <w:b/>
                <w:bCs/>
                <w:color w:val="000000"/>
                <w:szCs w:val="24"/>
                <w:lang w:eastAsia="en-GB"/>
              </w:rPr>
              <w:t>Total to date</w:t>
            </w:r>
          </w:p>
        </w:tc>
        <w:tc>
          <w:tcPr>
            <w:tcW w:w="1268" w:type="dxa"/>
            <w:tcBorders>
              <w:top w:val="nil"/>
              <w:left w:val="nil"/>
              <w:bottom w:val="single" w:sz="4" w:space="0" w:color="auto"/>
              <w:right w:val="nil"/>
            </w:tcBorders>
            <w:shd w:val="clear" w:color="000000" w:fill="FFFFFF"/>
            <w:noWrap/>
            <w:vAlign w:val="bottom"/>
            <w:hideMark/>
          </w:tcPr>
          <w:p w:rsidR="00FC2012" w:rsidRPr="008E6CEA" w:rsidRDefault="00FC2012" w:rsidP="003269F2">
            <w:pPr>
              <w:spacing w:before="0" w:line="240" w:lineRule="auto"/>
              <w:jc w:val="right"/>
              <w:rPr>
                <w:b/>
                <w:bCs/>
                <w:color w:val="000000"/>
                <w:szCs w:val="24"/>
                <w:lang w:eastAsia="en-GB"/>
              </w:rPr>
            </w:pPr>
            <w:r w:rsidRPr="008E6CEA">
              <w:rPr>
                <w:b/>
                <w:bCs/>
                <w:color w:val="000000"/>
                <w:szCs w:val="24"/>
                <w:lang w:eastAsia="en-GB"/>
              </w:rPr>
              <w:t>303,795</w:t>
            </w:r>
          </w:p>
        </w:tc>
        <w:tc>
          <w:tcPr>
            <w:tcW w:w="1596" w:type="dxa"/>
            <w:tcBorders>
              <w:top w:val="nil"/>
              <w:left w:val="nil"/>
              <w:bottom w:val="single" w:sz="4" w:space="0" w:color="auto"/>
              <w:right w:val="nil"/>
            </w:tcBorders>
            <w:shd w:val="clear" w:color="000000" w:fill="FFFFFF"/>
            <w:noWrap/>
            <w:vAlign w:val="bottom"/>
            <w:hideMark/>
          </w:tcPr>
          <w:p w:rsidR="00FC2012" w:rsidRPr="008E6CEA" w:rsidRDefault="00FC2012" w:rsidP="003269F2">
            <w:pPr>
              <w:spacing w:before="0" w:line="240" w:lineRule="auto"/>
              <w:jc w:val="right"/>
              <w:rPr>
                <w:b/>
                <w:bCs/>
                <w:color w:val="000000"/>
                <w:szCs w:val="24"/>
                <w:lang w:eastAsia="en-GB"/>
              </w:rPr>
            </w:pPr>
            <w:r w:rsidRPr="008E6CEA">
              <w:rPr>
                <w:b/>
                <w:bCs/>
                <w:color w:val="000000"/>
                <w:szCs w:val="24"/>
                <w:lang w:eastAsia="en-GB"/>
              </w:rPr>
              <w:t>7,244</w:t>
            </w:r>
          </w:p>
        </w:tc>
        <w:tc>
          <w:tcPr>
            <w:tcW w:w="1672" w:type="dxa"/>
            <w:tcBorders>
              <w:top w:val="nil"/>
              <w:left w:val="nil"/>
              <w:bottom w:val="single" w:sz="4" w:space="0" w:color="auto"/>
              <w:right w:val="nil"/>
            </w:tcBorders>
            <w:shd w:val="clear" w:color="000000" w:fill="FFFFFF"/>
            <w:noWrap/>
            <w:vAlign w:val="bottom"/>
            <w:hideMark/>
          </w:tcPr>
          <w:p w:rsidR="00FC2012" w:rsidRPr="008E6CEA" w:rsidRDefault="00FC2012" w:rsidP="003269F2">
            <w:pPr>
              <w:spacing w:before="0" w:line="240" w:lineRule="auto"/>
              <w:jc w:val="right"/>
              <w:rPr>
                <w:b/>
                <w:bCs/>
                <w:color w:val="000000"/>
                <w:szCs w:val="24"/>
                <w:lang w:eastAsia="en-GB"/>
              </w:rPr>
            </w:pPr>
            <w:r w:rsidRPr="008E6CEA">
              <w:rPr>
                <w:b/>
                <w:bCs/>
                <w:color w:val="000000"/>
                <w:szCs w:val="24"/>
                <w:lang w:eastAsia="en-GB"/>
              </w:rPr>
              <w:t>211</w:t>
            </w:r>
          </w:p>
        </w:tc>
        <w:tc>
          <w:tcPr>
            <w:tcW w:w="2410" w:type="dxa"/>
            <w:tcBorders>
              <w:top w:val="nil"/>
              <w:left w:val="nil"/>
              <w:bottom w:val="single" w:sz="4" w:space="0" w:color="auto"/>
              <w:right w:val="nil"/>
            </w:tcBorders>
            <w:shd w:val="clear" w:color="000000" w:fill="FFFFFF"/>
            <w:noWrap/>
            <w:vAlign w:val="bottom"/>
            <w:hideMark/>
          </w:tcPr>
          <w:p w:rsidR="00FC2012" w:rsidRPr="008E6CEA" w:rsidRDefault="00FC2012" w:rsidP="003269F2">
            <w:pPr>
              <w:spacing w:before="0" w:line="240" w:lineRule="auto"/>
              <w:jc w:val="right"/>
              <w:rPr>
                <w:b/>
                <w:bCs/>
                <w:color w:val="000000"/>
                <w:szCs w:val="24"/>
                <w:lang w:eastAsia="en-GB"/>
              </w:rPr>
            </w:pPr>
            <w:r w:rsidRPr="008E6CEA">
              <w:rPr>
                <w:b/>
                <w:bCs/>
                <w:color w:val="000000"/>
                <w:szCs w:val="24"/>
                <w:lang w:eastAsia="en-GB"/>
              </w:rPr>
              <w:t>311,250</w:t>
            </w:r>
          </w:p>
        </w:tc>
      </w:tr>
      <w:tr w:rsidR="00FC2012" w:rsidRPr="008E6CEA" w:rsidTr="00EB0A90">
        <w:trPr>
          <w:gridAfter w:val="1"/>
          <w:wAfter w:w="567" w:type="dxa"/>
          <w:trHeight w:val="120"/>
        </w:trPr>
        <w:tc>
          <w:tcPr>
            <w:tcW w:w="2283"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c>
          <w:tcPr>
            <w:tcW w:w="1268"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c>
          <w:tcPr>
            <w:tcW w:w="1596"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c>
          <w:tcPr>
            <w:tcW w:w="1672"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c>
          <w:tcPr>
            <w:tcW w:w="2410"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r>
      <w:tr w:rsidR="00FC2012" w:rsidRPr="008E6CEA" w:rsidTr="00EB0A90">
        <w:trPr>
          <w:trHeight w:val="465"/>
        </w:trPr>
        <w:tc>
          <w:tcPr>
            <w:tcW w:w="9796" w:type="dxa"/>
            <w:gridSpan w:val="6"/>
            <w:vMerge w:val="restart"/>
            <w:tcBorders>
              <w:top w:val="nil"/>
              <w:left w:val="nil"/>
              <w:bottom w:val="nil"/>
              <w:right w:val="nil"/>
            </w:tcBorders>
            <w:shd w:val="clear" w:color="000000" w:fill="FFFFFF"/>
            <w:vAlign w:val="bottom"/>
            <w:hideMark/>
          </w:tcPr>
          <w:p w:rsidR="00FC2012" w:rsidRPr="008E6CEA" w:rsidRDefault="00FC2012" w:rsidP="00EB0A90">
            <w:pPr>
              <w:spacing w:before="0" w:line="240" w:lineRule="auto"/>
              <w:jc w:val="both"/>
              <w:rPr>
                <w:color w:val="000000"/>
                <w:szCs w:val="24"/>
                <w:lang w:eastAsia="en-GB"/>
              </w:rPr>
            </w:pPr>
            <w:r w:rsidRPr="008E6CEA">
              <w:rPr>
                <w:color w:val="000000"/>
                <w:szCs w:val="24"/>
                <w:vertAlign w:val="superscript"/>
                <w:lang w:eastAsia="en-GB"/>
              </w:rPr>
              <w:t xml:space="preserve">1 </w:t>
            </w:r>
            <w:r w:rsidRPr="008E6CEA">
              <w:rPr>
                <w:color w:val="000000"/>
                <w:szCs w:val="24"/>
                <w:lang w:eastAsia="en-GB"/>
              </w:rPr>
              <w:t>Measures installed in earlier installation months can be notified at a later date under some circumstances.</w:t>
            </w:r>
          </w:p>
        </w:tc>
      </w:tr>
      <w:tr w:rsidR="00FC2012" w:rsidRPr="008E6CEA" w:rsidTr="00EB0A90">
        <w:trPr>
          <w:trHeight w:val="396"/>
        </w:trPr>
        <w:tc>
          <w:tcPr>
            <w:tcW w:w="9796" w:type="dxa"/>
            <w:gridSpan w:val="6"/>
            <w:vMerge/>
            <w:tcBorders>
              <w:top w:val="nil"/>
              <w:left w:val="nil"/>
              <w:bottom w:val="nil"/>
              <w:right w:val="nil"/>
            </w:tcBorders>
            <w:vAlign w:val="center"/>
            <w:hideMark/>
          </w:tcPr>
          <w:p w:rsidR="00FC2012" w:rsidRPr="008E6CEA" w:rsidRDefault="00FC2012" w:rsidP="00EB0A90">
            <w:pPr>
              <w:spacing w:before="0" w:line="240" w:lineRule="auto"/>
              <w:jc w:val="both"/>
              <w:rPr>
                <w:color w:val="000000"/>
                <w:szCs w:val="24"/>
                <w:lang w:eastAsia="en-GB"/>
              </w:rPr>
            </w:pPr>
          </w:p>
        </w:tc>
      </w:tr>
      <w:tr w:rsidR="00FC2012" w:rsidRPr="008E6CEA" w:rsidTr="00EB0A90">
        <w:trPr>
          <w:trHeight w:val="255"/>
        </w:trPr>
        <w:tc>
          <w:tcPr>
            <w:tcW w:w="9796" w:type="dxa"/>
            <w:gridSpan w:val="6"/>
            <w:tcBorders>
              <w:top w:val="nil"/>
              <w:left w:val="nil"/>
              <w:bottom w:val="nil"/>
              <w:right w:val="nil"/>
            </w:tcBorders>
            <w:shd w:val="clear" w:color="000000" w:fill="FFFFFF"/>
            <w:vAlign w:val="bottom"/>
            <w:hideMark/>
          </w:tcPr>
          <w:p w:rsidR="00FC2012" w:rsidRDefault="00FC2012" w:rsidP="00EB0A90">
            <w:pPr>
              <w:spacing w:before="0" w:line="240" w:lineRule="auto"/>
              <w:jc w:val="both"/>
              <w:rPr>
                <w:color w:val="000000"/>
                <w:szCs w:val="24"/>
                <w:lang w:eastAsia="en-GB"/>
              </w:rPr>
            </w:pPr>
            <w:r w:rsidRPr="008E6CEA">
              <w:rPr>
                <w:color w:val="000000"/>
                <w:szCs w:val="24"/>
                <w:vertAlign w:val="superscript"/>
                <w:lang w:eastAsia="en-GB"/>
              </w:rPr>
              <w:t>2</w:t>
            </w:r>
            <w:r w:rsidRPr="008E6CEA">
              <w:rPr>
                <w:color w:val="000000"/>
                <w:szCs w:val="24"/>
                <w:lang w:eastAsia="en-GB"/>
              </w:rPr>
              <w:t xml:space="preserve"> Includes some measures installed between October and December 2012</w:t>
            </w:r>
          </w:p>
          <w:p w:rsidR="00EB0A90" w:rsidRPr="008E6CEA" w:rsidRDefault="00EB0A90" w:rsidP="00EB0A90">
            <w:pPr>
              <w:spacing w:before="0" w:line="240" w:lineRule="auto"/>
              <w:jc w:val="both"/>
              <w:rPr>
                <w:color w:val="000000"/>
                <w:szCs w:val="24"/>
                <w:lang w:eastAsia="en-GB"/>
              </w:rPr>
            </w:pPr>
            <w:r w:rsidRPr="00EB0A90">
              <w:rPr>
                <w:color w:val="000000"/>
                <w:szCs w:val="24"/>
                <w:vertAlign w:val="superscript"/>
                <w:lang w:eastAsia="en-GB"/>
              </w:rPr>
              <w:t xml:space="preserve">3 </w:t>
            </w:r>
            <w:r w:rsidRPr="00EB0A90">
              <w:rPr>
                <w:color w:val="000000"/>
                <w:szCs w:val="24"/>
                <w:lang w:eastAsia="en-GB"/>
              </w:rPr>
              <w:t xml:space="preserve">Some measures may have been installed through more than one delivery mechanism and there is therefore a small level of double counting </w:t>
            </w:r>
            <w:r w:rsidRPr="00EB0A90">
              <w:rPr>
                <w:color w:val="000000"/>
                <w:szCs w:val="24"/>
                <w:lang w:eastAsia="en-GB"/>
              </w:rPr>
              <w:tab/>
            </w:r>
            <w:r w:rsidRPr="00EB0A90">
              <w:rPr>
                <w:color w:val="000000"/>
                <w:szCs w:val="24"/>
                <w:lang w:eastAsia="en-GB"/>
              </w:rPr>
              <w:tab/>
            </w:r>
            <w:r w:rsidRPr="00EB0A90">
              <w:rPr>
                <w:color w:val="000000"/>
                <w:szCs w:val="24"/>
                <w:lang w:eastAsia="en-GB"/>
              </w:rPr>
              <w:tab/>
            </w:r>
            <w:r w:rsidRPr="00EB0A90">
              <w:rPr>
                <w:color w:val="000000"/>
                <w:szCs w:val="24"/>
                <w:lang w:eastAsia="en-GB"/>
              </w:rPr>
              <w:tab/>
            </w:r>
          </w:p>
        </w:tc>
      </w:tr>
    </w:tbl>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FC2012" w:rsidRPr="008A5812" w:rsidRDefault="00FC2012" w:rsidP="00FC2012">
      <w:pPr>
        <w:spacing w:line="270" w:lineRule="atLeast"/>
        <w:rPr>
          <w:b/>
          <w:bCs/>
          <w:szCs w:val="24"/>
        </w:rPr>
      </w:pPr>
    </w:p>
    <w:tbl>
      <w:tblPr>
        <w:tblW w:w="11881" w:type="dxa"/>
        <w:tblInd w:w="93" w:type="dxa"/>
        <w:tblLook w:val="04A0" w:firstRow="1" w:lastRow="0" w:firstColumn="1" w:lastColumn="0" w:noHBand="0" w:noVBand="1"/>
      </w:tblPr>
      <w:tblGrid>
        <w:gridCol w:w="2971"/>
        <w:gridCol w:w="588"/>
        <w:gridCol w:w="2410"/>
        <w:gridCol w:w="283"/>
        <w:gridCol w:w="3261"/>
        <w:gridCol w:w="708"/>
        <w:gridCol w:w="1660"/>
      </w:tblGrid>
      <w:tr w:rsidR="00FC2012" w:rsidRPr="008A5812" w:rsidTr="003269F2">
        <w:trPr>
          <w:trHeight w:val="285"/>
        </w:trPr>
        <w:tc>
          <w:tcPr>
            <w:tcW w:w="10221" w:type="dxa"/>
            <w:gridSpan w:val="6"/>
            <w:tcBorders>
              <w:top w:val="nil"/>
              <w:left w:val="nil"/>
              <w:bottom w:val="nil"/>
              <w:right w:val="nil"/>
            </w:tcBorders>
            <w:shd w:val="clear" w:color="auto" w:fill="auto"/>
            <w:noWrap/>
            <w:vAlign w:val="bottom"/>
            <w:hideMark/>
          </w:tcPr>
          <w:p w:rsidR="00FC2012" w:rsidRPr="008A5812" w:rsidRDefault="00DA5DEE" w:rsidP="003269F2">
            <w:pPr>
              <w:spacing w:after="0" w:line="240" w:lineRule="auto"/>
              <w:rPr>
                <w:b/>
                <w:bCs/>
                <w:color w:val="000000"/>
                <w:szCs w:val="24"/>
                <w:lang w:eastAsia="en-GB"/>
              </w:rPr>
            </w:pPr>
            <w:bookmarkStart w:id="49" w:name="RANGE!A1"/>
            <w:r>
              <w:rPr>
                <w:b/>
                <w:bCs/>
                <w:color w:val="000000"/>
                <w:szCs w:val="24"/>
                <w:lang w:eastAsia="en-GB"/>
              </w:rPr>
              <w:t>Table 2</w:t>
            </w:r>
            <w:r w:rsidR="00FC2012" w:rsidRPr="008A5812">
              <w:rPr>
                <w:b/>
                <w:bCs/>
                <w:color w:val="000000"/>
                <w:szCs w:val="24"/>
                <w:lang w:eastAsia="en-GB"/>
              </w:rPr>
              <w:t>: Number of Green Deal Assessments</w:t>
            </w:r>
            <w:r w:rsidR="00FC2012" w:rsidRPr="008A5812">
              <w:rPr>
                <w:b/>
                <w:bCs/>
                <w:color w:val="000000"/>
                <w:szCs w:val="24"/>
                <w:vertAlign w:val="superscript"/>
                <w:lang w:eastAsia="en-GB"/>
              </w:rPr>
              <w:t>1</w:t>
            </w:r>
            <w:r w:rsidR="00FC2012" w:rsidRPr="008A5812">
              <w:rPr>
                <w:b/>
                <w:bCs/>
                <w:color w:val="000000"/>
                <w:szCs w:val="24"/>
                <w:lang w:eastAsia="en-GB"/>
              </w:rPr>
              <w:t>, month and cumulative total</w:t>
            </w:r>
            <w:bookmarkEnd w:id="49"/>
            <w:r w:rsidR="00FC2012" w:rsidRPr="008A5812">
              <w:rPr>
                <w:b/>
                <w:bCs/>
                <w:color w:val="000000"/>
                <w:szCs w:val="24"/>
                <w:lang w:eastAsia="en-GB"/>
              </w:rPr>
              <w:t>, by month</w:t>
            </w:r>
          </w:p>
        </w:tc>
        <w:tc>
          <w:tcPr>
            <w:tcW w:w="1660"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trHeight w:val="255"/>
        </w:trPr>
        <w:tc>
          <w:tcPr>
            <w:tcW w:w="2971"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588"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2410"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3969"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1660"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trHeight w:val="255"/>
        </w:trPr>
        <w:tc>
          <w:tcPr>
            <w:tcW w:w="2971"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588"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2410"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Total in Month</w:t>
            </w:r>
          </w:p>
        </w:tc>
        <w:tc>
          <w:tcPr>
            <w:tcW w:w="283"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 </w:t>
            </w:r>
          </w:p>
        </w:tc>
        <w:tc>
          <w:tcPr>
            <w:tcW w:w="3261"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Cumulative Total</w:t>
            </w:r>
          </w:p>
        </w:tc>
        <w:tc>
          <w:tcPr>
            <w:tcW w:w="2368"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trHeight w:val="555"/>
        </w:trPr>
        <w:tc>
          <w:tcPr>
            <w:tcW w:w="2971" w:type="dxa"/>
            <w:tcBorders>
              <w:top w:val="single" w:sz="4" w:space="0" w:color="auto"/>
              <w:left w:val="nil"/>
              <w:bottom w:val="single" w:sz="4" w:space="0" w:color="auto"/>
              <w:right w:val="nil"/>
            </w:tcBorders>
            <w:shd w:val="clear" w:color="auto" w:fill="auto"/>
            <w:noWrap/>
            <w:vAlign w:val="center"/>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Month</w:t>
            </w:r>
          </w:p>
        </w:tc>
        <w:tc>
          <w:tcPr>
            <w:tcW w:w="588" w:type="dxa"/>
            <w:tcBorders>
              <w:top w:val="single" w:sz="4" w:space="0" w:color="auto"/>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 </w:t>
            </w:r>
          </w:p>
        </w:tc>
        <w:tc>
          <w:tcPr>
            <w:tcW w:w="2410" w:type="dxa"/>
            <w:tcBorders>
              <w:top w:val="nil"/>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Green Deal Assessments</w:t>
            </w:r>
          </w:p>
        </w:tc>
        <w:tc>
          <w:tcPr>
            <w:tcW w:w="283"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 </w:t>
            </w:r>
          </w:p>
        </w:tc>
        <w:tc>
          <w:tcPr>
            <w:tcW w:w="3261" w:type="dxa"/>
            <w:tcBorders>
              <w:top w:val="nil"/>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Green Deal Assessments</w:t>
            </w:r>
          </w:p>
        </w:tc>
        <w:tc>
          <w:tcPr>
            <w:tcW w:w="2368"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trHeight w:val="285"/>
        </w:trPr>
        <w:tc>
          <w:tcPr>
            <w:tcW w:w="2971" w:type="dxa"/>
            <w:tcBorders>
              <w:top w:val="nil"/>
              <w:left w:val="nil"/>
              <w:bottom w:val="nil"/>
              <w:right w:val="nil"/>
            </w:tcBorders>
            <w:shd w:val="clear" w:color="000000" w:fill="FFFFFF"/>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January 2013</w:t>
            </w:r>
          </w:p>
        </w:tc>
        <w:tc>
          <w:tcPr>
            <w:tcW w:w="588"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2410"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74</w:t>
            </w: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3261"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74</w:t>
            </w:r>
          </w:p>
        </w:tc>
        <w:tc>
          <w:tcPr>
            <w:tcW w:w="2368"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trHeight w:val="255"/>
        </w:trPr>
        <w:tc>
          <w:tcPr>
            <w:tcW w:w="2971" w:type="dxa"/>
            <w:tcBorders>
              <w:top w:val="nil"/>
              <w:left w:val="nil"/>
              <w:bottom w:val="nil"/>
              <w:right w:val="nil"/>
            </w:tcBorders>
            <w:shd w:val="clear" w:color="000000" w:fill="FFFFFF"/>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February 2013</w:t>
            </w:r>
          </w:p>
        </w:tc>
        <w:tc>
          <w:tcPr>
            <w:tcW w:w="588"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2410"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1,729</w:t>
            </w: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3261"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1,803</w:t>
            </w:r>
          </w:p>
        </w:tc>
        <w:tc>
          <w:tcPr>
            <w:tcW w:w="2368"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trHeight w:val="285"/>
        </w:trPr>
        <w:tc>
          <w:tcPr>
            <w:tcW w:w="2971" w:type="dxa"/>
            <w:tcBorders>
              <w:top w:val="nil"/>
              <w:left w:val="nil"/>
              <w:bottom w:val="nil"/>
              <w:right w:val="nil"/>
            </w:tcBorders>
            <w:shd w:val="clear" w:color="000000" w:fill="FFFFFF"/>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March 2013</w:t>
            </w:r>
          </w:p>
        </w:tc>
        <w:tc>
          <w:tcPr>
            <w:tcW w:w="588"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2410"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7,491</w:t>
            </w: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3261"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9,294</w:t>
            </w:r>
          </w:p>
        </w:tc>
        <w:tc>
          <w:tcPr>
            <w:tcW w:w="2368"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trHeight w:val="255"/>
        </w:trPr>
        <w:tc>
          <w:tcPr>
            <w:tcW w:w="2971" w:type="dxa"/>
            <w:tcBorders>
              <w:top w:val="nil"/>
              <w:left w:val="nil"/>
              <w:bottom w:val="nil"/>
              <w:right w:val="nil"/>
            </w:tcBorders>
            <w:shd w:val="clear" w:color="000000" w:fill="FFFFFF"/>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April 2013</w:t>
            </w:r>
          </w:p>
        </w:tc>
        <w:tc>
          <w:tcPr>
            <w:tcW w:w="588"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2410"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9,522</w:t>
            </w: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3261"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18,816</w:t>
            </w:r>
          </w:p>
        </w:tc>
        <w:tc>
          <w:tcPr>
            <w:tcW w:w="2368"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trHeight w:val="255"/>
        </w:trPr>
        <w:tc>
          <w:tcPr>
            <w:tcW w:w="2971" w:type="dxa"/>
            <w:tcBorders>
              <w:top w:val="nil"/>
              <w:left w:val="nil"/>
              <w:bottom w:val="nil"/>
              <w:right w:val="nil"/>
            </w:tcBorders>
            <w:shd w:val="clear" w:color="000000" w:fill="FFFFFF"/>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May 2013</w:t>
            </w:r>
          </w:p>
        </w:tc>
        <w:tc>
          <w:tcPr>
            <w:tcW w:w="588"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2410"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12,146</w:t>
            </w: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3261"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30,962</w:t>
            </w:r>
          </w:p>
        </w:tc>
        <w:tc>
          <w:tcPr>
            <w:tcW w:w="2368"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trHeight w:val="255"/>
        </w:trPr>
        <w:tc>
          <w:tcPr>
            <w:tcW w:w="2971" w:type="dxa"/>
            <w:tcBorders>
              <w:top w:val="nil"/>
              <w:left w:val="nil"/>
              <w:right w:val="nil"/>
            </w:tcBorders>
            <w:shd w:val="clear" w:color="000000" w:fill="FFFFFF"/>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June 2013</w:t>
            </w:r>
          </w:p>
        </w:tc>
        <w:tc>
          <w:tcPr>
            <w:tcW w:w="588" w:type="dxa"/>
            <w:tcBorders>
              <w:top w:val="nil"/>
              <w:left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 </w:t>
            </w:r>
          </w:p>
        </w:tc>
        <w:tc>
          <w:tcPr>
            <w:tcW w:w="2410" w:type="dxa"/>
            <w:tcBorders>
              <w:top w:val="nil"/>
              <w:left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13,517</w:t>
            </w:r>
          </w:p>
        </w:tc>
        <w:tc>
          <w:tcPr>
            <w:tcW w:w="283" w:type="dxa"/>
            <w:tcBorders>
              <w:top w:val="nil"/>
              <w:left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 </w:t>
            </w:r>
          </w:p>
        </w:tc>
        <w:tc>
          <w:tcPr>
            <w:tcW w:w="3261" w:type="dxa"/>
            <w:tcBorders>
              <w:top w:val="nil"/>
              <w:left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44,479</w:t>
            </w:r>
          </w:p>
        </w:tc>
        <w:tc>
          <w:tcPr>
            <w:tcW w:w="2368" w:type="dxa"/>
            <w:gridSpan w:val="2"/>
            <w:tcBorders>
              <w:top w:val="nil"/>
              <w:left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gridAfter w:val="2"/>
          <w:wAfter w:w="2368" w:type="dxa"/>
          <w:trHeight w:val="255"/>
        </w:trPr>
        <w:tc>
          <w:tcPr>
            <w:tcW w:w="2971" w:type="dxa"/>
            <w:tcBorders>
              <w:top w:val="nil"/>
              <w:left w:val="nil"/>
              <w:right w:val="nil"/>
            </w:tcBorders>
            <w:shd w:val="clear" w:color="000000" w:fill="FFFFFF"/>
            <w:noWrap/>
            <w:vAlign w:val="bottom"/>
          </w:tcPr>
          <w:p w:rsidR="00FC2012" w:rsidRPr="008A5812" w:rsidRDefault="00FC2012" w:rsidP="003269F2">
            <w:pPr>
              <w:spacing w:after="0" w:line="240" w:lineRule="auto"/>
              <w:rPr>
                <w:color w:val="000000"/>
                <w:szCs w:val="24"/>
                <w:lang w:eastAsia="en-GB"/>
              </w:rPr>
            </w:pPr>
            <w:r w:rsidRPr="008A5812">
              <w:rPr>
                <w:color w:val="000000"/>
                <w:szCs w:val="24"/>
                <w:lang w:eastAsia="en-GB"/>
              </w:rPr>
              <w:t>July 2013</w:t>
            </w:r>
          </w:p>
        </w:tc>
        <w:tc>
          <w:tcPr>
            <w:tcW w:w="588" w:type="dxa"/>
            <w:tcBorders>
              <w:top w:val="nil"/>
              <w:left w:val="nil"/>
              <w:right w:val="nil"/>
            </w:tcBorders>
            <w:shd w:val="clear" w:color="auto" w:fill="auto"/>
            <w:noWrap/>
            <w:vAlign w:val="bottom"/>
          </w:tcPr>
          <w:p w:rsidR="00FC2012" w:rsidRPr="008A5812" w:rsidRDefault="00FC2012" w:rsidP="003269F2">
            <w:pPr>
              <w:spacing w:after="0" w:line="240" w:lineRule="auto"/>
              <w:rPr>
                <w:color w:val="000000"/>
                <w:szCs w:val="24"/>
                <w:lang w:eastAsia="en-GB"/>
              </w:rPr>
            </w:pPr>
          </w:p>
        </w:tc>
        <w:tc>
          <w:tcPr>
            <w:tcW w:w="2410" w:type="dxa"/>
            <w:tcBorders>
              <w:top w:val="nil"/>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13,645</w:t>
            </w:r>
          </w:p>
        </w:tc>
        <w:tc>
          <w:tcPr>
            <w:tcW w:w="283" w:type="dxa"/>
            <w:tcBorders>
              <w:top w:val="nil"/>
              <w:left w:val="nil"/>
              <w:right w:val="nil"/>
            </w:tcBorders>
            <w:shd w:val="clear" w:color="auto" w:fill="auto"/>
            <w:noWrap/>
            <w:vAlign w:val="bottom"/>
          </w:tcPr>
          <w:p w:rsidR="00FC2012" w:rsidRPr="008A5812" w:rsidRDefault="00FC2012" w:rsidP="003269F2">
            <w:pPr>
              <w:spacing w:after="0" w:line="240" w:lineRule="auto"/>
              <w:rPr>
                <w:color w:val="000000"/>
                <w:szCs w:val="24"/>
                <w:lang w:eastAsia="en-GB"/>
              </w:rPr>
            </w:pPr>
          </w:p>
        </w:tc>
        <w:tc>
          <w:tcPr>
            <w:tcW w:w="3261" w:type="dxa"/>
            <w:tcBorders>
              <w:top w:val="nil"/>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58,124</w:t>
            </w:r>
          </w:p>
        </w:tc>
      </w:tr>
      <w:tr w:rsidR="00FC2012" w:rsidRPr="008A5812" w:rsidTr="003269F2">
        <w:trPr>
          <w:gridAfter w:val="2"/>
          <w:wAfter w:w="2368" w:type="dxa"/>
          <w:trHeight w:val="255"/>
        </w:trPr>
        <w:tc>
          <w:tcPr>
            <w:tcW w:w="2971" w:type="dxa"/>
            <w:tcBorders>
              <w:left w:val="nil"/>
              <w:right w:val="nil"/>
            </w:tcBorders>
            <w:shd w:val="clear" w:color="000000" w:fill="FFFFFF"/>
            <w:noWrap/>
            <w:vAlign w:val="bottom"/>
          </w:tcPr>
          <w:p w:rsidR="00FC2012" w:rsidRPr="008A5812" w:rsidRDefault="00FC2012" w:rsidP="003269F2">
            <w:pPr>
              <w:spacing w:after="0" w:line="240" w:lineRule="auto"/>
              <w:rPr>
                <w:color w:val="000000"/>
                <w:szCs w:val="24"/>
                <w:lang w:eastAsia="en-GB"/>
              </w:rPr>
            </w:pPr>
            <w:r w:rsidRPr="008A5812">
              <w:rPr>
                <w:color w:val="000000"/>
                <w:szCs w:val="24"/>
                <w:lang w:eastAsia="en-GB"/>
              </w:rPr>
              <w:t>August 2013</w:t>
            </w:r>
            <w:r w:rsidRPr="008A5812">
              <w:rPr>
                <w:color w:val="000000"/>
                <w:szCs w:val="24"/>
                <w:lang w:eastAsia="en-GB"/>
              </w:rPr>
              <w:tab/>
            </w:r>
          </w:p>
        </w:tc>
        <w:tc>
          <w:tcPr>
            <w:tcW w:w="588" w:type="dxa"/>
            <w:tcBorders>
              <w:left w:val="nil"/>
              <w:right w:val="nil"/>
            </w:tcBorders>
            <w:shd w:val="clear" w:color="auto" w:fill="auto"/>
            <w:noWrap/>
            <w:vAlign w:val="bottom"/>
          </w:tcPr>
          <w:p w:rsidR="00FC2012" w:rsidRPr="008A5812" w:rsidRDefault="00FC2012" w:rsidP="003269F2">
            <w:pPr>
              <w:spacing w:after="0" w:line="240" w:lineRule="auto"/>
              <w:rPr>
                <w:color w:val="000000"/>
                <w:szCs w:val="24"/>
                <w:lang w:eastAsia="en-GB"/>
              </w:rPr>
            </w:pPr>
          </w:p>
        </w:tc>
        <w:tc>
          <w:tcPr>
            <w:tcW w:w="2410" w:type="dxa"/>
            <w:tcBorders>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ab/>
              <w:t>13,086</w:t>
            </w:r>
          </w:p>
        </w:tc>
        <w:tc>
          <w:tcPr>
            <w:tcW w:w="283" w:type="dxa"/>
            <w:tcBorders>
              <w:left w:val="nil"/>
              <w:right w:val="nil"/>
            </w:tcBorders>
            <w:shd w:val="clear" w:color="auto" w:fill="auto"/>
            <w:noWrap/>
            <w:vAlign w:val="bottom"/>
          </w:tcPr>
          <w:p w:rsidR="00FC2012" w:rsidRPr="008A5812" w:rsidRDefault="00FC2012" w:rsidP="003269F2">
            <w:pPr>
              <w:spacing w:after="0" w:line="240" w:lineRule="auto"/>
              <w:rPr>
                <w:color w:val="000000"/>
                <w:szCs w:val="24"/>
                <w:lang w:eastAsia="en-GB"/>
              </w:rPr>
            </w:pPr>
          </w:p>
        </w:tc>
        <w:tc>
          <w:tcPr>
            <w:tcW w:w="3261" w:type="dxa"/>
            <w:tcBorders>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ab/>
              <w:t>71,210</w:t>
            </w:r>
          </w:p>
        </w:tc>
      </w:tr>
      <w:tr w:rsidR="00FC2012" w:rsidRPr="008A5812" w:rsidTr="003269F2">
        <w:trPr>
          <w:gridAfter w:val="2"/>
          <w:wAfter w:w="2368" w:type="dxa"/>
          <w:trHeight w:val="255"/>
        </w:trPr>
        <w:tc>
          <w:tcPr>
            <w:tcW w:w="2971" w:type="dxa"/>
            <w:tcBorders>
              <w:left w:val="nil"/>
              <w:right w:val="nil"/>
            </w:tcBorders>
            <w:shd w:val="clear" w:color="000000" w:fill="FFFFFF"/>
            <w:noWrap/>
            <w:vAlign w:val="bottom"/>
          </w:tcPr>
          <w:p w:rsidR="00FC2012" w:rsidRPr="008A5812" w:rsidRDefault="00FC2012" w:rsidP="003269F2">
            <w:pPr>
              <w:spacing w:after="0" w:line="240" w:lineRule="auto"/>
              <w:rPr>
                <w:color w:val="000000"/>
                <w:szCs w:val="24"/>
                <w:lang w:eastAsia="en-GB"/>
              </w:rPr>
            </w:pPr>
            <w:r w:rsidRPr="008A5812">
              <w:rPr>
                <w:color w:val="000000"/>
                <w:szCs w:val="24"/>
                <w:lang w:eastAsia="en-GB"/>
              </w:rPr>
              <w:t>September 2013</w:t>
            </w:r>
          </w:p>
        </w:tc>
        <w:tc>
          <w:tcPr>
            <w:tcW w:w="588" w:type="dxa"/>
            <w:tcBorders>
              <w:left w:val="nil"/>
              <w:right w:val="nil"/>
            </w:tcBorders>
            <w:shd w:val="clear" w:color="auto" w:fill="auto"/>
            <w:noWrap/>
            <w:vAlign w:val="bottom"/>
          </w:tcPr>
          <w:p w:rsidR="00FC2012" w:rsidRPr="008A5812" w:rsidRDefault="00FC2012" w:rsidP="003269F2">
            <w:pPr>
              <w:spacing w:after="0" w:line="240" w:lineRule="auto"/>
              <w:rPr>
                <w:color w:val="000000"/>
                <w:szCs w:val="24"/>
                <w:lang w:eastAsia="en-GB"/>
              </w:rPr>
            </w:pPr>
          </w:p>
        </w:tc>
        <w:tc>
          <w:tcPr>
            <w:tcW w:w="2410" w:type="dxa"/>
            <w:tcBorders>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13,967</w:t>
            </w:r>
          </w:p>
        </w:tc>
        <w:tc>
          <w:tcPr>
            <w:tcW w:w="283" w:type="dxa"/>
            <w:tcBorders>
              <w:left w:val="nil"/>
              <w:right w:val="nil"/>
            </w:tcBorders>
            <w:shd w:val="clear" w:color="auto" w:fill="auto"/>
            <w:noWrap/>
            <w:vAlign w:val="bottom"/>
          </w:tcPr>
          <w:p w:rsidR="00FC2012" w:rsidRPr="008A5812" w:rsidRDefault="00FC2012" w:rsidP="003269F2">
            <w:pPr>
              <w:spacing w:after="0" w:line="240" w:lineRule="auto"/>
              <w:rPr>
                <w:color w:val="000000"/>
                <w:szCs w:val="24"/>
                <w:lang w:eastAsia="en-GB"/>
              </w:rPr>
            </w:pPr>
          </w:p>
        </w:tc>
        <w:tc>
          <w:tcPr>
            <w:tcW w:w="3261" w:type="dxa"/>
            <w:tcBorders>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85,177</w:t>
            </w:r>
          </w:p>
        </w:tc>
      </w:tr>
      <w:tr w:rsidR="00FC2012" w:rsidRPr="008A5812" w:rsidTr="003269F2">
        <w:trPr>
          <w:gridAfter w:val="2"/>
          <w:wAfter w:w="2368" w:type="dxa"/>
          <w:trHeight w:val="255"/>
        </w:trPr>
        <w:tc>
          <w:tcPr>
            <w:tcW w:w="2971" w:type="dxa"/>
            <w:tcBorders>
              <w:left w:val="nil"/>
              <w:bottom w:val="single" w:sz="4" w:space="0" w:color="auto"/>
              <w:right w:val="nil"/>
            </w:tcBorders>
            <w:shd w:val="clear" w:color="000000" w:fill="FFFFFF"/>
            <w:noWrap/>
            <w:vAlign w:val="bottom"/>
          </w:tcPr>
          <w:p w:rsidR="00FC2012" w:rsidRPr="008A5812" w:rsidRDefault="00FC2012" w:rsidP="003269F2">
            <w:pPr>
              <w:spacing w:after="0" w:line="240" w:lineRule="auto"/>
              <w:rPr>
                <w:color w:val="000000"/>
                <w:szCs w:val="24"/>
                <w:lang w:eastAsia="en-GB"/>
              </w:rPr>
            </w:pPr>
            <w:r w:rsidRPr="008A5812">
              <w:rPr>
                <w:color w:val="000000"/>
                <w:szCs w:val="24"/>
                <w:lang w:eastAsia="en-GB"/>
              </w:rPr>
              <w:t>October 2013</w:t>
            </w:r>
          </w:p>
        </w:tc>
        <w:tc>
          <w:tcPr>
            <w:tcW w:w="588" w:type="dxa"/>
            <w:tcBorders>
              <w:left w:val="nil"/>
              <w:bottom w:val="single" w:sz="4" w:space="0" w:color="auto"/>
              <w:right w:val="nil"/>
            </w:tcBorders>
            <w:shd w:val="clear" w:color="auto" w:fill="auto"/>
            <w:noWrap/>
            <w:vAlign w:val="bottom"/>
          </w:tcPr>
          <w:p w:rsidR="00FC2012" w:rsidRPr="008A5812" w:rsidRDefault="00FC2012" w:rsidP="003269F2">
            <w:pPr>
              <w:spacing w:after="0" w:line="240" w:lineRule="auto"/>
              <w:rPr>
                <w:color w:val="000000"/>
                <w:szCs w:val="24"/>
                <w:lang w:eastAsia="en-GB"/>
              </w:rPr>
            </w:pPr>
          </w:p>
        </w:tc>
        <w:tc>
          <w:tcPr>
            <w:tcW w:w="2410" w:type="dxa"/>
            <w:tcBorders>
              <w:left w:val="nil"/>
              <w:bottom w:val="single" w:sz="4" w:space="0" w:color="auto"/>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r>
              <w:rPr>
                <w:color w:val="000000"/>
                <w:szCs w:val="24"/>
                <w:lang w:eastAsia="en-GB"/>
              </w:rPr>
              <w:t>16,674</w:t>
            </w:r>
          </w:p>
        </w:tc>
        <w:tc>
          <w:tcPr>
            <w:tcW w:w="283" w:type="dxa"/>
            <w:tcBorders>
              <w:left w:val="nil"/>
              <w:bottom w:val="single" w:sz="4" w:space="0" w:color="auto"/>
              <w:right w:val="nil"/>
            </w:tcBorders>
            <w:shd w:val="clear" w:color="auto" w:fill="auto"/>
            <w:noWrap/>
            <w:vAlign w:val="bottom"/>
          </w:tcPr>
          <w:p w:rsidR="00FC2012" w:rsidRPr="008A5812" w:rsidRDefault="00FC2012" w:rsidP="003269F2">
            <w:pPr>
              <w:spacing w:after="0" w:line="240" w:lineRule="auto"/>
              <w:rPr>
                <w:color w:val="000000"/>
                <w:szCs w:val="24"/>
                <w:lang w:eastAsia="en-GB"/>
              </w:rPr>
            </w:pPr>
          </w:p>
        </w:tc>
        <w:tc>
          <w:tcPr>
            <w:tcW w:w="3261" w:type="dxa"/>
            <w:tcBorders>
              <w:left w:val="nil"/>
              <w:bottom w:val="single" w:sz="4" w:space="0" w:color="auto"/>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r>
              <w:rPr>
                <w:color w:val="000000"/>
                <w:szCs w:val="24"/>
                <w:lang w:eastAsia="en-GB"/>
              </w:rPr>
              <w:t>101,851</w:t>
            </w:r>
          </w:p>
        </w:tc>
      </w:tr>
      <w:tr w:rsidR="00FC2012" w:rsidRPr="008A5812" w:rsidTr="003269F2">
        <w:trPr>
          <w:trHeight w:val="60"/>
        </w:trPr>
        <w:tc>
          <w:tcPr>
            <w:tcW w:w="2971" w:type="dxa"/>
            <w:tcBorders>
              <w:top w:val="single" w:sz="4" w:space="0" w:color="auto"/>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588" w:type="dxa"/>
            <w:tcBorders>
              <w:top w:val="single" w:sz="4" w:space="0" w:color="auto"/>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2410" w:type="dxa"/>
            <w:tcBorders>
              <w:top w:val="single" w:sz="4" w:space="0" w:color="auto"/>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283" w:type="dxa"/>
            <w:tcBorders>
              <w:top w:val="single" w:sz="4" w:space="0" w:color="auto"/>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3969" w:type="dxa"/>
            <w:gridSpan w:val="2"/>
            <w:tcBorders>
              <w:top w:val="single" w:sz="4" w:space="0" w:color="auto"/>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1660" w:type="dxa"/>
            <w:tcBorders>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trHeight w:val="525"/>
        </w:trPr>
        <w:tc>
          <w:tcPr>
            <w:tcW w:w="10221" w:type="dxa"/>
            <w:gridSpan w:val="6"/>
            <w:tcBorders>
              <w:top w:val="nil"/>
              <w:left w:val="nil"/>
              <w:bottom w:val="nil"/>
              <w:right w:val="nil"/>
            </w:tcBorders>
            <w:shd w:val="clear" w:color="auto" w:fill="auto"/>
            <w:vAlign w:val="bottom"/>
            <w:hideMark/>
          </w:tcPr>
          <w:p w:rsidR="00FC2012" w:rsidRPr="008A5812" w:rsidRDefault="00FC2012" w:rsidP="003269F2">
            <w:pPr>
              <w:spacing w:after="0" w:line="240" w:lineRule="auto"/>
              <w:jc w:val="both"/>
              <w:rPr>
                <w:color w:val="000000"/>
                <w:szCs w:val="24"/>
                <w:lang w:eastAsia="en-GB"/>
              </w:rPr>
            </w:pPr>
            <w:r w:rsidRPr="008A5812">
              <w:rPr>
                <w:color w:val="000000"/>
                <w:szCs w:val="24"/>
                <w:vertAlign w:val="superscript"/>
                <w:lang w:eastAsia="en-GB"/>
              </w:rPr>
              <w:t>1</w:t>
            </w:r>
            <w:r w:rsidRPr="008A5812">
              <w:rPr>
                <w:color w:val="000000"/>
                <w:szCs w:val="24"/>
                <w:lang w:eastAsia="en-GB"/>
              </w:rPr>
              <w:t xml:space="preserve"> As measured by the number of Green Deal Advice Reports lodged on the central register against unique property.</w:t>
            </w:r>
          </w:p>
        </w:tc>
        <w:tc>
          <w:tcPr>
            <w:tcW w:w="1660" w:type="dxa"/>
            <w:tcBorders>
              <w:top w:val="nil"/>
              <w:left w:val="nil"/>
              <w:bottom w:val="nil"/>
              <w:right w:val="nil"/>
            </w:tcBorders>
            <w:shd w:val="clear" w:color="auto" w:fill="auto"/>
            <w:noWrap/>
            <w:vAlign w:val="bottom"/>
          </w:tcPr>
          <w:p w:rsidR="00FC2012" w:rsidRPr="008A5812" w:rsidRDefault="00FC2012" w:rsidP="003269F2">
            <w:pPr>
              <w:spacing w:after="0" w:line="240" w:lineRule="auto"/>
              <w:rPr>
                <w:color w:val="000000"/>
                <w:szCs w:val="24"/>
                <w:lang w:eastAsia="en-GB"/>
              </w:rPr>
            </w:pPr>
          </w:p>
        </w:tc>
      </w:tr>
      <w:tr w:rsidR="00FC2012" w:rsidRPr="008A5812" w:rsidTr="003269F2">
        <w:trPr>
          <w:trHeight w:val="285"/>
        </w:trPr>
        <w:tc>
          <w:tcPr>
            <w:tcW w:w="5969" w:type="dxa"/>
            <w:gridSpan w:val="3"/>
            <w:tcBorders>
              <w:top w:val="nil"/>
              <w:left w:val="nil"/>
              <w:bottom w:val="nil"/>
              <w:right w:val="nil"/>
            </w:tcBorders>
            <w:shd w:val="clear" w:color="auto" w:fill="auto"/>
            <w:noWrap/>
            <w:vAlign w:val="bottom"/>
          </w:tcPr>
          <w:p w:rsidR="00FC2012" w:rsidRPr="008A5812" w:rsidRDefault="00FC2012" w:rsidP="003269F2">
            <w:pPr>
              <w:spacing w:after="0" w:line="240" w:lineRule="auto"/>
              <w:rPr>
                <w:color w:val="000000"/>
                <w:szCs w:val="24"/>
                <w:lang w:eastAsia="en-GB"/>
              </w:rPr>
            </w:pP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3969"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1660" w:type="dxa"/>
            <w:tcBorders>
              <w:top w:val="nil"/>
              <w:left w:val="nil"/>
              <w:bottom w:val="nil"/>
              <w:right w:val="nil"/>
            </w:tcBorders>
            <w:shd w:val="clear" w:color="auto" w:fill="auto"/>
            <w:noWrap/>
            <w:vAlign w:val="bottom"/>
          </w:tcPr>
          <w:p w:rsidR="00FC2012" w:rsidRPr="008A5812" w:rsidRDefault="00FC2012" w:rsidP="003269F2">
            <w:pPr>
              <w:spacing w:after="0" w:line="240" w:lineRule="auto"/>
              <w:rPr>
                <w:color w:val="000000"/>
                <w:szCs w:val="24"/>
                <w:lang w:eastAsia="en-GB"/>
              </w:rPr>
            </w:pPr>
          </w:p>
        </w:tc>
      </w:tr>
      <w:tr w:rsidR="00FC2012" w:rsidRPr="008A5812" w:rsidTr="003269F2">
        <w:trPr>
          <w:trHeight w:val="155"/>
        </w:trPr>
        <w:tc>
          <w:tcPr>
            <w:tcW w:w="11881" w:type="dxa"/>
            <w:gridSpan w:val="7"/>
            <w:tcBorders>
              <w:top w:val="nil"/>
              <w:left w:val="nil"/>
              <w:bottom w:val="nil"/>
              <w:right w:val="nil"/>
            </w:tcBorders>
            <w:shd w:val="clear" w:color="auto" w:fill="auto"/>
            <w:noWrap/>
            <w:vAlign w:val="bottom"/>
          </w:tcPr>
          <w:p w:rsidR="00FC2012" w:rsidRPr="008A5812" w:rsidRDefault="00FC2012" w:rsidP="003269F2">
            <w:pPr>
              <w:spacing w:after="0" w:line="240" w:lineRule="auto"/>
              <w:rPr>
                <w:color w:val="000000"/>
                <w:szCs w:val="24"/>
                <w:lang w:eastAsia="en-GB"/>
              </w:rPr>
            </w:pPr>
          </w:p>
        </w:tc>
      </w:tr>
    </w:tbl>
    <w:p w:rsidR="00FC2012" w:rsidRPr="008A5812" w:rsidRDefault="00FC2012" w:rsidP="00FC2012">
      <w:pPr>
        <w:spacing w:line="270" w:lineRule="atLeast"/>
        <w:rPr>
          <w:b/>
          <w:bCs/>
          <w:szCs w:val="24"/>
        </w:rPr>
      </w:pPr>
    </w:p>
    <w:p w:rsidR="00FC2012" w:rsidRPr="008A5812" w:rsidRDefault="00FC2012" w:rsidP="00FC2012">
      <w:pPr>
        <w:spacing w:line="270" w:lineRule="atLeast"/>
        <w:rPr>
          <w:b/>
          <w:bCs/>
          <w:szCs w:val="24"/>
        </w:rPr>
      </w:pPr>
    </w:p>
    <w:p w:rsidR="00FC2012" w:rsidRDefault="00FC2012" w:rsidP="00FC2012">
      <w:pPr>
        <w:spacing w:line="270" w:lineRule="atLeast"/>
        <w:rPr>
          <w:b/>
          <w:bCs/>
          <w:szCs w:val="24"/>
        </w:rPr>
      </w:pPr>
    </w:p>
    <w:p w:rsidR="00FC2012" w:rsidRPr="008A5812" w:rsidRDefault="00FC2012" w:rsidP="00FC2012">
      <w:pPr>
        <w:spacing w:line="270" w:lineRule="atLeast"/>
        <w:rPr>
          <w:b/>
          <w:bCs/>
          <w:szCs w:val="24"/>
        </w:rPr>
      </w:pPr>
    </w:p>
    <w:p w:rsidR="00FC2012" w:rsidRPr="008A5812" w:rsidRDefault="00FC2012" w:rsidP="00FC2012">
      <w:pPr>
        <w:spacing w:line="270" w:lineRule="atLeast"/>
        <w:rPr>
          <w:b/>
          <w:bCs/>
          <w:szCs w:val="24"/>
        </w:rPr>
      </w:pPr>
    </w:p>
    <w:p w:rsidR="00FC2012" w:rsidRPr="008A5812" w:rsidRDefault="00FC2012" w:rsidP="00FC2012">
      <w:pPr>
        <w:spacing w:line="270" w:lineRule="atLeast"/>
        <w:rPr>
          <w:b/>
          <w:bCs/>
          <w:szCs w:val="24"/>
        </w:rPr>
      </w:pPr>
    </w:p>
    <w:p w:rsidR="00FC2012" w:rsidRDefault="00FC2012" w:rsidP="00FC2012">
      <w:pPr>
        <w:spacing w:line="270" w:lineRule="atLeast"/>
        <w:rPr>
          <w:b/>
          <w:bCs/>
          <w:szCs w:val="24"/>
        </w:rPr>
      </w:pPr>
    </w:p>
    <w:p w:rsidR="00FC2012" w:rsidRPr="008A5812" w:rsidRDefault="00FC2012" w:rsidP="00FC2012">
      <w:pPr>
        <w:spacing w:line="270" w:lineRule="atLeast"/>
        <w:rPr>
          <w:b/>
          <w:bCs/>
          <w:szCs w:val="24"/>
        </w:rPr>
      </w:pPr>
    </w:p>
    <w:p w:rsidR="00FC2012" w:rsidRPr="008A5812" w:rsidRDefault="00FC2012" w:rsidP="00FC2012">
      <w:pPr>
        <w:spacing w:line="270" w:lineRule="atLeast"/>
        <w:rPr>
          <w:b/>
          <w:bCs/>
          <w:szCs w:val="24"/>
        </w:rPr>
      </w:pPr>
    </w:p>
    <w:p w:rsidR="00FC2012" w:rsidRPr="008A5812" w:rsidRDefault="00FC2012" w:rsidP="00FC2012">
      <w:pPr>
        <w:spacing w:line="270" w:lineRule="atLeast"/>
        <w:rPr>
          <w:b/>
          <w:bCs/>
          <w:szCs w:val="24"/>
        </w:rPr>
      </w:pPr>
    </w:p>
    <w:p w:rsidR="00FC2012" w:rsidRDefault="00FC2012" w:rsidP="00FC2012">
      <w:pPr>
        <w:spacing w:line="270" w:lineRule="atLeast"/>
        <w:rPr>
          <w:b/>
          <w:bCs/>
          <w:szCs w:val="24"/>
        </w:rPr>
      </w:pPr>
    </w:p>
    <w:p w:rsidR="00FC2012" w:rsidRPr="008A5812" w:rsidRDefault="00FC2012" w:rsidP="00FC2012">
      <w:pPr>
        <w:spacing w:line="270" w:lineRule="atLeast"/>
        <w:rPr>
          <w:b/>
          <w:bCs/>
          <w:szCs w:val="24"/>
        </w:rPr>
      </w:pPr>
    </w:p>
    <w:p w:rsidR="00FC2012" w:rsidRPr="008A5812" w:rsidRDefault="00FC2012" w:rsidP="00FC2012">
      <w:pPr>
        <w:spacing w:line="270" w:lineRule="atLeast"/>
        <w:rPr>
          <w:b/>
          <w:bCs/>
          <w:szCs w:val="24"/>
        </w:rPr>
      </w:pPr>
    </w:p>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FC2012" w:rsidRPr="008A5812" w:rsidRDefault="00FC2012" w:rsidP="00FC2012">
      <w:pPr>
        <w:spacing w:line="270" w:lineRule="atLeast"/>
        <w:rPr>
          <w:b/>
          <w:bCs/>
          <w:szCs w:val="24"/>
        </w:rPr>
      </w:pPr>
    </w:p>
    <w:p w:rsidR="00FC2012" w:rsidRDefault="00FC2012" w:rsidP="00FC2012">
      <w:pPr>
        <w:spacing w:line="270" w:lineRule="atLeast"/>
        <w:rPr>
          <w:b/>
          <w:bCs/>
          <w:szCs w:val="24"/>
        </w:rPr>
      </w:pPr>
    </w:p>
    <w:tbl>
      <w:tblPr>
        <w:tblW w:w="10471" w:type="dxa"/>
        <w:tblInd w:w="93" w:type="dxa"/>
        <w:tblLook w:val="04A0" w:firstRow="1" w:lastRow="0" w:firstColumn="1" w:lastColumn="0" w:noHBand="0" w:noVBand="1"/>
      </w:tblPr>
      <w:tblGrid>
        <w:gridCol w:w="2425"/>
        <w:gridCol w:w="135"/>
        <w:gridCol w:w="1280"/>
        <w:gridCol w:w="360"/>
        <w:gridCol w:w="1600"/>
        <w:gridCol w:w="283"/>
        <w:gridCol w:w="82"/>
        <w:gridCol w:w="887"/>
        <w:gridCol w:w="311"/>
        <w:gridCol w:w="283"/>
        <w:gridCol w:w="1441"/>
        <w:gridCol w:w="573"/>
        <w:gridCol w:w="153"/>
        <w:gridCol w:w="217"/>
        <w:gridCol w:w="50"/>
        <w:gridCol w:w="21"/>
        <w:gridCol w:w="200"/>
        <w:gridCol w:w="170"/>
      </w:tblGrid>
      <w:tr w:rsidR="00FC2012" w:rsidRPr="008A5812" w:rsidTr="003269F2">
        <w:trPr>
          <w:gridAfter w:val="2"/>
          <w:wAfter w:w="370" w:type="dxa"/>
          <w:trHeight w:val="615"/>
        </w:trPr>
        <w:tc>
          <w:tcPr>
            <w:tcW w:w="10101" w:type="dxa"/>
            <w:gridSpan w:val="16"/>
            <w:tcBorders>
              <w:top w:val="nil"/>
              <w:left w:val="nil"/>
              <w:bottom w:val="nil"/>
              <w:right w:val="nil"/>
            </w:tcBorders>
            <w:shd w:val="clear" w:color="auto" w:fill="auto"/>
            <w:vAlign w:val="bottom"/>
            <w:hideMark/>
          </w:tcPr>
          <w:p w:rsidR="00FC2012" w:rsidRPr="008A5812" w:rsidRDefault="00FC2012" w:rsidP="00367A43">
            <w:pPr>
              <w:spacing w:after="0" w:line="240" w:lineRule="auto"/>
              <w:jc w:val="both"/>
              <w:rPr>
                <w:b/>
                <w:bCs/>
                <w:color w:val="000000"/>
                <w:szCs w:val="24"/>
                <w:lang w:eastAsia="en-GB"/>
              </w:rPr>
            </w:pPr>
            <w:r w:rsidRPr="008A5812">
              <w:rPr>
                <w:b/>
                <w:bCs/>
                <w:color w:val="000000"/>
                <w:szCs w:val="24"/>
                <w:lang w:eastAsia="en-GB"/>
              </w:rPr>
              <w:lastRenderedPageBreak/>
              <w:t>Table</w:t>
            </w:r>
            <w:r w:rsidR="00367A43">
              <w:rPr>
                <w:b/>
                <w:bCs/>
                <w:color w:val="000000"/>
                <w:szCs w:val="24"/>
                <w:lang w:eastAsia="en-GB"/>
              </w:rPr>
              <w:t xml:space="preserve"> 3</w:t>
            </w:r>
            <w:r w:rsidRPr="008A5812">
              <w:rPr>
                <w:b/>
                <w:bCs/>
                <w:color w:val="000000"/>
                <w:szCs w:val="24"/>
                <w:lang w:eastAsia="en-GB"/>
              </w:rPr>
              <w:t>: Number of Green Deal Plans</w:t>
            </w:r>
            <w:r w:rsidRPr="008A5812">
              <w:rPr>
                <w:b/>
                <w:bCs/>
                <w:color w:val="000000"/>
                <w:szCs w:val="24"/>
                <w:vertAlign w:val="superscript"/>
                <w:lang w:eastAsia="en-GB"/>
              </w:rPr>
              <w:t>1,2,3</w:t>
            </w:r>
            <w:r w:rsidRPr="008A5812">
              <w:rPr>
                <w:b/>
                <w:bCs/>
                <w:color w:val="000000"/>
                <w:szCs w:val="24"/>
                <w:lang w:eastAsia="en-GB"/>
              </w:rPr>
              <w:t xml:space="preserve"> in unique properties, cumulative total by month</w:t>
            </w:r>
          </w:p>
        </w:tc>
      </w:tr>
      <w:tr w:rsidR="00FC2012" w:rsidRPr="008A5812" w:rsidTr="003269F2">
        <w:trPr>
          <w:gridAfter w:val="4"/>
          <w:wAfter w:w="441" w:type="dxa"/>
          <w:trHeight w:val="285"/>
        </w:trPr>
        <w:tc>
          <w:tcPr>
            <w:tcW w:w="2560" w:type="dxa"/>
            <w:gridSpan w:val="2"/>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1280"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360"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1600"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283"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1280" w:type="dxa"/>
            <w:gridSpan w:val="3"/>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283"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2014" w:type="dxa"/>
            <w:gridSpan w:val="2"/>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370"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gridAfter w:val="4"/>
          <w:wAfter w:w="441" w:type="dxa"/>
          <w:trHeight w:val="900"/>
        </w:trPr>
        <w:tc>
          <w:tcPr>
            <w:tcW w:w="2560" w:type="dxa"/>
            <w:gridSpan w:val="2"/>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Month</w:t>
            </w:r>
          </w:p>
        </w:tc>
        <w:tc>
          <w:tcPr>
            <w:tcW w:w="1280"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center"/>
              <w:rPr>
                <w:color w:val="000000"/>
                <w:szCs w:val="24"/>
                <w:lang w:eastAsia="en-GB"/>
              </w:rPr>
            </w:pPr>
            <w:r w:rsidRPr="008A5812">
              <w:rPr>
                <w:color w:val="000000"/>
                <w:szCs w:val="24"/>
                <w:lang w:eastAsia="en-GB"/>
              </w:rPr>
              <w:t>'New'</w:t>
            </w:r>
            <w:r w:rsidRPr="008A5812">
              <w:rPr>
                <w:color w:val="000000"/>
                <w:szCs w:val="24"/>
                <w:vertAlign w:val="superscript"/>
                <w:lang w:eastAsia="en-GB"/>
              </w:rPr>
              <w:t xml:space="preserve">1 </w:t>
            </w:r>
            <w:r w:rsidRPr="008A5812">
              <w:rPr>
                <w:color w:val="000000"/>
                <w:szCs w:val="24"/>
                <w:lang w:eastAsia="en-GB"/>
              </w:rPr>
              <w:t>Green Deal Plans</w:t>
            </w:r>
          </w:p>
        </w:tc>
        <w:tc>
          <w:tcPr>
            <w:tcW w:w="360"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center"/>
              <w:rPr>
                <w:color w:val="000000"/>
                <w:szCs w:val="24"/>
                <w:lang w:eastAsia="en-GB"/>
              </w:rPr>
            </w:pPr>
          </w:p>
        </w:tc>
        <w:tc>
          <w:tcPr>
            <w:tcW w:w="1600"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center"/>
              <w:rPr>
                <w:color w:val="000000"/>
                <w:szCs w:val="24"/>
                <w:lang w:eastAsia="en-GB"/>
              </w:rPr>
            </w:pPr>
            <w:r w:rsidRPr="008A5812">
              <w:rPr>
                <w:color w:val="000000"/>
                <w:szCs w:val="24"/>
                <w:lang w:eastAsia="en-GB"/>
              </w:rPr>
              <w:t>'Pending'</w:t>
            </w:r>
            <w:r w:rsidRPr="008A5812">
              <w:rPr>
                <w:color w:val="000000"/>
                <w:szCs w:val="24"/>
                <w:vertAlign w:val="superscript"/>
                <w:lang w:eastAsia="en-GB"/>
              </w:rPr>
              <w:t>2</w:t>
            </w:r>
            <w:r w:rsidRPr="008A5812">
              <w:rPr>
                <w:color w:val="000000"/>
                <w:szCs w:val="24"/>
                <w:lang w:eastAsia="en-GB"/>
              </w:rPr>
              <w:t xml:space="preserve"> Green Deal Plans</w:t>
            </w:r>
          </w:p>
        </w:tc>
        <w:tc>
          <w:tcPr>
            <w:tcW w:w="283"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center"/>
              <w:rPr>
                <w:color w:val="000000"/>
                <w:szCs w:val="24"/>
                <w:lang w:eastAsia="en-GB"/>
              </w:rPr>
            </w:pPr>
          </w:p>
        </w:tc>
        <w:tc>
          <w:tcPr>
            <w:tcW w:w="1280" w:type="dxa"/>
            <w:gridSpan w:val="3"/>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center"/>
              <w:rPr>
                <w:color w:val="000000"/>
                <w:szCs w:val="24"/>
                <w:lang w:eastAsia="en-GB"/>
              </w:rPr>
            </w:pPr>
            <w:r w:rsidRPr="008A5812">
              <w:rPr>
                <w:color w:val="000000"/>
                <w:szCs w:val="24"/>
                <w:lang w:eastAsia="en-GB"/>
              </w:rPr>
              <w:t>'Live'</w:t>
            </w:r>
            <w:r w:rsidRPr="008A5812">
              <w:rPr>
                <w:color w:val="000000"/>
                <w:szCs w:val="24"/>
                <w:vertAlign w:val="superscript"/>
                <w:lang w:eastAsia="en-GB"/>
              </w:rPr>
              <w:t>3</w:t>
            </w:r>
            <w:r w:rsidRPr="008A5812">
              <w:rPr>
                <w:color w:val="000000"/>
                <w:szCs w:val="24"/>
                <w:lang w:eastAsia="en-GB"/>
              </w:rPr>
              <w:t xml:space="preserve"> Green Deal Plans</w:t>
            </w:r>
          </w:p>
        </w:tc>
        <w:tc>
          <w:tcPr>
            <w:tcW w:w="283"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center"/>
              <w:rPr>
                <w:color w:val="000000"/>
                <w:szCs w:val="24"/>
                <w:lang w:eastAsia="en-GB"/>
              </w:rPr>
            </w:pPr>
          </w:p>
        </w:tc>
        <w:tc>
          <w:tcPr>
            <w:tcW w:w="2014" w:type="dxa"/>
            <w:gridSpan w:val="2"/>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center"/>
              <w:rPr>
                <w:color w:val="000000"/>
                <w:szCs w:val="24"/>
                <w:lang w:eastAsia="en-GB"/>
              </w:rPr>
            </w:pPr>
            <w:r w:rsidRPr="008A5812">
              <w:rPr>
                <w:color w:val="000000"/>
                <w:szCs w:val="24"/>
                <w:lang w:eastAsia="en-GB"/>
              </w:rPr>
              <w:t>'Total'</w:t>
            </w:r>
            <w:r w:rsidRPr="008A5812">
              <w:rPr>
                <w:color w:val="000000"/>
                <w:szCs w:val="24"/>
                <w:vertAlign w:val="superscript"/>
                <w:lang w:eastAsia="en-GB"/>
              </w:rPr>
              <w:t>4</w:t>
            </w:r>
            <w:r w:rsidRPr="008A5812">
              <w:rPr>
                <w:color w:val="000000"/>
                <w:szCs w:val="24"/>
                <w:lang w:eastAsia="en-GB"/>
              </w:rPr>
              <w:t xml:space="preserve"> Green Deal Plans</w:t>
            </w:r>
          </w:p>
        </w:tc>
        <w:tc>
          <w:tcPr>
            <w:tcW w:w="370" w:type="dxa"/>
            <w:gridSpan w:val="2"/>
            <w:tcBorders>
              <w:top w:val="nil"/>
              <w:left w:val="nil"/>
              <w:bottom w:val="nil"/>
              <w:right w:val="nil"/>
            </w:tcBorders>
            <w:shd w:val="clear" w:color="auto" w:fill="auto"/>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gridAfter w:val="4"/>
          <w:wAfter w:w="441" w:type="dxa"/>
          <w:trHeight w:val="285"/>
        </w:trPr>
        <w:tc>
          <w:tcPr>
            <w:tcW w:w="2560" w:type="dxa"/>
            <w:gridSpan w:val="2"/>
            <w:tcBorders>
              <w:top w:val="nil"/>
              <w:left w:val="nil"/>
              <w:bottom w:val="nil"/>
              <w:right w:val="nil"/>
            </w:tcBorders>
            <w:shd w:val="clear" w:color="auto" w:fill="auto"/>
            <w:noWrap/>
            <w:vAlign w:val="center"/>
            <w:hideMark/>
          </w:tcPr>
          <w:p w:rsidR="00FC2012" w:rsidRPr="008A5812" w:rsidRDefault="00FC2012" w:rsidP="003269F2">
            <w:pPr>
              <w:spacing w:after="0" w:line="240" w:lineRule="auto"/>
              <w:rPr>
                <w:color w:val="000000"/>
                <w:szCs w:val="24"/>
                <w:lang w:eastAsia="en-GB"/>
              </w:rPr>
            </w:pPr>
          </w:p>
        </w:tc>
        <w:tc>
          <w:tcPr>
            <w:tcW w:w="1280"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center"/>
              <w:rPr>
                <w:color w:val="000000"/>
                <w:szCs w:val="24"/>
                <w:lang w:eastAsia="en-GB"/>
              </w:rPr>
            </w:pPr>
          </w:p>
        </w:tc>
        <w:tc>
          <w:tcPr>
            <w:tcW w:w="360"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center"/>
              <w:rPr>
                <w:color w:val="000000"/>
                <w:szCs w:val="24"/>
                <w:lang w:eastAsia="en-GB"/>
              </w:rPr>
            </w:pPr>
          </w:p>
        </w:tc>
        <w:tc>
          <w:tcPr>
            <w:tcW w:w="1600"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center"/>
              <w:rPr>
                <w:color w:val="000000"/>
                <w:szCs w:val="24"/>
                <w:lang w:eastAsia="en-GB"/>
              </w:rPr>
            </w:pP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center"/>
              <w:rPr>
                <w:color w:val="000000"/>
                <w:szCs w:val="24"/>
                <w:lang w:eastAsia="en-GB"/>
              </w:rPr>
            </w:pPr>
          </w:p>
        </w:tc>
        <w:tc>
          <w:tcPr>
            <w:tcW w:w="1280" w:type="dxa"/>
            <w:gridSpan w:val="3"/>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center"/>
              <w:rPr>
                <w:color w:val="000000"/>
                <w:szCs w:val="24"/>
                <w:lang w:eastAsia="en-GB"/>
              </w:rPr>
            </w:pP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center"/>
              <w:rPr>
                <w:color w:val="000000"/>
                <w:szCs w:val="24"/>
                <w:lang w:eastAsia="en-GB"/>
              </w:rPr>
            </w:pPr>
          </w:p>
        </w:tc>
        <w:tc>
          <w:tcPr>
            <w:tcW w:w="2014"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center"/>
              <w:rPr>
                <w:color w:val="000000"/>
                <w:szCs w:val="24"/>
                <w:lang w:eastAsia="en-GB"/>
              </w:rPr>
            </w:pPr>
          </w:p>
        </w:tc>
        <w:tc>
          <w:tcPr>
            <w:tcW w:w="370"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gridAfter w:val="4"/>
          <w:wAfter w:w="441" w:type="dxa"/>
          <w:trHeight w:val="285"/>
        </w:trPr>
        <w:tc>
          <w:tcPr>
            <w:tcW w:w="2560" w:type="dxa"/>
            <w:gridSpan w:val="2"/>
            <w:tcBorders>
              <w:top w:val="nil"/>
              <w:left w:val="nil"/>
              <w:bottom w:val="nil"/>
              <w:right w:val="nil"/>
            </w:tcBorders>
            <w:shd w:val="clear" w:color="000000" w:fill="FFFFFF"/>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May 2013</w:t>
            </w:r>
          </w:p>
        </w:tc>
        <w:tc>
          <w:tcPr>
            <w:tcW w:w="1280"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98</w:t>
            </w:r>
          </w:p>
        </w:tc>
        <w:tc>
          <w:tcPr>
            <w:tcW w:w="360"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p>
        </w:tc>
        <w:tc>
          <w:tcPr>
            <w:tcW w:w="1600"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2</w:t>
            </w: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1280" w:type="dxa"/>
            <w:gridSpan w:val="3"/>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0</w:t>
            </w: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2014"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100</w:t>
            </w:r>
          </w:p>
        </w:tc>
        <w:tc>
          <w:tcPr>
            <w:tcW w:w="370"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gridAfter w:val="6"/>
          <w:wAfter w:w="811" w:type="dxa"/>
          <w:trHeight w:val="285"/>
        </w:trPr>
        <w:tc>
          <w:tcPr>
            <w:tcW w:w="2560" w:type="dxa"/>
            <w:gridSpan w:val="2"/>
            <w:tcBorders>
              <w:top w:val="nil"/>
              <w:left w:val="nil"/>
              <w:right w:val="nil"/>
            </w:tcBorders>
            <w:shd w:val="clear" w:color="000000" w:fill="FFFFFF"/>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June 2013</w:t>
            </w:r>
          </w:p>
        </w:tc>
        <w:tc>
          <w:tcPr>
            <w:tcW w:w="1280" w:type="dxa"/>
            <w:tcBorders>
              <w:top w:val="nil"/>
              <w:left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270</w:t>
            </w:r>
          </w:p>
        </w:tc>
        <w:tc>
          <w:tcPr>
            <w:tcW w:w="360" w:type="dxa"/>
            <w:tcBorders>
              <w:top w:val="nil"/>
              <w:left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 </w:t>
            </w:r>
          </w:p>
        </w:tc>
        <w:tc>
          <w:tcPr>
            <w:tcW w:w="1600" w:type="dxa"/>
            <w:tcBorders>
              <w:top w:val="nil"/>
              <w:left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36</w:t>
            </w:r>
          </w:p>
        </w:tc>
        <w:tc>
          <w:tcPr>
            <w:tcW w:w="283" w:type="dxa"/>
            <w:tcBorders>
              <w:top w:val="nil"/>
              <w:left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 </w:t>
            </w:r>
          </w:p>
        </w:tc>
        <w:tc>
          <w:tcPr>
            <w:tcW w:w="1280" w:type="dxa"/>
            <w:gridSpan w:val="3"/>
            <w:tcBorders>
              <w:top w:val="nil"/>
              <w:left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0</w:t>
            </w:r>
          </w:p>
        </w:tc>
        <w:tc>
          <w:tcPr>
            <w:tcW w:w="283" w:type="dxa"/>
            <w:tcBorders>
              <w:top w:val="nil"/>
              <w:left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 </w:t>
            </w:r>
          </w:p>
        </w:tc>
        <w:tc>
          <w:tcPr>
            <w:tcW w:w="2014" w:type="dxa"/>
            <w:gridSpan w:val="2"/>
            <w:tcBorders>
              <w:top w:val="nil"/>
              <w:left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306</w:t>
            </w:r>
          </w:p>
        </w:tc>
      </w:tr>
      <w:tr w:rsidR="00FC2012" w:rsidRPr="008A5812" w:rsidTr="003269F2">
        <w:trPr>
          <w:gridAfter w:val="6"/>
          <w:wAfter w:w="811" w:type="dxa"/>
          <w:trHeight w:val="285"/>
        </w:trPr>
        <w:tc>
          <w:tcPr>
            <w:tcW w:w="2560" w:type="dxa"/>
            <w:gridSpan w:val="2"/>
            <w:tcBorders>
              <w:top w:val="nil"/>
              <w:left w:val="nil"/>
              <w:right w:val="nil"/>
            </w:tcBorders>
            <w:shd w:val="clear" w:color="000000" w:fill="FFFFFF"/>
            <w:noWrap/>
            <w:vAlign w:val="bottom"/>
          </w:tcPr>
          <w:p w:rsidR="00FC2012" w:rsidRPr="008A5812" w:rsidRDefault="00FC2012" w:rsidP="003269F2">
            <w:pPr>
              <w:spacing w:after="0" w:line="240" w:lineRule="auto"/>
              <w:rPr>
                <w:color w:val="000000"/>
                <w:szCs w:val="24"/>
                <w:lang w:eastAsia="en-GB"/>
              </w:rPr>
            </w:pPr>
            <w:r w:rsidRPr="008A5812">
              <w:rPr>
                <w:color w:val="000000"/>
                <w:szCs w:val="24"/>
                <w:lang w:eastAsia="en-GB"/>
              </w:rPr>
              <w:t>July 2013</w:t>
            </w:r>
          </w:p>
        </w:tc>
        <w:tc>
          <w:tcPr>
            <w:tcW w:w="1280" w:type="dxa"/>
            <w:tcBorders>
              <w:top w:val="nil"/>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286</w:t>
            </w:r>
          </w:p>
        </w:tc>
        <w:tc>
          <w:tcPr>
            <w:tcW w:w="360" w:type="dxa"/>
            <w:tcBorders>
              <w:top w:val="nil"/>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p>
        </w:tc>
        <w:tc>
          <w:tcPr>
            <w:tcW w:w="1600" w:type="dxa"/>
            <w:tcBorders>
              <w:top w:val="nil"/>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132</w:t>
            </w:r>
          </w:p>
        </w:tc>
        <w:tc>
          <w:tcPr>
            <w:tcW w:w="283" w:type="dxa"/>
            <w:tcBorders>
              <w:top w:val="nil"/>
              <w:left w:val="nil"/>
              <w:right w:val="nil"/>
            </w:tcBorders>
            <w:shd w:val="clear" w:color="auto" w:fill="auto"/>
            <w:noWrap/>
            <w:vAlign w:val="bottom"/>
          </w:tcPr>
          <w:p w:rsidR="00FC2012" w:rsidRPr="008A5812" w:rsidRDefault="00FC2012" w:rsidP="003269F2">
            <w:pPr>
              <w:spacing w:after="0" w:line="240" w:lineRule="auto"/>
              <w:rPr>
                <w:color w:val="000000"/>
                <w:szCs w:val="24"/>
                <w:lang w:eastAsia="en-GB"/>
              </w:rPr>
            </w:pPr>
          </w:p>
        </w:tc>
        <w:tc>
          <w:tcPr>
            <w:tcW w:w="1280" w:type="dxa"/>
            <w:gridSpan w:val="3"/>
            <w:tcBorders>
              <w:top w:val="nil"/>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1</w:t>
            </w:r>
          </w:p>
        </w:tc>
        <w:tc>
          <w:tcPr>
            <w:tcW w:w="283" w:type="dxa"/>
            <w:tcBorders>
              <w:top w:val="nil"/>
              <w:left w:val="nil"/>
              <w:right w:val="nil"/>
            </w:tcBorders>
            <w:shd w:val="clear" w:color="auto" w:fill="auto"/>
            <w:noWrap/>
            <w:vAlign w:val="bottom"/>
          </w:tcPr>
          <w:p w:rsidR="00FC2012" w:rsidRPr="008A5812" w:rsidRDefault="00FC2012" w:rsidP="003269F2">
            <w:pPr>
              <w:spacing w:after="0" w:line="240" w:lineRule="auto"/>
              <w:rPr>
                <w:color w:val="000000"/>
                <w:szCs w:val="24"/>
                <w:lang w:eastAsia="en-GB"/>
              </w:rPr>
            </w:pPr>
          </w:p>
        </w:tc>
        <w:tc>
          <w:tcPr>
            <w:tcW w:w="2014" w:type="dxa"/>
            <w:gridSpan w:val="2"/>
            <w:tcBorders>
              <w:top w:val="nil"/>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419</w:t>
            </w:r>
          </w:p>
        </w:tc>
      </w:tr>
      <w:tr w:rsidR="00FC2012" w:rsidRPr="008A5812" w:rsidTr="003269F2">
        <w:trPr>
          <w:gridAfter w:val="6"/>
          <w:wAfter w:w="811" w:type="dxa"/>
          <w:trHeight w:val="285"/>
        </w:trPr>
        <w:tc>
          <w:tcPr>
            <w:tcW w:w="2560" w:type="dxa"/>
            <w:gridSpan w:val="2"/>
            <w:tcBorders>
              <w:left w:val="nil"/>
              <w:right w:val="nil"/>
            </w:tcBorders>
            <w:shd w:val="clear" w:color="000000" w:fill="FFFFFF"/>
            <w:noWrap/>
            <w:vAlign w:val="bottom"/>
          </w:tcPr>
          <w:p w:rsidR="00FC2012" w:rsidRPr="008A5812" w:rsidRDefault="00FC2012" w:rsidP="003269F2">
            <w:pPr>
              <w:spacing w:after="0" w:line="240" w:lineRule="auto"/>
              <w:rPr>
                <w:color w:val="000000"/>
                <w:szCs w:val="24"/>
                <w:lang w:eastAsia="en-GB"/>
              </w:rPr>
            </w:pPr>
            <w:r w:rsidRPr="008A5812">
              <w:rPr>
                <w:color w:val="000000"/>
                <w:szCs w:val="24"/>
                <w:lang w:eastAsia="en-GB"/>
              </w:rPr>
              <w:t>August 2013</w:t>
            </w:r>
          </w:p>
        </w:tc>
        <w:tc>
          <w:tcPr>
            <w:tcW w:w="1280" w:type="dxa"/>
            <w:tcBorders>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293</w:t>
            </w:r>
          </w:p>
        </w:tc>
        <w:tc>
          <w:tcPr>
            <w:tcW w:w="360" w:type="dxa"/>
            <w:tcBorders>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p>
        </w:tc>
        <w:tc>
          <w:tcPr>
            <w:tcW w:w="1600" w:type="dxa"/>
            <w:tcBorders>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372</w:t>
            </w:r>
          </w:p>
        </w:tc>
        <w:tc>
          <w:tcPr>
            <w:tcW w:w="283" w:type="dxa"/>
            <w:tcBorders>
              <w:left w:val="nil"/>
              <w:right w:val="nil"/>
            </w:tcBorders>
            <w:shd w:val="clear" w:color="auto" w:fill="auto"/>
            <w:noWrap/>
            <w:vAlign w:val="bottom"/>
          </w:tcPr>
          <w:p w:rsidR="00FC2012" w:rsidRPr="008A5812" w:rsidRDefault="00FC2012" w:rsidP="003269F2">
            <w:pPr>
              <w:spacing w:after="0" w:line="240" w:lineRule="auto"/>
              <w:rPr>
                <w:color w:val="000000"/>
                <w:szCs w:val="24"/>
                <w:lang w:eastAsia="en-GB"/>
              </w:rPr>
            </w:pPr>
          </w:p>
        </w:tc>
        <w:tc>
          <w:tcPr>
            <w:tcW w:w="1280" w:type="dxa"/>
            <w:gridSpan w:val="3"/>
            <w:tcBorders>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12</w:t>
            </w:r>
          </w:p>
        </w:tc>
        <w:tc>
          <w:tcPr>
            <w:tcW w:w="283" w:type="dxa"/>
            <w:tcBorders>
              <w:left w:val="nil"/>
              <w:right w:val="nil"/>
            </w:tcBorders>
            <w:shd w:val="clear" w:color="auto" w:fill="auto"/>
            <w:noWrap/>
            <w:vAlign w:val="bottom"/>
          </w:tcPr>
          <w:p w:rsidR="00FC2012" w:rsidRPr="008A5812" w:rsidRDefault="00FC2012" w:rsidP="003269F2">
            <w:pPr>
              <w:spacing w:after="0" w:line="240" w:lineRule="auto"/>
              <w:rPr>
                <w:color w:val="000000"/>
                <w:szCs w:val="24"/>
                <w:lang w:eastAsia="en-GB"/>
              </w:rPr>
            </w:pPr>
          </w:p>
        </w:tc>
        <w:tc>
          <w:tcPr>
            <w:tcW w:w="2014" w:type="dxa"/>
            <w:gridSpan w:val="2"/>
            <w:tcBorders>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677</w:t>
            </w:r>
          </w:p>
        </w:tc>
      </w:tr>
      <w:tr w:rsidR="00FC2012" w:rsidRPr="008A5812" w:rsidTr="003269F2">
        <w:trPr>
          <w:gridAfter w:val="6"/>
          <w:wAfter w:w="811" w:type="dxa"/>
          <w:trHeight w:val="285"/>
        </w:trPr>
        <w:tc>
          <w:tcPr>
            <w:tcW w:w="2560" w:type="dxa"/>
            <w:gridSpan w:val="2"/>
            <w:tcBorders>
              <w:left w:val="nil"/>
              <w:right w:val="nil"/>
            </w:tcBorders>
            <w:shd w:val="clear" w:color="000000" w:fill="FFFFFF"/>
            <w:noWrap/>
            <w:vAlign w:val="bottom"/>
          </w:tcPr>
          <w:p w:rsidR="00FC2012" w:rsidRPr="008A5812" w:rsidRDefault="00FC2012" w:rsidP="003269F2">
            <w:pPr>
              <w:spacing w:after="0" w:line="240" w:lineRule="auto"/>
              <w:rPr>
                <w:color w:val="000000"/>
                <w:szCs w:val="24"/>
                <w:lang w:eastAsia="en-GB"/>
              </w:rPr>
            </w:pPr>
            <w:r w:rsidRPr="008A5812">
              <w:rPr>
                <w:color w:val="000000"/>
                <w:szCs w:val="24"/>
                <w:lang w:eastAsia="en-GB"/>
              </w:rPr>
              <w:t>September 2013</w:t>
            </w:r>
          </w:p>
        </w:tc>
        <w:tc>
          <w:tcPr>
            <w:tcW w:w="1280" w:type="dxa"/>
            <w:tcBorders>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392</w:t>
            </w:r>
          </w:p>
        </w:tc>
        <w:tc>
          <w:tcPr>
            <w:tcW w:w="360" w:type="dxa"/>
            <w:tcBorders>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p>
        </w:tc>
        <w:tc>
          <w:tcPr>
            <w:tcW w:w="1600" w:type="dxa"/>
            <w:tcBorders>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505</w:t>
            </w:r>
          </w:p>
        </w:tc>
        <w:tc>
          <w:tcPr>
            <w:tcW w:w="283" w:type="dxa"/>
            <w:tcBorders>
              <w:left w:val="nil"/>
              <w:right w:val="nil"/>
            </w:tcBorders>
            <w:shd w:val="clear" w:color="auto" w:fill="auto"/>
            <w:noWrap/>
            <w:vAlign w:val="bottom"/>
          </w:tcPr>
          <w:p w:rsidR="00FC2012" w:rsidRPr="008A5812" w:rsidRDefault="00FC2012" w:rsidP="003269F2">
            <w:pPr>
              <w:spacing w:after="0" w:line="240" w:lineRule="auto"/>
              <w:rPr>
                <w:color w:val="000000"/>
                <w:szCs w:val="24"/>
                <w:lang w:eastAsia="en-GB"/>
              </w:rPr>
            </w:pPr>
          </w:p>
        </w:tc>
        <w:tc>
          <w:tcPr>
            <w:tcW w:w="1280" w:type="dxa"/>
            <w:gridSpan w:val="3"/>
            <w:tcBorders>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57</w:t>
            </w:r>
          </w:p>
        </w:tc>
        <w:tc>
          <w:tcPr>
            <w:tcW w:w="283" w:type="dxa"/>
            <w:tcBorders>
              <w:left w:val="nil"/>
              <w:right w:val="nil"/>
            </w:tcBorders>
            <w:shd w:val="clear" w:color="auto" w:fill="auto"/>
            <w:noWrap/>
            <w:vAlign w:val="bottom"/>
          </w:tcPr>
          <w:p w:rsidR="00FC2012" w:rsidRPr="008A5812" w:rsidRDefault="00FC2012" w:rsidP="003269F2">
            <w:pPr>
              <w:spacing w:after="0" w:line="240" w:lineRule="auto"/>
              <w:rPr>
                <w:color w:val="000000"/>
                <w:szCs w:val="24"/>
                <w:lang w:eastAsia="en-GB"/>
              </w:rPr>
            </w:pPr>
          </w:p>
        </w:tc>
        <w:tc>
          <w:tcPr>
            <w:tcW w:w="2014" w:type="dxa"/>
            <w:gridSpan w:val="2"/>
            <w:tcBorders>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954</w:t>
            </w:r>
          </w:p>
        </w:tc>
      </w:tr>
      <w:tr w:rsidR="00FC2012" w:rsidRPr="008A5812" w:rsidTr="003269F2">
        <w:trPr>
          <w:gridAfter w:val="6"/>
          <w:wAfter w:w="811" w:type="dxa"/>
          <w:trHeight w:val="285"/>
        </w:trPr>
        <w:tc>
          <w:tcPr>
            <w:tcW w:w="2560" w:type="dxa"/>
            <w:gridSpan w:val="2"/>
            <w:tcBorders>
              <w:left w:val="nil"/>
              <w:bottom w:val="single" w:sz="4" w:space="0" w:color="auto"/>
              <w:right w:val="nil"/>
            </w:tcBorders>
            <w:shd w:val="clear" w:color="000000" w:fill="FFFFFF"/>
            <w:noWrap/>
            <w:vAlign w:val="bottom"/>
          </w:tcPr>
          <w:p w:rsidR="00FC2012" w:rsidRPr="008A5812" w:rsidRDefault="00FC2012" w:rsidP="003269F2">
            <w:pPr>
              <w:spacing w:after="0" w:line="240" w:lineRule="auto"/>
              <w:rPr>
                <w:color w:val="000000"/>
                <w:szCs w:val="24"/>
                <w:lang w:eastAsia="en-GB"/>
              </w:rPr>
            </w:pPr>
            <w:r w:rsidRPr="008A5812">
              <w:rPr>
                <w:color w:val="000000"/>
                <w:szCs w:val="24"/>
                <w:lang w:eastAsia="en-GB"/>
              </w:rPr>
              <w:t>October 2013</w:t>
            </w:r>
          </w:p>
        </w:tc>
        <w:tc>
          <w:tcPr>
            <w:tcW w:w="1280" w:type="dxa"/>
            <w:tcBorders>
              <w:left w:val="nil"/>
              <w:bottom w:val="single" w:sz="4" w:space="0" w:color="auto"/>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r>
              <w:rPr>
                <w:color w:val="000000"/>
                <w:szCs w:val="24"/>
                <w:lang w:eastAsia="en-GB"/>
              </w:rPr>
              <w:t>360</w:t>
            </w:r>
          </w:p>
        </w:tc>
        <w:tc>
          <w:tcPr>
            <w:tcW w:w="360" w:type="dxa"/>
            <w:tcBorders>
              <w:left w:val="nil"/>
              <w:bottom w:val="single" w:sz="4" w:space="0" w:color="auto"/>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p>
        </w:tc>
        <w:tc>
          <w:tcPr>
            <w:tcW w:w="1600" w:type="dxa"/>
            <w:tcBorders>
              <w:left w:val="nil"/>
              <w:bottom w:val="single" w:sz="4" w:space="0" w:color="auto"/>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r>
              <w:rPr>
                <w:color w:val="000000"/>
                <w:szCs w:val="24"/>
                <w:lang w:eastAsia="en-GB"/>
              </w:rPr>
              <w:t>594</w:t>
            </w:r>
          </w:p>
        </w:tc>
        <w:tc>
          <w:tcPr>
            <w:tcW w:w="283" w:type="dxa"/>
            <w:tcBorders>
              <w:left w:val="nil"/>
              <w:bottom w:val="single" w:sz="4" w:space="0" w:color="auto"/>
              <w:right w:val="nil"/>
            </w:tcBorders>
            <w:shd w:val="clear" w:color="auto" w:fill="auto"/>
            <w:noWrap/>
            <w:vAlign w:val="bottom"/>
          </w:tcPr>
          <w:p w:rsidR="00FC2012" w:rsidRPr="008A5812" w:rsidRDefault="00FC2012" w:rsidP="003269F2">
            <w:pPr>
              <w:spacing w:after="0" w:line="240" w:lineRule="auto"/>
              <w:rPr>
                <w:color w:val="000000"/>
                <w:szCs w:val="24"/>
                <w:lang w:eastAsia="en-GB"/>
              </w:rPr>
            </w:pPr>
          </w:p>
        </w:tc>
        <w:tc>
          <w:tcPr>
            <w:tcW w:w="1280" w:type="dxa"/>
            <w:gridSpan w:val="3"/>
            <w:tcBorders>
              <w:left w:val="nil"/>
              <w:bottom w:val="single" w:sz="4" w:space="0" w:color="auto"/>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r>
              <w:rPr>
                <w:color w:val="000000"/>
                <w:szCs w:val="24"/>
                <w:lang w:eastAsia="en-GB"/>
              </w:rPr>
              <w:t>219</w:t>
            </w:r>
          </w:p>
        </w:tc>
        <w:tc>
          <w:tcPr>
            <w:tcW w:w="283" w:type="dxa"/>
            <w:tcBorders>
              <w:left w:val="nil"/>
              <w:bottom w:val="single" w:sz="4" w:space="0" w:color="auto"/>
              <w:right w:val="nil"/>
            </w:tcBorders>
            <w:shd w:val="clear" w:color="auto" w:fill="auto"/>
            <w:noWrap/>
            <w:vAlign w:val="bottom"/>
          </w:tcPr>
          <w:p w:rsidR="00FC2012" w:rsidRPr="008A5812" w:rsidRDefault="00FC2012" w:rsidP="003269F2">
            <w:pPr>
              <w:spacing w:after="0" w:line="240" w:lineRule="auto"/>
              <w:rPr>
                <w:color w:val="000000"/>
                <w:szCs w:val="24"/>
                <w:lang w:eastAsia="en-GB"/>
              </w:rPr>
            </w:pPr>
          </w:p>
        </w:tc>
        <w:tc>
          <w:tcPr>
            <w:tcW w:w="2014" w:type="dxa"/>
            <w:gridSpan w:val="2"/>
            <w:tcBorders>
              <w:left w:val="nil"/>
              <w:bottom w:val="single" w:sz="4" w:space="0" w:color="auto"/>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r>
              <w:rPr>
                <w:color w:val="000000"/>
                <w:szCs w:val="24"/>
                <w:lang w:eastAsia="en-GB"/>
              </w:rPr>
              <w:t>1,173</w:t>
            </w:r>
          </w:p>
        </w:tc>
      </w:tr>
      <w:tr w:rsidR="00FC2012" w:rsidRPr="008A5812" w:rsidTr="003269F2">
        <w:trPr>
          <w:gridAfter w:val="5"/>
          <w:wAfter w:w="658" w:type="dxa"/>
          <w:trHeight w:val="120"/>
        </w:trPr>
        <w:tc>
          <w:tcPr>
            <w:tcW w:w="2560" w:type="dxa"/>
            <w:gridSpan w:val="2"/>
            <w:tcBorders>
              <w:top w:val="single" w:sz="4" w:space="0" w:color="auto"/>
              <w:left w:val="nil"/>
              <w:right w:val="nil"/>
            </w:tcBorders>
            <w:shd w:val="clear" w:color="000000" w:fill="FFFFFF"/>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 </w:t>
            </w:r>
          </w:p>
        </w:tc>
        <w:tc>
          <w:tcPr>
            <w:tcW w:w="1280" w:type="dxa"/>
            <w:tcBorders>
              <w:top w:val="single" w:sz="4" w:space="0" w:color="auto"/>
              <w:left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p>
        </w:tc>
        <w:tc>
          <w:tcPr>
            <w:tcW w:w="360" w:type="dxa"/>
            <w:tcBorders>
              <w:top w:val="single" w:sz="4" w:space="0" w:color="auto"/>
              <w:left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p>
        </w:tc>
        <w:tc>
          <w:tcPr>
            <w:tcW w:w="1600" w:type="dxa"/>
            <w:tcBorders>
              <w:top w:val="single" w:sz="4" w:space="0" w:color="auto"/>
              <w:left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p>
        </w:tc>
        <w:tc>
          <w:tcPr>
            <w:tcW w:w="283" w:type="dxa"/>
            <w:tcBorders>
              <w:top w:val="single" w:sz="4" w:space="0" w:color="auto"/>
              <w:left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1280" w:type="dxa"/>
            <w:gridSpan w:val="3"/>
            <w:tcBorders>
              <w:top w:val="single" w:sz="4" w:space="0" w:color="auto"/>
              <w:left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283" w:type="dxa"/>
            <w:tcBorders>
              <w:top w:val="single" w:sz="4" w:space="0" w:color="auto"/>
              <w:left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2167" w:type="dxa"/>
            <w:gridSpan w:val="3"/>
            <w:tcBorders>
              <w:top w:val="single" w:sz="4" w:space="0" w:color="auto"/>
              <w:left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trHeight w:val="496"/>
        </w:trPr>
        <w:tc>
          <w:tcPr>
            <w:tcW w:w="10101" w:type="dxa"/>
            <w:gridSpan w:val="16"/>
            <w:tcBorders>
              <w:top w:val="nil"/>
              <w:left w:val="nil"/>
              <w:bottom w:val="nil"/>
              <w:right w:val="nil"/>
            </w:tcBorders>
            <w:shd w:val="clear" w:color="auto" w:fill="auto"/>
            <w:vAlign w:val="bottom"/>
            <w:hideMark/>
          </w:tcPr>
          <w:p w:rsidR="00FC2012" w:rsidRPr="008A5812" w:rsidRDefault="00FC2012" w:rsidP="003269F2">
            <w:pPr>
              <w:spacing w:line="240" w:lineRule="auto"/>
              <w:jc w:val="both"/>
              <w:rPr>
                <w:color w:val="000000"/>
                <w:szCs w:val="24"/>
                <w:lang w:eastAsia="en-GB"/>
              </w:rPr>
            </w:pPr>
            <w:r w:rsidRPr="008A5812">
              <w:rPr>
                <w:color w:val="000000"/>
                <w:szCs w:val="24"/>
                <w:vertAlign w:val="superscript"/>
                <w:lang w:eastAsia="en-GB"/>
              </w:rPr>
              <w:t>1</w:t>
            </w:r>
            <w:r w:rsidRPr="008A5812">
              <w:rPr>
                <w:color w:val="000000"/>
                <w:szCs w:val="24"/>
                <w:lang w:eastAsia="en-GB"/>
              </w:rPr>
              <w:t xml:space="preserve"> A 'new' Green Deal Plan is after a customer has obtained a quote from a Green Deal Provider and confirmed they wish to proceed. The Green Deal Provider has then successfully requested a Green Deal Plan record prior to signature by the customer.</w:t>
            </w:r>
          </w:p>
        </w:tc>
        <w:tc>
          <w:tcPr>
            <w:tcW w:w="370"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gridAfter w:val="2"/>
          <w:wAfter w:w="370" w:type="dxa"/>
          <w:trHeight w:val="856"/>
        </w:trPr>
        <w:tc>
          <w:tcPr>
            <w:tcW w:w="10101" w:type="dxa"/>
            <w:gridSpan w:val="16"/>
            <w:tcBorders>
              <w:top w:val="nil"/>
              <w:left w:val="nil"/>
              <w:bottom w:val="nil"/>
              <w:right w:val="nil"/>
            </w:tcBorders>
            <w:shd w:val="clear" w:color="auto" w:fill="auto"/>
            <w:vAlign w:val="bottom"/>
            <w:hideMark/>
          </w:tcPr>
          <w:p w:rsidR="00FC2012" w:rsidRPr="008A5812" w:rsidRDefault="00FC2012" w:rsidP="003269F2">
            <w:pPr>
              <w:spacing w:line="240" w:lineRule="auto"/>
              <w:jc w:val="both"/>
              <w:rPr>
                <w:color w:val="000000"/>
                <w:szCs w:val="24"/>
                <w:lang w:eastAsia="en-GB"/>
              </w:rPr>
            </w:pPr>
            <w:r w:rsidRPr="008A5812">
              <w:rPr>
                <w:color w:val="000000"/>
                <w:szCs w:val="24"/>
                <w:vertAlign w:val="superscript"/>
                <w:lang w:eastAsia="en-GB"/>
              </w:rPr>
              <w:t>2</w:t>
            </w:r>
            <w:r w:rsidRPr="008A5812">
              <w:rPr>
                <w:color w:val="000000"/>
                <w:szCs w:val="24"/>
                <w:lang w:eastAsia="en-GB"/>
              </w:rPr>
              <w:t xml:space="preserve"> A 'pending' Green Deal is when a Green Deal Plan has been signed by the customer, progress is being made to install Green Deal Plan measures</w:t>
            </w:r>
            <w:r>
              <w:rPr>
                <w:color w:val="000000"/>
                <w:szCs w:val="24"/>
                <w:lang w:eastAsia="en-GB"/>
              </w:rPr>
              <w:t xml:space="preserve"> (measures are installed during the ‘pending’ stage)</w:t>
            </w:r>
            <w:r w:rsidRPr="008A5812">
              <w:rPr>
                <w:color w:val="000000"/>
                <w:szCs w:val="24"/>
                <w:lang w:eastAsia="en-GB"/>
              </w:rPr>
              <w:t xml:space="preserve"> and the Plan is being finalised so that charging can start.</w:t>
            </w:r>
          </w:p>
        </w:tc>
      </w:tr>
      <w:tr w:rsidR="00FC2012" w:rsidRPr="008A5812" w:rsidTr="003269F2">
        <w:trPr>
          <w:gridAfter w:val="2"/>
          <w:wAfter w:w="370" w:type="dxa"/>
          <w:trHeight w:val="856"/>
        </w:trPr>
        <w:tc>
          <w:tcPr>
            <w:tcW w:w="10101" w:type="dxa"/>
            <w:gridSpan w:val="16"/>
            <w:tcBorders>
              <w:top w:val="nil"/>
              <w:left w:val="nil"/>
              <w:bottom w:val="nil"/>
              <w:right w:val="nil"/>
            </w:tcBorders>
            <w:shd w:val="clear" w:color="auto" w:fill="auto"/>
            <w:vAlign w:val="bottom"/>
          </w:tcPr>
          <w:p w:rsidR="00FC2012" w:rsidRPr="008A5812" w:rsidRDefault="00FC2012" w:rsidP="003269F2">
            <w:pPr>
              <w:spacing w:line="240" w:lineRule="auto"/>
              <w:jc w:val="both"/>
              <w:rPr>
                <w:color w:val="000000"/>
                <w:szCs w:val="24"/>
                <w:vertAlign w:val="superscript"/>
                <w:lang w:eastAsia="en-GB"/>
              </w:rPr>
            </w:pPr>
            <w:r w:rsidRPr="008A5812">
              <w:rPr>
                <w:color w:val="000000"/>
                <w:szCs w:val="24"/>
                <w:vertAlign w:val="superscript"/>
                <w:lang w:eastAsia="en-GB"/>
              </w:rPr>
              <w:t>3</w:t>
            </w:r>
            <w:r w:rsidRPr="008A5812">
              <w:rPr>
                <w:color w:val="000000"/>
                <w:szCs w:val="24"/>
                <w:lang w:eastAsia="en-GB"/>
              </w:rPr>
              <w:t xml:space="preserve"> A 'live' Green Deal Plan is after </w:t>
            </w:r>
            <w:r>
              <w:rPr>
                <w:color w:val="000000"/>
                <w:szCs w:val="24"/>
                <w:lang w:eastAsia="en-GB"/>
              </w:rPr>
              <w:t xml:space="preserve">all </w:t>
            </w:r>
            <w:r w:rsidRPr="008A5812">
              <w:rPr>
                <w:color w:val="000000"/>
                <w:szCs w:val="24"/>
                <w:lang w:eastAsia="en-GB"/>
              </w:rPr>
              <w:t>the measures have been installed in the property, the information required to disclose the Plan to future bill payers has been attached to the Plan and the energy supplier has all the information required to bill Green Deal charges.</w:t>
            </w:r>
          </w:p>
        </w:tc>
      </w:tr>
      <w:tr w:rsidR="00FC2012" w:rsidRPr="008A5812" w:rsidTr="003269F2">
        <w:trPr>
          <w:gridAfter w:val="2"/>
          <w:wAfter w:w="370" w:type="dxa"/>
          <w:trHeight w:val="429"/>
        </w:trPr>
        <w:tc>
          <w:tcPr>
            <w:tcW w:w="10101" w:type="dxa"/>
            <w:gridSpan w:val="16"/>
            <w:tcBorders>
              <w:top w:val="nil"/>
              <w:left w:val="nil"/>
              <w:bottom w:val="nil"/>
              <w:right w:val="nil"/>
            </w:tcBorders>
            <w:shd w:val="clear" w:color="auto" w:fill="auto"/>
            <w:vAlign w:val="bottom"/>
          </w:tcPr>
          <w:p w:rsidR="00FC2012" w:rsidRPr="008A5812" w:rsidRDefault="00FC2012" w:rsidP="003269F2">
            <w:pPr>
              <w:spacing w:after="0" w:line="240" w:lineRule="auto"/>
              <w:jc w:val="both"/>
              <w:rPr>
                <w:color w:val="000000"/>
                <w:szCs w:val="24"/>
                <w:lang w:eastAsia="en-GB"/>
              </w:rPr>
            </w:pPr>
            <w:r w:rsidRPr="008A5812">
              <w:rPr>
                <w:color w:val="000000"/>
                <w:szCs w:val="24"/>
                <w:vertAlign w:val="superscript"/>
                <w:lang w:eastAsia="en-GB"/>
              </w:rPr>
              <w:t>4</w:t>
            </w:r>
            <w:r w:rsidRPr="008A5812">
              <w:rPr>
                <w:color w:val="000000"/>
                <w:szCs w:val="24"/>
                <w:lang w:eastAsia="en-GB"/>
              </w:rPr>
              <w:t xml:space="preserve"> Total Green Deal Plans are the total number of Plan identifiers for unique properties on the Central Charge Database at the end of reporting month.</w:t>
            </w:r>
          </w:p>
          <w:p w:rsidR="00FC2012" w:rsidRPr="008A5812" w:rsidRDefault="00FC2012" w:rsidP="003269F2">
            <w:pPr>
              <w:spacing w:after="0"/>
              <w:jc w:val="both"/>
              <w:rPr>
                <w:color w:val="000000"/>
                <w:szCs w:val="24"/>
              </w:rPr>
            </w:pPr>
          </w:p>
          <w:p w:rsidR="00FC2012" w:rsidRPr="008A5812" w:rsidRDefault="00FC2012" w:rsidP="003269F2">
            <w:pPr>
              <w:spacing w:after="0" w:line="240" w:lineRule="auto"/>
              <w:jc w:val="both"/>
              <w:rPr>
                <w:color w:val="000000"/>
                <w:szCs w:val="24"/>
                <w:vertAlign w:val="superscript"/>
                <w:lang w:eastAsia="en-GB"/>
              </w:rPr>
            </w:pPr>
          </w:p>
          <w:p w:rsidR="00FC2012" w:rsidRPr="008A5812" w:rsidRDefault="00FC2012" w:rsidP="003269F2">
            <w:pPr>
              <w:spacing w:after="0"/>
              <w:rPr>
                <w:szCs w:val="24"/>
                <w:lang w:eastAsia="en-GB"/>
              </w:rPr>
            </w:pPr>
          </w:p>
          <w:p w:rsidR="00FC2012" w:rsidRPr="008A5812" w:rsidRDefault="00FC2012" w:rsidP="003269F2">
            <w:pPr>
              <w:spacing w:after="0"/>
              <w:rPr>
                <w:szCs w:val="24"/>
                <w:lang w:eastAsia="en-GB"/>
              </w:rPr>
            </w:pPr>
          </w:p>
          <w:p w:rsidR="00FC2012" w:rsidRPr="008A5812" w:rsidRDefault="00FC2012" w:rsidP="003269F2">
            <w:pPr>
              <w:spacing w:after="0"/>
              <w:rPr>
                <w:szCs w:val="24"/>
                <w:lang w:eastAsia="en-GB"/>
              </w:rPr>
            </w:pPr>
          </w:p>
          <w:p w:rsidR="00FC2012" w:rsidRPr="008A5812" w:rsidRDefault="00FC2012" w:rsidP="003269F2">
            <w:pPr>
              <w:spacing w:after="0"/>
              <w:rPr>
                <w:szCs w:val="24"/>
                <w:lang w:eastAsia="en-GB"/>
              </w:rPr>
            </w:pPr>
          </w:p>
          <w:p w:rsidR="00FC2012" w:rsidRPr="008A5812" w:rsidRDefault="00FC2012" w:rsidP="003269F2">
            <w:pPr>
              <w:spacing w:after="0"/>
              <w:rPr>
                <w:szCs w:val="24"/>
                <w:lang w:eastAsia="en-GB"/>
              </w:rPr>
            </w:pPr>
          </w:p>
          <w:p w:rsidR="00FC2012" w:rsidRPr="008A5812" w:rsidRDefault="00FC2012" w:rsidP="003269F2">
            <w:pPr>
              <w:spacing w:after="0"/>
              <w:rPr>
                <w:szCs w:val="24"/>
                <w:lang w:eastAsia="en-GB"/>
              </w:rPr>
            </w:pPr>
          </w:p>
          <w:p w:rsidR="00FC2012" w:rsidRPr="008A5812" w:rsidRDefault="00FC2012" w:rsidP="003269F2">
            <w:pPr>
              <w:spacing w:after="0"/>
              <w:rPr>
                <w:szCs w:val="24"/>
                <w:lang w:eastAsia="en-GB"/>
              </w:rPr>
            </w:pPr>
          </w:p>
          <w:p w:rsidR="00FC2012" w:rsidRPr="008A5812" w:rsidRDefault="00FC2012" w:rsidP="003269F2">
            <w:pPr>
              <w:spacing w:after="0"/>
              <w:rPr>
                <w:szCs w:val="24"/>
                <w:lang w:eastAsia="en-GB"/>
              </w:rPr>
            </w:pPr>
          </w:p>
          <w:p w:rsidR="00FC2012" w:rsidRPr="008A5812" w:rsidRDefault="00FC2012" w:rsidP="003269F2">
            <w:pPr>
              <w:spacing w:after="0"/>
              <w:rPr>
                <w:szCs w:val="24"/>
                <w:lang w:eastAsia="en-GB"/>
              </w:rPr>
            </w:pPr>
          </w:p>
          <w:p w:rsidR="00FC2012" w:rsidRPr="008A5812" w:rsidRDefault="00FC2012" w:rsidP="003269F2">
            <w:pPr>
              <w:spacing w:after="0"/>
              <w:rPr>
                <w:szCs w:val="24"/>
                <w:lang w:eastAsia="en-GB"/>
              </w:rPr>
            </w:pPr>
          </w:p>
          <w:p w:rsidR="00FC2012" w:rsidRPr="008A5812" w:rsidRDefault="00FC2012" w:rsidP="003269F2">
            <w:pPr>
              <w:spacing w:after="0"/>
              <w:rPr>
                <w:szCs w:val="24"/>
                <w:lang w:eastAsia="en-GB"/>
              </w:rPr>
            </w:pPr>
          </w:p>
        </w:tc>
      </w:tr>
      <w:tr w:rsidR="00FC2012" w:rsidRPr="00A04888" w:rsidTr="003269F2">
        <w:trPr>
          <w:gridAfter w:val="1"/>
          <w:wAfter w:w="170" w:type="dxa"/>
          <w:trHeight w:val="315"/>
        </w:trPr>
        <w:tc>
          <w:tcPr>
            <w:tcW w:w="10301" w:type="dxa"/>
            <w:gridSpan w:val="17"/>
            <w:tcBorders>
              <w:top w:val="nil"/>
              <w:left w:val="nil"/>
              <w:bottom w:val="nil"/>
              <w:right w:val="nil"/>
            </w:tcBorders>
            <w:shd w:val="clear" w:color="auto" w:fill="auto"/>
            <w:noWrap/>
            <w:vAlign w:val="bottom"/>
            <w:hideMark/>
          </w:tcPr>
          <w:p w:rsidR="00FC2012" w:rsidRDefault="00FC2012" w:rsidP="003269F2">
            <w:pPr>
              <w:spacing w:before="0" w:after="0" w:line="240" w:lineRule="auto"/>
            </w:pPr>
            <w:r>
              <w:br w:type="page"/>
            </w:r>
          </w:p>
          <w:p w:rsidR="00FC2012" w:rsidRPr="00A04888" w:rsidRDefault="00367A43" w:rsidP="003269F2">
            <w:pPr>
              <w:spacing w:before="0" w:after="0" w:line="240" w:lineRule="auto"/>
              <w:rPr>
                <w:b/>
                <w:bCs/>
                <w:color w:val="000000"/>
                <w:szCs w:val="24"/>
                <w:lang w:eastAsia="en-GB"/>
              </w:rPr>
            </w:pPr>
            <w:r>
              <w:rPr>
                <w:b/>
                <w:bCs/>
                <w:color w:val="000000"/>
                <w:szCs w:val="24"/>
                <w:lang w:eastAsia="en-GB"/>
              </w:rPr>
              <w:lastRenderedPageBreak/>
              <w:t>Table 3</w:t>
            </w:r>
            <w:r w:rsidR="00FC2012" w:rsidRPr="00A04888">
              <w:rPr>
                <w:b/>
                <w:bCs/>
                <w:color w:val="000000"/>
                <w:szCs w:val="24"/>
                <w:lang w:eastAsia="en-GB"/>
              </w:rPr>
              <w:t>a: Number of measures installed using Green Deal finance</w:t>
            </w:r>
            <w:r w:rsidR="00FC2012" w:rsidRPr="00A04888">
              <w:rPr>
                <w:b/>
                <w:bCs/>
                <w:color w:val="000000"/>
                <w:szCs w:val="24"/>
                <w:vertAlign w:val="superscript"/>
                <w:lang w:eastAsia="en-GB"/>
              </w:rPr>
              <w:t>1 2</w:t>
            </w:r>
            <w:r w:rsidR="00FC2012" w:rsidRPr="00A04888">
              <w:rPr>
                <w:b/>
                <w:bCs/>
                <w:color w:val="000000"/>
                <w:szCs w:val="24"/>
                <w:lang w:eastAsia="en-GB"/>
              </w:rPr>
              <w:t>, month and cumulative total</w:t>
            </w:r>
            <w:r w:rsidR="00FC2012" w:rsidRPr="004A6290">
              <w:rPr>
                <w:b/>
                <w:bCs/>
                <w:color w:val="000000"/>
                <w:szCs w:val="24"/>
                <w:vertAlign w:val="superscript"/>
                <w:lang w:eastAsia="en-GB"/>
              </w:rPr>
              <w:t>3</w:t>
            </w:r>
            <w:r w:rsidR="00FC2012" w:rsidRPr="00A04888">
              <w:rPr>
                <w:b/>
                <w:bCs/>
                <w:color w:val="000000"/>
                <w:szCs w:val="24"/>
                <w:lang w:eastAsia="en-GB"/>
              </w:rPr>
              <w:t>, by month</w:t>
            </w:r>
            <w:r w:rsidR="00FC2012" w:rsidRPr="00D03891">
              <w:rPr>
                <w:b/>
                <w:bCs/>
                <w:color w:val="000000"/>
                <w:szCs w:val="24"/>
                <w:vertAlign w:val="superscript"/>
                <w:lang w:eastAsia="en-GB"/>
              </w:rPr>
              <w:t>4</w:t>
            </w:r>
          </w:p>
        </w:tc>
      </w:tr>
      <w:tr w:rsidR="00FC2012" w:rsidRPr="00A04888" w:rsidTr="003269F2">
        <w:trPr>
          <w:gridAfter w:val="1"/>
          <w:wAfter w:w="170" w:type="dxa"/>
          <w:trHeight w:val="255"/>
        </w:trPr>
        <w:tc>
          <w:tcPr>
            <w:tcW w:w="2425" w:type="dxa"/>
            <w:tcBorders>
              <w:top w:val="nil"/>
              <w:left w:val="nil"/>
              <w:bottom w:val="single" w:sz="4" w:space="0" w:color="auto"/>
              <w:right w:val="nil"/>
            </w:tcBorders>
            <w:shd w:val="clear" w:color="auto" w:fill="auto"/>
            <w:noWrap/>
            <w:vAlign w:val="bottom"/>
            <w:hideMark/>
          </w:tcPr>
          <w:p w:rsidR="00FC2012" w:rsidRPr="00A04888" w:rsidRDefault="00FC2012" w:rsidP="003269F2">
            <w:pPr>
              <w:spacing w:before="0" w:line="240" w:lineRule="auto"/>
              <w:rPr>
                <w:color w:val="000000"/>
                <w:szCs w:val="24"/>
                <w:lang w:eastAsia="en-GB"/>
              </w:rPr>
            </w:pPr>
            <w:r w:rsidRPr="00A04888">
              <w:rPr>
                <w:color w:val="000000"/>
                <w:szCs w:val="24"/>
                <w:lang w:eastAsia="en-GB"/>
              </w:rPr>
              <w:lastRenderedPageBreak/>
              <w:t> </w:t>
            </w:r>
          </w:p>
        </w:tc>
        <w:tc>
          <w:tcPr>
            <w:tcW w:w="3740" w:type="dxa"/>
            <w:gridSpan w:val="6"/>
            <w:tcBorders>
              <w:top w:val="nil"/>
              <w:left w:val="nil"/>
              <w:bottom w:val="single" w:sz="4" w:space="0" w:color="auto"/>
              <w:right w:val="nil"/>
            </w:tcBorders>
            <w:shd w:val="clear" w:color="auto" w:fill="auto"/>
            <w:noWrap/>
            <w:vAlign w:val="bottom"/>
            <w:hideMark/>
          </w:tcPr>
          <w:p w:rsidR="00FC2012" w:rsidRPr="00A04888" w:rsidRDefault="00FC2012" w:rsidP="003269F2">
            <w:pPr>
              <w:spacing w:before="0" w:line="240" w:lineRule="auto"/>
              <w:rPr>
                <w:color w:val="000000"/>
                <w:szCs w:val="24"/>
                <w:lang w:eastAsia="en-GB"/>
              </w:rPr>
            </w:pPr>
            <w:r w:rsidRPr="00A04888">
              <w:rPr>
                <w:color w:val="000000"/>
                <w:szCs w:val="24"/>
                <w:lang w:eastAsia="en-GB"/>
              </w:rPr>
              <w:t> </w:t>
            </w:r>
          </w:p>
        </w:tc>
        <w:tc>
          <w:tcPr>
            <w:tcW w:w="887" w:type="dxa"/>
            <w:tcBorders>
              <w:top w:val="nil"/>
              <w:left w:val="nil"/>
              <w:bottom w:val="single" w:sz="4" w:space="0" w:color="auto"/>
              <w:right w:val="nil"/>
            </w:tcBorders>
            <w:shd w:val="clear" w:color="auto" w:fill="auto"/>
            <w:noWrap/>
            <w:vAlign w:val="bottom"/>
            <w:hideMark/>
          </w:tcPr>
          <w:p w:rsidR="00FC2012" w:rsidRPr="00A04888" w:rsidRDefault="00FC2012" w:rsidP="003269F2">
            <w:pPr>
              <w:spacing w:before="0" w:line="240" w:lineRule="auto"/>
              <w:rPr>
                <w:color w:val="000000"/>
                <w:szCs w:val="24"/>
                <w:lang w:eastAsia="en-GB"/>
              </w:rPr>
            </w:pPr>
            <w:r w:rsidRPr="00A04888">
              <w:rPr>
                <w:color w:val="000000"/>
                <w:szCs w:val="24"/>
                <w:lang w:eastAsia="en-GB"/>
              </w:rPr>
              <w:t> </w:t>
            </w:r>
          </w:p>
        </w:tc>
        <w:tc>
          <w:tcPr>
            <w:tcW w:w="2035" w:type="dxa"/>
            <w:gridSpan w:val="3"/>
            <w:tcBorders>
              <w:top w:val="nil"/>
              <w:left w:val="nil"/>
              <w:bottom w:val="single" w:sz="4" w:space="0" w:color="auto"/>
              <w:right w:val="nil"/>
            </w:tcBorders>
            <w:shd w:val="clear" w:color="auto" w:fill="auto"/>
            <w:noWrap/>
            <w:vAlign w:val="bottom"/>
            <w:hideMark/>
          </w:tcPr>
          <w:p w:rsidR="00FC2012" w:rsidRPr="00A04888" w:rsidRDefault="00FC2012" w:rsidP="003269F2">
            <w:pPr>
              <w:spacing w:before="0" w:line="240" w:lineRule="auto"/>
              <w:rPr>
                <w:color w:val="000000"/>
                <w:szCs w:val="24"/>
                <w:lang w:eastAsia="en-GB"/>
              </w:rPr>
            </w:pPr>
            <w:r w:rsidRPr="00A04888">
              <w:rPr>
                <w:color w:val="000000"/>
                <w:szCs w:val="24"/>
                <w:lang w:eastAsia="en-GB"/>
              </w:rPr>
              <w:t> </w:t>
            </w:r>
          </w:p>
        </w:tc>
        <w:tc>
          <w:tcPr>
            <w:tcW w:w="1214" w:type="dxa"/>
            <w:gridSpan w:val="6"/>
            <w:tcBorders>
              <w:top w:val="nil"/>
              <w:left w:val="nil"/>
              <w:bottom w:val="nil"/>
              <w:right w:val="nil"/>
            </w:tcBorders>
            <w:shd w:val="clear" w:color="auto" w:fill="auto"/>
            <w:noWrap/>
            <w:vAlign w:val="bottom"/>
            <w:hideMark/>
          </w:tcPr>
          <w:p w:rsidR="00FC2012" w:rsidRPr="00A04888" w:rsidRDefault="00FC2012" w:rsidP="003269F2">
            <w:pPr>
              <w:spacing w:before="0" w:after="0" w:line="240" w:lineRule="auto"/>
              <w:rPr>
                <w:color w:val="000000"/>
                <w:sz w:val="20"/>
                <w:lang w:eastAsia="en-GB"/>
              </w:rPr>
            </w:pPr>
          </w:p>
        </w:tc>
      </w:tr>
      <w:tr w:rsidR="00FC2012" w:rsidRPr="00A04888" w:rsidTr="003269F2">
        <w:trPr>
          <w:gridAfter w:val="1"/>
          <w:wAfter w:w="170" w:type="dxa"/>
          <w:trHeight w:val="255"/>
        </w:trPr>
        <w:tc>
          <w:tcPr>
            <w:tcW w:w="2425" w:type="dxa"/>
            <w:tcBorders>
              <w:top w:val="nil"/>
              <w:left w:val="nil"/>
              <w:bottom w:val="nil"/>
              <w:right w:val="nil"/>
            </w:tcBorders>
            <w:shd w:val="clear" w:color="auto" w:fill="auto"/>
            <w:noWrap/>
            <w:vAlign w:val="bottom"/>
            <w:hideMark/>
          </w:tcPr>
          <w:p w:rsidR="00FC2012" w:rsidRPr="00A04888" w:rsidRDefault="00FC2012" w:rsidP="003269F2">
            <w:pPr>
              <w:spacing w:before="0" w:line="240" w:lineRule="auto"/>
              <w:rPr>
                <w:color w:val="000000"/>
                <w:szCs w:val="24"/>
                <w:lang w:eastAsia="en-GB"/>
              </w:rPr>
            </w:pPr>
          </w:p>
        </w:tc>
        <w:tc>
          <w:tcPr>
            <w:tcW w:w="3740" w:type="dxa"/>
            <w:gridSpan w:val="6"/>
            <w:tcBorders>
              <w:top w:val="nil"/>
              <w:left w:val="nil"/>
              <w:bottom w:val="single" w:sz="4" w:space="0" w:color="auto"/>
              <w:right w:val="nil"/>
            </w:tcBorders>
            <w:shd w:val="clear" w:color="auto" w:fill="auto"/>
            <w:noWrap/>
            <w:vAlign w:val="bottom"/>
            <w:hideMark/>
          </w:tcPr>
          <w:p w:rsidR="00FC2012" w:rsidRPr="00A04888" w:rsidRDefault="00FC2012" w:rsidP="003269F2">
            <w:pPr>
              <w:spacing w:before="0" w:line="240" w:lineRule="auto"/>
              <w:jc w:val="right"/>
              <w:rPr>
                <w:color w:val="000000"/>
                <w:szCs w:val="24"/>
                <w:lang w:eastAsia="en-GB"/>
              </w:rPr>
            </w:pPr>
            <w:r w:rsidRPr="00A04888">
              <w:rPr>
                <w:color w:val="000000"/>
                <w:szCs w:val="24"/>
                <w:lang w:eastAsia="en-GB"/>
              </w:rPr>
              <w:t>Total in Month</w:t>
            </w:r>
          </w:p>
        </w:tc>
        <w:tc>
          <w:tcPr>
            <w:tcW w:w="887" w:type="dxa"/>
            <w:tcBorders>
              <w:top w:val="nil"/>
              <w:left w:val="nil"/>
              <w:bottom w:val="single" w:sz="4" w:space="0" w:color="auto"/>
              <w:right w:val="nil"/>
            </w:tcBorders>
            <w:shd w:val="clear" w:color="auto" w:fill="auto"/>
            <w:noWrap/>
            <w:vAlign w:val="bottom"/>
            <w:hideMark/>
          </w:tcPr>
          <w:p w:rsidR="00FC2012" w:rsidRPr="00A04888" w:rsidRDefault="00FC2012" w:rsidP="003269F2">
            <w:pPr>
              <w:spacing w:before="0" w:line="240" w:lineRule="auto"/>
              <w:rPr>
                <w:color w:val="000000"/>
                <w:szCs w:val="24"/>
                <w:lang w:eastAsia="en-GB"/>
              </w:rPr>
            </w:pPr>
            <w:r w:rsidRPr="00A04888">
              <w:rPr>
                <w:color w:val="000000"/>
                <w:szCs w:val="24"/>
                <w:lang w:eastAsia="en-GB"/>
              </w:rPr>
              <w:t> </w:t>
            </w:r>
          </w:p>
        </w:tc>
        <w:tc>
          <w:tcPr>
            <w:tcW w:w="2035" w:type="dxa"/>
            <w:gridSpan w:val="3"/>
            <w:tcBorders>
              <w:top w:val="nil"/>
              <w:left w:val="nil"/>
              <w:bottom w:val="single" w:sz="4" w:space="0" w:color="auto"/>
              <w:right w:val="nil"/>
            </w:tcBorders>
            <w:shd w:val="clear" w:color="auto" w:fill="auto"/>
            <w:noWrap/>
            <w:vAlign w:val="bottom"/>
            <w:hideMark/>
          </w:tcPr>
          <w:p w:rsidR="00FC2012" w:rsidRPr="00A04888" w:rsidRDefault="00FC2012" w:rsidP="003269F2">
            <w:pPr>
              <w:spacing w:before="0" w:line="240" w:lineRule="auto"/>
              <w:jc w:val="right"/>
              <w:rPr>
                <w:color w:val="000000"/>
                <w:szCs w:val="24"/>
                <w:lang w:eastAsia="en-GB"/>
              </w:rPr>
            </w:pPr>
            <w:r w:rsidRPr="00A04888">
              <w:rPr>
                <w:color w:val="000000"/>
                <w:szCs w:val="24"/>
                <w:lang w:eastAsia="en-GB"/>
              </w:rPr>
              <w:t>Cumulative Total</w:t>
            </w:r>
          </w:p>
        </w:tc>
        <w:tc>
          <w:tcPr>
            <w:tcW w:w="1214" w:type="dxa"/>
            <w:gridSpan w:val="6"/>
            <w:tcBorders>
              <w:top w:val="nil"/>
              <w:left w:val="nil"/>
              <w:bottom w:val="nil"/>
              <w:right w:val="nil"/>
            </w:tcBorders>
            <w:shd w:val="clear" w:color="auto" w:fill="auto"/>
            <w:noWrap/>
            <w:vAlign w:val="bottom"/>
            <w:hideMark/>
          </w:tcPr>
          <w:p w:rsidR="00FC2012" w:rsidRPr="00A04888" w:rsidRDefault="00FC2012" w:rsidP="003269F2">
            <w:pPr>
              <w:spacing w:before="0" w:after="0" w:line="240" w:lineRule="auto"/>
              <w:rPr>
                <w:color w:val="000000"/>
                <w:sz w:val="20"/>
                <w:lang w:eastAsia="en-GB"/>
              </w:rPr>
            </w:pPr>
          </w:p>
        </w:tc>
      </w:tr>
      <w:tr w:rsidR="00FC2012" w:rsidRPr="00A04888" w:rsidTr="003269F2">
        <w:trPr>
          <w:gridAfter w:val="1"/>
          <w:wAfter w:w="170" w:type="dxa"/>
          <w:trHeight w:val="555"/>
        </w:trPr>
        <w:tc>
          <w:tcPr>
            <w:tcW w:w="2425" w:type="dxa"/>
            <w:tcBorders>
              <w:top w:val="single" w:sz="4" w:space="0" w:color="auto"/>
              <w:left w:val="nil"/>
              <w:bottom w:val="single" w:sz="4" w:space="0" w:color="auto"/>
              <w:right w:val="nil"/>
            </w:tcBorders>
            <w:shd w:val="clear" w:color="auto" w:fill="auto"/>
            <w:noWrap/>
            <w:vAlign w:val="center"/>
            <w:hideMark/>
          </w:tcPr>
          <w:p w:rsidR="00FC2012" w:rsidRPr="00A04888" w:rsidRDefault="00FC2012" w:rsidP="003269F2">
            <w:pPr>
              <w:spacing w:before="0" w:line="240" w:lineRule="auto"/>
              <w:rPr>
                <w:color w:val="000000"/>
                <w:szCs w:val="24"/>
                <w:lang w:eastAsia="en-GB"/>
              </w:rPr>
            </w:pPr>
            <w:r>
              <w:rPr>
                <w:color w:val="000000"/>
                <w:szCs w:val="24"/>
                <w:lang w:eastAsia="en-GB"/>
              </w:rPr>
              <w:t xml:space="preserve">Installation </w:t>
            </w:r>
            <w:r w:rsidRPr="00A04888">
              <w:rPr>
                <w:color w:val="000000"/>
                <w:szCs w:val="24"/>
                <w:lang w:eastAsia="en-GB"/>
              </w:rPr>
              <w:t>Month</w:t>
            </w:r>
          </w:p>
        </w:tc>
        <w:tc>
          <w:tcPr>
            <w:tcW w:w="3740" w:type="dxa"/>
            <w:gridSpan w:val="6"/>
            <w:tcBorders>
              <w:top w:val="nil"/>
              <w:left w:val="nil"/>
              <w:bottom w:val="single" w:sz="4" w:space="0" w:color="auto"/>
              <w:right w:val="nil"/>
            </w:tcBorders>
            <w:shd w:val="clear" w:color="auto" w:fill="auto"/>
            <w:vAlign w:val="bottom"/>
            <w:hideMark/>
          </w:tcPr>
          <w:p w:rsidR="00FC2012" w:rsidRPr="00A04888" w:rsidRDefault="00FC2012" w:rsidP="003269F2">
            <w:pPr>
              <w:spacing w:before="0" w:line="240" w:lineRule="auto"/>
              <w:jc w:val="right"/>
              <w:rPr>
                <w:color w:val="000000"/>
                <w:szCs w:val="24"/>
                <w:lang w:eastAsia="en-GB"/>
              </w:rPr>
            </w:pPr>
            <w:r w:rsidRPr="00A04888">
              <w:rPr>
                <w:color w:val="000000"/>
                <w:szCs w:val="24"/>
                <w:lang w:eastAsia="en-GB"/>
              </w:rPr>
              <w:t xml:space="preserve">Green Deal </w:t>
            </w:r>
            <w:r>
              <w:rPr>
                <w:color w:val="000000"/>
                <w:szCs w:val="24"/>
                <w:lang w:eastAsia="en-GB"/>
              </w:rPr>
              <w:br/>
            </w:r>
            <w:r w:rsidRPr="00A04888">
              <w:rPr>
                <w:color w:val="000000"/>
                <w:szCs w:val="24"/>
                <w:lang w:eastAsia="en-GB"/>
              </w:rPr>
              <w:t>Measures</w:t>
            </w:r>
          </w:p>
        </w:tc>
        <w:tc>
          <w:tcPr>
            <w:tcW w:w="887" w:type="dxa"/>
            <w:tcBorders>
              <w:top w:val="nil"/>
              <w:left w:val="nil"/>
              <w:bottom w:val="single" w:sz="4" w:space="0" w:color="auto"/>
              <w:right w:val="nil"/>
            </w:tcBorders>
            <w:shd w:val="clear" w:color="auto" w:fill="auto"/>
            <w:vAlign w:val="bottom"/>
            <w:hideMark/>
          </w:tcPr>
          <w:p w:rsidR="00FC2012" w:rsidRPr="00A04888" w:rsidRDefault="00FC2012" w:rsidP="003269F2">
            <w:pPr>
              <w:spacing w:before="0" w:line="240" w:lineRule="auto"/>
              <w:jc w:val="right"/>
              <w:rPr>
                <w:color w:val="000000"/>
                <w:szCs w:val="24"/>
                <w:lang w:eastAsia="en-GB"/>
              </w:rPr>
            </w:pPr>
            <w:r w:rsidRPr="00A04888">
              <w:rPr>
                <w:color w:val="000000"/>
                <w:szCs w:val="24"/>
                <w:lang w:eastAsia="en-GB"/>
              </w:rPr>
              <w:t> </w:t>
            </w:r>
          </w:p>
        </w:tc>
        <w:tc>
          <w:tcPr>
            <w:tcW w:w="2035" w:type="dxa"/>
            <w:gridSpan w:val="3"/>
            <w:tcBorders>
              <w:top w:val="nil"/>
              <w:left w:val="nil"/>
              <w:bottom w:val="single" w:sz="4" w:space="0" w:color="auto"/>
              <w:right w:val="nil"/>
            </w:tcBorders>
            <w:shd w:val="clear" w:color="auto" w:fill="auto"/>
            <w:vAlign w:val="bottom"/>
            <w:hideMark/>
          </w:tcPr>
          <w:p w:rsidR="00FC2012" w:rsidRPr="00A04888" w:rsidRDefault="00FC2012" w:rsidP="003269F2">
            <w:pPr>
              <w:spacing w:before="0" w:line="240" w:lineRule="auto"/>
              <w:jc w:val="right"/>
              <w:rPr>
                <w:color w:val="000000"/>
                <w:szCs w:val="24"/>
                <w:lang w:eastAsia="en-GB"/>
              </w:rPr>
            </w:pPr>
            <w:r w:rsidRPr="00A04888">
              <w:rPr>
                <w:color w:val="000000"/>
                <w:szCs w:val="24"/>
                <w:lang w:eastAsia="en-GB"/>
              </w:rPr>
              <w:t>Green Deal Measures</w:t>
            </w:r>
          </w:p>
        </w:tc>
        <w:tc>
          <w:tcPr>
            <w:tcW w:w="1214" w:type="dxa"/>
            <w:gridSpan w:val="6"/>
            <w:tcBorders>
              <w:top w:val="nil"/>
              <w:left w:val="nil"/>
              <w:bottom w:val="nil"/>
              <w:right w:val="nil"/>
            </w:tcBorders>
            <w:shd w:val="clear" w:color="auto" w:fill="auto"/>
            <w:noWrap/>
            <w:vAlign w:val="bottom"/>
            <w:hideMark/>
          </w:tcPr>
          <w:p w:rsidR="00FC2012" w:rsidRPr="00A04888" w:rsidRDefault="00FC2012" w:rsidP="003269F2">
            <w:pPr>
              <w:spacing w:before="0" w:after="0" w:line="240" w:lineRule="auto"/>
              <w:rPr>
                <w:color w:val="000000"/>
                <w:sz w:val="20"/>
                <w:lang w:eastAsia="en-GB"/>
              </w:rPr>
            </w:pPr>
          </w:p>
        </w:tc>
      </w:tr>
      <w:tr w:rsidR="00FC2012" w:rsidRPr="00A04888" w:rsidTr="003269F2">
        <w:trPr>
          <w:gridAfter w:val="1"/>
          <w:wAfter w:w="170" w:type="dxa"/>
          <w:trHeight w:val="255"/>
        </w:trPr>
        <w:tc>
          <w:tcPr>
            <w:tcW w:w="2425" w:type="dxa"/>
            <w:tcBorders>
              <w:top w:val="nil"/>
              <w:left w:val="nil"/>
              <w:bottom w:val="nil"/>
              <w:right w:val="nil"/>
            </w:tcBorders>
            <w:shd w:val="clear" w:color="000000" w:fill="FFFFFF"/>
            <w:noWrap/>
            <w:vAlign w:val="bottom"/>
            <w:hideMark/>
          </w:tcPr>
          <w:p w:rsidR="00FC2012" w:rsidRPr="00A04888" w:rsidRDefault="00FC2012" w:rsidP="003269F2">
            <w:pPr>
              <w:spacing w:before="0" w:line="240" w:lineRule="auto"/>
              <w:rPr>
                <w:color w:val="000000"/>
                <w:szCs w:val="24"/>
                <w:lang w:eastAsia="en-GB"/>
              </w:rPr>
            </w:pPr>
            <w:r w:rsidRPr="00A04888">
              <w:rPr>
                <w:color w:val="000000"/>
                <w:szCs w:val="24"/>
                <w:lang w:eastAsia="en-GB"/>
              </w:rPr>
              <w:t>June 2013</w:t>
            </w:r>
          </w:p>
        </w:tc>
        <w:tc>
          <w:tcPr>
            <w:tcW w:w="3740" w:type="dxa"/>
            <w:gridSpan w:val="6"/>
            <w:tcBorders>
              <w:top w:val="nil"/>
              <w:left w:val="nil"/>
              <w:bottom w:val="nil"/>
              <w:right w:val="nil"/>
            </w:tcBorders>
            <w:shd w:val="clear" w:color="auto" w:fill="auto"/>
            <w:noWrap/>
            <w:vAlign w:val="bottom"/>
            <w:hideMark/>
          </w:tcPr>
          <w:p w:rsidR="00FC2012" w:rsidRPr="00A04888" w:rsidRDefault="00FC2012" w:rsidP="003269F2">
            <w:pPr>
              <w:spacing w:before="0" w:line="240" w:lineRule="auto"/>
              <w:jc w:val="right"/>
              <w:rPr>
                <w:color w:val="000000"/>
                <w:szCs w:val="24"/>
                <w:lang w:eastAsia="en-GB"/>
              </w:rPr>
            </w:pPr>
            <w:r w:rsidRPr="00A04888">
              <w:rPr>
                <w:color w:val="000000"/>
                <w:szCs w:val="24"/>
                <w:lang w:eastAsia="en-GB"/>
              </w:rPr>
              <w:t>5</w:t>
            </w:r>
          </w:p>
        </w:tc>
        <w:tc>
          <w:tcPr>
            <w:tcW w:w="887" w:type="dxa"/>
            <w:tcBorders>
              <w:top w:val="nil"/>
              <w:left w:val="nil"/>
              <w:bottom w:val="nil"/>
              <w:right w:val="nil"/>
            </w:tcBorders>
            <w:shd w:val="clear" w:color="auto" w:fill="auto"/>
            <w:noWrap/>
            <w:vAlign w:val="bottom"/>
            <w:hideMark/>
          </w:tcPr>
          <w:p w:rsidR="00FC2012" w:rsidRPr="00A04888" w:rsidRDefault="00FC2012" w:rsidP="003269F2">
            <w:pPr>
              <w:spacing w:before="0" w:line="240" w:lineRule="auto"/>
              <w:rPr>
                <w:color w:val="000000"/>
                <w:szCs w:val="24"/>
                <w:lang w:eastAsia="en-GB"/>
              </w:rPr>
            </w:pPr>
          </w:p>
        </w:tc>
        <w:tc>
          <w:tcPr>
            <w:tcW w:w="2035" w:type="dxa"/>
            <w:gridSpan w:val="3"/>
            <w:tcBorders>
              <w:top w:val="nil"/>
              <w:left w:val="nil"/>
              <w:bottom w:val="nil"/>
              <w:right w:val="nil"/>
            </w:tcBorders>
            <w:shd w:val="clear" w:color="auto" w:fill="auto"/>
            <w:noWrap/>
            <w:vAlign w:val="bottom"/>
            <w:hideMark/>
          </w:tcPr>
          <w:p w:rsidR="00FC2012" w:rsidRPr="00A04888" w:rsidRDefault="00FC2012" w:rsidP="003269F2">
            <w:pPr>
              <w:spacing w:before="0" w:line="240" w:lineRule="auto"/>
              <w:jc w:val="right"/>
              <w:rPr>
                <w:color w:val="000000"/>
                <w:szCs w:val="24"/>
                <w:lang w:eastAsia="en-GB"/>
              </w:rPr>
            </w:pPr>
            <w:r w:rsidRPr="00A04888">
              <w:rPr>
                <w:color w:val="000000"/>
                <w:szCs w:val="24"/>
                <w:lang w:eastAsia="en-GB"/>
              </w:rPr>
              <w:t>5</w:t>
            </w:r>
          </w:p>
        </w:tc>
        <w:tc>
          <w:tcPr>
            <w:tcW w:w="1214" w:type="dxa"/>
            <w:gridSpan w:val="6"/>
            <w:tcBorders>
              <w:top w:val="nil"/>
              <w:left w:val="nil"/>
              <w:bottom w:val="nil"/>
              <w:right w:val="nil"/>
            </w:tcBorders>
            <w:shd w:val="clear" w:color="auto" w:fill="auto"/>
            <w:noWrap/>
            <w:vAlign w:val="bottom"/>
            <w:hideMark/>
          </w:tcPr>
          <w:p w:rsidR="00FC2012" w:rsidRPr="00A04888" w:rsidRDefault="00FC2012" w:rsidP="003269F2">
            <w:pPr>
              <w:spacing w:before="0" w:after="0" w:line="240" w:lineRule="auto"/>
              <w:rPr>
                <w:color w:val="000000"/>
                <w:sz w:val="20"/>
                <w:lang w:eastAsia="en-GB"/>
              </w:rPr>
            </w:pPr>
          </w:p>
        </w:tc>
      </w:tr>
      <w:tr w:rsidR="00FC2012" w:rsidRPr="00A04888" w:rsidTr="003269F2">
        <w:trPr>
          <w:gridAfter w:val="1"/>
          <w:wAfter w:w="170" w:type="dxa"/>
          <w:trHeight w:val="255"/>
        </w:trPr>
        <w:tc>
          <w:tcPr>
            <w:tcW w:w="2425" w:type="dxa"/>
            <w:tcBorders>
              <w:top w:val="nil"/>
              <w:left w:val="nil"/>
              <w:bottom w:val="nil"/>
              <w:right w:val="nil"/>
            </w:tcBorders>
            <w:shd w:val="clear" w:color="000000" w:fill="FFFFFF"/>
            <w:noWrap/>
            <w:vAlign w:val="bottom"/>
            <w:hideMark/>
          </w:tcPr>
          <w:p w:rsidR="00FC2012" w:rsidRPr="00A04888" w:rsidRDefault="00FC2012" w:rsidP="003269F2">
            <w:pPr>
              <w:spacing w:before="0" w:line="240" w:lineRule="auto"/>
              <w:rPr>
                <w:color w:val="000000"/>
                <w:szCs w:val="24"/>
                <w:lang w:eastAsia="en-GB"/>
              </w:rPr>
            </w:pPr>
            <w:r w:rsidRPr="00A04888">
              <w:rPr>
                <w:color w:val="000000"/>
                <w:szCs w:val="24"/>
                <w:lang w:eastAsia="en-GB"/>
              </w:rPr>
              <w:t>July 2013</w:t>
            </w:r>
          </w:p>
        </w:tc>
        <w:tc>
          <w:tcPr>
            <w:tcW w:w="3740" w:type="dxa"/>
            <w:gridSpan w:val="6"/>
            <w:tcBorders>
              <w:top w:val="nil"/>
              <w:left w:val="nil"/>
              <w:bottom w:val="nil"/>
              <w:right w:val="nil"/>
            </w:tcBorders>
            <w:shd w:val="clear" w:color="auto" w:fill="auto"/>
            <w:noWrap/>
            <w:vAlign w:val="bottom"/>
            <w:hideMark/>
          </w:tcPr>
          <w:p w:rsidR="00FC2012" w:rsidRPr="00A04888" w:rsidRDefault="00FC2012" w:rsidP="003269F2">
            <w:pPr>
              <w:spacing w:before="0" w:line="240" w:lineRule="auto"/>
              <w:jc w:val="right"/>
              <w:rPr>
                <w:color w:val="000000"/>
                <w:szCs w:val="24"/>
                <w:lang w:eastAsia="en-GB"/>
              </w:rPr>
            </w:pPr>
            <w:r w:rsidRPr="00A04888">
              <w:rPr>
                <w:color w:val="000000"/>
                <w:szCs w:val="24"/>
                <w:lang w:eastAsia="en-GB"/>
              </w:rPr>
              <w:t>7</w:t>
            </w:r>
          </w:p>
        </w:tc>
        <w:tc>
          <w:tcPr>
            <w:tcW w:w="887" w:type="dxa"/>
            <w:tcBorders>
              <w:top w:val="nil"/>
              <w:left w:val="nil"/>
              <w:bottom w:val="nil"/>
              <w:right w:val="nil"/>
            </w:tcBorders>
            <w:shd w:val="clear" w:color="auto" w:fill="auto"/>
            <w:noWrap/>
            <w:vAlign w:val="bottom"/>
            <w:hideMark/>
          </w:tcPr>
          <w:p w:rsidR="00FC2012" w:rsidRPr="00A04888" w:rsidRDefault="00FC2012" w:rsidP="003269F2">
            <w:pPr>
              <w:spacing w:before="0" w:line="240" w:lineRule="auto"/>
              <w:rPr>
                <w:color w:val="000000"/>
                <w:szCs w:val="24"/>
                <w:lang w:eastAsia="en-GB"/>
              </w:rPr>
            </w:pPr>
          </w:p>
        </w:tc>
        <w:tc>
          <w:tcPr>
            <w:tcW w:w="2035" w:type="dxa"/>
            <w:gridSpan w:val="3"/>
            <w:tcBorders>
              <w:top w:val="nil"/>
              <w:left w:val="nil"/>
              <w:bottom w:val="nil"/>
              <w:right w:val="nil"/>
            </w:tcBorders>
            <w:shd w:val="clear" w:color="auto" w:fill="auto"/>
            <w:noWrap/>
            <w:vAlign w:val="bottom"/>
            <w:hideMark/>
          </w:tcPr>
          <w:p w:rsidR="00FC2012" w:rsidRPr="00A04888" w:rsidRDefault="00FC2012" w:rsidP="003269F2">
            <w:pPr>
              <w:spacing w:before="0" w:line="240" w:lineRule="auto"/>
              <w:jc w:val="right"/>
              <w:rPr>
                <w:color w:val="000000"/>
                <w:szCs w:val="24"/>
                <w:lang w:eastAsia="en-GB"/>
              </w:rPr>
            </w:pPr>
            <w:r w:rsidRPr="00A04888">
              <w:rPr>
                <w:color w:val="000000"/>
                <w:szCs w:val="24"/>
                <w:lang w:eastAsia="en-GB"/>
              </w:rPr>
              <w:t>12</w:t>
            </w:r>
          </w:p>
        </w:tc>
        <w:tc>
          <w:tcPr>
            <w:tcW w:w="1214" w:type="dxa"/>
            <w:gridSpan w:val="6"/>
            <w:tcBorders>
              <w:top w:val="nil"/>
              <w:left w:val="nil"/>
              <w:bottom w:val="nil"/>
              <w:right w:val="nil"/>
            </w:tcBorders>
            <w:shd w:val="clear" w:color="auto" w:fill="auto"/>
            <w:noWrap/>
            <w:vAlign w:val="bottom"/>
            <w:hideMark/>
          </w:tcPr>
          <w:p w:rsidR="00FC2012" w:rsidRPr="00A04888" w:rsidRDefault="00FC2012" w:rsidP="003269F2">
            <w:pPr>
              <w:spacing w:before="0" w:after="0" w:line="240" w:lineRule="auto"/>
              <w:rPr>
                <w:color w:val="000000"/>
                <w:sz w:val="20"/>
                <w:lang w:eastAsia="en-GB"/>
              </w:rPr>
            </w:pPr>
          </w:p>
        </w:tc>
      </w:tr>
      <w:tr w:rsidR="00FC2012" w:rsidRPr="00A04888" w:rsidTr="003269F2">
        <w:trPr>
          <w:gridAfter w:val="1"/>
          <w:wAfter w:w="170" w:type="dxa"/>
          <w:trHeight w:val="255"/>
        </w:trPr>
        <w:tc>
          <w:tcPr>
            <w:tcW w:w="2425" w:type="dxa"/>
            <w:tcBorders>
              <w:top w:val="nil"/>
              <w:left w:val="nil"/>
              <w:bottom w:val="nil"/>
              <w:right w:val="nil"/>
            </w:tcBorders>
            <w:shd w:val="clear" w:color="000000" w:fill="FFFFFF"/>
            <w:noWrap/>
            <w:vAlign w:val="bottom"/>
            <w:hideMark/>
          </w:tcPr>
          <w:p w:rsidR="00FC2012" w:rsidRPr="00A04888" w:rsidRDefault="00FC2012" w:rsidP="003269F2">
            <w:pPr>
              <w:spacing w:before="0" w:line="240" w:lineRule="auto"/>
              <w:rPr>
                <w:color w:val="000000"/>
                <w:szCs w:val="24"/>
                <w:lang w:eastAsia="en-GB"/>
              </w:rPr>
            </w:pPr>
            <w:r w:rsidRPr="00A04888">
              <w:rPr>
                <w:color w:val="000000"/>
                <w:szCs w:val="24"/>
                <w:lang w:eastAsia="en-GB"/>
              </w:rPr>
              <w:t>August 2013</w:t>
            </w:r>
          </w:p>
        </w:tc>
        <w:tc>
          <w:tcPr>
            <w:tcW w:w="3740" w:type="dxa"/>
            <w:gridSpan w:val="6"/>
            <w:tcBorders>
              <w:top w:val="nil"/>
              <w:left w:val="nil"/>
              <w:bottom w:val="nil"/>
              <w:right w:val="nil"/>
            </w:tcBorders>
            <w:shd w:val="clear" w:color="auto" w:fill="auto"/>
            <w:noWrap/>
            <w:vAlign w:val="bottom"/>
            <w:hideMark/>
          </w:tcPr>
          <w:p w:rsidR="00FC2012" w:rsidRPr="00A04888" w:rsidRDefault="00FC2012" w:rsidP="003269F2">
            <w:pPr>
              <w:spacing w:before="0" w:line="240" w:lineRule="auto"/>
              <w:jc w:val="right"/>
              <w:rPr>
                <w:color w:val="000000"/>
                <w:szCs w:val="24"/>
                <w:lang w:eastAsia="en-GB"/>
              </w:rPr>
            </w:pPr>
            <w:r w:rsidRPr="00A04888">
              <w:rPr>
                <w:color w:val="000000"/>
                <w:szCs w:val="24"/>
                <w:lang w:eastAsia="en-GB"/>
              </w:rPr>
              <w:t>111</w:t>
            </w:r>
          </w:p>
        </w:tc>
        <w:tc>
          <w:tcPr>
            <w:tcW w:w="887" w:type="dxa"/>
            <w:tcBorders>
              <w:top w:val="nil"/>
              <w:left w:val="nil"/>
              <w:bottom w:val="nil"/>
              <w:right w:val="nil"/>
            </w:tcBorders>
            <w:shd w:val="clear" w:color="auto" w:fill="auto"/>
            <w:noWrap/>
            <w:vAlign w:val="bottom"/>
            <w:hideMark/>
          </w:tcPr>
          <w:p w:rsidR="00FC2012" w:rsidRPr="00A04888" w:rsidRDefault="00FC2012" w:rsidP="003269F2">
            <w:pPr>
              <w:spacing w:before="0" w:line="240" w:lineRule="auto"/>
              <w:rPr>
                <w:color w:val="000000"/>
                <w:szCs w:val="24"/>
                <w:lang w:eastAsia="en-GB"/>
              </w:rPr>
            </w:pPr>
          </w:p>
        </w:tc>
        <w:tc>
          <w:tcPr>
            <w:tcW w:w="2035" w:type="dxa"/>
            <w:gridSpan w:val="3"/>
            <w:tcBorders>
              <w:top w:val="nil"/>
              <w:left w:val="nil"/>
              <w:bottom w:val="nil"/>
              <w:right w:val="nil"/>
            </w:tcBorders>
            <w:shd w:val="clear" w:color="auto" w:fill="auto"/>
            <w:noWrap/>
            <w:vAlign w:val="bottom"/>
            <w:hideMark/>
          </w:tcPr>
          <w:p w:rsidR="00FC2012" w:rsidRPr="00A04888" w:rsidRDefault="00FC2012" w:rsidP="003269F2">
            <w:pPr>
              <w:spacing w:before="0" w:line="240" w:lineRule="auto"/>
              <w:jc w:val="right"/>
              <w:rPr>
                <w:color w:val="000000"/>
                <w:szCs w:val="24"/>
                <w:lang w:eastAsia="en-GB"/>
              </w:rPr>
            </w:pPr>
            <w:r w:rsidRPr="00A04888">
              <w:rPr>
                <w:color w:val="000000"/>
                <w:szCs w:val="24"/>
                <w:lang w:eastAsia="en-GB"/>
              </w:rPr>
              <w:t>123</w:t>
            </w:r>
          </w:p>
        </w:tc>
        <w:tc>
          <w:tcPr>
            <w:tcW w:w="1214" w:type="dxa"/>
            <w:gridSpan w:val="6"/>
            <w:tcBorders>
              <w:top w:val="nil"/>
              <w:left w:val="nil"/>
              <w:bottom w:val="nil"/>
              <w:right w:val="nil"/>
            </w:tcBorders>
            <w:shd w:val="clear" w:color="auto" w:fill="auto"/>
            <w:noWrap/>
            <w:vAlign w:val="bottom"/>
            <w:hideMark/>
          </w:tcPr>
          <w:p w:rsidR="00FC2012" w:rsidRPr="00A04888" w:rsidRDefault="00FC2012" w:rsidP="003269F2">
            <w:pPr>
              <w:spacing w:before="0" w:after="0" w:line="240" w:lineRule="auto"/>
              <w:rPr>
                <w:color w:val="000000"/>
                <w:sz w:val="20"/>
                <w:lang w:eastAsia="en-GB"/>
              </w:rPr>
            </w:pPr>
          </w:p>
        </w:tc>
      </w:tr>
      <w:tr w:rsidR="00FC2012" w:rsidRPr="00A04888" w:rsidTr="003269F2">
        <w:trPr>
          <w:gridAfter w:val="1"/>
          <w:wAfter w:w="170" w:type="dxa"/>
          <w:trHeight w:val="255"/>
        </w:trPr>
        <w:tc>
          <w:tcPr>
            <w:tcW w:w="2425" w:type="dxa"/>
            <w:tcBorders>
              <w:top w:val="nil"/>
              <w:left w:val="nil"/>
              <w:bottom w:val="nil"/>
              <w:right w:val="nil"/>
            </w:tcBorders>
            <w:shd w:val="clear" w:color="000000" w:fill="FFFFFF"/>
            <w:noWrap/>
            <w:vAlign w:val="bottom"/>
            <w:hideMark/>
          </w:tcPr>
          <w:p w:rsidR="00FC2012" w:rsidRPr="00A04888" w:rsidRDefault="00FC2012" w:rsidP="003269F2">
            <w:pPr>
              <w:spacing w:before="0" w:line="240" w:lineRule="auto"/>
              <w:rPr>
                <w:color w:val="000000"/>
                <w:szCs w:val="24"/>
                <w:lang w:eastAsia="en-GB"/>
              </w:rPr>
            </w:pPr>
            <w:r w:rsidRPr="00A04888">
              <w:rPr>
                <w:color w:val="000000"/>
                <w:szCs w:val="24"/>
                <w:lang w:eastAsia="en-GB"/>
              </w:rPr>
              <w:t>September 2013</w:t>
            </w:r>
          </w:p>
        </w:tc>
        <w:tc>
          <w:tcPr>
            <w:tcW w:w="3740" w:type="dxa"/>
            <w:gridSpan w:val="6"/>
            <w:tcBorders>
              <w:top w:val="nil"/>
              <w:left w:val="nil"/>
              <w:bottom w:val="nil"/>
              <w:right w:val="nil"/>
            </w:tcBorders>
            <w:shd w:val="clear" w:color="auto" w:fill="auto"/>
            <w:noWrap/>
            <w:vAlign w:val="bottom"/>
            <w:hideMark/>
          </w:tcPr>
          <w:p w:rsidR="00FC2012" w:rsidRPr="00A04888" w:rsidRDefault="00FC2012" w:rsidP="003269F2">
            <w:pPr>
              <w:spacing w:before="0" w:line="240" w:lineRule="auto"/>
              <w:jc w:val="right"/>
              <w:rPr>
                <w:color w:val="000000"/>
                <w:szCs w:val="24"/>
                <w:lang w:eastAsia="en-GB"/>
              </w:rPr>
            </w:pPr>
            <w:r w:rsidRPr="00A04888">
              <w:rPr>
                <w:color w:val="000000"/>
                <w:szCs w:val="24"/>
                <w:lang w:eastAsia="en-GB"/>
              </w:rPr>
              <w:t>88</w:t>
            </w:r>
          </w:p>
        </w:tc>
        <w:tc>
          <w:tcPr>
            <w:tcW w:w="887" w:type="dxa"/>
            <w:tcBorders>
              <w:top w:val="nil"/>
              <w:left w:val="nil"/>
              <w:bottom w:val="nil"/>
              <w:right w:val="nil"/>
            </w:tcBorders>
            <w:shd w:val="clear" w:color="auto" w:fill="auto"/>
            <w:noWrap/>
            <w:vAlign w:val="bottom"/>
            <w:hideMark/>
          </w:tcPr>
          <w:p w:rsidR="00FC2012" w:rsidRPr="00A04888" w:rsidRDefault="00FC2012" w:rsidP="003269F2">
            <w:pPr>
              <w:spacing w:before="0" w:line="240" w:lineRule="auto"/>
              <w:rPr>
                <w:color w:val="000000"/>
                <w:szCs w:val="24"/>
                <w:lang w:eastAsia="en-GB"/>
              </w:rPr>
            </w:pPr>
          </w:p>
        </w:tc>
        <w:tc>
          <w:tcPr>
            <w:tcW w:w="2035" w:type="dxa"/>
            <w:gridSpan w:val="3"/>
            <w:tcBorders>
              <w:top w:val="nil"/>
              <w:left w:val="nil"/>
              <w:bottom w:val="nil"/>
              <w:right w:val="nil"/>
            </w:tcBorders>
            <w:shd w:val="clear" w:color="auto" w:fill="auto"/>
            <w:noWrap/>
            <w:vAlign w:val="bottom"/>
            <w:hideMark/>
          </w:tcPr>
          <w:p w:rsidR="00FC2012" w:rsidRPr="00A04888" w:rsidRDefault="00FC2012" w:rsidP="003269F2">
            <w:pPr>
              <w:spacing w:before="0" w:line="240" w:lineRule="auto"/>
              <w:jc w:val="right"/>
              <w:rPr>
                <w:color w:val="000000"/>
                <w:szCs w:val="24"/>
                <w:lang w:eastAsia="en-GB"/>
              </w:rPr>
            </w:pPr>
            <w:r w:rsidRPr="00A04888">
              <w:rPr>
                <w:color w:val="000000"/>
                <w:szCs w:val="24"/>
                <w:lang w:eastAsia="en-GB"/>
              </w:rPr>
              <w:t>211</w:t>
            </w:r>
          </w:p>
        </w:tc>
        <w:tc>
          <w:tcPr>
            <w:tcW w:w="1214" w:type="dxa"/>
            <w:gridSpan w:val="6"/>
            <w:tcBorders>
              <w:top w:val="nil"/>
              <w:left w:val="nil"/>
              <w:bottom w:val="nil"/>
              <w:right w:val="nil"/>
            </w:tcBorders>
            <w:shd w:val="clear" w:color="auto" w:fill="auto"/>
            <w:noWrap/>
            <w:vAlign w:val="bottom"/>
            <w:hideMark/>
          </w:tcPr>
          <w:p w:rsidR="00FC2012" w:rsidRPr="00A04888" w:rsidRDefault="00FC2012" w:rsidP="003269F2">
            <w:pPr>
              <w:spacing w:before="0" w:after="0" w:line="240" w:lineRule="auto"/>
              <w:rPr>
                <w:color w:val="000000"/>
                <w:sz w:val="20"/>
                <w:lang w:eastAsia="en-GB"/>
              </w:rPr>
            </w:pPr>
          </w:p>
        </w:tc>
      </w:tr>
      <w:tr w:rsidR="00FC2012" w:rsidRPr="00A04888" w:rsidTr="003269F2">
        <w:trPr>
          <w:gridAfter w:val="1"/>
          <w:wAfter w:w="170" w:type="dxa"/>
          <w:trHeight w:val="255"/>
        </w:trPr>
        <w:tc>
          <w:tcPr>
            <w:tcW w:w="2425" w:type="dxa"/>
            <w:tcBorders>
              <w:top w:val="nil"/>
              <w:left w:val="nil"/>
              <w:bottom w:val="single" w:sz="4" w:space="0" w:color="auto"/>
              <w:right w:val="nil"/>
            </w:tcBorders>
            <w:shd w:val="clear" w:color="auto" w:fill="auto"/>
            <w:noWrap/>
            <w:vAlign w:val="bottom"/>
            <w:hideMark/>
          </w:tcPr>
          <w:p w:rsidR="00FC2012" w:rsidRPr="00A04888" w:rsidRDefault="00FC2012" w:rsidP="003269F2">
            <w:pPr>
              <w:spacing w:before="0" w:line="240" w:lineRule="auto"/>
              <w:rPr>
                <w:color w:val="000000"/>
                <w:szCs w:val="24"/>
                <w:lang w:eastAsia="en-GB"/>
              </w:rPr>
            </w:pPr>
            <w:r w:rsidRPr="00A04888">
              <w:rPr>
                <w:color w:val="000000"/>
                <w:szCs w:val="24"/>
                <w:lang w:eastAsia="en-GB"/>
              </w:rPr>
              <w:t>October 2013</w:t>
            </w:r>
          </w:p>
        </w:tc>
        <w:tc>
          <w:tcPr>
            <w:tcW w:w="3740" w:type="dxa"/>
            <w:gridSpan w:val="6"/>
            <w:tcBorders>
              <w:top w:val="nil"/>
              <w:left w:val="nil"/>
              <w:bottom w:val="single" w:sz="4" w:space="0" w:color="auto"/>
              <w:right w:val="nil"/>
            </w:tcBorders>
            <w:shd w:val="clear" w:color="auto" w:fill="auto"/>
            <w:noWrap/>
            <w:vAlign w:val="bottom"/>
            <w:hideMark/>
          </w:tcPr>
          <w:p w:rsidR="00FC2012" w:rsidRPr="00A04888" w:rsidRDefault="00FC2012" w:rsidP="003269F2">
            <w:pPr>
              <w:spacing w:before="0" w:line="240" w:lineRule="auto"/>
              <w:jc w:val="right"/>
              <w:rPr>
                <w:color w:val="000000"/>
                <w:szCs w:val="24"/>
                <w:lang w:eastAsia="en-GB"/>
              </w:rPr>
            </w:pPr>
            <w:r w:rsidRPr="00A04888">
              <w:rPr>
                <w:color w:val="000000"/>
                <w:szCs w:val="24"/>
                <w:lang w:eastAsia="en-GB"/>
              </w:rPr>
              <w:t>270</w:t>
            </w:r>
          </w:p>
        </w:tc>
        <w:tc>
          <w:tcPr>
            <w:tcW w:w="887" w:type="dxa"/>
            <w:tcBorders>
              <w:top w:val="nil"/>
              <w:left w:val="nil"/>
              <w:bottom w:val="single" w:sz="4" w:space="0" w:color="auto"/>
              <w:right w:val="nil"/>
            </w:tcBorders>
            <w:shd w:val="clear" w:color="auto" w:fill="auto"/>
            <w:noWrap/>
            <w:vAlign w:val="bottom"/>
            <w:hideMark/>
          </w:tcPr>
          <w:p w:rsidR="00FC2012" w:rsidRPr="00A04888" w:rsidRDefault="00FC2012" w:rsidP="003269F2">
            <w:pPr>
              <w:spacing w:before="0" w:line="240" w:lineRule="auto"/>
              <w:rPr>
                <w:color w:val="000000"/>
                <w:szCs w:val="24"/>
                <w:lang w:eastAsia="en-GB"/>
              </w:rPr>
            </w:pPr>
            <w:r w:rsidRPr="00A04888">
              <w:rPr>
                <w:color w:val="000000"/>
                <w:szCs w:val="24"/>
                <w:lang w:eastAsia="en-GB"/>
              </w:rPr>
              <w:t> </w:t>
            </w:r>
          </w:p>
        </w:tc>
        <w:tc>
          <w:tcPr>
            <w:tcW w:w="2035" w:type="dxa"/>
            <w:gridSpan w:val="3"/>
            <w:tcBorders>
              <w:top w:val="nil"/>
              <w:left w:val="nil"/>
              <w:bottom w:val="single" w:sz="4" w:space="0" w:color="auto"/>
              <w:right w:val="nil"/>
            </w:tcBorders>
            <w:shd w:val="clear" w:color="auto" w:fill="auto"/>
            <w:noWrap/>
            <w:vAlign w:val="bottom"/>
            <w:hideMark/>
          </w:tcPr>
          <w:p w:rsidR="00FC2012" w:rsidRPr="00A04888" w:rsidRDefault="00FC2012" w:rsidP="003269F2">
            <w:pPr>
              <w:spacing w:before="0" w:line="240" w:lineRule="auto"/>
              <w:jc w:val="right"/>
              <w:rPr>
                <w:color w:val="000000"/>
                <w:szCs w:val="24"/>
                <w:lang w:eastAsia="en-GB"/>
              </w:rPr>
            </w:pPr>
            <w:r w:rsidRPr="00A04888">
              <w:rPr>
                <w:color w:val="000000"/>
                <w:szCs w:val="24"/>
                <w:lang w:eastAsia="en-GB"/>
              </w:rPr>
              <w:t>481</w:t>
            </w:r>
          </w:p>
        </w:tc>
        <w:tc>
          <w:tcPr>
            <w:tcW w:w="1214" w:type="dxa"/>
            <w:gridSpan w:val="6"/>
            <w:tcBorders>
              <w:top w:val="nil"/>
              <w:left w:val="nil"/>
              <w:bottom w:val="nil"/>
              <w:right w:val="nil"/>
            </w:tcBorders>
            <w:shd w:val="clear" w:color="auto" w:fill="auto"/>
            <w:noWrap/>
            <w:vAlign w:val="bottom"/>
            <w:hideMark/>
          </w:tcPr>
          <w:p w:rsidR="00FC2012" w:rsidRPr="00A04888" w:rsidRDefault="00FC2012" w:rsidP="003269F2">
            <w:pPr>
              <w:spacing w:before="0" w:after="0" w:line="240" w:lineRule="auto"/>
              <w:rPr>
                <w:color w:val="000000"/>
                <w:sz w:val="20"/>
                <w:lang w:eastAsia="en-GB"/>
              </w:rPr>
            </w:pPr>
          </w:p>
        </w:tc>
      </w:tr>
      <w:tr w:rsidR="00FC2012" w:rsidRPr="008A5812" w:rsidTr="003269F2">
        <w:trPr>
          <w:gridAfter w:val="3"/>
          <w:wAfter w:w="391" w:type="dxa"/>
          <w:trHeight w:val="496"/>
        </w:trPr>
        <w:tc>
          <w:tcPr>
            <w:tcW w:w="10080" w:type="dxa"/>
            <w:gridSpan w:val="15"/>
            <w:tcBorders>
              <w:top w:val="nil"/>
              <w:left w:val="nil"/>
              <w:bottom w:val="nil"/>
              <w:right w:val="nil"/>
            </w:tcBorders>
            <w:shd w:val="clear" w:color="auto" w:fill="auto"/>
            <w:vAlign w:val="bottom"/>
            <w:hideMark/>
          </w:tcPr>
          <w:p w:rsidR="00FC2012" w:rsidRPr="008A5812" w:rsidRDefault="00FC2012" w:rsidP="003269F2">
            <w:pPr>
              <w:spacing w:before="0" w:line="240" w:lineRule="auto"/>
              <w:jc w:val="both"/>
              <w:rPr>
                <w:color w:val="000000"/>
                <w:szCs w:val="24"/>
                <w:lang w:eastAsia="en-GB"/>
              </w:rPr>
            </w:pPr>
            <w:r>
              <w:rPr>
                <w:color w:val="000000"/>
                <w:szCs w:val="24"/>
                <w:vertAlign w:val="superscript"/>
                <w:lang w:eastAsia="en-GB"/>
              </w:rPr>
              <w:br/>
            </w:r>
            <w:r w:rsidRPr="008A5812">
              <w:rPr>
                <w:color w:val="000000"/>
                <w:szCs w:val="24"/>
                <w:vertAlign w:val="superscript"/>
                <w:lang w:eastAsia="en-GB"/>
              </w:rPr>
              <w:t>1</w:t>
            </w:r>
            <w:r w:rsidRPr="008A5812">
              <w:rPr>
                <w:color w:val="000000"/>
                <w:szCs w:val="24"/>
                <w:lang w:eastAsia="en-GB"/>
              </w:rPr>
              <w:t xml:space="preserve"> </w:t>
            </w:r>
            <w:r w:rsidRPr="00A04888">
              <w:rPr>
                <w:color w:val="000000"/>
                <w:szCs w:val="24"/>
                <w:lang w:eastAsia="en-GB"/>
              </w:rPr>
              <w:t xml:space="preserve">As measured by the number of measures installed using Green Deal finance where a Green Deal Plan is at </w:t>
            </w:r>
            <w:r>
              <w:rPr>
                <w:color w:val="000000"/>
                <w:szCs w:val="24"/>
                <w:lang w:eastAsia="en-GB"/>
              </w:rPr>
              <w:t>‘</w:t>
            </w:r>
            <w:r w:rsidR="006C6AFF">
              <w:rPr>
                <w:color w:val="000000"/>
                <w:szCs w:val="24"/>
                <w:lang w:eastAsia="en-GB"/>
              </w:rPr>
              <w:t>l</w:t>
            </w:r>
            <w:r w:rsidRPr="00A04888">
              <w:rPr>
                <w:color w:val="000000"/>
                <w:szCs w:val="24"/>
                <w:lang w:eastAsia="en-GB"/>
              </w:rPr>
              <w:t>ive</w:t>
            </w:r>
            <w:r>
              <w:rPr>
                <w:color w:val="000000"/>
                <w:szCs w:val="24"/>
                <w:lang w:eastAsia="en-GB"/>
              </w:rPr>
              <w:t>’</w:t>
            </w:r>
            <w:r w:rsidRPr="00A04888">
              <w:rPr>
                <w:color w:val="000000"/>
                <w:szCs w:val="24"/>
                <w:lang w:eastAsia="en-GB"/>
              </w:rPr>
              <w:t xml:space="preserve"> stage.</w:t>
            </w:r>
          </w:p>
        </w:tc>
      </w:tr>
      <w:tr w:rsidR="00FC2012" w:rsidRPr="008A5812" w:rsidTr="003269F2">
        <w:trPr>
          <w:gridAfter w:val="3"/>
          <w:wAfter w:w="391" w:type="dxa"/>
          <w:trHeight w:val="856"/>
        </w:trPr>
        <w:tc>
          <w:tcPr>
            <w:tcW w:w="10080" w:type="dxa"/>
            <w:gridSpan w:val="15"/>
            <w:tcBorders>
              <w:top w:val="nil"/>
              <w:left w:val="nil"/>
              <w:bottom w:val="nil"/>
              <w:right w:val="nil"/>
            </w:tcBorders>
            <w:shd w:val="clear" w:color="auto" w:fill="auto"/>
            <w:vAlign w:val="bottom"/>
            <w:hideMark/>
          </w:tcPr>
          <w:p w:rsidR="00FC2012" w:rsidRDefault="00FC2012" w:rsidP="003269F2">
            <w:pPr>
              <w:spacing w:before="0" w:line="240" w:lineRule="auto"/>
              <w:jc w:val="both"/>
              <w:rPr>
                <w:color w:val="000000"/>
                <w:szCs w:val="24"/>
                <w:lang w:eastAsia="en-GB"/>
              </w:rPr>
            </w:pPr>
            <w:r w:rsidRPr="008A5812">
              <w:rPr>
                <w:color w:val="000000"/>
                <w:szCs w:val="24"/>
                <w:vertAlign w:val="superscript"/>
                <w:lang w:eastAsia="en-GB"/>
              </w:rPr>
              <w:t>2</w:t>
            </w:r>
            <w:r w:rsidRPr="008A5812">
              <w:rPr>
                <w:color w:val="000000"/>
                <w:szCs w:val="24"/>
                <w:lang w:eastAsia="en-GB"/>
              </w:rPr>
              <w:t xml:space="preserve"> </w:t>
            </w:r>
            <w:r w:rsidRPr="006F4D88">
              <w:rPr>
                <w:color w:val="000000"/>
                <w:szCs w:val="24"/>
                <w:lang w:eastAsia="en-GB"/>
              </w:rPr>
              <w:t>There may be a small number of measures which have also been reported under ECO or Cashback.</w:t>
            </w:r>
          </w:p>
          <w:p w:rsidR="00FC2012" w:rsidRDefault="00FC2012" w:rsidP="003269F2">
            <w:pPr>
              <w:spacing w:before="0" w:line="240" w:lineRule="auto"/>
              <w:jc w:val="both"/>
            </w:pPr>
            <w:r w:rsidRPr="004A6290">
              <w:rPr>
                <w:vertAlign w:val="superscript"/>
              </w:rPr>
              <w:t xml:space="preserve">3 </w:t>
            </w:r>
            <w:r w:rsidRPr="004A6290">
              <w:t xml:space="preserve">The number of measures installed using Green Deal finance in earlier installation months are subject to revision as Green Deal Plans </w:t>
            </w:r>
            <w:r>
              <w:t xml:space="preserve">may </w:t>
            </w:r>
            <w:r w:rsidRPr="004A6290">
              <w:t>become 'live' after the month of installation.</w:t>
            </w:r>
          </w:p>
          <w:p w:rsidR="00FC2012" w:rsidRPr="008A5812" w:rsidRDefault="00FC2012" w:rsidP="003269F2">
            <w:pPr>
              <w:spacing w:before="0" w:line="240" w:lineRule="auto"/>
              <w:jc w:val="both"/>
              <w:rPr>
                <w:color w:val="000000"/>
                <w:szCs w:val="24"/>
                <w:lang w:eastAsia="en-GB"/>
              </w:rPr>
            </w:pPr>
            <w:r w:rsidRPr="00D03891">
              <w:rPr>
                <w:vertAlign w:val="superscript"/>
              </w:rPr>
              <w:t>4</w:t>
            </w:r>
            <w:r>
              <w:t xml:space="preserve"> The number of measures installed using Green Deal finance in any month other than the latest month are not directly comparable with the number of ‘live’ Green Deal Plans for each of those respective months. This is because some measures may have been installed in a month previous to when the corresponding Green Deal Plan went ‘live’.</w:t>
            </w:r>
          </w:p>
        </w:tc>
      </w:tr>
    </w:tbl>
    <w:p w:rsidR="00FC2012" w:rsidRDefault="00FC2012" w:rsidP="00FC2012"/>
    <w:p w:rsidR="00FC2012" w:rsidRDefault="00FC2012" w:rsidP="00FC2012"/>
    <w:p w:rsidR="00FC2012" w:rsidRDefault="00FC2012" w:rsidP="00FC2012"/>
    <w:p w:rsidR="00FC2012" w:rsidRDefault="00FC2012" w:rsidP="00FC2012"/>
    <w:p w:rsidR="00FC2012" w:rsidRDefault="00FC2012" w:rsidP="00FC2012"/>
    <w:p w:rsidR="00FC2012" w:rsidRDefault="00FC2012" w:rsidP="00FC2012"/>
    <w:p w:rsidR="00FC2012" w:rsidRDefault="00FC2012" w:rsidP="00FC2012"/>
    <w:p w:rsidR="00FC2012" w:rsidRDefault="00FC2012" w:rsidP="00FC2012"/>
    <w:p w:rsidR="00FC2012" w:rsidRDefault="00FC2012" w:rsidP="00FC2012"/>
    <w:p w:rsidR="00FC2012" w:rsidRDefault="00FC2012" w:rsidP="00FC2012"/>
    <w:p w:rsidR="00FC2012" w:rsidRDefault="00FC2012" w:rsidP="00FC2012"/>
    <w:tbl>
      <w:tblPr>
        <w:tblW w:w="10080" w:type="dxa"/>
        <w:tblInd w:w="93" w:type="dxa"/>
        <w:tblLayout w:type="fixed"/>
        <w:tblLook w:val="04A0" w:firstRow="1" w:lastRow="0" w:firstColumn="1" w:lastColumn="0" w:noHBand="0" w:noVBand="1"/>
      </w:tblPr>
      <w:tblGrid>
        <w:gridCol w:w="2260"/>
        <w:gridCol w:w="2150"/>
        <w:gridCol w:w="1275"/>
        <w:gridCol w:w="626"/>
        <w:gridCol w:w="1784"/>
        <w:gridCol w:w="290"/>
        <w:gridCol w:w="1428"/>
        <w:gridCol w:w="267"/>
      </w:tblGrid>
      <w:tr w:rsidR="00FC2012" w:rsidRPr="006F4D88" w:rsidTr="009522AA">
        <w:trPr>
          <w:trHeight w:val="315"/>
        </w:trPr>
        <w:tc>
          <w:tcPr>
            <w:tcW w:w="10080" w:type="dxa"/>
            <w:gridSpan w:val="8"/>
            <w:tcBorders>
              <w:top w:val="nil"/>
              <w:left w:val="nil"/>
              <w:bottom w:val="nil"/>
              <w:right w:val="nil"/>
            </w:tcBorders>
            <w:shd w:val="clear" w:color="000000" w:fill="FFFFFF"/>
            <w:noWrap/>
            <w:vAlign w:val="bottom"/>
          </w:tcPr>
          <w:p w:rsidR="00FC2012" w:rsidRDefault="00FC2012" w:rsidP="003269F2"/>
          <w:p w:rsidR="00FC2012" w:rsidRDefault="00FC2012" w:rsidP="003269F2"/>
          <w:p w:rsidR="00FC2012" w:rsidRDefault="00FC2012" w:rsidP="003269F2"/>
          <w:p w:rsidR="00FC2012" w:rsidRDefault="00FC2012" w:rsidP="003269F2"/>
          <w:p w:rsidR="00FC2012" w:rsidRDefault="00FC2012" w:rsidP="003269F2"/>
          <w:p w:rsidR="00FC2012" w:rsidRDefault="00FC2012" w:rsidP="003269F2"/>
          <w:tbl>
            <w:tblPr>
              <w:tblW w:w="11497" w:type="dxa"/>
              <w:tblLayout w:type="fixed"/>
              <w:tblLook w:val="0000" w:firstRow="0" w:lastRow="0" w:firstColumn="0" w:lastColumn="0" w:noHBand="0" w:noVBand="0"/>
            </w:tblPr>
            <w:tblGrid>
              <w:gridCol w:w="4577"/>
              <w:gridCol w:w="2406"/>
              <w:gridCol w:w="1457"/>
              <w:gridCol w:w="256"/>
              <w:gridCol w:w="738"/>
              <w:gridCol w:w="75"/>
              <w:gridCol w:w="994"/>
              <w:gridCol w:w="994"/>
            </w:tblGrid>
            <w:tr w:rsidR="00FC2012" w:rsidTr="003269F2">
              <w:tblPrEx>
                <w:tblCellMar>
                  <w:top w:w="0" w:type="dxa"/>
                  <w:bottom w:w="0" w:type="dxa"/>
                </w:tblCellMar>
              </w:tblPrEx>
              <w:trPr>
                <w:trHeight w:val="309"/>
              </w:trPr>
              <w:tc>
                <w:tcPr>
                  <w:tcW w:w="9509" w:type="dxa"/>
                  <w:gridSpan w:val="6"/>
                  <w:tcBorders>
                    <w:top w:val="nil"/>
                    <w:left w:val="nil"/>
                    <w:bottom w:val="nil"/>
                    <w:right w:val="nil"/>
                  </w:tcBorders>
                  <w:shd w:val="solid" w:color="FFFFFF" w:fill="auto"/>
                </w:tcPr>
                <w:p w:rsidR="00FC2012" w:rsidRPr="00466DBE" w:rsidRDefault="00367A43" w:rsidP="003269F2">
                  <w:pPr>
                    <w:autoSpaceDE w:val="0"/>
                    <w:autoSpaceDN w:val="0"/>
                    <w:adjustRightInd w:val="0"/>
                    <w:spacing w:before="0" w:after="0" w:line="240" w:lineRule="auto"/>
                    <w:rPr>
                      <w:b/>
                      <w:bCs/>
                      <w:color w:val="000000"/>
                      <w:szCs w:val="24"/>
                      <w:lang w:eastAsia="en-GB"/>
                    </w:rPr>
                  </w:pPr>
                  <w:r>
                    <w:rPr>
                      <w:b/>
                      <w:bCs/>
                      <w:color w:val="000000"/>
                      <w:szCs w:val="24"/>
                      <w:lang w:eastAsia="en-GB"/>
                    </w:rPr>
                    <w:lastRenderedPageBreak/>
                    <w:t>Table 3</w:t>
                  </w:r>
                  <w:r w:rsidR="00FC2012" w:rsidRPr="00466DBE">
                    <w:rPr>
                      <w:b/>
                      <w:bCs/>
                      <w:color w:val="000000"/>
                      <w:szCs w:val="24"/>
                      <w:lang w:eastAsia="en-GB"/>
                    </w:rPr>
                    <w:t xml:space="preserve">b: Number of measures installed using Green Deal finance </w:t>
                  </w:r>
                  <w:r w:rsidR="00FC2012" w:rsidRPr="00466DBE">
                    <w:rPr>
                      <w:b/>
                      <w:bCs/>
                      <w:color w:val="000000"/>
                      <w:szCs w:val="24"/>
                      <w:vertAlign w:val="superscript"/>
                      <w:lang w:eastAsia="en-GB"/>
                    </w:rPr>
                    <w:t>1 2</w:t>
                  </w:r>
                  <w:r w:rsidR="00FC2012" w:rsidRPr="00466DBE">
                    <w:rPr>
                      <w:b/>
                      <w:bCs/>
                      <w:color w:val="000000"/>
                      <w:szCs w:val="24"/>
                      <w:lang w:eastAsia="en-GB"/>
                    </w:rPr>
                    <w:t>, up to end of October 2013</w:t>
                  </w:r>
                </w:p>
              </w:tc>
              <w:tc>
                <w:tcPr>
                  <w:tcW w:w="994" w:type="dxa"/>
                  <w:tcBorders>
                    <w:top w:val="nil"/>
                    <w:left w:val="nil"/>
                    <w:bottom w:val="nil"/>
                    <w:right w:val="nil"/>
                  </w:tcBorders>
                  <w:shd w:val="solid" w:color="FFFFFF" w:fill="auto"/>
                </w:tcPr>
                <w:p w:rsidR="00FC2012" w:rsidRDefault="00FC2012" w:rsidP="003269F2">
                  <w:pPr>
                    <w:autoSpaceDE w:val="0"/>
                    <w:autoSpaceDN w:val="0"/>
                    <w:adjustRightInd w:val="0"/>
                    <w:spacing w:before="0" w:after="0" w:line="240" w:lineRule="auto"/>
                    <w:jc w:val="right"/>
                    <w:rPr>
                      <w:color w:val="000000"/>
                      <w:sz w:val="20"/>
                      <w:lang w:eastAsia="en-GB"/>
                    </w:rPr>
                  </w:pPr>
                </w:p>
              </w:tc>
              <w:tc>
                <w:tcPr>
                  <w:tcW w:w="994" w:type="dxa"/>
                  <w:tcBorders>
                    <w:top w:val="nil"/>
                    <w:left w:val="nil"/>
                    <w:bottom w:val="nil"/>
                    <w:right w:val="nil"/>
                  </w:tcBorders>
                  <w:shd w:val="solid" w:color="FFFFFF" w:fill="auto"/>
                </w:tcPr>
                <w:p w:rsidR="00FC2012" w:rsidRDefault="00FC2012" w:rsidP="003269F2">
                  <w:pPr>
                    <w:autoSpaceDE w:val="0"/>
                    <w:autoSpaceDN w:val="0"/>
                    <w:adjustRightInd w:val="0"/>
                    <w:spacing w:before="0" w:after="0" w:line="240" w:lineRule="auto"/>
                    <w:jc w:val="right"/>
                    <w:rPr>
                      <w:color w:val="000000"/>
                      <w:sz w:val="20"/>
                      <w:lang w:eastAsia="en-GB"/>
                    </w:rPr>
                  </w:pPr>
                </w:p>
              </w:tc>
            </w:tr>
            <w:tr w:rsidR="00FC2012" w:rsidTr="003269F2">
              <w:tblPrEx>
                <w:tblCellMar>
                  <w:top w:w="0" w:type="dxa"/>
                  <w:bottom w:w="0" w:type="dxa"/>
                </w:tblCellMar>
              </w:tblPrEx>
              <w:trPr>
                <w:trHeight w:val="251"/>
              </w:trPr>
              <w:tc>
                <w:tcPr>
                  <w:tcW w:w="4577" w:type="dxa"/>
                  <w:tcBorders>
                    <w:top w:val="nil"/>
                    <w:left w:val="nil"/>
                    <w:bottom w:val="single" w:sz="6" w:space="0" w:color="auto"/>
                    <w:right w:val="nil"/>
                  </w:tcBorders>
                  <w:shd w:val="solid" w:color="FFFFFF" w:fill="auto"/>
                </w:tcPr>
                <w:p w:rsidR="00FC2012" w:rsidRPr="00466DBE" w:rsidRDefault="00FC2012" w:rsidP="003269F2">
                  <w:pPr>
                    <w:autoSpaceDE w:val="0"/>
                    <w:autoSpaceDN w:val="0"/>
                    <w:adjustRightInd w:val="0"/>
                    <w:spacing w:before="0" w:after="0" w:line="240" w:lineRule="auto"/>
                    <w:jc w:val="right"/>
                    <w:rPr>
                      <w:color w:val="000000"/>
                      <w:szCs w:val="24"/>
                      <w:lang w:eastAsia="en-GB"/>
                    </w:rPr>
                  </w:pPr>
                </w:p>
              </w:tc>
              <w:tc>
                <w:tcPr>
                  <w:tcW w:w="2406"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color w:val="000000"/>
                      <w:szCs w:val="24"/>
                      <w:lang w:eastAsia="en-GB"/>
                    </w:rPr>
                  </w:pPr>
                </w:p>
              </w:tc>
              <w:tc>
                <w:tcPr>
                  <w:tcW w:w="1457"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color w:val="000000"/>
                      <w:szCs w:val="24"/>
                      <w:lang w:eastAsia="en-GB"/>
                    </w:rPr>
                  </w:pPr>
                </w:p>
              </w:tc>
              <w:tc>
                <w:tcPr>
                  <w:tcW w:w="1069" w:type="dxa"/>
                  <w:gridSpan w:val="3"/>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color w:val="000000"/>
                      <w:szCs w:val="24"/>
                      <w:lang w:eastAsia="en-GB"/>
                    </w:rPr>
                  </w:pPr>
                </w:p>
              </w:tc>
              <w:tc>
                <w:tcPr>
                  <w:tcW w:w="994" w:type="dxa"/>
                  <w:tcBorders>
                    <w:top w:val="nil"/>
                    <w:left w:val="nil"/>
                    <w:bottom w:val="nil"/>
                    <w:right w:val="nil"/>
                  </w:tcBorders>
                  <w:shd w:val="solid" w:color="FFFFFF" w:fill="auto"/>
                </w:tcPr>
                <w:p w:rsidR="00FC2012" w:rsidRDefault="00FC2012" w:rsidP="003269F2">
                  <w:pPr>
                    <w:autoSpaceDE w:val="0"/>
                    <w:autoSpaceDN w:val="0"/>
                    <w:adjustRightInd w:val="0"/>
                    <w:spacing w:before="0" w:after="0" w:line="240" w:lineRule="auto"/>
                    <w:jc w:val="right"/>
                    <w:rPr>
                      <w:color w:val="000000"/>
                      <w:sz w:val="20"/>
                      <w:lang w:eastAsia="en-GB"/>
                    </w:rPr>
                  </w:pPr>
                </w:p>
              </w:tc>
              <w:tc>
                <w:tcPr>
                  <w:tcW w:w="994" w:type="dxa"/>
                  <w:tcBorders>
                    <w:top w:val="nil"/>
                    <w:left w:val="nil"/>
                    <w:bottom w:val="nil"/>
                    <w:right w:val="nil"/>
                  </w:tcBorders>
                  <w:shd w:val="solid" w:color="FFFFFF" w:fill="auto"/>
                </w:tcPr>
                <w:p w:rsidR="00FC2012" w:rsidRDefault="00FC2012" w:rsidP="003269F2">
                  <w:pPr>
                    <w:autoSpaceDE w:val="0"/>
                    <w:autoSpaceDN w:val="0"/>
                    <w:adjustRightInd w:val="0"/>
                    <w:spacing w:before="0" w:after="0" w:line="240" w:lineRule="auto"/>
                    <w:jc w:val="right"/>
                    <w:rPr>
                      <w:color w:val="000000"/>
                      <w:sz w:val="20"/>
                      <w:lang w:eastAsia="en-GB"/>
                    </w:rPr>
                  </w:pPr>
                </w:p>
              </w:tc>
            </w:tr>
            <w:tr w:rsidR="00FC2012" w:rsidTr="006D5D73">
              <w:tblPrEx>
                <w:tblCellMar>
                  <w:top w:w="0" w:type="dxa"/>
                  <w:bottom w:w="0" w:type="dxa"/>
                </w:tblCellMar>
              </w:tblPrEx>
              <w:trPr>
                <w:trHeight w:val="903"/>
              </w:trPr>
              <w:tc>
                <w:tcPr>
                  <w:tcW w:w="4577" w:type="dxa"/>
                  <w:tcBorders>
                    <w:top w:val="nil"/>
                    <w:left w:val="nil"/>
                    <w:bottom w:val="single" w:sz="6" w:space="0" w:color="auto"/>
                    <w:right w:val="nil"/>
                  </w:tcBorders>
                  <w:shd w:val="solid" w:color="FFFFFF" w:fill="auto"/>
                </w:tcPr>
                <w:p w:rsidR="00FC2012" w:rsidRPr="00466DBE" w:rsidRDefault="00FC2012" w:rsidP="003269F2">
                  <w:pPr>
                    <w:autoSpaceDE w:val="0"/>
                    <w:autoSpaceDN w:val="0"/>
                    <w:adjustRightInd w:val="0"/>
                    <w:spacing w:before="0" w:after="0" w:line="240" w:lineRule="auto"/>
                    <w:rPr>
                      <w:color w:val="000000"/>
                      <w:szCs w:val="24"/>
                      <w:lang w:eastAsia="en-GB"/>
                    </w:rPr>
                  </w:pPr>
                  <w:r w:rsidRPr="00466DBE">
                    <w:rPr>
                      <w:color w:val="000000"/>
                      <w:szCs w:val="24"/>
                      <w:lang w:eastAsia="en-GB"/>
                    </w:rPr>
                    <w:t>Measure Types</w:t>
                  </w:r>
                </w:p>
              </w:tc>
              <w:tc>
                <w:tcPr>
                  <w:tcW w:w="2406" w:type="dxa"/>
                  <w:tcBorders>
                    <w:top w:val="single" w:sz="6" w:space="0" w:color="auto"/>
                    <w:left w:val="nil"/>
                    <w:bottom w:val="single" w:sz="6" w:space="0" w:color="auto"/>
                    <w:right w:val="nil"/>
                  </w:tcBorders>
                  <w:shd w:val="solid" w:color="FFFFFF" w:fill="auto"/>
                </w:tcPr>
                <w:p w:rsidR="00FC2012" w:rsidRPr="00466DBE" w:rsidRDefault="00FC2012" w:rsidP="003269F2">
                  <w:pPr>
                    <w:autoSpaceDE w:val="0"/>
                    <w:autoSpaceDN w:val="0"/>
                    <w:adjustRightInd w:val="0"/>
                    <w:spacing w:before="0" w:after="0" w:line="240" w:lineRule="auto"/>
                    <w:jc w:val="right"/>
                    <w:rPr>
                      <w:color w:val="000000"/>
                      <w:szCs w:val="24"/>
                      <w:lang w:eastAsia="en-GB"/>
                    </w:rPr>
                  </w:pPr>
                  <w:r w:rsidRPr="00466DBE">
                    <w:rPr>
                      <w:color w:val="000000"/>
                      <w:szCs w:val="24"/>
                      <w:lang w:eastAsia="en-GB"/>
                    </w:rPr>
                    <w:t>Total number of Measures installed using Green Deal finance</w:t>
                  </w:r>
                </w:p>
              </w:tc>
              <w:tc>
                <w:tcPr>
                  <w:tcW w:w="1713" w:type="dxa"/>
                  <w:gridSpan w:val="2"/>
                  <w:tcBorders>
                    <w:top w:val="single" w:sz="6" w:space="0" w:color="auto"/>
                    <w:left w:val="nil"/>
                    <w:bottom w:val="single" w:sz="6" w:space="0" w:color="auto"/>
                    <w:right w:val="nil"/>
                  </w:tcBorders>
                  <w:shd w:val="solid" w:color="FFFFFF" w:fill="auto"/>
                </w:tcPr>
                <w:p w:rsidR="00FC2012" w:rsidRPr="00466DBE" w:rsidRDefault="00FC2012" w:rsidP="003269F2">
                  <w:pPr>
                    <w:autoSpaceDE w:val="0"/>
                    <w:autoSpaceDN w:val="0"/>
                    <w:adjustRightInd w:val="0"/>
                    <w:spacing w:before="0" w:after="0" w:line="240" w:lineRule="auto"/>
                    <w:jc w:val="right"/>
                    <w:rPr>
                      <w:color w:val="000000"/>
                      <w:szCs w:val="24"/>
                      <w:lang w:eastAsia="en-GB"/>
                    </w:rPr>
                  </w:pPr>
                  <w:r w:rsidRPr="00466DBE">
                    <w:rPr>
                      <w:color w:val="000000"/>
                      <w:szCs w:val="24"/>
                      <w:lang w:eastAsia="en-GB"/>
                    </w:rPr>
                    <w:t>Percentage of Measures</w:t>
                  </w:r>
                </w:p>
              </w:tc>
              <w:tc>
                <w:tcPr>
                  <w:tcW w:w="1807" w:type="dxa"/>
                  <w:gridSpan w:val="3"/>
                  <w:tcBorders>
                    <w:top w:val="nil"/>
                    <w:left w:val="nil"/>
                    <w:bottom w:val="nil"/>
                    <w:right w:val="nil"/>
                  </w:tcBorders>
                  <w:shd w:val="solid" w:color="FFFFFF" w:fill="auto"/>
                </w:tcPr>
                <w:p w:rsidR="00FC2012" w:rsidRDefault="00FC2012" w:rsidP="003269F2">
                  <w:pPr>
                    <w:autoSpaceDE w:val="0"/>
                    <w:autoSpaceDN w:val="0"/>
                    <w:adjustRightInd w:val="0"/>
                    <w:spacing w:before="0" w:after="0" w:line="240" w:lineRule="auto"/>
                    <w:jc w:val="right"/>
                    <w:rPr>
                      <w:color w:val="000000"/>
                      <w:sz w:val="20"/>
                      <w:lang w:eastAsia="en-GB"/>
                    </w:rPr>
                  </w:pPr>
                </w:p>
              </w:tc>
              <w:tc>
                <w:tcPr>
                  <w:tcW w:w="994" w:type="dxa"/>
                  <w:tcBorders>
                    <w:top w:val="nil"/>
                    <w:left w:val="nil"/>
                    <w:bottom w:val="nil"/>
                    <w:right w:val="nil"/>
                  </w:tcBorders>
                  <w:shd w:val="solid" w:color="FFFFFF" w:fill="auto"/>
                </w:tcPr>
                <w:p w:rsidR="00FC2012" w:rsidRDefault="00FC2012" w:rsidP="003269F2">
                  <w:pPr>
                    <w:autoSpaceDE w:val="0"/>
                    <w:autoSpaceDN w:val="0"/>
                    <w:adjustRightInd w:val="0"/>
                    <w:spacing w:before="0" w:after="0" w:line="240" w:lineRule="auto"/>
                    <w:jc w:val="right"/>
                    <w:rPr>
                      <w:color w:val="000000"/>
                      <w:sz w:val="20"/>
                      <w:lang w:eastAsia="en-GB"/>
                    </w:rPr>
                  </w:pPr>
                </w:p>
              </w:tc>
            </w:tr>
            <w:tr w:rsidR="00FC2012" w:rsidTr="006D5D73">
              <w:tblPrEx>
                <w:tblCellMar>
                  <w:top w:w="0" w:type="dxa"/>
                  <w:bottom w:w="0" w:type="dxa"/>
                </w:tblCellMar>
              </w:tblPrEx>
              <w:trPr>
                <w:trHeight w:val="251"/>
              </w:trPr>
              <w:tc>
                <w:tcPr>
                  <w:tcW w:w="4577"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rPr>
                      <w:b/>
                      <w:bCs/>
                      <w:color w:val="000000"/>
                      <w:szCs w:val="24"/>
                      <w:lang w:eastAsia="en-GB"/>
                    </w:rPr>
                  </w:pPr>
                  <w:r w:rsidRPr="00466DBE">
                    <w:rPr>
                      <w:b/>
                      <w:bCs/>
                      <w:color w:val="000000"/>
                      <w:szCs w:val="24"/>
                      <w:lang w:eastAsia="en-GB"/>
                    </w:rPr>
                    <w:t>Boiler</w:t>
                  </w:r>
                </w:p>
              </w:tc>
              <w:tc>
                <w:tcPr>
                  <w:tcW w:w="2406"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b/>
                      <w:bCs/>
                      <w:color w:val="000000"/>
                      <w:szCs w:val="24"/>
                      <w:lang w:eastAsia="en-GB"/>
                    </w:rPr>
                  </w:pPr>
                  <w:r w:rsidRPr="00466DBE">
                    <w:rPr>
                      <w:b/>
                      <w:bCs/>
                      <w:color w:val="000000"/>
                      <w:szCs w:val="24"/>
                      <w:lang w:eastAsia="en-GB"/>
                    </w:rPr>
                    <w:t>178</w:t>
                  </w:r>
                </w:p>
              </w:tc>
              <w:tc>
                <w:tcPr>
                  <w:tcW w:w="1457"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b/>
                      <w:bCs/>
                      <w:i/>
                      <w:iCs/>
                      <w:color w:val="000000"/>
                      <w:szCs w:val="24"/>
                      <w:lang w:eastAsia="en-GB"/>
                    </w:rPr>
                  </w:pPr>
                  <w:r w:rsidRPr="00466DBE">
                    <w:rPr>
                      <w:b/>
                      <w:bCs/>
                      <w:i/>
                      <w:iCs/>
                      <w:color w:val="000000"/>
                      <w:szCs w:val="24"/>
                      <w:lang w:eastAsia="en-GB"/>
                    </w:rPr>
                    <w:t xml:space="preserve">37 </w:t>
                  </w:r>
                </w:p>
              </w:tc>
              <w:tc>
                <w:tcPr>
                  <w:tcW w:w="256"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b/>
                      <w:bCs/>
                      <w:i/>
                      <w:iCs/>
                      <w:color w:val="000000"/>
                      <w:szCs w:val="24"/>
                      <w:lang w:eastAsia="en-GB"/>
                    </w:rPr>
                  </w:pPr>
                </w:p>
              </w:tc>
              <w:tc>
                <w:tcPr>
                  <w:tcW w:w="1807" w:type="dxa"/>
                  <w:gridSpan w:val="3"/>
                  <w:tcBorders>
                    <w:top w:val="nil"/>
                    <w:left w:val="nil"/>
                    <w:bottom w:val="nil"/>
                    <w:right w:val="nil"/>
                  </w:tcBorders>
                  <w:shd w:val="solid" w:color="FFFFFF" w:fill="auto"/>
                </w:tcPr>
                <w:p w:rsidR="00FC2012" w:rsidRDefault="00FC2012" w:rsidP="003269F2">
                  <w:pPr>
                    <w:autoSpaceDE w:val="0"/>
                    <w:autoSpaceDN w:val="0"/>
                    <w:adjustRightInd w:val="0"/>
                    <w:spacing w:before="0" w:after="0" w:line="240" w:lineRule="auto"/>
                    <w:jc w:val="right"/>
                    <w:rPr>
                      <w:color w:val="000000"/>
                      <w:sz w:val="20"/>
                      <w:lang w:eastAsia="en-GB"/>
                    </w:rPr>
                  </w:pPr>
                </w:p>
              </w:tc>
              <w:tc>
                <w:tcPr>
                  <w:tcW w:w="994" w:type="dxa"/>
                  <w:tcBorders>
                    <w:top w:val="nil"/>
                    <w:left w:val="nil"/>
                    <w:bottom w:val="nil"/>
                    <w:right w:val="nil"/>
                  </w:tcBorders>
                  <w:shd w:val="solid" w:color="FFFFFF" w:fill="auto"/>
                </w:tcPr>
                <w:p w:rsidR="00FC2012" w:rsidRDefault="00FC2012" w:rsidP="003269F2">
                  <w:pPr>
                    <w:autoSpaceDE w:val="0"/>
                    <w:autoSpaceDN w:val="0"/>
                    <w:adjustRightInd w:val="0"/>
                    <w:spacing w:before="0" w:after="0" w:line="240" w:lineRule="auto"/>
                    <w:jc w:val="right"/>
                    <w:rPr>
                      <w:color w:val="000000"/>
                      <w:sz w:val="20"/>
                      <w:lang w:eastAsia="en-GB"/>
                    </w:rPr>
                  </w:pPr>
                </w:p>
              </w:tc>
            </w:tr>
            <w:tr w:rsidR="00FC2012" w:rsidTr="003269F2">
              <w:tblPrEx>
                <w:tblCellMar>
                  <w:top w:w="0" w:type="dxa"/>
                  <w:bottom w:w="0" w:type="dxa"/>
                </w:tblCellMar>
              </w:tblPrEx>
              <w:trPr>
                <w:trHeight w:val="251"/>
              </w:trPr>
              <w:tc>
                <w:tcPr>
                  <w:tcW w:w="4577"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rPr>
                      <w:color w:val="000000"/>
                      <w:szCs w:val="24"/>
                      <w:lang w:eastAsia="en-GB"/>
                    </w:rPr>
                  </w:pPr>
                  <w:r w:rsidRPr="00466DBE">
                    <w:rPr>
                      <w:color w:val="000000"/>
                      <w:szCs w:val="24"/>
                      <w:lang w:eastAsia="en-GB"/>
                    </w:rPr>
                    <w:t>Condensing bottled LPG boiler</w:t>
                  </w:r>
                </w:p>
              </w:tc>
              <w:tc>
                <w:tcPr>
                  <w:tcW w:w="2406"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color w:val="000000"/>
                      <w:szCs w:val="24"/>
                      <w:lang w:eastAsia="en-GB"/>
                    </w:rPr>
                  </w:pPr>
                  <w:r w:rsidRPr="00466DBE">
                    <w:rPr>
                      <w:color w:val="000000"/>
                      <w:szCs w:val="24"/>
                      <w:lang w:eastAsia="en-GB"/>
                    </w:rPr>
                    <w:t>1</w:t>
                  </w:r>
                </w:p>
              </w:tc>
              <w:tc>
                <w:tcPr>
                  <w:tcW w:w="1457"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i/>
                      <w:iCs/>
                      <w:color w:val="000000"/>
                      <w:szCs w:val="24"/>
                      <w:lang w:eastAsia="en-GB"/>
                    </w:rPr>
                  </w:pPr>
                  <w:r w:rsidRPr="00466DBE">
                    <w:rPr>
                      <w:i/>
                      <w:iCs/>
                      <w:color w:val="000000"/>
                      <w:szCs w:val="24"/>
                      <w:lang w:eastAsia="en-GB"/>
                    </w:rPr>
                    <w:t xml:space="preserve">0 </w:t>
                  </w:r>
                </w:p>
              </w:tc>
              <w:tc>
                <w:tcPr>
                  <w:tcW w:w="1069" w:type="dxa"/>
                  <w:gridSpan w:val="3"/>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b/>
                      <w:bCs/>
                      <w:i/>
                      <w:iCs/>
                      <w:color w:val="000000"/>
                      <w:szCs w:val="24"/>
                      <w:lang w:eastAsia="en-GB"/>
                    </w:rPr>
                  </w:pPr>
                </w:p>
              </w:tc>
              <w:tc>
                <w:tcPr>
                  <w:tcW w:w="994" w:type="dxa"/>
                  <w:tcBorders>
                    <w:top w:val="nil"/>
                    <w:left w:val="nil"/>
                    <w:bottom w:val="nil"/>
                    <w:right w:val="nil"/>
                  </w:tcBorders>
                  <w:shd w:val="solid" w:color="FFFFFF" w:fill="auto"/>
                </w:tcPr>
                <w:p w:rsidR="00FC2012" w:rsidRDefault="00FC2012" w:rsidP="003269F2">
                  <w:pPr>
                    <w:autoSpaceDE w:val="0"/>
                    <w:autoSpaceDN w:val="0"/>
                    <w:adjustRightInd w:val="0"/>
                    <w:spacing w:before="0" w:after="0" w:line="240" w:lineRule="auto"/>
                    <w:jc w:val="right"/>
                    <w:rPr>
                      <w:color w:val="000000"/>
                      <w:sz w:val="20"/>
                      <w:lang w:eastAsia="en-GB"/>
                    </w:rPr>
                  </w:pPr>
                </w:p>
              </w:tc>
              <w:tc>
                <w:tcPr>
                  <w:tcW w:w="994" w:type="dxa"/>
                  <w:tcBorders>
                    <w:top w:val="nil"/>
                    <w:left w:val="nil"/>
                    <w:bottom w:val="nil"/>
                    <w:right w:val="nil"/>
                  </w:tcBorders>
                  <w:shd w:val="solid" w:color="FFFFFF" w:fill="auto"/>
                </w:tcPr>
                <w:p w:rsidR="00FC2012" w:rsidRDefault="00FC2012" w:rsidP="003269F2">
                  <w:pPr>
                    <w:autoSpaceDE w:val="0"/>
                    <w:autoSpaceDN w:val="0"/>
                    <w:adjustRightInd w:val="0"/>
                    <w:spacing w:before="0" w:after="0" w:line="240" w:lineRule="auto"/>
                    <w:jc w:val="right"/>
                    <w:rPr>
                      <w:color w:val="000000"/>
                      <w:sz w:val="20"/>
                      <w:lang w:eastAsia="en-GB"/>
                    </w:rPr>
                  </w:pPr>
                </w:p>
              </w:tc>
            </w:tr>
            <w:tr w:rsidR="00FC2012" w:rsidTr="003269F2">
              <w:tblPrEx>
                <w:tblCellMar>
                  <w:top w:w="0" w:type="dxa"/>
                  <w:bottom w:w="0" w:type="dxa"/>
                </w:tblCellMar>
              </w:tblPrEx>
              <w:trPr>
                <w:trHeight w:val="251"/>
              </w:trPr>
              <w:tc>
                <w:tcPr>
                  <w:tcW w:w="4577"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rPr>
                      <w:color w:val="000000"/>
                      <w:szCs w:val="24"/>
                      <w:lang w:eastAsia="en-GB"/>
                    </w:rPr>
                  </w:pPr>
                  <w:r w:rsidRPr="00466DBE">
                    <w:rPr>
                      <w:color w:val="000000"/>
                      <w:szCs w:val="24"/>
                      <w:lang w:eastAsia="en-GB"/>
                    </w:rPr>
                    <w:t>Condensing gas boiler</w:t>
                  </w:r>
                </w:p>
              </w:tc>
              <w:tc>
                <w:tcPr>
                  <w:tcW w:w="2406"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color w:val="000000"/>
                      <w:szCs w:val="24"/>
                      <w:lang w:eastAsia="en-GB"/>
                    </w:rPr>
                  </w:pPr>
                  <w:r w:rsidRPr="00466DBE">
                    <w:rPr>
                      <w:color w:val="000000"/>
                      <w:szCs w:val="24"/>
                      <w:lang w:eastAsia="en-GB"/>
                    </w:rPr>
                    <w:t>37</w:t>
                  </w:r>
                </w:p>
              </w:tc>
              <w:tc>
                <w:tcPr>
                  <w:tcW w:w="1457"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i/>
                      <w:iCs/>
                      <w:color w:val="000000"/>
                      <w:szCs w:val="24"/>
                      <w:lang w:eastAsia="en-GB"/>
                    </w:rPr>
                  </w:pPr>
                  <w:r w:rsidRPr="00466DBE">
                    <w:rPr>
                      <w:i/>
                      <w:iCs/>
                      <w:color w:val="000000"/>
                      <w:szCs w:val="24"/>
                      <w:lang w:eastAsia="en-GB"/>
                    </w:rPr>
                    <w:t xml:space="preserve">8 </w:t>
                  </w:r>
                </w:p>
              </w:tc>
              <w:tc>
                <w:tcPr>
                  <w:tcW w:w="1069" w:type="dxa"/>
                  <w:gridSpan w:val="3"/>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b/>
                      <w:bCs/>
                      <w:i/>
                      <w:iCs/>
                      <w:color w:val="000000"/>
                      <w:szCs w:val="24"/>
                      <w:lang w:eastAsia="en-GB"/>
                    </w:rPr>
                  </w:pPr>
                </w:p>
              </w:tc>
              <w:tc>
                <w:tcPr>
                  <w:tcW w:w="994" w:type="dxa"/>
                  <w:tcBorders>
                    <w:top w:val="nil"/>
                    <w:left w:val="nil"/>
                    <w:bottom w:val="nil"/>
                    <w:right w:val="nil"/>
                  </w:tcBorders>
                  <w:shd w:val="solid" w:color="FFFFFF" w:fill="auto"/>
                </w:tcPr>
                <w:p w:rsidR="00FC2012" w:rsidRDefault="00FC2012" w:rsidP="003269F2">
                  <w:pPr>
                    <w:autoSpaceDE w:val="0"/>
                    <w:autoSpaceDN w:val="0"/>
                    <w:adjustRightInd w:val="0"/>
                    <w:spacing w:before="0" w:after="0" w:line="240" w:lineRule="auto"/>
                    <w:jc w:val="right"/>
                    <w:rPr>
                      <w:color w:val="000000"/>
                      <w:sz w:val="20"/>
                      <w:lang w:eastAsia="en-GB"/>
                    </w:rPr>
                  </w:pPr>
                </w:p>
              </w:tc>
              <w:tc>
                <w:tcPr>
                  <w:tcW w:w="994" w:type="dxa"/>
                  <w:tcBorders>
                    <w:top w:val="nil"/>
                    <w:left w:val="nil"/>
                    <w:bottom w:val="nil"/>
                    <w:right w:val="nil"/>
                  </w:tcBorders>
                  <w:shd w:val="solid" w:color="FFFFFF" w:fill="auto"/>
                </w:tcPr>
                <w:p w:rsidR="00FC2012" w:rsidRDefault="00FC2012" w:rsidP="003269F2">
                  <w:pPr>
                    <w:autoSpaceDE w:val="0"/>
                    <w:autoSpaceDN w:val="0"/>
                    <w:adjustRightInd w:val="0"/>
                    <w:spacing w:before="0" w:after="0" w:line="240" w:lineRule="auto"/>
                    <w:jc w:val="right"/>
                    <w:rPr>
                      <w:color w:val="000000"/>
                      <w:sz w:val="20"/>
                      <w:lang w:eastAsia="en-GB"/>
                    </w:rPr>
                  </w:pPr>
                </w:p>
              </w:tc>
            </w:tr>
            <w:tr w:rsidR="00FC2012" w:rsidTr="003269F2">
              <w:tblPrEx>
                <w:tblCellMar>
                  <w:top w:w="0" w:type="dxa"/>
                  <w:bottom w:w="0" w:type="dxa"/>
                </w:tblCellMar>
              </w:tblPrEx>
              <w:trPr>
                <w:trHeight w:val="251"/>
              </w:trPr>
              <w:tc>
                <w:tcPr>
                  <w:tcW w:w="4577"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rPr>
                      <w:color w:val="000000"/>
                      <w:szCs w:val="24"/>
                      <w:lang w:eastAsia="en-GB"/>
                    </w:rPr>
                  </w:pPr>
                  <w:r w:rsidRPr="00466DBE">
                    <w:rPr>
                      <w:color w:val="000000"/>
                      <w:szCs w:val="24"/>
                      <w:lang w:eastAsia="en-GB"/>
                    </w:rPr>
                    <w:t>Condensing mains gas (not community) boiler</w:t>
                  </w:r>
                </w:p>
              </w:tc>
              <w:tc>
                <w:tcPr>
                  <w:tcW w:w="2406"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color w:val="000000"/>
                      <w:szCs w:val="24"/>
                      <w:lang w:eastAsia="en-GB"/>
                    </w:rPr>
                  </w:pPr>
                  <w:r w:rsidRPr="00466DBE">
                    <w:rPr>
                      <w:color w:val="000000"/>
                      <w:szCs w:val="24"/>
                      <w:lang w:eastAsia="en-GB"/>
                    </w:rPr>
                    <w:t>138</w:t>
                  </w:r>
                </w:p>
              </w:tc>
              <w:tc>
                <w:tcPr>
                  <w:tcW w:w="1457"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i/>
                      <w:iCs/>
                      <w:color w:val="000000"/>
                      <w:szCs w:val="24"/>
                      <w:lang w:eastAsia="en-GB"/>
                    </w:rPr>
                  </w:pPr>
                  <w:r w:rsidRPr="00466DBE">
                    <w:rPr>
                      <w:i/>
                      <w:iCs/>
                      <w:color w:val="000000"/>
                      <w:szCs w:val="24"/>
                      <w:lang w:eastAsia="en-GB"/>
                    </w:rPr>
                    <w:t xml:space="preserve">29 </w:t>
                  </w:r>
                </w:p>
              </w:tc>
              <w:tc>
                <w:tcPr>
                  <w:tcW w:w="1069" w:type="dxa"/>
                  <w:gridSpan w:val="3"/>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b/>
                      <w:bCs/>
                      <w:i/>
                      <w:iCs/>
                      <w:color w:val="000000"/>
                      <w:szCs w:val="24"/>
                      <w:lang w:eastAsia="en-GB"/>
                    </w:rPr>
                  </w:pPr>
                </w:p>
              </w:tc>
              <w:tc>
                <w:tcPr>
                  <w:tcW w:w="994" w:type="dxa"/>
                  <w:tcBorders>
                    <w:top w:val="nil"/>
                    <w:left w:val="nil"/>
                    <w:bottom w:val="nil"/>
                    <w:right w:val="nil"/>
                  </w:tcBorders>
                  <w:shd w:val="solid" w:color="FFFFFF" w:fill="auto"/>
                </w:tcPr>
                <w:p w:rsidR="00FC2012" w:rsidRDefault="00FC2012" w:rsidP="003269F2">
                  <w:pPr>
                    <w:autoSpaceDE w:val="0"/>
                    <w:autoSpaceDN w:val="0"/>
                    <w:adjustRightInd w:val="0"/>
                    <w:spacing w:before="0" w:after="0" w:line="240" w:lineRule="auto"/>
                    <w:jc w:val="right"/>
                    <w:rPr>
                      <w:color w:val="000000"/>
                      <w:sz w:val="20"/>
                      <w:lang w:eastAsia="en-GB"/>
                    </w:rPr>
                  </w:pPr>
                </w:p>
              </w:tc>
              <w:tc>
                <w:tcPr>
                  <w:tcW w:w="994" w:type="dxa"/>
                  <w:tcBorders>
                    <w:top w:val="nil"/>
                    <w:left w:val="nil"/>
                    <w:bottom w:val="nil"/>
                    <w:right w:val="nil"/>
                  </w:tcBorders>
                  <w:shd w:val="solid" w:color="FFFFFF" w:fill="auto"/>
                </w:tcPr>
                <w:p w:rsidR="00FC2012" w:rsidRDefault="00FC2012" w:rsidP="003269F2">
                  <w:pPr>
                    <w:autoSpaceDE w:val="0"/>
                    <w:autoSpaceDN w:val="0"/>
                    <w:adjustRightInd w:val="0"/>
                    <w:spacing w:before="0" w:after="0" w:line="240" w:lineRule="auto"/>
                    <w:jc w:val="right"/>
                    <w:rPr>
                      <w:color w:val="000000"/>
                      <w:sz w:val="20"/>
                      <w:lang w:eastAsia="en-GB"/>
                    </w:rPr>
                  </w:pPr>
                </w:p>
              </w:tc>
            </w:tr>
            <w:tr w:rsidR="00FC2012" w:rsidTr="003269F2">
              <w:tblPrEx>
                <w:tblCellMar>
                  <w:top w:w="0" w:type="dxa"/>
                  <w:bottom w:w="0" w:type="dxa"/>
                </w:tblCellMar>
              </w:tblPrEx>
              <w:trPr>
                <w:trHeight w:val="251"/>
              </w:trPr>
              <w:tc>
                <w:tcPr>
                  <w:tcW w:w="4577"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rPr>
                      <w:color w:val="000000"/>
                      <w:szCs w:val="24"/>
                      <w:lang w:eastAsia="en-GB"/>
                    </w:rPr>
                  </w:pPr>
                  <w:r w:rsidRPr="00466DBE">
                    <w:rPr>
                      <w:color w:val="000000"/>
                      <w:szCs w:val="24"/>
                      <w:lang w:eastAsia="en-GB"/>
                    </w:rPr>
                    <w:t>Condensing gas boiler with flue gas heat recovery</w:t>
                  </w:r>
                </w:p>
              </w:tc>
              <w:tc>
                <w:tcPr>
                  <w:tcW w:w="2406"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color w:val="000000"/>
                      <w:szCs w:val="24"/>
                      <w:lang w:eastAsia="en-GB"/>
                    </w:rPr>
                  </w:pPr>
                  <w:r w:rsidRPr="00466DBE">
                    <w:rPr>
                      <w:color w:val="000000"/>
                      <w:szCs w:val="24"/>
                      <w:lang w:eastAsia="en-GB"/>
                    </w:rPr>
                    <w:t>2</w:t>
                  </w:r>
                </w:p>
              </w:tc>
              <w:tc>
                <w:tcPr>
                  <w:tcW w:w="1457"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i/>
                      <w:iCs/>
                      <w:color w:val="000000"/>
                      <w:szCs w:val="24"/>
                      <w:lang w:eastAsia="en-GB"/>
                    </w:rPr>
                  </w:pPr>
                  <w:r w:rsidRPr="00466DBE">
                    <w:rPr>
                      <w:i/>
                      <w:iCs/>
                      <w:color w:val="000000"/>
                      <w:szCs w:val="24"/>
                      <w:lang w:eastAsia="en-GB"/>
                    </w:rPr>
                    <w:t xml:space="preserve">0 </w:t>
                  </w:r>
                </w:p>
              </w:tc>
              <w:tc>
                <w:tcPr>
                  <w:tcW w:w="1069" w:type="dxa"/>
                  <w:gridSpan w:val="3"/>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b/>
                      <w:bCs/>
                      <w:i/>
                      <w:iCs/>
                      <w:color w:val="000000"/>
                      <w:szCs w:val="24"/>
                      <w:lang w:eastAsia="en-GB"/>
                    </w:rPr>
                  </w:pPr>
                </w:p>
              </w:tc>
              <w:tc>
                <w:tcPr>
                  <w:tcW w:w="994" w:type="dxa"/>
                  <w:tcBorders>
                    <w:top w:val="nil"/>
                    <w:left w:val="nil"/>
                    <w:bottom w:val="nil"/>
                    <w:right w:val="nil"/>
                  </w:tcBorders>
                  <w:shd w:val="solid" w:color="FFFFFF" w:fill="auto"/>
                </w:tcPr>
                <w:p w:rsidR="00FC2012" w:rsidRDefault="00FC2012" w:rsidP="003269F2">
                  <w:pPr>
                    <w:autoSpaceDE w:val="0"/>
                    <w:autoSpaceDN w:val="0"/>
                    <w:adjustRightInd w:val="0"/>
                    <w:spacing w:before="0" w:after="0" w:line="240" w:lineRule="auto"/>
                    <w:jc w:val="right"/>
                    <w:rPr>
                      <w:color w:val="000000"/>
                      <w:sz w:val="20"/>
                      <w:lang w:eastAsia="en-GB"/>
                    </w:rPr>
                  </w:pPr>
                </w:p>
              </w:tc>
              <w:tc>
                <w:tcPr>
                  <w:tcW w:w="994" w:type="dxa"/>
                  <w:tcBorders>
                    <w:top w:val="nil"/>
                    <w:left w:val="nil"/>
                    <w:bottom w:val="nil"/>
                    <w:right w:val="nil"/>
                  </w:tcBorders>
                  <w:shd w:val="solid" w:color="FFFFFF" w:fill="auto"/>
                </w:tcPr>
                <w:p w:rsidR="00FC2012" w:rsidRDefault="00FC2012" w:rsidP="003269F2">
                  <w:pPr>
                    <w:autoSpaceDE w:val="0"/>
                    <w:autoSpaceDN w:val="0"/>
                    <w:adjustRightInd w:val="0"/>
                    <w:spacing w:before="0" w:after="0" w:line="240" w:lineRule="auto"/>
                    <w:jc w:val="right"/>
                    <w:rPr>
                      <w:color w:val="000000"/>
                      <w:sz w:val="20"/>
                      <w:lang w:eastAsia="en-GB"/>
                    </w:rPr>
                  </w:pPr>
                </w:p>
              </w:tc>
            </w:tr>
            <w:tr w:rsidR="00FC2012" w:rsidTr="003269F2">
              <w:tblPrEx>
                <w:tblCellMar>
                  <w:top w:w="0" w:type="dxa"/>
                  <w:bottom w:w="0" w:type="dxa"/>
                </w:tblCellMar>
              </w:tblPrEx>
              <w:trPr>
                <w:trHeight w:val="251"/>
              </w:trPr>
              <w:tc>
                <w:tcPr>
                  <w:tcW w:w="4577"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color w:val="000000"/>
                      <w:szCs w:val="24"/>
                      <w:lang w:eastAsia="en-GB"/>
                    </w:rPr>
                  </w:pPr>
                </w:p>
              </w:tc>
              <w:tc>
                <w:tcPr>
                  <w:tcW w:w="2406"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color w:val="000000"/>
                      <w:szCs w:val="24"/>
                      <w:lang w:eastAsia="en-GB"/>
                    </w:rPr>
                  </w:pPr>
                </w:p>
              </w:tc>
              <w:tc>
                <w:tcPr>
                  <w:tcW w:w="1457"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i/>
                      <w:iCs/>
                      <w:color w:val="000000"/>
                      <w:szCs w:val="24"/>
                      <w:lang w:eastAsia="en-GB"/>
                    </w:rPr>
                  </w:pPr>
                </w:p>
              </w:tc>
              <w:tc>
                <w:tcPr>
                  <w:tcW w:w="1069" w:type="dxa"/>
                  <w:gridSpan w:val="3"/>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b/>
                      <w:bCs/>
                      <w:i/>
                      <w:iCs/>
                      <w:color w:val="000000"/>
                      <w:szCs w:val="24"/>
                      <w:lang w:eastAsia="en-GB"/>
                    </w:rPr>
                  </w:pPr>
                </w:p>
              </w:tc>
              <w:tc>
                <w:tcPr>
                  <w:tcW w:w="994" w:type="dxa"/>
                  <w:tcBorders>
                    <w:top w:val="nil"/>
                    <w:left w:val="nil"/>
                    <w:bottom w:val="nil"/>
                    <w:right w:val="nil"/>
                  </w:tcBorders>
                  <w:shd w:val="solid" w:color="FFFFFF" w:fill="auto"/>
                </w:tcPr>
                <w:p w:rsidR="00FC2012" w:rsidRDefault="00FC2012" w:rsidP="003269F2">
                  <w:pPr>
                    <w:autoSpaceDE w:val="0"/>
                    <w:autoSpaceDN w:val="0"/>
                    <w:adjustRightInd w:val="0"/>
                    <w:spacing w:before="0" w:after="0" w:line="240" w:lineRule="auto"/>
                    <w:jc w:val="right"/>
                    <w:rPr>
                      <w:color w:val="000000"/>
                      <w:sz w:val="20"/>
                      <w:lang w:eastAsia="en-GB"/>
                    </w:rPr>
                  </w:pPr>
                </w:p>
              </w:tc>
              <w:tc>
                <w:tcPr>
                  <w:tcW w:w="994" w:type="dxa"/>
                  <w:tcBorders>
                    <w:top w:val="nil"/>
                    <w:left w:val="nil"/>
                    <w:bottom w:val="nil"/>
                    <w:right w:val="nil"/>
                  </w:tcBorders>
                  <w:shd w:val="solid" w:color="FFFFFF" w:fill="auto"/>
                </w:tcPr>
                <w:p w:rsidR="00FC2012" w:rsidRDefault="00FC2012" w:rsidP="003269F2">
                  <w:pPr>
                    <w:autoSpaceDE w:val="0"/>
                    <w:autoSpaceDN w:val="0"/>
                    <w:adjustRightInd w:val="0"/>
                    <w:spacing w:before="0" w:after="0" w:line="240" w:lineRule="auto"/>
                    <w:jc w:val="right"/>
                    <w:rPr>
                      <w:color w:val="000000"/>
                      <w:sz w:val="20"/>
                      <w:lang w:eastAsia="en-GB"/>
                    </w:rPr>
                  </w:pPr>
                </w:p>
              </w:tc>
            </w:tr>
            <w:tr w:rsidR="00FC2012" w:rsidTr="003269F2">
              <w:tblPrEx>
                <w:tblCellMar>
                  <w:top w:w="0" w:type="dxa"/>
                  <w:bottom w:w="0" w:type="dxa"/>
                </w:tblCellMar>
              </w:tblPrEx>
              <w:trPr>
                <w:trHeight w:val="251"/>
              </w:trPr>
              <w:tc>
                <w:tcPr>
                  <w:tcW w:w="4577"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rPr>
                      <w:b/>
                      <w:bCs/>
                      <w:color w:val="000000"/>
                      <w:szCs w:val="24"/>
                      <w:lang w:eastAsia="en-GB"/>
                    </w:rPr>
                  </w:pPr>
                  <w:r w:rsidRPr="00466DBE">
                    <w:rPr>
                      <w:b/>
                      <w:bCs/>
                      <w:color w:val="000000"/>
                      <w:szCs w:val="24"/>
                      <w:lang w:eastAsia="en-GB"/>
                    </w:rPr>
                    <w:t>Cavity wall insulation</w:t>
                  </w:r>
                </w:p>
              </w:tc>
              <w:tc>
                <w:tcPr>
                  <w:tcW w:w="2406"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b/>
                      <w:bCs/>
                      <w:color w:val="000000"/>
                      <w:szCs w:val="24"/>
                      <w:lang w:eastAsia="en-GB"/>
                    </w:rPr>
                  </w:pPr>
                  <w:r w:rsidRPr="00466DBE">
                    <w:rPr>
                      <w:b/>
                      <w:bCs/>
                      <w:color w:val="000000"/>
                      <w:szCs w:val="24"/>
                      <w:lang w:eastAsia="en-GB"/>
                    </w:rPr>
                    <w:t>7</w:t>
                  </w:r>
                </w:p>
              </w:tc>
              <w:tc>
                <w:tcPr>
                  <w:tcW w:w="1457"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b/>
                      <w:bCs/>
                      <w:i/>
                      <w:iCs/>
                      <w:color w:val="000000"/>
                      <w:szCs w:val="24"/>
                      <w:lang w:eastAsia="en-GB"/>
                    </w:rPr>
                  </w:pPr>
                  <w:r w:rsidRPr="00466DBE">
                    <w:rPr>
                      <w:b/>
                      <w:bCs/>
                      <w:i/>
                      <w:iCs/>
                      <w:color w:val="000000"/>
                      <w:szCs w:val="24"/>
                      <w:lang w:eastAsia="en-GB"/>
                    </w:rPr>
                    <w:t xml:space="preserve">2 </w:t>
                  </w:r>
                </w:p>
              </w:tc>
              <w:tc>
                <w:tcPr>
                  <w:tcW w:w="1069" w:type="dxa"/>
                  <w:gridSpan w:val="3"/>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b/>
                      <w:bCs/>
                      <w:i/>
                      <w:iCs/>
                      <w:color w:val="000000"/>
                      <w:szCs w:val="24"/>
                      <w:lang w:eastAsia="en-GB"/>
                    </w:rPr>
                  </w:pPr>
                </w:p>
              </w:tc>
              <w:tc>
                <w:tcPr>
                  <w:tcW w:w="994" w:type="dxa"/>
                  <w:tcBorders>
                    <w:top w:val="nil"/>
                    <w:left w:val="nil"/>
                    <w:bottom w:val="nil"/>
                    <w:right w:val="nil"/>
                  </w:tcBorders>
                  <w:shd w:val="solid" w:color="FFFFFF" w:fill="auto"/>
                </w:tcPr>
                <w:p w:rsidR="00FC2012" w:rsidRDefault="00FC2012" w:rsidP="003269F2">
                  <w:pPr>
                    <w:autoSpaceDE w:val="0"/>
                    <w:autoSpaceDN w:val="0"/>
                    <w:adjustRightInd w:val="0"/>
                    <w:spacing w:before="0" w:after="0" w:line="240" w:lineRule="auto"/>
                    <w:jc w:val="right"/>
                    <w:rPr>
                      <w:color w:val="000000"/>
                      <w:sz w:val="20"/>
                      <w:lang w:eastAsia="en-GB"/>
                    </w:rPr>
                  </w:pPr>
                </w:p>
              </w:tc>
              <w:tc>
                <w:tcPr>
                  <w:tcW w:w="994" w:type="dxa"/>
                  <w:tcBorders>
                    <w:top w:val="nil"/>
                    <w:left w:val="nil"/>
                    <w:bottom w:val="nil"/>
                    <w:right w:val="nil"/>
                  </w:tcBorders>
                  <w:shd w:val="solid" w:color="FFFFFF" w:fill="auto"/>
                </w:tcPr>
                <w:p w:rsidR="00FC2012" w:rsidRDefault="00FC2012" w:rsidP="003269F2">
                  <w:pPr>
                    <w:autoSpaceDE w:val="0"/>
                    <w:autoSpaceDN w:val="0"/>
                    <w:adjustRightInd w:val="0"/>
                    <w:spacing w:before="0" w:after="0" w:line="240" w:lineRule="auto"/>
                    <w:jc w:val="right"/>
                    <w:rPr>
                      <w:color w:val="000000"/>
                      <w:sz w:val="20"/>
                      <w:lang w:eastAsia="en-GB"/>
                    </w:rPr>
                  </w:pPr>
                </w:p>
              </w:tc>
            </w:tr>
            <w:tr w:rsidR="00FC2012" w:rsidTr="003269F2">
              <w:tblPrEx>
                <w:tblCellMar>
                  <w:top w:w="0" w:type="dxa"/>
                  <w:bottom w:w="0" w:type="dxa"/>
                </w:tblCellMar>
              </w:tblPrEx>
              <w:trPr>
                <w:trHeight w:val="251"/>
              </w:trPr>
              <w:tc>
                <w:tcPr>
                  <w:tcW w:w="4577"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color w:val="000000"/>
                      <w:szCs w:val="24"/>
                      <w:lang w:eastAsia="en-GB"/>
                    </w:rPr>
                  </w:pPr>
                </w:p>
              </w:tc>
              <w:tc>
                <w:tcPr>
                  <w:tcW w:w="2406"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color w:val="000000"/>
                      <w:szCs w:val="24"/>
                      <w:lang w:eastAsia="en-GB"/>
                    </w:rPr>
                  </w:pPr>
                </w:p>
              </w:tc>
              <w:tc>
                <w:tcPr>
                  <w:tcW w:w="1457"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i/>
                      <w:iCs/>
                      <w:color w:val="000000"/>
                      <w:szCs w:val="24"/>
                      <w:lang w:eastAsia="en-GB"/>
                    </w:rPr>
                  </w:pPr>
                </w:p>
              </w:tc>
              <w:tc>
                <w:tcPr>
                  <w:tcW w:w="1069" w:type="dxa"/>
                  <w:gridSpan w:val="3"/>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b/>
                      <w:bCs/>
                      <w:i/>
                      <w:iCs/>
                      <w:color w:val="000000"/>
                      <w:szCs w:val="24"/>
                      <w:lang w:eastAsia="en-GB"/>
                    </w:rPr>
                  </w:pPr>
                </w:p>
              </w:tc>
              <w:tc>
                <w:tcPr>
                  <w:tcW w:w="994" w:type="dxa"/>
                  <w:tcBorders>
                    <w:top w:val="nil"/>
                    <w:left w:val="nil"/>
                    <w:bottom w:val="nil"/>
                    <w:right w:val="nil"/>
                  </w:tcBorders>
                  <w:shd w:val="solid" w:color="FFFFFF" w:fill="auto"/>
                </w:tcPr>
                <w:p w:rsidR="00FC2012" w:rsidRDefault="00FC2012" w:rsidP="003269F2">
                  <w:pPr>
                    <w:autoSpaceDE w:val="0"/>
                    <w:autoSpaceDN w:val="0"/>
                    <w:adjustRightInd w:val="0"/>
                    <w:spacing w:before="0" w:after="0" w:line="240" w:lineRule="auto"/>
                    <w:jc w:val="right"/>
                    <w:rPr>
                      <w:color w:val="000000"/>
                      <w:sz w:val="20"/>
                      <w:lang w:eastAsia="en-GB"/>
                    </w:rPr>
                  </w:pPr>
                </w:p>
              </w:tc>
              <w:tc>
                <w:tcPr>
                  <w:tcW w:w="994" w:type="dxa"/>
                  <w:tcBorders>
                    <w:top w:val="nil"/>
                    <w:left w:val="nil"/>
                    <w:bottom w:val="nil"/>
                    <w:right w:val="nil"/>
                  </w:tcBorders>
                  <w:shd w:val="solid" w:color="FFFFFF" w:fill="auto"/>
                </w:tcPr>
                <w:p w:rsidR="00FC2012" w:rsidRDefault="00FC2012" w:rsidP="003269F2">
                  <w:pPr>
                    <w:autoSpaceDE w:val="0"/>
                    <w:autoSpaceDN w:val="0"/>
                    <w:adjustRightInd w:val="0"/>
                    <w:spacing w:before="0" w:after="0" w:line="240" w:lineRule="auto"/>
                    <w:jc w:val="right"/>
                    <w:rPr>
                      <w:color w:val="000000"/>
                      <w:sz w:val="20"/>
                      <w:lang w:eastAsia="en-GB"/>
                    </w:rPr>
                  </w:pPr>
                </w:p>
              </w:tc>
            </w:tr>
            <w:tr w:rsidR="00FC2012" w:rsidTr="003269F2">
              <w:tblPrEx>
                <w:tblCellMar>
                  <w:top w:w="0" w:type="dxa"/>
                  <w:bottom w:w="0" w:type="dxa"/>
                </w:tblCellMar>
              </w:tblPrEx>
              <w:trPr>
                <w:trHeight w:val="251"/>
              </w:trPr>
              <w:tc>
                <w:tcPr>
                  <w:tcW w:w="4577"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rPr>
                      <w:b/>
                      <w:bCs/>
                      <w:color w:val="000000"/>
                      <w:szCs w:val="24"/>
                      <w:lang w:eastAsia="en-GB"/>
                    </w:rPr>
                  </w:pPr>
                  <w:r w:rsidRPr="00466DBE">
                    <w:rPr>
                      <w:b/>
                      <w:bCs/>
                      <w:color w:val="000000"/>
                      <w:szCs w:val="24"/>
                      <w:lang w:eastAsia="en-GB"/>
                    </w:rPr>
                    <w:t>Loft Insulation</w:t>
                  </w:r>
                </w:p>
              </w:tc>
              <w:tc>
                <w:tcPr>
                  <w:tcW w:w="2406"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b/>
                      <w:bCs/>
                      <w:color w:val="000000"/>
                      <w:szCs w:val="24"/>
                      <w:lang w:eastAsia="en-GB"/>
                    </w:rPr>
                  </w:pPr>
                  <w:r w:rsidRPr="00466DBE">
                    <w:rPr>
                      <w:b/>
                      <w:bCs/>
                      <w:color w:val="000000"/>
                      <w:szCs w:val="24"/>
                      <w:lang w:eastAsia="en-GB"/>
                    </w:rPr>
                    <w:t>37</w:t>
                  </w:r>
                </w:p>
              </w:tc>
              <w:tc>
                <w:tcPr>
                  <w:tcW w:w="1457"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b/>
                      <w:bCs/>
                      <w:i/>
                      <w:iCs/>
                      <w:color w:val="000000"/>
                      <w:szCs w:val="24"/>
                      <w:lang w:eastAsia="en-GB"/>
                    </w:rPr>
                  </w:pPr>
                  <w:r w:rsidRPr="00466DBE">
                    <w:rPr>
                      <w:b/>
                      <w:bCs/>
                      <w:i/>
                      <w:iCs/>
                      <w:color w:val="000000"/>
                      <w:szCs w:val="24"/>
                      <w:lang w:eastAsia="en-GB"/>
                    </w:rPr>
                    <w:t xml:space="preserve">8 </w:t>
                  </w:r>
                </w:p>
              </w:tc>
              <w:tc>
                <w:tcPr>
                  <w:tcW w:w="1069" w:type="dxa"/>
                  <w:gridSpan w:val="3"/>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b/>
                      <w:bCs/>
                      <w:i/>
                      <w:iCs/>
                      <w:color w:val="000000"/>
                      <w:szCs w:val="24"/>
                      <w:lang w:eastAsia="en-GB"/>
                    </w:rPr>
                  </w:pPr>
                </w:p>
              </w:tc>
              <w:tc>
                <w:tcPr>
                  <w:tcW w:w="994" w:type="dxa"/>
                  <w:tcBorders>
                    <w:top w:val="nil"/>
                    <w:left w:val="nil"/>
                    <w:bottom w:val="nil"/>
                    <w:right w:val="nil"/>
                  </w:tcBorders>
                  <w:shd w:val="solid" w:color="FFFFFF" w:fill="auto"/>
                </w:tcPr>
                <w:p w:rsidR="00FC2012" w:rsidRDefault="00FC2012" w:rsidP="003269F2">
                  <w:pPr>
                    <w:autoSpaceDE w:val="0"/>
                    <w:autoSpaceDN w:val="0"/>
                    <w:adjustRightInd w:val="0"/>
                    <w:spacing w:before="0" w:after="0" w:line="240" w:lineRule="auto"/>
                    <w:jc w:val="right"/>
                    <w:rPr>
                      <w:color w:val="000000"/>
                      <w:sz w:val="20"/>
                      <w:lang w:eastAsia="en-GB"/>
                    </w:rPr>
                  </w:pPr>
                </w:p>
              </w:tc>
              <w:tc>
                <w:tcPr>
                  <w:tcW w:w="994" w:type="dxa"/>
                  <w:tcBorders>
                    <w:top w:val="nil"/>
                    <w:left w:val="nil"/>
                    <w:bottom w:val="nil"/>
                    <w:right w:val="nil"/>
                  </w:tcBorders>
                  <w:shd w:val="solid" w:color="FFFFFF" w:fill="auto"/>
                </w:tcPr>
                <w:p w:rsidR="00FC2012" w:rsidRDefault="00FC2012" w:rsidP="003269F2">
                  <w:pPr>
                    <w:autoSpaceDE w:val="0"/>
                    <w:autoSpaceDN w:val="0"/>
                    <w:adjustRightInd w:val="0"/>
                    <w:spacing w:before="0" w:after="0" w:line="240" w:lineRule="auto"/>
                    <w:jc w:val="right"/>
                    <w:rPr>
                      <w:color w:val="000000"/>
                      <w:sz w:val="20"/>
                      <w:lang w:eastAsia="en-GB"/>
                    </w:rPr>
                  </w:pPr>
                </w:p>
              </w:tc>
            </w:tr>
            <w:tr w:rsidR="00FC2012" w:rsidTr="003269F2">
              <w:tblPrEx>
                <w:tblCellMar>
                  <w:top w:w="0" w:type="dxa"/>
                  <w:bottom w:w="0" w:type="dxa"/>
                </w:tblCellMar>
              </w:tblPrEx>
              <w:trPr>
                <w:trHeight w:val="251"/>
              </w:trPr>
              <w:tc>
                <w:tcPr>
                  <w:tcW w:w="4577"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b/>
                      <w:bCs/>
                      <w:color w:val="000000"/>
                      <w:szCs w:val="24"/>
                      <w:lang w:eastAsia="en-GB"/>
                    </w:rPr>
                  </w:pPr>
                </w:p>
              </w:tc>
              <w:tc>
                <w:tcPr>
                  <w:tcW w:w="2406"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color w:val="000000"/>
                      <w:szCs w:val="24"/>
                      <w:lang w:eastAsia="en-GB"/>
                    </w:rPr>
                  </w:pPr>
                </w:p>
              </w:tc>
              <w:tc>
                <w:tcPr>
                  <w:tcW w:w="1457"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i/>
                      <w:iCs/>
                      <w:color w:val="000000"/>
                      <w:szCs w:val="24"/>
                      <w:lang w:eastAsia="en-GB"/>
                    </w:rPr>
                  </w:pPr>
                </w:p>
              </w:tc>
              <w:tc>
                <w:tcPr>
                  <w:tcW w:w="1069" w:type="dxa"/>
                  <w:gridSpan w:val="3"/>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b/>
                      <w:bCs/>
                      <w:i/>
                      <w:iCs/>
                      <w:color w:val="000000"/>
                      <w:szCs w:val="24"/>
                      <w:lang w:eastAsia="en-GB"/>
                    </w:rPr>
                  </w:pPr>
                </w:p>
              </w:tc>
              <w:tc>
                <w:tcPr>
                  <w:tcW w:w="994" w:type="dxa"/>
                  <w:tcBorders>
                    <w:top w:val="nil"/>
                    <w:left w:val="nil"/>
                    <w:bottom w:val="nil"/>
                    <w:right w:val="nil"/>
                  </w:tcBorders>
                  <w:shd w:val="solid" w:color="FFFFFF" w:fill="auto"/>
                </w:tcPr>
                <w:p w:rsidR="00FC2012" w:rsidRDefault="00FC2012" w:rsidP="003269F2">
                  <w:pPr>
                    <w:autoSpaceDE w:val="0"/>
                    <w:autoSpaceDN w:val="0"/>
                    <w:adjustRightInd w:val="0"/>
                    <w:spacing w:before="0" w:after="0" w:line="240" w:lineRule="auto"/>
                    <w:jc w:val="right"/>
                    <w:rPr>
                      <w:color w:val="000000"/>
                      <w:sz w:val="20"/>
                      <w:lang w:eastAsia="en-GB"/>
                    </w:rPr>
                  </w:pPr>
                </w:p>
              </w:tc>
              <w:tc>
                <w:tcPr>
                  <w:tcW w:w="994" w:type="dxa"/>
                  <w:tcBorders>
                    <w:top w:val="nil"/>
                    <w:left w:val="nil"/>
                    <w:bottom w:val="nil"/>
                    <w:right w:val="nil"/>
                  </w:tcBorders>
                  <w:shd w:val="solid" w:color="FFFFFF" w:fill="auto"/>
                </w:tcPr>
                <w:p w:rsidR="00FC2012" w:rsidRDefault="00FC2012" w:rsidP="003269F2">
                  <w:pPr>
                    <w:autoSpaceDE w:val="0"/>
                    <w:autoSpaceDN w:val="0"/>
                    <w:adjustRightInd w:val="0"/>
                    <w:spacing w:before="0" w:after="0" w:line="240" w:lineRule="auto"/>
                    <w:jc w:val="right"/>
                    <w:rPr>
                      <w:color w:val="000000"/>
                      <w:sz w:val="20"/>
                      <w:lang w:eastAsia="en-GB"/>
                    </w:rPr>
                  </w:pPr>
                </w:p>
              </w:tc>
            </w:tr>
            <w:tr w:rsidR="00FC2012" w:rsidTr="003269F2">
              <w:tblPrEx>
                <w:tblCellMar>
                  <w:top w:w="0" w:type="dxa"/>
                  <w:bottom w:w="0" w:type="dxa"/>
                </w:tblCellMar>
              </w:tblPrEx>
              <w:trPr>
                <w:trHeight w:val="251"/>
              </w:trPr>
              <w:tc>
                <w:tcPr>
                  <w:tcW w:w="4577"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rPr>
                      <w:b/>
                      <w:bCs/>
                      <w:color w:val="000000"/>
                      <w:szCs w:val="24"/>
                      <w:lang w:eastAsia="en-GB"/>
                    </w:rPr>
                  </w:pPr>
                  <w:r w:rsidRPr="00466DBE">
                    <w:rPr>
                      <w:b/>
                      <w:bCs/>
                      <w:color w:val="000000"/>
                      <w:szCs w:val="24"/>
                      <w:lang w:eastAsia="en-GB"/>
                    </w:rPr>
                    <w:t>Micro-generation</w:t>
                  </w:r>
                </w:p>
              </w:tc>
              <w:tc>
                <w:tcPr>
                  <w:tcW w:w="2406"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b/>
                      <w:bCs/>
                      <w:color w:val="000000"/>
                      <w:szCs w:val="24"/>
                      <w:lang w:eastAsia="en-GB"/>
                    </w:rPr>
                  </w:pPr>
                  <w:r w:rsidRPr="00466DBE">
                    <w:rPr>
                      <w:b/>
                      <w:bCs/>
                      <w:color w:val="000000"/>
                      <w:szCs w:val="24"/>
                      <w:lang w:eastAsia="en-GB"/>
                    </w:rPr>
                    <w:t>78</w:t>
                  </w:r>
                </w:p>
              </w:tc>
              <w:tc>
                <w:tcPr>
                  <w:tcW w:w="1457"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b/>
                      <w:bCs/>
                      <w:i/>
                      <w:iCs/>
                      <w:color w:val="000000"/>
                      <w:szCs w:val="24"/>
                      <w:lang w:eastAsia="en-GB"/>
                    </w:rPr>
                  </w:pPr>
                  <w:r w:rsidRPr="00466DBE">
                    <w:rPr>
                      <w:b/>
                      <w:bCs/>
                      <w:i/>
                      <w:iCs/>
                      <w:color w:val="000000"/>
                      <w:szCs w:val="24"/>
                      <w:lang w:eastAsia="en-GB"/>
                    </w:rPr>
                    <w:t xml:space="preserve">16 </w:t>
                  </w:r>
                </w:p>
              </w:tc>
              <w:tc>
                <w:tcPr>
                  <w:tcW w:w="1069" w:type="dxa"/>
                  <w:gridSpan w:val="3"/>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b/>
                      <w:bCs/>
                      <w:i/>
                      <w:iCs/>
                      <w:color w:val="000000"/>
                      <w:szCs w:val="24"/>
                      <w:lang w:eastAsia="en-GB"/>
                    </w:rPr>
                  </w:pPr>
                </w:p>
              </w:tc>
              <w:tc>
                <w:tcPr>
                  <w:tcW w:w="994" w:type="dxa"/>
                  <w:tcBorders>
                    <w:top w:val="nil"/>
                    <w:left w:val="nil"/>
                    <w:bottom w:val="nil"/>
                    <w:right w:val="nil"/>
                  </w:tcBorders>
                  <w:shd w:val="solid" w:color="FFFFFF" w:fill="auto"/>
                </w:tcPr>
                <w:p w:rsidR="00FC2012" w:rsidRDefault="00FC2012" w:rsidP="003269F2">
                  <w:pPr>
                    <w:autoSpaceDE w:val="0"/>
                    <w:autoSpaceDN w:val="0"/>
                    <w:adjustRightInd w:val="0"/>
                    <w:spacing w:before="0" w:after="0" w:line="240" w:lineRule="auto"/>
                    <w:jc w:val="right"/>
                    <w:rPr>
                      <w:color w:val="000000"/>
                      <w:sz w:val="20"/>
                      <w:lang w:eastAsia="en-GB"/>
                    </w:rPr>
                  </w:pPr>
                </w:p>
              </w:tc>
              <w:tc>
                <w:tcPr>
                  <w:tcW w:w="994" w:type="dxa"/>
                  <w:tcBorders>
                    <w:top w:val="nil"/>
                    <w:left w:val="nil"/>
                    <w:bottom w:val="nil"/>
                    <w:right w:val="nil"/>
                  </w:tcBorders>
                  <w:shd w:val="solid" w:color="FFFFFF" w:fill="auto"/>
                </w:tcPr>
                <w:p w:rsidR="00FC2012" w:rsidRDefault="00FC2012" w:rsidP="003269F2">
                  <w:pPr>
                    <w:autoSpaceDE w:val="0"/>
                    <w:autoSpaceDN w:val="0"/>
                    <w:adjustRightInd w:val="0"/>
                    <w:spacing w:before="0" w:after="0" w:line="240" w:lineRule="auto"/>
                    <w:jc w:val="right"/>
                    <w:rPr>
                      <w:color w:val="000000"/>
                      <w:sz w:val="20"/>
                      <w:lang w:eastAsia="en-GB"/>
                    </w:rPr>
                  </w:pPr>
                </w:p>
              </w:tc>
            </w:tr>
            <w:tr w:rsidR="00FC2012" w:rsidTr="003269F2">
              <w:tblPrEx>
                <w:tblCellMar>
                  <w:top w:w="0" w:type="dxa"/>
                  <w:bottom w:w="0" w:type="dxa"/>
                </w:tblCellMar>
              </w:tblPrEx>
              <w:trPr>
                <w:trHeight w:val="251"/>
              </w:trPr>
              <w:tc>
                <w:tcPr>
                  <w:tcW w:w="4577"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rPr>
                      <w:color w:val="000000"/>
                      <w:szCs w:val="24"/>
                      <w:lang w:eastAsia="en-GB"/>
                    </w:rPr>
                  </w:pPr>
                  <w:r w:rsidRPr="00466DBE">
                    <w:rPr>
                      <w:color w:val="000000"/>
                      <w:szCs w:val="24"/>
                      <w:lang w:eastAsia="en-GB"/>
                    </w:rPr>
                    <w:t>Photovoltaics</w:t>
                  </w:r>
                </w:p>
              </w:tc>
              <w:tc>
                <w:tcPr>
                  <w:tcW w:w="2406"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color w:val="000000"/>
                      <w:szCs w:val="24"/>
                      <w:lang w:eastAsia="en-GB"/>
                    </w:rPr>
                  </w:pPr>
                  <w:r w:rsidRPr="00466DBE">
                    <w:rPr>
                      <w:color w:val="000000"/>
                      <w:szCs w:val="24"/>
                      <w:lang w:eastAsia="en-GB"/>
                    </w:rPr>
                    <w:t>78</w:t>
                  </w:r>
                </w:p>
              </w:tc>
              <w:tc>
                <w:tcPr>
                  <w:tcW w:w="1457"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i/>
                      <w:iCs/>
                      <w:color w:val="000000"/>
                      <w:szCs w:val="24"/>
                      <w:lang w:eastAsia="en-GB"/>
                    </w:rPr>
                  </w:pPr>
                  <w:r w:rsidRPr="00466DBE">
                    <w:rPr>
                      <w:i/>
                      <w:iCs/>
                      <w:color w:val="000000"/>
                      <w:szCs w:val="24"/>
                      <w:lang w:eastAsia="en-GB"/>
                    </w:rPr>
                    <w:t xml:space="preserve">16 </w:t>
                  </w:r>
                </w:p>
              </w:tc>
              <w:tc>
                <w:tcPr>
                  <w:tcW w:w="1069" w:type="dxa"/>
                  <w:gridSpan w:val="3"/>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b/>
                      <w:bCs/>
                      <w:i/>
                      <w:iCs/>
                      <w:color w:val="000000"/>
                      <w:szCs w:val="24"/>
                      <w:lang w:eastAsia="en-GB"/>
                    </w:rPr>
                  </w:pPr>
                </w:p>
              </w:tc>
              <w:tc>
                <w:tcPr>
                  <w:tcW w:w="994" w:type="dxa"/>
                  <w:tcBorders>
                    <w:top w:val="nil"/>
                    <w:left w:val="nil"/>
                    <w:bottom w:val="nil"/>
                    <w:right w:val="nil"/>
                  </w:tcBorders>
                  <w:shd w:val="solid" w:color="FFFFFF" w:fill="auto"/>
                </w:tcPr>
                <w:p w:rsidR="00FC2012" w:rsidRDefault="00FC2012" w:rsidP="003269F2">
                  <w:pPr>
                    <w:autoSpaceDE w:val="0"/>
                    <w:autoSpaceDN w:val="0"/>
                    <w:adjustRightInd w:val="0"/>
                    <w:spacing w:before="0" w:after="0" w:line="240" w:lineRule="auto"/>
                    <w:jc w:val="right"/>
                    <w:rPr>
                      <w:color w:val="000000"/>
                      <w:sz w:val="20"/>
                      <w:lang w:eastAsia="en-GB"/>
                    </w:rPr>
                  </w:pPr>
                </w:p>
              </w:tc>
              <w:tc>
                <w:tcPr>
                  <w:tcW w:w="994" w:type="dxa"/>
                  <w:tcBorders>
                    <w:top w:val="nil"/>
                    <w:left w:val="nil"/>
                    <w:bottom w:val="nil"/>
                    <w:right w:val="nil"/>
                  </w:tcBorders>
                  <w:shd w:val="solid" w:color="FFFFFF" w:fill="auto"/>
                </w:tcPr>
                <w:p w:rsidR="00FC2012" w:rsidRDefault="00FC2012" w:rsidP="003269F2">
                  <w:pPr>
                    <w:autoSpaceDE w:val="0"/>
                    <w:autoSpaceDN w:val="0"/>
                    <w:adjustRightInd w:val="0"/>
                    <w:spacing w:before="0" w:after="0" w:line="240" w:lineRule="auto"/>
                    <w:jc w:val="right"/>
                    <w:rPr>
                      <w:color w:val="000000"/>
                      <w:sz w:val="20"/>
                      <w:lang w:eastAsia="en-GB"/>
                    </w:rPr>
                  </w:pPr>
                </w:p>
              </w:tc>
            </w:tr>
            <w:tr w:rsidR="00FC2012" w:rsidTr="003269F2">
              <w:tblPrEx>
                <w:tblCellMar>
                  <w:top w:w="0" w:type="dxa"/>
                  <w:bottom w:w="0" w:type="dxa"/>
                </w:tblCellMar>
              </w:tblPrEx>
              <w:trPr>
                <w:trHeight w:val="251"/>
              </w:trPr>
              <w:tc>
                <w:tcPr>
                  <w:tcW w:w="4577"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b/>
                      <w:bCs/>
                      <w:color w:val="000000"/>
                      <w:szCs w:val="24"/>
                      <w:lang w:eastAsia="en-GB"/>
                    </w:rPr>
                  </w:pPr>
                </w:p>
              </w:tc>
              <w:tc>
                <w:tcPr>
                  <w:tcW w:w="2406"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color w:val="000000"/>
                      <w:szCs w:val="24"/>
                      <w:lang w:eastAsia="en-GB"/>
                    </w:rPr>
                  </w:pPr>
                </w:p>
              </w:tc>
              <w:tc>
                <w:tcPr>
                  <w:tcW w:w="1457"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i/>
                      <w:iCs/>
                      <w:color w:val="000000"/>
                      <w:szCs w:val="24"/>
                      <w:lang w:eastAsia="en-GB"/>
                    </w:rPr>
                  </w:pPr>
                </w:p>
              </w:tc>
              <w:tc>
                <w:tcPr>
                  <w:tcW w:w="1069" w:type="dxa"/>
                  <w:gridSpan w:val="3"/>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b/>
                      <w:bCs/>
                      <w:i/>
                      <w:iCs/>
                      <w:color w:val="000000"/>
                      <w:szCs w:val="24"/>
                      <w:lang w:eastAsia="en-GB"/>
                    </w:rPr>
                  </w:pPr>
                </w:p>
              </w:tc>
              <w:tc>
                <w:tcPr>
                  <w:tcW w:w="994" w:type="dxa"/>
                  <w:tcBorders>
                    <w:top w:val="nil"/>
                    <w:left w:val="nil"/>
                    <w:bottom w:val="nil"/>
                    <w:right w:val="nil"/>
                  </w:tcBorders>
                  <w:shd w:val="solid" w:color="FFFFFF" w:fill="auto"/>
                </w:tcPr>
                <w:p w:rsidR="00FC2012" w:rsidRDefault="00FC2012" w:rsidP="003269F2">
                  <w:pPr>
                    <w:autoSpaceDE w:val="0"/>
                    <w:autoSpaceDN w:val="0"/>
                    <w:adjustRightInd w:val="0"/>
                    <w:spacing w:before="0" w:after="0" w:line="240" w:lineRule="auto"/>
                    <w:jc w:val="right"/>
                    <w:rPr>
                      <w:color w:val="000000"/>
                      <w:sz w:val="20"/>
                      <w:lang w:eastAsia="en-GB"/>
                    </w:rPr>
                  </w:pPr>
                </w:p>
              </w:tc>
              <w:tc>
                <w:tcPr>
                  <w:tcW w:w="994" w:type="dxa"/>
                  <w:tcBorders>
                    <w:top w:val="nil"/>
                    <w:left w:val="nil"/>
                    <w:bottom w:val="nil"/>
                    <w:right w:val="nil"/>
                  </w:tcBorders>
                  <w:shd w:val="solid" w:color="FFFFFF" w:fill="auto"/>
                </w:tcPr>
                <w:p w:rsidR="00FC2012" w:rsidRDefault="00FC2012" w:rsidP="003269F2">
                  <w:pPr>
                    <w:autoSpaceDE w:val="0"/>
                    <w:autoSpaceDN w:val="0"/>
                    <w:adjustRightInd w:val="0"/>
                    <w:spacing w:before="0" w:after="0" w:line="240" w:lineRule="auto"/>
                    <w:jc w:val="right"/>
                    <w:rPr>
                      <w:color w:val="000000"/>
                      <w:sz w:val="20"/>
                      <w:lang w:eastAsia="en-GB"/>
                    </w:rPr>
                  </w:pPr>
                </w:p>
              </w:tc>
            </w:tr>
            <w:tr w:rsidR="00FC2012" w:rsidTr="003269F2">
              <w:tblPrEx>
                <w:tblCellMar>
                  <w:top w:w="0" w:type="dxa"/>
                  <w:bottom w:w="0" w:type="dxa"/>
                </w:tblCellMar>
              </w:tblPrEx>
              <w:trPr>
                <w:trHeight w:val="251"/>
              </w:trPr>
              <w:tc>
                <w:tcPr>
                  <w:tcW w:w="4577"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rPr>
                      <w:b/>
                      <w:bCs/>
                      <w:color w:val="000000"/>
                      <w:szCs w:val="24"/>
                      <w:lang w:eastAsia="en-GB"/>
                    </w:rPr>
                  </w:pPr>
                  <w:r w:rsidRPr="00466DBE">
                    <w:rPr>
                      <w:b/>
                      <w:bCs/>
                      <w:color w:val="000000"/>
                      <w:szCs w:val="24"/>
                      <w:lang w:eastAsia="en-GB"/>
                    </w:rPr>
                    <w:t>Other Heating</w:t>
                  </w:r>
                </w:p>
              </w:tc>
              <w:tc>
                <w:tcPr>
                  <w:tcW w:w="2406"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b/>
                      <w:bCs/>
                      <w:color w:val="000000"/>
                      <w:szCs w:val="24"/>
                      <w:lang w:eastAsia="en-GB"/>
                    </w:rPr>
                  </w:pPr>
                  <w:r w:rsidRPr="00466DBE">
                    <w:rPr>
                      <w:b/>
                      <w:bCs/>
                      <w:color w:val="000000"/>
                      <w:szCs w:val="24"/>
                      <w:lang w:eastAsia="en-GB"/>
                    </w:rPr>
                    <w:t>71</w:t>
                  </w:r>
                </w:p>
              </w:tc>
              <w:tc>
                <w:tcPr>
                  <w:tcW w:w="1457"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b/>
                      <w:bCs/>
                      <w:i/>
                      <w:iCs/>
                      <w:color w:val="000000"/>
                      <w:szCs w:val="24"/>
                      <w:lang w:eastAsia="en-GB"/>
                    </w:rPr>
                  </w:pPr>
                  <w:r w:rsidRPr="00466DBE">
                    <w:rPr>
                      <w:b/>
                      <w:bCs/>
                      <w:i/>
                      <w:iCs/>
                      <w:color w:val="000000"/>
                      <w:szCs w:val="24"/>
                      <w:lang w:eastAsia="en-GB"/>
                    </w:rPr>
                    <w:t xml:space="preserve">15 </w:t>
                  </w:r>
                </w:p>
              </w:tc>
              <w:tc>
                <w:tcPr>
                  <w:tcW w:w="1069" w:type="dxa"/>
                  <w:gridSpan w:val="3"/>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b/>
                      <w:bCs/>
                      <w:i/>
                      <w:iCs/>
                      <w:color w:val="000000"/>
                      <w:szCs w:val="24"/>
                      <w:lang w:eastAsia="en-GB"/>
                    </w:rPr>
                  </w:pPr>
                </w:p>
              </w:tc>
              <w:tc>
                <w:tcPr>
                  <w:tcW w:w="994" w:type="dxa"/>
                  <w:tcBorders>
                    <w:top w:val="nil"/>
                    <w:left w:val="nil"/>
                    <w:bottom w:val="nil"/>
                    <w:right w:val="nil"/>
                  </w:tcBorders>
                  <w:shd w:val="solid" w:color="FFFFFF" w:fill="auto"/>
                </w:tcPr>
                <w:p w:rsidR="00FC2012" w:rsidRDefault="00FC2012" w:rsidP="003269F2">
                  <w:pPr>
                    <w:autoSpaceDE w:val="0"/>
                    <w:autoSpaceDN w:val="0"/>
                    <w:adjustRightInd w:val="0"/>
                    <w:spacing w:before="0" w:after="0" w:line="240" w:lineRule="auto"/>
                    <w:jc w:val="right"/>
                    <w:rPr>
                      <w:color w:val="000000"/>
                      <w:sz w:val="20"/>
                      <w:lang w:eastAsia="en-GB"/>
                    </w:rPr>
                  </w:pPr>
                </w:p>
              </w:tc>
              <w:tc>
                <w:tcPr>
                  <w:tcW w:w="994" w:type="dxa"/>
                  <w:tcBorders>
                    <w:top w:val="nil"/>
                    <w:left w:val="nil"/>
                    <w:bottom w:val="nil"/>
                    <w:right w:val="nil"/>
                  </w:tcBorders>
                  <w:shd w:val="solid" w:color="FFFFFF" w:fill="auto"/>
                </w:tcPr>
                <w:p w:rsidR="00FC2012" w:rsidRDefault="00FC2012" w:rsidP="003269F2">
                  <w:pPr>
                    <w:autoSpaceDE w:val="0"/>
                    <w:autoSpaceDN w:val="0"/>
                    <w:adjustRightInd w:val="0"/>
                    <w:spacing w:before="0" w:after="0" w:line="240" w:lineRule="auto"/>
                    <w:jc w:val="right"/>
                    <w:rPr>
                      <w:color w:val="000000"/>
                      <w:sz w:val="20"/>
                      <w:lang w:eastAsia="en-GB"/>
                    </w:rPr>
                  </w:pPr>
                </w:p>
              </w:tc>
            </w:tr>
            <w:tr w:rsidR="00FC2012" w:rsidTr="003269F2">
              <w:tblPrEx>
                <w:tblCellMar>
                  <w:top w:w="0" w:type="dxa"/>
                  <w:bottom w:w="0" w:type="dxa"/>
                </w:tblCellMar>
              </w:tblPrEx>
              <w:trPr>
                <w:trHeight w:val="251"/>
              </w:trPr>
              <w:tc>
                <w:tcPr>
                  <w:tcW w:w="4577"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rPr>
                      <w:color w:val="000000"/>
                      <w:szCs w:val="24"/>
                      <w:lang w:eastAsia="en-GB"/>
                    </w:rPr>
                  </w:pPr>
                  <w:r w:rsidRPr="00466DBE">
                    <w:rPr>
                      <w:color w:val="000000"/>
                      <w:szCs w:val="24"/>
                      <w:lang w:eastAsia="en-GB"/>
                    </w:rPr>
                    <w:t>Heating controls</w:t>
                  </w:r>
                </w:p>
              </w:tc>
              <w:tc>
                <w:tcPr>
                  <w:tcW w:w="2406"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color w:val="000000"/>
                      <w:szCs w:val="24"/>
                      <w:lang w:eastAsia="en-GB"/>
                    </w:rPr>
                  </w:pPr>
                  <w:r w:rsidRPr="00466DBE">
                    <w:rPr>
                      <w:color w:val="000000"/>
                      <w:szCs w:val="24"/>
                      <w:lang w:eastAsia="en-GB"/>
                    </w:rPr>
                    <w:t>71</w:t>
                  </w:r>
                </w:p>
              </w:tc>
              <w:tc>
                <w:tcPr>
                  <w:tcW w:w="1457"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i/>
                      <w:iCs/>
                      <w:color w:val="000000"/>
                      <w:szCs w:val="24"/>
                      <w:lang w:eastAsia="en-GB"/>
                    </w:rPr>
                  </w:pPr>
                  <w:r w:rsidRPr="00466DBE">
                    <w:rPr>
                      <w:i/>
                      <w:iCs/>
                      <w:color w:val="000000"/>
                      <w:szCs w:val="24"/>
                      <w:lang w:eastAsia="en-GB"/>
                    </w:rPr>
                    <w:t xml:space="preserve">15 </w:t>
                  </w:r>
                </w:p>
              </w:tc>
              <w:tc>
                <w:tcPr>
                  <w:tcW w:w="1069" w:type="dxa"/>
                  <w:gridSpan w:val="3"/>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color w:val="000000"/>
                      <w:szCs w:val="24"/>
                      <w:lang w:eastAsia="en-GB"/>
                    </w:rPr>
                  </w:pPr>
                </w:p>
              </w:tc>
              <w:tc>
                <w:tcPr>
                  <w:tcW w:w="994" w:type="dxa"/>
                  <w:tcBorders>
                    <w:top w:val="nil"/>
                    <w:left w:val="nil"/>
                    <w:bottom w:val="nil"/>
                    <w:right w:val="nil"/>
                  </w:tcBorders>
                  <w:shd w:val="solid" w:color="FFFFFF" w:fill="auto"/>
                </w:tcPr>
                <w:p w:rsidR="00FC2012" w:rsidRDefault="00FC2012" w:rsidP="003269F2">
                  <w:pPr>
                    <w:autoSpaceDE w:val="0"/>
                    <w:autoSpaceDN w:val="0"/>
                    <w:adjustRightInd w:val="0"/>
                    <w:spacing w:before="0" w:after="0" w:line="240" w:lineRule="auto"/>
                    <w:jc w:val="right"/>
                    <w:rPr>
                      <w:color w:val="000000"/>
                      <w:sz w:val="20"/>
                      <w:lang w:eastAsia="en-GB"/>
                    </w:rPr>
                  </w:pPr>
                </w:p>
              </w:tc>
              <w:tc>
                <w:tcPr>
                  <w:tcW w:w="994" w:type="dxa"/>
                  <w:tcBorders>
                    <w:top w:val="nil"/>
                    <w:left w:val="nil"/>
                    <w:bottom w:val="nil"/>
                    <w:right w:val="nil"/>
                  </w:tcBorders>
                  <w:shd w:val="solid" w:color="FFFFFF" w:fill="auto"/>
                </w:tcPr>
                <w:p w:rsidR="00FC2012" w:rsidRDefault="00FC2012" w:rsidP="003269F2">
                  <w:pPr>
                    <w:autoSpaceDE w:val="0"/>
                    <w:autoSpaceDN w:val="0"/>
                    <w:adjustRightInd w:val="0"/>
                    <w:spacing w:before="0" w:after="0" w:line="240" w:lineRule="auto"/>
                    <w:jc w:val="right"/>
                    <w:rPr>
                      <w:color w:val="000000"/>
                      <w:sz w:val="20"/>
                      <w:lang w:eastAsia="en-GB"/>
                    </w:rPr>
                  </w:pPr>
                </w:p>
              </w:tc>
            </w:tr>
            <w:tr w:rsidR="00FC2012" w:rsidTr="003269F2">
              <w:tblPrEx>
                <w:tblCellMar>
                  <w:top w:w="0" w:type="dxa"/>
                  <w:bottom w:w="0" w:type="dxa"/>
                </w:tblCellMar>
              </w:tblPrEx>
              <w:trPr>
                <w:trHeight w:val="251"/>
              </w:trPr>
              <w:tc>
                <w:tcPr>
                  <w:tcW w:w="4577"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b/>
                      <w:bCs/>
                      <w:color w:val="000000"/>
                      <w:szCs w:val="24"/>
                      <w:lang w:eastAsia="en-GB"/>
                    </w:rPr>
                  </w:pPr>
                </w:p>
              </w:tc>
              <w:tc>
                <w:tcPr>
                  <w:tcW w:w="2406"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color w:val="000000"/>
                      <w:szCs w:val="24"/>
                      <w:lang w:eastAsia="en-GB"/>
                    </w:rPr>
                  </w:pPr>
                </w:p>
              </w:tc>
              <w:tc>
                <w:tcPr>
                  <w:tcW w:w="1457"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i/>
                      <w:iCs/>
                      <w:color w:val="000000"/>
                      <w:szCs w:val="24"/>
                      <w:lang w:eastAsia="en-GB"/>
                    </w:rPr>
                  </w:pPr>
                </w:p>
              </w:tc>
              <w:tc>
                <w:tcPr>
                  <w:tcW w:w="1069" w:type="dxa"/>
                  <w:gridSpan w:val="3"/>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color w:val="000000"/>
                      <w:szCs w:val="24"/>
                      <w:lang w:eastAsia="en-GB"/>
                    </w:rPr>
                  </w:pPr>
                </w:p>
              </w:tc>
              <w:tc>
                <w:tcPr>
                  <w:tcW w:w="994" w:type="dxa"/>
                  <w:tcBorders>
                    <w:top w:val="nil"/>
                    <w:left w:val="nil"/>
                    <w:bottom w:val="nil"/>
                    <w:right w:val="nil"/>
                  </w:tcBorders>
                  <w:shd w:val="solid" w:color="FFFFFF" w:fill="auto"/>
                </w:tcPr>
                <w:p w:rsidR="00FC2012" w:rsidRDefault="00FC2012" w:rsidP="003269F2">
                  <w:pPr>
                    <w:autoSpaceDE w:val="0"/>
                    <w:autoSpaceDN w:val="0"/>
                    <w:adjustRightInd w:val="0"/>
                    <w:spacing w:before="0" w:after="0" w:line="240" w:lineRule="auto"/>
                    <w:jc w:val="right"/>
                    <w:rPr>
                      <w:color w:val="000000"/>
                      <w:sz w:val="20"/>
                      <w:lang w:eastAsia="en-GB"/>
                    </w:rPr>
                  </w:pPr>
                </w:p>
              </w:tc>
              <w:tc>
                <w:tcPr>
                  <w:tcW w:w="994" w:type="dxa"/>
                  <w:tcBorders>
                    <w:top w:val="nil"/>
                    <w:left w:val="nil"/>
                    <w:bottom w:val="nil"/>
                    <w:right w:val="nil"/>
                  </w:tcBorders>
                  <w:shd w:val="solid" w:color="FFFFFF" w:fill="auto"/>
                </w:tcPr>
                <w:p w:rsidR="00FC2012" w:rsidRDefault="00FC2012" w:rsidP="003269F2">
                  <w:pPr>
                    <w:autoSpaceDE w:val="0"/>
                    <w:autoSpaceDN w:val="0"/>
                    <w:adjustRightInd w:val="0"/>
                    <w:spacing w:before="0" w:after="0" w:line="240" w:lineRule="auto"/>
                    <w:jc w:val="right"/>
                    <w:rPr>
                      <w:color w:val="000000"/>
                      <w:sz w:val="20"/>
                      <w:lang w:eastAsia="en-GB"/>
                    </w:rPr>
                  </w:pPr>
                </w:p>
              </w:tc>
            </w:tr>
            <w:tr w:rsidR="00FC2012" w:rsidTr="003269F2">
              <w:tblPrEx>
                <w:tblCellMar>
                  <w:top w:w="0" w:type="dxa"/>
                  <w:bottom w:w="0" w:type="dxa"/>
                </w:tblCellMar>
              </w:tblPrEx>
              <w:trPr>
                <w:trHeight w:val="251"/>
              </w:trPr>
              <w:tc>
                <w:tcPr>
                  <w:tcW w:w="4577"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rPr>
                      <w:b/>
                      <w:bCs/>
                      <w:color w:val="000000"/>
                      <w:szCs w:val="24"/>
                      <w:lang w:eastAsia="en-GB"/>
                    </w:rPr>
                  </w:pPr>
                  <w:r w:rsidRPr="00466DBE">
                    <w:rPr>
                      <w:b/>
                      <w:bCs/>
                      <w:color w:val="000000"/>
                      <w:szCs w:val="24"/>
                      <w:lang w:eastAsia="en-GB"/>
                    </w:rPr>
                    <w:t>Other Insulation</w:t>
                  </w:r>
                </w:p>
              </w:tc>
              <w:tc>
                <w:tcPr>
                  <w:tcW w:w="2406"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b/>
                      <w:bCs/>
                      <w:color w:val="000000"/>
                      <w:szCs w:val="24"/>
                      <w:lang w:eastAsia="en-GB"/>
                    </w:rPr>
                  </w:pPr>
                  <w:r w:rsidRPr="00466DBE">
                    <w:rPr>
                      <w:b/>
                      <w:bCs/>
                      <w:color w:val="000000"/>
                      <w:szCs w:val="24"/>
                      <w:lang w:eastAsia="en-GB"/>
                    </w:rPr>
                    <w:t>45</w:t>
                  </w:r>
                </w:p>
              </w:tc>
              <w:tc>
                <w:tcPr>
                  <w:tcW w:w="1457"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b/>
                      <w:bCs/>
                      <w:i/>
                      <w:iCs/>
                      <w:color w:val="000000"/>
                      <w:szCs w:val="24"/>
                      <w:lang w:eastAsia="en-GB"/>
                    </w:rPr>
                  </w:pPr>
                  <w:r w:rsidRPr="00466DBE">
                    <w:rPr>
                      <w:b/>
                      <w:bCs/>
                      <w:i/>
                      <w:iCs/>
                      <w:color w:val="000000"/>
                      <w:szCs w:val="24"/>
                      <w:lang w:eastAsia="en-GB"/>
                    </w:rPr>
                    <w:t xml:space="preserve">9 </w:t>
                  </w:r>
                </w:p>
              </w:tc>
              <w:tc>
                <w:tcPr>
                  <w:tcW w:w="1069" w:type="dxa"/>
                  <w:gridSpan w:val="3"/>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color w:val="000000"/>
                      <w:szCs w:val="24"/>
                      <w:lang w:eastAsia="en-GB"/>
                    </w:rPr>
                  </w:pPr>
                </w:p>
              </w:tc>
              <w:tc>
                <w:tcPr>
                  <w:tcW w:w="994" w:type="dxa"/>
                  <w:tcBorders>
                    <w:top w:val="nil"/>
                    <w:left w:val="nil"/>
                    <w:bottom w:val="nil"/>
                    <w:right w:val="nil"/>
                  </w:tcBorders>
                  <w:shd w:val="solid" w:color="FFFFFF" w:fill="auto"/>
                </w:tcPr>
                <w:p w:rsidR="00FC2012" w:rsidRDefault="00FC2012" w:rsidP="003269F2">
                  <w:pPr>
                    <w:autoSpaceDE w:val="0"/>
                    <w:autoSpaceDN w:val="0"/>
                    <w:adjustRightInd w:val="0"/>
                    <w:spacing w:before="0" w:after="0" w:line="240" w:lineRule="auto"/>
                    <w:jc w:val="right"/>
                    <w:rPr>
                      <w:color w:val="000000"/>
                      <w:sz w:val="20"/>
                      <w:lang w:eastAsia="en-GB"/>
                    </w:rPr>
                  </w:pPr>
                </w:p>
              </w:tc>
              <w:tc>
                <w:tcPr>
                  <w:tcW w:w="994" w:type="dxa"/>
                  <w:tcBorders>
                    <w:top w:val="nil"/>
                    <w:left w:val="nil"/>
                    <w:bottom w:val="nil"/>
                    <w:right w:val="nil"/>
                  </w:tcBorders>
                  <w:shd w:val="solid" w:color="FFFFFF" w:fill="auto"/>
                </w:tcPr>
                <w:p w:rsidR="00FC2012" w:rsidRDefault="00FC2012" w:rsidP="003269F2">
                  <w:pPr>
                    <w:autoSpaceDE w:val="0"/>
                    <w:autoSpaceDN w:val="0"/>
                    <w:adjustRightInd w:val="0"/>
                    <w:spacing w:before="0" w:after="0" w:line="240" w:lineRule="auto"/>
                    <w:jc w:val="right"/>
                    <w:rPr>
                      <w:color w:val="000000"/>
                      <w:sz w:val="20"/>
                      <w:lang w:eastAsia="en-GB"/>
                    </w:rPr>
                  </w:pPr>
                </w:p>
              </w:tc>
            </w:tr>
            <w:tr w:rsidR="00FC2012" w:rsidTr="003269F2">
              <w:tblPrEx>
                <w:tblCellMar>
                  <w:top w:w="0" w:type="dxa"/>
                  <w:bottom w:w="0" w:type="dxa"/>
                </w:tblCellMar>
              </w:tblPrEx>
              <w:trPr>
                <w:trHeight w:val="251"/>
              </w:trPr>
              <w:tc>
                <w:tcPr>
                  <w:tcW w:w="4577"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rPr>
                      <w:color w:val="000000"/>
                      <w:szCs w:val="24"/>
                      <w:lang w:eastAsia="en-GB"/>
                    </w:rPr>
                  </w:pPr>
                  <w:r w:rsidRPr="00466DBE">
                    <w:rPr>
                      <w:color w:val="000000"/>
                      <w:szCs w:val="24"/>
                      <w:lang w:eastAsia="en-GB"/>
                    </w:rPr>
                    <w:t>Hot water cylinder insulation</w:t>
                  </w:r>
                </w:p>
              </w:tc>
              <w:tc>
                <w:tcPr>
                  <w:tcW w:w="2406"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color w:val="000000"/>
                      <w:szCs w:val="24"/>
                      <w:lang w:eastAsia="en-GB"/>
                    </w:rPr>
                  </w:pPr>
                  <w:r w:rsidRPr="00466DBE">
                    <w:rPr>
                      <w:color w:val="000000"/>
                      <w:szCs w:val="24"/>
                      <w:lang w:eastAsia="en-GB"/>
                    </w:rPr>
                    <w:t>29</w:t>
                  </w:r>
                </w:p>
              </w:tc>
              <w:tc>
                <w:tcPr>
                  <w:tcW w:w="1457"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i/>
                      <w:iCs/>
                      <w:color w:val="000000"/>
                      <w:szCs w:val="24"/>
                      <w:lang w:eastAsia="en-GB"/>
                    </w:rPr>
                  </w:pPr>
                  <w:r w:rsidRPr="00466DBE">
                    <w:rPr>
                      <w:i/>
                      <w:iCs/>
                      <w:color w:val="000000"/>
                      <w:szCs w:val="24"/>
                      <w:lang w:eastAsia="en-GB"/>
                    </w:rPr>
                    <w:t xml:space="preserve">6 </w:t>
                  </w:r>
                </w:p>
              </w:tc>
              <w:tc>
                <w:tcPr>
                  <w:tcW w:w="1069" w:type="dxa"/>
                  <w:gridSpan w:val="3"/>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color w:val="000000"/>
                      <w:szCs w:val="24"/>
                      <w:lang w:eastAsia="en-GB"/>
                    </w:rPr>
                  </w:pPr>
                </w:p>
              </w:tc>
              <w:tc>
                <w:tcPr>
                  <w:tcW w:w="994" w:type="dxa"/>
                  <w:tcBorders>
                    <w:top w:val="nil"/>
                    <w:left w:val="nil"/>
                    <w:bottom w:val="nil"/>
                    <w:right w:val="nil"/>
                  </w:tcBorders>
                  <w:shd w:val="solid" w:color="FFFFFF" w:fill="auto"/>
                </w:tcPr>
                <w:p w:rsidR="00FC2012" w:rsidRDefault="00FC2012" w:rsidP="003269F2">
                  <w:pPr>
                    <w:autoSpaceDE w:val="0"/>
                    <w:autoSpaceDN w:val="0"/>
                    <w:adjustRightInd w:val="0"/>
                    <w:spacing w:before="0" w:after="0" w:line="240" w:lineRule="auto"/>
                    <w:jc w:val="right"/>
                    <w:rPr>
                      <w:color w:val="000000"/>
                      <w:sz w:val="20"/>
                      <w:lang w:eastAsia="en-GB"/>
                    </w:rPr>
                  </w:pPr>
                </w:p>
              </w:tc>
              <w:tc>
                <w:tcPr>
                  <w:tcW w:w="994" w:type="dxa"/>
                  <w:tcBorders>
                    <w:top w:val="nil"/>
                    <w:left w:val="nil"/>
                    <w:bottom w:val="nil"/>
                    <w:right w:val="nil"/>
                  </w:tcBorders>
                  <w:shd w:val="solid" w:color="FFFFFF" w:fill="auto"/>
                </w:tcPr>
                <w:p w:rsidR="00FC2012" w:rsidRDefault="00FC2012" w:rsidP="003269F2">
                  <w:pPr>
                    <w:autoSpaceDE w:val="0"/>
                    <w:autoSpaceDN w:val="0"/>
                    <w:adjustRightInd w:val="0"/>
                    <w:spacing w:before="0" w:after="0" w:line="240" w:lineRule="auto"/>
                    <w:jc w:val="right"/>
                    <w:rPr>
                      <w:color w:val="000000"/>
                      <w:sz w:val="20"/>
                      <w:lang w:eastAsia="en-GB"/>
                    </w:rPr>
                  </w:pPr>
                </w:p>
              </w:tc>
            </w:tr>
            <w:tr w:rsidR="00FC2012" w:rsidTr="003269F2">
              <w:tblPrEx>
                <w:tblCellMar>
                  <w:top w:w="0" w:type="dxa"/>
                  <w:bottom w:w="0" w:type="dxa"/>
                </w:tblCellMar>
              </w:tblPrEx>
              <w:trPr>
                <w:trHeight w:val="251"/>
              </w:trPr>
              <w:tc>
                <w:tcPr>
                  <w:tcW w:w="4577"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rPr>
                      <w:color w:val="000000"/>
                      <w:szCs w:val="24"/>
                      <w:lang w:eastAsia="en-GB"/>
                    </w:rPr>
                  </w:pPr>
                  <w:r w:rsidRPr="00466DBE">
                    <w:rPr>
                      <w:color w:val="000000"/>
                      <w:szCs w:val="24"/>
                      <w:lang w:eastAsia="en-GB"/>
                    </w:rPr>
                    <w:t>Hot water cylinder thermostat</w:t>
                  </w:r>
                </w:p>
              </w:tc>
              <w:tc>
                <w:tcPr>
                  <w:tcW w:w="2406"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color w:val="000000"/>
                      <w:szCs w:val="24"/>
                      <w:lang w:eastAsia="en-GB"/>
                    </w:rPr>
                  </w:pPr>
                  <w:r w:rsidRPr="00466DBE">
                    <w:rPr>
                      <w:color w:val="000000"/>
                      <w:szCs w:val="24"/>
                      <w:lang w:eastAsia="en-GB"/>
                    </w:rPr>
                    <w:t>16</w:t>
                  </w:r>
                </w:p>
              </w:tc>
              <w:tc>
                <w:tcPr>
                  <w:tcW w:w="1457"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i/>
                      <w:iCs/>
                      <w:color w:val="000000"/>
                      <w:szCs w:val="24"/>
                      <w:lang w:eastAsia="en-GB"/>
                    </w:rPr>
                  </w:pPr>
                  <w:r w:rsidRPr="00466DBE">
                    <w:rPr>
                      <w:i/>
                      <w:iCs/>
                      <w:color w:val="000000"/>
                      <w:szCs w:val="24"/>
                      <w:lang w:eastAsia="en-GB"/>
                    </w:rPr>
                    <w:t xml:space="preserve">3 </w:t>
                  </w:r>
                </w:p>
              </w:tc>
              <w:tc>
                <w:tcPr>
                  <w:tcW w:w="1069" w:type="dxa"/>
                  <w:gridSpan w:val="3"/>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color w:val="000000"/>
                      <w:szCs w:val="24"/>
                      <w:lang w:eastAsia="en-GB"/>
                    </w:rPr>
                  </w:pPr>
                </w:p>
              </w:tc>
              <w:tc>
                <w:tcPr>
                  <w:tcW w:w="994" w:type="dxa"/>
                  <w:tcBorders>
                    <w:top w:val="nil"/>
                    <w:left w:val="nil"/>
                    <w:bottom w:val="nil"/>
                    <w:right w:val="nil"/>
                  </w:tcBorders>
                  <w:shd w:val="solid" w:color="FFFFFF" w:fill="auto"/>
                </w:tcPr>
                <w:p w:rsidR="00FC2012" w:rsidRDefault="00FC2012" w:rsidP="003269F2">
                  <w:pPr>
                    <w:autoSpaceDE w:val="0"/>
                    <w:autoSpaceDN w:val="0"/>
                    <w:adjustRightInd w:val="0"/>
                    <w:spacing w:before="0" w:after="0" w:line="240" w:lineRule="auto"/>
                    <w:jc w:val="right"/>
                    <w:rPr>
                      <w:color w:val="000000"/>
                      <w:sz w:val="20"/>
                      <w:lang w:eastAsia="en-GB"/>
                    </w:rPr>
                  </w:pPr>
                </w:p>
              </w:tc>
              <w:tc>
                <w:tcPr>
                  <w:tcW w:w="994" w:type="dxa"/>
                  <w:tcBorders>
                    <w:top w:val="nil"/>
                    <w:left w:val="nil"/>
                    <w:bottom w:val="nil"/>
                    <w:right w:val="nil"/>
                  </w:tcBorders>
                  <w:shd w:val="solid" w:color="FFFFFF" w:fill="auto"/>
                </w:tcPr>
                <w:p w:rsidR="00FC2012" w:rsidRDefault="00FC2012" w:rsidP="003269F2">
                  <w:pPr>
                    <w:autoSpaceDE w:val="0"/>
                    <w:autoSpaceDN w:val="0"/>
                    <w:adjustRightInd w:val="0"/>
                    <w:spacing w:before="0" w:after="0" w:line="240" w:lineRule="auto"/>
                    <w:jc w:val="right"/>
                    <w:rPr>
                      <w:color w:val="000000"/>
                      <w:sz w:val="20"/>
                      <w:lang w:eastAsia="en-GB"/>
                    </w:rPr>
                  </w:pPr>
                </w:p>
              </w:tc>
            </w:tr>
            <w:tr w:rsidR="00FC2012" w:rsidTr="003269F2">
              <w:tblPrEx>
                <w:tblCellMar>
                  <w:top w:w="0" w:type="dxa"/>
                  <w:bottom w:w="0" w:type="dxa"/>
                </w:tblCellMar>
              </w:tblPrEx>
              <w:trPr>
                <w:trHeight w:val="251"/>
              </w:trPr>
              <w:tc>
                <w:tcPr>
                  <w:tcW w:w="4577"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b/>
                      <w:bCs/>
                      <w:color w:val="000000"/>
                      <w:szCs w:val="24"/>
                      <w:lang w:eastAsia="en-GB"/>
                    </w:rPr>
                  </w:pPr>
                </w:p>
              </w:tc>
              <w:tc>
                <w:tcPr>
                  <w:tcW w:w="2406"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color w:val="000000"/>
                      <w:szCs w:val="24"/>
                      <w:lang w:eastAsia="en-GB"/>
                    </w:rPr>
                  </w:pPr>
                </w:p>
              </w:tc>
              <w:tc>
                <w:tcPr>
                  <w:tcW w:w="1457"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i/>
                      <w:iCs/>
                      <w:color w:val="000000"/>
                      <w:szCs w:val="24"/>
                      <w:lang w:eastAsia="en-GB"/>
                    </w:rPr>
                  </w:pPr>
                </w:p>
              </w:tc>
              <w:tc>
                <w:tcPr>
                  <w:tcW w:w="1069" w:type="dxa"/>
                  <w:gridSpan w:val="3"/>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color w:val="000000"/>
                      <w:szCs w:val="24"/>
                      <w:lang w:eastAsia="en-GB"/>
                    </w:rPr>
                  </w:pPr>
                </w:p>
              </w:tc>
              <w:tc>
                <w:tcPr>
                  <w:tcW w:w="994" w:type="dxa"/>
                  <w:tcBorders>
                    <w:top w:val="nil"/>
                    <w:left w:val="nil"/>
                    <w:bottom w:val="nil"/>
                    <w:right w:val="nil"/>
                  </w:tcBorders>
                  <w:shd w:val="solid" w:color="FFFFFF" w:fill="auto"/>
                </w:tcPr>
                <w:p w:rsidR="00FC2012" w:rsidRDefault="00FC2012" w:rsidP="003269F2">
                  <w:pPr>
                    <w:autoSpaceDE w:val="0"/>
                    <w:autoSpaceDN w:val="0"/>
                    <w:adjustRightInd w:val="0"/>
                    <w:spacing w:before="0" w:after="0" w:line="240" w:lineRule="auto"/>
                    <w:jc w:val="right"/>
                    <w:rPr>
                      <w:color w:val="000000"/>
                      <w:sz w:val="20"/>
                      <w:lang w:eastAsia="en-GB"/>
                    </w:rPr>
                  </w:pPr>
                </w:p>
              </w:tc>
              <w:tc>
                <w:tcPr>
                  <w:tcW w:w="994" w:type="dxa"/>
                  <w:tcBorders>
                    <w:top w:val="nil"/>
                    <w:left w:val="nil"/>
                    <w:bottom w:val="nil"/>
                    <w:right w:val="nil"/>
                  </w:tcBorders>
                  <w:shd w:val="solid" w:color="FFFFFF" w:fill="auto"/>
                </w:tcPr>
                <w:p w:rsidR="00FC2012" w:rsidRDefault="00FC2012" w:rsidP="003269F2">
                  <w:pPr>
                    <w:autoSpaceDE w:val="0"/>
                    <w:autoSpaceDN w:val="0"/>
                    <w:adjustRightInd w:val="0"/>
                    <w:spacing w:before="0" w:after="0" w:line="240" w:lineRule="auto"/>
                    <w:jc w:val="right"/>
                    <w:rPr>
                      <w:color w:val="000000"/>
                      <w:sz w:val="20"/>
                      <w:lang w:eastAsia="en-GB"/>
                    </w:rPr>
                  </w:pPr>
                </w:p>
              </w:tc>
            </w:tr>
            <w:tr w:rsidR="00FC2012" w:rsidTr="003269F2">
              <w:tblPrEx>
                <w:tblCellMar>
                  <w:top w:w="0" w:type="dxa"/>
                  <w:bottom w:w="0" w:type="dxa"/>
                </w:tblCellMar>
              </w:tblPrEx>
              <w:trPr>
                <w:trHeight w:val="251"/>
              </w:trPr>
              <w:tc>
                <w:tcPr>
                  <w:tcW w:w="4577"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rPr>
                      <w:b/>
                      <w:bCs/>
                      <w:color w:val="000000"/>
                      <w:szCs w:val="24"/>
                      <w:lang w:eastAsia="en-GB"/>
                    </w:rPr>
                  </w:pPr>
                  <w:r w:rsidRPr="00466DBE">
                    <w:rPr>
                      <w:b/>
                      <w:bCs/>
                      <w:color w:val="000000"/>
                      <w:szCs w:val="24"/>
                      <w:lang w:eastAsia="en-GB"/>
                    </w:rPr>
                    <w:t>Solid Wall Insulation</w:t>
                  </w:r>
                </w:p>
              </w:tc>
              <w:tc>
                <w:tcPr>
                  <w:tcW w:w="2406"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b/>
                      <w:bCs/>
                      <w:color w:val="000000"/>
                      <w:szCs w:val="24"/>
                      <w:lang w:eastAsia="en-GB"/>
                    </w:rPr>
                  </w:pPr>
                  <w:r w:rsidRPr="00466DBE">
                    <w:rPr>
                      <w:b/>
                      <w:bCs/>
                      <w:color w:val="000000"/>
                      <w:szCs w:val="24"/>
                      <w:lang w:eastAsia="en-GB"/>
                    </w:rPr>
                    <w:t>65</w:t>
                  </w:r>
                </w:p>
              </w:tc>
              <w:tc>
                <w:tcPr>
                  <w:tcW w:w="1457"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b/>
                      <w:bCs/>
                      <w:i/>
                      <w:iCs/>
                      <w:color w:val="000000"/>
                      <w:szCs w:val="24"/>
                      <w:lang w:eastAsia="en-GB"/>
                    </w:rPr>
                  </w:pPr>
                  <w:r w:rsidRPr="00466DBE">
                    <w:rPr>
                      <w:b/>
                      <w:bCs/>
                      <w:i/>
                      <w:iCs/>
                      <w:color w:val="000000"/>
                      <w:szCs w:val="24"/>
                      <w:lang w:eastAsia="en-GB"/>
                    </w:rPr>
                    <w:t xml:space="preserve">14 </w:t>
                  </w:r>
                </w:p>
              </w:tc>
              <w:tc>
                <w:tcPr>
                  <w:tcW w:w="1069" w:type="dxa"/>
                  <w:gridSpan w:val="3"/>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color w:val="000000"/>
                      <w:szCs w:val="24"/>
                      <w:lang w:eastAsia="en-GB"/>
                    </w:rPr>
                  </w:pPr>
                </w:p>
              </w:tc>
              <w:tc>
                <w:tcPr>
                  <w:tcW w:w="994" w:type="dxa"/>
                  <w:tcBorders>
                    <w:top w:val="nil"/>
                    <w:left w:val="nil"/>
                    <w:bottom w:val="nil"/>
                    <w:right w:val="nil"/>
                  </w:tcBorders>
                  <w:shd w:val="solid" w:color="FFFFFF" w:fill="auto"/>
                </w:tcPr>
                <w:p w:rsidR="00FC2012" w:rsidRDefault="00FC2012" w:rsidP="003269F2">
                  <w:pPr>
                    <w:autoSpaceDE w:val="0"/>
                    <w:autoSpaceDN w:val="0"/>
                    <w:adjustRightInd w:val="0"/>
                    <w:spacing w:before="0" w:after="0" w:line="240" w:lineRule="auto"/>
                    <w:jc w:val="right"/>
                    <w:rPr>
                      <w:color w:val="000000"/>
                      <w:sz w:val="20"/>
                      <w:lang w:eastAsia="en-GB"/>
                    </w:rPr>
                  </w:pPr>
                </w:p>
              </w:tc>
              <w:tc>
                <w:tcPr>
                  <w:tcW w:w="994" w:type="dxa"/>
                  <w:tcBorders>
                    <w:top w:val="nil"/>
                    <w:left w:val="nil"/>
                    <w:bottom w:val="nil"/>
                    <w:right w:val="nil"/>
                  </w:tcBorders>
                  <w:shd w:val="solid" w:color="FFFFFF" w:fill="auto"/>
                </w:tcPr>
                <w:p w:rsidR="00FC2012" w:rsidRDefault="00FC2012" w:rsidP="003269F2">
                  <w:pPr>
                    <w:autoSpaceDE w:val="0"/>
                    <w:autoSpaceDN w:val="0"/>
                    <w:adjustRightInd w:val="0"/>
                    <w:spacing w:before="0" w:after="0" w:line="240" w:lineRule="auto"/>
                    <w:jc w:val="right"/>
                    <w:rPr>
                      <w:color w:val="000000"/>
                      <w:sz w:val="20"/>
                      <w:lang w:eastAsia="en-GB"/>
                    </w:rPr>
                  </w:pPr>
                </w:p>
              </w:tc>
            </w:tr>
            <w:tr w:rsidR="00FC2012" w:rsidTr="003269F2">
              <w:tblPrEx>
                <w:tblCellMar>
                  <w:top w:w="0" w:type="dxa"/>
                  <w:bottom w:w="0" w:type="dxa"/>
                </w:tblCellMar>
              </w:tblPrEx>
              <w:trPr>
                <w:trHeight w:val="251"/>
              </w:trPr>
              <w:tc>
                <w:tcPr>
                  <w:tcW w:w="4577"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color w:val="000000"/>
                      <w:szCs w:val="24"/>
                      <w:lang w:eastAsia="en-GB"/>
                    </w:rPr>
                  </w:pPr>
                </w:p>
              </w:tc>
              <w:tc>
                <w:tcPr>
                  <w:tcW w:w="2406" w:type="dxa"/>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color w:val="000000"/>
                      <w:szCs w:val="24"/>
                      <w:lang w:eastAsia="en-GB"/>
                    </w:rPr>
                  </w:pPr>
                </w:p>
              </w:tc>
              <w:tc>
                <w:tcPr>
                  <w:tcW w:w="1457" w:type="dxa"/>
                  <w:tcBorders>
                    <w:top w:val="nil"/>
                    <w:left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i/>
                      <w:iCs/>
                      <w:color w:val="000000"/>
                      <w:szCs w:val="24"/>
                      <w:lang w:eastAsia="en-GB"/>
                    </w:rPr>
                  </w:pPr>
                </w:p>
              </w:tc>
              <w:tc>
                <w:tcPr>
                  <w:tcW w:w="1069" w:type="dxa"/>
                  <w:gridSpan w:val="3"/>
                  <w:tcBorders>
                    <w:top w:val="nil"/>
                    <w:left w:val="nil"/>
                    <w:right w:val="nil"/>
                  </w:tcBorders>
                  <w:shd w:val="solid" w:color="FFFFFF" w:fill="auto"/>
                </w:tcPr>
                <w:p w:rsidR="00FC2012" w:rsidRPr="00466DBE" w:rsidRDefault="00FC2012" w:rsidP="003269F2">
                  <w:pPr>
                    <w:autoSpaceDE w:val="0"/>
                    <w:autoSpaceDN w:val="0"/>
                    <w:adjustRightInd w:val="0"/>
                    <w:spacing w:before="0" w:after="0" w:line="240" w:lineRule="auto"/>
                    <w:jc w:val="right"/>
                    <w:rPr>
                      <w:color w:val="000000"/>
                      <w:szCs w:val="24"/>
                      <w:lang w:eastAsia="en-GB"/>
                    </w:rPr>
                  </w:pPr>
                </w:p>
              </w:tc>
              <w:tc>
                <w:tcPr>
                  <w:tcW w:w="994" w:type="dxa"/>
                  <w:tcBorders>
                    <w:top w:val="nil"/>
                    <w:left w:val="nil"/>
                    <w:bottom w:val="nil"/>
                    <w:right w:val="nil"/>
                  </w:tcBorders>
                  <w:shd w:val="solid" w:color="FFFFFF" w:fill="auto"/>
                </w:tcPr>
                <w:p w:rsidR="00FC2012" w:rsidRDefault="00FC2012" w:rsidP="003269F2">
                  <w:pPr>
                    <w:autoSpaceDE w:val="0"/>
                    <w:autoSpaceDN w:val="0"/>
                    <w:adjustRightInd w:val="0"/>
                    <w:spacing w:before="0" w:after="0" w:line="240" w:lineRule="auto"/>
                    <w:jc w:val="right"/>
                    <w:rPr>
                      <w:color w:val="000000"/>
                      <w:sz w:val="20"/>
                      <w:lang w:eastAsia="en-GB"/>
                    </w:rPr>
                  </w:pPr>
                </w:p>
              </w:tc>
              <w:tc>
                <w:tcPr>
                  <w:tcW w:w="994" w:type="dxa"/>
                  <w:tcBorders>
                    <w:top w:val="nil"/>
                    <w:left w:val="nil"/>
                    <w:bottom w:val="nil"/>
                    <w:right w:val="nil"/>
                  </w:tcBorders>
                  <w:shd w:val="solid" w:color="FFFFFF" w:fill="auto"/>
                </w:tcPr>
                <w:p w:rsidR="00FC2012" w:rsidRDefault="00FC2012" w:rsidP="003269F2">
                  <w:pPr>
                    <w:autoSpaceDE w:val="0"/>
                    <w:autoSpaceDN w:val="0"/>
                    <w:adjustRightInd w:val="0"/>
                    <w:spacing w:before="0" w:after="0" w:line="240" w:lineRule="auto"/>
                    <w:jc w:val="right"/>
                    <w:rPr>
                      <w:color w:val="000000"/>
                      <w:sz w:val="20"/>
                      <w:lang w:eastAsia="en-GB"/>
                    </w:rPr>
                  </w:pPr>
                </w:p>
              </w:tc>
            </w:tr>
            <w:tr w:rsidR="006D5D73" w:rsidTr="003269F2">
              <w:tblPrEx>
                <w:tblCellMar>
                  <w:top w:w="0" w:type="dxa"/>
                  <w:bottom w:w="0" w:type="dxa"/>
                </w:tblCellMar>
              </w:tblPrEx>
              <w:trPr>
                <w:gridAfter w:val="3"/>
                <w:wAfter w:w="2063" w:type="dxa"/>
                <w:trHeight w:val="280"/>
              </w:trPr>
              <w:tc>
                <w:tcPr>
                  <w:tcW w:w="4577" w:type="dxa"/>
                  <w:tcBorders>
                    <w:top w:val="nil"/>
                    <w:left w:val="nil"/>
                    <w:bottom w:val="single" w:sz="6" w:space="0" w:color="auto"/>
                    <w:right w:val="nil"/>
                  </w:tcBorders>
                  <w:shd w:val="solid" w:color="FFFFFF" w:fill="auto"/>
                </w:tcPr>
                <w:p w:rsidR="006D5D73" w:rsidRPr="00466DBE" w:rsidRDefault="006D5D73" w:rsidP="003269F2">
                  <w:pPr>
                    <w:autoSpaceDE w:val="0"/>
                    <w:autoSpaceDN w:val="0"/>
                    <w:adjustRightInd w:val="0"/>
                    <w:spacing w:before="0" w:after="0" w:line="240" w:lineRule="auto"/>
                    <w:rPr>
                      <w:b/>
                      <w:bCs/>
                      <w:color w:val="000000"/>
                      <w:szCs w:val="24"/>
                      <w:vertAlign w:val="superscript"/>
                      <w:lang w:eastAsia="en-GB"/>
                    </w:rPr>
                  </w:pPr>
                  <w:r w:rsidRPr="00466DBE">
                    <w:rPr>
                      <w:b/>
                      <w:bCs/>
                      <w:color w:val="000000"/>
                      <w:szCs w:val="24"/>
                      <w:lang w:eastAsia="en-GB"/>
                    </w:rPr>
                    <w:t>Total</w:t>
                  </w:r>
                  <w:r w:rsidRPr="00466DBE">
                    <w:rPr>
                      <w:b/>
                      <w:bCs/>
                      <w:color w:val="000000"/>
                      <w:szCs w:val="24"/>
                      <w:vertAlign w:val="superscript"/>
                      <w:lang w:eastAsia="en-GB"/>
                    </w:rPr>
                    <w:t xml:space="preserve"> 3</w:t>
                  </w:r>
                </w:p>
              </w:tc>
              <w:tc>
                <w:tcPr>
                  <w:tcW w:w="2406" w:type="dxa"/>
                  <w:tcBorders>
                    <w:top w:val="nil"/>
                    <w:left w:val="nil"/>
                    <w:bottom w:val="single" w:sz="6" w:space="0" w:color="auto"/>
                    <w:right w:val="nil"/>
                  </w:tcBorders>
                  <w:shd w:val="solid" w:color="FFFFFF" w:fill="auto"/>
                </w:tcPr>
                <w:p w:rsidR="006D5D73" w:rsidRPr="00466DBE" w:rsidRDefault="006D5D73" w:rsidP="003269F2">
                  <w:pPr>
                    <w:autoSpaceDE w:val="0"/>
                    <w:autoSpaceDN w:val="0"/>
                    <w:adjustRightInd w:val="0"/>
                    <w:spacing w:before="0" w:after="0" w:line="240" w:lineRule="auto"/>
                    <w:jc w:val="right"/>
                    <w:rPr>
                      <w:b/>
                      <w:bCs/>
                      <w:color w:val="000000"/>
                      <w:szCs w:val="24"/>
                      <w:lang w:eastAsia="en-GB"/>
                    </w:rPr>
                  </w:pPr>
                  <w:r w:rsidRPr="00466DBE">
                    <w:rPr>
                      <w:b/>
                      <w:bCs/>
                      <w:color w:val="000000"/>
                      <w:szCs w:val="24"/>
                      <w:lang w:eastAsia="en-GB"/>
                    </w:rPr>
                    <w:t>481</w:t>
                  </w:r>
                </w:p>
              </w:tc>
              <w:tc>
                <w:tcPr>
                  <w:tcW w:w="1457" w:type="dxa"/>
                  <w:tcBorders>
                    <w:top w:val="nil"/>
                    <w:left w:val="nil"/>
                    <w:bottom w:val="single" w:sz="4" w:space="0" w:color="auto"/>
                    <w:right w:val="nil"/>
                  </w:tcBorders>
                  <w:shd w:val="solid" w:color="FFFFFF" w:fill="auto"/>
                </w:tcPr>
                <w:p w:rsidR="006D5D73" w:rsidRPr="00466DBE" w:rsidRDefault="006D5D73" w:rsidP="003269F2">
                  <w:pPr>
                    <w:autoSpaceDE w:val="0"/>
                    <w:autoSpaceDN w:val="0"/>
                    <w:adjustRightInd w:val="0"/>
                    <w:spacing w:before="0" w:after="0" w:line="240" w:lineRule="auto"/>
                    <w:jc w:val="right"/>
                    <w:rPr>
                      <w:b/>
                      <w:bCs/>
                      <w:i/>
                      <w:iCs/>
                      <w:color w:val="000000"/>
                      <w:szCs w:val="24"/>
                      <w:lang w:eastAsia="en-GB"/>
                    </w:rPr>
                  </w:pPr>
                  <w:r w:rsidRPr="00466DBE">
                    <w:rPr>
                      <w:b/>
                      <w:bCs/>
                      <w:i/>
                      <w:iCs/>
                      <w:color w:val="000000"/>
                      <w:szCs w:val="24"/>
                      <w:lang w:eastAsia="en-GB"/>
                    </w:rPr>
                    <w:t xml:space="preserve">100 </w:t>
                  </w:r>
                </w:p>
              </w:tc>
              <w:tc>
                <w:tcPr>
                  <w:tcW w:w="994" w:type="dxa"/>
                  <w:gridSpan w:val="2"/>
                  <w:tcBorders>
                    <w:top w:val="nil"/>
                    <w:left w:val="nil"/>
                    <w:bottom w:val="nil"/>
                    <w:right w:val="nil"/>
                  </w:tcBorders>
                  <w:shd w:val="solid" w:color="FFFFFF" w:fill="auto"/>
                </w:tcPr>
                <w:p w:rsidR="006D5D73" w:rsidRDefault="006D5D73" w:rsidP="003269F2">
                  <w:pPr>
                    <w:autoSpaceDE w:val="0"/>
                    <w:autoSpaceDN w:val="0"/>
                    <w:adjustRightInd w:val="0"/>
                    <w:spacing w:before="0" w:after="0" w:line="240" w:lineRule="auto"/>
                    <w:jc w:val="right"/>
                    <w:rPr>
                      <w:color w:val="000000"/>
                      <w:sz w:val="20"/>
                      <w:lang w:eastAsia="en-GB"/>
                    </w:rPr>
                  </w:pPr>
                </w:p>
              </w:tc>
            </w:tr>
            <w:tr w:rsidR="006D5D73" w:rsidTr="003269F2">
              <w:tblPrEx>
                <w:tblCellMar>
                  <w:top w:w="0" w:type="dxa"/>
                  <w:bottom w:w="0" w:type="dxa"/>
                </w:tblCellMar>
              </w:tblPrEx>
              <w:trPr>
                <w:gridAfter w:val="3"/>
                <w:wAfter w:w="2063" w:type="dxa"/>
                <w:trHeight w:val="251"/>
              </w:trPr>
              <w:tc>
                <w:tcPr>
                  <w:tcW w:w="4577" w:type="dxa"/>
                  <w:tcBorders>
                    <w:top w:val="nil"/>
                    <w:left w:val="nil"/>
                    <w:bottom w:val="nil"/>
                    <w:right w:val="nil"/>
                  </w:tcBorders>
                  <w:shd w:val="solid" w:color="FFFFFF" w:fill="auto"/>
                </w:tcPr>
                <w:p w:rsidR="006D5D73" w:rsidRPr="00466DBE" w:rsidRDefault="006D5D73" w:rsidP="003269F2">
                  <w:pPr>
                    <w:autoSpaceDE w:val="0"/>
                    <w:autoSpaceDN w:val="0"/>
                    <w:adjustRightInd w:val="0"/>
                    <w:spacing w:before="0" w:after="0" w:line="240" w:lineRule="auto"/>
                    <w:jc w:val="right"/>
                    <w:rPr>
                      <w:color w:val="000000"/>
                      <w:szCs w:val="24"/>
                      <w:lang w:eastAsia="en-GB"/>
                    </w:rPr>
                  </w:pPr>
                </w:p>
              </w:tc>
              <w:tc>
                <w:tcPr>
                  <w:tcW w:w="2406" w:type="dxa"/>
                  <w:tcBorders>
                    <w:top w:val="nil"/>
                    <w:left w:val="nil"/>
                    <w:bottom w:val="nil"/>
                    <w:right w:val="nil"/>
                  </w:tcBorders>
                  <w:shd w:val="solid" w:color="FFFFFF" w:fill="auto"/>
                </w:tcPr>
                <w:p w:rsidR="006D5D73" w:rsidRPr="00466DBE" w:rsidRDefault="006D5D73" w:rsidP="003269F2">
                  <w:pPr>
                    <w:autoSpaceDE w:val="0"/>
                    <w:autoSpaceDN w:val="0"/>
                    <w:adjustRightInd w:val="0"/>
                    <w:spacing w:before="0" w:after="0" w:line="240" w:lineRule="auto"/>
                    <w:jc w:val="right"/>
                    <w:rPr>
                      <w:color w:val="000000"/>
                      <w:szCs w:val="24"/>
                      <w:lang w:eastAsia="en-GB"/>
                    </w:rPr>
                  </w:pPr>
                </w:p>
              </w:tc>
              <w:tc>
                <w:tcPr>
                  <w:tcW w:w="1457" w:type="dxa"/>
                  <w:tcBorders>
                    <w:top w:val="single" w:sz="4" w:space="0" w:color="auto"/>
                    <w:left w:val="nil"/>
                    <w:bottom w:val="nil"/>
                    <w:right w:val="nil"/>
                  </w:tcBorders>
                  <w:shd w:val="solid" w:color="FFFFFF" w:fill="auto"/>
                </w:tcPr>
                <w:p w:rsidR="006D5D73" w:rsidRPr="00466DBE" w:rsidRDefault="006D5D73" w:rsidP="003269F2">
                  <w:pPr>
                    <w:autoSpaceDE w:val="0"/>
                    <w:autoSpaceDN w:val="0"/>
                    <w:adjustRightInd w:val="0"/>
                    <w:spacing w:before="0" w:after="0" w:line="240" w:lineRule="auto"/>
                    <w:jc w:val="right"/>
                    <w:rPr>
                      <w:color w:val="000000"/>
                      <w:szCs w:val="24"/>
                      <w:lang w:eastAsia="en-GB"/>
                    </w:rPr>
                  </w:pPr>
                </w:p>
              </w:tc>
              <w:tc>
                <w:tcPr>
                  <w:tcW w:w="994" w:type="dxa"/>
                  <w:gridSpan w:val="2"/>
                  <w:tcBorders>
                    <w:top w:val="nil"/>
                    <w:left w:val="nil"/>
                    <w:bottom w:val="nil"/>
                    <w:right w:val="nil"/>
                  </w:tcBorders>
                  <w:shd w:val="solid" w:color="FFFFFF" w:fill="auto"/>
                </w:tcPr>
                <w:p w:rsidR="006D5D73" w:rsidRDefault="006D5D73" w:rsidP="003269F2">
                  <w:pPr>
                    <w:autoSpaceDE w:val="0"/>
                    <w:autoSpaceDN w:val="0"/>
                    <w:adjustRightInd w:val="0"/>
                    <w:spacing w:before="0" w:after="0" w:line="240" w:lineRule="auto"/>
                    <w:jc w:val="right"/>
                    <w:rPr>
                      <w:color w:val="000000"/>
                      <w:sz w:val="20"/>
                      <w:lang w:eastAsia="en-GB"/>
                    </w:rPr>
                  </w:pPr>
                </w:p>
              </w:tc>
            </w:tr>
            <w:tr w:rsidR="00FC2012" w:rsidTr="003269F2">
              <w:tblPrEx>
                <w:tblCellMar>
                  <w:top w:w="0" w:type="dxa"/>
                  <w:bottom w:w="0" w:type="dxa"/>
                </w:tblCellMar>
              </w:tblPrEx>
              <w:trPr>
                <w:trHeight w:val="689"/>
              </w:trPr>
              <w:tc>
                <w:tcPr>
                  <w:tcW w:w="9509" w:type="dxa"/>
                  <w:gridSpan w:val="6"/>
                  <w:tcBorders>
                    <w:top w:val="nil"/>
                    <w:left w:val="nil"/>
                    <w:bottom w:val="nil"/>
                    <w:right w:val="nil"/>
                  </w:tcBorders>
                  <w:shd w:val="solid" w:color="FFFFFF" w:fill="auto"/>
                </w:tcPr>
                <w:p w:rsidR="00FC2012" w:rsidRPr="00466DBE" w:rsidRDefault="00FC2012" w:rsidP="003269F2">
                  <w:pPr>
                    <w:autoSpaceDE w:val="0"/>
                    <w:autoSpaceDN w:val="0"/>
                    <w:adjustRightInd w:val="0"/>
                    <w:spacing w:before="0" w:after="0" w:line="240" w:lineRule="auto"/>
                    <w:rPr>
                      <w:color w:val="000000"/>
                      <w:szCs w:val="24"/>
                      <w:lang w:eastAsia="en-GB"/>
                    </w:rPr>
                  </w:pPr>
                  <w:r w:rsidRPr="00466DBE">
                    <w:rPr>
                      <w:color w:val="000000"/>
                      <w:szCs w:val="24"/>
                      <w:vertAlign w:val="superscript"/>
                      <w:lang w:eastAsia="en-GB"/>
                    </w:rPr>
                    <w:t>1</w:t>
                  </w:r>
                  <w:r w:rsidRPr="00466DBE">
                    <w:rPr>
                      <w:color w:val="000000"/>
                      <w:szCs w:val="24"/>
                      <w:lang w:eastAsia="en-GB"/>
                    </w:rPr>
                    <w:t xml:space="preserve"> As measured by the number of measures installed using Green Deal finance where a Green Deal Plan</w:t>
                  </w:r>
                  <w:r>
                    <w:rPr>
                      <w:color w:val="000000"/>
                      <w:szCs w:val="24"/>
                      <w:lang w:eastAsia="en-GB"/>
                    </w:rPr>
                    <w:t xml:space="preserve"> is at ‘live’ stage</w:t>
                  </w:r>
                </w:p>
              </w:tc>
              <w:tc>
                <w:tcPr>
                  <w:tcW w:w="994" w:type="dxa"/>
                  <w:tcBorders>
                    <w:top w:val="nil"/>
                    <w:left w:val="nil"/>
                    <w:bottom w:val="nil"/>
                    <w:right w:val="nil"/>
                  </w:tcBorders>
                  <w:shd w:val="solid" w:color="FFFFFF" w:fill="auto"/>
                </w:tcPr>
                <w:p w:rsidR="00FC2012" w:rsidRDefault="00FC2012" w:rsidP="003269F2">
                  <w:pPr>
                    <w:autoSpaceDE w:val="0"/>
                    <w:autoSpaceDN w:val="0"/>
                    <w:adjustRightInd w:val="0"/>
                    <w:spacing w:before="0" w:after="0" w:line="240" w:lineRule="auto"/>
                    <w:rPr>
                      <w:color w:val="000000"/>
                      <w:sz w:val="20"/>
                      <w:lang w:eastAsia="en-GB"/>
                    </w:rPr>
                  </w:pPr>
                </w:p>
              </w:tc>
              <w:tc>
                <w:tcPr>
                  <w:tcW w:w="994" w:type="dxa"/>
                  <w:tcBorders>
                    <w:top w:val="nil"/>
                    <w:left w:val="nil"/>
                    <w:bottom w:val="nil"/>
                    <w:right w:val="nil"/>
                  </w:tcBorders>
                  <w:shd w:val="solid" w:color="FFFFFF" w:fill="auto"/>
                </w:tcPr>
                <w:p w:rsidR="00FC2012" w:rsidRDefault="00FC2012" w:rsidP="003269F2">
                  <w:pPr>
                    <w:autoSpaceDE w:val="0"/>
                    <w:autoSpaceDN w:val="0"/>
                    <w:adjustRightInd w:val="0"/>
                    <w:spacing w:before="0" w:after="0" w:line="240" w:lineRule="auto"/>
                    <w:rPr>
                      <w:color w:val="000000"/>
                      <w:sz w:val="20"/>
                      <w:lang w:eastAsia="en-GB"/>
                    </w:rPr>
                  </w:pPr>
                </w:p>
              </w:tc>
            </w:tr>
            <w:tr w:rsidR="00FC2012" w:rsidTr="003269F2">
              <w:tblPrEx>
                <w:tblCellMar>
                  <w:top w:w="0" w:type="dxa"/>
                  <w:bottom w:w="0" w:type="dxa"/>
                </w:tblCellMar>
              </w:tblPrEx>
              <w:trPr>
                <w:trHeight w:val="280"/>
              </w:trPr>
              <w:tc>
                <w:tcPr>
                  <w:tcW w:w="9509" w:type="dxa"/>
                  <w:gridSpan w:val="6"/>
                  <w:tcBorders>
                    <w:top w:val="nil"/>
                    <w:left w:val="nil"/>
                    <w:bottom w:val="nil"/>
                    <w:right w:val="nil"/>
                  </w:tcBorders>
                  <w:shd w:val="solid" w:color="FFFFFF" w:fill="auto"/>
                </w:tcPr>
                <w:p w:rsidR="00FC2012" w:rsidRDefault="00FC2012" w:rsidP="003269F2">
                  <w:pPr>
                    <w:autoSpaceDE w:val="0"/>
                    <w:autoSpaceDN w:val="0"/>
                    <w:adjustRightInd w:val="0"/>
                    <w:spacing w:before="0" w:after="0" w:line="240" w:lineRule="auto"/>
                    <w:rPr>
                      <w:color w:val="000000"/>
                      <w:szCs w:val="24"/>
                      <w:lang w:eastAsia="en-GB"/>
                    </w:rPr>
                  </w:pPr>
                  <w:r w:rsidRPr="00466DBE">
                    <w:rPr>
                      <w:color w:val="000000"/>
                      <w:szCs w:val="24"/>
                      <w:vertAlign w:val="superscript"/>
                      <w:lang w:eastAsia="en-GB"/>
                    </w:rPr>
                    <w:t>2</w:t>
                  </w:r>
                  <w:r w:rsidRPr="00466DBE">
                    <w:rPr>
                      <w:color w:val="000000"/>
                      <w:szCs w:val="24"/>
                      <w:lang w:eastAsia="en-GB"/>
                    </w:rPr>
                    <w:t xml:space="preserve"> There may be a small number of measures which have also been reported under ECO or Cashback.</w:t>
                  </w:r>
                </w:p>
                <w:p w:rsidR="00A56350" w:rsidRPr="00A56350" w:rsidRDefault="00A56350" w:rsidP="003269F2">
                  <w:pPr>
                    <w:autoSpaceDE w:val="0"/>
                    <w:autoSpaceDN w:val="0"/>
                    <w:adjustRightInd w:val="0"/>
                    <w:spacing w:before="0" w:after="0" w:line="240" w:lineRule="auto"/>
                    <w:rPr>
                      <w:color w:val="000000"/>
                      <w:sz w:val="16"/>
                      <w:szCs w:val="16"/>
                      <w:lang w:eastAsia="en-GB"/>
                    </w:rPr>
                  </w:pPr>
                </w:p>
              </w:tc>
              <w:tc>
                <w:tcPr>
                  <w:tcW w:w="994" w:type="dxa"/>
                  <w:tcBorders>
                    <w:top w:val="nil"/>
                    <w:left w:val="nil"/>
                    <w:bottom w:val="nil"/>
                    <w:right w:val="nil"/>
                  </w:tcBorders>
                  <w:shd w:val="solid" w:color="FFFFFF" w:fill="auto"/>
                </w:tcPr>
                <w:p w:rsidR="00FC2012" w:rsidRDefault="00FC2012" w:rsidP="003269F2">
                  <w:pPr>
                    <w:autoSpaceDE w:val="0"/>
                    <w:autoSpaceDN w:val="0"/>
                    <w:adjustRightInd w:val="0"/>
                    <w:spacing w:before="0" w:after="0" w:line="240" w:lineRule="auto"/>
                    <w:rPr>
                      <w:color w:val="000000"/>
                      <w:sz w:val="20"/>
                      <w:lang w:eastAsia="en-GB"/>
                    </w:rPr>
                  </w:pPr>
                </w:p>
              </w:tc>
              <w:tc>
                <w:tcPr>
                  <w:tcW w:w="994" w:type="dxa"/>
                  <w:tcBorders>
                    <w:top w:val="nil"/>
                    <w:left w:val="nil"/>
                    <w:bottom w:val="nil"/>
                    <w:right w:val="nil"/>
                  </w:tcBorders>
                  <w:shd w:val="solid" w:color="FFFFFF" w:fill="auto"/>
                </w:tcPr>
                <w:p w:rsidR="00FC2012" w:rsidRDefault="00FC2012" w:rsidP="003269F2">
                  <w:pPr>
                    <w:autoSpaceDE w:val="0"/>
                    <w:autoSpaceDN w:val="0"/>
                    <w:adjustRightInd w:val="0"/>
                    <w:spacing w:before="0" w:after="0" w:line="240" w:lineRule="auto"/>
                    <w:rPr>
                      <w:color w:val="000000"/>
                      <w:sz w:val="20"/>
                      <w:lang w:eastAsia="en-GB"/>
                    </w:rPr>
                  </w:pPr>
                </w:p>
              </w:tc>
            </w:tr>
            <w:tr w:rsidR="00FC2012" w:rsidTr="003269F2">
              <w:tblPrEx>
                <w:tblCellMar>
                  <w:top w:w="0" w:type="dxa"/>
                  <w:bottom w:w="0" w:type="dxa"/>
                </w:tblCellMar>
              </w:tblPrEx>
              <w:trPr>
                <w:trHeight w:val="251"/>
              </w:trPr>
              <w:tc>
                <w:tcPr>
                  <w:tcW w:w="11497" w:type="dxa"/>
                  <w:gridSpan w:val="8"/>
                  <w:tcBorders>
                    <w:top w:val="nil"/>
                    <w:left w:val="nil"/>
                    <w:bottom w:val="nil"/>
                    <w:right w:val="nil"/>
                  </w:tcBorders>
                </w:tcPr>
                <w:p w:rsidR="009522AA" w:rsidRDefault="00FC2012" w:rsidP="003269F2">
                  <w:pPr>
                    <w:autoSpaceDE w:val="0"/>
                    <w:autoSpaceDN w:val="0"/>
                    <w:adjustRightInd w:val="0"/>
                    <w:spacing w:before="0" w:after="0" w:line="240" w:lineRule="auto"/>
                    <w:rPr>
                      <w:color w:val="000000"/>
                      <w:szCs w:val="24"/>
                      <w:lang w:eastAsia="en-GB"/>
                    </w:rPr>
                  </w:pPr>
                  <w:r w:rsidRPr="00466DBE">
                    <w:rPr>
                      <w:color w:val="000000"/>
                      <w:szCs w:val="24"/>
                      <w:vertAlign w:val="superscript"/>
                      <w:lang w:eastAsia="en-GB"/>
                    </w:rPr>
                    <w:t>3</w:t>
                  </w:r>
                  <w:r w:rsidRPr="00466DBE">
                    <w:rPr>
                      <w:color w:val="000000"/>
                      <w:szCs w:val="24"/>
                      <w:lang w:eastAsia="en-GB"/>
                    </w:rPr>
                    <w:t xml:space="preserve"> The number of measures installed using Green Deal finance in earlier installation months</w:t>
                  </w:r>
                </w:p>
                <w:p w:rsidR="00FC2012" w:rsidRPr="00466DBE" w:rsidRDefault="00FC2012" w:rsidP="003269F2">
                  <w:pPr>
                    <w:autoSpaceDE w:val="0"/>
                    <w:autoSpaceDN w:val="0"/>
                    <w:adjustRightInd w:val="0"/>
                    <w:spacing w:before="0" w:after="0" w:line="240" w:lineRule="auto"/>
                    <w:rPr>
                      <w:color w:val="000000"/>
                      <w:szCs w:val="24"/>
                      <w:lang w:eastAsia="en-GB"/>
                    </w:rPr>
                  </w:pPr>
                  <w:proofErr w:type="gramStart"/>
                  <w:r w:rsidRPr="00466DBE">
                    <w:rPr>
                      <w:color w:val="000000"/>
                      <w:szCs w:val="24"/>
                      <w:lang w:eastAsia="en-GB"/>
                    </w:rPr>
                    <w:t>are</w:t>
                  </w:r>
                  <w:proofErr w:type="gramEnd"/>
                  <w:r w:rsidRPr="00466DBE">
                    <w:rPr>
                      <w:color w:val="000000"/>
                      <w:szCs w:val="24"/>
                      <w:lang w:eastAsia="en-GB"/>
                    </w:rPr>
                    <w:t xml:space="preserve"> subject to revision as Green Deal Plans become 'live' after the month of installation.</w:t>
                  </w:r>
                </w:p>
              </w:tc>
            </w:tr>
            <w:tr w:rsidR="00FC2012" w:rsidTr="003269F2">
              <w:tblPrEx>
                <w:tblCellMar>
                  <w:top w:w="0" w:type="dxa"/>
                  <w:bottom w:w="0" w:type="dxa"/>
                </w:tblCellMar>
              </w:tblPrEx>
              <w:trPr>
                <w:trHeight w:val="251"/>
              </w:trPr>
              <w:tc>
                <w:tcPr>
                  <w:tcW w:w="4577" w:type="dxa"/>
                  <w:tcBorders>
                    <w:top w:val="nil"/>
                    <w:left w:val="nil"/>
                    <w:bottom w:val="nil"/>
                    <w:right w:val="nil"/>
                  </w:tcBorders>
                </w:tcPr>
                <w:p w:rsidR="00FC2012" w:rsidRDefault="00FC2012" w:rsidP="003269F2">
                  <w:pPr>
                    <w:autoSpaceDE w:val="0"/>
                    <w:autoSpaceDN w:val="0"/>
                    <w:adjustRightInd w:val="0"/>
                    <w:spacing w:before="0" w:after="0" w:line="240" w:lineRule="auto"/>
                    <w:jc w:val="right"/>
                    <w:rPr>
                      <w:color w:val="000000"/>
                      <w:sz w:val="20"/>
                      <w:lang w:eastAsia="en-GB"/>
                    </w:rPr>
                  </w:pPr>
                </w:p>
              </w:tc>
              <w:tc>
                <w:tcPr>
                  <w:tcW w:w="2406" w:type="dxa"/>
                  <w:tcBorders>
                    <w:top w:val="nil"/>
                    <w:left w:val="nil"/>
                    <w:bottom w:val="nil"/>
                    <w:right w:val="nil"/>
                  </w:tcBorders>
                </w:tcPr>
                <w:p w:rsidR="00FC2012" w:rsidRDefault="00FC2012" w:rsidP="003269F2">
                  <w:pPr>
                    <w:autoSpaceDE w:val="0"/>
                    <w:autoSpaceDN w:val="0"/>
                    <w:adjustRightInd w:val="0"/>
                    <w:spacing w:before="0" w:after="0" w:line="240" w:lineRule="auto"/>
                    <w:jc w:val="right"/>
                    <w:rPr>
                      <w:color w:val="000000"/>
                      <w:sz w:val="20"/>
                      <w:lang w:eastAsia="en-GB"/>
                    </w:rPr>
                  </w:pPr>
                </w:p>
              </w:tc>
              <w:tc>
                <w:tcPr>
                  <w:tcW w:w="1457" w:type="dxa"/>
                  <w:tcBorders>
                    <w:top w:val="nil"/>
                    <w:left w:val="nil"/>
                    <w:bottom w:val="nil"/>
                    <w:right w:val="nil"/>
                  </w:tcBorders>
                </w:tcPr>
                <w:p w:rsidR="00FC2012" w:rsidRDefault="00FC2012" w:rsidP="003269F2">
                  <w:pPr>
                    <w:autoSpaceDE w:val="0"/>
                    <w:autoSpaceDN w:val="0"/>
                    <w:adjustRightInd w:val="0"/>
                    <w:spacing w:before="0" w:after="0" w:line="240" w:lineRule="auto"/>
                    <w:jc w:val="right"/>
                    <w:rPr>
                      <w:color w:val="000000"/>
                      <w:sz w:val="20"/>
                      <w:lang w:eastAsia="en-GB"/>
                    </w:rPr>
                  </w:pPr>
                </w:p>
              </w:tc>
              <w:tc>
                <w:tcPr>
                  <w:tcW w:w="1069" w:type="dxa"/>
                  <w:gridSpan w:val="3"/>
                  <w:tcBorders>
                    <w:top w:val="nil"/>
                    <w:left w:val="nil"/>
                    <w:bottom w:val="nil"/>
                    <w:right w:val="nil"/>
                  </w:tcBorders>
                </w:tcPr>
                <w:p w:rsidR="00FC2012" w:rsidRDefault="00FC2012" w:rsidP="003269F2">
                  <w:pPr>
                    <w:autoSpaceDE w:val="0"/>
                    <w:autoSpaceDN w:val="0"/>
                    <w:adjustRightInd w:val="0"/>
                    <w:spacing w:before="0" w:after="0" w:line="240" w:lineRule="auto"/>
                    <w:jc w:val="right"/>
                    <w:rPr>
                      <w:color w:val="000000"/>
                      <w:sz w:val="20"/>
                      <w:lang w:eastAsia="en-GB"/>
                    </w:rPr>
                  </w:pPr>
                </w:p>
              </w:tc>
              <w:tc>
                <w:tcPr>
                  <w:tcW w:w="994" w:type="dxa"/>
                  <w:tcBorders>
                    <w:top w:val="nil"/>
                    <w:left w:val="nil"/>
                    <w:bottom w:val="nil"/>
                    <w:right w:val="nil"/>
                  </w:tcBorders>
                  <w:shd w:val="solid" w:color="FFFFFF" w:fill="auto"/>
                </w:tcPr>
                <w:p w:rsidR="00FC2012" w:rsidRDefault="00FC2012" w:rsidP="003269F2">
                  <w:pPr>
                    <w:autoSpaceDE w:val="0"/>
                    <w:autoSpaceDN w:val="0"/>
                    <w:adjustRightInd w:val="0"/>
                    <w:spacing w:before="0" w:after="0" w:line="240" w:lineRule="auto"/>
                    <w:jc w:val="right"/>
                    <w:rPr>
                      <w:color w:val="000000"/>
                      <w:sz w:val="20"/>
                      <w:lang w:eastAsia="en-GB"/>
                    </w:rPr>
                  </w:pPr>
                </w:p>
              </w:tc>
              <w:tc>
                <w:tcPr>
                  <w:tcW w:w="994" w:type="dxa"/>
                  <w:tcBorders>
                    <w:top w:val="nil"/>
                    <w:left w:val="nil"/>
                    <w:bottom w:val="nil"/>
                    <w:right w:val="nil"/>
                  </w:tcBorders>
                  <w:shd w:val="solid" w:color="FFFFFF" w:fill="auto"/>
                </w:tcPr>
                <w:p w:rsidR="00FC2012" w:rsidRDefault="00FC2012" w:rsidP="003269F2">
                  <w:pPr>
                    <w:autoSpaceDE w:val="0"/>
                    <w:autoSpaceDN w:val="0"/>
                    <w:adjustRightInd w:val="0"/>
                    <w:spacing w:before="0" w:after="0" w:line="240" w:lineRule="auto"/>
                    <w:jc w:val="right"/>
                    <w:rPr>
                      <w:color w:val="000000"/>
                      <w:sz w:val="20"/>
                      <w:lang w:eastAsia="en-GB"/>
                    </w:rPr>
                  </w:pPr>
                </w:p>
              </w:tc>
            </w:tr>
          </w:tbl>
          <w:p w:rsidR="00FC2012" w:rsidRPr="006F4D88" w:rsidRDefault="00FC2012" w:rsidP="003269F2">
            <w:pPr>
              <w:spacing w:before="0" w:after="0" w:line="240" w:lineRule="auto"/>
              <w:rPr>
                <w:b/>
                <w:bCs/>
                <w:color w:val="000000"/>
                <w:szCs w:val="24"/>
                <w:lang w:eastAsia="en-GB"/>
              </w:rPr>
            </w:pPr>
          </w:p>
        </w:tc>
      </w:tr>
      <w:tr w:rsidR="00FC2012" w:rsidRPr="006F4D88" w:rsidTr="009522AA">
        <w:trPr>
          <w:trHeight w:val="255"/>
        </w:trPr>
        <w:tc>
          <w:tcPr>
            <w:tcW w:w="5685" w:type="dxa"/>
            <w:gridSpan w:val="3"/>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rPr>
                <w:color w:val="000000"/>
                <w:szCs w:val="24"/>
                <w:lang w:eastAsia="en-GB"/>
              </w:rPr>
            </w:pPr>
          </w:p>
        </w:tc>
        <w:tc>
          <w:tcPr>
            <w:tcW w:w="2410" w:type="dxa"/>
            <w:gridSpan w:val="2"/>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jc w:val="right"/>
              <w:rPr>
                <w:color w:val="000000"/>
                <w:szCs w:val="24"/>
                <w:lang w:eastAsia="en-GB"/>
              </w:rPr>
            </w:pPr>
          </w:p>
        </w:tc>
        <w:tc>
          <w:tcPr>
            <w:tcW w:w="1985" w:type="dxa"/>
            <w:gridSpan w:val="3"/>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jc w:val="right"/>
              <w:rPr>
                <w:i/>
                <w:iCs/>
                <w:color w:val="000000"/>
                <w:szCs w:val="24"/>
                <w:lang w:eastAsia="en-GB"/>
              </w:rPr>
            </w:pPr>
          </w:p>
        </w:tc>
      </w:tr>
      <w:tr w:rsidR="00FC2012" w:rsidRPr="006F4D88" w:rsidTr="009522AA">
        <w:trPr>
          <w:trHeight w:val="255"/>
        </w:trPr>
        <w:tc>
          <w:tcPr>
            <w:tcW w:w="5685" w:type="dxa"/>
            <w:gridSpan w:val="3"/>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rPr>
                <w:color w:val="000000"/>
                <w:szCs w:val="24"/>
                <w:lang w:eastAsia="en-GB"/>
              </w:rPr>
            </w:pPr>
          </w:p>
        </w:tc>
        <w:tc>
          <w:tcPr>
            <w:tcW w:w="2410" w:type="dxa"/>
            <w:gridSpan w:val="2"/>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jc w:val="right"/>
              <w:rPr>
                <w:color w:val="000000"/>
                <w:szCs w:val="24"/>
                <w:lang w:eastAsia="en-GB"/>
              </w:rPr>
            </w:pPr>
          </w:p>
        </w:tc>
        <w:tc>
          <w:tcPr>
            <w:tcW w:w="1985" w:type="dxa"/>
            <w:gridSpan w:val="3"/>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jc w:val="right"/>
              <w:rPr>
                <w:i/>
                <w:iCs/>
                <w:color w:val="000000"/>
                <w:szCs w:val="24"/>
                <w:lang w:eastAsia="en-GB"/>
              </w:rPr>
            </w:pPr>
          </w:p>
        </w:tc>
      </w:tr>
      <w:tr w:rsidR="00FC2012" w:rsidRPr="006F4D88" w:rsidTr="009522AA">
        <w:trPr>
          <w:trHeight w:val="255"/>
        </w:trPr>
        <w:tc>
          <w:tcPr>
            <w:tcW w:w="5685" w:type="dxa"/>
            <w:gridSpan w:val="3"/>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rPr>
                <w:color w:val="000000"/>
                <w:szCs w:val="24"/>
                <w:lang w:eastAsia="en-GB"/>
              </w:rPr>
            </w:pPr>
          </w:p>
        </w:tc>
        <w:tc>
          <w:tcPr>
            <w:tcW w:w="2410" w:type="dxa"/>
            <w:gridSpan w:val="2"/>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jc w:val="right"/>
              <w:rPr>
                <w:color w:val="000000"/>
                <w:szCs w:val="24"/>
                <w:lang w:eastAsia="en-GB"/>
              </w:rPr>
            </w:pPr>
          </w:p>
        </w:tc>
        <w:tc>
          <w:tcPr>
            <w:tcW w:w="1985" w:type="dxa"/>
            <w:gridSpan w:val="3"/>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jc w:val="right"/>
              <w:rPr>
                <w:i/>
                <w:iCs/>
                <w:color w:val="000000"/>
                <w:szCs w:val="24"/>
                <w:lang w:eastAsia="en-GB"/>
              </w:rPr>
            </w:pPr>
          </w:p>
        </w:tc>
      </w:tr>
      <w:tr w:rsidR="00FC2012" w:rsidRPr="006F4D88" w:rsidTr="009522AA">
        <w:trPr>
          <w:trHeight w:val="255"/>
        </w:trPr>
        <w:tc>
          <w:tcPr>
            <w:tcW w:w="5685" w:type="dxa"/>
            <w:gridSpan w:val="3"/>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rPr>
                <w:color w:val="000000"/>
                <w:szCs w:val="24"/>
                <w:lang w:eastAsia="en-GB"/>
              </w:rPr>
            </w:pPr>
          </w:p>
        </w:tc>
        <w:tc>
          <w:tcPr>
            <w:tcW w:w="2410" w:type="dxa"/>
            <w:gridSpan w:val="2"/>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jc w:val="right"/>
              <w:rPr>
                <w:color w:val="000000"/>
                <w:szCs w:val="24"/>
                <w:lang w:eastAsia="en-GB"/>
              </w:rPr>
            </w:pPr>
          </w:p>
        </w:tc>
        <w:tc>
          <w:tcPr>
            <w:tcW w:w="1985" w:type="dxa"/>
            <w:gridSpan w:val="3"/>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jc w:val="right"/>
              <w:rPr>
                <w:i/>
                <w:iCs/>
                <w:color w:val="000000"/>
                <w:szCs w:val="24"/>
                <w:lang w:eastAsia="en-GB"/>
              </w:rPr>
            </w:pPr>
          </w:p>
        </w:tc>
      </w:tr>
      <w:tr w:rsidR="00FC2012" w:rsidRPr="006F4D88" w:rsidTr="009522AA">
        <w:trPr>
          <w:trHeight w:val="255"/>
        </w:trPr>
        <w:tc>
          <w:tcPr>
            <w:tcW w:w="5685" w:type="dxa"/>
            <w:gridSpan w:val="3"/>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rPr>
                <w:color w:val="000000"/>
                <w:szCs w:val="24"/>
                <w:lang w:eastAsia="en-GB"/>
              </w:rPr>
            </w:pPr>
          </w:p>
        </w:tc>
        <w:tc>
          <w:tcPr>
            <w:tcW w:w="2410" w:type="dxa"/>
            <w:gridSpan w:val="2"/>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rPr>
                <w:color w:val="000000"/>
                <w:szCs w:val="24"/>
                <w:lang w:eastAsia="en-GB"/>
              </w:rPr>
            </w:pPr>
          </w:p>
        </w:tc>
        <w:tc>
          <w:tcPr>
            <w:tcW w:w="1985" w:type="dxa"/>
            <w:gridSpan w:val="3"/>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rPr>
                <w:i/>
                <w:iCs/>
                <w:color w:val="000000"/>
                <w:szCs w:val="24"/>
                <w:lang w:eastAsia="en-GB"/>
              </w:rPr>
            </w:pPr>
          </w:p>
        </w:tc>
      </w:tr>
      <w:tr w:rsidR="00FC2012" w:rsidRPr="006F4D88" w:rsidTr="009522AA">
        <w:trPr>
          <w:trHeight w:val="255"/>
        </w:trPr>
        <w:tc>
          <w:tcPr>
            <w:tcW w:w="5685" w:type="dxa"/>
            <w:gridSpan w:val="3"/>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rPr>
                <w:b/>
                <w:bCs/>
                <w:color w:val="000000"/>
                <w:szCs w:val="24"/>
                <w:lang w:eastAsia="en-GB"/>
              </w:rPr>
            </w:pPr>
          </w:p>
        </w:tc>
        <w:tc>
          <w:tcPr>
            <w:tcW w:w="2410" w:type="dxa"/>
            <w:gridSpan w:val="2"/>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jc w:val="right"/>
              <w:rPr>
                <w:color w:val="000000"/>
                <w:szCs w:val="24"/>
                <w:lang w:eastAsia="en-GB"/>
              </w:rPr>
            </w:pPr>
          </w:p>
        </w:tc>
        <w:tc>
          <w:tcPr>
            <w:tcW w:w="1985" w:type="dxa"/>
            <w:gridSpan w:val="3"/>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jc w:val="right"/>
              <w:rPr>
                <w:i/>
                <w:iCs/>
                <w:color w:val="000000"/>
                <w:szCs w:val="24"/>
                <w:lang w:eastAsia="en-GB"/>
              </w:rPr>
            </w:pPr>
          </w:p>
        </w:tc>
      </w:tr>
      <w:tr w:rsidR="00FC2012" w:rsidRPr="006F4D88" w:rsidTr="009522AA">
        <w:trPr>
          <w:trHeight w:val="255"/>
        </w:trPr>
        <w:tc>
          <w:tcPr>
            <w:tcW w:w="5685" w:type="dxa"/>
            <w:gridSpan w:val="3"/>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rPr>
                <w:color w:val="000000"/>
                <w:szCs w:val="24"/>
                <w:lang w:eastAsia="en-GB"/>
              </w:rPr>
            </w:pPr>
          </w:p>
        </w:tc>
        <w:tc>
          <w:tcPr>
            <w:tcW w:w="2410" w:type="dxa"/>
            <w:gridSpan w:val="2"/>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rPr>
                <w:color w:val="000000"/>
                <w:szCs w:val="24"/>
                <w:lang w:eastAsia="en-GB"/>
              </w:rPr>
            </w:pPr>
          </w:p>
        </w:tc>
        <w:tc>
          <w:tcPr>
            <w:tcW w:w="1985" w:type="dxa"/>
            <w:gridSpan w:val="3"/>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rPr>
                <w:i/>
                <w:iCs/>
                <w:color w:val="000000"/>
                <w:szCs w:val="24"/>
                <w:lang w:eastAsia="en-GB"/>
              </w:rPr>
            </w:pPr>
          </w:p>
        </w:tc>
      </w:tr>
      <w:tr w:rsidR="00FC2012" w:rsidRPr="006F4D88" w:rsidTr="009522AA">
        <w:trPr>
          <w:trHeight w:val="255"/>
        </w:trPr>
        <w:tc>
          <w:tcPr>
            <w:tcW w:w="5685" w:type="dxa"/>
            <w:gridSpan w:val="3"/>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rPr>
                <w:b/>
                <w:bCs/>
                <w:color w:val="000000"/>
                <w:szCs w:val="24"/>
                <w:lang w:eastAsia="en-GB"/>
              </w:rPr>
            </w:pPr>
          </w:p>
        </w:tc>
        <w:tc>
          <w:tcPr>
            <w:tcW w:w="2410" w:type="dxa"/>
            <w:gridSpan w:val="2"/>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jc w:val="right"/>
              <w:rPr>
                <w:color w:val="000000"/>
                <w:szCs w:val="24"/>
                <w:lang w:eastAsia="en-GB"/>
              </w:rPr>
            </w:pPr>
          </w:p>
        </w:tc>
        <w:tc>
          <w:tcPr>
            <w:tcW w:w="1985" w:type="dxa"/>
            <w:gridSpan w:val="3"/>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jc w:val="right"/>
              <w:rPr>
                <w:i/>
                <w:iCs/>
                <w:color w:val="000000"/>
                <w:szCs w:val="24"/>
                <w:lang w:eastAsia="en-GB"/>
              </w:rPr>
            </w:pPr>
          </w:p>
        </w:tc>
      </w:tr>
      <w:tr w:rsidR="00FC2012" w:rsidRPr="006F4D88" w:rsidTr="009522AA">
        <w:trPr>
          <w:trHeight w:val="255"/>
        </w:trPr>
        <w:tc>
          <w:tcPr>
            <w:tcW w:w="5685" w:type="dxa"/>
            <w:gridSpan w:val="3"/>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rPr>
                <w:b/>
                <w:bCs/>
                <w:color w:val="000000"/>
                <w:szCs w:val="24"/>
                <w:lang w:eastAsia="en-GB"/>
              </w:rPr>
            </w:pPr>
          </w:p>
        </w:tc>
        <w:tc>
          <w:tcPr>
            <w:tcW w:w="2410" w:type="dxa"/>
            <w:gridSpan w:val="2"/>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rPr>
                <w:color w:val="000000"/>
                <w:szCs w:val="24"/>
                <w:lang w:eastAsia="en-GB"/>
              </w:rPr>
            </w:pPr>
          </w:p>
        </w:tc>
        <w:tc>
          <w:tcPr>
            <w:tcW w:w="1985" w:type="dxa"/>
            <w:gridSpan w:val="3"/>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rPr>
                <w:i/>
                <w:iCs/>
                <w:color w:val="000000"/>
                <w:szCs w:val="24"/>
                <w:lang w:eastAsia="en-GB"/>
              </w:rPr>
            </w:pPr>
          </w:p>
        </w:tc>
      </w:tr>
      <w:tr w:rsidR="00FC2012" w:rsidRPr="006F4D88" w:rsidTr="009522AA">
        <w:trPr>
          <w:trHeight w:val="255"/>
        </w:trPr>
        <w:tc>
          <w:tcPr>
            <w:tcW w:w="5685" w:type="dxa"/>
            <w:gridSpan w:val="3"/>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rPr>
                <w:b/>
                <w:bCs/>
                <w:color w:val="000000"/>
                <w:szCs w:val="24"/>
                <w:lang w:eastAsia="en-GB"/>
              </w:rPr>
            </w:pPr>
          </w:p>
        </w:tc>
        <w:tc>
          <w:tcPr>
            <w:tcW w:w="2410" w:type="dxa"/>
            <w:gridSpan w:val="2"/>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rPr>
                <w:color w:val="000000"/>
                <w:szCs w:val="24"/>
                <w:lang w:eastAsia="en-GB"/>
              </w:rPr>
            </w:pPr>
          </w:p>
        </w:tc>
        <w:tc>
          <w:tcPr>
            <w:tcW w:w="1985" w:type="dxa"/>
            <w:gridSpan w:val="3"/>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rPr>
                <w:i/>
                <w:iCs/>
                <w:color w:val="000000"/>
                <w:szCs w:val="24"/>
                <w:lang w:eastAsia="en-GB"/>
              </w:rPr>
            </w:pPr>
          </w:p>
        </w:tc>
      </w:tr>
      <w:tr w:rsidR="00FC2012" w:rsidRPr="006F4D88" w:rsidTr="009522AA">
        <w:trPr>
          <w:trHeight w:val="255"/>
        </w:trPr>
        <w:tc>
          <w:tcPr>
            <w:tcW w:w="5685" w:type="dxa"/>
            <w:gridSpan w:val="3"/>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rPr>
                <w:color w:val="000000"/>
                <w:szCs w:val="24"/>
                <w:lang w:eastAsia="en-GB"/>
              </w:rPr>
            </w:pPr>
          </w:p>
        </w:tc>
        <w:tc>
          <w:tcPr>
            <w:tcW w:w="2410" w:type="dxa"/>
            <w:gridSpan w:val="2"/>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jc w:val="right"/>
              <w:rPr>
                <w:color w:val="000000"/>
                <w:szCs w:val="24"/>
                <w:lang w:eastAsia="en-GB"/>
              </w:rPr>
            </w:pPr>
          </w:p>
        </w:tc>
        <w:tc>
          <w:tcPr>
            <w:tcW w:w="1985" w:type="dxa"/>
            <w:gridSpan w:val="3"/>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jc w:val="right"/>
              <w:rPr>
                <w:i/>
                <w:iCs/>
                <w:color w:val="000000"/>
                <w:szCs w:val="24"/>
                <w:lang w:eastAsia="en-GB"/>
              </w:rPr>
            </w:pPr>
          </w:p>
        </w:tc>
      </w:tr>
      <w:tr w:rsidR="00FC2012" w:rsidRPr="008A5812" w:rsidTr="009522AA">
        <w:trPr>
          <w:gridAfter w:val="1"/>
          <w:wAfter w:w="267" w:type="dxa"/>
          <w:trHeight w:val="600"/>
        </w:trPr>
        <w:tc>
          <w:tcPr>
            <w:tcW w:w="9813" w:type="dxa"/>
            <w:gridSpan w:val="7"/>
            <w:tcBorders>
              <w:top w:val="nil"/>
              <w:left w:val="nil"/>
              <w:bottom w:val="nil"/>
              <w:right w:val="nil"/>
            </w:tcBorders>
            <w:shd w:val="clear" w:color="000000" w:fill="FFFFFF"/>
            <w:vAlign w:val="bottom"/>
            <w:hideMark/>
          </w:tcPr>
          <w:p w:rsidR="00FC2012" w:rsidRPr="008A5812" w:rsidRDefault="00F7089E" w:rsidP="003269F2">
            <w:pPr>
              <w:spacing w:after="0" w:line="240" w:lineRule="auto"/>
              <w:jc w:val="both"/>
              <w:rPr>
                <w:b/>
                <w:bCs/>
                <w:color w:val="000000"/>
                <w:szCs w:val="24"/>
                <w:lang w:eastAsia="en-GB"/>
              </w:rPr>
            </w:pPr>
            <w:r>
              <w:rPr>
                <w:b/>
                <w:bCs/>
                <w:color w:val="000000"/>
                <w:szCs w:val="24"/>
                <w:lang w:eastAsia="en-GB"/>
              </w:rPr>
              <w:lastRenderedPageBreak/>
              <w:t>Table 4</w:t>
            </w:r>
            <w:r w:rsidR="00FC2012" w:rsidRPr="008A5812">
              <w:rPr>
                <w:b/>
                <w:bCs/>
                <w:color w:val="000000"/>
                <w:szCs w:val="24"/>
                <w:lang w:eastAsia="en-GB"/>
              </w:rPr>
              <w:t>: Number and value of Cashback vouchers paid, month and cumulative total, by month</w:t>
            </w:r>
            <w:r w:rsidR="00FC2012">
              <w:rPr>
                <w:b/>
                <w:bCs/>
                <w:color w:val="000000"/>
                <w:szCs w:val="24"/>
                <w:lang w:eastAsia="en-GB"/>
              </w:rPr>
              <w:t>, England and Wales only</w:t>
            </w:r>
          </w:p>
        </w:tc>
      </w:tr>
      <w:tr w:rsidR="00FC2012" w:rsidRPr="008A5812" w:rsidTr="009522AA">
        <w:trPr>
          <w:gridAfter w:val="1"/>
          <w:wAfter w:w="267" w:type="dxa"/>
          <w:trHeight w:val="600"/>
        </w:trPr>
        <w:tc>
          <w:tcPr>
            <w:tcW w:w="9813" w:type="dxa"/>
            <w:gridSpan w:val="7"/>
            <w:tcBorders>
              <w:top w:val="nil"/>
              <w:left w:val="nil"/>
              <w:bottom w:val="nil"/>
              <w:right w:val="nil"/>
            </w:tcBorders>
            <w:shd w:val="clear" w:color="000000" w:fill="FFFFFF"/>
            <w:vAlign w:val="bottom"/>
          </w:tcPr>
          <w:p w:rsidR="00FC2012" w:rsidRPr="008A5812" w:rsidRDefault="00FC2012" w:rsidP="003269F2">
            <w:pPr>
              <w:spacing w:after="0" w:line="240" w:lineRule="auto"/>
              <w:jc w:val="both"/>
              <w:rPr>
                <w:b/>
                <w:bCs/>
                <w:color w:val="000000"/>
                <w:szCs w:val="24"/>
                <w:lang w:eastAsia="en-GB"/>
              </w:rPr>
            </w:pPr>
          </w:p>
        </w:tc>
      </w:tr>
      <w:tr w:rsidR="00FC2012" w:rsidRPr="008A5812" w:rsidTr="009522AA">
        <w:trPr>
          <w:gridAfter w:val="2"/>
          <w:wAfter w:w="1695" w:type="dxa"/>
          <w:trHeight w:val="285"/>
        </w:trPr>
        <w:tc>
          <w:tcPr>
            <w:tcW w:w="2260" w:type="dxa"/>
            <w:tcBorders>
              <w:top w:val="single" w:sz="4" w:space="0" w:color="auto"/>
              <w:left w:val="nil"/>
              <w:right w:val="nil"/>
            </w:tcBorders>
            <w:shd w:val="clear" w:color="000000" w:fill="FFFFFF"/>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 </w:t>
            </w:r>
          </w:p>
        </w:tc>
        <w:tc>
          <w:tcPr>
            <w:tcW w:w="2150" w:type="dxa"/>
            <w:tcBorders>
              <w:top w:val="single" w:sz="4" w:space="0" w:color="auto"/>
              <w:left w:val="nil"/>
              <w:right w:val="nil"/>
            </w:tcBorders>
            <w:shd w:val="clear" w:color="000000" w:fill="FFFFFF"/>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Vouchers issued</w:t>
            </w:r>
            <w:r>
              <w:rPr>
                <w:color w:val="000000"/>
                <w:szCs w:val="24"/>
                <w:vertAlign w:val="superscript"/>
                <w:lang w:eastAsia="en-GB"/>
              </w:rPr>
              <w:t xml:space="preserve"> 1</w:t>
            </w:r>
          </w:p>
        </w:tc>
        <w:tc>
          <w:tcPr>
            <w:tcW w:w="3975" w:type="dxa"/>
            <w:gridSpan w:val="4"/>
            <w:tcBorders>
              <w:top w:val="single" w:sz="4" w:space="0" w:color="auto"/>
              <w:left w:val="nil"/>
              <w:right w:val="nil"/>
            </w:tcBorders>
            <w:shd w:val="clear" w:color="000000" w:fill="FFFFFF"/>
            <w:noWrap/>
            <w:vAlign w:val="bottom"/>
            <w:hideMark/>
          </w:tcPr>
          <w:p w:rsidR="00FC2012" w:rsidRPr="008A5812" w:rsidRDefault="00FC2012" w:rsidP="003269F2">
            <w:pPr>
              <w:spacing w:after="0" w:line="240" w:lineRule="auto"/>
              <w:jc w:val="center"/>
              <w:rPr>
                <w:color w:val="000000"/>
                <w:szCs w:val="24"/>
                <w:lang w:eastAsia="en-GB"/>
              </w:rPr>
            </w:pPr>
            <w:r w:rsidRPr="008A5812">
              <w:rPr>
                <w:color w:val="000000"/>
                <w:szCs w:val="24"/>
                <w:lang w:eastAsia="en-GB"/>
              </w:rPr>
              <w:t xml:space="preserve">Payments made </w:t>
            </w:r>
            <w:r>
              <w:rPr>
                <w:color w:val="000000"/>
                <w:szCs w:val="24"/>
                <w:vertAlign w:val="superscript"/>
                <w:lang w:eastAsia="en-GB"/>
              </w:rPr>
              <w:t>2</w:t>
            </w:r>
          </w:p>
        </w:tc>
      </w:tr>
      <w:tr w:rsidR="00FC2012" w:rsidRPr="008A5812" w:rsidTr="009522AA">
        <w:trPr>
          <w:gridAfter w:val="2"/>
          <w:wAfter w:w="1695" w:type="dxa"/>
          <w:trHeight w:val="555"/>
        </w:trPr>
        <w:tc>
          <w:tcPr>
            <w:tcW w:w="2260" w:type="dxa"/>
            <w:tcBorders>
              <w:top w:val="nil"/>
              <w:left w:val="nil"/>
              <w:bottom w:val="single" w:sz="4" w:space="0" w:color="auto"/>
              <w:right w:val="nil"/>
            </w:tcBorders>
            <w:shd w:val="clear" w:color="000000" w:fill="FFFFFF"/>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Installation Month</w:t>
            </w:r>
          </w:p>
        </w:tc>
        <w:tc>
          <w:tcPr>
            <w:tcW w:w="2150" w:type="dxa"/>
            <w:tcBorders>
              <w:top w:val="nil"/>
              <w:left w:val="nil"/>
              <w:bottom w:val="single" w:sz="4" w:space="0" w:color="auto"/>
              <w:right w:val="nil"/>
            </w:tcBorders>
            <w:shd w:val="clear" w:color="000000" w:fill="FFFFFF"/>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Number</w:t>
            </w:r>
          </w:p>
        </w:tc>
        <w:tc>
          <w:tcPr>
            <w:tcW w:w="1901" w:type="dxa"/>
            <w:gridSpan w:val="2"/>
            <w:tcBorders>
              <w:top w:val="nil"/>
              <w:left w:val="nil"/>
              <w:bottom w:val="single" w:sz="4" w:space="0" w:color="auto"/>
              <w:right w:val="nil"/>
            </w:tcBorders>
            <w:shd w:val="clear" w:color="000000" w:fill="FFFFFF"/>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Number</w:t>
            </w:r>
          </w:p>
        </w:tc>
        <w:tc>
          <w:tcPr>
            <w:tcW w:w="2074" w:type="dxa"/>
            <w:gridSpan w:val="2"/>
            <w:tcBorders>
              <w:top w:val="nil"/>
              <w:left w:val="nil"/>
              <w:bottom w:val="single" w:sz="4" w:space="0" w:color="auto"/>
              <w:right w:val="nil"/>
            </w:tcBorders>
            <w:shd w:val="clear" w:color="000000" w:fill="FFFFFF"/>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Value (£)</w:t>
            </w:r>
          </w:p>
        </w:tc>
      </w:tr>
      <w:tr w:rsidR="00FC2012" w:rsidRPr="008A5812" w:rsidTr="009522AA">
        <w:trPr>
          <w:gridAfter w:val="2"/>
          <w:wAfter w:w="1695" w:type="dxa"/>
          <w:trHeight w:val="255"/>
        </w:trPr>
        <w:tc>
          <w:tcPr>
            <w:tcW w:w="2260" w:type="dxa"/>
            <w:tcBorders>
              <w:top w:val="single" w:sz="4" w:space="0" w:color="auto"/>
              <w:left w:val="nil"/>
              <w:bottom w:val="nil"/>
              <w:right w:val="nil"/>
            </w:tcBorders>
            <w:shd w:val="clear" w:color="000000" w:fill="FFFFFF"/>
            <w:noWrap/>
            <w:vAlign w:val="center"/>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 </w:t>
            </w:r>
          </w:p>
        </w:tc>
        <w:tc>
          <w:tcPr>
            <w:tcW w:w="2150" w:type="dxa"/>
            <w:tcBorders>
              <w:top w:val="single" w:sz="4" w:space="0" w:color="auto"/>
              <w:left w:val="nil"/>
              <w:bottom w:val="nil"/>
              <w:right w:val="nil"/>
            </w:tcBorders>
            <w:shd w:val="clear" w:color="000000" w:fill="FFFFFF"/>
            <w:noWrap/>
            <w:vAlign w:val="center"/>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 </w:t>
            </w:r>
          </w:p>
        </w:tc>
        <w:tc>
          <w:tcPr>
            <w:tcW w:w="1901" w:type="dxa"/>
            <w:gridSpan w:val="2"/>
            <w:tcBorders>
              <w:top w:val="single" w:sz="4" w:space="0" w:color="auto"/>
              <w:left w:val="nil"/>
              <w:bottom w:val="nil"/>
              <w:right w:val="nil"/>
            </w:tcBorders>
            <w:shd w:val="clear" w:color="000000" w:fill="FFFFFF"/>
            <w:noWrap/>
            <w:vAlign w:val="bottom"/>
            <w:hideMark/>
          </w:tcPr>
          <w:p w:rsidR="00FC2012" w:rsidRPr="008A5812" w:rsidRDefault="00FC2012" w:rsidP="003269F2">
            <w:pPr>
              <w:spacing w:after="0" w:line="240" w:lineRule="auto"/>
              <w:jc w:val="center"/>
              <w:rPr>
                <w:color w:val="000000"/>
                <w:szCs w:val="24"/>
                <w:lang w:eastAsia="en-GB"/>
              </w:rPr>
            </w:pPr>
            <w:r w:rsidRPr="008A5812">
              <w:rPr>
                <w:color w:val="000000"/>
                <w:szCs w:val="24"/>
                <w:lang w:eastAsia="en-GB"/>
              </w:rPr>
              <w:t> </w:t>
            </w:r>
          </w:p>
        </w:tc>
        <w:tc>
          <w:tcPr>
            <w:tcW w:w="2074" w:type="dxa"/>
            <w:gridSpan w:val="2"/>
            <w:tcBorders>
              <w:top w:val="single" w:sz="4" w:space="0" w:color="auto"/>
              <w:left w:val="nil"/>
              <w:bottom w:val="nil"/>
              <w:right w:val="nil"/>
            </w:tcBorders>
            <w:shd w:val="clear" w:color="000000" w:fill="FFFFFF"/>
            <w:noWrap/>
            <w:vAlign w:val="bottom"/>
            <w:hideMark/>
          </w:tcPr>
          <w:p w:rsidR="00FC2012" w:rsidRPr="008A5812" w:rsidRDefault="00FC2012" w:rsidP="003269F2">
            <w:pPr>
              <w:spacing w:after="0" w:line="240" w:lineRule="auto"/>
              <w:jc w:val="center"/>
              <w:rPr>
                <w:color w:val="000000"/>
                <w:szCs w:val="24"/>
                <w:lang w:eastAsia="en-GB"/>
              </w:rPr>
            </w:pPr>
            <w:r w:rsidRPr="008A5812">
              <w:rPr>
                <w:color w:val="000000"/>
                <w:szCs w:val="24"/>
                <w:lang w:eastAsia="en-GB"/>
              </w:rPr>
              <w:t> </w:t>
            </w:r>
          </w:p>
        </w:tc>
      </w:tr>
      <w:tr w:rsidR="00FC2012" w:rsidRPr="008A5812" w:rsidTr="009522AA">
        <w:trPr>
          <w:gridAfter w:val="2"/>
          <w:wAfter w:w="1695" w:type="dxa"/>
          <w:trHeight w:val="255"/>
        </w:trPr>
        <w:tc>
          <w:tcPr>
            <w:tcW w:w="2260" w:type="dxa"/>
            <w:tcBorders>
              <w:top w:val="nil"/>
              <w:left w:val="nil"/>
              <w:bottom w:val="nil"/>
              <w:right w:val="nil"/>
            </w:tcBorders>
            <w:shd w:val="clear" w:color="000000" w:fill="FFFFFF"/>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February 2013</w:t>
            </w:r>
          </w:p>
        </w:tc>
        <w:tc>
          <w:tcPr>
            <w:tcW w:w="2150" w:type="dxa"/>
            <w:tcBorders>
              <w:top w:val="nil"/>
              <w:left w:val="nil"/>
              <w:bottom w:val="nil"/>
              <w:right w:val="nil"/>
            </w:tcBorders>
            <w:shd w:val="clear" w:color="000000" w:fill="FFFFFF"/>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 </w:t>
            </w:r>
          </w:p>
        </w:tc>
        <w:tc>
          <w:tcPr>
            <w:tcW w:w="1901" w:type="dxa"/>
            <w:gridSpan w:val="2"/>
            <w:tcBorders>
              <w:top w:val="nil"/>
              <w:left w:val="nil"/>
              <w:bottom w:val="nil"/>
              <w:right w:val="nil"/>
            </w:tcBorders>
            <w:shd w:val="clear" w:color="000000" w:fill="FFFFFF"/>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94</w:t>
            </w:r>
          </w:p>
        </w:tc>
        <w:tc>
          <w:tcPr>
            <w:tcW w:w="2074" w:type="dxa"/>
            <w:gridSpan w:val="2"/>
            <w:tcBorders>
              <w:top w:val="nil"/>
              <w:left w:val="nil"/>
              <w:bottom w:val="nil"/>
              <w:right w:val="nil"/>
            </w:tcBorders>
            <w:shd w:val="clear" w:color="000000" w:fill="FFFFFF"/>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25,380</w:t>
            </w:r>
          </w:p>
        </w:tc>
      </w:tr>
      <w:tr w:rsidR="00FC2012" w:rsidRPr="008A5812" w:rsidTr="009522AA">
        <w:trPr>
          <w:gridAfter w:val="2"/>
          <w:wAfter w:w="1695" w:type="dxa"/>
          <w:trHeight w:val="255"/>
        </w:trPr>
        <w:tc>
          <w:tcPr>
            <w:tcW w:w="2260" w:type="dxa"/>
            <w:tcBorders>
              <w:top w:val="nil"/>
              <w:left w:val="nil"/>
              <w:bottom w:val="nil"/>
              <w:right w:val="nil"/>
            </w:tcBorders>
            <w:shd w:val="clear" w:color="000000" w:fill="FFFFFF"/>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March 2013</w:t>
            </w:r>
          </w:p>
        </w:tc>
        <w:tc>
          <w:tcPr>
            <w:tcW w:w="2150" w:type="dxa"/>
            <w:tcBorders>
              <w:top w:val="nil"/>
              <w:left w:val="nil"/>
              <w:bottom w:val="nil"/>
              <w:right w:val="nil"/>
            </w:tcBorders>
            <w:shd w:val="clear" w:color="000000" w:fill="FFFFFF"/>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 </w:t>
            </w:r>
          </w:p>
        </w:tc>
        <w:tc>
          <w:tcPr>
            <w:tcW w:w="1901" w:type="dxa"/>
            <w:gridSpan w:val="2"/>
            <w:tcBorders>
              <w:top w:val="nil"/>
              <w:left w:val="nil"/>
              <w:bottom w:val="nil"/>
              <w:right w:val="nil"/>
            </w:tcBorders>
            <w:shd w:val="clear" w:color="000000" w:fill="FFFFFF"/>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131</w:t>
            </w:r>
          </w:p>
        </w:tc>
        <w:tc>
          <w:tcPr>
            <w:tcW w:w="2074" w:type="dxa"/>
            <w:gridSpan w:val="2"/>
            <w:tcBorders>
              <w:top w:val="nil"/>
              <w:left w:val="nil"/>
              <w:bottom w:val="nil"/>
              <w:right w:val="nil"/>
            </w:tcBorders>
            <w:shd w:val="clear" w:color="000000" w:fill="FFFFFF"/>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35,370</w:t>
            </w:r>
          </w:p>
        </w:tc>
      </w:tr>
      <w:tr w:rsidR="00FC2012" w:rsidRPr="008A5812" w:rsidTr="009522AA">
        <w:trPr>
          <w:gridAfter w:val="2"/>
          <w:wAfter w:w="1695" w:type="dxa"/>
          <w:trHeight w:val="255"/>
        </w:trPr>
        <w:tc>
          <w:tcPr>
            <w:tcW w:w="2260" w:type="dxa"/>
            <w:tcBorders>
              <w:top w:val="nil"/>
              <w:left w:val="nil"/>
              <w:bottom w:val="nil"/>
              <w:right w:val="nil"/>
            </w:tcBorders>
            <w:shd w:val="clear" w:color="000000" w:fill="FFFFFF"/>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April 2013</w:t>
            </w:r>
          </w:p>
        </w:tc>
        <w:tc>
          <w:tcPr>
            <w:tcW w:w="2150" w:type="dxa"/>
            <w:tcBorders>
              <w:top w:val="nil"/>
              <w:left w:val="nil"/>
              <w:bottom w:val="nil"/>
              <w:right w:val="nil"/>
            </w:tcBorders>
            <w:shd w:val="clear" w:color="000000" w:fill="FFFFFF"/>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 </w:t>
            </w:r>
          </w:p>
        </w:tc>
        <w:tc>
          <w:tcPr>
            <w:tcW w:w="1901" w:type="dxa"/>
            <w:gridSpan w:val="2"/>
            <w:tcBorders>
              <w:top w:val="nil"/>
              <w:left w:val="nil"/>
              <w:bottom w:val="nil"/>
              <w:right w:val="nil"/>
            </w:tcBorders>
            <w:shd w:val="clear" w:color="000000" w:fill="FFFFFF"/>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109</w:t>
            </w:r>
          </w:p>
        </w:tc>
        <w:tc>
          <w:tcPr>
            <w:tcW w:w="2074" w:type="dxa"/>
            <w:gridSpan w:val="2"/>
            <w:tcBorders>
              <w:top w:val="nil"/>
              <w:left w:val="nil"/>
              <w:bottom w:val="nil"/>
              <w:right w:val="nil"/>
            </w:tcBorders>
            <w:shd w:val="clear" w:color="000000" w:fill="FFFFFF"/>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29,510</w:t>
            </w:r>
          </w:p>
        </w:tc>
      </w:tr>
      <w:tr w:rsidR="00FC2012" w:rsidRPr="008A5812" w:rsidTr="009522AA">
        <w:trPr>
          <w:gridAfter w:val="2"/>
          <w:wAfter w:w="1695" w:type="dxa"/>
          <w:trHeight w:val="255"/>
        </w:trPr>
        <w:tc>
          <w:tcPr>
            <w:tcW w:w="2260" w:type="dxa"/>
            <w:tcBorders>
              <w:top w:val="nil"/>
              <w:left w:val="nil"/>
              <w:bottom w:val="nil"/>
              <w:right w:val="nil"/>
            </w:tcBorders>
            <w:shd w:val="clear" w:color="000000" w:fill="FFFFFF"/>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May 2013</w:t>
            </w:r>
          </w:p>
        </w:tc>
        <w:tc>
          <w:tcPr>
            <w:tcW w:w="2150" w:type="dxa"/>
            <w:tcBorders>
              <w:top w:val="nil"/>
              <w:left w:val="nil"/>
              <w:bottom w:val="nil"/>
              <w:right w:val="nil"/>
            </w:tcBorders>
            <w:shd w:val="clear" w:color="000000" w:fill="FFFFFF"/>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 </w:t>
            </w:r>
          </w:p>
        </w:tc>
        <w:tc>
          <w:tcPr>
            <w:tcW w:w="1901" w:type="dxa"/>
            <w:gridSpan w:val="2"/>
            <w:tcBorders>
              <w:top w:val="nil"/>
              <w:left w:val="nil"/>
              <w:bottom w:val="nil"/>
              <w:right w:val="nil"/>
            </w:tcBorders>
            <w:shd w:val="clear" w:color="000000" w:fill="FFFFFF"/>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143</w:t>
            </w:r>
          </w:p>
        </w:tc>
        <w:tc>
          <w:tcPr>
            <w:tcW w:w="2074" w:type="dxa"/>
            <w:gridSpan w:val="2"/>
            <w:tcBorders>
              <w:top w:val="nil"/>
              <w:left w:val="nil"/>
              <w:bottom w:val="nil"/>
              <w:right w:val="nil"/>
            </w:tcBorders>
            <w:shd w:val="clear" w:color="000000" w:fill="FFFFFF"/>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40,192</w:t>
            </w:r>
          </w:p>
        </w:tc>
      </w:tr>
      <w:tr w:rsidR="00FC2012" w:rsidRPr="008A5812" w:rsidTr="009522AA">
        <w:trPr>
          <w:gridAfter w:val="2"/>
          <w:wAfter w:w="1695" w:type="dxa"/>
          <w:trHeight w:val="255"/>
        </w:trPr>
        <w:tc>
          <w:tcPr>
            <w:tcW w:w="2260" w:type="dxa"/>
            <w:tcBorders>
              <w:top w:val="nil"/>
              <w:left w:val="nil"/>
              <w:bottom w:val="nil"/>
              <w:right w:val="nil"/>
            </w:tcBorders>
            <w:shd w:val="clear" w:color="000000" w:fill="FFFFFF"/>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June 2013</w:t>
            </w:r>
          </w:p>
        </w:tc>
        <w:tc>
          <w:tcPr>
            <w:tcW w:w="2150" w:type="dxa"/>
            <w:tcBorders>
              <w:top w:val="nil"/>
              <w:left w:val="nil"/>
              <w:bottom w:val="nil"/>
              <w:right w:val="nil"/>
            </w:tcBorders>
            <w:shd w:val="clear" w:color="000000" w:fill="FFFFFF"/>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 </w:t>
            </w:r>
          </w:p>
        </w:tc>
        <w:tc>
          <w:tcPr>
            <w:tcW w:w="1901" w:type="dxa"/>
            <w:gridSpan w:val="2"/>
            <w:tcBorders>
              <w:top w:val="nil"/>
              <w:left w:val="nil"/>
              <w:bottom w:val="nil"/>
              <w:right w:val="nil"/>
            </w:tcBorders>
            <w:shd w:val="clear" w:color="000000" w:fill="FFFFFF"/>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3,298</w:t>
            </w:r>
          </w:p>
        </w:tc>
        <w:tc>
          <w:tcPr>
            <w:tcW w:w="2074" w:type="dxa"/>
            <w:gridSpan w:val="2"/>
            <w:tcBorders>
              <w:top w:val="nil"/>
              <w:left w:val="nil"/>
              <w:bottom w:val="nil"/>
              <w:right w:val="nil"/>
            </w:tcBorders>
            <w:shd w:val="clear" w:color="000000" w:fill="FFFFFF"/>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895,135</w:t>
            </w:r>
          </w:p>
        </w:tc>
      </w:tr>
      <w:tr w:rsidR="00FC2012" w:rsidRPr="008A5812" w:rsidTr="009522AA">
        <w:trPr>
          <w:gridAfter w:val="2"/>
          <w:wAfter w:w="1695" w:type="dxa"/>
          <w:trHeight w:val="255"/>
        </w:trPr>
        <w:tc>
          <w:tcPr>
            <w:tcW w:w="2260" w:type="dxa"/>
            <w:tcBorders>
              <w:top w:val="nil"/>
              <w:left w:val="nil"/>
              <w:bottom w:val="nil"/>
              <w:right w:val="nil"/>
            </w:tcBorders>
            <w:shd w:val="clear" w:color="000000" w:fill="FFFFFF"/>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 xml:space="preserve">July 2013 </w:t>
            </w:r>
          </w:p>
        </w:tc>
        <w:tc>
          <w:tcPr>
            <w:tcW w:w="2150" w:type="dxa"/>
            <w:tcBorders>
              <w:top w:val="nil"/>
              <w:left w:val="nil"/>
              <w:bottom w:val="nil"/>
              <w:right w:val="nil"/>
            </w:tcBorders>
            <w:shd w:val="clear" w:color="000000" w:fill="FFFFFF"/>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 </w:t>
            </w:r>
          </w:p>
        </w:tc>
        <w:tc>
          <w:tcPr>
            <w:tcW w:w="1901" w:type="dxa"/>
            <w:gridSpan w:val="2"/>
            <w:tcBorders>
              <w:top w:val="nil"/>
              <w:left w:val="nil"/>
              <w:bottom w:val="nil"/>
              <w:right w:val="nil"/>
            </w:tcBorders>
            <w:shd w:val="clear" w:color="000000" w:fill="FFFFFF"/>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1,172</w:t>
            </w:r>
          </w:p>
        </w:tc>
        <w:tc>
          <w:tcPr>
            <w:tcW w:w="2074" w:type="dxa"/>
            <w:gridSpan w:val="2"/>
            <w:tcBorders>
              <w:top w:val="nil"/>
              <w:left w:val="nil"/>
              <w:bottom w:val="nil"/>
              <w:right w:val="nil"/>
            </w:tcBorders>
            <w:shd w:val="clear" w:color="000000" w:fill="FFFFFF"/>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330,430</w:t>
            </w:r>
          </w:p>
        </w:tc>
      </w:tr>
      <w:tr w:rsidR="00FC2012" w:rsidRPr="008A5812" w:rsidTr="009522AA">
        <w:trPr>
          <w:gridAfter w:val="2"/>
          <w:wAfter w:w="1695" w:type="dxa"/>
          <w:trHeight w:val="255"/>
        </w:trPr>
        <w:tc>
          <w:tcPr>
            <w:tcW w:w="2260" w:type="dxa"/>
            <w:tcBorders>
              <w:top w:val="nil"/>
              <w:left w:val="nil"/>
              <w:bottom w:val="nil"/>
              <w:right w:val="nil"/>
            </w:tcBorders>
            <w:shd w:val="clear" w:color="000000" w:fill="FFFFFF"/>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August 2013</w:t>
            </w:r>
            <w:r w:rsidRPr="008A5812">
              <w:rPr>
                <w:color w:val="000000"/>
                <w:szCs w:val="24"/>
                <w:vertAlign w:val="superscript"/>
                <w:lang w:eastAsia="en-GB"/>
              </w:rPr>
              <w:t xml:space="preserve"> </w:t>
            </w:r>
          </w:p>
        </w:tc>
        <w:tc>
          <w:tcPr>
            <w:tcW w:w="2150" w:type="dxa"/>
            <w:tcBorders>
              <w:top w:val="nil"/>
              <w:left w:val="nil"/>
              <w:bottom w:val="nil"/>
              <w:right w:val="nil"/>
            </w:tcBorders>
            <w:shd w:val="clear" w:color="000000" w:fill="FFFFFF"/>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 </w:t>
            </w:r>
          </w:p>
        </w:tc>
        <w:tc>
          <w:tcPr>
            <w:tcW w:w="1901" w:type="dxa"/>
            <w:gridSpan w:val="2"/>
            <w:tcBorders>
              <w:top w:val="nil"/>
              <w:left w:val="nil"/>
              <w:bottom w:val="nil"/>
              <w:right w:val="nil"/>
            </w:tcBorders>
            <w:shd w:val="clear" w:color="000000" w:fill="FFFFFF"/>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1,094</w:t>
            </w:r>
          </w:p>
        </w:tc>
        <w:tc>
          <w:tcPr>
            <w:tcW w:w="2074" w:type="dxa"/>
            <w:gridSpan w:val="2"/>
            <w:tcBorders>
              <w:top w:val="nil"/>
              <w:left w:val="nil"/>
              <w:bottom w:val="nil"/>
              <w:right w:val="nil"/>
            </w:tcBorders>
            <w:shd w:val="clear" w:color="000000" w:fill="FFFFFF"/>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304,176</w:t>
            </w:r>
          </w:p>
        </w:tc>
      </w:tr>
      <w:tr w:rsidR="00FC2012" w:rsidRPr="008A5812" w:rsidTr="009522AA">
        <w:trPr>
          <w:gridAfter w:val="2"/>
          <w:wAfter w:w="1695" w:type="dxa"/>
          <w:trHeight w:val="255"/>
        </w:trPr>
        <w:tc>
          <w:tcPr>
            <w:tcW w:w="2260" w:type="dxa"/>
            <w:tcBorders>
              <w:top w:val="nil"/>
              <w:left w:val="nil"/>
              <w:bottom w:val="nil"/>
              <w:right w:val="nil"/>
            </w:tcBorders>
            <w:shd w:val="clear" w:color="000000" w:fill="FFFFFF"/>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September 2013</w:t>
            </w:r>
            <w:r w:rsidRPr="00E2670A">
              <w:rPr>
                <w:color w:val="000000"/>
                <w:szCs w:val="24"/>
                <w:vertAlign w:val="superscript"/>
                <w:lang w:eastAsia="en-GB"/>
              </w:rPr>
              <w:t xml:space="preserve"> 3</w:t>
            </w:r>
          </w:p>
        </w:tc>
        <w:tc>
          <w:tcPr>
            <w:tcW w:w="2150" w:type="dxa"/>
            <w:tcBorders>
              <w:top w:val="nil"/>
              <w:left w:val="nil"/>
              <w:bottom w:val="nil"/>
              <w:right w:val="nil"/>
            </w:tcBorders>
            <w:shd w:val="clear" w:color="000000" w:fill="FFFFFF"/>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 </w:t>
            </w:r>
          </w:p>
        </w:tc>
        <w:tc>
          <w:tcPr>
            <w:tcW w:w="1901" w:type="dxa"/>
            <w:gridSpan w:val="2"/>
            <w:tcBorders>
              <w:top w:val="nil"/>
              <w:left w:val="nil"/>
              <w:bottom w:val="nil"/>
              <w:right w:val="nil"/>
            </w:tcBorders>
            <w:shd w:val="clear" w:color="000000" w:fill="FFFFFF"/>
            <w:noWrap/>
            <w:vAlign w:val="bottom"/>
            <w:hideMark/>
          </w:tcPr>
          <w:p w:rsidR="00FC2012" w:rsidRPr="008A5812" w:rsidRDefault="00FC2012" w:rsidP="003269F2">
            <w:pPr>
              <w:spacing w:after="0" w:line="240" w:lineRule="auto"/>
              <w:jc w:val="right"/>
              <w:rPr>
                <w:color w:val="000000"/>
                <w:szCs w:val="24"/>
                <w:lang w:eastAsia="en-GB"/>
              </w:rPr>
            </w:pPr>
            <w:r>
              <w:rPr>
                <w:color w:val="000000"/>
                <w:szCs w:val="24"/>
                <w:lang w:eastAsia="en-GB"/>
              </w:rPr>
              <w:t>953</w:t>
            </w:r>
          </w:p>
        </w:tc>
        <w:tc>
          <w:tcPr>
            <w:tcW w:w="2074" w:type="dxa"/>
            <w:gridSpan w:val="2"/>
            <w:tcBorders>
              <w:top w:val="nil"/>
              <w:left w:val="nil"/>
              <w:bottom w:val="nil"/>
              <w:right w:val="nil"/>
            </w:tcBorders>
            <w:shd w:val="clear" w:color="000000" w:fill="FFFFFF"/>
            <w:noWrap/>
            <w:vAlign w:val="bottom"/>
            <w:hideMark/>
          </w:tcPr>
          <w:p w:rsidR="00FC2012" w:rsidRPr="008A5812" w:rsidRDefault="00FC2012" w:rsidP="003269F2">
            <w:pPr>
              <w:spacing w:after="0" w:line="240" w:lineRule="auto"/>
              <w:jc w:val="right"/>
              <w:rPr>
                <w:color w:val="000000"/>
                <w:szCs w:val="24"/>
                <w:lang w:eastAsia="en-GB"/>
              </w:rPr>
            </w:pPr>
            <w:r>
              <w:rPr>
                <w:color w:val="000000"/>
                <w:szCs w:val="24"/>
                <w:lang w:eastAsia="en-GB"/>
              </w:rPr>
              <w:t>265,019</w:t>
            </w:r>
          </w:p>
        </w:tc>
      </w:tr>
      <w:tr w:rsidR="00FC2012" w:rsidRPr="008A5812" w:rsidTr="009522AA">
        <w:trPr>
          <w:gridAfter w:val="2"/>
          <w:wAfter w:w="1695" w:type="dxa"/>
          <w:trHeight w:val="255"/>
        </w:trPr>
        <w:tc>
          <w:tcPr>
            <w:tcW w:w="2260" w:type="dxa"/>
            <w:tcBorders>
              <w:top w:val="nil"/>
              <w:left w:val="nil"/>
              <w:bottom w:val="nil"/>
              <w:right w:val="nil"/>
            </w:tcBorders>
            <w:shd w:val="clear" w:color="000000" w:fill="FFFFFF"/>
            <w:noWrap/>
            <w:vAlign w:val="bottom"/>
          </w:tcPr>
          <w:p w:rsidR="00FC2012" w:rsidRPr="008A5812" w:rsidRDefault="00FC2012" w:rsidP="003269F2">
            <w:pPr>
              <w:spacing w:after="0" w:line="240" w:lineRule="auto"/>
              <w:rPr>
                <w:color w:val="000000"/>
                <w:szCs w:val="24"/>
                <w:lang w:eastAsia="en-GB"/>
              </w:rPr>
            </w:pPr>
            <w:r w:rsidRPr="008A5812">
              <w:rPr>
                <w:color w:val="000000"/>
                <w:szCs w:val="24"/>
                <w:lang w:eastAsia="en-GB"/>
              </w:rPr>
              <w:t>October 2013</w:t>
            </w:r>
          </w:p>
        </w:tc>
        <w:tc>
          <w:tcPr>
            <w:tcW w:w="2150" w:type="dxa"/>
            <w:tcBorders>
              <w:top w:val="nil"/>
              <w:left w:val="nil"/>
              <w:bottom w:val="nil"/>
              <w:right w:val="nil"/>
            </w:tcBorders>
            <w:shd w:val="clear" w:color="000000" w:fill="FFFFFF"/>
            <w:noWrap/>
            <w:vAlign w:val="bottom"/>
          </w:tcPr>
          <w:p w:rsidR="00FC2012" w:rsidRPr="008A5812" w:rsidRDefault="00FC2012" w:rsidP="003269F2">
            <w:pPr>
              <w:spacing w:after="0" w:line="240" w:lineRule="auto"/>
              <w:jc w:val="right"/>
              <w:rPr>
                <w:color w:val="000000"/>
                <w:szCs w:val="24"/>
                <w:lang w:eastAsia="en-GB"/>
              </w:rPr>
            </w:pPr>
          </w:p>
        </w:tc>
        <w:tc>
          <w:tcPr>
            <w:tcW w:w="1901" w:type="dxa"/>
            <w:gridSpan w:val="2"/>
            <w:tcBorders>
              <w:top w:val="nil"/>
              <w:left w:val="nil"/>
              <w:bottom w:val="nil"/>
              <w:right w:val="nil"/>
            </w:tcBorders>
            <w:shd w:val="clear" w:color="000000" w:fill="FFFFFF"/>
            <w:noWrap/>
            <w:vAlign w:val="bottom"/>
          </w:tcPr>
          <w:p w:rsidR="00FC2012" w:rsidRPr="008A5812" w:rsidRDefault="00FC2012" w:rsidP="003269F2">
            <w:pPr>
              <w:spacing w:after="0" w:line="240" w:lineRule="auto"/>
              <w:jc w:val="right"/>
              <w:rPr>
                <w:color w:val="000000"/>
                <w:szCs w:val="24"/>
                <w:lang w:eastAsia="en-GB"/>
              </w:rPr>
            </w:pPr>
            <w:r>
              <w:rPr>
                <w:color w:val="000000"/>
                <w:szCs w:val="24"/>
                <w:lang w:eastAsia="en-GB"/>
              </w:rPr>
              <w:t>459</w:t>
            </w:r>
          </w:p>
        </w:tc>
        <w:tc>
          <w:tcPr>
            <w:tcW w:w="2074" w:type="dxa"/>
            <w:gridSpan w:val="2"/>
            <w:tcBorders>
              <w:top w:val="nil"/>
              <w:left w:val="nil"/>
              <w:bottom w:val="nil"/>
              <w:right w:val="nil"/>
            </w:tcBorders>
            <w:shd w:val="clear" w:color="000000" w:fill="FFFFFF"/>
            <w:noWrap/>
            <w:vAlign w:val="bottom"/>
          </w:tcPr>
          <w:p w:rsidR="00FC2012" w:rsidRPr="008A5812" w:rsidRDefault="00FC2012" w:rsidP="003269F2">
            <w:pPr>
              <w:spacing w:after="0" w:line="240" w:lineRule="auto"/>
              <w:jc w:val="right"/>
              <w:rPr>
                <w:color w:val="000000"/>
                <w:szCs w:val="24"/>
                <w:lang w:eastAsia="en-GB"/>
              </w:rPr>
            </w:pPr>
            <w:r>
              <w:rPr>
                <w:color w:val="000000"/>
                <w:szCs w:val="24"/>
                <w:lang w:eastAsia="en-GB"/>
              </w:rPr>
              <w:t>130,350</w:t>
            </w:r>
          </w:p>
        </w:tc>
      </w:tr>
      <w:tr w:rsidR="00FC2012" w:rsidRPr="008A5812" w:rsidTr="009522AA">
        <w:trPr>
          <w:gridAfter w:val="2"/>
          <w:wAfter w:w="1695" w:type="dxa"/>
          <w:trHeight w:val="255"/>
        </w:trPr>
        <w:tc>
          <w:tcPr>
            <w:tcW w:w="2260" w:type="dxa"/>
            <w:tcBorders>
              <w:top w:val="nil"/>
              <w:left w:val="nil"/>
              <w:bottom w:val="nil"/>
              <w:right w:val="nil"/>
            </w:tcBorders>
            <w:shd w:val="clear" w:color="000000" w:fill="FFFFFF"/>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 </w:t>
            </w:r>
          </w:p>
        </w:tc>
        <w:tc>
          <w:tcPr>
            <w:tcW w:w="2150" w:type="dxa"/>
            <w:tcBorders>
              <w:top w:val="nil"/>
              <w:left w:val="nil"/>
              <w:bottom w:val="nil"/>
              <w:right w:val="nil"/>
            </w:tcBorders>
            <w:shd w:val="clear" w:color="000000" w:fill="FFFFFF"/>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 </w:t>
            </w:r>
          </w:p>
        </w:tc>
        <w:tc>
          <w:tcPr>
            <w:tcW w:w="1901" w:type="dxa"/>
            <w:gridSpan w:val="2"/>
            <w:tcBorders>
              <w:top w:val="nil"/>
              <w:left w:val="nil"/>
              <w:bottom w:val="nil"/>
              <w:right w:val="nil"/>
            </w:tcBorders>
            <w:shd w:val="clear" w:color="000000" w:fill="FFFFFF"/>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 </w:t>
            </w:r>
          </w:p>
        </w:tc>
        <w:tc>
          <w:tcPr>
            <w:tcW w:w="2074" w:type="dxa"/>
            <w:gridSpan w:val="2"/>
            <w:tcBorders>
              <w:top w:val="nil"/>
              <w:left w:val="nil"/>
              <w:bottom w:val="nil"/>
              <w:right w:val="nil"/>
            </w:tcBorders>
            <w:shd w:val="clear" w:color="000000" w:fill="FFFFFF"/>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 </w:t>
            </w:r>
          </w:p>
        </w:tc>
      </w:tr>
      <w:tr w:rsidR="00FC2012" w:rsidRPr="008A5812" w:rsidTr="009522AA">
        <w:trPr>
          <w:gridAfter w:val="2"/>
          <w:wAfter w:w="1695" w:type="dxa"/>
          <w:trHeight w:val="255"/>
        </w:trPr>
        <w:tc>
          <w:tcPr>
            <w:tcW w:w="2260" w:type="dxa"/>
            <w:tcBorders>
              <w:top w:val="nil"/>
              <w:left w:val="nil"/>
              <w:bottom w:val="single" w:sz="4" w:space="0" w:color="auto"/>
              <w:right w:val="nil"/>
            </w:tcBorders>
            <w:shd w:val="clear" w:color="000000" w:fill="FFFFFF"/>
            <w:noWrap/>
            <w:vAlign w:val="bottom"/>
            <w:hideMark/>
          </w:tcPr>
          <w:p w:rsidR="00FC2012" w:rsidRPr="008A5812" w:rsidRDefault="00FC2012" w:rsidP="003269F2">
            <w:pPr>
              <w:spacing w:after="0" w:line="240" w:lineRule="auto"/>
              <w:rPr>
                <w:b/>
                <w:bCs/>
                <w:color w:val="000000"/>
                <w:szCs w:val="24"/>
                <w:lang w:eastAsia="en-GB"/>
              </w:rPr>
            </w:pPr>
            <w:r w:rsidRPr="008A5812">
              <w:rPr>
                <w:b/>
                <w:bCs/>
                <w:color w:val="000000"/>
                <w:szCs w:val="24"/>
                <w:lang w:eastAsia="en-GB"/>
              </w:rPr>
              <w:t>Total to date</w:t>
            </w:r>
            <w:r w:rsidRPr="00F75181">
              <w:rPr>
                <w:b/>
                <w:bCs/>
                <w:color w:val="000000"/>
                <w:szCs w:val="24"/>
                <w:vertAlign w:val="superscript"/>
                <w:lang w:eastAsia="en-GB"/>
              </w:rPr>
              <w:t xml:space="preserve"> 4</w:t>
            </w:r>
          </w:p>
        </w:tc>
        <w:tc>
          <w:tcPr>
            <w:tcW w:w="2150" w:type="dxa"/>
            <w:tcBorders>
              <w:top w:val="nil"/>
              <w:left w:val="nil"/>
              <w:bottom w:val="single" w:sz="4" w:space="0" w:color="auto"/>
              <w:right w:val="nil"/>
            </w:tcBorders>
            <w:shd w:val="clear" w:color="000000" w:fill="FFFFFF"/>
            <w:noWrap/>
            <w:vAlign w:val="bottom"/>
            <w:hideMark/>
          </w:tcPr>
          <w:p w:rsidR="00FC2012" w:rsidRPr="008A5812" w:rsidRDefault="00FC2012" w:rsidP="003269F2">
            <w:pPr>
              <w:spacing w:after="0" w:line="240" w:lineRule="auto"/>
              <w:jc w:val="right"/>
              <w:rPr>
                <w:b/>
                <w:bCs/>
                <w:color w:val="000000"/>
                <w:szCs w:val="24"/>
                <w:lang w:eastAsia="en-GB"/>
              </w:rPr>
            </w:pPr>
            <w:r>
              <w:rPr>
                <w:b/>
                <w:bCs/>
                <w:color w:val="000000"/>
                <w:szCs w:val="24"/>
                <w:lang w:eastAsia="en-GB"/>
              </w:rPr>
              <w:t>9,522</w:t>
            </w:r>
          </w:p>
        </w:tc>
        <w:tc>
          <w:tcPr>
            <w:tcW w:w="1901" w:type="dxa"/>
            <w:gridSpan w:val="2"/>
            <w:tcBorders>
              <w:top w:val="nil"/>
              <w:left w:val="nil"/>
              <w:bottom w:val="single" w:sz="4" w:space="0" w:color="auto"/>
              <w:right w:val="nil"/>
            </w:tcBorders>
            <w:shd w:val="clear" w:color="000000" w:fill="FFFFFF"/>
            <w:noWrap/>
            <w:vAlign w:val="bottom"/>
            <w:hideMark/>
          </w:tcPr>
          <w:p w:rsidR="00FC2012" w:rsidRPr="008A5812" w:rsidRDefault="00FC2012" w:rsidP="003269F2">
            <w:pPr>
              <w:spacing w:after="0" w:line="240" w:lineRule="auto"/>
              <w:jc w:val="right"/>
              <w:rPr>
                <w:b/>
                <w:bCs/>
                <w:color w:val="000000"/>
                <w:szCs w:val="24"/>
                <w:lang w:eastAsia="en-GB"/>
              </w:rPr>
            </w:pPr>
            <w:r>
              <w:rPr>
                <w:b/>
                <w:bCs/>
                <w:color w:val="000000"/>
                <w:szCs w:val="24"/>
                <w:lang w:eastAsia="en-GB"/>
              </w:rPr>
              <w:t>7,453</w:t>
            </w:r>
          </w:p>
        </w:tc>
        <w:tc>
          <w:tcPr>
            <w:tcW w:w="2074" w:type="dxa"/>
            <w:gridSpan w:val="2"/>
            <w:tcBorders>
              <w:top w:val="nil"/>
              <w:left w:val="nil"/>
              <w:bottom w:val="single" w:sz="4" w:space="0" w:color="auto"/>
              <w:right w:val="nil"/>
            </w:tcBorders>
            <w:shd w:val="clear" w:color="000000" w:fill="FFFFFF"/>
            <w:noWrap/>
            <w:vAlign w:val="bottom"/>
            <w:hideMark/>
          </w:tcPr>
          <w:p w:rsidR="00FC2012" w:rsidRPr="008A5812" w:rsidRDefault="00FC2012" w:rsidP="003269F2">
            <w:pPr>
              <w:spacing w:after="0" w:line="240" w:lineRule="auto"/>
              <w:jc w:val="right"/>
              <w:rPr>
                <w:b/>
                <w:bCs/>
                <w:color w:val="000000"/>
                <w:szCs w:val="24"/>
                <w:lang w:eastAsia="en-GB"/>
              </w:rPr>
            </w:pPr>
            <w:r>
              <w:rPr>
                <w:b/>
                <w:bCs/>
                <w:color w:val="000000"/>
                <w:szCs w:val="24"/>
                <w:lang w:eastAsia="en-GB"/>
              </w:rPr>
              <w:t>2,055,560</w:t>
            </w:r>
          </w:p>
        </w:tc>
      </w:tr>
    </w:tbl>
    <w:p w:rsidR="00FC2012" w:rsidRPr="008A5812" w:rsidRDefault="00FC2012" w:rsidP="00FC2012">
      <w:pPr>
        <w:spacing w:line="270" w:lineRule="atLeast"/>
        <w:rPr>
          <w:b/>
          <w:bCs/>
          <w:szCs w:val="24"/>
        </w:rPr>
      </w:pPr>
    </w:p>
    <w:tbl>
      <w:tblPr>
        <w:tblW w:w="9087" w:type="dxa"/>
        <w:tblInd w:w="93" w:type="dxa"/>
        <w:tblLook w:val="04A0" w:firstRow="1" w:lastRow="0" w:firstColumn="1" w:lastColumn="0" w:noHBand="0" w:noVBand="1"/>
      </w:tblPr>
      <w:tblGrid>
        <w:gridCol w:w="3740"/>
        <w:gridCol w:w="40"/>
        <w:gridCol w:w="2480"/>
        <w:gridCol w:w="20"/>
        <w:gridCol w:w="2807"/>
      </w:tblGrid>
      <w:tr w:rsidR="00FC2012" w:rsidRPr="008A5812" w:rsidTr="003269F2">
        <w:trPr>
          <w:trHeight w:val="345"/>
        </w:trPr>
        <w:tc>
          <w:tcPr>
            <w:tcW w:w="9087" w:type="dxa"/>
            <w:gridSpan w:val="5"/>
            <w:tcBorders>
              <w:top w:val="nil"/>
              <w:left w:val="nil"/>
              <w:right w:val="nil"/>
            </w:tcBorders>
            <w:shd w:val="clear" w:color="000000" w:fill="FFFFFF"/>
            <w:noWrap/>
            <w:vAlign w:val="bottom"/>
            <w:hideMark/>
          </w:tcPr>
          <w:p w:rsidR="00FC2012" w:rsidRPr="008A5812" w:rsidRDefault="00FC2012" w:rsidP="003269F2">
            <w:pPr>
              <w:spacing w:before="0" w:line="240" w:lineRule="auto"/>
              <w:jc w:val="both"/>
              <w:rPr>
                <w:szCs w:val="24"/>
              </w:rPr>
            </w:pPr>
            <w:r w:rsidRPr="008A5812">
              <w:rPr>
                <w:szCs w:val="24"/>
              </w:rPr>
              <w:br w:type="page"/>
            </w:r>
            <w:r w:rsidRPr="008A5812">
              <w:rPr>
                <w:szCs w:val="24"/>
                <w:vertAlign w:val="superscript"/>
              </w:rPr>
              <w:t>1</w:t>
            </w:r>
            <w:r w:rsidRPr="008A5812">
              <w:rPr>
                <w:szCs w:val="24"/>
              </w:rPr>
              <w:t xml:space="preserve"> Cashback vouchers issued data cannot be broken down to the same level of detail. </w:t>
            </w:r>
            <w:r w:rsidRPr="001048D3">
              <w:rPr>
                <w:szCs w:val="24"/>
              </w:rPr>
              <w:t xml:space="preserve">The 9,522 cashback vouchers issued up to the end of October equates to a total budget </w:t>
            </w:r>
            <w:proofErr w:type="spellStart"/>
            <w:r w:rsidRPr="001048D3">
              <w:rPr>
                <w:szCs w:val="24"/>
              </w:rPr>
              <w:t>committed</w:t>
            </w:r>
            <w:proofErr w:type="spellEnd"/>
            <w:r w:rsidRPr="001048D3">
              <w:rPr>
                <w:szCs w:val="24"/>
              </w:rPr>
              <w:t xml:space="preserve"> of around £2.9m.</w:t>
            </w:r>
          </w:p>
          <w:p w:rsidR="00FC2012" w:rsidRPr="008A5812" w:rsidRDefault="00FC2012" w:rsidP="003269F2">
            <w:pPr>
              <w:spacing w:before="0" w:line="240" w:lineRule="auto"/>
              <w:jc w:val="both"/>
              <w:rPr>
                <w:szCs w:val="24"/>
              </w:rPr>
            </w:pPr>
            <w:r w:rsidRPr="008A5812">
              <w:rPr>
                <w:szCs w:val="24"/>
                <w:vertAlign w:val="superscript"/>
              </w:rPr>
              <w:t xml:space="preserve">2 </w:t>
            </w:r>
            <w:r w:rsidRPr="008A5812">
              <w:rPr>
                <w:szCs w:val="24"/>
              </w:rPr>
              <w:t>Numbers of Cashback vouchers paid in earlier installation months are subject to revision as Cashback redemptions can be paid in months after the month of installation.</w:t>
            </w:r>
          </w:p>
          <w:p w:rsidR="00FC2012" w:rsidRDefault="00FC2012" w:rsidP="003269F2">
            <w:pPr>
              <w:spacing w:before="0" w:line="240" w:lineRule="auto"/>
              <w:jc w:val="both"/>
              <w:rPr>
                <w:szCs w:val="24"/>
              </w:rPr>
            </w:pPr>
            <w:r w:rsidRPr="008A5812">
              <w:rPr>
                <w:szCs w:val="24"/>
                <w:vertAlign w:val="superscript"/>
              </w:rPr>
              <w:t>3</w:t>
            </w:r>
            <w:r w:rsidRPr="008A5812">
              <w:rPr>
                <w:szCs w:val="24"/>
              </w:rPr>
              <w:t xml:space="preserve"> </w:t>
            </w:r>
            <w:r w:rsidRPr="001048D3">
              <w:rPr>
                <w:szCs w:val="24"/>
              </w:rPr>
              <w:t>The numbers of Cashback vouchers paid for measures installed in September has been revised from 471 to 953. This is due to Cashback redemptions being paid in later months.</w:t>
            </w:r>
          </w:p>
          <w:p w:rsidR="00FC2012" w:rsidRPr="008A5812" w:rsidRDefault="00FC2012" w:rsidP="003269F2">
            <w:pPr>
              <w:spacing w:before="0" w:line="240" w:lineRule="auto"/>
              <w:jc w:val="both"/>
              <w:rPr>
                <w:szCs w:val="24"/>
              </w:rPr>
            </w:pPr>
            <w:r w:rsidRPr="001C0183">
              <w:rPr>
                <w:szCs w:val="24"/>
                <w:vertAlign w:val="superscript"/>
              </w:rPr>
              <w:t xml:space="preserve">4 </w:t>
            </w:r>
            <w:r w:rsidRPr="001C0183">
              <w:rPr>
                <w:szCs w:val="24"/>
              </w:rPr>
              <w:t>The Cashback Exception Process has also paid 67 vouchers, totalling £36,321 for solid wall insulation and warm air heating measures where those recommended measures are not displayed on the EPC.</w:t>
            </w:r>
          </w:p>
          <w:p w:rsidR="00FC2012" w:rsidRPr="008A5812" w:rsidRDefault="00FC2012" w:rsidP="003269F2">
            <w:pPr>
              <w:spacing w:before="0" w:after="0" w:line="240" w:lineRule="auto"/>
              <w:rPr>
                <w:szCs w:val="24"/>
              </w:rPr>
            </w:pPr>
          </w:p>
          <w:p w:rsidR="00FC2012" w:rsidRPr="008A5812" w:rsidRDefault="00FC2012" w:rsidP="003269F2">
            <w:pPr>
              <w:spacing w:before="0" w:after="0" w:line="240" w:lineRule="auto"/>
              <w:rPr>
                <w:szCs w:val="24"/>
              </w:rPr>
            </w:pPr>
          </w:p>
          <w:p w:rsidR="00FC2012" w:rsidRPr="008A5812" w:rsidRDefault="00FC2012" w:rsidP="003269F2">
            <w:pPr>
              <w:spacing w:before="0" w:after="0" w:line="240" w:lineRule="auto"/>
              <w:rPr>
                <w:szCs w:val="24"/>
              </w:rPr>
            </w:pPr>
          </w:p>
          <w:p w:rsidR="00FC2012" w:rsidRPr="008A5812" w:rsidRDefault="00FC2012" w:rsidP="003269F2">
            <w:pPr>
              <w:spacing w:before="0" w:after="0" w:line="240" w:lineRule="auto"/>
              <w:rPr>
                <w:szCs w:val="24"/>
              </w:rPr>
            </w:pPr>
          </w:p>
          <w:p w:rsidR="00FC2012" w:rsidRDefault="00FC2012" w:rsidP="003269F2">
            <w:pPr>
              <w:spacing w:before="0" w:after="0" w:line="240" w:lineRule="auto"/>
              <w:rPr>
                <w:szCs w:val="24"/>
              </w:rPr>
            </w:pPr>
          </w:p>
          <w:p w:rsidR="00FC2012" w:rsidRPr="008A5812" w:rsidRDefault="00FC2012" w:rsidP="003269F2">
            <w:pPr>
              <w:spacing w:before="0" w:after="0" w:line="240" w:lineRule="auto"/>
              <w:rPr>
                <w:szCs w:val="24"/>
              </w:rPr>
            </w:pPr>
          </w:p>
          <w:p w:rsidR="00FC2012" w:rsidRPr="008A5812" w:rsidRDefault="00FC2012" w:rsidP="003269F2">
            <w:pPr>
              <w:spacing w:before="0" w:after="0" w:line="240" w:lineRule="auto"/>
              <w:rPr>
                <w:szCs w:val="24"/>
              </w:rPr>
            </w:pPr>
          </w:p>
          <w:p w:rsidR="00FC2012" w:rsidRPr="008A5812" w:rsidRDefault="00FC2012" w:rsidP="003269F2">
            <w:pPr>
              <w:spacing w:before="0" w:after="0" w:line="240" w:lineRule="auto"/>
              <w:rPr>
                <w:szCs w:val="24"/>
              </w:rPr>
            </w:pPr>
          </w:p>
          <w:p w:rsidR="00FC2012" w:rsidRPr="008A5812" w:rsidRDefault="00FC2012" w:rsidP="003269F2">
            <w:pPr>
              <w:spacing w:before="0" w:after="0" w:line="240" w:lineRule="auto"/>
              <w:rPr>
                <w:szCs w:val="24"/>
              </w:rPr>
            </w:pPr>
          </w:p>
          <w:p w:rsidR="00FC2012" w:rsidRPr="008A5812" w:rsidRDefault="00FC2012" w:rsidP="003269F2">
            <w:pPr>
              <w:spacing w:before="0" w:after="0" w:line="240" w:lineRule="auto"/>
              <w:rPr>
                <w:szCs w:val="24"/>
              </w:rPr>
            </w:pPr>
          </w:p>
          <w:p w:rsidR="00FC2012" w:rsidRPr="008A5812" w:rsidRDefault="00FC2012" w:rsidP="003269F2">
            <w:pPr>
              <w:spacing w:before="0" w:after="0" w:line="240" w:lineRule="auto"/>
              <w:rPr>
                <w:szCs w:val="24"/>
              </w:rPr>
            </w:pPr>
          </w:p>
          <w:p w:rsidR="00FC2012" w:rsidRPr="008A5812" w:rsidRDefault="00FC2012" w:rsidP="003269F2">
            <w:pPr>
              <w:spacing w:before="0" w:after="0" w:line="240" w:lineRule="auto"/>
              <w:rPr>
                <w:szCs w:val="24"/>
              </w:rPr>
            </w:pPr>
          </w:p>
          <w:p w:rsidR="00FC2012" w:rsidRPr="008A5812" w:rsidRDefault="00FC2012" w:rsidP="003269F2">
            <w:pPr>
              <w:spacing w:before="0" w:after="0" w:line="240" w:lineRule="auto"/>
              <w:jc w:val="both"/>
              <w:rPr>
                <w:b/>
                <w:bCs/>
                <w:color w:val="000000"/>
                <w:szCs w:val="24"/>
                <w:lang w:eastAsia="en-GB"/>
              </w:rPr>
            </w:pPr>
            <w:r w:rsidRPr="008A5812">
              <w:rPr>
                <w:b/>
                <w:bCs/>
                <w:color w:val="000000"/>
                <w:szCs w:val="24"/>
                <w:lang w:eastAsia="en-GB"/>
              </w:rPr>
              <w:lastRenderedPageBreak/>
              <w:t xml:space="preserve">Table </w:t>
            </w:r>
            <w:r w:rsidR="00F7089E">
              <w:rPr>
                <w:b/>
                <w:bCs/>
                <w:color w:val="000000"/>
                <w:szCs w:val="24"/>
                <w:lang w:eastAsia="en-GB"/>
              </w:rPr>
              <w:t>4a</w:t>
            </w:r>
            <w:r w:rsidRPr="008A5812">
              <w:rPr>
                <w:b/>
                <w:bCs/>
                <w:color w:val="000000"/>
                <w:szCs w:val="24"/>
                <w:lang w:eastAsia="en-GB"/>
              </w:rPr>
              <w:t>: Number of measures installed with Cashback</w:t>
            </w:r>
            <w:r w:rsidRPr="008A5812">
              <w:rPr>
                <w:b/>
                <w:bCs/>
                <w:color w:val="000000"/>
                <w:szCs w:val="24"/>
                <w:vertAlign w:val="superscript"/>
                <w:lang w:eastAsia="en-GB"/>
              </w:rPr>
              <w:t>1</w:t>
            </w:r>
            <w:r w:rsidRPr="008A5812">
              <w:rPr>
                <w:b/>
                <w:bCs/>
                <w:color w:val="000000"/>
                <w:szCs w:val="24"/>
                <w:lang w:eastAsia="en-GB"/>
              </w:rPr>
              <w:t xml:space="preserve">, up to end of </w:t>
            </w:r>
            <w:r>
              <w:rPr>
                <w:b/>
                <w:bCs/>
                <w:color w:val="000000"/>
                <w:szCs w:val="24"/>
                <w:lang w:eastAsia="en-GB"/>
              </w:rPr>
              <w:t xml:space="preserve">October </w:t>
            </w:r>
            <w:r w:rsidRPr="008A5812">
              <w:rPr>
                <w:b/>
                <w:bCs/>
                <w:color w:val="000000"/>
                <w:szCs w:val="24"/>
                <w:lang w:eastAsia="en-GB"/>
              </w:rPr>
              <w:t>2013</w:t>
            </w:r>
            <w:r>
              <w:rPr>
                <w:b/>
                <w:bCs/>
                <w:color w:val="000000"/>
                <w:szCs w:val="24"/>
                <w:lang w:eastAsia="en-GB"/>
              </w:rPr>
              <w:t>, England and Wales only</w:t>
            </w:r>
          </w:p>
          <w:p w:rsidR="00FC2012" w:rsidRPr="008A5812" w:rsidRDefault="00FC2012" w:rsidP="003269F2">
            <w:pPr>
              <w:spacing w:before="0" w:after="0" w:line="240" w:lineRule="auto"/>
              <w:rPr>
                <w:b/>
                <w:bCs/>
                <w:color w:val="000000"/>
                <w:szCs w:val="24"/>
                <w:lang w:eastAsia="en-GB"/>
              </w:rPr>
            </w:pPr>
          </w:p>
        </w:tc>
      </w:tr>
      <w:tr w:rsidR="00FC2012" w:rsidRPr="008A5812" w:rsidTr="003269F2">
        <w:trPr>
          <w:trHeight w:val="555"/>
        </w:trPr>
        <w:tc>
          <w:tcPr>
            <w:tcW w:w="3740" w:type="dxa"/>
            <w:tcBorders>
              <w:top w:val="single" w:sz="4" w:space="0" w:color="auto"/>
              <w:left w:val="nil"/>
              <w:bottom w:val="single" w:sz="4" w:space="0" w:color="auto"/>
              <w:right w:val="nil"/>
            </w:tcBorders>
            <w:shd w:val="clear" w:color="000000" w:fill="FFFFFF"/>
            <w:noWrap/>
            <w:vAlign w:val="center"/>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lastRenderedPageBreak/>
              <w:t> </w:t>
            </w:r>
          </w:p>
        </w:tc>
        <w:tc>
          <w:tcPr>
            <w:tcW w:w="2520" w:type="dxa"/>
            <w:gridSpan w:val="2"/>
            <w:tcBorders>
              <w:top w:val="single" w:sz="4" w:space="0" w:color="auto"/>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Total number of Cashback measures delivered</w:t>
            </w:r>
          </w:p>
        </w:tc>
        <w:tc>
          <w:tcPr>
            <w:tcW w:w="2827" w:type="dxa"/>
            <w:gridSpan w:val="2"/>
            <w:tcBorders>
              <w:top w:val="single" w:sz="4" w:space="0" w:color="auto"/>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Percentage of Measures</w:t>
            </w:r>
          </w:p>
        </w:tc>
      </w:tr>
      <w:tr w:rsidR="00FC2012" w:rsidRPr="008A5812" w:rsidTr="003269F2">
        <w:trPr>
          <w:trHeight w:val="300"/>
        </w:trPr>
        <w:tc>
          <w:tcPr>
            <w:tcW w:w="3740" w:type="dxa"/>
            <w:tcBorders>
              <w:top w:val="nil"/>
              <w:left w:val="nil"/>
              <w:bottom w:val="nil"/>
              <w:right w:val="nil"/>
            </w:tcBorders>
            <w:shd w:val="clear" w:color="000000" w:fill="FFFFFF"/>
            <w:noWrap/>
            <w:vAlign w:val="center"/>
          </w:tcPr>
          <w:p w:rsidR="00FC2012" w:rsidRPr="008A5812" w:rsidRDefault="00FC2012" w:rsidP="003269F2">
            <w:pPr>
              <w:spacing w:before="0" w:after="0" w:line="240" w:lineRule="auto"/>
              <w:rPr>
                <w:b/>
                <w:bCs/>
                <w:color w:val="000000"/>
                <w:szCs w:val="24"/>
                <w:lang w:eastAsia="en-GB"/>
              </w:rPr>
            </w:pPr>
          </w:p>
        </w:tc>
        <w:tc>
          <w:tcPr>
            <w:tcW w:w="2520" w:type="dxa"/>
            <w:gridSpan w:val="2"/>
            <w:tcBorders>
              <w:top w:val="nil"/>
              <w:left w:val="nil"/>
              <w:bottom w:val="nil"/>
              <w:right w:val="nil"/>
            </w:tcBorders>
            <w:shd w:val="clear" w:color="000000" w:fill="FFFFFF"/>
            <w:vAlign w:val="bottom"/>
          </w:tcPr>
          <w:p w:rsidR="00FC2012" w:rsidRPr="008A5812" w:rsidRDefault="00FC2012" w:rsidP="003269F2">
            <w:pPr>
              <w:spacing w:before="0" w:after="0" w:line="240" w:lineRule="auto"/>
              <w:jc w:val="right"/>
              <w:rPr>
                <w:b/>
                <w:bCs/>
                <w:color w:val="000000"/>
                <w:szCs w:val="24"/>
                <w:lang w:eastAsia="en-GB"/>
              </w:rPr>
            </w:pPr>
          </w:p>
        </w:tc>
        <w:tc>
          <w:tcPr>
            <w:tcW w:w="2827" w:type="dxa"/>
            <w:gridSpan w:val="2"/>
            <w:tcBorders>
              <w:top w:val="nil"/>
              <w:left w:val="nil"/>
              <w:bottom w:val="nil"/>
              <w:right w:val="nil"/>
            </w:tcBorders>
            <w:shd w:val="clear" w:color="000000" w:fill="FFFFFF"/>
            <w:vAlign w:val="bottom"/>
          </w:tcPr>
          <w:p w:rsidR="00FC2012" w:rsidRPr="008A5812" w:rsidRDefault="00FC2012" w:rsidP="003269F2">
            <w:pPr>
              <w:spacing w:before="0" w:after="0" w:line="240" w:lineRule="auto"/>
              <w:jc w:val="right"/>
              <w:rPr>
                <w:b/>
                <w:bCs/>
                <w:i/>
                <w:iCs/>
                <w:color w:val="000000"/>
                <w:szCs w:val="24"/>
                <w:lang w:eastAsia="en-GB"/>
              </w:rPr>
            </w:pPr>
          </w:p>
        </w:tc>
      </w:tr>
      <w:tr w:rsidR="00FC2012" w:rsidRPr="008A5812" w:rsidTr="003269F2">
        <w:trPr>
          <w:trHeight w:val="255"/>
        </w:trPr>
        <w:tc>
          <w:tcPr>
            <w:tcW w:w="3780" w:type="dxa"/>
            <w:gridSpan w:val="2"/>
            <w:tcBorders>
              <w:top w:val="nil"/>
              <w:left w:val="nil"/>
              <w:bottom w:val="nil"/>
              <w:right w:val="nil"/>
            </w:tcBorders>
            <w:shd w:val="clear" w:color="000000" w:fill="FFFFFF"/>
            <w:noWrap/>
            <w:vAlign w:val="center"/>
            <w:hideMark/>
          </w:tcPr>
          <w:p w:rsidR="00FC2012" w:rsidRPr="008A5812" w:rsidRDefault="00FC2012" w:rsidP="003269F2">
            <w:pPr>
              <w:spacing w:before="0" w:after="0" w:line="240" w:lineRule="auto"/>
              <w:rPr>
                <w:b/>
                <w:bCs/>
                <w:color w:val="000000"/>
                <w:szCs w:val="24"/>
                <w:lang w:eastAsia="en-GB"/>
              </w:rPr>
            </w:pPr>
            <w:r w:rsidRPr="008A5812">
              <w:rPr>
                <w:b/>
                <w:bCs/>
                <w:color w:val="000000"/>
                <w:szCs w:val="24"/>
                <w:lang w:eastAsia="en-GB"/>
              </w:rPr>
              <w:t>Boiler</w:t>
            </w:r>
          </w:p>
        </w:tc>
        <w:tc>
          <w:tcPr>
            <w:tcW w:w="2500" w:type="dxa"/>
            <w:gridSpan w:val="2"/>
            <w:tcBorders>
              <w:top w:val="nil"/>
              <w:left w:val="nil"/>
              <w:bottom w:val="nil"/>
              <w:right w:val="nil"/>
            </w:tcBorders>
            <w:shd w:val="clear" w:color="000000" w:fill="FFFFFF"/>
            <w:vAlign w:val="bottom"/>
            <w:hideMark/>
          </w:tcPr>
          <w:p w:rsidR="00FC2012" w:rsidRPr="001048D3" w:rsidRDefault="00FC2012" w:rsidP="003269F2">
            <w:pPr>
              <w:spacing w:before="0" w:after="0"/>
              <w:jc w:val="right"/>
              <w:rPr>
                <w:b/>
                <w:bCs/>
                <w:color w:val="000000"/>
                <w:sz w:val="22"/>
                <w:szCs w:val="22"/>
              </w:rPr>
            </w:pPr>
            <w:r w:rsidRPr="001048D3">
              <w:rPr>
                <w:b/>
                <w:bCs/>
                <w:color w:val="000000"/>
                <w:sz w:val="22"/>
                <w:szCs w:val="22"/>
              </w:rPr>
              <w:t>7,362</w:t>
            </w:r>
          </w:p>
        </w:tc>
        <w:tc>
          <w:tcPr>
            <w:tcW w:w="2807" w:type="dxa"/>
            <w:tcBorders>
              <w:top w:val="nil"/>
              <w:left w:val="nil"/>
              <w:bottom w:val="nil"/>
              <w:right w:val="nil"/>
            </w:tcBorders>
            <w:shd w:val="clear" w:color="000000" w:fill="FFFFFF"/>
            <w:noWrap/>
            <w:vAlign w:val="bottom"/>
            <w:hideMark/>
          </w:tcPr>
          <w:p w:rsidR="00FC2012" w:rsidRPr="001048D3" w:rsidRDefault="006D5D73" w:rsidP="003269F2">
            <w:pPr>
              <w:spacing w:before="0" w:after="0"/>
              <w:jc w:val="right"/>
              <w:rPr>
                <w:b/>
                <w:bCs/>
                <w:i/>
                <w:iCs/>
                <w:color w:val="000000"/>
                <w:sz w:val="22"/>
                <w:szCs w:val="22"/>
              </w:rPr>
            </w:pPr>
            <w:r>
              <w:rPr>
                <w:b/>
                <w:bCs/>
                <w:i/>
                <w:iCs/>
                <w:color w:val="000000"/>
                <w:sz w:val="22"/>
                <w:szCs w:val="22"/>
              </w:rPr>
              <w:t>95</w:t>
            </w:r>
          </w:p>
        </w:tc>
      </w:tr>
      <w:tr w:rsidR="00FC2012" w:rsidRPr="008A5812" w:rsidTr="003269F2">
        <w:trPr>
          <w:trHeight w:val="255"/>
        </w:trPr>
        <w:tc>
          <w:tcPr>
            <w:tcW w:w="3780" w:type="dxa"/>
            <w:gridSpan w:val="2"/>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Gas Boiler</w:t>
            </w:r>
          </w:p>
        </w:tc>
        <w:tc>
          <w:tcPr>
            <w:tcW w:w="2500" w:type="dxa"/>
            <w:gridSpan w:val="2"/>
            <w:tcBorders>
              <w:top w:val="nil"/>
              <w:left w:val="nil"/>
              <w:bottom w:val="nil"/>
              <w:right w:val="nil"/>
            </w:tcBorders>
            <w:shd w:val="clear" w:color="000000" w:fill="FFFFFF"/>
            <w:noWrap/>
            <w:vAlign w:val="bottom"/>
            <w:hideMark/>
          </w:tcPr>
          <w:p w:rsidR="00FC2012" w:rsidRPr="001048D3" w:rsidRDefault="00FC2012" w:rsidP="003269F2">
            <w:pPr>
              <w:spacing w:before="0" w:after="0"/>
              <w:jc w:val="right"/>
              <w:rPr>
                <w:color w:val="000000"/>
                <w:sz w:val="22"/>
                <w:szCs w:val="22"/>
              </w:rPr>
            </w:pPr>
            <w:r w:rsidRPr="001048D3">
              <w:rPr>
                <w:color w:val="000000"/>
                <w:sz w:val="22"/>
                <w:szCs w:val="22"/>
              </w:rPr>
              <w:t>7,299</w:t>
            </w:r>
          </w:p>
        </w:tc>
        <w:tc>
          <w:tcPr>
            <w:tcW w:w="2807" w:type="dxa"/>
            <w:tcBorders>
              <w:top w:val="nil"/>
              <w:left w:val="nil"/>
              <w:bottom w:val="nil"/>
              <w:right w:val="nil"/>
            </w:tcBorders>
            <w:shd w:val="clear" w:color="000000" w:fill="FFFFFF"/>
            <w:noWrap/>
            <w:vAlign w:val="bottom"/>
            <w:hideMark/>
          </w:tcPr>
          <w:p w:rsidR="00FC2012" w:rsidRPr="001048D3" w:rsidRDefault="006D5D73" w:rsidP="003269F2">
            <w:pPr>
              <w:spacing w:before="0" w:after="0"/>
              <w:jc w:val="right"/>
              <w:rPr>
                <w:i/>
                <w:iCs/>
                <w:color w:val="000000"/>
                <w:sz w:val="22"/>
                <w:szCs w:val="22"/>
              </w:rPr>
            </w:pPr>
            <w:r>
              <w:rPr>
                <w:i/>
                <w:iCs/>
                <w:color w:val="000000"/>
                <w:sz w:val="22"/>
                <w:szCs w:val="22"/>
              </w:rPr>
              <w:t>94</w:t>
            </w:r>
          </w:p>
        </w:tc>
      </w:tr>
      <w:tr w:rsidR="00FC2012" w:rsidRPr="008A5812" w:rsidTr="003269F2">
        <w:trPr>
          <w:trHeight w:val="255"/>
        </w:trPr>
        <w:tc>
          <w:tcPr>
            <w:tcW w:w="3780" w:type="dxa"/>
            <w:gridSpan w:val="2"/>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Oil Boiler</w:t>
            </w:r>
          </w:p>
        </w:tc>
        <w:tc>
          <w:tcPr>
            <w:tcW w:w="2500" w:type="dxa"/>
            <w:gridSpan w:val="2"/>
            <w:tcBorders>
              <w:top w:val="nil"/>
              <w:left w:val="nil"/>
              <w:bottom w:val="nil"/>
              <w:right w:val="nil"/>
            </w:tcBorders>
            <w:shd w:val="clear" w:color="000000" w:fill="FFFFFF"/>
            <w:noWrap/>
            <w:vAlign w:val="bottom"/>
            <w:hideMark/>
          </w:tcPr>
          <w:p w:rsidR="00FC2012" w:rsidRPr="001048D3" w:rsidRDefault="00FC2012" w:rsidP="003269F2">
            <w:pPr>
              <w:spacing w:before="0" w:after="0"/>
              <w:jc w:val="right"/>
              <w:rPr>
                <w:color w:val="000000"/>
                <w:sz w:val="22"/>
                <w:szCs w:val="22"/>
              </w:rPr>
            </w:pPr>
            <w:r w:rsidRPr="001048D3">
              <w:rPr>
                <w:color w:val="000000"/>
                <w:sz w:val="22"/>
                <w:szCs w:val="22"/>
              </w:rPr>
              <w:t>63</w:t>
            </w:r>
          </w:p>
        </w:tc>
        <w:tc>
          <w:tcPr>
            <w:tcW w:w="2807" w:type="dxa"/>
            <w:tcBorders>
              <w:top w:val="nil"/>
              <w:left w:val="nil"/>
              <w:bottom w:val="nil"/>
              <w:right w:val="nil"/>
            </w:tcBorders>
            <w:shd w:val="clear" w:color="000000" w:fill="FFFFFF"/>
            <w:noWrap/>
            <w:vAlign w:val="bottom"/>
            <w:hideMark/>
          </w:tcPr>
          <w:p w:rsidR="00FC2012" w:rsidRPr="001048D3" w:rsidRDefault="006D5D73" w:rsidP="003269F2">
            <w:pPr>
              <w:spacing w:before="0" w:after="0"/>
              <w:jc w:val="right"/>
              <w:rPr>
                <w:i/>
                <w:iCs/>
                <w:color w:val="000000"/>
                <w:sz w:val="22"/>
                <w:szCs w:val="22"/>
              </w:rPr>
            </w:pPr>
            <w:r>
              <w:rPr>
                <w:i/>
                <w:iCs/>
                <w:color w:val="000000"/>
                <w:sz w:val="22"/>
                <w:szCs w:val="22"/>
              </w:rPr>
              <w:t>1</w:t>
            </w:r>
          </w:p>
        </w:tc>
      </w:tr>
      <w:tr w:rsidR="00FC2012" w:rsidRPr="008A5812" w:rsidTr="003269F2">
        <w:trPr>
          <w:trHeight w:val="255"/>
        </w:trPr>
        <w:tc>
          <w:tcPr>
            <w:tcW w:w="3780" w:type="dxa"/>
            <w:gridSpan w:val="2"/>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2500" w:type="dxa"/>
            <w:gridSpan w:val="2"/>
            <w:tcBorders>
              <w:top w:val="nil"/>
              <w:left w:val="nil"/>
              <w:bottom w:val="nil"/>
              <w:right w:val="nil"/>
            </w:tcBorders>
            <w:shd w:val="clear" w:color="000000" w:fill="FFFFFF"/>
            <w:noWrap/>
            <w:vAlign w:val="bottom"/>
            <w:hideMark/>
          </w:tcPr>
          <w:p w:rsidR="00FC2012" w:rsidRPr="001048D3" w:rsidRDefault="00FC2012" w:rsidP="003269F2">
            <w:pPr>
              <w:spacing w:before="0" w:after="0"/>
              <w:rPr>
                <w:color w:val="000000"/>
                <w:sz w:val="22"/>
                <w:szCs w:val="22"/>
              </w:rPr>
            </w:pPr>
            <w:r w:rsidRPr="001048D3">
              <w:rPr>
                <w:color w:val="000000"/>
                <w:sz w:val="22"/>
                <w:szCs w:val="22"/>
              </w:rPr>
              <w:t> </w:t>
            </w:r>
          </w:p>
        </w:tc>
        <w:tc>
          <w:tcPr>
            <w:tcW w:w="2807" w:type="dxa"/>
            <w:tcBorders>
              <w:top w:val="nil"/>
              <w:left w:val="nil"/>
              <w:bottom w:val="nil"/>
              <w:right w:val="nil"/>
            </w:tcBorders>
            <w:shd w:val="clear" w:color="000000" w:fill="FFFFFF"/>
            <w:noWrap/>
            <w:vAlign w:val="bottom"/>
            <w:hideMark/>
          </w:tcPr>
          <w:p w:rsidR="00FC2012" w:rsidRPr="001048D3" w:rsidRDefault="00FC2012" w:rsidP="003269F2">
            <w:pPr>
              <w:spacing w:before="0" w:after="0"/>
              <w:rPr>
                <w:i/>
                <w:iCs/>
                <w:color w:val="000000"/>
                <w:sz w:val="22"/>
                <w:szCs w:val="22"/>
              </w:rPr>
            </w:pPr>
            <w:r w:rsidRPr="001048D3">
              <w:rPr>
                <w:i/>
                <w:iCs/>
                <w:color w:val="000000"/>
                <w:sz w:val="22"/>
                <w:szCs w:val="22"/>
              </w:rPr>
              <w:t> </w:t>
            </w:r>
          </w:p>
        </w:tc>
      </w:tr>
      <w:tr w:rsidR="00FC2012" w:rsidRPr="008A5812" w:rsidTr="003269F2">
        <w:trPr>
          <w:trHeight w:val="255"/>
        </w:trPr>
        <w:tc>
          <w:tcPr>
            <w:tcW w:w="3780" w:type="dxa"/>
            <w:gridSpan w:val="2"/>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b/>
                <w:bCs/>
                <w:color w:val="000000"/>
                <w:szCs w:val="24"/>
                <w:lang w:eastAsia="en-GB"/>
              </w:rPr>
            </w:pPr>
            <w:r w:rsidRPr="008A5812">
              <w:rPr>
                <w:b/>
                <w:bCs/>
                <w:color w:val="000000"/>
                <w:szCs w:val="24"/>
                <w:lang w:eastAsia="en-GB"/>
              </w:rPr>
              <w:t>Cavity wall insulation</w:t>
            </w:r>
          </w:p>
        </w:tc>
        <w:tc>
          <w:tcPr>
            <w:tcW w:w="2500" w:type="dxa"/>
            <w:gridSpan w:val="2"/>
            <w:tcBorders>
              <w:top w:val="nil"/>
              <w:left w:val="nil"/>
              <w:bottom w:val="nil"/>
              <w:right w:val="nil"/>
            </w:tcBorders>
            <w:shd w:val="clear" w:color="000000" w:fill="FFFFFF"/>
            <w:noWrap/>
            <w:vAlign w:val="bottom"/>
            <w:hideMark/>
          </w:tcPr>
          <w:p w:rsidR="00FC2012" w:rsidRPr="001048D3" w:rsidRDefault="00FC2012" w:rsidP="003269F2">
            <w:pPr>
              <w:spacing w:before="0" w:after="0"/>
              <w:jc w:val="right"/>
              <w:rPr>
                <w:b/>
                <w:bCs/>
                <w:color w:val="000000"/>
                <w:sz w:val="22"/>
                <w:szCs w:val="22"/>
              </w:rPr>
            </w:pPr>
            <w:r w:rsidRPr="001048D3">
              <w:rPr>
                <w:b/>
                <w:bCs/>
                <w:color w:val="000000"/>
                <w:sz w:val="22"/>
                <w:szCs w:val="22"/>
              </w:rPr>
              <w:t>74</w:t>
            </w:r>
          </w:p>
        </w:tc>
        <w:tc>
          <w:tcPr>
            <w:tcW w:w="2807" w:type="dxa"/>
            <w:tcBorders>
              <w:top w:val="nil"/>
              <w:left w:val="nil"/>
              <w:bottom w:val="nil"/>
              <w:right w:val="nil"/>
            </w:tcBorders>
            <w:shd w:val="clear" w:color="000000" w:fill="FFFFFF"/>
            <w:noWrap/>
            <w:vAlign w:val="bottom"/>
            <w:hideMark/>
          </w:tcPr>
          <w:p w:rsidR="00FC2012" w:rsidRPr="001048D3" w:rsidRDefault="006D5D73" w:rsidP="003269F2">
            <w:pPr>
              <w:spacing w:before="0" w:after="0"/>
              <w:jc w:val="right"/>
              <w:rPr>
                <w:b/>
                <w:bCs/>
                <w:i/>
                <w:iCs/>
                <w:color w:val="000000"/>
                <w:sz w:val="22"/>
                <w:szCs w:val="22"/>
              </w:rPr>
            </w:pPr>
            <w:r>
              <w:rPr>
                <w:b/>
                <w:bCs/>
                <w:i/>
                <w:iCs/>
                <w:color w:val="000000"/>
                <w:sz w:val="22"/>
                <w:szCs w:val="22"/>
              </w:rPr>
              <w:t>1</w:t>
            </w:r>
          </w:p>
        </w:tc>
      </w:tr>
      <w:tr w:rsidR="00FC2012" w:rsidRPr="008A5812" w:rsidTr="003269F2">
        <w:trPr>
          <w:trHeight w:val="255"/>
        </w:trPr>
        <w:tc>
          <w:tcPr>
            <w:tcW w:w="3780" w:type="dxa"/>
            <w:gridSpan w:val="2"/>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2500" w:type="dxa"/>
            <w:gridSpan w:val="2"/>
            <w:tcBorders>
              <w:top w:val="nil"/>
              <w:left w:val="nil"/>
              <w:bottom w:val="nil"/>
              <w:right w:val="nil"/>
            </w:tcBorders>
            <w:shd w:val="clear" w:color="000000" w:fill="FFFFFF"/>
            <w:noWrap/>
            <w:vAlign w:val="bottom"/>
            <w:hideMark/>
          </w:tcPr>
          <w:p w:rsidR="00FC2012" w:rsidRPr="001048D3" w:rsidRDefault="00FC2012" w:rsidP="003269F2">
            <w:pPr>
              <w:spacing w:before="0" w:after="0"/>
              <w:rPr>
                <w:color w:val="000000"/>
                <w:sz w:val="22"/>
                <w:szCs w:val="22"/>
              </w:rPr>
            </w:pPr>
            <w:r w:rsidRPr="001048D3">
              <w:rPr>
                <w:color w:val="000000"/>
                <w:sz w:val="22"/>
                <w:szCs w:val="22"/>
              </w:rPr>
              <w:t> </w:t>
            </w:r>
          </w:p>
        </w:tc>
        <w:tc>
          <w:tcPr>
            <w:tcW w:w="2807" w:type="dxa"/>
            <w:tcBorders>
              <w:top w:val="nil"/>
              <w:left w:val="nil"/>
              <w:bottom w:val="nil"/>
              <w:right w:val="nil"/>
            </w:tcBorders>
            <w:shd w:val="clear" w:color="000000" w:fill="FFFFFF"/>
            <w:noWrap/>
            <w:vAlign w:val="bottom"/>
            <w:hideMark/>
          </w:tcPr>
          <w:p w:rsidR="00FC2012" w:rsidRPr="001048D3" w:rsidRDefault="00FC2012" w:rsidP="003269F2">
            <w:pPr>
              <w:spacing w:before="0" w:after="0"/>
              <w:rPr>
                <w:i/>
                <w:iCs/>
                <w:color w:val="000000"/>
                <w:sz w:val="22"/>
                <w:szCs w:val="22"/>
              </w:rPr>
            </w:pPr>
            <w:r w:rsidRPr="001048D3">
              <w:rPr>
                <w:i/>
                <w:iCs/>
                <w:color w:val="000000"/>
                <w:sz w:val="22"/>
                <w:szCs w:val="22"/>
              </w:rPr>
              <w:t> </w:t>
            </w:r>
          </w:p>
        </w:tc>
      </w:tr>
      <w:tr w:rsidR="00FC2012" w:rsidRPr="008A5812" w:rsidTr="003269F2">
        <w:trPr>
          <w:trHeight w:val="255"/>
        </w:trPr>
        <w:tc>
          <w:tcPr>
            <w:tcW w:w="3780" w:type="dxa"/>
            <w:gridSpan w:val="2"/>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b/>
                <w:bCs/>
                <w:color w:val="000000"/>
                <w:szCs w:val="24"/>
                <w:lang w:eastAsia="en-GB"/>
              </w:rPr>
            </w:pPr>
            <w:r w:rsidRPr="008A5812">
              <w:rPr>
                <w:b/>
                <w:bCs/>
                <w:color w:val="000000"/>
                <w:szCs w:val="24"/>
                <w:lang w:eastAsia="en-GB"/>
              </w:rPr>
              <w:t>Loft Insulation</w:t>
            </w:r>
          </w:p>
        </w:tc>
        <w:tc>
          <w:tcPr>
            <w:tcW w:w="2500" w:type="dxa"/>
            <w:gridSpan w:val="2"/>
            <w:tcBorders>
              <w:top w:val="nil"/>
              <w:left w:val="nil"/>
              <w:bottom w:val="nil"/>
              <w:right w:val="nil"/>
            </w:tcBorders>
            <w:shd w:val="clear" w:color="000000" w:fill="FFFFFF"/>
            <w:noWrap/>
            <w:vAlign w:val="bottom"/>
            <w:hideMark/>
          </w:tcPr>
          <w:p w:rsidR="00FC2012" w:rsidRPr="001048D3" w:rsidRDefault="00FC2012" w:rsidP="003269F2">
            <w:pPr>
              <w:spacing w:before="0" w:after="0"/>
              <w:jc w:val="right"/>
              <w:rPr>
                <w:b/>
                <w:bCs/>
                <w:color w:val="000000"/>
                <w:sz w:val="22"/>
                <w:szCs w:val="22"/>
              </w:rPr>
            </w:pPr>
            <w:r w:rsidRPr="001048D3">
              <w:rPr>
                <w:b/>
                <w:bCs/>
                <w:color w:val="000000"/>
                <w:sz w:val="22"/>
                <w:szCs w:val="22"/>
              </w:rPr>
              <w:t>210</w:t>
            </w:r>
          </w:p>
        </w:tc>
        <w:tc>
          <w:tcPr>
            <w:tcW w:w="2807" w:type="dxa"/>
            <w:tcBorders>
              <w:top w:val="nil"/>
              <w:left w:val="nil"/>
              <w:bottom w:val="nil"/>
              <w:right w:val="nil"/>
            </w:tcBorders>
            <w:shd w:val="clear" w:color="000000" w:fill="FFFFFF"/>
            <w:noWrap/>
            <w:vAlign w:val="bottom"/>
            <w:hideMark/>
          </w:tcPr>
          <w:p w:rsidR="00FC2012" w:rsidRPr="001048D3" w:rsidRDefault="006D5D73" w:rsidP="003269F2">
            <w:pPr>
              <w:spacing w:before="0" w:after="0"/>
              <w:jc w:val="right"/>
              <w:rPr>
                <w:b/>
                <w:bCs/>
                <w:i/>
                <w:iCs/>
                <w:color w:val="000000"/>
                <w:sz w:val="22"/>
                <w:szCs w:val="22"/>
              </w:rPr>
            </w:pPr>
            <w:r>
              <w:rPr>
                <w:b/>
                <w:bCs/>
                <w:i/>
                <w:iCs/>
                <w:color w:val="000000"/>
                <w:sz w:val="22"/>
                <w:szCs w:val="22"/>
              </w:rPr>
              <w:t>3</w:t>
            </w:r>
          </w:p>
        </w:tc>
      </w:tr>
      <w:tr w:rsidR="00FC2012" w:rsidRPr="008A5812" w:rsidTr="003269F2">
        <w:trPr>
          <w:trHeight w:val="255"/>
        </w:trPr>
        <w:tc>
          <w:tcPr>
            <w:tcW w:w="3780" w:type="dxa"/>
            <w:gridSpan w:val="2"/>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Loft Insulation</w:t>
            </w:r>
          </w:p>
        </w:tc>
        <w:tc>
          <w:tcPr>
            <w:tcW w:w="2500" w:type="dxa"/>
            <w:gridSpan w:val="2"/>
            <w:tcBorders>
              <w:top w:val="nil"/>
              <w:left w:val="nil"/>
              <w:bottom w:val="nil"/>
              <w:right w:val="nil"/>
            </w:tcBorders>
            <w:shd w:val="clear" w:color="000000" w:fill="FFFFFF"/>
            <w:noWrap/>
            <w:vAlign w:val="bottom"/>
            <w:hideMark/>
          </w:tcPr>
          <w:p w:rsidR="00FC2012" w:rsidRPr="001048D3" w:rsidRDefault="00FC2012" w:rsidP="003269F2">
            <w:pPr>
              <w:spacing w:before="0" w:after="0"/>
              <w:jc w:val="right"/>
              <w:rPr>
                <w:color w:val="000000"/>
                <w:sz w:val="22"/>
                <w:szCs w:val="22"/>
              </w:rPr>
            </w:pPr>
            <w:r w:rsidRPr="001048D3">
              <w:rPr>
                <w:color w:val="000000"/>
                <w:sz w:val="22"/>
                <w:szCs w:val="22"/>
              </w:rPr>
              <w:t>210</w:t>
            </w:r>
          </w:p>
        </w:tc>
        <w:tc>
          <w:tcPr>
            <w:tcW w:w="2807" w:type="dxa"/>
            <w:tcBorders>
              <w:top w:val="nil"/>
              <w:left w:val="nil"/>
              <w:bottom w:val="nil"/>
              <w:right w:val="nil"/>
            </w:tcBorders>
            <w:shd w:val="clear" w:color="000000" w:fill="FFFFFF"/>
            <w:noWrap/>
            <w:vAlign w:val="bottom"/>
            <w:hideMark/>
          </w:tcPr>
          <w:p w:rsidR="00FC2012" w:rsidRPr="001048D3" w:rsidRDefault="006D5D73" w:rsidP="003269F2">
            <w:pPr>
              <w:spacing w:before="0" w:after="0"/>
              <w:jc w:val="right"/>
              <w:rPr>
                <w:i/>
                <w:iCs/>
                <w:color w:val="000000"/>
                <w:sz w:val="22"/>
                <w:szCs w:val="22"/>
              </w:rPr>
            </w:pPr>
            <w:r>
              <w:rPr>
                <w:i/>
                <w:iCs/>
                <w:color w:val="000000"/>
                <w:sz w:val="22"/>
                <w:szCs w:val="22"/>
              </w:rPr>
              <w:t>3</w:t>
            </w:r>
          </w:p>
        </w:tc>
      </w:tr>
      <w:tr w:rsidR="00FC2012" w:rsidRPr="008A5812" w:rsidTr="003269F2">
        <w:trPr>
          <w:trHeight w:val="255"/>
        </w:trPr>
        <w:tc>
          <w:tcPr>
            <w:tcW w:w="3780" w:type="dxa"/>
            <w:gridSpan w:val="2"/>
            <w:tcBorders>
              <w:top w:val="nil"/>
              <w:left w:val="nil"/>
              <w:bottom w:val="nil"/>
              <w:right w:val="nil"/>
            </w:tcBorders>
            <w:shd w:val="clear" w:color="000000" w:fill="FFFFFF"/>
            <w:vAlign w:val="bottom"/>
            <w:hideMark/>
          </w:tcPr>
          <w:p w:rsidR="00FC2012" w:rsidRPr="008A5812" w:rsidRDefault="00FC2012" w:rsidP="003269F2">
            <w:pPr>
              <w:spacing w:before="0" w:after="0" w:line="240" w:lineRule="auto"/>
              <w:rPr>
                <w:szCs w:val="24"/>
                <w:lang w:eastAsia="en-GB"/>
              </w:rPr>
            </w:pPr>
            <w:r w:rsidRPr="008A5812">
              <w:rPr>
                <w:szCs w:val="24"/>
                <w:lang w:eastAsia="en-GB"/>
              </w:rPr>
              <w:t>Room in Roof Insulation</w:t>
            </w:r>
          </w:p>
        </w:tc>
        <w:tc>
          <w:tcPr>
            <w:tcW w:w="2500" w:type="dxa"/>
            <w:gridSpan w:val="2"/>
            <w:tcBorders>
              <w:top w:val="nil"/>
              <w:left w:val="nil"/>
              <w:bottom w:val="nil"/>
              <w:right w:val="nil"/>
            </w:tcBorders>
            <w:shd w:val="clear" w:color="000000" w:fill="FFFFFF"/>
            <w:noWrap/>
            <w:vAlign w:val="bottom"/>
            <w:hideMark/>
          </w:tcPr>
          <w:p w:rsidR="00FC2012" w:rsidRPr="001048D3" w:rsidRDefault="00FC2012" w:rsidP="003269F2">
            <w:pPr>
              <w:spacing w:before="0" w:after="0"/>
              <w:jc w:val="right"/>
              <w:rPr>
                <w:color w:val="000000"/>
                <w:sz w:val="22"/>
                <w:szCs w:val="22"/>
              </w:rPr>
            </w:pPr>
            <w:r w:rsidRPr="001048D3">
              <w:rPr>
                <w:color w:val="000000"/>
                <w:sz w:val="22"/>
                <w:szCs w:val="22"/>
              </w:rPr>
              <w:t>0</w:t>
            </w:r>
          </w:p>
        </w:tc>
        <w:tc>
          <w:tcPr>
            <w:tcW w:w="2807" w:type="dxa"/>
            <w:tcBorders>
              <w:top w:val="nil"/>
              <w:left w:val="nil"/>
              <w:bottom w:val="nil"/>
              <w:right w:val="nil"/>
            </w:tcBorders>
            <w:shd w:val="clear" w:color="000000" w:fill="FFFFFF"/>
            <w:noWrap/>
            <w:vAlign w:val="bottom"/>
            <w:hideMark/>
          </w:tcPr>
          <w:p w:rsidR="00FC2012" w:rsidRPr="001048D3" w:rsidRDefault="006D5D73" w:rsidP="003269F2">
            <w:pPr>
              <w:spacing w:before="0" w:after="0"/>
              <w:jc w:val="right"/>
              <w:rPr>
                <w:i/>
                <w:iCs/>
                <w:color w:val="000000"/>
                <w:sz w:val="22"/>
                <w:szCs w:val="22"/>
              </w:rPr>
            </w:pPr>
            <w:r>
              <w:rPr>
                <w:i/>
                <w:iCs/>
                <w:color w:val="000000"/>
                <w:sz w:val="22"/>
                <w:szCs w:val="22"/>
              </w:rPr>
              <w:t>0</w:t>
            </w:r>
          </w:p>
        </w:tc>
      </w:tr>
      <w:tr w:rsidR="00FC2012" w:rsidRPr="008A5812" w:rsidTr="003269F2">
        <w:trPr>
          <w:trHeight w:val="255"/>
        </w:trPr>
        <w:tc>
          <w:tcPr>
            <w:tcW w:w="3780" w:type="dxa"/>
            <w:gridSpan w:val="2"/>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b/>
                <w:bCs/>
                <w:color w:val="000000"/>
                <w:szCs w:val="24"/>
                <w:lang w:eastAsia="en-GB"/>
              </w:rPr>
            </w:pPr>
            <w:r w:rsidRPr="008A5812">
              <w:rPr>
                <w:b/>
                <w:bCs/>
                <w:color w:val="000000"/>
                <w:szCs w:val="24"/>
                <w:lang w:eastAsia="en-GB"/>
              </w:rPr>
              <w:t> </w:t>
            </w:r>
          </w:p>
        </w:tc>
        <w:tc>
          <w:tcPr>
            <w:tcW w:w="2500" w:type="dxa"/>
            <w:gridSpan w:val="2"/>
            <w:tcBorders>
              <w:top w:val="nil"/>
              <w:left w:val="nil"/>
              <w:bottom w:val="nil"/>
              <w:right w:val="nil"/>
            </w:tcBorders>
            <w:shd w:val="clear" w:color="000000" w:fill="FFFFFF"/>
            <w:noWrap/>
            <w:vAlign w:val="bottom"/>
            <w:hideMark/>
          </w:tcPr>
          <w:p w:rsidR="00FC2012" w:rsidRPr="001048D3" w:rsidRDefault="00FC2012" w:rsidP="003269F2">
            <w:pPr>
              <w:spacing w:before="0" w:after="0"/>
              <w:rPr>
                <w:color w:val="000000"/>
                <w:sz w:val="22"/>
                <w:szCs w:val="22"/>
              </w:rPr>
            </w:pPr>
            <w:r w:rsidRPr="001048D3">
              <w:rPr>
                <w:color w:val="000000"/>
                <w:sz w:val="22"/>
                <w:szCs w:val="22"/>
              </w:rPr>
              <w:t> </w:t>
            </w:r>
          </w:p>
        </w:tc>
        <w:tc>
          <w:tcPr>
            <w:tcW w:w="2807" w:type="dxa"/>
            <w:tcBorders>
              <w:top w:val="nil"/>
              <w:left w:val="nil"/>
              <w:bottom w:val="nil"/>
              <w:right w:val="nil"/>
            </w:tcBorders>
            <w:shd w:val="clear" w:color="000000" w:fill="FFFFFF"/>
            <w:noWrap/>
            <w:vAlign w:val="bottom"/>
            <w:hideMark/>
          </w:tcPr>
          <w:p w:rsidR="00FC2012" w:rsidRPr="001048D3" w:rsidRDefault="00FC2012" w:rsidP="003269F2">
            <w:pPr>
              <w:spacing w:before="0" w:after="0"/>
              <w:rPr>
                <w:i/>
                <w:iCs/>
                <w:color w:val="000000"/>
                <w:sz w:val="22"/>
                <w:szCs w:val="22"/>
              </w:rPr>
            </w:pPr>
            <w:r w:rsidRPr="001048D3">
              <w:rPr>
                <w:i/>
                <w:iCs/>
                <w:color w:val="000000"/>
                <w:sz w:val="22"/>
                <w:szCs w:val="22"/>
              </w:rPr>
              <w:t> </w:t>
            </w:r>
          </w:p>
        </w:tc>
      </w:tr>
      <w:tr w:rsidR="00FC2012" w:rsidRPr="008A5812" w:rsidTr="003269F2">
        <w:trPr>
          <w:trHeight w:val="255"/>
        </w:trPr>
        <w:tc>
          <w:tcPr>
            <w:tcW w:w="3780" w:type="dxa"/>
            <w:gridSpan w:val="2"/>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b/>
                <w:bCs/>
                <w:color w:val="000000"/>
                <w:szCs w:val="24"/>
                <w:lang w:eastAsia="en-GB"/>
              </w:rPr>
            </w:pPr>
            <w:r w:rsidRPr="008A5812">
              <w:rPr>
                <w:b/>
                <w:bCs/>
                <w:color w:val="000000"/>
                <w:szCs w:val="24"/>
                <w:lang w:eastAsia="en-GB"/>
              </w:rPr>
              <w:t>Other Heating</w:t>
            </w:r>
          </w:p>
        </w:tc>
        <w:tc>
          <w:tcPr>
            <w:tcW w:w="2500" w:type="dxa"/>
            <w:gridSpan w:val="2"/>
            <w:tcBorders>
              <w:top w:val="nil"/>
              <w:left w:val="nil"/>
              <w:bottom w:val="nil"/>
              <w:right w:val="nil"/>
            </w:tcBorders>
            <w:shd w:val="clear" w:color="000000" w:fill="FFFFFF"/>
            <w:noWrap/>
            <w:vAlign w:val="bottom"/>
            <w:hideMark/>
          </w:tcPr>
          <w:p w:rsidR="00FC2012" w:rsidRPr="001048D3" w:rsidRDefault="00FC2012" w:rsidP="003269F2">
            <w:pPr>
              <w:spacing w:before="0" w:after="0"/>
              <w:jc w:val="right"/>
              <w:rPr>
                <w:b/>
                <w:bCs/>
                <w:color w:val="000000"/>
                <w:sz w:val="22"/>
                <w:szCs w:val="22"/>
              </w:rPr>
            </w:pPr>
            <w:r w:rsidRPr="001048D3">
              <w:rPr>
                <w:b/>
                <w:bCs/>
                <w:color w:val="000000"/>
                <w:sz w:val="22"/>
                <w:szCs w:val="22"/>
              </w:rPr>
              <w:t>3</w:t>
            </w:r>
          </w:p>
        </w:tc>
        <w:tc>
          <w:tcPr>
            <w:tcW w:w="2807" w:type="dxa"/>
            <w:tcBorders>
              <w:top w:val="nil"/>
              <w:left w:val="nil"/>
              <w:bottom w:val="nil"/>
              <w:right w:val="nil"/>
            </w:tcBorders>
            <w:shd w:val="clear" w:color="000000" w:fill="FFFFFF"/>
            <w:noWrap/>
            <w:vAlign w:val="bottom"/>
            <w:hideMark/>
          </w:tcPr>
          <w:p w:rsidR="00FC2012" w:rsidRPr="001048D3" w:rsidRDefault="006D5D73" w:rsidP="003269F2">
            <w:pPr>
              <w:spacing w:before="0" w:after="0"/>
              <w:jc w:val="right"/>
              <w:rPr>
                <w:b/>
                <w:bCs/>
                <w:i/>
                <w:iCs/>
                <w:color w:val="000000"/>
                <w:sz w:val="22"/>
                <w:szCs w:val="22"/>
              </w:rPr>
            </w:pPr>
            <w:r>
              <w:rPr>
                <w:b/>
                <w:bCs/>
                <w:i/>
                <w:iCs/>
                <w:color w:val="000000"/>
                <w:sz w:val="22"/>
                <w:szCs w:val="22"/>
              </w:rPr>
              <w:t>0</w:t>
            </w:r>
          </w:p>
        </w:tc>
      </w:tr>
      <w:tr w:rsidR="00FC2012" w:rsidRPr="008A5812" w:rsidTr="003269F2">
        <w:trPr>
          <w:trHeight w:val="255"/>
        </w:trPr>
        <w:tc>
          <w:tcPr>
            <w:tcW w:w="3780" w:type="dxa"/>
            <w:gridSpan w:val="2"/>
            <w:tcBorders>
              <w:top w:val="nil"/>
              <w:left w:val="nil"/>
              <w:bottom w:val="nil"/>
              <w:right w:val="nil"/>
            </w:tcBorders>
            <w:shd w:val="clear" w:color="000000" w:fill="FFFFFF"/>
            <w:vAlign w:val="bottom"/>
            <w:hideMark/>
          </w:tcPr>
          <w:p w:rsidR="00FC2012" w:rsidRPr="008A5812" w:rsidRDefault="00FC2012" w:rsidP="003269F2">
            <w:pPr>
              <w:spacing w:before="0" w:after="0" w:line="240" w:lineRule="auto"/>
              <w:rPr>
                <w:szCs w:val="24"/>
                <w:lang w:eastAsia="en-GB"/>
              </w:rPr>
            </w:pPr>
            <w:r w:rsidRPr="008A5812">
              <w:rPr>
                <w:szCs w:val="24"/>
                <w:lang w:eastAsia="en-GB"/>
              </w:rPr>
              <w:t>Electric Storage Heaters</w:t>
            </w:r>
          </w:p>
        </w:tc>
        <w:tc>
          <w:tcPr>
            <w:tcW w:w="2500" w:type="dxa"/>
            <w:gridSpan w:val="2"/>
            <w:tcBorders>
              <w:top w:val="nil"/>
              <w:left w:val="nil"/>
              <w:bottom w:val="nil"/>
              <w:right w:val="nil"/>
            </w:tcBorders>
            <w:shd w:val="clear" w:color="000000" w:fill="FFFFFF"/>
            <w:noWrap/>
            <w:vAlign w:val="bottom"/>
            <w:hideMark/>
          </w:tcPr>
          <w:p w:rsidR="00FC2012" w:rsidRPr="001048D3" w:rsidRDefault="00FC2012" w:rsidP="003269F2">
            <w:pPr>
              <w:spacing w:before="0" w:after="0"/>
              <w:jc w:val="right"/>
              <w:rPr>
                <w:color w:val="000000"/>
                <w:sz w:val="22"/>
                <w:szCs w:val="22"/>
              </w:rPr>
            </w:pPr>
            <w:r w:rsidRPr="001048D3">
              <w:rPr>
                <w:color w:val="000000"/>
                <w:sz w:val="22"/>
                <w:szCs w:val="22"/>
              </w:rPr>
              <w:t>0</w:t>
            </w:r>
          </w:p>
        </w:tc>
        <w:tc>
          <w:tcPr>
            <w:tcW w:w="2807" w:type="dxa"/>
            <w:tcBorders>
              <w:top w:val="nil"/>
              <w:left w:val="nil"/>
              <w:bottom w:val="nil"/>
              <w:right w:val="nil"/>
            </w:tcBorders>
            <w:shd w:val="clear" w:color="000000" w:fill="FFFFFF"/>
            <w:noWrap/>
            <w:vAlign w:val="bottom"/>
            <w:hideMark/>
          </w:tcPr>
          <w:p w:rsidR="00FC2012" w:rsidRPr="001048D3" w:rsidRDefault="006D5D73" w:rsidP="003269F2">
            <w:pPr>
              <w:spacing w:before="0" w:after="0"/>
              <w:jc w:val="right"/>
              <w:rPr>
                <w:i/>
                <w:iCs/>
                <w:color w:val="000000"/>
                <w:sz w:val="22"/>
                <w:szCs w:val="22"/>
              </w:rPr>
            </w:pPr>
            <w:r>
              <w:rPr>
                <w:i/>
                <w:iCs/>
                <w:color w:val="000000"/>
                <w:sz w:val="22"/>
                <w:szCs w:val="22"/>
              </w:rPr>
              <w:t>0</w:t>
            </w:r>
          </w:p>
        </w:tc>
      </w:tr>
      <w:tr w:rsidR="00FC2012" w:rsidRPr="008A5812" w:rsidTr="003269F2">
        <w:trPr>
          <w:trHeight w:val="255"/>
        </w:trPr>
        <w:tc>
          <w:tcPr>
            <w:tcW w:w="3780" w:type="dxa"/>
            <w:gridSpan w:val="2"/>
            <w:tcBorders>
              <w:top w:val="nil"/>
              <w:left w:val="nil"/>
              <w:bottom w:val="nil"/>
              <w:right w:val="nil"/>
            </w:tcBorders>
            <w:shd w:val="clear" w:color="000000" w:fill="FFFFFF"/>
            <w:vAlign w:val="bottom"/>
            <w:hideMark/>
          </w:tcPr>
          <w:p w:rsidR="00FC2012" w:rsidRPr="008A5812" w:rsidRDefault="00FC2012" w:rsidP="003269F2">
            <w:pPr>
              <w:spacing w:before="0" w:after="0" w:line="240" w:lineRule="auto"/>
              <w:rPr>
                <w:szCs w:val="24"/>
                <w:lang w:eastAsia="en-GB"/>
              </w:rPr>
            </w:pPr>
            <w:r w:rsidRPr="008A5812">
              <w:rPr>
                <w:szCs w:val="24"/>
                <w:lang w:eastAsia="en-GB"/>
              </w:rPr>
              <w:t>Flue Gas Heat Recovery Devices</w:t>
            </w:r>
          </w:p>
        </w:tc>
        <w:tc>
          <w:tcPr>
            <w:tcW w:w="2500" w:type="dxa"/>
            <w:gridSpan w:val="2"/>
            <w:tcBorders>
              <w:top w:val="nil"/>
              <w:left w:val="nil"/>
              <w:bottom w:val="nil"/>
              <w:right w:val="nil"/>
            </w:tcBorders>
            <w:shd w:val="clear" w:color="000000" w:fill="FFFFFF"/>
            <w:noWrap/>
            <w:vAlign w:val="bottom"/>
            <w:hideMark/>
          </w:tcPr>
          <w:p w:rsidR="00FC2012" w:rsidRPr="001048D3" w:rsidRDefault="00FC2012" w:rsidP="003269F2">
            <w:pPr>
              <w:spacing w:before="0" w:after="0"/>
              <w:jc w:val="right"/>
              <w:rPr>
                <w:color w:val="000000"/>
                <w:sz w:val="22"/>
                <w:szCs w:val="22"/>
              </w:rPr>
            </w:pPr>
            <w:r w:rsidRPr="001048D3">
              <w:rPr>
                <w:color w:val="000000"/>
                <w:sz w:val="22"/>
                <w:szCs w:val="22"/>
              </w:rPr>
              <w:t>0</w:t>
            </w:r>
          </w:p>
        </w:tc>
        <w:tc>
          <w:tcPr>
            <w:tcW w:w="2807" w:type="dxa"/>
            <w:tcBorders>
              <w:top w:val="nil"/>
              <w:left w:val="nil"/>
              <w:bottom w:val="nil"/>
              <w:right w:val="nil"/>
            </w:tcBorders>
            <w:shd w:val="clear" w:color="000000" w:fill="FFFFFF"/>
            <w:noWrap/>
            <w:vAlign w:val="bottom"/>
            <w:hideMark/>
          </w:tcPr>
          <w:p w:rsidR="00FC2012" w:rsidRPr="001048D3" w:rsidRDefault="006D5D73" w:rsidP="003269F2">
            <w:pPr>
              <w:spacing w:before="0" w:after="0"/>
              <w:jc w:val="right"/>
              <w:rPr>
                <w:i/>
                <w:iCs/>
                <w:color w:val="000000"/>
                <w:sz w:val="22"/>
                <w:szCs w:val="22"/>
              </w:rPr>
            </w:pPr>
            <w:r>
              <w:rPr>
                <w:i/>
                <w:iCs/>
                <w:color w:val="000000"/>
                <w:sz w:val="22"/>
                <w:szCs w:val="22"/>
              </w:rPr>
              <w:t>0</w:t>
            </w:r>
          </w:p>
        </w:tc>
      </w:tr>
      <w:tr w:rsidR="00FC2012" w:rsidRPr="008A5812" w:rsidTr="003269F2">
        <w:trPr>
          <w:trHeight w:val="255"/>
        </w:trPr>
        <w:tc>
          <w:tcPr>
            <w:tcW w:w="3780" w:type="dxa"/>
            <w:gridSpan w:val="2"/>
            <w:tcBorders>
              <w:top w:val="nil"/>
              <w:left w:val="nil"/>
              <w:bottom w:val="nil"/>
              <w:right w:val="nil"/>
            </w:tcBorders>
            <w:shd w:val="clear" w:color="000000" w:fill="FFFFFF"/>
            <w:vAlign w:val="bottom"/>
            <w:hideMark/>
          </w:tcPr>
          <w:p w:rsidR="00FC2012" w:rsidRPr="008A5812" w:rsidRDefault="00FC2012" w:rsidP="003269F2">
            <w:pPr>
              <w:spacing w:before="0" w:after="0" w:line="240" w:lineRule="auto"/>
              <w:rPr>
                <w:szCs w:val="24"/>
                <w:lang w:eastAsia="en-GB"/>
              </w:rPr>
            </w:pPr>
            <w:r w:rsidRPr="008A5812">
              <w:rPr>
                <w:szCs w:val="24"/>
                <w:lang w:eastAsia="en-GB"/>
              </w:rPr>
              <w:t>Heating Controls</w:t>
            </w:r>
          </w:p>
        </w:tc>
        <w:tc>
          <w:tcPr>
            <w:tcW w:w="2500" w:type="dxa"/>
            <w:gridSpan w:val="2"/>
            <w:tcBorders>
              <w:top w:val="nil"/>
              <w:left w:val="nil"/>
              <w:bottom w:val="nil"/>
              <w:right w:val="nil"/>
            </w:tcBorders>
            <w:shd w:val="clear" w:color="000000" w:fill="FFFFFF"/>
            <w:noWrap/>
            <w:vAlign w:val="bottom"/>
            <w:hideMark/>
          </w:tcPr>
          <w:p w:rsidR="00FC2012" w:rsidRPr="001048D3" w:rsidRDefault="00FC2012" w:rsidP="003269F2">
            <w:pPr>
              <w:spacing w:before="0" w:after="0"/>
              <w:jc w:val="right"/>
              <w:rPr>
                <w:color w:val="000000"/>
                <w:sz w:val="22"/>
                <w:szCs w:val="22"/>
              </w:rPr>
            </w:pPr>
            <w:r w:rsidRPr="001048D3">
              <w:rPr>
                <w:color w:val="000000"/>
                <w:sz w:val="22"/>
                <w:szCs w:val="22"/>
              </w:rPr>
              <w:t>3</w:t>
            </w:r>
          </w:p>
        </w:tc>
        <w:tc>
          <w:tcPr>
            <w:tcW w:w="2807" w:type="dxa"/>
            <w:tcBorders>
              <w:top w:val="nil"/>
              <w:left w:val="nil"/>
              <w:bottom w:val="nil"/>
              <w:right w:val="nil"/>
            </w:tcBorders>
            <w:shd w:val="clear" w:color="000000" w:fill="FFFFFF"/>
            <w:noWrap/>
            <w:vAlign w:val="bottom"/>
            <w:hideMark/>
          </w:tcPr>
          <w:p w:rsidR="00FC2012" w:rsidRPr="001048D3" w:rsidRDefault="006D5D73" w:rsidP="003269F2">
            <w:pPr>
              <w:spacing w:before="0" w:after="0"/>
              <w:jc w:val="right"/>
              <w:rPr>
                <w:i/>
                <w:iCs/>
                <w:color w:val="000000"/>
                <w:sz w:val="22"/>
                <w:szCs w:val="22"/>
              </w:rPr>
            </w:pPr>
            <w:r>
              <w:rPr>
                <w:i/>
                <w:iCs/>
                <w:color w:val="000000"/>
                <w:sz w:val="22"/>
                <w:szCs w:val="22"/>
              </w:rPr>
              <w:t>0</w:t>
            </w:r>
          </w:p>
        </w:tc>
      </w:tr>
      <w:tr w:rsidR="00FC2012" w:rsidRPr="008A5812" w:rsidTr="003269F2">
        <w:trPr>
          <w:trHeight w:val="255"/>
        </w:trPr>
        <w:tc>
          <w:tcPr>
            <w:tcW w:w="3780" w:type="dxa"/>
            <w:gridSpan w:val="2"/>
            <w:tcBorders>
              <w:top w:val="nil"/>
              <w:left w:val="nil"/>
              <w:bottom w:val="nil"/>
              <w:right w:val="nil"/>
            </w:tcBorders>
            <w:shd w:val="clear" w:color="000000" w:fill="FFFFFF"/>
            <w:vAlign w:val="bottom"/>
            <w:hideMark/>
          </w:tcPr>
          <w:p w:rsidR="00FC2012" w:rsidRPr="008A5812" w:rsidRDefault="00FC2012" w:rsidP="003269F2">
            <w:pPr>
              <w:spacing w:before="0" w:after="0" w:line="240" w:lineRule="auto"/>
              <w:rPr>
                <w:szCs w:val="24"/>
                <w:lang w:eastAsia="en-GB"/>
              </w:rPr>
            </w:pPr>
            <w:r w:rsidRPr="008A5812">
              <w:rPr>
                <w:szCs w:val="24"/>
                <w:lang w:eastAsia="en-GB"/>
              </w:rPr>
              <w:t>Warm Air Units</w:t>
            </w:r>
          </w:p>
        </w:tc>
        <w:tc>
          <w:tcPr>
            <w:tcW w:w="2500" w:type="dxa"/>
            <w:gridSpan w:val="2"/>
            <w:tcBorders>
              <w:top w:val="nil"/>
              <w:left w:val="nil"/>
              <w:bottom w:val="nil"/>
              <w:right w:val="nil"/>
            </w:tcBorders>
            <w:shd w:val="clear" w:color="000000" w:fill="FFFFFF"/>
            <w:noWrap/>
            <w:vAlign w:val="bottom"/>
            <w:hideMark/>
          </w:tcPr>
          <w:p w:rsidR="00FC2012" w:rsidRPr="001048D3" w:rsidRDefault="00FC2012" w:rsidP="003269F2">
            <w:pPr>
              <w:spacing w:before="0" w:after="0"/>
              <w:jc w:val="right"/>
              <w:rPr>
                <w:color w:val="000000"/>
                <w:sz w:val="22"/>
                <w:szCs w:val="22"/>
              </w:rPr>
            </w:pPr>
            <w:r w:rsidRPr="001048D3">
              <w:rPr>
                <w:color w:val="000000"/>
                <w:sz w:val="22"/>
                <w:szCs w:val="22"/>
              </w:rPr>
              <w:t>0</w:t>
            </w:r>
          </w:p>
        </w:tc>
        <w:tc>
          <w:tcPr>
            <w:tcW w:w="2807" w:type="dxa"/>
            <w:tcBorders>
              <w:top w:val="nil"/>
              <w:left w:val="nil"/>
              <w:bottom w:val="nil"/>
              <w:right w:val="nil"/>
            </w:tcBorders>
            <w:shd w:val="clear" w:color="000000" w:fill="FFFFFF"/>
            <w:noWrap/>
            <w:vAlign w:val="bottom"/>
            <w:hideMark/>
          </w:tcPr>
          <w:p w:rsidR="00FC2012" w:rsidRPr="001048D3" w:rsidRDefault="006D5D73" w:rsidP="003269F2">
            <w:pPr>
              <w:spacing w:before="0" w:after="0"/>
              <w:jc w:val="right"/>
              <w:rPr>
                <w:i/>
                <w:iCs/>
                <w:color w:val="000000"/>
                <w:sz w:val="22"/>
                <w:szCs w:val="22"/>
              </w:rPr>
            </w:pPr>
            <w:r>
              <w:rPr>
                <w:i/>
                <w:iCs/>
                <w:color w:val="000000"/>
                <w:sz w:val="22"/>
                <w:szCs w:val="22"/>
              </w:rPr>
              <w:t>0</w:t>
            </w:r>
          </w:p>
        </w:tc>
      </w:tr>
      <w:tr w:rsidR="00FC2012" w:rsidRPr="008A5812" w:rsidTr="003269F2">
        <w:trPr>
          <w:trHeight w:val="255"/>
        </w:trPr>
        <w:tc>
          <w:tcPr>
            <w:tcW w:w="3780" w:type="dxa"/>
            <w:gridSpan w:val="2"/>
            <w:tcBorders>
              <w:top w:val="nil"/>
              <w:left w:val="nil"/>
              <w:bottom w:val="nil"/>
              <w:right w:val="nil"/>
            </w:tcBorders>
            <w:shd w:val="clear" w:color="000000" w:fill="FFFFFF"/>
            <w:vAlign w:val="bottom"/>
            <w:hideMark/>
          </w:tcPr>
          <w:p w:rsidR="00FC2012" w:rsidRPr="008A5812" w:rsidRDefault="00FC2012" w:rsidP="003269F2">
            <w:pPr>
              <w:spacing w:before="0" w:after="0" w:line="240" w:lineRule="auto"/>
              <w:rPr>
                <w:szCs w:val="24"/>
                <w:lang w:eastAsia="en-GB"/>
              </w:rPr>
            </w:pPr>
            <w:r w:rsidRPr="008A5812">
              <w:rPr>
                <w:szCs w:val="24"/>
                <w:lang w:eastAsia="en-GB"/>
              </w:rPr>
              <w:t>Waste water heat recovery systems</w:t>
            </w:r>
          </w:p>
        </w:tc>
        <w:tc>
          <w:tcPr>
            <w:tcW w:w="2500" w:type="dxa"/>
            <w:gridSpan w:val="2"/>
            <w:tcBorders>
              <w:top w:val="nil"/>
              <w:left w:val="nil"/>
              <w:bottom w:val="nil"/>
              <w:right w:val="nil"/>
            </w:tcBorders>
            <w:shd w:val="clear" w:color="000000" w:fill="FFFFFF"/>
            <w:noWrap/>
            <w:vAlign w:val="bottom"/>
            <w:hideMark/>
          </w:tcPr>
          <w:p w:rsidR="00FC2012" w:rsidRPr="001048D3" w:rsidRDefault="00FC2012" w:rsidP="003269F2">
            <w:pPr>
              <w:spacing w:before="0" w:after="0"/>
              <w:jc w:val="right"/>
              <w:rPr>
                <w:color w:val="000000"/>
                <w:sz w:val="22"/>
                <w:szCs w:val="22"/>
              </w:rPr>
            </w:pPr>
            <w:r w:rsidRPr="001048D3">
              <w:rPr>
                <w:color w:val="000000"/>
                <w:sz w:val="22"/>
                <w:szCs w:val="22"/>
              </w:rPr>
              <w:t>0</w:t>
            </w:r>
          </w:p>
        </w:tc>
        <w:tc>
          <w:tcPr>
            <w:tcW w:w="2807" w:type="dxa"/>
            <w:tcBorders>
              <w:top w:val="nil"/>
              <w:left w:val="nil"/>
              <w:bottom w:val="nil"/>
              <w:right w:val="nil"/>
            </w:tcBorders>
            <w:shd w:val="clear" w:color="000000" w:fill="FFFFFF"/>
            <w:noWrap/>
            <w:vAlign w:val="bottom"/>
            <w:hideMark/>
          </w:tcPr>
          <w:p w:rsidR="00FC2012" w:rsidRPr="001048D3" w:rsidRDefault="006D5D73" w:rsidP="003269F2">
            <w:pPr>
              <w:spacing w:before="0" w:after="0"/>
              <w:jc w:val="right"/>
              <w:rPr>
                <w:i/>
                <w:iCs/>
                <w:color w:val="000000"/>
                <w:sz w:val="22"/>
                <w:szCs w:val="22"/>
              </w:rPr>
            </w:pPr>
            <w:r>
              <w:rPr>
                <w:i/>
                <w:iCs/>
                <w:color w:val="000000"/>
                <w:sz w:val="22"/>
                <w:szCs w:val="22"/>
              </w:rPr>
              <w:t>0</w:t>
            </w:r>
          </w:p>
        </w:tc>
      </w:tr>
      <w:tr w:rsidR="00FC2012" w:rsidRPr="008A5812" w:rsidTr="003269F2">
        <w:trPr>
          <w:trHeight w:val="255"/>
        </w:trPr>
        <w:tc>
          <w:tcPr>
            <w:tcW w:w="3780" w:type="dxa"/>
            <w:gridSpan w:val="2"/>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b/>
                <w:bCs/>
                <w:color w:val="000000"/>
                <w:szCs w:val="24"/>
                <w:lang w:eastAsia="en-GB"/>
              </w:rPr>
            </w:pPr>
            <w:r w:rsidRPr="008A5812">
              <w:rPr>
                <w:b/>
                <w:bCs/>
                <w:color w:val="000000"/>
                <w:szCs w:val="24"/>
                <w:lang w:eastAsia="en-GB"/>
              </w:rPr>
              <w:t> </w:t>
            </w:r>
          </w:p>
        </w:tc>
        <w:tc>
          <w:tcPr>
            <w:tcW w:w="2500" w:type="dxa"/>
            <w:gridSpan w:val="2"/>
            <w:tcBorders>
              <w:top w:val="nil"/>
              <w:left w:val="nil"/>
              <w:bottom w:val="nil"/>
              <w:right w:val="nil"/>
            </w:tcBorders>
            <w:shd w:val="clear" w:color="000000" w:fill="FFFFFF"/>
            <w:noWrap/>
            <w:vAlign w:val="bottom"/>
            <w:hideMark/>
          </w:tcPr>
          <w:p w:rsidR="00FC2012" w:rsidRPr="001048D3" w:rsidRDefault="00FC2012" w:rsidP="003269F2">
            <w:pPr>
              <w:spacing w:before="0" w:after="0"/>
              <w:rPr>
                <w:color w:val="000000"/>
                <w:sz w:val="22"/>
                <w:szCs w:val="22"/>
              </w:rPr>
            </w:pPr>
            <w:r w:rsidRPr="001048D3">
              <w:rPr>
                <w:color w:val="000000"/>
                <w:sz w:val="22"/>
                <w:szCs w:val="22"/>
              </w:rPr>
              <w:t> </w:t>
            </w:r>
          </w:p>
        </w:tc>
        <w:tc>
          <w:tcPr>
            <w:tcW w:w="2807" w:type="dxa"/>
            <w:tcBorders>
              <w:top w:val="nil"/>
              <w:left w:val="nil"/>
              <w:bottom w:val="nil"/>
              <w:right w:val="nil"/>
            </w:tcBorders>
            <w:shd w:val="clear" w:color="000000" w:fill="FFFFFF"/>
            <w:noWrap/>
            <w:vAlign w:val="bottom"/>
            <w:hideMark/>
          </w:tcPr>
          <w:p w:rsidR="00FC2012" w:rsidRPr="001048D3" w:rsidRDefault="00FC2012" w:rsidP="003269F2">
            <w:pPr>
              <w:spacing w:before="0" w:after="0"/>
              <w:rPr>
                <w:i/>
                <w:iCs/>
                <w:color w:val="000000"/>
                <w:sz w:val="22"/>
                <w:szCs w:val="22"/>
              </w:rPr>
            </w:pPr>
            <w:r w:rsidRPr="001048D3">
              <w:rPr>
                <w:i/>
                <w:iCs/>
                <w:color w:val="000000"/>
                <w:sz w:val="22"/>
                <w:szCs w:val="22"/>
              </w:rPr>
              <w:t> </w:t>
            </w:r>
          </w:p>
        </w:tc>
      </w:tr>
      <w:tr w:rsidR="00FC2012" w:rsidRPr="008A5812" w:rsidTr="003269F2">
        <w:trPr>
          <w:trHeight w:val="255"/>
        </w:trPr>
        <w:tc>
          <w:tcPr>
            <w:tcW w:w="3780" w:type="dxa"/>
            <w:gridSpan w:val="2"/>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b/>
                <w:bCs/>
                <w:color w:val="000000"/>
                <w:szCs w:val="24"/>
                <w:lang w:eastAsia="en-GB"/>
              </w:rPr>
            </w:pPr>
            <w:r w:rsidRPr="008A5812">
              <w:rPr>
                <w:b/>
                <w:bCs/>
                <w:color w:val="000000"/>
                <w:szCs w:val="24"/>
                <w:lang w:eastAsia="en-GB"/>
              </w:rPr>
              <w:t>Other Insulation</w:t>
            </w:r>
          </w:p>
        </w:tc>
        <w:tc>
          <w:tcPr>
            <w:tcW w:w="2500" w:type="dxa"/>
            <w:gridSpan w:val="2"/>
            <w:tcBorders>
              <w:top w:val="nil"/>
              <w:left w:val="nil"/>
              <w:bottom w:val="nil"/>
              <w:right w:val="nil"/>
            </w:tcBorders>
            <w:shd w:val="clear" w:color="000000" w:fill="FFFFFF"/>
            <w:noWrap/>
            <w:vAlign w:val="bottom"/>
            <w:hideMark/>
          </w:tcPr>
          <w:p w:rsidR="00FC2012" w:rsidRPr="001048D3" w:rsidRDefault="00FC2012" w:rsidP="003269F2">
            <w:pPr>
              <w:spacing w:before="0" w:after="0"/>
              <w:jc w:val="right"/>
              <w:rPr>
                <w:b/>
                <w:bCs/>
                <w:color w:val="000000"/>
                <w:sz w:val="22"/>
                <w:szCs w:val="22"/>
              </w:rPr>
            </w:pPr>
            <w:r w:rsidRPr="001048D3">
              <w:rPr>
                <w:b/>
                <w:bCs/>
                <w:color w:val="000000"/>
                <w:sz w:val="22"/>
                <w:szCs w:val="22"/>
              </w:rPr>
              <w:t>22</w:t>
            </w:r>
          </w:p>
        </w:tc>
        <w:tc>
          <w:tcPr>
            <w:tcW w:w="2807" w:type="dxa"/>
            <w:tcBorders>
              <w:top w:val="nil"/>
              <w:left w:val="nil"/>
              <w:bottom w:val="nil"/>
              <w:right w:val="nil"/>
            </w:tcBorders>
            <w:shd w:val="clear" w:color="000000" w:fill="FFFFFF"/>
            <w:noWrap/>
            <w:vAlign w:val="bottom"/>
            <w:hideMark/>
          </w:tcPr>
          <w:p w:rsidR="00FC2012" w:rsidRPr="001048D3" w:rsidRDefault="006D5D73" w:rsidP="003269F2">
            <w:pPr>
              <w:spacing w:before="0" w:after="0"/>
              <w:jc w:val="right"/>
              <w:rPr>
                <w:b/>
                <w:bCs/>
                <w:i/>
                <w:iCs/>
                <w:color w:val="000000"/>
                <w:sz w:val="22"/>
                <w:szCs w:val="22"/>
              </w:rPr>
            </w:pPr>
            <w:r>
              <w:rPr>
                <w:b/>
                <w:bCs/>
                <w:i/>
                <w:iCs/>
                <w:color w:val="000000"/>
                <w:sz w:val="22"/>
                <w:szCs w:val="22"/>
              </w:rPr>
              <w:t>0</w:t>
            </w:r>
          </w:p>
        </w:tc>
      </w:tr>
      <w:tr w:rsidR="00FC2012" w:rsidRPr="008A5812" w:rsidTr="003269F2">
        <w:trPr>
          <w:trHeight w:val="255"/>
        </w:trPr>
        <w:tc>
          <w:tcPr>
            <w:tcW w:w="3780" w:type="dxa"/>
            <w:gridSpan w:val="2"/>
            <w:tcBorders>
              <w:top w:val="nil"/>
              <w:left w:val="nil"/>
              <w:bottom w:val="nil"/>
              <w:right w:val="nil"/>
            </w:tcBorders>
            <w:shd w:val="clear" w:color="000000" w:fill="FFFFFF"/>
            <w:vAlign w:val="bottom"/>
            <w:hideMark/>
          </w:tcPr>
          <w:p w:rsidR="00FC2012" w:rsidRPr="008A5812" w:rsidRDefault="00FC2012" w:rsidP="003269F2">
            <w:pPr>
              <w:spacing w:before="0" w:after="0" w:line="240" w:lineRule="auto"/>
              <w:rPr>
                <w:szCs w:val="24"/>
                <w:lang w:eastAsia="en-GB"/>
              </w:rPr>
            </w:pPr>
            <w:r w:rsidRPr="008A5812">
              <w:rPr>
                <w:szCs w:val="24"/>
                <w:lang w:eastAsia="en-GB"/>
              </w:rPr>
              <w:t>Draught Proofing</w:t>
            </w:r>
          </w:p>
        </w:tc>
        <w:tc>
          <w:tcPr>
            <w:tcW w:w="2500" w:type="dxa"/>
            <w:gridSpan w:val="2"/>
            <w:tcBorders>
              <w:top w:val="nil"/>
              <w:left w:val="nil"/>
              <w:bottom w:val="nil"/>
              <w:right w:val="nil"/>
            </w:tcBorders>
            <w:shd w:val="clear" w:color="000000" w:fill="FFFFFF"/>
            <w:noWrap/>
            <w:vAlign w:val="bottom"/>
            <w:hideMark/>
          </w:tcPr>
          <w:p w:rsidR="00FC2012" w:rsidRPr="001048D3" w:rsidRDefault="00FC2012" w:rsidP="003269F2">
            <w:pPr>
              <w:spacing w:before="0" w:after="0"/>
              <w:jc w:val="right"/>
              <w:rPr>
                <w:color w:val="000000"/>
                <w:sz w:val="22"/>
                <w:szCs w:val="22"/>
              </w:rPr>
            </w:pPr>
            <w:r w:rsidRPr="001048D3">
              <w:rPr>
                <w:color w:val="000000"/>
                <w:sz w:val="22"/>
                <w:szCs w:val="22"/>
              </w:rPr>
              <w:t>7</w:t>
            </w:r>
          </w:p>
        </w:tc>
        <w:tc>
          <w:tcPr>
            <w:tcW w:w="2807" w:type="dxa"/>
            <w:tcBorders>
              <w:top w:val="nil"/>
              <w:left w:val="nil"/>
              <w:bottom w:val="nil"/>
              <w:right w:val="nil"/>
            </w:tcBorders>
            <w:shd w:val="clear" w:color="000000" w:fill="FFFFFF"/>
            <w:noWrap/>
            <w:vAlign w:val="bottom"/>
            <w:hideMark/>
          </w:tcPr>
          <w:p w:rsidR="00FC2012" w:rsidRPr="001048D3" w:rsidRDefault="006D5D73" w:rsidP="003269F2">
            <w:pPr>
              <w:spacing w:before="0" w:after="0"/>
              <w:jc w:val="right"/>
              <w:rPr>
                <w:i/>
                <w:iCs/>
                <w:color w:val="000000"/>
                <w:sz w:val="22"/>
                <w:szCs w:val="22"/>
              </w:rPr>
            </w:pPr>
            <w:r>
              <w:rPr>
                <w:i/>
                <w:iCs/>
                <w:color w:val="000000"/>
                <w:sz w:val="22"/>
                <w:szCs w:val="22"/>
              </w:rPr>
              <w:t>0</w:t>
            </w:r>
          </w:p>
        </w:tc>
      </w:tr>
      <w:tr w:rsidR="00FC2012" w:rsidRPr="008A5812" w:rsidTr="003269F2">
        <w:trPr>
          <w:trHeight w:val="255"/>
        </w:trPr>
        <w:tc>
          <w:tcPr>
            <w:tcW w:w="3780" w:type="dxa"/>
            <w:gridSpan w:val="2"/>
            <w:tcBorders>
              <w:top w:val="nil"/>
              <w:left w:val="nil"/>
              <w:bottom w:val="nil"/>
              <w:right w:val="nil"/>
            </w:tcBorders>
            <w:shd w:val="clear" w:color="000000" w:fill="FFFFFF"/>
            <w:vAlign w:val="bottom"/>
            <w:hideMark/>
          </w:tcPr>
          <w:p w:rsidR="00FC2012" w:rsidRPr="008A5812" w:rsidRDefault="00FC2012" w:rsidP="003269F2">
            <w:pPr>
              <w:spacing w:before="0" w:after="0" w:line="240" w:lineRule="auto"/>
              <w:rPr>
                <w:szCs w:val="24"/>
                <w:lang w:eastAsia="en-GB"/>
              </w:rPr>
            </w:pPr>
            <w:r w:rsidRPr="008A5812">
              <w:rPr>
                <w:szCs w:val="24"/>
                <w:lang w:eastAsia="en-GB"/>
              </w:rPr>
              <w:t>Flat Roof Insulation</w:t>
            </w:r>
          </w:p>
        </w:tc>
        <w:tc>
          <w:tcPr>
            <w:tcW w:w="2500" w:type="dxa"/>
            <w:gridSpan w:val="2"/>
            <w:tcBorders>
              <w:top w:val="nil"/>
              <w:left w:val="nil"/>
              <w:bottom w:val="nil"/>
              <w:right w:val="nil"/>
            </w:tcBorders>
            <w:shd w:val="clear" w:color="000000" w:fill="FFFFFF"/>
            <w:noWrap/>
            <w:vAlign w:val="bottom"/>
            <w:hideMark/>
          </w:tcPr>
          <w:p w:rsidR="00FC2012" w:rsidRPr="001048D3" w:rsidRDefault="00FC2012" w:rsidP="003269F2">
            <w:pPr>
              <w:spacing w:before="0" w:after="0"/>
              <w:jc w:val="right"/>
              <w:rPr>
                <w:color w:val="000000"/>
                <w:sz w:val="22"/>
                <w:szCs w:val="22"/>
              </w:rPr>
            </w:pPr>
            <w:r w:rsidRPr="001048D3">
              <w:rPr>
                <w:color w:val="000000"/>
                <w:sz w:val="22"/>
                <w:szCs w:val="22"/>
              </w:rPr>
              <w:t>1</w:t>
            </w:r>
          </w:p>
        </w:tc>
        <w:tc>
          <w:tcPr>
            <w:tcW w:w="2807" w:type="dxa"/>
            <w:tcBorders>
              <w:top w:val="nil"/>
              <w:left w:val="nil"/>
              <w:bottom w:val="nil"/>
              <w:right w:val="nil"/>
            </w:tcBorders>
            <w:shd w:val="clear" w:color="000000" w:fill="FFFFFF"/>
            <w:noWrap/>
            <w:vAlign w:val="bottom"/>
            <w:hideMark/>
          </w:tcPr>
          <w:p w:rsidR="00FC2012" w:rsidRPr="001048D3" w:rsidRDefault="006D5D73" w:rsidP="003269F2">
            <w:pPr>
              <w:spacing w:before="0" w:after="0"/>
              <w:jc w:val="right"/>
              <w:rPr>
                <w:i/>
                <w:iCs/>
                <w:color w:val="000000"/>
                <w:sz w:val="22"/>
                <w:szCs w:val="22"/>
              </w:rPr>
            </w:pPr>
            <w:r>
              <w:rPr>
                <w:i/>
                <w:iCs/>
                <w:color w:val="000000"/>
                <w:sz w:val="22"/>
                <w:szCs w:val="22"/>
              </w:rPr>
              <w:t>0</w:t>
            </w:r>
          </w:p>
        </w:tc>
      </w:tr>
      <w:tr w:rsidR="00FC2012" w:rsidRPr="008A5812" w:rsidTr="003269F2">
        <w:trPr>
          <w:trHeight w:val="255"/>
        </w:trPr>
        <w:tc>
          <w:tcPr>
            <w:tcW w:w="3780" w:type="dxa"/>
            <w:gridSpan w:val="2"/>
            <w:tcBorders>
              <w:top w:val="nil"/>
              <w:left w:val="nil"/>
              <w:bottom w:val="nil"/>
              <w:right w:val="nil"/>
            </w:tcBorders>
            <w:shd w:val="clear" w:color="000000" w:fill="FFFFFF"/>
            <w:vAlign w:val="bottom"/>
            <w:hideMark/>
          </w:tcPr>
          <w:p w:rsidR="00FC2012" w:rsidRPr="008A5812" w:rsidRDefault="00FC2012" w:rsidP="003269F2">
            <w:pPr>
              <w:spacing w:before="0" w:after="0" w:line="240" w:lineRule="auto"/>
              <w:rPr>
                <w:szCs w:val="24"/>
                <w:lang w:eastAsia="en-GB"/>
              </w:rPr>
            </w:pPr>
            <w:r w:rsidRPr="008A5812">
              <w:rPr>
                <w:szCs w:val="24"/>
                <w:lang w:eastAsia="en-GB"/>
              </w:rPr>
              <w:t>Hot Water Cylinder Insulation</w:t>
            </w:r>
          </w:p>
        </w:tc>
        <w:tc>
          <w:tcPr>
            <w:tcW w:w="2500" w:type="dxa"/>
            <w:gridSpan w:val="2"/>
            <w:tcBorders>
              <w:top w:val="nil"/>
              <w:left w:val="nil"/>
              <w:bottom w:val="nil"/>
              <w:right w:val="nil"/>
            </w:tcBorders>
            <w:shd w:val="clear" w:color="000000" w:fill="FFFFFF"/>
            <w:noWrap/>
            <w:vAlign w:val="bottom"/>
            <w:hideMark/>
          </w:tcPr>
          <w:p w:rsidR="00FC2012" w:rsidRPr="001048D3" w:rsidRDefault="00FC2012" w:rsidP="003269F2">
            <w:pPr>
              <w:spacing w:before="0" w:after="0"/>
              <w:jc w:val="right"/>
              <w:rPr>
                <w:color w:val="000000"/>
                <w:sz w:val="22"/>
                <w:szCs w:val="22"/>
              </w:rPr>
            </w:pPr>
            <w:r w:rsidRPr="001048D3">
              <w:rPr>
                <w:color w:val="000000"/>
                <w:sz w:val="22"/>
                <w:szCs w:val="22"/>
              </w:rPr>
              <w:t>5</w:t>
            </w:r>
          </w:p>
        </w:tc>
        <w:tc>
          <w:tcPr>
            <w:tcW w:w="2807" w:type="dxa"/>
            <w:tcBorders>
              <w:top w:val="nil"/>
              <w:left w:val="nil"/>
              <w:bottom w:val="nil"/>
              <w:right w:val="nil"/>
            </w:tcBorders>
            <w:shd w:val="clear" w:color="000000" w:fill="FFFFFF"/>
            <w:noWrap/>
            <w:vAlign w:val="bottom"/>
            <w:hideMark/>
          </w:tcPr>
          <w:p w:rsidR="00FC2012" w:rsidRPr="001048D3" w:rsidRDefault="006D5D73" w:rsidP="003269F2">
            <w:pPr>
              <w:spacing w:before="0" w:after="0"/>
              <w:jc w:val="right"/>
              <w:rPr>
                <w:i/>
                <w:iCs/>
                <w:color w:val="000000"/>
                <w:sz w:val="22"/>
                <w:szCs w:val="22"/>
              </w:rPr>
            </w:pPr>
            <w:r>
              <w:rPr>
                <w:i/>
                <w:iCs/>
                <w:color w:val="000000"/>
                <w:sz w:val="22"/>
                <w:szCs w:val="22"/>
              </w:rPr>
              <w:t>0</w:t>
            </w:r>
          </w:p>
        </w:tc>
      </w:tr>
      <w:tr w:rsidR="00FC2012" w:rsidRPr="008A5812" w:rsidTr="003269F2">
        <w:trPr>
          <w:trHeight w:val="255"/>
        </w:trPr>
        <w:tc>
          <w:tcPr>
            <w:tcW w:w="3780" w:type="dxa"/>
            <w:gridSpan w:val="2"/>
            <w:tcBorders>
              <w:top w:val="nil"/>
              <w:left w:val="nil"/>
              <w:bottom w:val="nil"/>
              <w:right w:val="nil"/>
            </w:tcBorders>
            <w:shd w:val="clear" w:color="000000" w:fill="FFFFFF"/>
            <w:vAlign w:val="bottom"/>
            <w:hideMark/>
          </w:tcPr>
          <w:p w:rsidR="00FC2012" w:rsidRPr="008A5812" w:rsidRDefault="00FC2012" w:rsidP="003269F2">
            <w:pPr>
              <w:spacing w:before="0" w:after="0" w:line="240" w:lineRule="auto"/>
              <w:rPr>
                <w:szCs w:val="24"/>
                <w:lang w:eastAsia="en-GB"/>
              </w:rPr>
            </w:pPr>
            <w:r w:rsidRPr="008A5812">
              <w:rPr>
                <w:szCs w:val="24"/>
                <w:lang w:eastAsia="en-GB"/>
              </w:rPr>
              <w:t>Passageway Walk-through Doors</w:t>
            </w:r>
          </w:p>
        </w:tc>
        <w:tc>
          <w:tcPr>
            <w:tcW w:w="2500" w:type="dxa"/>
            <w:gridSpan w:val="2"/>
            <w:tcBorders>
              <w:top w:val="nil"/>
              <w:left w:val="nil"/>
              <w:bottom w:val="nil"/>
              <w:right w:val="nil"/>
            </w:tcBorders>
            <w:shd w:val="clear" w:color="000000" w:fill="FFFFFF"/>
            <w:noWrap/>
            <w:vAlign w:val="bottom"/>
            <w:hideMark/>
          </w:tcPr>
          <w:p w:rsidR="00FC2012" w:rsidRPr="001048D3" w:rsidRDefault="00FC2012" w:rsidP="003269F2">
            <w:pPr>
              <w:spacing w:before="0" w:after="0"/>
              <w:jc w:val="right"/>
              <w:rPr>
                <w:color w:val="000000"/>
                <w:sz w:val="22"/>
                <w:szCs w:val="22"/>
              </w:rPr>
            </w:pPr>
            <w:r w:rsidRPr="001048D3">
              <w:rPr>
                <w:color w:val="000000"/>
                <w:sz w:val="22"/>
                <w:szCs w:val="22"/>
              </w:rPr>
              <w:t>8</w:t>
            </w:r>
          </w:p>
        </w:tc>
        <w:tc>
          <w:tcPr>
            <w:tcW w:w="2807" w:type="dxa"/>
            <w:tcBorders>
              <w:top w:val="nil"/>
              <w:left w:val="nil"/>
              <w:bottom w:val="nil"/>
              <w:right w:val="nil"/>
            </w:tcBorders>
            <w:shd w:val="clear" w:color="000000" w:fill="FFFFFF"/>
            <w:noWrap/>
            <w:vAlign w:val="bottom"/>
            <w:hideMark/>
          </w:tcPr>
          <w:p w:rsidR="00FC2012" w:rsidRPr="001048D3" w:rsidRDefault="006D5D73" w:rsidP="003269F2">
            <w:pPr>
              <w:spacing w:before="0" w:after="0"/>
              <w:jc w:val="right"/>
              <w:rPr>
                <w:i/>
                <w:iCs/>
                <w:color w:val="000000"/>
                <w:sz w:val="22"/>
                <w:szCs w:val="22"/>
              </w:rPr>
            </w:pPr>
            <w:r>
              <w:rPr>
                <w:i/>
                <w:iCs/>
                <w:color w:val="000000"/>
                <w:sz w:val="22"/>
                <w:szCs w:val="22"/>
              </w:rPr>
              <w:t>0</w:t>
            </w:r>
          </w:p>
        </w:tc>
      </w:tr>
      <w:tr w:rsidR="00FC2012" w:rsidRPr="008A5812" w:rsidTr="003269F2">
        <w:trPr>
          <w:trHeight w:val="255"/>
        </w:trPr>
        <w:tc>
          <w:tcPr>
            <w:tcW w:w="3780" w:type="dxa"/>
            <w:gridSpan w:val="2"/>
            <w:tcBorders>
              <w:top w:val="nil"/>
              <w:left w:val="nil"/>
              <w:bottom w:val="nil"/>
              <w:right w:val="nil"/>
            </w:tcBorders>
            <w:shd w:val="clear" w:color="000000" w:fill="FFFFFF"/>
            <w:vAlign w:val="bottom"/>
            <w:hideMark/>
          </w:tcPr>
          <w:p w:rsidR="00FC2012" w:rsidRPr="008A5812" w:rsidRDefault="00FC2012" w:rsidP="003269F2">
            <w:pPr>
              <w:spacing w:before="0" w:after="0" w:line="240" w:lineRule="auto"/>
              <w:rPr>
                <w:szCs w:val="24"/>
                <w:lang w:eastAsia="en-GB"/>
              </w:rPr>
            </w:pPr>
            <w:r w:rsidRPr="008A5812">
              <w:rPr>
                <w:szCs w:val="24"/>
                <w:lang w:eastAsia="en-GB"/>
              </w:rPr>
              <w:t>Under Floor Insulation</w:t>
            </w:r>
          </w:p>
        </w:tc>
        <w:tc>
          <w:tcPr>
            <w:tcW w:w="2500" w:type="dxa"/>
            <w:gridSpan w:val="2"/>
            <w:tcBorders>
              <w:top w:val="nil"/>
              <w:left w:val="nil"/>
              <w:bottom w:val="nil"/>
              <w:right w:val="nil"/>
            </w:tcBorders>
            <w:shd w:val="clear" w:color="000000" w:fill="FFFFFF"/>
            <w:noWrap/>
            <w:vAlign w:val="bottom"/>
            <w:hideMark/>
          </w:tcPr>
          <w:p w:rsidR="00FC2012" w:rsidRPr="001048D3" w:rsidRDefault="00FC2012" w:rsidP="003269F2">
            <w:pPr>
              <w:spacing w:before="0" w:after="0"/>
              <w:jc w:val="right"/>
              <w:rPr>
                <w:color w:val="000000"/>
                <w:sz w:val="22"/>
                <w:szCs w:val="22"/>
              </w:rPr>
            </w:pPr>
            <w:r w:rsidRPr="001048D3">
              <w:rPr>
                <w:color w:val="000000"/>
                <w:sz w:val="22"/>
                <w:szCs w:val="22"/>
              </w:rPr>
              <w:t>1</w:t>
            </w:r>
          </w:p>
        </w:tc>
        <w:tc>
          <w:tcPr>
            <w:tcW w:w="2807" w:type="dxa"/>
            <w:tcBorders>
              <w:top w:val="nil"/>
              <w:left w:val="nil"/>
              <w:bottom w:val="nil"/>
              <w:right w:val="nil"/>
            </w:tcBorders>
            <w:shd w:val="clear" w:color="000000" w:fill="FFFFFF"/>
            <w:noWrap/>
            <w:vAlign w:val="bottom"/>
            <w:hideMark/>
          </w:tcPr>
          <w:p w:rsidR="00FC2012" w:rsidRPr="001048D3" w:rsidRDefault="006D5D73" w:rsidP="003269F2">
            <w:pPr>
              <w:spacing w:before="0" w:after="0"/>
              <w:jc w:val="right"/>
              <w:rPr>
                <w:i/>
                <w:iCs/>
                <w:color w:val="000000"/>
                <w:sz w:val="22"/>
                <w:szCs w:val="22"/>
              </w:rPr>
            </w:pPr>
            <w:r>
              <w:rPr>
                <w:i/>
                <w:iCs/>
                <w:color w:val="000000"/>
                <w:sz w:val="22"/>
                <w:szCs w:val="22"/>
              </w:rPr>
              <w:t>0</w:t>
            </w:r>
          </w:p>
        </w:tc>
      </w:tr>
      <w:tr w:rsidR="00FC2012" w:rsidRPr="008A5812" w:rsidTr="003269F2">
        <w:trPr>
          <w:trHeight w:val="255"/>
        </w:trPr>
        <w:tc>
          <w:tcPr>
            <w:tcW w:w="3780" w:type="dxa"/>
            <w:gridSpan w:val="2"/>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b/>
                <w:bCs/>
                <w:color w:val="000000"/>
                <w:szCs w:val="24"/>
                <w:lang w:eastAsia="en-GB"/>
              </w:rPr>
            </w:pPr>
            <w:r w:rsidRPr="008A5812">
              <w:rPr>
                <w:b/>
                <w:bCs/>
                <w:color w:val="000000"/>
                <w:szCs w:val="24"/>
                <w:lang w:eastAsia="en-GB"/>
              </w:rPr>
              <w:t> </w:t>
            </w:r>
          </w:p>
        </w:tc>
        <w:tc>
          <w:tcPr>
            <w:tcW w:w="2500" w:type="dxa"/>
            <w:gridSpan w:val="2"/>
            <w:tcBorders>
              <w:top w:val="nil"/>
              <w:left w:val="nil"/>
              <w:bottom w:val="nil"/>
              <w:right w:val="nil"/>
            </w:tcBorders>
            <w:shd w:val="clear" w:color="000000" w:fill="FFFFFF"/>
            <w:noWrap/>
            <w:vAlign w:val="bottom"/>
            <w:hideMark/>
          </w:tcPr>
          <w:p w:rsidR="00FC2012" w:rsidRPr="001048D3" w:rsidRDefault="00FC2012" w:rsidP="003269F2">
            <w:pPr>
              <w:spacing w:before="0" w:after="0"/>
              <w:rPr>
                <w:color w:val="000000"/>
                <w:sz w:val="22"/>
                <w:szCs w:val="22"/>
              </w:rPr>
            </w:pPr>
            <w:r w:rsidRPr="001048D3">
              <w:rPr>
                <w:color w:val="000000"/>
                <w:sz w:val="22"/>
                <w:szCs w:val="22"/>
              </w:rPr>
              <w:t> </w:t>
            </w:r>
          </w:p>
        </w:tc>
        <w:tc>
          <w:tcPr>
            <w:tcW w:w="2807" w:type="dxa"/>
            <w:tcBorders>
              <w:top w:val="nil"/>
              <w:left w:val="nil"/>
              <w:bottom w:val="nil"/>
              <w:right w:val="nil"/>
            </w:tcBorders>
            <w:shd w:val="clear" w:color="000000" w:fill="FFFFFF"/>
            <w:noWrap/>
            <w:vAlign w:val="bottom"/>
            <w:hideMark/>
          </w:tcPr>
          <w:p w:rsidR="00FC2012" w:rsidRPr="001048D3" w:rsidRDefault="00FC2012" w:rsidP="003269F2">
            <w:pPr>
              <w:spacing w:before="0" w:after="0"/>
              <w:rPr>
                <w:i/>
                <w:iCs/>
                <w:color w:val="000000"/>
                <w:sz w:val="22"/>
                <w:szCs w:val="22"/>
              </w:rPr>
            </w:pPr>
            <w:r w:rsidRPr="001048D3">
              <w:rPr>
                <w:i/>
                <w:iCs/>
                <w:color w:val="000000"/>
                <w:sz w:val="22"/>
                <w:szCs w:val="22"/>
              </w:rPr>
              <w:t> </w:t>
            </w:r>
          </w:p>
        </w:tc>
      </w:tr>
      <w:tr w:rsidR="00FC2012" w:rsidRPr="008A5812" w:rsidTr="003269F2">
        <w:trPr>
          <w:trHeight w:val="255"/>
        </w:trPr>
        <w:tc>
          <w:tcPr>
            <w:tcW w:w="3780" w:type="dxa"/>
            <w:gridSpan w:val="2"/>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b/>
                <w:bCs/>
                <w:color w:val="000000"/>
                <w:szCs w:val="24"/>
                <w:lang w:eastAsia="en-GB"/>
              </w:rPr>
            </w:pPr>
            <w:r w:rsidRPr="008A5812">
              <w:rPr>
                <w:b/>
                <w:bCs/>
                <w:color w:val="000000"/>
                <w:szCs w:val="24"/>
                <w:lang w:eastAsia="en-GB"/>
              </w:rPr>
              <w:t>Solid Wall Insulation</w:t>
            </w:r>
          </w:p>
        </w:tc>
        <w:tc>
          <w:tcPr>
            <w:tcW w:w="2500" w:type="dxa"/>
            <w:gridSpan w:val="2"/>
            <w:tcBorders>
              <w:top w:val="nil"/>
              <w:left w:val="nil"/>
              <w:bottom w:val="nil"/>
              <w:right w:val="nil"/>
            </w:tcBorders>
            <w:shd w:val="clear" w:color="000000" w:fill="FFFFFF"/>
            <w:noWrap/>
            <w:vAlign w:val="bottom"/>
            <w:hideMark/>
          </w:tcPr>
          <w:p w:rsidR="00FC2012" w:rsidRPr="001048D3" w:rsidRDefault="00FC2012" w:rsidP="003269F2">
            <w:pPr>
              <w:spacing w:before="0" w:after="0"/>
              <w:jc w:val="right"/>
              <w:rPr>
                <w:b/>
                <w:bCs/>
                <w:color w:val="000000"/>
                <w:sz w:val="22"/>
                <w:szCs w:val="22"/>
              </w:rPr>
            </w:pPr>
            <w:r w:rsidRPr="001048D3">
              <w:rPr>
                <w:b/>
                <w:bCs/>
                <w:color w:val="000000"/>
                <w:sz w:val="22"/>
                <w:szCs w:val="22"/>
              </w:rPr>
              <w:t>50</w:t>
            </w:r>
          </w:p>
        </w:tc>
        <w:tc>
          <w:tcPr>
            <w:tcW w:w="2807" w:type="dxa"/>
            <w:tcBorders>
              <w:top w:val="nil"/>
              <w:left w:val="nil"/>
              <w:bottom w:val="nil"/>
              <w:right w:val="nil"/>
            </w:tcBorders>
            <w:shd w:val="clear" w:color="000000" w:fill="FFFFFF"/>
            <w:noWrap/>
            <w:vAlign w:val="bottom"/>
            <w:hideMark/>
          </w:tcPr>
          <w:p w:rsidR="00FC2012" w:rsidRPr="001048D3" w:rsidRDefault="006D5D73" w:rsidP="003269F2">
            <w:pPr>
              <w:spacing w:before="0" w:after="0"/>
              <w:jc w:val="right"/>
              <w:rPr>
                <w:b/>
                <w:bCs/>
                <w:i/>
                <w:iCs/>
                <w:color w:val="000000"/>
                <w:sz w:val="22"/>
                <w:szCs w:val="22"/>
              </w:rPr>
            </w:pPr>
            <w:r>
              <w:rPr>
                <w:b/>
                <w:bCs/>
                <w:i/>
                <w:iCs/>
                <w:color w:val="000000"/>
                <w:sz w:val="22"/>
                <w:szCs w:val="22"/>
              </w:rPr>
              <w:t>1</w:t>
            </w:r>
          </w:p>
        </w:tc>
      </w:tr>
      <w:tr w:rsidR="00FC2012" w:rsidRPr="008A5812" w:rsidTr="003269F2">
        <w:trPr>
          <w:trHeight w:val="255"/>
        </w:trPr>
        <w:tc>
          <w:tcPr>
            <w:tcW w:w="3780" w:type="dxa"/>
            <w:gridSpan w:val="2"/>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2500" w:type="dxa"/>
            <w:gridSpan w:val="2"/>
            <w:tcBorders>
              <w:top w:val="nil"/>
              <w:left w:val="nil"/>
              <w:bottom w:val="nil"/>
              <w:right w:val="nil"/>
            </w:tcBorders>
            <w:shd w:val="clear" w:color="000000" w:fill="FFFFFF"/>
            <w:noWrap/>
            <w:vAlign w:val="bottom"/>
            <w:hideMark/>
          </w:tcPr>
          <w:p w:rsidR="00FC2012" w:rsidRPr="001048D3" w:rsidRDefault="00FC2012" w:rsidP="003269F2">
            <w:pPr>
              <w:spacing w:before="0" w:after="0"/>
              <w:rPr>
                <w:color w:val="000000"/>
                <w:sz w:val="22"/>
                <w:szCs w:val="22"/>
              </w:rPr>
            </w:pPr>
            <w:r w:rsidRPr="001048D3">
              <w:rPr>
                <w:color w:val="000000"/>
                <w:sz w:val="22"/>
                <w:szCs w:val="22"/>
              </w:rPr>
              <w:t> </w:t>
            </w:r>
          </w:p>
        </w:tc>
        <w:tc>
          <w:tcPr>
            <w:tcW w:w="2807" w:type="dxa"/>
            <w:tcBorders>
              <w:top w:val="nil"/>
              <w:left w:val="nil"/>
              <w:bottom w:val="nil"/>
              <w:right w:val="nil"/>
            </w:tcBorders>
            <w:shd w:val="clear" w:color="000000" w:fill="FFFFFF"/>
            <w:noWrap/>
            <w:vAlign w:val="bottom"/>
            <w:hideMark/>
          </w:tcPr>
          <w:p w:rsidR="00FC2012" w:rsidRPr="001048D3" w:rsidRDefault="00FC2012" w:rsidP="003269F2">
            <w:pPr>
              <w:spacing w:before="0" w:after="0"/>
              <w:rPr>
                <w:i/>
                <w:iCs/>
                <w:color w:val="000000"/>
                <w:sz w:val="22"/>
                <w:szCs w:val="22"/>
              </w:rPr>
            </w:pPr>
            <w:r w:rsidRPr="001048D3">
              <w:rPr>
                <w:i/>
                <w:iCs/>
                <w:color w:val="000000"/>
                <w:sz w:val="22"/>
                <w:szCs w:val="22"/>
              </w:rPr>
              <w:t> </w:t>
            </w:r>
          </w:p>
        </w:tc>
      </w:tr>
      <w:tr w:rsidR="00FC2012" w:rsidRPr="008A5812" w:rsidTr="003269F2">
        <w:trPr>
          <w:trHeight w:val="255"/>
        </w:trPr>
        <w:tc>
          <w:tcPr>
            <w:tcW w:w="3780" w:type="dxa"/>
            <w:gridSpan w:val="2"/>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b/>
                <w:bCs/>
                <w:color w:val="000000"/>
                <w:szCs w:val="24"/>
                <w:lang w:eastAsia="en-GB"/>
              </w:rPr>
            </w:pPr>
            <w:r w:rsidRPr="008A5812">
              <w:rPr>
                <w:b/>
                <w:bCs/>
                <w:color w:val="000000"/>
                <w:szCs w:val="24"/>
                <w:lang w:eastAsia="en-GB"/>
              </w:rPr>
              <w:t>Window Glazing</w:t>
            </w:r>
          </w:p>
        </w:tc>
        <w:tc>
          <w:tcPr>
            <w:tcW w:w="2500" w:type="dxa"/>
            <w:gridSpan w:val="2"/>
            <w:tcBorders>
              <w:top w:val="nil"/>
              <w:left w:val="nil"/>
              <w:bottom w:val="nil"/>
              <w:right w:val="nil"/>
            </w:tcBorders>
            <w:shd w:val="clear" w:color="000000" w:fill="FFFFFF"/>
            <w:noWrap/>
            <w:vAlign w:val="bottom"/>
            <w:hideMark/>
          </w:tcPr>
          <w:p w:rsidR="00FC2012" w:rsidRPr="001048D3" w:rsidRDefault="00FC2012" w:rsidP="003269F2">
            <w:pPr>
              <w:spacing w:before="0" w:after="0"/>
              <w:jc w:val="right"/>
              <w:rPr>
                <w:b/>
                <w:bCs/>
                <w:color w:val="000000"/>
                <w:sz w:val="22"/>
                <w:szCs w:val="22"/>
              </w:rPr>
            </w:pPr>
            <w:r w:rsidRPr="001048D3">
              <w:rPr>
                <w:b/>
                <w:bCs/>
                <w:color w:val="000000"/>
                <w:sz w:val="22"/>
                <w:szCs w:val="22"/>
              </w:rPr>
              <w:t>14</w:t>
            </w:r>
          </w:p>
        </w:tc>
        <w:tc>
          <w:tcPr>
            <w:tcW w:w="2807" w:type="dxa"/>
            <w:tcBorders>
              <w:top w:val="nil"/>
              <w:left w:val="nil"/>
              <w:bottom w:val="nil"/>
              <w:right w:val="nil"/>
            </w:tcBorders>
            <w:shd w:val="clear" w:color="000000" w:fill="FFFFFF"/>
            <w:noWrap/>
            <w:vAlign w:val="bottom"/>
            <w:hideMark/>
          </w:tcPr>
          <w:p w:rsidR="00FC2012" w:rsidRPr="001048D3" w:rsidRDefault="006D5D73" w:rsidP="003269F2">
            <w:pPr>
              <w:spacing w:before="0" w:after="0"/>
              <w:jc w:val="right"/>
              <w:rPr>
                <w:b/>
                <w:bCs/>
                <w:i/>
                <w:iCs/>
                <w:color w:val="000000"/>
                <w:sz w:val="22"/>
                <w:szCs w:val="22"/>
              </w:rPr>
            </w:pPr>
            <w:r>
              <w:rPr>
                <w:b/>
                <w:bCs/>
                <w:i/>
                <w:iCs/>
                <w:color w:val="000000"/>
                <w:sz w:val="22"/>
                <w:szCs w:val="22"/>
              </w:rPr>
              <w:t>0</w:t>
            </w:r>
          </w:p>
        </w:tc>
      </w:tr>
      <w:tr w:rsidR="00FC2012" w:rsidRPr="008A5812" w:rsidTr="003269F2">
        <w:trPr>
          <w:trHeight w:val="255"/>
        </w:trPr>
        <w:tc>
          <w:tcPr>
            <w:tcW w:w="3780" w:type="dxa"/>
            <w:gridSpan w:val="2"/>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Double Glazing</w:t>
            </w:r>
          </w:p>
        </w:tc>
        <w:tc>
          <w:tcPr>
            <w:tcW w:w="2500" w:type="dxa"/>
            <w:gridSpan w:val="2"/>
            <w:tcBorders>
              <w:top w:val="nil"/>
              <w:left w:val="nil"/>
              <w:bottom w:val="nil"/>
              <w:right w:val="nil"/>
            </w:tcBorders>
            <w:shd w:val="clear" w:color="000000" w:fill="FFFFFF"/>
            <w:noWrap/>
            <w:vAlign w:val="bottom"/>
            <w:hideMark/>
          </w:tcPr>
          <w:p w:rsidR="00FC2012" w:rsidRPr="001048D3" w:rsidRDefault="00FC2012" w:rsidP="003269F2">
            <w:pPr>
              <w:spacing w:before="0" w:after="0"/>
              <w:jc w:val="right"/>
              <w:rPr>
                <w:color w:val="000000"/>
                <w:sz w:val="22"/>
                <w:szCs w:val="22"/>
              </w:rPr>
            </w:pPr>
            <w:r w:rsidRPr="001048D3">
              <w:rPr>
                <w:color w:val="000000"/>
                <w:sz w:val="22"/>
                <w:szCs w:val="22"/>
              </w:rPr>
              <w:t>14</w:t>
            </w:r>
          </w:p>
        </w:tc>
        <w:tc>
          <w:tcPr>
            <w:tcW w:w="2807" w:type="dxa"/>
            <w:tcBorders>
              <w:top w:val="nil"/>
              <w:left w:val="nil"/>
              <w:bottom w:val="nil"/>
              <w:right w:val="nil"/>
            </w:tcBorders>
            <w:shd w:val="clear" w:color="000000" w:fill="FFFFFF"/>
            <w:noWrap/>
            <w:vAlign w:val="bottom"/>
            <w:hideMark/>
          </w:tcPr>
          <w:p w:rsidR="00FC2012" w:rsidRPr="001048D3" w:rsidRDefault="006D5D73" w:rsidP="003269F2">
            <w:pPr>
              <w:spacing w:before="0" w:after="0"/>
              <w:jc w:val="right"/>
              <w:rPr>
                <w:i/>
                <w:iCs/>
                <w:color w:val="000000"/>
                <w:sz w:val="22"/>
                <w:szCs w:val="22"/>
              </w:rPr>
            </w:pPr>
            <w:r>
              <w:rPr>
                <w:i/>
                <w:iCs/>
                <w:color w:val="000000"/>
                <w:sz w:val="22"/>
                <w:szCs w:val="22"/>
              </w:rPr>
              <w:t>0</w:t>
            </w:r>
          </w:p>
        </w:tc>
      </w:tr>
      <w:tr w:rsidR="00FC2012" w:rsidRPr="008A5812" w:rsidTr="003269F2">
        <w:trPr>
          <w:trHeight w:val="255"/>
        </w:trPr>
        <w:tc>
          <w:tcPr>
            <w:tcW w:w="3780" w:type="dxa"/>
            <w:gridSpan w:val="2"/>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Secondary Glazing</w:t>
            </w:r>
          </w:p>
        </w:tc>
        <w:tc>
          <w:tcPr>
            <w:tcW w:w="2500" w:type="dxa"/>
            <w:gridSpan w:val="2"/>
            <w:tcBorders>
              <w:top w:val="nil"/>
              <w:left w:val="nil"/>
              <w:bottom w:val="nil"/>
              <w:right w:val="nil"/>
            </w:tcBorders>
            <w:shd w:val="clear" w:color="000000" w:fill="FFFFFF"/>
            <w:noWrap/>
            <w:vAlign w:val="bottom"/>
            <w:hideMark/>
          </w:tcPr>
          <w:p w:rsidR="00FC2012" w:rsidRPr="001048D3" w:rsidRDefault="00FC2012" w:rsidP="003269F2">
            <w:pPr>
              <w:spacing w:before="0" w:after="0"/>
              <w:jc w:val="right"/>
              <w:rPr>
                <w:color w:val="000000"/>
                <w:sz w:val="22"/>
                <w:szCs w:val="22"/>
              </w:rPr>
            </w:pPr>
            <w:r w:rsidRPr="001048D3">
              <w:rPr>
                <w:color w:val="000000"/>
                <w:sz w:val="22"/>
                <w:szCs w:val="22"/>
              </w:rPr>
              <w:t>0</w:t>
            </w:r>
          </w:p>
        </w:tc>
        <w:tc>
          <w:tcPr>
            <w:tcW w:w="2807" w:type="dxa"/>
            <w:tcBorders>
              <w:top w:val="nil"/>
              <w:left w:val="nil"/>
              <w:bottom w:val="nil"/>
              <w:right w:val="nil"/>
            </w:tcBorders>
            <w:shd w:val="clear" w:color="000000" w:fill="FFFFFF"/>
            <w:noWrap/>
            <w:vAlign w:val="bottom"/>
            <w:hideMark/>
          </w:tcPr>
          <w:p w:rsidR="00FC2012" w:rsidRPr="001048D3" w:rsidRDefault="006D5D73" w:rsidP="003269F2">
            <w:pPr>
              <w:spacing w:before="0" w:after="0"/>
              <w:jc w:val="right"/>
              <w:rPr>
                <w:i/>
                <w:iCs/>
                <w:color w:val="000000"/>
                <w:sz w:val="22"/>
                <w:szCs w:val="22"/>
              </w:rPr>
            </w:pPr>
            <w:r>
              <w:rPr>
                <w:i/>
                <w:iCs/>
                <w:color w:val="000000"/>
                <w:sz w:val="22"/>
                <w:szCs w:val="22"/>
              </w:rPr>
              <w:t>0</w:t>
            </w:r>
          </w:p>
        </w:tc>
      </w:tr>
      <w:tr w:rsidR="00FC2012" w:rsidRPr="008A5812" w:rsidTr="003269F2">
        <w:trPr>
          <w:trHeight w:val="255"/>
        </w:trPr>
        <w:tc>
          <w:tcPr>
            <w:tcW w:w="3780" w:type="dxa"/>
            <w:gridSpan w:val="2"/>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2500" w:type="dxa"/>
            <w:gridSpan w:val="2"/>
            <w:tcBorders>
              <w:top w:val="nil"/>
              <w:left w:val="nil"/>
              <w:bottom w:val="nil"/>
              <w:right w:val="nil"/>
            </w:tcBorders>
            <w:shd w:val="clear" w:color="000000" w:fill="FFFFFF"/>
            <w:vAlign w:val="bottom"/>
            <w:hideMark/>
          </w:tcPr>
          <w:p w:rsidR="00FC2012" w:rsidRPr="001048D3" w:rsidRDefault="00FC2012" w:rsidP="003269F2">
            <w:pPr>
              <w:spacing w:before="0" w:after="0"/>
              <w:rPr>
                <w:color w:val="000000"/>
                <w:sz w:val="22"/>
                <w:szCs w:val="22"/>
              </w:rPr>
            </w:pPr>
            <w:r w:rsidRPr="001048D3">
              <w:rPr>
                <w:color w:val="000000"/>
                <w:sz w:val="22"/>
                <w:szCs w:val="22"/>
              </w:rPr>
              <w:t> </w:t>
            </w:r>
          </w:p>
        </w:tc>
        <w:tc>
          <w:tcPr>
            <w:tcW w:w="2807" w:type="dxa"/>
            <w:tcBorders>
              <w:top w:val="nil"/>
              <w:left w:val="nil"/>
              <w:bottom w:val="nil"/>
              <w:right w:val="nil"/>
            </w:tcBorders>
            <w:shd w:val="clear" w:color="000000" w:fill="FFFFFF"/>
            <w:vAlign w:val="bottom"/>
            <w:hideMark/>
          </w:tcPr>
          <w:p w:rsidR="00FC2012" w:rsidRPr="001048D3" w:rsidRDefault="00FC2012" w:rsidP="003269F2">
            <w:pPr>
              <w:spacing w:before="0" w:after="0"/>
              <w:rPr>
                <w:i/>
                <w:iCs/>
                <w:color w:val="000000"/>
                <w:sz w:val="22"/>
                <w:szCs w:val="22"/>
              </w:rPr>
            </w:pPr>
            <w:r w:rsidRPr="001048D3">
              <w:rPr>
                <w:i/>
                <w:iCs/>
                <w:color w:val="000000"/>
                <w:sz w:val="22"/>
                <w:szCs w:val="22"/>
              </w:rPr>
              <w:t> </w:t>
            </w:r>
          </w:p>
        </w:tc>
      </w:tr>
      <w:tr w:rsidR="00FC2012" w:rsidRPr="008A5812" w:rsidTr="003269F2">
        <w:trPr>
          <w:trHeight w:val="255"/>
        </w:trPr>
        <w:tc>
          <w:tcPr>
            <w:tcW w:w="3780" w:type="dxa"/>
            <w:gridSpan w:val="2"/>
            <w:tcBorders>
              <w:top w:val="nil"/>
              <w:left w:val="nil"/>
              <w:bottom w:val="single" w:sz="4" w:space="0" w:color="auto"/>
              <w:right w:val="nil"/>
            </w:tcBorders>
            <w:shd w:val="clear" w:color="000000" w:fill="FFFFFF"/>
            <w:noWrap/>
            <w:vAlign w:val="bottom"/>
            <w:hideMark/>
          </w:tcPr>
          <w:p w:rsidR="00FC2012" w:rsidRPr="008A5812" w:rsidRDefault="00FC2012" w:rsidP="003269F2">
            <w:pPr>
              <w:spacing w:before="0" w:after="0" w:line="240" w:lineRule="auto"/>
              <w:rPr>
                <w:b/>
                <w:bCs/>
                <w:color w:val="000000"/>
                <w:szCs w:val="24"/>
                <w:lang w:eastAsia="en-GB"/>
              </w:rPr>
            </w:pPr>
            <w:r w:rsidRPr="008A5812">
              <w:rPr>
                <w:b/>
                <w:bCs/>
                <w:color w:val="000000"/>
                <w:szCs w:val="24"/>
                <w:lang w:eastAsia="en-GB"/>
              </w:rPr>
              <w:t>Total number of measures</w:t>
            </w:r>
          </w:p>
        </w:tc>
        <w:tc>
          <w:tcPr>
            <w:tcW w:w="2500" w:type="dxa"/>
            <w:gridSpan w:val="2"/>
            <w:tcBorders>
              <w:top w:val="nil"/>
              <w:left w:val="nil"/>
              <w:bottom w:val="single" w:sz="4" w:space="0" w:color="auto"/>
              <w:right w:val="nil"/>
            </w:tcBorders>
            <w:shd w:val="clear" w:color="000000" w:fill="FFFFFF"/>
            <w:noWrap/>
            <w:vAlign w:val="bottom"/>
            <w:hideMark/>
          </w:tcPr>
          <w:p w:rsidR="00FC2012" w:rsidRPr="001048D3" w:rsidRDefault="00FC2012" w:rsidP="003269F2">
            <w:pPr>
              <w:spacing w:before="0" w:after="0"/>
              <w:jc w:val="right"/>
              <w:rPr>
                <w:b/>
                <w:bCs/>
                <w:color w:val="000000"/>
                <w:sz w:val="22"/>
                <w:szCs w:val="22"/>
              </w:rPr>
            </w:pPr>
            <w:r w:rsidRPr="001048D3">
              <w:rPr>
                <w:b/>
                <w:bCs/>
                <w:color w:val="000000"/>
                <w:sz w:val="22"/>
                <w:szCs w:val="22"/>
              </w:rPr>
              <w:t>7,735</w:t>
            </w:r>
          </w:p>
        </w:tc>
        <w:tc>
          <w:tcPr>
            <w:tcW w:w="2807" w:type="dxa"/>
            <w:tcBorders>
              <w:top w:val="nil"/>
              <w:left w:val="nil"/>
              <w:bottom w:val="single" w:sz="4" w:space="0" w:color="auto"/>
              <w:right w:val="nil"/>
            </w:tcBorders>
            <w:shd w:val="clear" w:color="000000" w:fill="FFFFFF"/>
            <w:noWrap/>
            <w:vAlign w:val="bottom"/>
            <w:hideMark/>
          </w:tcPr>
          <w:p w:rsidR="00FC2012" w:rsidRPr="001048D3" w:rsidRDefault="00FC2012" w:rsidP="003269F2">
            <w:pPr>
              <w:spacing w:before="0" w:after="0"/>
              <w:jc w:val="right"/>
              <w:rPr>
                <w:b/>
                <w:bCs/>
                <w:i/>
                <w:iCs/>
                <w:color w:val="000000"/>
                <w:sz w:val="22"/>
                <w:szCs w:val="22"/>
              </w:rPr>
            </w:pPr>
            <w:r w:rsidRPr="001048D3">
              <w:rPr>
                <w:b/>
                <w:bCs/>
                <w:i/>
                <w:iCs/>
                <w:color w:val="000000"/>
                <w:sz w:val="22"/>
                <w:szCs w:val="22"/>
              </w:rPr>
              <w:t>100</w:t>
            </w:r>
          </w:p>
        </w:tc>
      </w:tr>
      <w:tr w:rsidR="00FC2012" w:rsidRPr="008A5812" w:rsidTr="003269F2">
        <w:trPr>
          <w:trHeight w:val="105"/>
        </w:trPr>
        <w:tc>
          <w:tcPr>
            <w:tcW w:w="3740"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2520" w:type="dxa"/>
            <w:gridSpan w:val="2"/>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2827" w:type="dxa"/>
            <w:gridSpan w:val="2"/>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r>
      <w:tr w:rsidR="00FC2012" w:rsidRPr="008A5812" w:rsidTr="003269F2">
        <w:trPr>
          <w:trHeight w:val="285"/>
        </w:trPr>
        <w:tc>
          <w:tcPr>
            <w:tcW w:w="9087" w:type="dxa"/>
            <w:gridSpan w:val="5"/>
            <w:tcBorders>
              <w:top w:val="nil"/>
              <w:left w:val="nil"/>
              <w:bottom w:val="nil"/>
              <w:right w:val="nil"/>
            </w:tcBorders>
            <w:shd w:val="clear" w:color="000000" w:fill="FFFFFF"/>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vertAlign w:val="superscript"/>
                <w:lang w:eastAsia="en-GB"/>
              </w:rPr>
              <w:t xml:space="preserve">1 </w:t>
            </w:r>
            <w:r w:rsidRPr="008A5812">
              <w:rPr>
                <w:color w:val="000000"/>
                <w:szCs w:val="24"/>
                <w:lang w:eastAsia="en-GB"/>
              </w:rPr>
              <w:t>More than one measure can be installed with Cashback per unique property.</w:t>
            </w:r>
          </w:p>
        </w:tc>
      </w:tr>
    </w:tbl>
    <w:p w:rsidR="00FC2012" w:rsidRPr="008A5812" w:rsidRDefault="00FC2012" w:rsidP="00FC2012">
      <w:pPr>
        <w:spacing w:after="0" w:line="270" w:lineRule="atLeast"/>
        <w:rPr>
          <w:b/>
          <w:bCs/>
          <w:szCs w:val="24"/>
        </w:rPr>
      </w:pPr>
    </w:p>
    <w:p w:rsidR="00FC2012" w:rsidRPr="008A5812" w:rsidRDefault="00FC2012" w:rsidP="00FC2012">
      <w:pPr>
        <w:spacing w:after="0" w:line="270" w:lineRule="atLeast"/>
        <w:rPr>
          <w:b/>
          <w:bCs/>
          <w:szCs w:val="24"/>
        </w:rPr>
      </w:pPr>
    </w:p>
    <w:p w:rsidR="00FC2012" w:rsidRPr="008A5812" w:rsidRDefault="00FC2012" w:rsidP="00FC2012">
      <w:pPr>
        <w:spacing w:line="270" w:lineRule="atLeast"/>
        <w:rPr>
          <w:b/>
          <w:bCs/>
          <w:szCs w:val="24"/>
        </w:rPr>
      </w:pPr>
    </w:p>
    <w:p w:rsidR="00FC2012" w:rsidRPr="008A5812" w:rsidRDefault="00FC2012" w:rsidP="00FC2012">
      <w:pPr>
        <w:spacing w:line="270" w:lineRule="atLeast"/>
        <w:rPr>
          <w:b/>
          <w:bCs/>
          <w:szCs w:val="24"/>
        </w:rPr>
      </w:pPr>
    </w:p>
    <w:p w:rsidR="00FC2012" w:rsidRPr="008A5812" w:rsidRDefault="00FC2012" w:rsidP="00FC2012">
      <w:pPr>
        <w:spacing w:line="270" w:lineRule="atLeast"/>
        <w:rPr>
          <w:b/>
          <w:bCs/>
          <w:szCs w:val="24"/>
        </w:rPr>
      </w:pPr>
    </w:p>
    <w:p w:rsidR="00FC2012" w:rsidRDefault="00FC2012" w:rsidP="00FC2012">
      <w:pPr>
        <w:spacing w:line="270" w:lineRule="atLeast"/>
        <w:rPr>
          <w:b/>
          <w:bCs/>
          <w:szCs w:val="24"/>
        </w:rPr>
      </w:pPr>
    </w:p>
    <w:p w:rsidR="00FC2012" w:rsidRPr="008A5812" w:rsidRDefault="00FC2012" w:rsidP="00FC2012">
      <w:pPr>
        <w:spacing w:line="270" w:lineRule="atLeast"/>
        <w:rPr>
          <w:b/>
          <w:bCs/>
          <w:szCs w:val="24"/>
        </w:rPr>
      </w:pPr>
    </w:p>
    <w:tbl>
      <w:tblPr>
        <w:tblW w:w="11073" w:type="dxa"/>
        <w:tblInd w:w="93" w:type="dxa"/>
        <w:tblLayout w:type="fixed"/>
        <w:tblLook w:val="04A0" w:firstRow="1" w:lastRow="0" w:firstColumn="1" w:lastColumn="0" w:noHBand="0" w:noVBand="1"/>
      </w:tblPr>
      <w:tblGrid>
        <w:gridCol w:w="9654"/>
        <w:gridCol w:w="236"/>
        <w:gridCol w:w="1183"/>
      </w:tblGrid>
      <w:tr w:rsidR="00FC2012" w:rsidRPr="008A5812" w:rsidTr="003269F2">
        <w:trPr>
          <w:trHeight w:val="315"/>
        </w:trPr>
        <w:tc>
          <w:tcPr>
            <w:tcW w:w="9654" w:type="dxa"/>
            <w:tcBorders>
              <w:top w:val="nil"/>
              <w:left w:val="nil"/>
              <w:bottom w:val="nil"/>
              <w:right w:val="nil"/>
            </w:tcBorders>
            <w:shd w:val="clear" w:color="000000" w:fill="FFFFFF"/>
            <w:noWrap/>
            <w:vAlign w:val="bottom"/>
            <w:hideMark/>
          </w:tcPr>
          <w:p w:rsidR="00FC2012" w:rsidRPr="008A5812" w:rsidRDefault="00F7089E" w:rsidP="003269F2">
            <w:pPr>
              <w:spacing w:after="0" w:line="240" w:lineRule="auto"/>
              <w:rPr>
                <w:b/>
                <w:bCs/>
                <w:color w:val="000000"/>
                <w:szCs w:val="24"/>
                <w:lang w:eastAsia="en-GB"/>
              </w:rPr>
            </w:pPr>
            <w:r>
              <w:rPr>
                <w:b/>
                <w:bCs/>
                <w:color w:val="000000"/>
                <w:szCs w:val="24"/>
                <w:lang w:eastAsia="en-GB"/>
              </w:rPr>
              <w:lastRenderedPageBreak/>
              <w:t>Table 5</w:t>
            </w:r>
            <w:r w:rsidR="00FC2012" w:rsidRPr="008A5812">
              <w:rPr>
                <w:b/>
                <w:bCs/>
                <w:color w:val="000000"/>
                <w:szCs w:val="24"/>
                <w:lang w:eastAsia="en-GB"/>
              </w:rPr>
              <w:t>: Provisional number of ECO measures installed, by obligation, by month</w:t>
            </w:r>
          </w:p>
        </w:tc>
        <w:tc>
          <w:tcPr>
            <w:tcW w:w="236" w:type="dxa"/>
            <w:tcBorders>
              <w:top w:val="nil"/>
              <w:left w:val="nil"/>
              <w:bottom w:val="nil"/>
              <w:right w:val="nil"/>
            </w:tcBorders>
            <w:shd w:val="clear" w:color="000000" w:fill="FFFFFF"/>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 </w:t>
            </w:r>
          </w:p>
        </w:tc>
        <w:tc>
          <w:tcPr>
            <w:tcW w:w="1183" w:type="dxa"/>
            <w:tcBorders>
              <w:top w:val="nil"/>
              <w:left w:val="nil"/>
              <w:bottom w:val="nil"/>
              <w:right w:val="nil"/>
            </w:tcBorders>
            <w:shd w:val="clear" w:color="000000" w:fill="FFFFFF"/>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 </w:t>
            </w:r>
          </w:p>
        </w:tc>
      </w:tr>
    </w:tbl>
    <w:p w:rsidR="00FC2012" w:rsidRPr="008A5812" w:rsidRDefault="00FC2012" w:rsidP="00FC2012">
      <w:pPr>
        <w:spacing w:line="270" w:lineRule="atLeast"/>
        <w:jc w:val="both"/>
        <w:rPr>
          <w:b/>
          <w:bCs/>
          <w:szCs w:val="24"/>
        </w:rPr>
      </w:pPr>
    </w:p>
    <w:tbl>
      <w:tblPr>
        <w:tblW w:w="8457" w:type="dxa"/>
        <w:tblInd w:w="93" w:type="dxa"/>
        <w:tblLook w:val="04A0" w:firstRow="1" w:lastRow="0" w:firstColumn="1" w:lastColumn="0" w:noHBand="0" w:noVBand="1"/>
      </w:tblPr>
      <w:tblGrid>
        <w:gridCol w:w="2142"/>
        <w:gridCol w:w="1535"/>
        <w:gridCol w:w="1519"/>
        <w:gridCol w:w="1560"/>
        <w:gridCol w:w="1701"/>
      </w:tblGrid>
      <w:tr w:rsidR="00FC2012" w:rsidRPr="008A5812" w:rsidTr="003269F2">
        <w:trPr>
          <w:trHeight w:val="255"/>
        </w:trPr>
        <w:tc>
          <w:tcPr>
            <w:tcW w:w="2142" w:type="dxa"/>
            <w:tcBorders>
              <w:top w:val="single" w:sz="4" w:space="0" w:color="auto"/>
              <w:left w:val="nil"/>
              <w:bottom w:val="nil"/>
              <w:right w:val="nil"/>
            </w:tcBorders>
            <w:shd w:val="clear" w:color="000000" w:fill="FFFFFF"/>
            <w:noWrap/>
            <w:vAlign w:val="center"/>
            <w:hideMark/>
          </w:tcPr>
          <w:p w:rsidR="00FC2012" w:rsidRPr="008A5812" w:rsidRDefault="00FC2012" w:rsidP="003269F2">
            <w:pPr>
              <w:spacing w:before="0" w:line="240" w:lineRule="auto"/>
              <w:rPr>
                <w:color w:val="000000"/>
                <w:szCs w:val="24"/>
                <w:lang w:eastAsia="en-GB"/>
              </w:rPr>
            </w:pPr>
            <w:r w:rsidRPr="008A5812">
              <w:rPr>
                <w:color w:val="000000"/>
                <w:szCs w:val="24"/>
                <w:lang w:eastAsia="en-GB"/>
              </w:rPr>
              <w:t> </w:t>
            </w:r>
          </w:p>
        </w:tc>
        <w:tc>
          <w:tcPr>
            <w:tcW w:w="4614" w:type="dxa"/>
            <w:gridSpan w:val="3"/>
            <w:tcBorders>
              <w:top w:val="single" w:sz="4" w:space="0" w:color="auto"/>
              <w:left w:val="nil"/>
              <w:bottom w:val="single" w:sz="4" w:space="0" w:color="auto"/>
              <w:right w:val="nil"/>
            </w:tcBorders>
            <w:shd w:val="clear" w:color="000000" w:fill="FFFFFF"/>
            <w:noWrap/>
            <w:vAlign w:val="bottom"/>
            <w:hideMark/>
          </w:tcPr>
          <w:p w:rsidR="00FC2012" w:rsidRPr="008A5812" w:rsidRDefault="00FC2012" w:rsidP="003269F2">
            <w:pPr>
              <w:spacing w:before="0" w:line="240" w:lineRule="auto"/>
              <w:jc w:val="center"/>
              <w:rPr>
                <w:color w:val="000000"/>
                <w:szCs w:val="24"/>
                <w:lang w:eastAsia="en-GB"/>
              </w:rPr>
            </w:pPr>
            <w:r w:rsidRPr="008A5812">
              <w:rPr>
                <w:color w:val="000000"/>
                <w:szCs w:val="24"/>
                <w:lang w:eastAsia="en-GB"/>
              </w:rPr>
              <w:t>Obligation</w:t>
            </w:r>
          </w:p>
        </w:tc>
        <w:tc>
          <w:tcPr>
            <w:tcW w:w="1701" w:type="dxa"/>
            <w:tcBorders>
              <w:top w:val="single" w:sz="4" w:space="0" w:color="auto"/>
              <w:left w:val="nil"/>
              <w:bottom w:val="nil"/>
              <w:right w:val="nil"/>
            </w:tcBorders>
            <w:shd w:val="clear" w:color="000000" w:fill="FFFFFF"/>
            <w:noWrap/>
            <w:vAlign w:val="bottom"/>
            <w:hideMark/>
          </w:tcPr>
          <w:p w:rsidR="00FC2012" w:rsidRPr="008A5812" w:rsidRDefault="00FC2012" w:rsidP="003269F2">
            <w:pPr>
              <w:spacing w:before="0" w:line="240" w:lineRule="auto"/>
              <w:rPr>
                <w:color w:val="000000"/>
                <w:szCs w:val="24"/>
                <w:lang w:eastAsia="en-GB"/>
              </w:rPr>
            </w:pPr>
            <w:r w:rsidRPr="008A5812">
              <w:rPr>
                <w:color w:val="000000"/>
                <w:szCs w:val="24"/>
                <w:lang w:eastAsia="en-GB"/>
              </w:rPr>
              <w:t> </w:t>
            </w:r>
          </w:p>
        </w:tc>
      </w:tr>
      <w:tr w:rsidR="00FC2012" w:rsidRPr="008A5812" w:rsidTr="003269F2">
        <w:trPr>
          <w:trHeight w:val="555"/>
        </w:trPr>
        <w:tc>
          <w:tcPr>
            <w:tcW w:w="2142" w:type="dxa"/>
            <w:tcBorders>
              <w:top w:val="nil"/>
              <w:left w:val="nil"/>
              <w:bottom w:val="single" w:sz="4" w:space="0" w:color="auto"/>
              <w:right w:val="nil"/>
            </w:tcBorders>
            <w:shd w:val="clear" w:color="000000" w:fill="FFFFFF"/>
            <w:noWrap/>
            <w:vAlign w:val="center"/>
            <w:hideMark/>
          </w:tcPr>
          <w:p w:rsidR="00FC2012" w:rsidRPr="008A5812" w:rsidRDefault="00FC2012" w:rsidP="003269F2">
            <w:pPr>
              <w:spacing w:before="0" w:line="240" w:lineRule="auto"/>
              <w:rPr>
                <w:color w:val="000000"/>
                <w:szCs w:val="24"/>
                <w:lang w:eastAsia="en-GB"/>
              </w:rPr>
            </w:pPr>
            <w:r w:rsidRPr="008A5812">
              <w:rPr>
                <w:color w:val="000000"/>
                <w:szCs w:val="24"/>
                <w:lang w:eastAsia="en-GB"/>
              </w:rPr>
              <w:t>Installation Month</w:t>
            </w:r>
            <w:r w:rsidRPr="008A5812">
              <w:rPr>
                <w:color w:val="000000"/>
                <w:szCs w:val="24"/>
                <w:vertAlign w:val="superscript"/>
                <w:lang w:eastAsia="en-GB"/>
              </w:rPr>
              <w:t>3</w:t>
            </w:r>
          </w:p>
        </w:tc>
        <w:tc>
          <w:tcPr>
            <w:tcW w:w="1535" w:type="dxa"/>
            <w:tcBorders>
              <w:top w:val="nil"/>
              <w:left w:val="nil"/>
              <w:bottom w:val="single" w:sz="4" w:space="0" w:color="auto"/>
              <w:right w:val="nil"/>
            </w:tcBorders>
            <w:shd w:val="clear" w:color="000000" w:fill="FFFFFF"/>
            <w:vAlign w:val="bottom"/>
            <w:hideMark/>
          </w:tcPr>
          <w:p w:rsidR="00FC2012" w:rsidRPr="008A5812" w:rsidRDefault="00FC2012" w:rsidP="003269F2">
            <w:pPr>
              <w:spacing w:before="0" w:line="240" w:lineRule="auto"/>
              <w:jc w:val="center"/>
              <w:rPr>
                <w:color w:val="000000"/>
                <w:szCs w:val="24"/>
                <w:lang w:eastAsia="en-GB"/>
              </w:rPr>
            </w:pPr>
            <w:r w:rsidRPr="008A5812">
              <w:rPr>
                <w:color w:val="000000"/>
                <w:szCs w:val="24"/>
                <w:lang w:eastAsia="en-GB"/>
              </w:rPr>
              <w:t>Carbon Saving Target (CSO)</w:t>
            </w:r>
          </w:p>
        </w:tc>
        <w:tc>
          <w:tcPr>
            <w:tcW w:w="1519" w:type="dxa"/>
            <w:tcBorders>
              <w:top w:val="nil"/>
              <w:left w:val="nil"/>
              <w:bottom w:val="single" w:sz="4" w:space="0" w:color="auto"/>
              <w:right w:val="nil"/>
            </w:tcBorders>
            <w:shd w:val="clear" w:color="000000" w:fill="FFFFFF"/>
            <w:vAlign w:val="bottom"/>
            <w:hideMark/>
          </w:tcPr>
          <w:p w:rsidR="00FC2012" w:rsidRPr="008A5812" w:rsidRDefault="00FC2012" w:rsidP="003269F2">
            <w:pPr>
              <w:spacing w:before="0" w:line="240" w:lineRule="auto"/>
              <w:jc w:val="center"/>
              <w:rPr>
                <w:color w:val="000000"/>
                <w:szCs w:val="24"/>
                <w:lang w:eastAsia="en-GB"/>
              </w:rPr>
            </w:pPr>
            <w:r w:rsidRPr="008A5812">
              <w:rPr>
                <w:color w:val="000000"/>
                <w:szCs w:val="24"/>
                <w:lang w:eastAsia="en-GB"/>
              </w:rPr>
              <w:t>Carbon Savings Community</w:t>
            </w:r>
            <w:r w:rsidRPr="008A5812">
              <w:rPr>
                <w:color w:val="000000"/>
                <w:szCs w:val="24"/>
                <w:vertAlign w:val="superscript"/>
                <w:lang w:eastAsia="en-GB"/>
              </w:rPr>
              <w:t xml:space="preserve">2 </w:t>
            </w:r>
            <w:r w:rsidRPr="008A5812">
              <w:rPr>
                <w:color w:val="000000"/>
                <w:szCs w:val="24"/>
                <w:lang w:eastAsia="en-GB"/>
              </w:rPr>
              <w:t xml:space="preserve"> (CSCO)</w:t>
            </w:r>
          </w:p>
        </w:tc>
        <w:tc>
          <w:tcPr>
            <w:tcW w:w="1560" w:type="dxa"/>
            <w:tcBorders>
              <w:top w:val="nil"/>
              <w:left w:val="nil"/>
              <w:bottom w:val="single" w:sz="4" w:space="0" w:color="auto"/>
              <w:right w:val="nil"/>
            </w:tcBorders>
            <w:shd w:val="clear" w:color="000000" w:fill="FFFFFF"/>
            <w:vAlign w:val="bottom"/>
            <w:hideMark/>
          </w:tcPr>
          <w:p w:rsidR="00FC2012" w:rsidRPr="008A5812" w:rsidRDefault="00FC2012" w:rsidP="003269F2">
            <w:pPr>
              <w:spacing w:before="0" w:line="240" w:lineRule="auto"/>
              <w:jc w:val="center"/>
              <w:rPr>
                <w:color w:val="000000"/>
                <w:szCs w:val="24"/>
                <w:lang w:eastAsia="en-GB"/>
              </w:rPr>
            </w:pPr>
            <w:r w:rsidRPr="008A5812">
              <w:rPr>
                <w:color w:val="000000"/>
                <w:szCs w:val="24"/>
                <w:lang w:eastAsia="en-GB"/>
              </w:rPr>
              <w:t>Affordable Warmth (HHCRO)</w:t>
            </w:r>
          </w:p>
        </w:tc>
        <w:tc>
          <w:tcPr>
            <w:tcW w:w="1701" w:type="dxa"/>
            <w:tcBorders>
              <w:top w:val="nil"/>
              <w:left w:val="nil"/>
              <w:bottom w:val="single" w:sz="4" w:space="0" w:color="auto"/>
              <w:right w:val="nil"/>
            </w:tcBorders>
            <w:shd w:val="clear" w:color="000000" w:fill="FFFFFF"/>
            <w:vAlign w:val="bottom"/>
            <w:hideMark/>
          </w:tcPr>
          <w:p w:rsidR="00FC2012" w:rsidRPr="008A5812" w:rsidRDefault="00FC2012" w:rsidP="003269F2">
            <w:pPr>
              <w:spacing w:before="0" w:line="240" w:lineRule="auto"/>
              <w:jc w:val="center"/>
              <w:rPr>
                <w:color w:val="000000"/>
                <w:szCs w:val="24"/>
                <w:lang w:eastAsia="en-GB"/>
              </w:rPr>
            </w:pPr>
            <w:r w:rsidRPr="008A5812">
              <w:rPr>
                <w:color w:val="000000"/>
                <w:szCs w:val="24"/>
                <w:lang w:eastAsia="en-GB"/>
              </w:rPr>
              <w:t>Total number of ECO measures installed</w:t>
            </w:r>
          </w:p>
        </w:tc>
      </w:tr>
      <w:tr w:rsidR="00FC2012" w:rsidRPr="008A5812" w:rsidTr="003269F2">
        <w:trPr>
          <w:trHeight w:val="285"/>
        </w:trPr>
        <w:tc>
          <w:tcPr>
            <w:tcW w:w="2142" w:type="dxa"/>
            <w:tcBorders>
              <w:top w:val="single" w:sz="4" w:space="0" w:color="auto"/>
              <w:left w:val="nil"/>
              <w:bottom w:val="nil"/>
              <w:right w:val="nil"/>
            </w:tcBorders>
            <w:shd w:val="clear" w:color="000000" w:fill="FFFFFF"/>
            <w:noWrap/>
            <w:vAlign w:val="center"/>
            <w:hideMark/>
          </w:tcPr>
          <w:p w:rsidR="00FC2012" w:rsidRPr="008A5812" w:rsidRDefault="00FC2012" w:rsidP="003269F2">
            <w:pPr>
              <w:spacing w:before="0" w:line="240" w:lineRule="auto"/>
              <w:rPr>
                <w:color w:val="000000"/>
                <w:szCs w:val="24"/>
                <w:lang w:eastAsia="en-GB"/>
              </w:rPr>
            </w:pPr>
            <w:r w:rsidRPr="008A5812">
              <w:rPr>
                <w:color w:val="000000"/>
                <w:szCs w:val="24"/>
                <w:lang w:eastAsia="en-GB"/>
              </w:rPr>
              <w:t> </w:t>
            </w:r>
          </w:p>
        </w:tc>
        <w:tc>
          <w:tcPr>
            <w:tcW w:w="1535" w:type="dxa"/>
            <w:tcBorders>
              <w:top w:val="nil"/>
              <w:left w:val="nil"/>
              <w:bottom w:val="nil"/>
              <w:right w:val="nil"/>
            </w:tcBorders>
            <w:shd w:val="clear" w:color="000000" w:fill="FFFFFF"/>
            <w:vAlign w:val="bottom"/>
            <w:hideMark/>
          </w:tcPr>
          <w:p w:rsidR="00FC2012" w:rsidRPr="008A5812" w:rsidRDefault="00FC2012" w:rsidP="003269F2">
            <w:pPr>
              <w:spacing w:before="0" w:line="240" w:lineRule="auto"/>
              <w:jc w:val="right"/>
              <w:rPr>
                <w:color w:val="000000"/>
                <w:szCs w:val="24"/>
                <w:lang w:eastAsia="en-GB"/>
              </w:rPr>
            </w:pPr>
            <w:r w:rsidRPr="008A5812">
              <w:rPr>
                <w:color w:val="000000"/>
                <w:szCs w:val="24"/>
                <w:lang w:eastAsia="en-GB"/>
              </w:rPr>
              <w:t> </w:t>
            </w:r>
          </w:p>
        </w:tc>
        <w:tc>
          <w:tcPr>
            <w:tcW w:w="1519" w:type="dxa"/>
            <w:tcBorders>
              <w:top w:val="nil"/>
              <w:left w:val="nil"/>
              <w:bottom w:val="nil"/>
              <w:right w:val="nil"/>
            </w:tcBorders>
            <w:shd w:val="clear" w:color="000000" w:fill="FFFFFF"/>
            <w:vAlign w:val="bottom"/>
            <w:hideMark/>
          </w:tcPr>
          <w:p w:rsidR="00FC2012" w:rsidRPr="008A5812" w:rsidRDefault="00FC2012" w:rsidP="003269F2">
            <w:pPr>
              <w:spacing w:before="0" w:line="240" w:lineRule="auto"/>
              <w:jc w:val="right"/>
              <w:rPr>
                <w:color w:val="000000"/>
                <w:szCs w:val="24"/>
                <w:lang w:eastAsia="en-GB"/>
              </w:rPr>
            </w:pPr>
            <w:r w:rsidRPr="008A5812">
              <w:rPr>
                <w:color w:val="000000"/>
                <w:szCs w:val="24"/>
                <w:lang w:eastAsia="en-GB"/>
              </w:rPr>
              <w:t> </w:t>
            </w:r>
          </w:p>
        </w:tc>
        <w:tc>
          <w:tcPr>
            <w:tcW w:w="1560" w:type="dxa"/>
            <w:tcBorders>
              <w:top w:val="nil"/>
              <w:left w:val="nil"/>
              <w:bottom w:val="nil"/>
              <w:right w:val="nil"/>
            </w:tcBorders>
            <w:shd w:val="clear" w:color="000000" w:fill="FFFFFF"/>
            <w:vAlign w:val="bottom"/>
            <w:hideMark/>
          </w:tcPr>
          <w:p w:rsidR="00FC2012" w:rsidRPr="008A5812" w:rsidRDefault="00FC2012" w:rsidP="003269F2">
            <w:pPr>
              <w:spacing w:before="0" w:line="240" w:lineRule="auto"/>
              <w:jc w:val="right"/>
              <w:rPr>
                <w:color w:val="000000"/>
                <w:szCs w:val="24"/>
                <w:lang w:eastAsia="en-GB"/>
              </w:rPr>
            </w:pPr>
            <w:r w:rsidRPr="008A5812">
              <w:rPr>
                <w:color w:val="000000"/>
                <w:szCs w:val="24"/>
                <w:lang w:eastAsia="en-GB"/>
              </w:rPr>
              <w:t> </w:t>
            </w:r>
          </w:p>
        </w:tc>
        <w:tc>
          <w:tcPr>
            <w:tcW w:w="1701" w:type="dxa"/>
            <w:tcBorders>
              <w:top w:val="nil"/>
              <w:left w:val="nil"/>
              <w:bottom w:val="nil"/>
              <w:right w:val="nil"/>
            </w:tcBorders>
            <w:shd w:val="clear" w:color="000000" w:fill="FFFFFF"/>
            <w:vAlign w:val="bottom"/>
            <w:hideMark/>
          </w:tcPr>
          <w:p w:rsidR="00FC2012" w:rsidRPr="008A5812" w:rsidRDefault="00FC2012" w:rsidP="003269F2">
            <w:pPr>
              <w:spacing w:before="0" w:line="240" w:lineRule="auto"/>
              <w:jc w:val="right"/>
              <w:rPr>
                <w:color w:val="000000"/>
                <w:szCs w:val="24"/>
                <w:lang w:eastAsia="en-GB"/>
              </w:rPr>
            </w:pPr>
            <w:r w:rsidRPr="008A5812">
              <w:rPr>
                <w:color w:val="000000"/>
                <w:szCs w:val="24"/>
                <w:lang w:eastAsia="en-GB"/>
              </w:rPr>
              <w:t> </w:t>
            </w:r>
          </w:p>
        </w:tc>
      </w:tr>
      <w:tr w:rsidR="00FC2012" w:rsidRPr="008A5812" w:rsidTr="003269F2">
        <w:trPr>
          <w:trHeight w:val="285"/>
        </w:trPr>
        <w:tc>
          <w:tcPr>
            <w:tcW w:w="2142" w:type="dxa"/>
            <w:tcBorders>
              <w:top w:val="nil"/>
              <w:left w:val="nil"/>
              <w:bottom w:val="nil"/>
              <w:right w:val="nil"/>
            </w:tcBorders>
            <w:shd w:val="clear" w:color="000000" w:fill="FFFFFF"/>
            <w:noWrap/>
            <w:vAlign w:val="bottom"/>
            <w:hideMark/>
          </w:tcPr>
          <w:p w:rsidR="00FC2012" w:rsidRPr="008A5812" w:rsidRDefault="00FC2012" w:rsidP="003269F2">
            <w:pPr>
              <w:spacing w:before="0"/>
              <w:rPr>
                <w:color w:val="000000"/>
                <w:szCs w:val="24"/>
              </w:rPr>
            </w:pPr>
            <w:r w:rsidRPr="008A5812">
              <w:rPr>
                <w:color w:val="000000"/>
                <w:szCs w:val="24"/>
              </w:rPr>
              <w:t>January 2013</w:t>
            </w:r>
            <w:r w:rsidRPr="008A5812">
              <w:rPr>
                <w:color w:val="000000"/>
                <w:szCs w:val="24"/>
                <w:vertAlign w:val="superscript"/>
              </w:rPr>
              <w:t>1</w:t>
            </w:r>
          </w:p>
        </w:tc>
        <w:tc>
          <w:tcPr>
            <w:tcW w:w="1535" w:type="dxa"/>
            <w:tcBorders>
              <w:top w:val="nil"/>
              <w:left w:val="nil"/>
              <w:bottom w:val="nil"/>
              <w:right w:val="nil"/>
            </w:tcBorders>
            <w:shd w:val="clear" w:color="000000" w:fill="FFFFFF"/>
            <w:vAlign w:val="bottom"/>
            <w:hideMark/>
          </w:tcPr>
          <w:p w:rsidR="00FC2012" w:rsidRPr="001048D3" w:rsidRDefault="00FC2012" w:rsidP="003269F2">
            <w:pPr>
              <w:spacing w:before="0"/>
              <w:jc w:val="right"/>
              <w:rPr>
                <w:color w:val="000000"/>
                <w:szCs w:val="24"/>
              </w:rPr>
            </w:pPr>
            <w:r w:rsidRPr="001048D3">
              <w:rPr>
                <w:color w:val="000000"/>
                <w:szCs w:val="24"/>
              </w:rPr>
              <w:t>3,980</w:t>
            </w:r>
          </w:p>
        </w:tc>
        <w:tc>
          <w:tcPr>
            <w:tcW w:w="1519" w:type="dxa"/>
            <w:tcBorders>
              <w:top w:val="nil"/>
              <w:left w:val="nil"/>
              <w:bottom w:val="nil"/>
              <w:right w:val="nil"/>
            </w:tcBorders>
            <w:shd w:val="clear" w:color="000000" w:fill="FFFFFF"/>
            <w:vAlign w:val="bottom"/>
            <w:hideMark/>
          </w:tcPr>
          <w:p w:rsidR="00FC2012" w:rsidRPr="001048D3" w:rsidRDefault="00FC2012" w:rsidP="003269F2">
            <w:pPr>
              <w:spacing w:before="0"/>
              <w:jc w:val="right"/>
              <w:rPr>
                <w:color w:val="000000"/>
                <w:szCs w:val="24"/>
              </w:rPr>
            </w:pPr>
            <w:r w:rsidRPr="001048D3">
              <w:rPr>
                <w:color w:val="000000"/>
                <w:szCs w:val="24"/>
              </w:rPr>
              <w:t>7,973</w:t>
            </w:r>
          </w:p>
        </w:tc>
        <w:tc>
          <w:tcPr>
            <w:tcW w:w="1560" w:type="dxa"/>
            <w:tcBorders>
              <w:top w:val="nil"/>
              <w:left w:val="nil"/>
              <w:bottom w:val="nil"/>
              <w:right w:val="nil"/>
            </w:tcBorders>
            <w:shd w:val="clear" w:color="000000" w:fill="FFFFFF"/>
            <w:vAlign w:val="bottom"/>
            <w:hideMark/>
          </w:tcPr>
          <w:p w:rsidR="00FC2012" w:rsidRPr="001048D3" w:rsidRDefault="00FC2012" w:rsidP="003269F2">
            <w:pPr>
              <w:spacing w:before="0"/>
              <w:jc w:val="right"/>
              <w:rPr>
                <w:color w:val="000000"/>
                <w:szCs w:val="24"/>
              </w:rPr>
            </w:pPr>
            <w:r w:rsidRPr="001048D3">
              <w:rPr>
                <w:color w:val="000000"/>
                <w:szCs w:val="24"/>
              </w:rPr>
              <w:t>2,705</w:t>
            </w:r>
          </w:p>
        </w:tc>
        <w:tc>
          <w:tcPr>
            <w:tcW w:w="1701" w:type="dxa"/>
            <w:tcBorders>
              <w:top w:val="nil"/>
              <w:left w:val="nil"/>
              <w:bottom w:val="nil"/>
              <w:right w:val="nil"/>
            </w:tcBorders>
            <w:shd w:val="clear" w:color="000000" w:fill="FFFFFF"/>
            <w:vAlign w:val="bottom"/>
            <w:hideMark/>
          </w:tcPr>
          <w:p w:rsidR="00FC2012" w:rsidRPr="001048D3" w:rsidRDefault="00FC2012" w:rsidP="003269F2">
            <w:pPr>
              <w:spacing w:before="0"/>
              <w:jc w:val="right"/>
              <w:rPr>
                <w:color w:val="000000"/>
                <w:szCs w:val="24"/>
              </w:rPr>
            </w:pPr>
            <w:r w:rsidRPr="001048D3">
              <w:rPr>
                <w:color w:val="000000"/>
                <w:szCs w:val="24"/>
              </w:rPr>
              <w:t>14,658</w:t>
            </w:r>
          </w:p>
        </w:tc>
      </w:tr>
      <w:tr w:rsidR="00FC2012" w:rsidRPr="008A5812" w:rsidTr="003269F2">
        <w:trPr>
          <w:trHeight w:val="255"/>
        </w:trPr>
        <w:tc>
          <w:tcPr>
            <w:tcW w:w="2142" w:type="dxa"/>
            <w:tcBorders>
              <w:top w:val="nil"/>
              <w:left w:val="nil"/>
              <w:bottom w:val="nil"/>
              <w:right w:val="nil"/>
            </w:tcBorders>
            <w:shd w:val="clear" w:color="000000" w:fill="FFFFFF"/>
            <w:noWrap/>
            <w:vAlign w:val="bottom"/>
            <w:hideMark/>
          </w:tcPr>
          <w:p w:rsidR="00FC2012" w:rsidRPr="008A5812" w:rsidRDefault="00FC2012" w:rsidP="003269F2">
            <w:pPr>
              <w:spacing w:before="0"/>
              <w:rPr>
                <w:color w:val="000000"/>
                <w:szCs w:val="24"/>
              </w:rPr>
            </w:pPr>
            <w:r w:rsidRPr="008A5812">
              <w:rPr>
                <w:color w:val="000000"/>
                <w:szCs w:val="24"/>
              </w:rPr>
              <w:t>February 2013</w:t>
            </w:r>
          </w:p>
        </w:tc>
        <w:tc>
          <w:tcPr>
            <w:tcW w:w="1535" w:type="dxa"/>
            <w:tcBorders>
              <w:top w:val="nil"/>
              <w:left w:val="nil"/>
              <w:bottom w:val="nil"/>
              <w:right w:val="nil"/>
            </w:tcBorders>
            <w:shd w:val="clear" w:color="000000" w:fill="FFFFFF"/>
            <w:noWrap/>
            <w:vAlign w:val="bottom"/>
            <w:hideMark/>
          </w:tcPr>
          <w:p w:rsidR="00FC2012" w:rsidRPr="001048D3" w:rsidRDefault="00FC2012" w:rsidP="003269F2">
            <w:pPr>
              <w:spacing w:before="0"/>
              <w:jc w:val="right"/>
              <w:rPr>
                <w:color w:val="000000"/>
                <w:szCs w:val="24"/>
              </w:rPr>
            </w:pPr>
            <w:r w:rsidRPr="001048D3">
              <w:rPr>
                <w:color w:val="000000"/>
                <w:szCs w:val="24"/>
              </w:rPr>
              <w:t>5,300</w:t>
            </w:r>
          </w:p>
        </w:tc>
        <w:tc>
          <w:tcPr>
            <w:tcW w:w="1519" w:type="dxa"/>
            <w:tcBorders>
              <w:top w:val="nil"/>
              <w:left w:val="nil"/>
              <w:bottom w:val="nil"/>
              <w:right w:val="nil"/>
            </w:tcBorders>
            <w:shd w:val="clear" w:color="000000" w:fill="FFFFFF"/>
            <w:noWrap/>
            <w:vAlign w:val="bottom"/>
            <w:hideMark/>
          </w:tcPr>
          <w:p w:rsidR="00FC2012" w:rsidRPr="001048D3" w:rsidRDefault="00FC2012" w:rsidP="003269F2">
            <w:pPr>
              <w:spacing w:before="0"/>
              <w:jc w:val="right"/>
              <w:rPr>
                <w:color w:val="000000"/>
                <w:szCs w:val="24"/>
              </w:rPr>
            </w:pPr>
            <w:r w:rsidRPr="001048D3">
              <w:rPr>
                <w:color w:val="000000"/>
                <w:szCs w:val="24"/>
              </w:rPr>
              <w:t>7,189</w:t>
            </w:r>
          </w:p>
        </w:tc>
        <w:tc>
          <w:tcPr>
            <w:tcW w:w="1560" w:type="dxa"/>
            <w:tcBorders>
              <w:top w:val="nil"/>
              <w:left w:val="nil"/>
              <w:bottom w:val="nil"/>
              <w:right w:val="nil"/>
            </w:tcBorders>
            <w:shd w:val="clear" w:color="000000" w:fill="FFFFFF"/>
            <w:noWrap/>
            <w:vAlign w:val="bottom"/>
            <w:hideMark/>
          </w:tcPr>
          <w:p w:rsidR="00FC2012" w:rsidRPr="001048D3" w:rsidRDefault="00FC2012" w:rsidP="003269F2">
            <w:pPr>
              <w:spacing w:before="0"/>
              <w:jc w:val="right"/>
              <w:rPr>
                <w:color w:val="000000"/>
                <w:szCs w:val="24"/>
              </w:rPr>
            </w:pPr>
            <w:r w:rsidRPr="001048D3">
              <w:rPr>
                <w:color w:val="000000"/>
                <w:szCs w:val="24"/>
              </w:rPr>
              <w:t>6,087</w:t>
            </w:r>
          </w:p>
        </w:tc>
        <w:tc>
          <w:tcPr>
            <w:tcW w:w="1701" w:type="dxa"/>
            <w:tcBorders>
              <w:top w:val="nil"/>
              <w:left w:val="nil"/>
              <w:bottom w:val="nil"/>
              <w:right w:val="nil"/>
            </w:tcBorders>
            <w:shd w:val="clear" w:color="000000" w:fill="FFFFFF"/>
            <w:vAlign w:val="bottom"/>
            <w:hideMark/>
          </w:tcPr>
          <w:p w:rsidR="00FC2012" w:rsidRPr="001048D3" w:rsidRDefault="00FC2012" w:rsidP="003269F2">
            <w:pPr>
              <w:spacing w:before="0"/>
              <w:jc w:val="right"/>
              <w:rPr>
                <w:color w:val="000000"/>
                <w:szCs w:val="24"/>
              </w:rPr>
            </w:pPr>
            <w:r w:rsidRPr="001048D3">
              <w:rPr>
                <w:color w:val="000000"/>
                <w:szCs w:val="24"/>
              </w:rPr>
              <w:t>18,576</w:t>
            </w:r>
          </w:p>
        </w:tc>
      </w:tr>
      <w:tr w:rsidR="00FC2012" w:rsidRPr="008A5812" w:rsidTr="003269F2">
        <w:trPr>
          <w:trHeight w:val="255"/>
        </w:trPr>
        <w:tc>
          <w:tcPr>
            <w:tcW w:w="2142" w:type="dxa"/>
            <w:tcBorders>
              <w:top w:val="nil"/>
              <w:left w:val="nil"/>
              <w:bottom w:val="nil"/>
              <w:right w:val="nil"/>
            </w:tcBorders>
            <w:shd w:val="clear" w:color="000000" w:fill="FFFFFF"/>
            <w:noWrap/>
            <w:vAlign w:val="bottom"/>
            <w:hideMark/>
          </w:tcPr>
          <w:p w:rsidR="00FC2012" w:rsidRPr="008A5812" w:rsidRDefault="00FC2012" w:rsidP="003269F2">
            <w:pPr>
              <w:spacing w:before="0"/>
              <w:rPr>
                <w:color w:val="000000"/>
                <w:szCs w:val="24"/>
              </w:rPr>
            </w:pPr>
            <w:r w:rsidRPr="008A5812">
              <w:rPr>
                <w:color w:val="000000"/>
                <w:szCs w:val="24"/>
              </w:rPr>
              <w:t>March 2013</w:t>
            </w:r>
          </w:p>
        </w:tc>
        <w:tc>
          <w:tcPr>
            <w:tcW w:w="1535" w:type="dxa"/>
            <w:tcBorders>
              <w:top w:val="nil"/>
              <w:left w:val="nil"/>
              <w:bottom w:val="nil"/>
              <w:right w:val="nil"/>
            </w:tcBorders>
            <w:shd w:val="clear" w:color="000000" w:fill="FFFFFF"/>
            <w:noWrap/>
            <w:vAlign w:val="bottom"/>
            <w:hideMark/>
          </w:tcPr>
          <w:p w:rsidR="00FC2012" w:rsidRPr="001048D3" w:rsidRDefault="00FC2012" w:rsidP="003269F2">
            <w:pPr>
              <w:spacing w:before="0"/>
              <w:jc w:val="right"/>
              <w:rPr>
                <w:color w:val="000000"/>
                <w:szCs w:val="24"/>
              </w:rPr>
            </w:pPr>
            <w:r w:rsidRPr="001048D3">
              <w:rPr>
                <w:color w:val="000000"/>
                <w:szCs w:val="24"/>
              </w:rPr>
              <w:t>6,605</w:t>
            </w:r>
          </w:p>
        </w:tc>
        <w:tc>
          <w:tcPr>
            <w:tcW w:w="1519" w:type="dxa"/>
            <w:tcBorders>
              <w:top w:val="nil"/>
              <w:left w:val="nil"/>
              <w:bottom w:val="nil"/>
              <w:right w:val="nil"/>
            </w:tcBorders>
            <w:shd w:val="clear" w:color="000000" w:fill="FFFFFF"/>
            <w:noWrap/>
            <w:vAlign w:val="bottom"/>
            <w:hideMark/>
          </w:tcPr>
          <w:p w:rsidR="00FC2012" w:rsidRPr="001048D3" w:rsidRDefault="00FC2012" w:rsidP="003269F2">
            <w:pPr>
              <w:spacing w:before="0"/>
              <w:jc w:val="right"/>
              <w:rPr>
                <w:color w:val="000000"/>
                <w:szCs w:val="24"/>
              </w:rPr>
            </w:pPr>
            <w:r w:rsidRPr="001048D3">
              <w:rPr>
                <w:color w:val="000000"/>
                <w:szCs w:val="24"/>
              </w:rPr>
              <w:t>7,155</w:t>
            </w:r>
          </w:p>
        </w:tc>
        <w:tc>
          <w:tcPr>
            <w:tcW w:w="1560" w:type="dxa"/>
            <w:tcBorders>
              <w:top w:val="nil"/>
              <w:left w:val="nil"/>
              <w:bottom w:val="nil"/>
              <w:right w:val="nil"/>
            </w:tcBorders>
            <w:shd w:val="clear" w:color="000000" w:fill="FFFFFF"/>
            <w:noWrap/>
            <w:vAlign w:val="bottom"/>
            <w:hideMark/>
          </w:tcPr>
          <w:p w:rsidR="00FC2012" w:rsidRPr="001048D3" w:rsidRDefault="00FC2012" w:rsidP="003269F2">
            <w:pPr>
              <w:spacing w:before="0"/>
              <w:jc w:val="right"/>
              <w:rPr>
                <w:color w:val="000000"/>
                <w:szCs w:val="24"/>
              </w:rPr>
            </w:pPr>
            <w:r w:rsidRPr="001048D3">
              <w:rPr>
                <w:color w:val="000000"/>
                <w:szCs w:val="24"/>
              </w:rPr>
              <w:t>7,404</w:t>
            </w:r>
          </w:p>
        </w:tc>
        <w:tc>
          <w:tcPr>
            <w:tcW w:w="1701" w:type="dxa"/>
            <w:tcBorders>
              <w:top w:val="nil"/>
              <w:left w:val="nil"/>
              <w:bottom w:val="nil"/>
              <w:right w:val="nil"/>
            </w:tcBorders>
            <w:shd w:val="clear" w:color="000000" w:fill="FFFFFF"/>
            <w:vAlign w:val="bottom"/>
            <w:hideMark/>
          </w:tcPr>
          <w:p w:rsidR="00FC2012" w:rsidRPr="001048D3" w:rsidRDefault="00FC2012" w:rsidP="003269F2">
            <w:pPr>
              <w:spacing w:before="0"/>
              <w:jc w:val="right"/>
              <w:rPr>
                <w:color w:val="000000"/>
                <w:szCs w:val="24"/>
              </w:rPr>
            </w:pPr>
            <w:r w:rsidRPr="001048D3">
              <w:rPr>
                <w:color w:val="000000"/>
                <w:szCs w:val="24"/>
              </w:rPr>
              <w:t>21,164</w:t>
            </w:r>
          </w:p>
        </w:tc>
      </w:tr>
      <w:tr w:rsidR="00FC2012" w:rsidRPr="008A5812" w:rsidTr="003269F2">
        <w:trPr>
          <w:trHeight w:val="255"/>
        </w:trPr>
        <w:tc>
          <w:tcPr>
            <w:tcW w:w="2142" w:type="dxa"/>
            <w:tcBorders>
              <w:top w:val="nil"/>
              <w:left w:val="nil"/>
              <w:bottom w:val="nil"/>
              <w:right w:val="nil"/>
            </w:tcBorders>
            <w:shd w:val="clear" w:color="000000" w:fill="FFFFFF"/>
            <w:noWrap/>
            <w:vAlign w:val="bottom"/>
            <w:hideMark/>
          </w:tcPr>
          <w:p w:rsidR="00FC2012" w:rsidRPr="008A5812" w:rsidRDefault="00FC2012" w:rsidP="003269F2">
            <w:pPr>
              <w:spacing w:before="0"/>
              <w:rPr>
                <w:color w:val="000000"/>
                <w:szCs w:val="24"/>
              </w:rPr>
            </w:pPr>
            <w:r w:rsidRPr="008A5812">
              <w:rPr>
                <w:color w:val="000000"/>
                <w:szCs w:val="24"/>
              </w:rPr>
              <w:t>April 2013</w:t>
            </w:r>
          </w:p>
        </w:tc>
        <w:tc>
          <w:tcPr>
            <w:tcW w:w="1535" w:type="dxa"/>
            <w:tcBorders>
              <w:top w:val="nil"/>
              <w:left w:val="nil"/>
              <w:bottom w:val="nil"/>
              <w:right w:val="nil"/>
            </w:tcBorders>
            <w:shd w:val="clear" w:color="000000" w:fill="FFFFFF"/>
            <w:noWrap/>
            <w:vAlign w:val="bottom"/>
            <w:hideMark/>
          </w:tcPr>
          <w:p w:rsidR="00FC2012" w:rsidRPr="001048D3" w:rsidRDefault="00FC2012" w:rsidP="003269F2">
            <w:pPr>
              <w:spacing w:before="0"/>
              <w:jc w:val="right"/>
              <w:rPr>
                <w:color w:val="000000"/>
                <w:szCs w:val="24"/>
              </w:rPr>
            </w:pPr>
            <w:r w:rsidRPr="001048D3">
              <w:rPr>
                <w:color w:val="000000"/>
                <w:szCs w:val="24"/>
              </w:rPr>
              <w:t>10,111</w:t>
            </w:r>
          </w:p>
        </w:tc>
        <w:tc>
          <w:tcPr>
            <w:tcW w:w="1519" w:type="dxa"/>
            <w:tcBorders>
              <w:top w:val="nil"/>
              <w:left w:val="nil"/>
              <w:bottom w:val="nil"/>
              <w:right w:val="nil"/>
            </w:tcBorders>
            <w:shd w:val="clear" w:color="000000" w:fill="FFFFFF"/>
            <w:noWrap/>
            <w:vAlign w:val="bottom"/>
            <w:hideMark/>
          </w:tcPr>
          <w:p w:rsidR="00FC2012" w:rsidRPr="001048D3" w:rsidRDefault="00FC2012" w:rsidP="003269F2">
            <w:pPr>
              <w:spacing w:before="0"/>
              <w:jc w:val="right"/>
              <w:rPr>
                <w:color w:val="000000"/>
                <w:szCs w:val="24"/>
              </w:rPr>
            </w:pPr>
            <w:r w:rsidRPr="001048D3">
              <w:rPr>
                <w:color w:val="000000"/>
                <w:szCs w:val="24"/>
              </w:rPr>
              <w:t>7,830</w:t>
            </w:r>
          </w:p>
        </w:tc>
        <w:tc>
          <w:tcPr>
            <w:tcW w:w="1560" w:type="dxa"/>
            <w:tcBorders>
              <w:top w:val="nil"/>
              <w:left w:val="nil"/>
              <w:bottom w:val="nil"/>
              <w:right w:val="nil"/>
            </w:tcBorders>
            <w:shd w:val="clear" w:color="000000" w:fill="FFFFFF"/>
            <w:noWrap/>
            <w:vAlign w:val="bottom"/>
            <w:hideMark/>
          </w:tcPr>
          <w:p w:rsidR="00FC2012" w:rsidRPr="001048D3" w:rsidRDefault="00FC2012" w:rsidP="003269F2">
            <w:pPr>
              <w:spacing w:before="0"/>
              <w:jc w:val="right"/>
              <w:rPr>
                <w:color w:val="000000"/>
                <w:szCs w:val="24"/>
              </w:rPr>
            </w:pPr>
            <w:r w:rsidRPr="001048D3">
              <w:rPr>
                <w:color w:val="000000"/>
                <w:szCs w:val="24"/>
              </w:rPr>
              <w:t>9,868</w:t>
            </w:r>
          </w:p>
        </w:tc>
        <w:tc>
          <w:tcPr>
            <w:tcW w:w="1701" w:type="dxa"/>
            <w:tcBorders>
              <w:top w:val="nil"/>
              <w:left w:val="nil"/>
              <w:bottom w:val="nil"/>
              <w:right w:val="nil"/>
            </w:tcBorders>
            <w:shd w:val="clear" w:color="000000" w:fill="FFFFFF"/>
            <w:vAlign w:val="bottom"/>
            <w:hideMark/>
          </w:tcPr>
          <w:p w:rsidR="00FC2012" w:rsidRPr="001048D3" w:rsidRDefault="00FC2012" w:rsidP="003269F2">
            <w:pPr>
              <w:spacing w:before="0"/>
              <w:jc w:val="right"/>
              <w:rPr>
                <w:color w:val="000000"/>
                <w:szCs w:val="24"/>
              </w:rPr>
            </w:pPr>
            <w:r w:rsidRPr="001048D3">
              <w:rPr>
                <w:color w:val="000000"/>
                <w:szCs w:val="24"/>
              </w:rPr>
              <w:t>27,809</w:t>
            </w:r>
          </w:p>
        </w:tc>
      </w:tr>
      <w:tr w:rsidR="00FC2012" w:rsidRPr="008A5812" w:rsidTr="003269F2">
        <w:trPr>
          <w:trHeight w:val="255"/>
        </w:trPr>
        <w:tc>
          <w:tcPr>
            <w:tcW w:w="2142" w:type="dxa"/>
            <w:tcBorders>
              <w:top w:val="nil"/>
              <w:left w:val="nil"/>
              <w:bottom w:val="nil"/>
              <w:right w:val="nil"/>
            </w:tcBorders>
            <w:shd w:val="clear" w:color="000000" w:fill="FFFFFF"/>
            <w:noWrap/>
            <w:vAlign w:val="bottom"/>
            <w:hideMark/>
          </w:tcPr>
          <w:p w:rsidR="00FC2012" w:rsidRPr="008A5812" w:rsidRDefault="00FC2012" w:rsidP="003269F2">
            <w:pPr>
              <w:spacing w:before="0"/>
              <w:rPr>
                <w:color w:val="000000"/>
                <w:szCs w:val="24"/>
              </w:rPr>
            </w:pPr>
            <w:r w:rsidRPr="008A5812">
              <w:rPr>
                <w:color w:val="000000"/>
                <w:szCs w:val="24"/>
              </w:rPr>
              <w:t>May 2013</w:t>
            </w:r>
          </w:p>
        </w:tc>
        <w:tc>
          <w:tcPr>
            <w:tcW w:w="1535" w:type="dxa"/>
            <w:tcBorders>
              <w:top w:val="nil"/>
              <w:left w:val="nil"/>
              <w:bottom w:val="nil"/>
              <w:right w:val="nil"/>
            </w:tcBorders>
            <w:shd w:val="clear" w:color="000000" w:fill="FFFFFF"/>
            <w:noWrap/>
            <w:vAlign w:val="bottom"/>
            <w:hideMark/>
          </w:tcPr>
          <w:p w:rsidR="00FC2012" w:rsidRPr="001048D3" w:rsidRDefault="00FC2012" w:rsidP="003269F2">
            <w:pPr>
              <w:spacing w:before="0"/>
              <w:jc w:val="right"/>
              <w:rPr>
                <w:color w:val="000000"/>
                <w:szCs w:val="24"/>
              </w:rPr>
            </w:pPr>
            <w:r w:rsidRPr="001048D3">
              <w:rPr>
                <w:color w:val="000000"/>
                <w:szCs w:val="24"/>
              </w:rPr>
              <w:t>12,138</w:t>
            </w:r>
          </w:p>
        </w:tc>
        <w:tc>
          <w:tcPr>
            <w:tcW w:w="1519" w:type="dxa"/>
            <w:tcBorders>
              <w:top w:val="nil"/>
              <w:left w:val="nil"/>
              <w:bottom w:val="nil"/>
              <w:right w:val="nil"/>
            </w:tcBorders>
            <w:shd w:val="clear" w:color="000000" w:fill="FFFFFF"/>
            <w:noWrap/>
            <w:vAlign w:val="bottom"/>
            <w:hideMark/>
          </w:tcPr>
          <w:p w:rsidR="00FC2012" w:rsidRPr="001048D3" w:rsidRDefault="00FC2012" w:rsidP="003269F2">
            <w:pPr>
              <w:spacing w:before="0"/>
              <w:jc w:val="right"/>
              <w:rPr>
                <w:color w:val="000000"/>
                <w:szCs w:val="24"/>
              </w:rPr>
            </w:pPr>
            <w:r w:rsidRPr="001048D3">
              <w:rPr>
                <w:color w:val="000000"/>
                <w:szCs w:val="24"/>
              </w:rPr>
              <w:t>9,526</w:t>
            </w:r>
          </w:p>
        </w:tc>
        <w:tc>
          <w:tcPr>
            <w:tcW w:w="1560" w:type="dxa"/>
            <w:tcBorders>
              <w:top w:val="nil"/>
              <w:left w:val="nil"/>
              <w:bottom w:val="nil"/>
              <w:right w:val="nil"/>
            </w:tcBorders>
            <w:shd w:val="clear" w:color="000000" w:fill="FFFFFF"/>
            <w:noWrap/>
            <w:vAlign w:val="bottom"/>
            <w:hideMark/>
          </w:tcPr>
          <w:p w:rsidR="00FC2012" w:rsidRPr="001048D3" w:rsidRDefault="00FC2012" w:rsidP="003269F2">
            <w:pPr>
              <w:spacing w:before="0"/>
              <w:jc w:val="right"/>
              <w:rPr>
                <w:color w:val="000000"/>
                <w:szCs w:val="24"/>
              </w:rPr>
            </w:pPr>
            <w:r w:rsidRPr="001048D3">
              <w:rPr>
                <w:color w:val="000000"/>
                <w:szCs w:val="24"/>
              </w:rPr>
              <w:t>12,189</w:t>
            </w:r>
          </w:p>
        </w:tc>
        <w:tc>
          <w:tcPr>
            <w:tcW w:w="1701" w:type="dxa"/>
            <w:tcBorders>
              <w:top w:val="nil"/>
              <w:left w:val="nil"/>
              <w:bottom w:val="nil"/>
              <w:right w:val="nil"/>
            </w:tcBorders>
            <w:shd w:val="clear" w:color="000000" w:fill="FFFFFF"/>
            <w:vAlign w:val="bottom"/>
            <w:hideMark/>
          </w:tcPr>
          <w:p w:rsidR="00FC2012" w:rsidRPr="001048D3" w:rsidRDefault="00FC2012" w:rsidP="003269F2">
            <w:pPr>
              <w:spacing w:before="0"/>
              <w:jc w:val="right"/>
              <w:rPr>
                <w:color w:val="000000"/>
                <w:szCs w:val="24"/>
              </w:rPr>
            </w:pPr>
            <w:r w:rsidRPr="001048D3">
              <w:rPr>
                <w:color w:val="000000"/>
                <w:szCs w:val="24"/>
              </w:rPr>
              <w:t>33,853</w:t>
            </w:r>
          </w:p>
        </w:tc>
      </w:tr>
      <w:tr w:rsidR="00FC2012" w:rsidRPr="008A5812" w:rsidTr="003269F2">
        <w:trPr>
          <w:trHeight w:val="255"/>
        </w:trPr>
        <w:tc>
          <w:tcPr>
            <w:tcW w:w="2142" w:type="dxa"/>
            <w:tcBorders>
              <w:top w:val="nil"/>
              <w:left w:val="nil"/>
              <w:bottom w:val="nil"/>
              <w:right w:val="nil"/>
            </w:tcBorders>
            <w:shd w:val="clear" w:color="000000" w:fill="FFFFFF"/>
            <w:noWrap/>
            <w:vAlign w:val="bottom"/>
          </w:tcPr>
          <w:p w:rsidR="00FC2012" w:rsidRPr="008A5812" w:rsidRDefault="00FC2012" w:rsidP="003269F2">
            <w:pPr>
              <w:spacing w:before="0"/>
              <w:rPr>
                <w:color w:val="000000"/>
                <w:szCs w:val="24"/>
              </w:rPr>
            </w:pPr>
            <w:r w:rsidRPr="008A5812">
              <w:rPr>
                <w:color w:val="000000"/>
                <w:szCs w:val="24"/>
              </w:rPr>
              <w:t>June 2013</w:t>
            </w:r>
          </w:p>
        </w:tc>
        <w:tc>
          <w:tcPr>
            <w:tcW w:w="1535" w:type="dxa"/>
            <w:tcBorders>
              <w:top w:val="nil"/>
              <w:left w:val="nil"/>
              <w:bottom w:val="nil"/>
              <w:right w:val="nil"/>
            </w:tcBorders>
            <w:shd w:val="clear" w:color="000000" w:fill="FFFFFF"/>
            <w:noWrap/>
            <w:vAlign w:val="bottom"/>
          </w:tcPr>
          <w:p w:rsidR="00FC2012" w:rsidRPr="001048D3" w:rsidRDefault="00FC2012" w:rsidP="003269F2">
            <w:pPr>
              <w:spacing w:before="0"/>
              <w:jc w:val="right"/>
              <w:rPr>
                <w:color w:val="000000"/>
                <w:szCs w:val="24"/>
              </w:rPr>
            </w:pPr>
            <w:r w:rsidRPr="001048D3">
              <w:rPr>
                <w:color w:val="000000"/>
                <w:szCs w:val="24"/>
              </w:rPr>
              <w:t>8,191</w:t>
            </w:r>
          </w:p>
        </w:tc>
        <w:tc>
          <w:tcPr>
            <w:tcW w:w="1519" w:type="dxa"/>
            <w:tcBorders>
              <w:top w:val="nil"/>
              <w:left w:val="nil"/>
              <w:bottom w:val="nil"/>
              <w:right w:val="nil"/>
            </w:tcBorders>
            <w:shd w:val="clear" w:color="000000" w:fill="FFFFFF"/>
            <w:noWrap/>
            <w:vAlign w:val="bottom"/>
          </w:tcPr>
          <w:p w:rsidR="00FC2012" w:rsidRPr="001048D3" w:rsidRDefault="00FC2012" w:rsidP="003269F2">
            <w:pPr>
              <w:spacing w:before="0"/>
              <w:jc w:val="right"/>
              <w:rPr>
                <w:color w:val="000000"/>
                <w:szCs w:val="24"/>
              </w:rPr>
            </w:pPr>
            <w:r w:rsidRPr="001048D3">
              <w:rPr>
                <w:color w:val="000000"/>
                <w:szCs w:val="24"/>
              </w:rPr>
              <w:t>9,868</w:t>
            </w:r>
          </w:p>
        </w:tc>
        <w:tc>
          <w:tcPr>
            <w:tcW w:w="1560" w:type="dxa"/>
            <w:tcBorders>
              <w:top w:val="nil"/>
              <w:left w:val="nil"/>
              <w:bottom w:val="nil"/>
              <w:right w:val="nil"/>
            </w:tcBorders>
            <w:shd w:val="clear" w:color="000000" w:fill="FFFFFF"/>
            <w:noWrap/>
            <w:vAlign w:val="bottom"/>
          </w:tcPr>
          <w:p w:rsidR="00FC2012" w:rsidRPr="001048D3" w:rsidRDefault="00FC2012" w:rsidP="003269F2">
            <w:pPr>
              <w:spacing w:before="0"/>
              <w:jc w:val="right"/>
              <w:rPr>
                <w:color w:val="000000"/>
                <w:szCs w:val="24"/>
              </w:rPr>
            </w:pPr>
            <w:r w:rsidRPr="001048D3">
              <w:rPr>
                <w:color w:val="000000"/>
                <w:szCs w:val="24"/>
              </w:rPr>
              <w:t>16,040</w:t>
            </w:r>
          </w:p>
        </w:tc>
        <w:tc>
          <w:tcPr>
            <w:tcW w:w="1701" w:type="dxa"/>
            <w:tcBorders>
              <w:top w:val="nil"/>
              <w:left w:val="nil"/>
              <w:bottom w:val="nil"/>
              <w:right w:val="nil"/>
            </w:tcBorders>
            <w:shd w:val="clear" w:color="000000" w:fill="FFFFFF"/>
            <w:vAlign w:val="bottom"/>
          </w:tcPr>
          <w:p w:rsidR="00FC2012" w:rsidRPr="001048D3" w:rsidRDefault="00FC2012" w:rsidP="003269F2">
            <w:pPr>
              <w:spacing w:before="0"/>
              <w:jc w:val="right"/>
              <w:rPr>
                <w:color w:val="000000"/>
                <w:szCs w:val="24"/>
              </w:rPr>
            </w:pPr>
            <w:r w:rsidRPr="001048D3">
              <w:rPr>
                <w:color w:val="000000"/>
                <w:szCs w:val="24"/>
              </w:rPr>
              <w:t>34,099</w:t>
            </w:r>
          </w:p>
        </w:tc>
      </w:tr>
      <w:tr w:rsidR="00FC2012" w:rsidRPr="008A5812" w:rsidTr="003269F2">
        <w:trPr>
          <w:trHeight w:val="255"/>
        </w:trPr>
        <w:tc>
          <w:tcPr>
            <w:tcW w:w="2142" w:type="dxa"/>
            <w:tcBorders>
              <w:top w:val="nil"/>
              <w:left w:val="nil"/>
              <w:bottom w:val="nil"/>
              <w:right w:val="nil"/>
            </w:tcBorders>
            <w:shd w:val="clear" w:color="000000" w:fill="FFFFFF"/>
            <w:noWrap/>
            <w:vAlign w:val="bottom"/>
          </w:tcPr>
          <w:p w:rsidR="00FC2012" w:rsidRPr="008A5812" w:rsidRDefault="00FC2012" w:rsidP="003269F2">
            <w:pPr>
              <w:spacing w:before="0"/>
              <w:rPr>
                <w:color w:val="000000"/>
                <w:szCs w:val="24"/>
              </w:rPr>
            </w:pPr>
            <w:r w:rsidRPr="008A5812">
              <w:rPr>
                <w:color w:val="000000"/>
                <w:szCs w:val="24"/>
              </w:rPr>
              <w:t>July 2013</w:t>
            </w:r>
          </w:p>
        </w:tc>
        <w:tc>
          <w:tcPr>
            <w:tcW w:w="1535" w:type="dxa"/>
            <w:tcBorders>
              <w:top w:val="nil"/>
              <w:left w:val="nil"/>
              <w:bottom w:val="nil"/>
              <w:right w:val="nil"/>
            </w:tcBorders>
            <w:shd w:val="clear" w:color="000000" w:fill="FFFFFF"/>
            <w:noWrap/>
            <w:vAlign w:val="bottom"/>
          </w:tcPr>
          <w:p w:rsidR="00FC2012" w:rsidRPr="001048D3" w:rsidRDefault="00FC2012" w:rsidP="003269F2">
            <w:pPr>
              <w:spacing w:before="0"/>
              <w:jc w:val="right"/>
              <w:rPr>
                <w:color w:val="000000"/>
                <w:szCs w:val="24"/>
              </w:rPr>
            </w:pPr>
            <w:r w:rsidRPr="001048D3">
              <w:rPr>
                <w:color w:val="000000"/>
                <w:szCs w:val="24"/>
              </w:rPr>
              <w:t>14,948</w:t>
            </w:r>
          </w:p>
        </w:tc>
        <w:tc>
          <w:tcPr>
            <w:tcW w:w="1519" w:type="dxa"/>
            <w:tcBorders>
              <w:top w:val="nil"/>
              <w:left w:val="nil"/>
              <w:bottom w:val="nil"/>
              <w:right w:val="nil"/>
            </w:tcBorders>
            <w:shd w:val="clear" w:color="000000" w:fill="FFFFFF"/>
            <w:noWrap/>
            <w:vAlign w:val="bottom"/>
          </w:tcPr>
          <w:p w:rsidR="00FC2012" w:rsidRPr="001048D3" w:rsidRDefault="00FC2012" w:rsidP="003269F2">
            <w:pPr>
              <w:spacing w:before="0"/>
              <w:jc w:val="right"/>
              <w:rPr>
                <w:color w:val="000000"/>
                <w:szCs w:val="24"/>
              </w:rPr>
            </w:pPr>
            <w:r w:rsidRPr="001048D3">
              <w:rPr>
                <w:color w:val="000000"/>
                <w:szCs w:val="24"/>
              </w:rPr>
              <w:t>10,542</w:t>
            </w:r>
          </w:p>
        </w:tc>
        <w:tc>
          <w:tcPr>
            <w:tcW w:w="1560" w:type="dxa"/>
            <w:tcBorders>
              <w:top w:val="nil"/>
              <w:left w:val="nil"/>
              <w:bottom w:val="nil"/>
              <w:right w:val="nil"/>
            </w:tcBorders>
            <w:shd w:val="clear" w:color="000000" w:fill="FFFFFF"/>
            <w:noWrap/>
            <w:vAlign w:val="bottom"/>
          </w:tcPr>
          <w:p w:rsidR="00FC2012" w:rsidRPr="001048D3" w:rsidRDefault="00FC2012" w:rsidP="003269F2">
            <w:pPr>
              <w:spacing w:before="0"/>
              <w:jc w:val="right"/>
              <w:rPr>
                <w:color w:val="000000"/>
                <w:szCs w:val="24"/>
              </w:rPr>
            </w:pPr>
            <w:r w:rsidRPr="001048D3">
              <w:rPr>
                <w:color w:val="000000"/>
                <w:szCs w:val="24"/>
              </w:rPr>
              <w:t>19,437</w:t>
            </w:r>
          </w:p>
        </w:tc>
        <w:tc>
          <w:tcPr>
            <w:tcW w:w="1701" w:type="dxa"/>
            <w:tcBorders>
              <w:top w:val="nil"/>
              <w:left w:val="nil"/>
              <w:bottom w:val="nil"/>
              <w:right w:val="nil"/>
            </w:tcBorders>
            <w:shd w:val="clear" w:color="000000" w:fill="FFFFFF"/>
            <w:vAlign w:val="bottom"/>
          </w:tcPr>
          <w:p w:rsidR="00FC2012" w:rsidRPr="001048D3" w:rsidRDefault="00FC2012" w:rsidP="003269F2">
            <w:pPr>
              <w:spacing w:before="0"/>
              <w:jc w:val="right"/>
              <w:rPr>
                <w:color w:val="000000"/>
                <w:szCs w:val="24"/>
              </w:rPr>
            </w:pPr>
            <w:r w:rsidRPr="001048D3">
              <w:rPr>
                <w:color w:val="000000"/>
                <w:szCs w:val="24"/>
              </w:rPr>
              <w:t>44,927</w:t>
            </w:r>
          </w:p>
        </w:tc>
      </w:tr>
      <w:tr w:rsidR="00FC2012" w:rsidRPr="008A5812" w:rsidTr="003269F2">
        <w:trPr>
          <w:trHeight w:val="255"/>
        </w:trPr>
        <w:tc>
          <w:tcPr>
            <w:tcW w:w="2142" w:type="dxa"/>
            <w:tcBorders>
              <w:top w:val="nil"/>
              <w:left w:val="nil"/>
              <w:bottom w:val="nil"/>
              <w:right w:val="nil"/>
            </w:tcBorders>
            <w:shd w:val="clear" w:color="000000" w:fill="FFFFFF"/>
            <w:noWrap/>
            <w:vAlign w:val="bottom"/>
          </w:tcPr>
          <w:p w:rsidR="00FC2012" w:rsidRPr="008A5812" w:rsidRDefault="00FC2012" w:rsidP="003269F2">
            <w:pPr>
              <w:spacing w:before="0"/>
              <w:rPr>
                <w:color w:val="000000"/>
                <w:szCs w:val="24"/>
              </w:rPr>
            </w:pPr>
            <w:r w:rsidRPr="008A5812">
              <w:rPr>
                <w:color w:val="000000"/>
                <w:szCs w:val="24"/>
              </w:rPr>
              <w:t>August 2013</w:t>
            </w:r>
          </w:p>
        </w:tc>
        <w:tc>
          <w:tcPr>
            <w:tcW w:w="1535" w:type="dxa"/>
            <w:tcBorders>
              <w:top w:val="nil"/>
              <w:left w:val="nil"/>
              <w:bottom w:val="nil"/>
              <w:right w:val="nil"/>
            </w:tcBorders>
            <w:shd w:val="clear" w:color="000000" w:fill="FFFFFF"/>
            <w:noWrap/>
            <w:vAlign w:val="bottom"/>
          </w:tcPr>
          <w:p w:rsidR="00FC2012" w:rsidRPr="001048D3" w:rsidRDefault="00FC2012" w:rsidP="003269F2">
            <w:pPr>
              <w:spacing w:before="0"/>
              <w:jc w:val="right"/>
              <w:rPr>
                <w:color w:val="000000"/>
                <w:szCs w:val="24"/>
              </w:rPr>
            </w:pPr>
            <w:r w:rsidRPr="001048D3">
              <w:rPr>
                <w:color w:val="000000"/>
                <w:szCs w:val="24"/>
              </w:rPr>
              <w:t>16,686</w:t>
            </w:r>
          </w:p>
        </w:tc>
        <w:tc>
          <w:tcPr>
            <w:tcW w:w="1519" w:type="dxa"/>
            <w:tcBorders>
              <w:top w:val="nil"/>
              <w:left w:val="nil"/>
              <w:bottom w:val="nil"/>
              <w:right w:val="nil"/>
            </w:tcBorders>
            <w:shd w:val="clear" w:color="000000" w:fill="FFFFFF"/>
            <w:noWrap/>
            <w:vAlign w:val="bottom"/>
          </w:tcPr>
          <w:p w:rsidR="00FC2012" w:rsidRPr="001048D3" w:rsidRDefault="00FC2012" w:rsidP="003269F2">
            <w:pPr>
              <w:spacing w:before="0"/>
              <w:jc w:val="right"/>
              <w:rPr>
                <w:color w:val="000000"/>
                <w:szCs w:val="24"/>
              </w:rPr>
            </w:pPr>
            <w:r w:rsidRPr="001048D3">
              <w:rPr>
                <w:color w:val="000000"/>
                <w:szCs w:val="24"/>
              </w:rPr>
              <w:t>7,662</w:t>
            </w:r>
          </w:p>
        </w:tc>
        <w:tc>
          <w:tcPr>
            <w:tcW w:w="1560" w:type="dxa"/>
            <w:tcBorders>
              <w:top w:val="nil"/>
              <w:left w:val="nil"/>
              <w:bottom w:val="nil"/>
              <w:right w:val="nil"/>
            </w:tcBorders>
            <w:shd w:val="clear" w:color="000000" w:fill="FFFFFF"/>
            <w:noWrap/>
            <w:vAlign w:val="bottom"/>
          </w:tcPr>
          <w:p w:rsidR="00FC2012" w:rsidRPr="001048D3" w:rsidRDefault="00FC2012" w:rsidP="003269F2">
            <w:pPr>
              <w:spacing w:before="0"/>
              <w:jc w:val="right"/>
              <w:rPr>
                <w:color w:val="000000"/>
                <w:szCs w:val="24"/>
              </w:rPr>
            </w:pPr>
            <w:r w:rsidRPr="001048D3">
              <w:rPr>
                <w:color w:val="000000"/>
                <w:szCs w:val="24"/>
              </w:rPr>
              <w:t>25,864</w:t>
            </w:r>
          </w:p>
        </w:tc>
        <w:tc>
          <w:tcPr>
            <w:tcW w:w="1701" w:type="dxa"/>
            <w:tcBorders>
              <w:top w:val="nil"/>
              <w:left w:val="nil"/>
              <w:bottom w:val="nil"/>
              <w:right w:val="nil"/>
            </w:tcBorders>
            <w:shd w:val="clear" w:color="000000" w:fill="FFFFFF"/>
            <w:vAlign w:val="bottom"/>
          </w:tcPr>
          <w:p w:rsidR="00FC2012" w:rsidRPr="001048D3" w:rsidRDefault="00FC2012" w:rsidP="003269F2">
            <w:pPr>
              <w:spacing w:before="0"/>
              <w:jc w:val="right"/>
              <w:rPr>
                <w:color w:val="000000"/>
                <w:szCs w:val="24"/>
              </w:rPr>
            </w:pPr>
            <w:r w:rsidRPr="001048D3">
              <w:rPr>
                <w:color w:val="000000"/>
                <w:szCs w:val="24"/>
              </w:rPr>
              <w:t>50,212</w:t>
            </w:r>
          </w:p>
        </w:tc>
      </w:tr>
      <w:tr w:rsidR="00FC2012" w:rsidRPr="008A5812" w:rsidTr="003269F2">
        <w:trPr>
          <w:trHeight w:val="255"/>
        </w:trPr>
        <w:tc>
          <w:tcPr>
            <w:tcW w:w="2142" w:type="dxa"/>
            <w:tcBorders>
              <w:top w:val="nil"/>
              <w:left w:val="nil"/>
              <w:bottom w:val="nil"/>
              <w:right w:val="nil"/>
            </w:tcBorders>
            <w:shd w:val="clear" w:color="000000" w:fill="FFFFFF"/>
            <w:noWrap/>
            <w:vAlign w:val="bottom"/>
          </w:tcPr>
          <w:p w:rsidR="00FC2012" w:rsidRPr="008A5812" w:rsidRDefault="00FC2012" w:rsidP="003269F2">
            <w:pPr>
              <w:spacing w:before="0"/>
              <w:rPr>
                <w:color w:val="000000"/>
                <w:szCs w:val="24"/>
              </w:rPr>
            </w:pPr>
            <w:r w:rsidRPr="008A5812">
              <w:rPr>
                <w:color w:val="000000"/>
                <w:szCs w:val="24"/>
              </w:rPr>
              <w:t>September 2013</w:t>
            </w:r>
          </w:p>
        </w:tc>
        <w:tc>
          <w:tcPr>
            <w:tcW w:w="1535" w:type="dxa"/>
            <w:tcBorders>
              <w:top w:val="nil"/>
              <w:left w:val="nil"/>
              <w:bottom w:val="nil"/>
              <w:right w:val="nil"/>
            </w:tcBorders>
            <w:shd w:val="clear" w:color="000000" w:fill="FFFFFF"/>
            <w:noWrap/>
            <w:vAlign w:val="bottom"/>
          </w:tcPr>
          <w:p w:rsidR="00FC2012" w:rsidRPr="001048D3" w:rsidRDefault="00FC2012" w:rsidP="003269F2">
            <w:pPr>
              <w:spacing w:before="0"/>
              <w:jc w:val="right"/>
              <w:rPr>
                <w:color w:val="000000"/>
                <w:szCs w:val="24"/>
              </w:rPr>
            </w:pPr>
            <w:r w:rsidRPr="001048D3">
              <w:rPr>
                <w:color w:val="000000"/>
                <w:szCs w:val="24"/>
              </w:rPr>
              <w:t>21,220</w:t>
            </w:r>
          </w:p>
        </w:tc>
        <w:tc>
          <w:tcPr>
            <w:tcW w:w="1519" w:type="dxa"/>
            <w:tcBorders>
              <w:top w:val="nil"/>
              <w:left w:val="nil"/>
              <w:bottom w:val="nil"/>
              <w:right w:val="nil"/>
            </w:tcBorders>
            <w:shd w:val="clear" w:color="000000" w:fill="FFFFFF"/>
            <w:noWrap/>
            <w:vAlign w:val="bottom"/>
          </w:tcPr>
          <w:p w:rsidR="00FC2012" w:rsidRPr="001048D3" w:rsidRDefault="00FC2012" w:rsidP="003269F2">
            <w:pPr>
              <w:spacing w:before="0"/>
              <w:jc w:val="right"/>
              <w:rPr>
                <w:color w:val="000000"/>
                <w:szCs w:val="24"/>
              </w:rPr>
            </w:pPr>
            <w:r w:rsidRPr="001048D3">
              <w:rPr>
                <w:color w:val="000000"/>
                <w:szCs w:val="24"/>
              </w:rPr>
              <w:t>8,541</w:t>
            </w:r>
          </w:p>
        </w:tc>
        <w:tc>
          <w:tcPr>
            <w:tcW w:w="1560" w:type="dxa"/>
            <w:tcBorders>
              <w:top w:val="nil"/>
              <w:left w:val="nil"/>
              <w:bottom w:val="nil"/>
              <w:right w:val="nil"/>
            </w:tcBorders>
            <w:shd w:val="clear" w:color="000000" w:fill="FFFFFF"/>
            <w:noWrap/>
            <w:vAlign w:val="bottom"/>
          </w:tcPr>
          <w:p w:rsidR="00FC2012" w:rsidRPr="001048D3" w:rsidRDefault="00FC2012" w:rsidP="003269F2">
            <w:pPr>
              <w:spacing w:before="0"/>
              <w:jc w:val="right"/>
              <w:rPr>
                <w:color w:val="000000"/>
                <w:szCs w:val="24"/>
              </w:rPr>
            </w:pPr>
            <w:r w:rsidRPr="001048D3">
              <w:rPr>
                <w:color w:val="000000"/>
                <w:szCs w:val="24"/>
              </w:rPr>
              <w:t>28,736</w:t>
            </w:r>
          </w:p>
        </w:tc>
        <w:tc>
          <w:tcPr>
            <w:tcW w:w="1701" w:type="dxa"/>
            <w:tcBorders>
              <w:top w:val="nil"/>
              <w:left w:val="nil"/>
              <w:bottom w:val="nil"/>
              <w:right w:val="nil"/>
            </w:tcBorders>
            <w:shd w:val="clear" w:color="000000" w:fill="FFFFFF"/>
            <w:vAlign w:val="bottom"/>
          </w:tcPr>
          <w:p w:rsidR="00FC2012" w:rsidRPr="001048D3" w:rsidRDefault="00FC2012" w:rsidP="003269F2">
            <w:pPr>
              <w:spacing w:before="0"/>
              <w:jc w:val="right"/>
              <w:rPr>
                <w:color w:val="000000"/>
                <w:szCs w:val="24"/>
              </w:rPr>
            </w:pPr>
            <w:r w:rsidRPr="001048D3">
              <w:rPr>
                <w:color w:val="000000"/>
                <w:szCs w:val="24"/>
              </w:rPr>
              <w:t>58,497</w:t>
            </w:r>
          </w:p>
        </w:tc>
      </w:tr>
      <w:tr w:rsidR="00FC2012" w:rsidRPr="008A5812" w:rsidTr="003269F2">
        <w:trPr>
          <w:trHeight w:val="255"/>
        </w:trPr>
        <w:tc>
          <w:tcPr>
            <w:tcW w:w="2142" w:type="dxa"/>
            <w:tcBorders>
              <w:top w:val="nil"/>
              <w:left w:val="nil"/>
              <w:bottom w:val="nil"/>
              <w:right w:val="nil"/>
            </w:tcBorders>
            <w:shd w:val="clear" w:color="000000" w:fill="FFFFFF"/>
            <w:noWrap/>
            <w:vAlign w:val="bottom"/>
            <w:hideMark/>
          </w:tcPr>
          <w:p w:rsidR="00FC2012" w:rsidRPr="008A5812" w:rsidRDefault="00FC2012" w:rsidP="003269F2">
            <w:pPr>
              <w:spacing w:before="0" w:line="240" w:lineRule="auto"/>
              <w:rPr>
                <w:color w:val="000000"/>
                <w:szCs w:val="24"/>
                <w:lang w:eastAsia="en-GB"/>
              </w:rPr>
            </w:pPr>
            <w:r w:rsidRPr="008A5812">
              <w:rPr>
                <w:color w:val="000000"/>
                <w:szCs w:val="24"/>
                <w:lang w:eastAsia="en-GB"/>
              </w:rPr>
              <w:t> </w:t>
            </w:r>
          </w:p>
        </w:tc>
        <w:tc>
          <w:tcPr>
            <w:tcW w:w="1535" w:type="dxa"/>
            <w:tcBorders>
              <w:top w:val="nil"/>
              <w:left w:val="nil"/>
              <w:bottom w:val="nil"/>
              <w:right w:val="nil"/>
            </w:tcBorders>
            <w:shd w:val="clear" w:color="000000" w:fill="FFFFFF"/>
            <w:noWrap/>
            <w:vAlign w:val="bottom"/>
            <w:hideMark/>
          </w:tcPr>
          <w:p w:rsidR="00FC2012" w:rsidRPr="001048D3" w:rsidRDefault="00FC2012" w:rsidP="003269F2">
            <w:pPr>
              <w:spacing w:before="0"/>
              <w:rPr>
                <w:color w:val="000000"/>
                <w:szCs w:val="24"/>
              </w:rPr>
            </w:pPr>
            <w:r w:rsidRPr="001048D3">
              <w:rPr>
                <w:color w:val="000000"/>
                <w:szCs w:val="24"/>
              </w:rPr>
              <w:t> </w:t>
            </w:r>
          </w:p>
        </w:tc>
        <w:tc>
          <w:tcPr>
            <w:tcW w:w="1519" w:type="dxa"/>
            <w:tcBorders>
              <w:top w:val="nil"/>
              <w:left w:val="nil"/>
              <w:bottom w:val="nil"/>
              <w:right w:val="nil"/>
            </w:tcBorders>
            <w:shd w:val="clear" w:color="000000" w:fill="FFFFFF"/>
            <w:noWrap/>
            <w:vAlign w:val="bottom"/>
            <w:hideMark/>
          </w:tcPr>
          <w:p w:rsidR="00FC2012" w:rsidRPr="001048D3" w:rsidRDefault="00FC2012" w:rsidP="003269F2">
            <w:pPr>
              <w:spacing w:before="0"/>
              <w:rPr>
                <w:color w:val="000000"/>
                <w:szCs w:val="24"/>
              </w:rPr>
            </w:pPr>
            <w:r w:rsidRPr="001048D3">
              <w:rPr>
                <w:color w:val="000000"/>
                <w:szCs w:val="24"/>
              </w:rPr>
              <w:t> </w:t>
            </w:r>
          </w:p>
        </w:tc>
        <w:tc>
          <w:tcPr>
            <w:tcW w:w="1560" w:type="dxa"/>
            <w:tcBorders>
              <w:top w:val="nil"/>
              <w:left w:val="nil"/>
              <w:bottom w:val="nil"/>
              <w:right w:val="nil"/>
            </w:tcBorders>
            <w:shd w:val="clear" w:color="000000" w:fill="FFFFFF"/>
            <w:noWrap/>
            <w:vAlign w:val="bottom"/>
            <w:hideMark/>
          </w:tcPr>
          <w:p w:rsidR="00FC2012" w:rsidRPr="001048D3" w:rsidRDefault="00FC2012" w:rsidP="003269F2">
            <w:pPr>
              <w:spacing w:before="0"/>
              <w:rPr>
                <w:color w:val="000000"/>
                <w:szCs w:val="24"/>
              </w:rPr>
            </w:pPr>
            <w:r w:rsidRPr="001048D3">
              <w:rPr>
                <w:color w:val="000000"/>
                <w:szCs w:val="24"/>
              </w:rPr>
              <w:t> </w:t>
            </w:r>
          </w:p>
        </w:tc>
        <w:tc>
          <w:tcPr>
            <w:tcW w:w="1701" w:type="dxa"/>
            <w:tcBorders>
              <w:top w:val="nil"/>
              <w:left w:val="nil"/>
              <w:bottom w:val="nil"/>
              <w:right w:val="nil"/>
            </w:tcBorders>
            <w:shd w:val="clear" w:color="000000" w:fill="FFFFFF"/>
            <w:noWrap/>
            <w:vAlign w:val="bottom"/>
            <w:hideMark/>
          </w:tcPr>
          <w:p w:rsidR="00FC2012" w:rsidRPr="001048D3" w:rsidRDefault="00FC2012" w:rsidP="003269F2">
            <w:pPr>
              <w:spacing w:before="0"/>
              <w:rPr>
                <w:color w:val="000000"/>
                <w:szCs w:val="24"/>
              </w:rPr>
            </w:pPr>
            <w:r w:rsidRPr="001048D3">
              <w:rPr>
                <w:color w:val="000000"/>
                <w:szCs w:val="24"/>
              </w:rPr>
              <w:t> </w:t>
            </w:r>
          </w:p>
        </w:tc>
      </w:tr>
      <w:tr w:rsidR="00FC2012" w:rsidRPr="008A5812" w:rsidTr="003269F2">
        <w:trPr>
          <w:trHeight w:val="255"/>
        </w:trPr>
        <w:tc>
          <w:tcPr>
            <w:tcW w:w="2142" w:type="dxa"/>
            <w:tcBorders>
              <w:top w:val="nil"/>
              <w:left w:val="nil"/>
              <w:bottom w:val="single" w:sz="4" w:space="0" w:color="auto"/>
              <w:right w:val="nil"/>
            </w:tcBorders>
            <w:shd w:val="clear" w:color="000000" w:fill="FFFFFF"/>
            <w:noWrap/>
            <w:vAlign w:val="bottom"/>
            <w:hideMark/>
          </w:tcPr>
          <w:p w:rsidR="00FC2012" w:rsidRPr="008A5812" w:rsidRDefault="00FC2012" w:rsidP="003269F2">
            <w:pPr>
              <w:spacing w:before="0" w:line="240" w:lineRule="auto"/>
              <w:rPr>
                <w:b/>
                <w:bCs/>
                <w:color w:val="000000"/>
                <w:szCs w:val="24"/>
                <w:lang w:eastAsia="en-GB"/>
              </w:rPr>
            </w:pPr>
            <w:r w:rsidRPr="008A5812">
              <w:rPr>
                <w:b/>
                <w:bCs/>
                <w:color w:val="000000"/>
                <w:szCs w:val="24"/>
                <w:lang w:eastAsia="en-GB"/>
              </w:rPr>
              <w:t xml:space="preserve">Total to date </w:t>
            </w:r>
          </w:p>
        </w:tc>
        <w:tc>
          <w:tcPr>
            <w:tcW w:w="1535" w:type="dxa"/>
            <w:tcBorders>
              <w:top w:val="nil"/>
              <w:left w:val="nil"/>
              <w:bottom w:val="single" w:sz="4" w:space="0" w:color="auto"/>
              <w:right w:val="nil"/>
            </w:tcBorders>
            <w:shd w:val="clear" w:color="000000" w:fill="FFFFFF"/>
            <w:noWrap/>
            <w:vAlign w:val="bottom"/>
            <w:hideMark/>
          </w:tcPr>
          <w:p w:rsidR="00FC2012" w:rsidRPr="001048D3" w:rsidRDefault="00FC2012" w:rsidP="003269F2">
            <w:pPr>
              <w:spacing w:before="0"/>
              <w:jc w:val="right"/>
              <w:rPr>
                <w:b/>
                <w:bCs/>
                <w:color w:val="000000"/>
                <w:szCs w:val="24"/>
              </w:rPr>
            </w:pPr>
            <w:r w:rsidRPr="001048D3">
              <w:rPr>
                <w:b/>
                <w:bCs/>
                <w:color w:val="000000"/>
                <w:szCs w:val="24"/>
              </w:rPr>
              <w:t>99,179</w:t>
            </w:r>
          </w:p>
        </w:tc>
        <w:tc>
          <w:tcPr>
            <w:tcW w:w="1519" w:type="dxa"/>
            <w:tcBorders>
              <w:top w:val="nil"/>
              <w:left w:val="nil"/>
              <w:bottom w:val="single" w:sz="4" w:space="0" w:color="auto"/>
              <w:right w:val="nil"/>
            </w:tcBorders>
            <w:shd w:val="clear" w:color="000000" w:fill="FFFFFF"/>
            <w:noWrap/>
            <w:vAlign w:val="bottom"/>
            <w:hideMark/>
          </w:tcPr>
          <w:p w:rsidR="00FC2012" w:rsidRPr="001048D3" w:rsidRDefault="00FC2012" w:rsidP="003269F2">
            <w:pPr>
              <w:spacing w:before="0"/>
              <w:jc w:val="right"/>
              <w:rPr>
                <w:b/>
                <w:bCs/>
                <w:color w:val="000000"/>
                <w:szCs w:val="24"/>
              </w:rPr>
            </w:pPr>
            <w:r w:rsidRPr="001048D3">
              <w:rPr>
                <w:b/>
                <w:bCs/>
                <w:color w:val="000000"/>
                <w:szCs w:val="24"/>
              </w:rPr>
              <w:t>76,286</w:t>
            </w:r>
          </w:p>
        </w:tc>
        <w:tc>
          <w:tcPr>
            <w:tcW w:w="1560" w:type="dxa"/>
            <w:tcBorders>
              <w:top w:val="nil"/>
              <w:left w:val="nil"/>
              <w:bottom w:val="single" w:sz="4" w:space="0" w:color="auto"/>
              <w:right w:val="nil"/>
            </w:tcBorders>
            <w:shd w:val="clear" w:color="000000" w:fill="FFFFFF"/>
            <w:noWrap/>
            <w:vAlign w:val="bottom"/>
            <w:hideMark/>
          </w:tcPr>
          <w:p w:rsidR="00FC2012" w:rsidRPr="001048D3" w:rsidRDefault="00FC2012" w:rsidP="003269F2">
            <w:pPr>
              <w:spacing w:before="0"/>
              <w:jc w:val="right"/>
              <w:rPr>
                <w:b/>
                <w:bCs/>
                <w:color w:val="000000"/>
                <w:szCs w:val="24"/>
              </w:rPr>
            </w:pPr>
            <w:r w:rsidRPr="001048D3">
              <w:rPr>
                <w:b/>
                <w:bCs/>
                <w:color w:val="000000"/>
                <w:szCs w:val="24"/>
              </w:rPr>
              <w:t>128,330</w:t>
            </w:r>
          </w:p>
        </w:tc>
        <w:tc>
          <w:tcPr>
            <w:tcW w:w="1701" w:type="dxa"/>
            <w:tcBorders>
              <w:top w:val="nil"/>
              <w:left w:val="nil"/>
              <w:bottom w:val="single" w:sz="4" w:space="0" w:color="auto"/>
              <w:right w:val="nil"/>
            </w:tcBorders>
            <w:shd w:val="clear" w:color="000000" w:fill="FFFFFF"/>
            <w:noWrap/>
            <w:vAlign w:val="bottom"/>
            <w:hideMark/>
          </w:tcPr>
          <w:p w:rsidR="00FC2012" w:rsidRPr="001048D3" w:rsidRDefault="00FC2012" w:rsidP="003269F2">
            <w:pPr>
              <w:spacing w:before="0"/>
              <w:jc w:val="right"/>
              <w:rPr>
                <w:b/>
                <w:bCs/>
                <w:color w:val="000000"/>
                <w:szCs w:val="24"/>
              </w:rPr>
            </w:pPr>
            <w:r w:rsidRPr="001048D3">
              <w:rPr>
                <w:b/>
                <w:bCs/>
                <w:color w:val="000000"/>
                <w:szCs w:val="24"/>
              </w:rPr>
              <w:t>303,795</w:t>
            </w:r>
          </w:p>
        </w:tc>
      </w:tr>
    </w:tbl>
    <w:p w:rsidR="00FC2012" w:rsidRPr="008A5812" w:rsidRDefault="00FC2012" w:rsidP="00FC2012">
      <w:pPr>
        <w:spacing w:line="270" w:lineRule="atLeast"/>
        <w:jc w:val="both"/>
        <w:rPr>
          <w:b/>
          <w:bCs/>
          <w:szCs w:val="24"/>
        </w:rPr>
      </w:pPr>
    </w:p>
    <w:tbl>
      <w:tblPr>
        <w:tblW w:w="9464" w:type="dxa"/>
        <w:tblLook w:val="04A0" w:firstRow="1" w:lastRow="0" w:firstColumn="1" w:lastColumn="0" w:noHBand="0" w:noVBand="1"/>
      </w:tblPr>
      <w:tblGrid>
        <w:gridCol w:w="8804"/>
        <w:gridCol w:w="660"/>
      </w:tblGrid>
      <w:tr w:rsidR="00FC2012" w:rsidRPr="008A5812" w:rsidTr="003269F2">
        <w:trPr>
          <w:trHeight w:val="255"/>
        </w:trPr>
        <w:tc>
          <w:tcPr>
            <w:tcW w:w="9464" w:type="dxa"/>
            <w:gridSpan w:val="2"/>
            <w:tcBorders>
              <w:top w:val="nil"/>
              <w:left w:val="nil"/>
              <w:bottom w:val="nil"/>
              <w:right w:val="nil"/>
            </w:tcBorders>
            <w:shd w:val="clear" w:color="000000" w:fill="FFFFFF"/>
            <w:vAlign w:val="bottom"/>
            <w:hideMark/>
          </w:tcPr>
          <w:p w:rsidR="00FC2012" w:rsidRPr="008A5812" w:rsidRDefault="00FC2012" w:rsidP="003269F2">
            <w:pPr>
              <w:spacing w:line="240" w:lineRule="auto"/>
              <w:jc w:val="both"/>
              <w:rPr>
                <w:color w:val="000000"/>
                <w:szCs w:val="24"/>
                <w:lang w:eastAsia="en-GB"/>
              </w:rPr>
            </w:pPr>
            <w:r w:rsidRPr="008A5812">
              <w:rPr>
                <w:color w:val="000000"/>
                <w:szCs w:val="24"/>
                <w:vertAlign w:val="superscript"/>
                <w:lang w:eastAsia="en-GB"/>
              </w:rPr>
              <w:t>1</w:t>
            </w:r>
            <w:r w:rsidRPr="008A5812">
              <w:rPr>
                <w:color w:val="000000"/>
                <w:szCs w:val="24"/>
                <w:lang w:eastAsia="en-GB"/>
              </w:rPr>
              <w:t xml:space="preserve"> Includes some measures installed between October and December 2012.</w:t>
            </w:r>
          </w:p>
        </w:tc>
      </w:tr>
      <w:tr w:rsidR="00FC2012" w:rsidRPr="008A5812" w:rsidTr="003269F2">
        <w:trPr>
          <w:trHeight w:val="255"/>
        </w:trPr>
        <w:tc>
          <w:tcPr>
            <w:tcW w:w="9464" w:type="dxa"/>
            <w:gridSpan w:val="2"/>
            <w:tcBorders>
              <w:top w:val="nil"/>
              <w:left w:val="nil"/>
              <w:bottom w:val="nil"/>
              <w:right w:val="nil"/>
            </w:tcBorders>
            <w:shd w:val="clear" w:color="000000" w:fill="FFFFFF"/>
            <w:vAlign w:val="bottom"/>
            <w:hideMark/>
          </w:tcPr>
          <w:p w:rsidR="00FC2012" w:rsidRPr="008A5812" w:rsidRDefault="00FC2012" w:rsidP="003269F2">
            <w:pPr>
              <w:spacing w:line="240" w:lineRule="auto"/>
              <w:jc w:val="both"/>
              <w:rPr>
                <w:color w:val="000000"/>
                <w:szCs w:val="24"/>
                <w:lang w:eastAsia="en-GB"/>
              </w:rPr>
            </w:pPr>
            <w:r w:rsidRPr="008A5812">
              <w:rPr>
                <w:color w:val="000000"/>
                <w:szCs w:val="24"/>
                <w:vertAlign w:val="superscript"/>
                <w:lang w:eastAsia="en-GB"/>
              </w:rPr>
              <w:t>2</w:t>
            </w:r>
            <w:r w:rsidRPr="008A5812">
              <w:rPr>
                <w:color w:val="000000"/>
                <w:szCs w:val="24"/>
                <w:lang w:eastAsia="en-GB"/>
              </w:rPr>
              <w:t xml:space="preserve"> May figure includes one measure installed under the ‘rural’ sub-obligation of CSCO June figure includes eight measures installed under the ‘rural’ sub-obligation of CSCO</w:t>
            </w:r>
            <w:r w:rsidRPr="008A5812">
              <w:rPr>
                <w:color w:val="000000"/>
                <w:szCs w:val="24"/>
                <w:lang w:eastAsia="en-GB"/>
              </w:rPr>
              <w:br/>
              <w:t>July figure includes one measure installed under the ‘rural’</w:t>
            </w:r>
            <w:r>
              <w:rPr>
                <w:color w:val="000000"/>
                <w:szCs w:val="24"/>
                <w:lang w:eastAsia="en-GB"/>
              </w:rPr>
              <w:t xml:space="preserve"> sub-obligation of CSCO</w:t>
            </w:r>
            <w:r>
              <w:rPr>
                <w:color w:val="000000"/>
                <w:szCs w:val="24"/>
                <w:lang w:eastAsia="en-GB"/>
              </w:rPr>
              <w:br/>
              <w:t xml:space="preserve">September </w:t>
            </w:r>
            <w:r w:rsidRPr="00400C35">
              <w:rPr>
                <w:color w:val="000000"/>
                <w:szCs w:val="24"/>
                <w:lang w:eastAsia="en-GB"/>
              </w:rPr>
              <w:t>figure includes 14 measures installed under the 'rural' sub-obligation of CSCO</w:t>
            </w:r>
            <w:r>
              <w:rPr>
                <w:color w:val="000000"/>
                <w:szCs w:val="24"/>
                <w:lang w:eastAsia="en-GB"/>
              </w:rPr>
              <w:t>.</w:t>
            </w:r>
          </w:p>
          <w:p w:rsidR="00FC2012" w:rsidRPr="008A5812" w:rsidRDefault="00FC2012" w:rsidP="003269F2">
            <w:pPr>
              <w:spacing w:line="240" w:lineRule="auto"/>
              <w:jc w:val="both"/>
              <w:rPr>
                <w:color w:val="000000"/>
                <w:szCs w:val="24"/>
                <w:lang w:eastAsia="en-GB"/>
              </w:rPr>
            </w:pPr>
            <w:r w:rsidRPr="008A5812">
              <w:rPr>
                <w:color w:val="000000"/>
                <w:szCs w:val="24"/>
                <w:vertAlign w:val="superscript"/>
                <w:lang w:eastAsia="en-GB"/>
              </w:rPr>
              <w:t>3</w:t>
            </w:r>
            <w:r w:rsidRPr="008A5812">
              <w:rPr>
                <w:color w:val="000000"/>
                <w:szCs w:val="24"/>
                <w:lang w:eastAsia="en-GB"/>
              </w:rPr>
              <w:t xml:space="preserve"> </w:t>
            </w:r>
            <w:r w:rsidRPr="008A5812">
              <w:rPr>
                <w:szCs w:val="24"/>
              </w:rPr>
              <w:t>ECO measures installed in earlier installation months can be notified at a later date under some circumstances. Some notified measures can be reallocated to different ECO obligations and so are subject to change.</w:t>
            </w:r>
          </w:p>
          <w:p w:rsidR="00FC2012" w:rsidRPr="008A5812" w:rsidRDefault="00FC2012" w:rsidP="003269F2">
            <w:pPr>
              <w:spacing w:line="240" w:lineRule="auto"/>
              <w:jc w:val="both"/>
              <w:rPr>
                <w:color w:val="000000"/>
                <w:szCs w:val="24"/>
                <w:lang w:eastAsia="en-GB"/>
              </w:rPr>
            </w:pPr>
          </w:p>
        </w:tc>
      </w:tr>
      <w:tr w:rsidR="00FC2012" w:rsidRPr="008A5812" w:rsidTr="003269F2">
        <w:trPr>
          <w:gridAfter w:val="1"/>
          <w:wAfter w:w="660" w:type="dxa"/>
          <w:trHeight w:val="255"/>
        </w:trPr>
        <w:tc>
          <w:tcPr>
            <w:tcW w:w="8804" w:type="dxa"/>
            <w:tcBorders>
              <w:top w:val="nil"/>
              <w:left w:val="nil"/>
              <w:bottom w:val="nil"/>
              <w:right w:val="nil"/>
            </w:tcBorders>
            <w:shd w:val="clear" w:color="000000" w:fill="FFFFFF"/>
            <w:vAlign w:val="bottom"/>
            <w:hideMark/>
          </w:tcPr>
          <w:p w:rsidR="00FC2012" w:rsidRPr="008A5812" w:rsidRDefault="00FC2012" w:rsidP="003269F2">
            <w:pPr>
              <w:spacing w:line="240" w:lineRule="auto"/>
              <w:jc w:val="both"/>
              <w:rPr>
                <w:color w:val="000000"/>
                <w:szCs w:val="24"/>
                <w:lang w:eastAsia="en-GB"/>
              </w:rPr>
            </w:pPr>
          </w:p>
        </w:tc>
      </w:tr>
    </w:tbl>
    <w:p w:rsidR="00FC2012" w:rsidRPr="008A5812" w:rsidRDefault="00FC2012" w:rsidP="00FC2012">
      <w:pPr>
        <w:rPr>
          <w:szCs w:val="24"/>
        </w:rPr>
      </w:pPr>
    </w:p>
    <w:p w:rsidR="00FC2012" w:rsidRDefault="00FC2012" w:rsidP="00FC2012">
      <w:pPr>
        <w:spacing w:after="0"/>
        <w:jc w:val="both"/>
        <w:rPr>
          <w:szCs w:val="24"/>
        </w:rPr>
      </w:pPr>
    </w:p>
    <w:p w:rsidR="00FC2012" w:rsidRDefault="00FC2012" w:rsidP="00FC2012">
      <w:pPr>
        <w:spacing w:after="0"/>
        <w:jc w:val="both"/>
        <w:rPr>
          <w:szCs w:val="24"/>
        </w:rPr>
      </w:pPr>
    </w:p>
    <w:p w:rsidR="00FC2012" w:rsidRDefault="00FC2012" w:rsidP="00FC2012">
      <w:pPr>
        <w:spacing w:after="0"/>
        <w:jc w:val="both"/>
        <w:rPr>
          <w:szCs w:val="24"/>
        </w:rPr>
      </w:pPr>
    </w:p>
    <w:p w:rsidR="00FC2012" w:rsidRDefault="00FC2012" w:rsidP="00FC2012">
      <w:pPr>
        <w:spacing w:after="0"/>
        <w:jc w:val="both"/>
        <w:rPr>
          <w:szCs w:val="24"/>
        </w:rPr>
      </w:pPr>
    </w:p>
    <w:p w:rsidR="00FC2012" w:rsidRDefault="00FC2012" w:rsidP="00FC2012">
      <w:pPr>
        <w:spacing w:after="0"/>
        <w:jc w:val="both"/>
        <w:rPr>
          <w:szCs w:val="24"/>
        </w:rPr>
      </w:pPr>
    </w:p>
    <w:p w:rsidR="00FC2012" w:rsidRDefault="00FC2012" w:rsidP="00FC2012">
      <w:pPr>
        <w:spacing w:after="0"/>
        <w:jc w:val="both"/>
        <w:rPr>
          <w:szCs w:val="24"/>
        </w:rPr>
      </w:pPr>
    </w:p>
    <w:p w:rsidR="00FC2012" w:rsidRDefault="00FC2012" w:rsidP="00FC2012">
      <w:pPr>
        <w:spacing w:after="0"/>
        <w:jc w:val="both"/>
        <w:rPr>
          <w:szCs w:val="24"/>
        </w:rPr>
      </w:pPr>
    </w:p>
    <w:tbl>
      <w:tblPr>
        <w:tblW w:w="10032" w:type="dxa"/>
        <w:tblInd w:w="93" w:type="dxa"/>
        <w:tblLayout w:type="fixed"/>
        <w:tblLook w:val="04A0" w:firstRow="1" w:lastRow="0" w:firstColumn="1" w:lastColumn="0" w:noHBand="0" w:noVBand="1"/>
      </w:tblPr>
      <w:tblGrid>
        <w:gridCol w:w="3276"/>
        <w:gridCol w:w="141"/>
        <w:gridCol w:w="142"/>
        <w:gridCol w:w="142"/>
        <w:gridCol w:w="83"/>
        <w:gridCol w:w="626"/>
        <w:gridCol w:w="674"/>
        <w:gridCol w:w="601"/>
        <w:gridCol w:w="538"/>
        <w:gridCol w:w="455"/>
        <w:gridCol w:w="283"/>
        <w:gridCol w:w="390"/>
        <w:gridCol w:w="461"/>
        <w:gridCol w:w="708"/>
        <w:gridCol w:w="567"/>
        <w:gridCol w:w="567"/>
        <w:gridCol w:w="142"/>
        <w:gridCol w:w="236"/>
      </w:tblGrid>
      <w:tr w:rsidR="00FC2012" w:rsidRPr="008A5812" w:rsidTr="003269F2">
        <w:trPr>
          <w:gridAfter w:val="2"/>
          <w:wAfter w:w="378" w:type="dxa"/>
          <w:trHeight w:val="255"/>
        </w:trPr>
        <w:tc>
          <w:tcPr>
            <w:tcW w:w="9654" w:type="dxa"/>
            <w:gridSpan w:val="16"/>
            <w:tcBorders>
              <w:top w:val="nil"/>
              <w:left w:val="nil"/>
              <w:bottom w:val="nil"/>
              <w:right w:val="nil"/>
            </w:tcBorders>
            <w:shd w:val="clear" w:color="000000" w:fill="FFFFFF"/>
            <w:vAlign w:val="bottom"/>
            <w:hideMark/>
          </w:tcPr>
          <w:p w:rsidR="00FC2012" w:rsidRPr="008A5812" w:rsidRDefault="00FC2012" w:rsidP="003269F2">
            <w:pPr>
              <w:spacing w:before="0" w:after="0" w:line="240" w:lineRule="auto"/>
              <w:jc w:val="both"/>
              <w:rPr>
                <w:bCs/>
                <w:szCs w:val="24"/>
              </w:rPr>
            </w:pPr>
            <w:r w:rsidRPr="008A5812">
              <w:rPr>
                <w:szCs w:val="24"/>
              </w:rPr>
              <w:br w:type="page"/>
            </w:r>
            <w:r w:rsidR="00F7089E">
              <w:rPr>
                <w:b/>
                <w:bCs/>
                <w:color w:val="000000"/>
                <w:szCs w:val="24"/>
                <w:lang w:eastAsia="en-GB"/>
              </w:rPr>
              <w:t>Table 5</w:t>
            </w:r>
            <w:r w:rsidRPr="008A5812">
              <w:rPr>
                <w:b/>
                <w:bCs/>
                <w:color w:val="000000"/>
                <w:szCs w:val="24"/>
                <w:lang w:eastAsia="en-GB"/>
              </w:rPr>
              <w:t>a: Provisional number of ECO measures installed</w:t>
            </w:r>
            <w:r w:rsidRPr="008A5812">
              <w:rPr>
                <w:b/>
                <w:bCs/>
                <w:color w:val="000000"/>
                <w:szCs w:val="24"/>
                <w:vertAlign w:val="superscript"/>
                <w:lang w:eastAsia="en-GB"/>
              </w:rPr>
              <w:t>1</w:t>
            </w:r>
            <w:r w:rsidRPr="008A5812">
              <w:rPr>
                <w:b/>
                <w:bCs/>
                <w:color w:val="000000"/>
                <w:szCs w:val="24"/>
                <w:lang w:eastAsia="en-GB"/>
              </w:rPr>
              <w:t xml:space="preserve">, by measure type, by obligation, up to end </w:t>
            </w:r>
            <w:r>
              <w:rPr>
                <w:b/>
                <w:bCs/>
                <w:color w:val="000000"/>
                <w:szCs w:val="24"/>
                <w:lang w:eastAsia="en-GB"/>
              </w:rPr>
              <w:t>September</w:t>
            </w:r>
            <w:r w:rsidRPr="008A5812">
              <w:rPr>
                <w:b/>
                <w:bCs/>
                <w:color w:val="000000"/>
                <w:szCs w:val="24"/>
                <w:lang w:eastAsia="en-GB"/>
              </w:rPr>
              <w:t xml:space="preserve"> 2013</w:t>
            </w:r>
          </w:p>
        </w:tc>
      </w:tr>
      <w:tr w:rsidR="00FC2012" w:rsidRPr="008A5812" w:rsidTr="003269F2">
        <w:trPr>
          <w:gridAfter w:val="3"/>
          <w:wAfter w:w="945" w:type="dxa"/>
          <w:trHeight w:val="255"/>
        </w:trPr>
        <w:tc>
          <w:tcPr>
            <w:tcW w:w="3276" w:type="dxa"/>
            <w:tcBorders>
              <w:top w:val="nil"/>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508" w:type="dxa"/>
            <w:gridSpan w:val="4"/>
            <w:tcBorders>
              <w:top w:val="nil"/>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1300" w:type="dxa"/>
            <w:gridSpan w:val="2"/>
            <w:tcBorders>
              <w:top w:val="nil"/>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 </w:t>
            </w:r>
          </w:p>
        </w:tc>
        <w:tc>
          <w:tcPr>
            <w:tcW w:w="1139" w:type="dxa"/>
            <w:gridSpan w:val="2"/>
            <w:tcBorders>
              <w:top w:val="nil"/>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1128" w:type="dxa"/>
            <w:gridSpan w:val="3"/>
            <w:tcBorders>
              <w:top w:val="nil"/>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1736" w:type="dxa"/>
            <w:gridSpan w:val="3"/>
            <w:tcBorders>
              <w:top w:val="nil"/>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r>
      <w:tr w:rsidR="00FC2012" w:rsidRPr="008A5812" w:rsidTr="003269F2">
        <w:trPr>
          <w:gridAfter w:val="5"/>
          <w:wAfter w:w="2220" w:type="dxa"/>
          <w:trHeight w:val="255"/>
        </w:trPr>
        <w:tc>
          <w:tcPr>
            <w:tcW w:w="3276" w:type="dxa"/>
            <w:vMerge w:val="restart"/>
            <w:tcBorders>
              <w:top w:val="nil"/>
              <w:left w:val="nil"/>
              <w:bottom w:val="single" w:sz="4" w:space="0" w:color="000000"/>
              <w:right w:val="nil"/>
            </w:tcBorders>
            <w:shd w:val="clear" w:color="000000" w:fill="FFFFFF"/>
            <w:vAlign w:val="center"/>
            <w:hideMark/>
          </w:tcPr>
          <w:p w:rsidR="00FC2012" w:rsidRPr="008A5812" w:rsidRDefault="00FC2012" w:rsidP="003269F2">
            <w:pPr>
              <w:spacing w:before="0" w:after="0" w:line="240" w:lineRule="auto"/>
              <w:rPr>
                <w:color w:val="000000"/>
                <w:sz w:val="20"/>
                <w:lang w:eastAsia="en-GB"/>
              </w:rPr>
            </w:pPr>
            <w:r w:rsidRPr="008A5812">
              <w:rPr>
                <w:color w:val="000000"/>
                <w:sz w:val="20"/>
                <w:lang w:eastAsia="en-GB"/>
              </w:rPr>
              <w:t>Measure Types</w:t>
            </w:r>
            <w:r w:rsidRPr="008A5812">
              <w:rPr>
                <w:bCs/>
                <w:color w:val="000000"/>
                <w:sz w:val="20"/>
                <w:vertAlign w:val="superscript"/>
                <w:lang w:eastAsia="en-GB"/>
              </w:rPr>
              <w:t>2</w:t>
            </w:r>
          </w:p>
        </w:tc>
        <w:tc>
          <w:tcPr>
            <w:tcW w:w="3402" w:type="dxa"/>
            <w:gridSpan w:val="9"/>
            <w:tcBorders>
              <w:top w:val="nil"/>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jc w:val="center"/>
              <w:rPr>
                <w:color w:val="000000"/>
                <w:sz w:val="20"/>
                <w:lang w:eastAsia="en-GB"/>
              </w:rPr>
            </w:pPr>
            <w:r w:rsidRPr="008A5812">
              <w:rPr>
                <w:color w:val="000000"/>
                <w:sz w:val="20"/>
                <w:lang w:eastAsia="en-GB"/>
              </w:rPr>
              <w:t>Obligation</w:t>
            </w:r>
          </w:p>
        </w:tc>
        <w:tc>
          <w:tcPr>
            <w:tcW w:w="1134"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line="240" w:lineRule="auto"/>
              <w:jc w:val="center"/>
              <w:rPr>
                <w:color w:val="000000"/>
                <w:sz w:val="20"/>
                <w:lang w:eastAsia="en-GB"/>
              </w:rPr>
            </w:pPr>
            <w:r w:rsidRPr="008A5812">
              <w:rPr>
                <w:color w:val="000000"/>
                <w:sz w:val="20"/>
                <w:lang w:eastAsia="en-GB"/>
              </w:rPr>
              <w:t> </w:t>
            </w:r>
          </w:p>
        </w:tc>
      </w:tr>
      <w:tr w:rsidR="00FC2012" w:rsidRPr="008A5812" w:rsidTr="003269F2">
        <w:trPr>
          <w:gridAfter w:val="1"/>
          <w:wAfter w:w="236" w:type="dxa"/>
          <w:trHeight w:val="1083"/>
        </w:trPr>
        <w:tc>
          <w:tcPr>
            <w:tcW w:w="3276" w:type="dxa"/>
            <w:vMerge/>
            <w:tcBorders>
              <w:top w:val="nil"/>
              <w:left w:val="nil"/>
              <w:bottom w:val="single" w:sz="4" w:space="0" w:color="000000"/>
              <w:right w:val="nil"/>
            </w:tcBorders>
            <w:vAlign w:val="center"/>
            <w:hideMark/>
          </w:tcPr>
          <w:p w:rsidR="00FC2012" w:rsidRPr="008A5812" w:rsidRDefault="00FC2012" w:rsidP="003269F2">
            <w:pPr>
              <w:spacing w:before="0" w:after="0" w:line="240" w:lineRule="auto"/>
              <w:rPr>
                <w:color w:val="000000"/>
                <w:sz w:val="20"/>
                <w:lang w:eastAsia="en-GB"/>
              </w:rPr>
            </w:pPr>
          </w:p>
        </w:tc>
        <w:tc>
          <w:tcPr>
            <w:tcW w:w="1134" w:type="dxa"/>
            <w:gridSpan w:val="5"/>
            <w:tcBorders>
              <w:top w:val="nil"/>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jc w:val="center"/>
              <w:rPr>
                <w:color w:val="000000"/>
                <w:sz w:val="20"/>
                <w:lang w:eastAsia="en-GB"/>
              </w:rPr>
            </w:pPr>
            <w:r w:rsidRPr="008A5812">
              <w:rPr>
                <w:color w:val="000000"/>
                <w:sz w:val="20"/>
                <w:lang w:eastAsia="en-GB"/>
              </w:rPr>
              <w:t>Carbon Saving Target (CSO)</w:t>
            </w:r>
          </w:p>
        </w:tc>
        <w:tc>
          <w:tcPr>
            <w:tcW w:w="1275" w:type="dxa"/>
            <w:gridSpan w:val="2"/>
            <w:tcBorders>
              <w:top w:val="nil"/>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jc w:val="center"/>
              <w:rPr>
                <w:color w:val="000000"/>
                <w:sz w:val="20"/>
                <w:lang w:eastAsia="en-GB"/>
              </w:rPr>
            </w:pPr>
            <w:r w:rsidRPr="008A5812">
              <w:rPr>
                <w:color w:val="000000"/>
                <w:sz w:val="20"/>
                <w:lang w:eastAsia="en-GB"/>
              </w:rPr>
              <w:t>Carbon Savings Community</w:t>
            </w:r>
            <w:r w:rsidRPr="008A5812">
              <w:rPr>
                <w:color w:val="000000"/>
                <w:sz w:val="20"/>
                <w:vertAlign w:val="superscript"/>
                <w:lang w:eastAsia="en-GB"/>
              </w:rPr>
              <w:t>3</w:t>
            </w:r>
            <w:r w:rsidRPr="008A5812">
              <w:rPr>
                <w:color w:val="000000"/>
                <w:sz w:val="20"/>
                <w:lang w:eastAsia="en-GB"/>
              </w:rPr>
              <w:t xml:space="preserve"> (CSCO)</w:t>
            </w:r>
          </w:p>
        </w:tc>
        <w:tc>
          <w:tcPr>
            <w:tcW w:w="1276" w:type="dxa"/>
            <w:gridSpan w:val="3"/>
            <w:tcBorders>
              <w:top w:val="nil"/>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jc w:val="center"/>
              <w:rPr>
                <w:color w:val="000000"/>
                <w:sz w:val="20"/>
                <w:lang w:eastAsia="en-GB"/>
              </w:rPr>
            </w:pPr>
            <w:r w:rsidRPr="008A5812">
              <w:rPr>
                <w:color w:val="000000"/>
                <w:sz w:val="20"/>
                <w:lang w:eastAsia="en-GB"/>
              </w:rPr>
              <w:t>Affordable Warmth (HHCRO)</w:t>
            </w:r>
          </w:p>
        </w:tc>
        <w:tc>
          <w:tcPr>
            <w:tcW w:w="1559" w:type="dxa"/>
            <w:gridSpan w:val="3"/>
            <w:tcBorders>
              <w:top w:val="nil"/>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jc w:val="center"/>
              <w:rPr>
                <w:color w:val="000000"/>
                <w:sz w:val="20"/>
                <w:lang w:eastAsia="en-GB"/>
              </w:rPr>
            </w:pPr>
            <w:r w:rsidRPr="008A5812">
              <w:rPr>
                <w:color w:val="000000"/>
                <w:sz w:val="20"/>
                <w:lang w:eastAsia="en-GB"/>
              </w:rPr>
              <w:t>Total number of ECO measures delivered</w:t>
            </w:r>
          </w:p>
        </w:tc>
        <w:tc>
          <w:tcPr>
            <w:tcW w:w="1276" w:type="dxa"/>
            <w:gridSpan w:val="3"/>
            <w:tcBorders>
              <w:top w:val="nil"/>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jc w:val="center"/>
              <w:rPr>
                <w:color w:val="000000"/>
                <w:sz w:val="20"/>
                <w:lang w:eastAsia="en-GB"/>
              </w:rPr>
            </w:pPr>
            <w:r w:rsidRPr="008A5812">
              <w:rPr>
                <w:color w:val="000000"/>
                <w:sz w:val="20"/>
                <w:lang w:eastAsia="en-GB"/>
              </w:rPr>
              <w:t>Percentage of ECO Measures</w:t>
            </w:r>
          </w:p>
        </w:tc>
      </w:tr>
      <w:tr w:rsidR="00FC2012" w:rsidRPr="008A5812" w:rsidTr="003269F2">
        <w:trPr>
          <w:gridAfter w:val="1"/>
          <w:wAfter w:w="236" w:type="dxa"/>
          <w:trHeight w:val="255"/>
        </w:trPr>
        <w:tc>
          <w:tcPr>
            <w:tcW w:w="3276" w:type="dxa"/>
            <w:tcBorders>
              <w:top w:val="nil"/>
              <w:left w:val="nil"/>
              <w:bottom w:val="nil"/>
              <w:right w:val="nil"/>
            </w:tcBorders>
            <w:shd w:val="clear" w:color="000000" w:fill="FFFFFF"/>
            <w:vAlign w:val="center"/>
            <w:hideMark/>
          </w:tcPr>
          <w:p w:rsidR="00FC2012" w:rsidRPr="008A5812" w:rsidRDefault="00FC2012" w:rsidP="003269F2">
            <w:pPr>
              <w:spacing w:before="0" w:after="0"/>
              <w:rPr>
                <w:b/>
                <w:bCs/>
                <w:color w:val="000000"/>
                <w:sz w:val="20"/>
              </w:rPr>
            </w:pPr>
          </w:p>
          <w:p w:rsidR="00FC2012" w:rsidRPr="008A5812" w:rsidRDefault="00FC2012" w:rsidP="003269F2">
            <w:pPr>
              <w:spacing w:before="0" w:after="0"/>
              <w:rPr>
                <w:b/>
                <w:bCs/>
                <w:color w:val="000000"/>
                <w:sz w:val="20"/>
              </w:rPr>
            </w:pPr>
            <w:r w:rsidRPr="008A5812">
              <w:rPr>
                <w:b/>
                <w:bCs/>
                <w:color w:val="000000"/>
                <w:sz w:val="20"/>
              </w:rPr>
              <w:t>Boiler</w:t>
            </w:r>
          </w:p>
        </w:tc>
        <w:tc>
          <w:tcPr>
            <w:tcW w:w="1134" w:type="dxa"/>
            <w:gridSpan w:val="5"/>
            <w:tcBorders>
              <w:top w:val="nil"/>
              <w:left w:val="nil"/>
              <w:bottom w:val="nil"/>
              <w:right w:val="nil"/>
            </w:tcBorders>
            <w:shd w:val="clear" w:color="000000" w:fill="FFFFFF"/>
            <w:vAlign w:val="bottom"/>
            <w:hideMark/>
          </w:tcPr>
          <w:p w:rsidR="00FC2012" w:rsidRPr="008A5812" w:rsidRDefault="00FC2012" w:rsidP="003269F2">
            <w:pPr>
              <w:spacing w:before="0" w:after="0"/>
              <w:jc w:val="right"/>
              <w:rPr>
                <w:b/>
                <w:bCs/>
                <w:color w:val="000000"/>
                <w:sz w:val="20"/>
              </w:rPr>
            </w:pPr>
            <w:r w:rsidRPr="008A5812">
              <w:rPr>
                <w:b/>
                <w:bCs/>
                <w:color w:val="000000"/>
                <w:sz w:val="20"/>
              </w:rPr>
              <w:t>N/A</w:t>
            </w:r>
          </w:p>
        </w:tc>
        <w:tc>
          <w:tcPr>
            <w:tcW w:w="1275" w:type="dxa"/>
            <w:gridSpan w:val="2"/>
            <w:tcBorders>
              <w:top w:val="nil"/>
              <w:left w:val="nil"/>
              <w:bottom w:val="nil"/>
              <w:right w:val="nil"/>
            </w:tcBorders>
            <w:shd w:val="clear" w:color="000000" w:fill="FFFFFF"/>
            <w:vAlign w:val="bottom"/>
            <w:hideMark/>
          </w:tcPr>
          <w:p w:rsidR="00FC2012" w:rsidRPr="008A5812" w:rsidRDefault="00FC2012" w:rsidP="003269F2">
            <w:pPr>
              <w:spacing w:before="0" w:after="0"/>
              <w:jc w:val="right"/>
              <w:rPr>
                <w:b/>
                <w:bCs/>
                <w:color w:val="000000"/>
                <w:sz w:val="20"/>
              </w:rPr>
            </w:pPr>
            <w:r w:rsidRPr="008A5812">
              <w:rPr>
                <w:b/>
                <w:bCs/>
                <w:color w:val="000000"/>
                <w:sz w:val="20"/>
              </w:rPr>
              <w:t>N/A</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b/>
                <w:bCs/>
                <w:color w:val="000000"/>
                <w:sz w:val="20"/>
              </w:rPr>
            </w:pPr>
            <w:r>
              <w:rPr>
                <w:b/>
                <w:bCs/>
                <w:color w:val="000000"/>
                <w:sz w:val="20"/>
              </w:rPr>
              <w:t>82,495</w:t>
            </w:r>
          </w:p>
        </w:tc>
        <w:tc>
          <w:tcPr>
            <w:tcW w:w="1559"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b/>
                <w:bCs/>
                <w:color w:val="000000"/>
                <w:sz w:val="20"/>
              </w:rPr>
            </w:pPr>
            <w:r>
              <w:rPr>
                <w:b/>
                <w:bCs/>
                <w:color w:val="000000"/>
                <w:sz w:val="20"/>
              </w:rPr>
              <w:t>82,495</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b/>
                <w:bCs/>
                <w:i/>
                <w:iCs/>
                <w:color w:val="000000"/>
                <w:sz w:val="20"/>
              </w:rPr>
            </w:pPr>
            <w:r>
              <w:rPr>
                <w:b/>
                <w:bCs/>
                <w:i/>
                <w:iCs/>
                <w:color w:val="000000"/>
                <w:sz w:val="20"/>
              </w:rPr>
              <w:t>27.2</w:t>
            </w:r>
          </w:p>
        </w:tc>
      </w:tr>
      <w:tr w:rsidR="00FC2012" w:rsidRPr="008A5812" w:rsidTr="003269F2">
        <w:trPr>
          <w:gridAfter w:val="1"/>
          <w:wAfter w:w="236" w:type="dxa"/>
          <w:trHeight w:val="228"/>
        </w:trPr>
        <w:tc>
          <w:tcPr>
            <w:tcW w:w="3701" w:type="dxa"/>
            <w:gridSpan w:val="4"/>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Installation of a Non qualifying boiler</w:t>
            </w:r>
          </w:p>
        </w:tc>
        <w:tc>
          <w:tcPr>
            <w:tcW w:w="709" w:type="dxa"/>
            <w:gridSpan w:val="2"/>
            <w:tcBorders>
              <w:top w:val="nil"/>
              <w:left w:val="nil"/>
              <w:bottom w:val="nil"/>
              <w:right w:val="nil"/>
            </w:tcBorders>
            <w:shd w:val="clear" w:color="000000" w:fill="FFFFFF"/>
            <w:vAlign w:val="bottom"/>
            <w:hideMark/>
          </w:tcPr>
          <w:p w:rsidR="00FC2012" w:rsidRPr="008A5812" w:rsidRDefault="00FC2012" w:rsidP="003269F2">
            <w:pPr>
              <w:spacing w:before="0" w:after="0"/>
              <w:jc w:val="right"/>
              <w:rPr>
                <w:color w:val="000000"/>
                <w:sz w:val="20"/>
              </w:rPr>
            </w:pPr>
            <w:r w:rsidRPr="008A5812">
              <w:rPr>
                <w:color w:val="000000"/>
                <w:sz w:val="20"/>
              </w:rPr>
              <w:t>N/A</w:t>
            </w:r>
          </w:p>
        </w:tc>
        <w:tc>
          <w:tcPr>
            <w:tcW w:w="1275" w:type="dxa"/>
            <w:gridSpan w:val="2"/>
            <w:tcBorders>
              <w:top w:val="nil"/>
              <w:left w:val="nil"/>
              <w:bottom w:val="nil"/>
              <w:right w:val="nil"/>
            </w:tcBorders>
            <w:shd w:val="clear" w:color="000000" w:fill="FFFFFF"/>
            <w:vAlign w:val="bottom"/>
            <w:hideMark/>
          </w:tcPr>
          <w:p w:rsidR="00FC2012" w:rsidRPr="008A5812" w:rsidRDefault="00FC2012" w:rsidP="003269F2">
            <w:pPr>
              <w:spacing w:before="0" w:after="0"/>
              <w:jc w:val="right"/>
              <w:rPr>
                <w:color w:val="000000"/>
                <w:sz w:val="20"/>
              </w:rPr>
            </w:pPr>
            <w:r w:rsidRPr="008A5812">
              <w:rPr>
                <w:color w:val="000000"/>
                <w:sz w:val="20"/>
              </w:rPr>
              <w:t>N/A</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1,414</w:t>
            </w:r>
          </w:p>
        </w:tc>
        <w:tc>
          <w:tcPr>
            <w:tcW w:w="1559"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1,414</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i/>
                <w:iCs/>
                <w:color w:val="000000"/>
                <w:sz w:val="20"/>
              </w:rPr>
            </w:pPr>
            <w:r>
              <w:rPr>
                <w:i/>
                <w:iCs/>
                <w:color w:val="000000"/>
                <w:sz w:val="20"/>
              </w:rPr>
              <w:t>0.5</w:t>
            </w:r>
          </w:p>
        </w:tc>
      </w:tr>
      <w:tr w:rsidR="00FC2012" w:rsidRPr="008A5812" w:rsidTr="003269F2">
        <w:trPr>
          <w:gridAfter w:val="1"/>
          <w:wAfter w:w="236" w:type="dxa"/>
          <w:trHeight w:val="233"/>
        </w:trPr>
        <w:tc>
          <w:tcPr>
            <w:tcW w:w="3701" w:type="dxa"/>
            <w:gridSpan w:val="4"/>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Repair qualifying boiler 1 year warranty</w:t>
            </w:r>
          </w:p>
        </w:tc>
        <w:tc>
          <w:tcPr>
            <w:tcW w:w="709" w:type="dxa"/>
            <w:gridSpan w:val="2"/>
            <w:tcBorders>
              <w:top w:val="nil"/>
              <w:left w:val="nil"/>
              <w:bottom w:val="nil"/>
              <w:right w:val="nil"/>
            </w:tcBorders>
            <w:shd w:val="clear" w:color="000000" w:fill="FFFFFF"/>
            <w:vAlign w:val="bottom"/>
            <w:hideMark/>
          </w:tcPr>
          <w:p w:rsidR="00FC2012" w:rsidRPr="008A5812" w:rsidRDefault="00FC2012" w:rsidP="003269F2">
            <w:pPr>
              <w:spacing w:before="0" w:after="0"/>
              <w:jc w:val="right"/>
              <w:rPr>
                <w:color w:val="000000"/>
                <w:sz w:val="20"/>
              </w:rPr>
            </w:pPr>
            <w:r w:rsidRPr="008A5812">
              <w:rPr>
                <w:color w:val="000000"/>
                <w:sz w:val="20"/>
              </w:rPr>
              <w:t>N/A</w:t>
            </w:r>
          </w:p>
        </w:tc>
        <w:tc>
          <w:tcPr>
            <w:tcW w:w="1275" w:type="dxa"/>
            <w:gridSpan w:val="2"/>
            <w:tcBorders>
              <w:top w:val="nil"/>
              <w:left w:val="nil"/>
              <w:bottom w:val="nil"/>
              <w:right w:val="nil"/>
            </w:tcBorders>
            <w:shd w:val="clear" w:color="000000" w:fill="FFFFFF"/>
            <w:vAlign w:val="bottom"/>
            <w:hideMark/>
          </w:tcPr>
          <w:p w:rsidR="00FC2012" w:rsidRPr="008A5812" w:rsidRDefault="00FC2012" w:rsidP="003269F2">
            <w:pPr>
              <w:spacing w:before="0" w:after="0"/>
              <w:jc w:val="right"/>
              <w:rPr>
                <w:color w:val="000000"/>
                <w:sz w:val="20"/>
              </w:rPr>
            </w:pPr>
            <w:r w:rsidRPr="008A5812">
              <w:rPr>
                <w:color w:val="000000"/>
                <w:sz w:val="20"/>
              </w:rPr>
              <w:t>N/A</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8</w:t>
            </w:r>
          </w:p>
        </w:tc>
        <w:tc>
          <w:tcPr>
            <w:tcW w:w="1559"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8</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i/>
                <w:iCs/>
                <w:color w:val="000000"/>
                <w:sz w:val="20"/>
              </w:rPr>
            </w:pPr>
            <w:r>
              <w:rPr>
                <w:i/>
                <w:iCs/>
                <w:color w:val="000000"/>
                <w:sz w:val="20"/>
              </w:rPr>
              <w:t>0.0</w:t>
            </w:r>
          </w:p>
        </w:tc>
      </w:tr>
      <w:tr w:rsidR="00FC2012" w:rsidRPr="008A5812" w:rsidTr="003269F2">
        <w:trPr>
          <w:gridAfter w:val="1"/>
          <w:wAfter w:w="236" w:type="dxa"/>
          <w:trHeight w:val="264"/>
        </w:trPr>
        <w:tc>
          <w:tcPr>
            <w:tcW w:w="3701" w:type="dxa"/>
            <w:gridSpan w:val="4"/>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Repair qualifying boiler 2 year warranty</w:t>
            </w:r>
          </w:p>
        </w:tc>
        <w:tc>
          <w:tcPr>
            <w:tcW w:w="709" w:type="dxa"/>
            <w:gridSpan w:val="2"/>
            <w:tcBorders>
              <w:top w:val="nil"/>
              <w:left w:val="nil"/>
              <w:bottom w:val="nil"/>
              <w:right w:val="nil"/>
            </w:tcBorders>
            <w:shd w:val="clear" w:color="000000" w:fill="FFFFFF"/>
            <w:vAlign w:val="bottom"/>
            <w:hideMark/>
          </w:tcPr>
          <w:p w:rsidR="00FC2012" w:rsidRPr="008A5812" w:rsidRDefault="00FC2012" w:rsidP="003269F2">
            <w:pPr>
              <w:spacing w:before="0" w:after="0"/>
              <w:jc w:val="right"/>
              <w:rPr>
                <w:color w:val="000000"/>
                <w:sz w:val="20"/>
              </w:rPr>
            </w:pPr>
            <w:r w:rsidRPr="008A5812">
              <w:rPr>
                <w:color w:val="000000"/>
                <w:sz w:val="20"/>
              </w:rPr>
              <w:t>N/A</w:t>
            </w:r>
          </w:p>
        </w:tc>
        <w:tc>
          <w:tcPr>
            <w:tcW w:w="1275" w:type="dxa"/>
            <w:gridSpan w:val="2"/>
            <w:tcBorders>
              <w:top w:val="nil"/>
              <w:left w:val="nil"/>
              <w:bottom w:val="nil"/>
              <w:right w:val="nil"/>
            </w:tcBorders>
            <w:shd w:val="clear" w:color="000000" w:fill="FFFFFF"/>
            <w:vAlign w:val="bottom"/>
            <w:hideMark/>
          </w:tcPr>
          <w:p w:rsidR="00FC2012" w:rsidRPr="008A5812" w:rsidRDefault="00FC2012" w:rsidP="003269F2">
            <w:pPr>
              <w:spacing w:before="0" w:after="0"/>
              <w:jc w:val="right"/>
              <w:rPr>
                <w:color w:val="000000"/>
                <w:sz w:val="20"/>
              </w:rPr>
            </w:pPr>
            <w:r w:rsidRPr="008A5812">
              <w:rPr>
                <w:color w:val="000000"/>
                <w:sz w:val="20"/>
              </w:rPr>
              <w:t>N/A</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321</w:t>
            </w:r>
          </w:p>
        </w:tc>
        <w:tc>
          <w:tcPr>
            <w:tcW w:w="1559"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321</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i/>
                <w:iCs/>
                <w:color w:val="000000"/>
                <w:sz w:val="20"/>
              </w:rPr>
            </w:pPr>
            <w:r>
              <w:rPr>
                <w:i/>
                <w:iCs/>
                <w:color w:val="000000"/>
                <w:sz w:val="20"/>
              </w:rPr>
              <w:t>0.1</w:t>
            </w:r>
          </w:p>
        </w:tc>
      </w:tr>
      <w:tr w:rsidR="00FC2012" w:rsidRPr="008A5812" w:rsidTr="003269F2">
        <w:trPr>
          <w:gridAfter w:val="1"/>
          <w:wAfter w:w="236" w:type="dxa"/>
          <w:trHeight w:val="255"/>
        </w:trPr>
        <w:tc>
          <w:tcPr>
            <w:tcW w:w="3701" w:type="dxa"/>
            <w:gridSpan w:val="4"/>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Replacement qualifying boiler</w:t>
            </w:r>
          </w:p>
        </w:tc>
        <w:tc>
          <w:tcPr>
            <w:tcW w:w="709" w:type="dxa"/>
            <w:gridSpan w:val="2"/>
            <w:tcBorders>
              <w:top w:val="nil"/>
              <w:left w:val="nil"/>
              <w:bottom w:val="nil"/>
              <w:right w:val="nil"/>
            </w:tcBorders>
            <w:shd w:val="clear" w:color="000000" w:fill="FFFFFF"/>
            <w:vAlign w:val="bottom"/>
            <w:hideMark/>
          </w:tcPr>
          <w:p w:rsidR="00FC2012" w:rsidRPr="008A5812" w:rsidRDefault="00FC2012" w:rsidP="003269F2">
            <w:pPr>
              <w:spacing w:before="0" w:after="0"/>
              <w:jc w:val="right"/>
              <w:rPr>
                <w:color w:val="000000"/>
                <w:sz w:val="20"/>
              </w:rPr>
            </w:pPr>
            <w:r w:rsidRPr="008A5812">
              <w:rPr>
                <w:color w:val="000000"/>
                <w:sz w:val="20"/>
              </w:rPr>
              <w:t>N/A</w:t>
            </w:r>
          </w:p>
        </w:tc>
        <w:tc>
          <w:tcPr>
            <w:tcW w:w="1275" w:type="dxa"/>
            <w:gridSpan w:val="2"/>
            <w:tcBorders>
              <w:top w:val="nil"/>
              <w:left w:val="nil"/>
              <w:bottom w:val="nil"/>
              <w:right w:val="nil"/>
            </w:tcBorders>
            <w:shd w:val="clear" w:color="000000" w:fill="FFFFFF"/>
            <w:vAlign w:val="bottom"/>
            <w:hideMark/>
          </w:tcPr>
          <w:p w:rsidR="00FC2012" w:rsidRPr="008A5812" w:rsidRDefault="00FC2012" w:rsidP="003269F2">
            <w:pPr>
              <w:spacing w:before="0" w:after="0"/>
              <w:jc w:val="right"/>
              <w:rPr>
                <w:color w:val="000000"/>
                <w:sz w:val="20"/>
              </w:rPr>
            </w:pPr>
            <w:r w:rsidRPr="008A5812">
              <w:rPr>
                <w:color w:val="000000"/>
                <w:sz w:val="20"/>
              </w:rPr>
              <w:t>N/A</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80,752</w:t>
            </w:r>
          </w:p>
        </w:tc>
        <w:tc>
          <w:tcPr>
            <w:tcW w:w="1559"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80,752</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i/>
                <w:iCs/>
                <w:color w:val="000000"/>
                <w:sz w:val="20"/>
              </w:rPr>
            </w:pPr>
            <w:r>
              <w:rPr>
                <w:i/>
                <w:iCs/>
                <w:color w:val="000000"/>
                <w:sz w:val="20"/>
              </w:rPr>
              <w:t>26.6</w:t>
            </w:r>
          </w:p>
        </w:tc>
      </w:tr>
      <w:tr w:rsidR="00FC2012"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 </w:t>
            </w:r>
          </w:p>
        </w:tc>
        <w:tc>
          <w:tcPr>
            <w:tcW w:w="1134" w:type="dxa"/>
            <w:gridSpan w:val="5"/>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 </w:t>
            </w:r>
          </w:p>
        </w:tc>
        <w:tc>
          <w:tcPr>
            <w:tcW w:w="1275" w:type="dxa"/>
            <w:gridSpan w:val="2"/>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 </w:t>
            </w:r>
          </w:p>
        </w:tc>
        <w:tc>
          <w:tcPr>
            <w:tcW w:w="1276"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 </w:t>
            </w:r>
          </w:p>
        </w:tc>
        <w:tc>
          <w:tcPr>
            <w:tcW w:w="1559"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 </w:t>
            </w:r>
          </w:p>
        </w:tc>
        <w:tc>
          <w:tcPr>
            <w:tcW w:w="1276"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rPr>
                <w:i/>
                <w:iCs/>
                <w:color w:val="000000"/>
                <w:sz w:val="20"/>
              </w:rPr>
            </w:pPr>
            <w:r w:rsidRPr="008A5812">
              <w:rPr>
                <w:i/>
                <w:iCs/>
                <w:color w:val="000000"/>
                <w:sz w:val="20"/>
              </w:rPr>
              <w:t> </w:t>
            </w:r>
          </w:p>
        </w:tc>
      </w:tr>
      <w:tr w:rsidR="00FC2012"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FC2012" w:rsidRPr="008A5812" w:rsidRDefault="00FC2012" w:rsidP="003269F2">
            <w:pPr>
              <w:spacing w:before="0" w:after="0"/>
              <w:rPr>
                <w:b/>
                <w:bCs/>
                <w:color w:val="000000"/>
                <w:sz w:val="20"/>
              </w:rPr>
            </w:pPr>
            <w:r w:rsidRPr="008A5812">
              <w:rPr>
                <w:b/>
                <w:bCs/>
                <w:color w:val="000000"/>
                <w:sz w:val="20"/>
              </w:rPr>
              <w:t>Cavity wall insulation</w:t>
            </w:r>
          </w:p>
        </w:tc>
        <w:tc>
          <w:tcPr>
            <w:tcW w:w="1134" w:type="dxa"/>
            <w:gridSpan w:val="5"/>
            <w:tcBorders>
              <w:top w:val="nil"/>
              <w:left w:val="nil"/>
              <w:bottom w:val="nil"/>
              <w:right w:val="nil"/>
            </w:tcBorders>
            <w:shd w:val="clear" w:color="000000" w:fill="FFFFFF"/>
            <w:vAlign w:val="bottom"/>
            <w:hideMark/>
          </w:tcPr>
          <w:p w:rsidR="00FC2012" w:rsidRDefault="00FC2012" w:rsidP="003269F2">
            <w:pPr>
              <w:spacing w:before="0" w:after="0"/>
              <w:jc w:val="right"/>
              <w:rPr>
                <w:b/>
                <w:bCs/>
                <w:color w:val="000000"/>
                <w:sz w:val="20"/>
              </w:rPr>
            </w:pPr>
            <w:r>
              <w:rPr>
                <w:b/>
                <w:bCs/>
                <w:color w:val="000000"/>
                <w:sz w:val="20"/>
              </w:rPr>
              <w:t>71,699</w:t>
            </w:r>
          </w:p>
        </w:tc>
        <w:tc>
          <w:tcPr>
            <w:tcW w:w="1275" w:type="dxa"/>
            <w:gridSpan w:val="2"/>
            <w:tcBorders>
              <w:top w:val="nil"/>
              <w:left w:val="nil"/>
              <w:bottom w:val="nil"/>
              <w:right w:val="nil"/>
            </w:tcBorders>
            <w:shd w:val="clear" w:color="000000" w:fill="FFFFFF"/>
            <w:vAlign w:val="bottom"/>
            <w:hideMark/>
          </w:tcPr>
          <w:p w:rsidR="00FC2012" w:rsidRDefault="00FC2012" w:rsidP="003269F2">
            <w:pPr>
              <w:spacing w:before="0" w:after="0"/>
              <w:jc w:val="right"/>
              <w:rPr>
                <w:b/>
                <w:bCs/>
                <w:color w:val="000000"/>
                <w:sz w:val="20"/>
              </w:rPr>
            </w:pPr>
            <w:r>
              <w:rPr>
                <w:b/>
                <w:bCs/>
                <w:color w:val="000000"/>
                <w:sz w:val="20"/>
              </w:rPr>
              <w:t>20,768</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b/>
                <w:bCs/>
                <w:color w:val="000000"/>
                <w:sz w:val="20"/>
              </w:rPr>
            </w:pPr>
            <w:r>
              <w:rPr>
                <w:b/>
                <w:bCs/>
                <w:color w:val="000000"/>
                <w:sz w:val="20"/>
              </w:rPr>
              <w:t>7,911</w:t>
            </w:r>
          </w:p>
        </w:tc>
        <w:tc>
          <w:tcPr>
            <w:tcW w:w="1559"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b/>
                <w:bCs/>
                <w:color w:val="000000"/>
                <w:sz w:val="20"/>
              </w:rPr>
            </w:pPr>
            <w:r>
              <w:rPr>
                <w:b/>
                <w:bCs/>
                <w:color w:val="000000"/>
                <w:sz w:val="20"/>
              </w:rPr>
              <w:t>100,378</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b/>
                <w:bCs/>
                <w:i/>
                <w:iCs/>
                <w:color w:val="000000"/>
                <w:sz w:val="20"/>
              </w:rPr>
            </w:pPr>
            <w:r>
              <w:rPr>
                <w:b/>
                <w:bCs/>
                <w:i/>
                <w:iCs/>
                <w:color w:val="000000"/>
                <w:sz w:val="20"/>
              </w:rPr>
              <w:t>33.0</w:t>
            </w:r>
          </w:p>
        </w:tc>
      </w:tr>
      <w:tr w:rsidR="00FC2012" w:rsidRPr="008A5812" w:rsidTr="003269F2">
        <w:trPr>
          <w:gridAfter w:val="1"/>
          <w:wAfter w:w="236" w:type="dxa"/>
          <w:trHeight w:val="255"/>
        </w:trPr>
        <w:tc>
          <w:tcPr>
            <w:tcW w:w="3559" w:type="dxa"/>
            <w:gridSpan w:val="3"/>
            <w:tcBorders>
              <w:top w:val="nil"/>
              <w:left w:val="nil"/>
              <w:bottom w:val="nil"/>
              <w:right w:val="nil"/>
            </w:tcBorders>
            <w:shd w:val="clear" w:color="DAEEF3" w:fill="FFFFFF"/>
            <w:vAlign w:val="bottom"/>
            <w:hideMark/>
          </w:tcPr>
          <w:p w:rsidR="00FC2012" w:rsidRPr="008A5812" w:rsidRDefault="00FC2012" w:rsidP="003269F2">
            <w:pPr>
              <w:spacing w:before="0" w:after="0"/>
              <w:rPr>
                <w:sz w:val="20"/>
              </w:rPr>
            </w:pPr>
            <w:r w:rsidRPr="008A5812">
              <w:rPr>
                <w:sz w:val="20"/>
              </w:rPr>
              <w:t>Standard CWI</w:t>
            </w:r>
          </w:p>
        </w:tc>
        <w:tc>
          <w:tcPr>
            <w:tcW w:w="851"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265</w:t>
            </w:r>
          </w:p>
        </w:tc>
        <w:tc>
          <w:tcPr>
            <w:tcW w:w="1275" w:type="dxa"/>
            <w:gridSpan w:val="2"/>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19,790</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7,843</w:t>
            </w:r>
          </w:p>
        </w:tc>
        <w:tc>
          <w:tcPr>
            <w:tcW w:w="1559"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27,898</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i/>
                <w:iCs/>
                <w:color w:val="000000"/>
                <w:sz w:val="20"/>
              </w:rPr>
            </w:pPr>
            <w:r>
              <w:rPr>
                <w:i/>
                <w:iCs/>
                <w:color w:val="000000"/>
                <w:sz w:val="20"/>
              </w:rPr>
              <w:t>9.2</w:t>
            </w:r>
          </w:p>
        </w:tc>
      </w:tr>
      <w:tr w:rsidR="00FC2012" w:rsidRPr="008A5812" w:rsidTr="003269F2">
        <w:trPr>
          <w:gridAfter w:val="1"/>
          <w:wAfter w:w="236" w:type="dxa"/>
          <w:trHeight w:val="255"/>
        </w:trPr>
        <w:tc>
          <w:tcPr>
            <w:tcW w:w="3559" w:type="dxa"/>
            <w:gridSpan w:val="3"/>
            <w:tcBorders>
              <w:top w:val="nil"/>
              <w:left w:val="nil"/>
              <w:bottom w:val="nil"/>
              <w:right w:val="nil"/>
            </w:tcBorders>
            <w:shd w:val="clear" w:color="000000" w:fill="FFFFFF"/>
            <w:vAlign w:val="center"/>
            <w:hideMark/>
          </w:tcPr>
          <w:p w:rsidR="00FC2012" w:rsidRPr="008A5812" w:rsidRDefault="00FC2012" w:rsidP="003269F2">
            <w:pPr>
              <w:spacing w:before="0" w:after="0"/>
              <w:rPr>
                <w:sz w:val="20"/>
              </w:rPr>
            </w:pPr>
            <w:r w:rsidRPr="008A5812">
              <w:rPr>
                <w:sz w:val="20"/>
              </w:rPr>
              <w:t>HTTC: Cavity wall insulation solution</w:t>
            </w:r>
          </w:p>
        </w:tc>
        <w:tc>
          <w:tcPr>
            <w:tcW w:w="851"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71,094</w:t>
            </w:r>
          </w:p>
        </w:tc>
        <w:tc>
          <w:tcPr>
            <w:tcW w:w="1275" w:type="dxa"/>
            <w:gridSpan w:val="2"/>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978</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68</w:t>
            </w:r>
          </w:p>
        </w:tc>
        <w:tc>
          <w:tcPr>
            <w:tcW w:w="1559"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72,140</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i/>
                <w:iCs/>
                <w:color w:val="000000"/>
                <w:sz w:val="20"/>
              </w:rPr>
            </w:pPr>
            <w:r>
              <w:rPr>
                <w:i/>
                <w:iCs/>
                <w:color w:val="000000"/>
                <w:sz w:val="20"/>
              </w:rPr>
              <w:t>23.7</w:t>
            </w:r>
          </w:p>
        </w:tc>
      </w:tr>
      <w:tr w:rsidR="00FC2012" w:rsidRPr="008A5812" w:rsidTr="003269F2">
        <w:trPr>
          <w:gridAfter w:val="1"/>
          <w:wAfter w:w="236" w:type="dxa"/>
          <w:trHeight w:val="255"/>
        </w:trPr>
        <w:tc>
          <w:tcPr>
            <w:tcW w:w="3559"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rPr>
                <w:sz w:val="20"/>
              </w:rPr>
            </w:pPr>
            <w:r w:rsidRPr="008A5812">
              <w:rPr>
                <w:sz w:val="20"/>
              </w:rPr>
              <w:t>HTTC: Solid wall insulation solution</w:t>
            </w:r>
          </w:p>
        </w:tc>
        <w:tc>
          <w:tcPr>
            <w:tcW w:w="851"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340</w:t>
            </w:r>
          </w:p>
        </w:tc>
        <w:tc>
          <w:tcPr>
            <w:tcW w:w="1275" w:type="dxa"/>
            <w:gridSpan w:val="2"/>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0</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340</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i/>
                <w:iCs/>
                <w:color w:val="000000"/>
                <w:sz w:val="20"/>
              </w:rPr>
            </w:pPr>
            <w:r>
              <w:rPr>
                <w:i/>
                <w:iCs/>
                <w:color w:val="000000"/>
                <w:sz w:val="20"/>
              </w:rPr>
              <w:t>0.1</w:t>
            </w:r>
          </w:p>
        </w:tc>
      </w:tr>
      <w:tr w:rsidR="00FC2012"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 </w:t>
            </w:r>
          </w:p>
        </w:tc>
        <w:tc>
          <w:tcPr>
            <w:tcW w:w="1134" w:type="dxa"/>
            <w:gridSpan w:val="5"/>
            <w:tcBorders>
              <w:top w:val="nil"/>
              <w:left w:val="nil"/>
              <w:bottom w:val="nil"/>
              <w:right w:val="nil"/>
            </w:tcBorders>
            <w:shd w:val="clear" w:color="000000" w:fill="FFFFFF"/>
            <w:vAlign w:val="bottom"/>
            <w:hideMark/>
          </w:tcPr>
          <w:p w:rsidR="00FC2012" w:rsidRDefault="00FC2012" w:rsidP="003269F2">
            <w:pPr>
              <w:spacing w:before="0" w:after="0"/>
              <w:rPr>
                <w:color w:val="000000"/>
                <w:sz w:val="20"/>
              </w:rPr>
            </w:pPr>
            <w:r>
              <w:rPr>
                <w:color w:val="000000"/>
                <w:sz w:val="20"/>
              </w:rPr>
              <w:t> </w:t>
            </w:r>
          </w:p>
        </w:tc>
        <w:tc>
          <w:tcPr>
            <w:tcW w:w="1275" w:type="dxa"/>
            <w:gridSpan w:val="2"/>
            <w:tcBorders>
              <w:top w:val="nil"/>
              <w:left w:val="nil"/>
              <w:bottom w:val="nil"/>
              <w:right w:val="nil"/>
            </w:tcBorders>
            <w:shd w:val="clear" w:color="000000" w:fill="FFFFFF"/>
            <w:vAlign w:val="bottom"/>
            <w:hideMark/>
          </w:tcPr>
          <w:p w:rsidR="00FC2012" w:rsidRDefault="00FC2012" w:rsidP="003269F2">
            <w:pPr>
              <w:spacing w:before="0" w:after="0"/>
              <w:rPr>
                <w:color w:val="000000"/>
                <w:sz w:val="20"/>
              </w:rPr>
            </w:pPr>
            <w:r>
              <w:rPr>
                <w:color w:val="000000"/>
                <w:sz w:val="20"/>
              </w:rPr>
              <w:t> </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rPr>
                <w:color w:val="000000"/>
                <w:sz w:val="20"/>
              </w:rPr>
            </w:pPr>
            <w:r>
              <w:rPr>
                <w:color w:val="000000"/>
                <w:sz w:val="20"/>
              </w:rPr>
              <w:t> </w:t>
            </w:r>
          </w:p>
        </w:tc>
        <w:tc>
          <w:tcPr>
            <w:tcW w:w="1559" w:type="dxa"/>
            <w:gridSpan w:val="3"/>
            <w:tcBorders>
              <w:top w:val="nil"/>
              <w:left w:val="nil"/>
              <w:bottom w:val="nil"/>
              <w:right w:val="nil"/>
            </w:tcBorders>
            <w:shd w:val="clear" w:color="000000" w:fill="FFFFFF"/>
            <w:vAlign w:val="bottom"/>
            <w:hideMark/>
          </w:tcPr>
          <w:p w:rsidR="00FC2012" w:rsidRDefault="00FC2012" w:rsidP="003269F2">
            <w:pPr>
              <w:spacing w:before="0" w:after="0"/>
              <w:rPr>
                <w:color w:val="000000"/>
                <w:sz w:val="20"/>
              </w:rPr>
            </w:pPr>
            <w:r>
              <w:rPr>
                <w:color w:val="000000"/>
                <w:sz w:val="20"/>
              </w:rPr>
              <w:t> </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rPr>
                <w:i/>
                <w:iCs/>
                <w:color w:val="000000"/>
                <w:sz w:val="20"/>
              </w:rPr>
            </w:pPr>
            <w:r>
              <w:rPr>
                <w:i/>
                <w:iCs/>
                <w:color w:val="000000"/>
                <w:sz w:val="20"/>
              </w:rPr>
              <w:t> </w:t>
            </w:r>
          </w:p>
        </w:tc>
      </w:tr>
      <w:tr w:rsidR="00FC2012" w:rsidRPr="008A5812" w:rsidTr="003269F2">
        <w:trPr>
          <w:gridAfter w:val="1"/>
          <w:wAfter w:w="236" w:type="dxa"/>
          <w:trHeight w:val="255"/>
        </w:trPr>
        <w:tc>
          <w:tcPr>
            <w:tcW w:w="3417" w:type="dxa"/>
            <w:gridSpan w:val="2"/>
            <w:tcBorders>
              <w:top w:val="nil"/>
              <w:left w:val="nil"/>
              <w:bottom w:val="nil"/>
              <w:right w:val="nil"/>
            </w:tcBorders>
            <w:shd w:val="clear" w:color="000000" w:fill="FFFFFF"/>
            <w:vAlign w:val="bottom"/>
            <w:hideMark/>
          </w:tcPr>
          <w:p w:rsidR="00FC2012" w:rsidRPr="008A5812" w:rsidRDefault="00FC2012" w:rsidP="003269F2">
            <w:pPr>
              <w:spacing w:before="0" w:after="0"/>
              <w:rPr>
                <w:b/>
                <w:bCs/>
                <w:color w:val="000000"/>
                <w:sz w:val="20"/>
              </w:rPr>
            </w:pPr>
            <w:r w:rsidRPr="008A5812">
              <w:rPr>
                <w:b/>
                <w:bCs/>
                <w:color w:val="000000"/>
                <w:sz w:val="20"/>
              </w:rPr>
              <w:t>Loft Insulation</w:t>
            </w:r>
          </w:p>
        </w:tc>
        <w:tc>
          <w:tcPr>
            <w:tcW w:w="993" w:type="dxa"/>
            <w:gridSpan w:val="4"/>
            <w:tcBorders>
              <w:top w:val="nil"/>
              <w:left w:val="nil"/>
              <w:bottom w:val="nil"/>
              <w:right w:val="nil"/>
            </w:tcBorders>
            <w:shd w:val="clear" w:color="000000" w:fill="FFFFFF"/>
            <w:vAlign w:val="bottom"/>
            <w:hideMark/>
          </w:tcPr>
          <w:p w:rsidR="00FC2012" w:rsidRDefault="00FC2012" w:rsidP="003269F2">
            <w:pPr>
              <w:spacing w:before="0" w:after="0"/>
              <w:jc w:val="right"/>
              <w:rPr>
                <w:b/>
                <w:bCs/>
                <w:color w:val="000000"/>
                <w:sz w:val="20"/>
              </w:rPr>
            </w:pPr>
            <w:r>
              <w:rPr>
                <w:b/>
                <w:bCs/>
                <w:color w:val="000000"/>
                <w:sz w:val="20"/>
              </w:rPr>
              <w:t>15,625</w:t>
            </w:r>
          </w:p>
        </w:tc>
        <w:tc>
          <w:tcPr>
            <w:tcW w:w="1275" w:type="dxa"/>
            <w:gridSpan w:val="2"/>
            <w:tcBorders>
              <w:top w:val="nil"/>
              <w:left w:val="nil"/>
              <w:bottom w:val="nil"/>
              <w:right w:val="nil"/>
            </w:tcBorders>
            <w:shd w:val="clear" w:color="000000" w:fill="FFFFFF"/>
            <w:vAlign w:val="bottom"/>
            <w:hideMark/>
          </w:tcPr>
          <w:p w:rsidR="00FC2012" w:rsidRDefault="00FC2012" w:rsidP="003269F2">
            <w:pPr>
              <w:spacing w:before="0" w:after="0"/>
              <w:jc w:val="right"/>
              <w:rPr>
                <w:b/>
                <w:bCs/>
                <w:color w:val="000000"/>
                <w:sz w:val="20"/>
              </w:rPr>
            </w:pPr>
            <w:r>
              <w:rPr>
                <w:b/>
                <w:bCs/>
                <w:color w:val="000000"/>
                <w:sz w:val="20"/>
              </w:rPr>
              <w:t>53,811</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b/>
                <w:bCs/>
                <w:color w:val="000000"/>
                <w:sz w:val="20"/>
              </w:rPr>
            </w:pPr>
            <w:r>
              <w:rPr>
                <w:b/>
                <w:bCs/>
                <w:color w:val="000000"/>
                <w:sz w:val="20"/>
              </w:rPr>
              <w:t>28,270</w:t>
            </w:r>
          </w:p>
        </w:tc>
        <w:tc>
          <w:tcPr>
            <w:tcW w:w="1559"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b/>
                <w:bCs/>
                <w:color w:val="000000"/>
                <w:sz w:val="20"/>
              </w:rPr>
            </w:pPr>
            <w:r>
              <w:rPr>
                <w:b/>
                <w:bCs/>
                <w:color w:val="000000"/>
                <w:sz w:val="20"/>
              </w:rPr>
              <w:t>97,706</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b/>
                <w:bCs/>
                <w:i/>
                <w:iCs/>
                <w:color w:val="000000"/>
                <w:sz w:val="20"/>
              </w:rPr>
            </w:pPr>
            <w:r>
              <w:rPr>
                <w:b/>
                <w:bCs/>
                <w:i/>
                <w:iCs/>
                <w:color w:val="000000"/>
                <w:sz w:val="20"/>
              </w:rPr>
              <w:t>32.2</w:t>
            </w:r>
          </w:p>
        </w:tc>
      </w:tr>
      <w:tr w:rsidR="00FC2012" w:rsidRPr="008A5812" w:rsidTr="003269F2">
        <w:trPr>
          <w:gridAfter w:val="1"/>
          <w:wAfter w:w="236" w:type="dxa"/>
          <w:trHeight w:val="255"/>
        </w:trPr>
        <w:tc>
          <w:tcPr>
            <w:tcW w:w="3417" w:type="dxa"/>
            <w:gridSpan w:val="2"/>
            <w:tcBorders>
              <w:top w:val="nil"/>
              <w:left w:val="nil"/>
              <w:bottom w:val="nil"/>
              <w:right w:val="nil"/>
            </w:tcBorders>
            <w:shd w:val="clear" w:color="000000" w:fill="FFFFFF"/>
            <w:vAlign w:val="bottom"/>
            <w:hideMark/>
          </w:tcPr>
          <w:p w:rsidR="00FC2012" w:rsidRPr="008A5812" w:rsidRDefault="00FC2012" w:rsidP="003269F2">
            <w:pPr>
              <w:spacing w:before="0" w:after="0"/>
              <w:rPr>
                <w:sz w:val="20"/>
              </w:rPr>
            </w:pPr>
            <w:r w:rsidRPr="008A5812">
              <w:rPr>
                <w:sz w:val="20"/>
              </w:rPr>
              <w:t>Loft Insulation Ceiling Level Virgin</w:t>
            </w:r>
          </w:p>
        </w:tc>
        <w:tc>
          <w:tcPr>
            <w:tcW w:w="993" w:type="dxa"/>
            <w:gridSpan w:val="4"/>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4,922</w:t>
            </w:r>
          </w:p>
        </w:tc>
        <w:tc>
          <w:tcPr>
            <w:tcW w:w="1275" w:type="dxa"/>
            <w:gridSpan w:val="2"/>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13,628</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6,110</w:t>
            </w:r>
          </w:p>
        </w:tc>
        <w:tc>
          <w:tcPr>
            <w:tcW w:w="1559"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24,660</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i/>
                <w:iCs/>
                <w:color w:val="000000"/>
                <w:sz w:val="20"/>
              </w:rPr>
            </w:pPr>
            <w:r>
              <w:rPr>
                <w:i/>
                <w:iCs/>
                <w:color w:val="000000"/>
                <w:sz w:val="20"/>
              </w:rPr>
              <w:t>8.1</w:t>
            </w:r>
          </w:p>
        </w:tc>
      </w:tr>
      <w:tr w:rsidR="00FC2012" w:rsidRPr="008A5812" w:rsidTr="003269F2">
        <w:trPr>
          <w:gridAfter w:val="1"/>
          <w:wAfter w:w="236" w:type="dxa"/>
          <w:trHeight w:val="255"/>
        </w:trPr>
        <w:tc>
          <w:tcPr>
            <w:tcW w:w="3417" w:type="dxa"/>
            <w:gridSpan w:val="2"/>
            <w:tcBorders>
              <w:top w:val="nil"/>
              <w:left w:val="nil"/>
              <w:bottom w:val="nil"/>
              <w:right w:val="nil"/>
            </w:tcBorders>
            <w:shd w:val="clear" w:color="000000" w:fill="FFFFFF"/>
            <w:vAlign w:val="bottom"/>
            <w:hideMark/>
          </w:tcPr>
          <w:p w:rsidR="00FC2012" w:rsidRPr="008A5812" w:rsidRDefault="00FC2012" w:rsidP="003269F2">
            <w:pPr>
              <w:spacing w:before="0" w:after="0"/>
              <w:rPr>
                <w:sz w:val="20"/>
              </w:rPr>
            </w:pPr>
            <w:r w:rsidRPr="008A5812">
              <w:rPr>
                <w:sz w:val="20"/>
              </w:rPr>
              <w:t xml:space="preserve">Loft Insulation Ceiling Level </w:t>
            </w:r>
            <w:proofErr w:type="spellStart"/>
            <w:r w:rsidRPr="008A5812">
              <w:rPr>
                <w:sz w:val="20"/>
              </w:rPr>
              <w:t>Topup</w:t>
            </w:r>
            <w:proofErr w:type="spellEnd"/>
          </w:p>
        </w:tc>
        <w:tc>
          <w:tcPr>
            <w:tcW w:w="993" w:type="dxa"/>
            <w:gridSpan w:val="4"/>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10,687</w:t>
            </w:r>
          </w:p>
        </w:tc>
        <w:tc>
          <w:tcPr>
            <w:tcW w:w="1275" w:type="dxa"/>
            <w:gridSpan w:val="2"/>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40,173</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22,092</w:t>
            </w:r>
          </w:p>
        </w:tc>
        <w:tc>
          <w:tcPr>
            <w:tcW w:w="1559"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72,952</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i/>
                <w:iCs/>
                <w:color w:val="000000"/>
                <w:sz w:val="20"/>
              </w:rPr>
            </w:pPr>
            <w:r>
              <w:rPr>
                <w:i/>
                <w:iCs/>
                <w:color w:val="000000"/>
                <w:sz w:val="20"/>
              </w:rPr>
              <w:t>24.0</w:t>
            </w:r>
          </w:p>
        </w:tc>
      </w:tr>
      <w:tr w:rsidR="00FC2012" w:rsidRPr="008A5812" w:rsidTr="003269F2">
        <w:trPr>
          <w:gridAfter w:val="1"/>
          <w:wAfter w:w="236" w:type="dxa"/>
          <w:trHeight w:val="255"/>
        </w:trPr>
        <w:tc>
          <w:tcPr>
            <w:tcW w:w="3417" w:type="dxa"/>
            <w:gridSpan w:val="2"/>
            <w:tcBorders>
              <w:top w:val="nil"/>
              <w:left w:val="nil"/>
              <w:bottom w:val="nil"/>
              <w:right w:val="nil"/>
            </w:tcBorders>
            <w:shd w:val="clear" w:color="000000" w:fill="FFFFFF"/>
            <w:vAlign w:val="bottom"/>
            <w:hideMark/>
          </w:tcPr>
          <w:p w:rsidR="00FC2012" w:rsidRPr="008A5812" w:rsidRDefault="00FC2012" w:rsidP="003269F2">
            <w:pPr>
              <w:spacing w:before="0" w:after="0"/>
              <w:rPr>
                <w:sz w:val="20"/>
              </w:rPr>
            </w:pPr>
            <w:r w:rsidRPr="008A5812">
              <w:rPr>
                <w:sz w:val="20"/>
              </w:rPr>
              <w:t>Loft Insulation Rafter</w:t>
            </w:r>
          </w:p>
        </w:tc>
        <w:tc>
          <w:tcPr>
            <w:tcW w:w="993" w:type="dxa"/>
            <w:gridSpan w:val="4"/>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9</w:t>
            </w:r>
          </w:p>
        </w:tc>
        <w:tc>
          <w:tcPr>
            <w:tcW w:w="1275" w:type="dxa"/>
            <w:gridSpan w:val="2"/>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9</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62</w:t>
            </w:r>
          </w:p>
        </w:tc>
        <w:tc>
          <w:tcPr>
            <w:tcW w:w="1559"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80</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i/>
                <w:iCs/>
                <w:color w:val="000000"/>
                <w:sz w:val="20"/>
              </w:rPr>
            </w:pPr>
            <w:r>
              <w:rPr>
                <w:i/>
                <w:iCs/>
                <w:color w:val="000000"/>
                <w:sz w:val="20"/>
              </w:rPr>
              <w:t>0.0</w:t>
            </w:r>
          </w:p>
        </w:tc>
      </w:tr>
      <w:tr w:rsidR="00FC2012" w:rsidRPr="008A5812" w:rsidTr="003269F2">
        <w:trPr>
          <w:gridAfter w:val="1"/>
          <w:wAfter w:w="236" w:type="dxa"/>
          <w:trHeight w:val="255"/>
        </w:trPr>
        <w:tc>
          <w:tcPr>
            <w:tcW w:w="3417" w:type="dxa"/>
            <w:gridSpan w:val="2"/>
            <w:tcBorders>
              <w:top w:val="nil"/>
              <w:left w:val="nil"/>
              <w:bottom w:val="nil"/>
              <w:right w:val="nil"/>
            </w:tcBorders>
            <w:shd w:val="clear" w:color="000000" w:fill="FFFFFF"/>
            <w:vAlign w:val="bottom"/>
            <w:hideMark/>
          </w:tcPr>
          <w:p w:rsidR="00FC2012" w:rsidRPr="008A5812" w:rsidRDefault="00FC2012" w:rsidP="003269F2">
            <w:pPr>
              <w:spacing w:before="0" w:after="0"/>
              <w:rPr>
                <w:sz w:val="20"/>
              </w:rPr>
            </w:pPr>
            <w:r w:rsidRPr="008A5812">
              <w:rPr>
                <w:sz w:val="20"/>
              </w:rPr>
              <w:t>Room in Roof Insulation</w:t>
            </w:r>
          </w:p>
        </w:tc>
        <w:tc>
          <w:tcPr>
            <w:tcW w:w="993" w:type="dxa"/>
            <w:gridSpan w:val="4"/>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7</w:t>
            </w:r>
          </w:p>
        </w:tc>
        <w:tc>
          <w:tcPr>
            <w:tcW w:w="1275" w:type="dxa"/>
            <w:gridSpan w:val="2"/>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1</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6</w:t>
            </w:r>
          </w:p>
        </w:tc>
        <w:tc>
          <w:tcPr>
            <w:tcW w:w="1559"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14</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i/>
                <w:iCs/>
                <w:color w:val="000000"/>
                <w:sz w:val="20"/>
              </w:rPr>
            </w:pPr>
            <w:r>
              <w:rPr>
                <w:i/>
                <w:iCs/>
                <w:color w:val="000000"/>
                <w:sz w:val="20"/>
              </w:rPr>
              <w:t>0.0</w:t>
            </w:r>
          </w:p>
        </w:tc>
      </w:tr>
      <w:tr w:rsidR="00FC2012"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FC2012" w:rsidRPr="008A5812" w:rsidRDefault="00FC2012" w:rsidP="003269F2">
            <w:pPr>
              <w:spacing w:before="0" w:after="0"/>
              <w:rPr>
                <w:b/>
                <w:bCs/>
                <w:color w:val="000000"/>
                <w:sz w:val="20"/>
              </w:rPr>
            </w:pPr>
            <w:r w:rsidRPr="008A5812">
              <w:rPr>
                <w:b/>
                <w:bCs/>
                <w:color w:val="000000"/>
                <w:sz w:val="20"/>
              </w:rPr>
              <w:t> </w:t>
            </w:r>
          </w:p>
        </w:tc>
        <w:tc>
          <w:tcPr>
            <w:tcW w:w="1134" w:type="dxa"/>
            <w:gridSpan w:val="5"/>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 </w:t>
            </w:r>
          </w:p>
        </w:tc>
        <w:tc>
          <w:tcPr>
            <w:tcW w:w="1275" w:type="dxa"/>
            <w:gridSpan w:val="2"/>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 </w:t>
            </w:r>
          </w:p>
        </w:tc>
        <w:tc>
          <w:tcPr>
            <w:tcW w:w="1276"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 </w:t>
            </w:r>
          </w:p>
        </w:tc>
        <w:tc>
          <w:tcPr>
            <w:tcW w:w="1559"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 </w:t>
            </w:r>
          </w:p>
        </w:tc>
        <w:tc>
          <w:tcPr>
            <w:tcW w:w="1276"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rPr>
                <w:i/>
                <w:iCs/>
                <w:color w:val="000000"/>
                <w:sz w:val="20"/>
              </w:rPr>
            </w:pPr>
            <w:r w:rsidRPr="008A5812">
              <w:rPr>
                <w:i/>
                <w:iCs/>
                <w:color w:val="000000"/>
                <w:sz w:val="20"/>
              </w:rPr>
              <w:t> </w:t>
            </w:r>
          </w:p>
        </w:tc>
      </w:tr>
      <w:tr w:rsidR="00FC2012"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FC2012" w:rsidRPr="008A5812" w:rsidRDefault="00FC2012" w:rsidP="003269F2">
            <w:pPr>
              <w:spacing w:before="0" w:after="0"/>
              <w:rPr>
                <w:b/>
                <w:bCs/>
                <w:color w:val="000000"/>
                <w:sz w:val="20"/>
              </w:rPr>
            </w:pPr>
            <w:r w:rsidRPr="008A5812">
              <w:rPr>
                <w:b/>
                <w:bCs/>
                <w:color w:val="000000"/>
                <w:sz w:val="20"/>
              </w:rPr>
              <w:t>Micro-generation</w:t>
            </w:r>
          </w:p>
        </w:tc>
        <w:tc>
          <w:tcPr>
            <w:tcW w:w="1134" w:type="dxa"/>
            <w:gridSpan w:val="5"/>
            <w:tcBorders>
              <w:top w:val="nil"/>
              <w:left w:val="nil"/>
              <w:bottom w:val="nil"/>
              <w:right w:val="nil"/>
            </w:tcBorders>
            <w:shd w:val="clear" w:color="000000" w:fill="FFFFFF"/>
            <w:vAlign w:val="bottom"/>
            <w:hideMark/>
          </w:tcPr>
          <w:p w:rsidR="00FC2012" w:rsidRPr="008A5812" w:rsidRDefault="00FC2012" w:rsidP="003269F2">
            <w:pPr>
              <w:spacing w:before="0" w:after="0"/>
              <w:jc w:val="right"/>
              <w:rPr>
                <w:b/>
                <w:bCs/>
                <w:color w:val="000000"/>
                <w:sz w:val="20"/>
              </w:rPr>
            </w:pPr>
            <w:r w:rsidRPr="008A5812">
              <w:rPr>
                <w:b/>
                <w:bCs/>
                <w:color w:val="000000"/>
                <w:sz w:val="20"/>
              </w:rPr>
              <w:t>N/A</w:t>
            </w:r>
          </w:p>
        </w:tc>
        <w:tc>
          <w:tcPr>
            <w:tcW w:w="1275" w:type="dxa"/>
            <w:gridSpan w:val="2"/>
            <w:tcBorders>
              <w:top w:val="nil"/>
              <w:left w:val="nil"/>
              <w:bottom w:val="nil"/>
              <w:right w:val="nil"/>
            </w:tcBorders>
            <w:shd w:val="clear" w:color="000000" w:fill="FFFFFF"/>
            <w:vAlign w:val="bottom"/>
            <w:hideMark/>
          </w:tcPr>
          <w:p w:rsidR="00FC2012" w:rsidRPr="008A5812" w:rsidRDefault="00FC2012" w:rsidP="003269F2">
            <w:pPr>
              <w:spacing w:before="0" w:after="0"/>
              <w:jc w:val="right"/>
              <w:rPr>
                <w:b/>
                <w:bCs/>
                <w:color w:val="000000"/>
                <w:sz w:val="20"/>
              </w:rPr>
            </w:pPr>
            <w:r w:rsidRPr="008A5812">
              <w:rPr>
                <w:b/>
                <w:bCs/>
                <w:color w:val="000000"/>
                <w:sz w:val="20"/>
              </w:rPr>
              <w:t>N/A</w:t>
            </w:r>
          </w:p>
        </w:tc>
        <w:tc>
          <w:tcPr>
            <w:tcW w:w="1276"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jc w:val="right"/>
              <w:rPr>
                <w:b/>
                <w:bCs/>
                <w:color w:val="000000"/>
                <w:sz w:val="20"/>
              </w:rPr>
            </w:pPr>
            <w:r w:rsidRPr="008A5812">
              <w:rPr>
                <w:b/>
                <w:bCs/>
                <w:color w:val="000000"/>
                <w:sz w:val="20"/>
              </w:rPr>
              <w:t>0</w:t>
            </w:r>
          </w:p>
        </w:tc>
        <w:tc>
          <w:tcPr>
            <w:tcW w:w="1559"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jc w:val="right"/>
              <w:rPr>
                <w:b/>
                <w:bCs/>
                <w:color w:val="000000"/>
                <w:sz w:val="20"/>
              </w:rPr>
            </w:pPr>
            <w:r w:rsidRPr="008A5812">
              <w:rPr>
                <w:b/>
                <w:bCs/>
                <w:color w:val="000000"/>
                <w:sz w:val="20"/>
              </w:rPr>
              <w:t>0</w:t>
            </w:r>
          </w:p>
        </w:tc>
        <w:tc>
          <w:tcPr>
            <w:tcW w:w="1276"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jc w:val="right"/>
              <w:rPr>
                <w:b/>
                <w:bCs/>
                <w:i/>
                <w:iCs/>
                <w:color w:val="000000"/>
                <w:sz w:val="20"/>
              </w:rPr>
            </w:pPr>
            <w:r w:rsidRPr="008A5812">
              <w:rPr>
                <w:b/>
                <w:bCs/>
                <w:i/>
                <w:iCs/>
                <w:color w:val="000000"/>
                <w:sz w:val="20"/>
              </w:rPr>
              <w:t>0.0</w:t>
            </w:r>
          </w:p>
        </w:tc>
      </w:tr>
      <w:tr w:rsidR="00FC2012"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FC2012" w:rsidRPr="008A5812" w:rsidRDefault="00FC2012" w:rsidP="003269F2">
            <w:pPr>
              <w:spacing w:before="0" w:after="0"/>
              <w:rPr>
                <w:sz w:val="20"/>
              </w:rPr>
            </w:pPr>
            <w:r w:rsidRPr="008A5812">
              <w:rPr>
                <w:sz w:val="20"/>
              </w:rPr>
              <w:t>Air Source Heat Pumps</w:t>
            </w:r>
          </w:p>
        </w:tc>
        <w:tc>
          <w:tcPr>
            <w:tcW w:w="1134" w:type="dxa"/>
            <w:gridSpan w:val="5"/>
            <w:tcBorders>
              <w:top w:val="nil"/>
              <w:left w:val="nil"/>
              <w:bottom w:val="nil"/>
              <w:right w:val="nil"/>
            </w:tcBorders>
            <w:shd w:val="clear" w:color="000000" w:fill="FFFFFF"/>
            <w:vAlign w:val="bottom"/>
            <w:hideMark/>
          </w:tcPr>
          <w:p w:rsidR="00FC2012" w:rsidRPr="008A5812" w:rsidRDefault="00FC2012" w:rsidP="003269F2">
            <w:pPr>
              <w:spacing w:before="0" w:after="0"/>
              <w:jc w:val="right"/>
              <w:rPr>
                <w:color w:val="000000"/>
                <w:sz w:val="20"/>
              </w:rPr>
            </w:pPr>
            <w:r w:rsidRPr="008A5812">
              <w:rPr>
                <w:color w:val="000000"/>
                <w:sz w:val="20"/>
              </w:rPr>
              <w:t>N/A</w:t>
            </w:r>
          </w:p>
        </w:tc>
        <w:tc>
          <w:tcPr>
            <w:tcW w:w="1275" w:type="dxa"/>
            <w:gridSpan w:val="2"/>
            <w:tcBorders>
              <w:top w:val="nil"/>
              <w:left w:val="nil"/>
              <w:bottom w:val="nil"/>
              <w:right w:val="nil"/>
            </w:tcBorders>
            <w:shd w:val="clear" w:color="000000" w:fill="FFFFFF"/>
            <w:vAlign w:val="bottom"/>
            <w:hideMark/>
          </w:tcPr>
          <w:p w:rsidR="00FC2012" w:rsidRPr="008A5812" w:rsidRDefault="00FC2012" w:rsidP="003269F2">
            <w:pPr>
              <w:spacing w:before="0" w:after="0"/>
              <w:jc w:val="right"/>
              <w:rPr>
                <w:color w:val="000000"/>
                <w:sz w:val="20"/>
              </w:rPr>
            </w:pPr>
            <w:r w:rsidRPr="008A5812">
              <w:rPr>
                <w:color w:val="000000"/>
                <w:sz w:val="20"/>
              </w:rPr>
              <w:t>N/A</w:t>
            </w:r>
          </w:p>
        </w:tc>
        <w:tc>
          <w:tcPr>
            <w:tcW w:w="1276"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jc w:val="right"/>
              <w:rPr>
                <w:color w:val="000000"/>
                <w:sz w:val="20"/>
              </w:rPr>
            </w:pPr>
            <w:r w:rsidRPr="008A5812">
              <w:rPr>
                <w:color w:val="000000"/>
                <w:sz w:val="20"/>
              </w:rPr>
              <w:t>0</w:t>
            </w:r>
          </w:p>
        </w:tc>
        <w:tc>
          <w:tcPr>
            <w:tcW w:w="1559"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jc w:val="right"/>
              <w:rPr>
                <w:color w:val="000000"/>
                <w:sz w:val="20"/>
              </w:rPr>
            </w:pPr>
            <w:r w:rsidRPr="008A5812">
              <w:rPr>
                <w:color w:val="000000"/>
                <w:sz w:val="20"/>
              </w:rPr>
              <w:t>0</w:t>
            </w:r>
          </w:p>
        </w:tc>
        <w:tc>
          <w:tcPr>
            <w:tcW w:w="1276"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jc w:val="right"/>
              <w:rPr>
                <w:i/>
                <w:iCs/>
                <w:color w:val="000000"/>
                <w:sz w:val="20"/>
              </w:rPr>
            </w:pPr>
            <w:r w:rsidRPr="008A5812">
              <w:rPr>
                <w:i/>
                <w:iCs/>
                <w:color w:val="000000"/>
                <w:sz w:val="20"/>
              </w:rPr>
              <w:t>0.0</w:t>
            </w:r>
          </w:p>
        </w:tc>
      </w:tr>
      <w:tr w:rsidR="00FC2012"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FC2012" w:rsidRPr="008A5812" w:rsidRDefault="00FC2012" w:rsidP="003269F2">
            <w:pPr>
              <w:spacing w:before="0" w:after="0"/>
              <w:rPr>
                <w:sz w:val="20"/>
              </w:rPr>
            </w:pPr>
            <w:r w:rsidRPr="008A5812">
              <w:rPr>
                <w:sz w:val="20"/>
              </w:rPr>
              <w:t>Biomass Boilers</w:t>
            </w:r>
          </w:p>
        </w:tc>
        <w:tc>
          <w:tcPr>
            <w:tcW w:w="1134" w:type="dxa"/>
            <w:gridSpan w:val="5"/>
            <w:tcBorders>
              <w:top w:val="nil"/>
              <w:left w:val="nil"/>
              <w:bottom w:val="nil"/>
              <w:right w:val="nil"/>
            </w:tcBorders>
            <w:shd w:val="clear" w:color="000000" w:fill="FFFFFF"/>
            <w:vAlign w:val="bottom"/>
            <w:hideMark/>
          </w:tcPr>
          <w:p w:rsidR="00FC2012" w:rsidRPr="008A5812" w:rsidRDefault="00FC2012" w:rsidP="003269F2">
            <w:pPr>
              <w:spacing w:before="0" w:after="0"/>
              <w:jc w:val="right"/>
              <w:rPr>
                <w:color w:val="000000"/>
                <w:sz w:val="20"/>
              </w:rPr>
            </w:pPr>
            <w:r w:rsidRPr="008A5812">
              <w:rPr>
                <w:color w:val="000000"/>
                <w:sz w:val="20"/>
              </w:rPr>
              <w:t>N/A</w:t>
            </w:r>
          </w:p>
        </w:tc>
        <w:tc>
          <w:tcPr>
            <w:tcW w:w="1275" w:type="dxa"/>
            <w:gridSpan w:val="2"/>
            <w:tcBorders>
              <w:top w:val="nil"/>
              <w:left w:val="nil"/>
              <w:bottom w:val="nil"/>
              <w:right w:val="nil"/>
            </w:tcBorders>
            <w:shd w:val="clear" w:color="000000" w:fill="FFFFFF"/>
            <w:vAlign w:val="bottom"/>
            <w:hideMark/>
          </w:tcPr>
          <w:p w:rsidR="00FC2012" w:rsidRPr="008A5812" w:rsidRDefault="00FC2012" w:rsidP="003269F2">
            <w:pPr>
              <w:spacing w:before="0" w:after="0"/>
              <w:jc w:val="right"/>
              <w:rPr>
                <w:color w:val="000000"/>
                <w:sz w:val="20"/>
              </w:rPr>
            </w:pPr>
            <w:r w:rsidRPr="008A5812">
              <w:rPr>
                <w:color w:val="000000"/>
                <w:sz w:val="20"/>
              </w:rPr>
              <w:t>N/A</w:t>
            </w:r>
          </w:p>
        </w:tc>
        <w:tc>
          <w:tcPr>
            <w:tcW w:w="1276"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jc w:val="right"/>
              <w:rPr>
                <w:color w:val="000000"/>
                <w:sz w:val="20"/>
              </w:rPr>
            </w:pPr>
            <w:r w:rsidRPr="008A5812">
              <w:rPr>
                <w:color w:val="000000"/>
                <w:sz w:val="20"/>
              </w:rPr>
              <w:t>0</w:t>
            </w:r>
          </w:p>
        </w:tc>
        <w:tc>
          <w:tcPr>
            <w:tcW w:w="1559"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jc w:val="right"/>
              <w:rPr>
                <w:color w:val="000000"/>
                <w:sz w:val="20"/>
              </w:rPr>
            </w:pPr>
            <w:r w:rsidRPr="008A5812">
              <w:rPr>
                <w:color w:val="000000"/>
                <w:sz w:val="20"/>
              </w:rPr>
              <w:t>0</w:t>
            </w:r>
          </w:p>
        </w:tc>
        <w:tc>
          <w:tcPr>
            <w:tcW w:w="1276"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jc w:val="right"/>
              <w:rPr>
                <w:i/>
                <w:iCs/>
                <w:color w:val="000000"/>
                <w:sz w:val="20"/>
              </w:rPr>
            </w:pPr>
            <w:r w:rsidRPr="008A5812">
              <w:rPr>
                <w:i/>
                <w:iCs/>
                <w:color w:val="000000"/>
                <w:sz w:val="20"/>
              </w:rPr>
              <w:t>0.0</w:t>
            </w:r>
          </w:p>
        </w:tc>
      </w:tr>
      <w:tr w:rsidR="00FC2012"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FC2012" w:rsidRPr="008A5812" w:rsidRDefault="00FC2012" w:rsidP="003269F2">
            <w:pPr>
              <w:spacing w:before="0" w:after="0"/>
              <w:rPr>
                <w:sz w:val="20"/>
              </w:rPr>
            </w:pPr>
            <w:r w:rsidRPr="008A5812">
              <w:rPr>
                <w:sz w:val="20"/>
              </w:rPr>
              <w:t>Ground Source Heat Pumps</w:t>
            </w:r>
          </w:p>
        </w:tc>
        <w:tc>
          <w:tcPr>
            <w:tcW w:w="1134" w:type="dxa"/>
            <w:gridSpan w:val="5"/>
            <w:tcBorders>
              <w:top w:val="nil"/>
              <w:left w:val="nil"/>
              <w:bottom w:val="nil"/>
              <w:right w:val="nil"/>
            </w:tcBorders>
            <w:shd w:val="clear" w:color="000000" w:fill="FFFFFF"/>
            <w:vAlign w:val="bottom"/>
            <w:hideMark/>
          </w:tcPr>
          <w:p w:rsidR="00FC2012" w:rsidRPr="008A5812" w:rsidRDefault="00FC2012" w:rsidP="003269F2">
            <w:pPr>
              <w:spacing w:before="0" w:after="0"/>
              <w:jc w:val="right"/>
              <w:rPr>
                <w:color w:val="000000"/>
                <w:sz w:val="20"/>
              </w:rPr>
            </w:pPr>
            <w:r w:rsidRPr="008A5812">
              <w:rPr>
                <w:color w:val="000000"/>
                <w:sz w:val="20"/>
              </w:rPr>
              <w:t>N/A</w:t>
            </w:r>
          </w:p>
        </w:tc>
        <w:tc>
          <w:tcPr>
            <w:tcW w:w="1275" w:type="dxa"/>
            <w:gridSpan w:val="2"/>
            <w:tcBorders>
              <w:top w:val="nil"/>
              <w:left w:val="nil"/>
              <w:bottom w:val="nil"/>
              <w:right w:val="nil"/>
            </w:tcBorders>
            <w:shd w:val="clear" w:color="000000" w:fill="FFFFFF"/>
            <w:vAlign w:val="bottom"/>
            <w:hideMark/>
          </w:tcPr>
          <w:p w:rsidR="00FC2012" w:rsidRPr="008A5812" w:rsidRDefault="00FC2012" w:rsidP="003269F2">
            <w:pPr>
              <w:spacing w:before="0" w:after="0"/>
              <w:jc w:val="right"/>
              <w:rPr>
                <w:color w:val="000000"/>
                <w:sz w:val="20"/>
              </w:rPr>
            </w:pPr>
            <w:r w:rsidRPr="008A5812">
              <w:rPr>
                <w:color w:val="000000"/>
                <w:sz w:val="20"/>
              </w:rPr>
              <w:t>N/A</w:t>
            </w:r>
          </w:p>
        </w:tc>
        <w:tc>
          <w:tcPr>
            <w:tcW w:w="1276"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jc w:val="right"/>
              <w:rPr>
                <w:color w:val="000000"/>
                <w:sz w:val="20"/>
              </w:rPr>
            </w:pPr>
            <w:r w:rsidRPr="008A5812">
              <w:rPr>
                <w:color w:val="000000"/>
                <w:sz w:val="20"/>
              </w:rPr>
              <w:t>0</w:t>
            </w:r>
          </w:p>
        </w:tc>
        <w:tc>
          <w:tcPr>
            <w:tcW w:w="1559"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jc w:val="right"/>
              <w:rPr>
                <w:color w:val="000000"/>
                <w:sz w:val="20"/>
              </w:rPr>
            </w:pPr>
            <w:r w:rsidRPr="008A5812">
              <w:rPr>
                <w:color w:val="000000"/>
                <w:sz w:val="20"/>
              </w:rPr>
              <w:t>0</w:t>
            </w:r>
          </w:p>
        </w:tc>
        <w:tc>
          <w:tcPr>
            <w:tcW w:w="1276"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jc w:val="right"/>
              <w:rPr>
                <w:i/>
                <w:iCs/>
                <w:color w:val="000000"/>
                <w:sz w:val="20"/>
              </w:rPr>
            </w:pPr>
            <w:r w:rsidRPr="008A5812">
              <w:rPr>
                <w:i/>
                <w:iCs/>
                <w:color w:val="000000"/>
                <w:sz w:val="20"/>
              </w:rPr>
              <w:t>0.0</w:t>
            </w:r>
          </w:p>
        </w:tc>
      </w:tr>
      <w:tr w:rsidR="00FC2012"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FC2012" w:rsidRPr="008A5812" w:rsidRDefault="00FC2012" w:rsidP="003269F2">
            <w:pPr>
              <w:spacing w:before="0" w:after="0"/>
              <w:rPr>
                <w:sz w:val="20"/>
              </w:rPr>
            </w:pPr>
            <w:r w:rsidRPr="008A5812">
              <w:rPr>
                <w:sz w:val="20"/>
              </w:rPr>
              <w:t>Micro CHP</w:t>
            </w:r>
          </w:p>
        </w:tc>
        <w:tc>
          <w:tcPr>
            <w:tcW w:w="1134" w:type="dxa"/>
            <w:gridSpan w:val="5"/>
            <w:tcBorders>
              <w:top w:val="nil"/>
              <w:left w:val="nil"/>
              <w:bottom w:val="nil"/>
              <w:right w:val="nil"/>
            </w:tcBorders>
            <w:shd w:val="clear" w:color="000000" w:fill="FFFFFF"/>
            <w:vAlign w:val="bottom"/>
            <w:hideMark/>
          </w:tcPr>
          <w:p w:rsidR="00FC2012" w:rsidRPr="008A5812" w:rsidRDefault="00FC2012" w:rsidP="003269F2">
            <w:pPr>
              <w:spacing w:before="0" w:after="0"/>
              <w:jc w:val="right"/>
              <w:rPr>
                <w:color w:val="000000"/>
                <w:sz w:val="20"/>
              </w:rPr>
            </w:pPr>
            <w:r w:rsidRPr="008A5812">
              <w:rPr>
                <w:color w:val="000000"/>
                <w:sz w:val="20"/>
              </w:rPr>
              <w:t>N/A</w:t>
            </w:r>
          </w:p>
        </w:tc>
        <w:tc>
          <w:tcPr>
            <w:tcW w:w="1275" w:type="dxa"/>
            <w:gridSpan w:val="2"/>
            <w:tcBorders>
              <w:top w:val="nil"/>
              <w:left w:val="nil"/>
              <w:bottom w:val="nil"/>
              <w:right w:val="nil"/>
            </w:tcBorders>
            <w:shd w:val="clear" w:color="000000" w:fill="FFFFFF"/>
            <w:vAlign w:val="bottom"/>
            <w:hideMark/>
          </w:tcPr>
          <w:p w:rsidR="00FC2012" w:rsidRPr="008A5812" w:rsidRDefault="00FC2012" w:rsidP="003269F2">
            <w:pPr>
              <w:spacing w:before="0" w:after="0"/>
              <w:jc w:val="right"/>
              <w:rPr>
                <w:color w:val="000000"/>
                <w:sz w:val="20"/>
              </w:rPr>
            </w:pPr>
            <w:r w:rsidRPr="008A5812">
              <w:rPr>
                <w:color w:val="000000"/>
                <w:sz w:val="20"/>
              </w:rPr>
              <w:t>N/A</w:t>
            </w:r>
          </w:p>
        </w:tc>
        <w:tc>
          <w:tcPr>
            <w:tcW w:w="1276"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jc w:val="right"/>
              <w:rPr>
                <w:color w:val="000000"/>
                <w:sz w:val="20"/>
              </w:rPr>
            </w:pPr>
            <w:r w:rsidRPr="008A5812">
              <w:rPr>
                <w:color w:val="000000"/>
                <w:sz w:val="20"/>
              </w:rPr>
              <w:t>0</w:t>
            </w:r>
          </w:p>
        </w:tc>
        <w:tc>
          <w:tcPr>
            <w:tcW w:w="1559"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jc w:val="right"/>
              <w:rPr>
                <w:color w:val="000000"/>
                <w:sz w:val="20"/>
              </w:rPr>
            </w:pPr>
            <w:r w:rsidRPr="008A5812">
              <w:rPr>
                <w:color w:val="000000"/>
                <w:sz w:val="20"/>
              </w:rPr>
              <w:t>0</w:t>
            </w:r>
          </w:p>
        </w:tc>
        <w:tc>
          <w:tcPr>
            <w:tcW w:w="1276"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jc w:val="right"/>
              <w:rPr>
                <w:i/>
                <w:iCs/>
                <w:color w:val="000000"/>
                <w:sz w:val="20"/>
              </w:rPr>
            </w:pPr>
            <w:r w:rsidRPr="008A5812">
              <w:rPr>
                <w:i/>
                <w:iCs/>
                <w:color w:val="000000"/>
                <w:sz w:val="20"/>
              </w:rPr>
              <w:t>0.0</w:t>
            </w:r>
          </w:p>
        </w:tc>
      </w:tr>
      <w:tr w:rsidR="00FC2012"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FC2012" w:rsidRPr="008A5812" w:rsidRDefault="00FC2012" w:rsidP="003269F2">
            <w:pPr>
              <w:spacing w:before="0" w:after="0"/>
              <w:rPr>
                <w:sz w:val="20"/>
              </w:rPr>
            </w:pPr>
            <w:r w:rsidRPr="008A5812">
              <w:rPr>
                <w:sz w:val="20"/>
              </w:rPr>
              <w:t>Micro hydro</w:t>
            </w:r>
          </w:p>
        </w:tc>
        <w:tc>
          <w:tcPr>
            <w:tcW w:w="1134" w:type="dxa"/>
            <w:gridSpan w:val="5"/>
            <w:tcBorders>
              <w:top w:val="nil"/>
              <w:left w:val="nil"/>
              <w:bottom w:val="nil"/>
              <w:right w:val="nil"/>
            </w:tcBorders>
            <w:shd w:val="clear" w:color="000000" w:fill="FFFFFF"/>
            <w:vAlign w:val="bottom"/>
            <w:hideMark/>
          </w:tcPr>
          <w:p w:rsidR="00FC2012" w:rsidRPr="008A5812" w:rsidRDefault="00FC2012" w:rsidP="003269F2">
            <w:pPr>
              <w:spacing w:before="0" w:after="0"/>
              <w:jc w:val="right"/>
              <w:rPr>
                <w:color w:val="000000"/>
                <w:sz w:val="20"/>
              </w:rPr>
            </w:pPr>
            <w:r w:rsidRPr="008A5812">
              <w:rPr>
                <w:color w:val="000000"/>
                <w:sz w:val="20"/>
              </w:rPr>
              <w:t>N/A</w:t>
            </w:r>
          </w:p>
        </w:tc>
        <w:tc>
          <w:tcPr>
            <w:tcW w:w="1275" w:type="dxa"/>
            <w:gridSpan w:val="2"/>
            <w:tcBorders>
              <w:top w:val="nil"/>
              <w:left w:val="nil"/>
              <w:bottom w:val="nil"/>
              <w:right w:val="nil"/>
            </w:tcBorders>
            <w:shd w:val="clear" w:color="000000" w:fill="FFFFFF"/>
            <w:vAlign w:val="bottom"/>
            <w:hideMark/>
          </w:tcPr>
          <w:p w:rsidR="00FC2012" w:rsidRPr="008A5812" w:rsidRDefault="00FC2012" w:rsidP="003269F2">
            <w:pPr>
              <w:spacing w:before="0" w:after="0"/>
              <w:jc w:val="right"/>
              <w:rPr>
                <w:color w:val="000000"/>
                <w:sz w:val="20"/>
              </w:rPr>
            </w:pPr>
            <w:r w:rsidRPr="008A5812">
              <w:rPr>
                <w:color w:val="000000"/>
                <w:sz w:val="20"/>
              </w:rPr>
              <w:t>N/A</w:t>
            </w:r>
          </w:p>
        </w:tc>
        <w:tc>
          <w:tcPr>
            <w:tcW w:w="1276"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jc w:val="right"/>
              <w:rPr>
                <w:color w:val="000000"/>
                <w:sz w:val="20"/>
              </w:rPr>
            </w:pPr>
            <w:r w:rsidRPr="008A5812">
              <w:rPr>
                <w:color w:val="000000"/>
                <w:sz w:val="20"/>
              </w:rPr>
              <w:t>0</w:t>
            </w:r>
          </w:p>
        </w:tc>
        <w:tc>
          <w:tcPr>
            <w:tcW w:w="1559"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jc w:val="right"/>
              <w:rPr>
                <w:color w:val="000000"/>
                <w:sz w:val="20"/>
              </w:rPr>
            </w:pPr>
            <w:r w:rsidRPr="008A5812">
              <w:rPr>
                <w:color w:val="000000"/>
                <w:sz w:val="20"/>
              </w:rPr>
              <w:t>0</w:t>
            </w:r>
          </w:p>
        </w:tc>
        <w:tc>
          <w:tcPr>
            <w:tcW w:w="1276"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jc w:val="right"/>
              <w:rPr>
                <w:i/>
                <w:iCs/>
                <w:color w:val="000000"/>
                <w:sz w:val="20"/>
              </w:rPr>
            </w:pPr>
            <w:r w:rsidRPr="008A5812">
              <w:rPr>
                <w:i/>
                <w:iCs/>
                <w:color w:val="000000"/>
                <w:sz w:val="20"/>
              </w:rPr>
              <w:t>0.0</w:t>
            </w:r>
          </w:p>
        </w:tc>
      </w:tr>
      <w:tr w:rsidR="00FC2012"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FC2012" w:rsidRPr="008A5812" w:rsidRDefault="00FC2012" w:rsidP="003269F2">
            <w:pPr>
              <w:spacing w:before="0" w:after="0"/>
              <w:rPr>
                <w:sz w:val="20"/>
              </w:rPr>
            </w:pPr>
            <w:r w:rsidRPr="008A5812">
              <w:rPr>
                <w:sz w:val="20"/>
              </w:rPr>
              <w:t>Micro wind</w:t>
            </w:r>
          </w:p>
        </w:tc>
        <w:tc>
          <w:tcPr>
            <w:tcW w:w="1134" w:type="dxa"/>
            <w:gridSpan w:val="5"/>
            <w:tcBorders>
              <w:top w:val="nil"/>
              <w:left w:val="nil"/>
              <w:bottom w:val="nil"/>
              <w:right w:val="nil"/>
            </w:tcBorders>
            <w:shd w:val="clear" w:color="000000" w:fill="FFFFFF"/>
            <w:vAlign w:val="bottom"/>
            <w:hideMark/>
          </w:tcPr>
          <w:p w:rsidR="00FC2012" w:rsidRPr="008A5812" w:rsidRDefault="00FC2012" w:rsidP="003269F2">
            <w:pPr>
              <w:spacing w:before="0" w:after="0"/>
              <w:jc w:val="right"/>
              <w:rPr>
                <w:color w:val="000000"/>
                <w:sz w:val="20"/>
              </w:rPr>
            </w:pPr>
            <w:r w:rsidRPr="008A5812">
              <w:rPr>
                <w:color w:val="000000"/>
                <w:sz w:val="20"/>
              </w:rPr>
              <w:t>N/A</w:t>
            </w:r>
          </w:p>
        </w:tc>
        <w:tc>
          <w:tcPr>
            <w:tcW w:w="1275" w:type="dxa"/>
            <w:gridSpan w:val="2"/>
            <w:tcBorders>
              <w:top w:val="nil"/>
              <w:left w:val="nil"/>
              <w:bottom w:val="nil"/>
              <w:right w:val="nil"/>
            </w:tcBorders>
            <w:shd w:val="clear" w:color="000000" w:fill="FFFFFF"/>
            <w:vAlign w:val="bottom"/>
            <w:hideMark/>
          </w:tcPr>
          <w:p w:rsidR="00FC2012" w:rsidRPr="008A5812" w:rsidRDefault="00FC2012" w:rsidP="003269F2">
            <w:pPr>
              <w:spacing w:before="0" w:after="0"/>
              <w:jc w:val="right"/>
              <w:rPr>
                <w:color w:val="000000"/>
                <w:sz w:val="20"/>
              </w:rPr>
            </w:pPr>
            <w:r w:rsidRPr="008A5812">
              <w:rPr>
                <w:color w:val="000000"/>
                <w:sz w:val="20"/>
              </w:rPr>
              <w:t>N/A</w:t>
            </w:r>
          </w:p>
        </w:tc>
        <w:tc>
          <w:tcPr>
            <w:tcW w:w="1276"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jc w:val="right"/>
              <w:rPr>
                <w:color w:val="000000"/>
                <w:sz w:val="20"/>
              </w:rPr>
            </w:pPr>
            <w:r w:rsidRPr="008A5812">
              <w:rPr>
                <w:color w:val="000000"/>
                <w:sz w:val="20"/>
              </w:rPr>
              <w:t>0</w:t>
            </w:r>
          </w:p>
        </w:tc>
        <w:tc>
          <w:tcPr>
            <w:tcW w:w="1559"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jc w:val="right"/>
              <w:rPr>
                <w:color w:val="000000"/>
                <w:sz w:val="20"/>
              </w:rPr>
            </w:pPr>
            <w:r w:rsidRPr="008A5812">
              <w:rPr>
                <w:color w:val="000000"/>
                <w:sz w:val="20"/>
              </w:rPr>
              <w:t>0</w:t>
            </w:r>
          </w:p>
        </w:tc>
        <w:tc>
          <w:tcPr>
            <w:tcW w:w="1276"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jc w:val="right"/>
              <w:rPr>
                <w:i/>
                <w:iCs/>
                <w:color w:val="000000"/>
                <w:sz w:val="20"/>
              </w:rPr>
            </w:pPr>
            <w:r w:rsidRPr="008A5812">
              <w:rPr>
                <w:i/>
                <w:iCs/>
                <w:color w:val="000000"/>
                <w:sz w:val="20"/>
              </w:rPr>
              <w:t>0.0</w:t>
            </w:r>
          </w:p>
        </w:tc>
      </w:tr>
      <w:tr w:rsidR="00FC2012"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FC2012" w:rsidRPr="008A5812" w:rsidRDefault="00FC2012" w:rsidP="003269F2">
            <w:pPr>
              <w:spacing w:before="0" w:after="0"/>
              <w:rPr>
                <w:sz w:val="20"/>
              </w:rPr>
            </w:pPr>
            <w:r w:rsidRPr="008A5812">
              <w:rPr>
                <w:sz w:val="20"/>
              </w:rPr>
              <w:t>Photovoltaics</w:t>
            </w:r>
          </w:p>
        </w:tc>
        <w:tc>
          <w:tcPr>
            <w:tcW w:w="1134" w:type="dxa"/>
            <w:gridSpan w:val="5"/>
            <w:tcBorders>
              <w:top w:val="nil"/>
              <w:left w:val="nil"/>
              <w:bottom w:val="nil"/>
              <w:right w:val="nil"/>
            </w:tcBorders>
            <w:shd w:val="clear" w:color="000000" w:fill="FFFFFF"/>
            <w:vAlign w:val="bottom"/>
            <w:hideMark/>
          </w:tcPr>
          <w:p w:rsidR="00FC2012" w:rsidRPr="008A5812" w:rsidRDefault="00FC2012" w:rsidP="003269F2">
            <w:pPr>
              <w:spacing w:before="0" w:after="0"/>
              <w:jc w:val="right"/>
              <w:rPr>
                <w:color w:val="000000"/>
                <w:sz w:val="20"/>
              </w:rPr>
            </w:pPr>
            <w:r w:rsidRPr="008A5812">
              <w:rPr>
                <w:color w:val="000000"/>
                <w:sz w:val="20"/>
              </w:rPr>
              <w:t>N/A</w:t>
            </w:r>
          </w:p>
        </w:tc>
        <w:tc>
          <w:tcPr>
            <w:tcW w:w="1275" w:type="dxa"/>
            <w:gridSpan w:val="2"/>
            <w:tcBorders>
              <w:top w:val="nil"/>
              <w:left w:val="nil"/>
              <w:bottom w:val="nil"/>
              <w:right w:val="nil"/>
            </w:tcBorders>
            <w:shd w:val="clear" w:color="000000" w:fill="FFFFFF"/>
            <w:vAlign w:val="bottom"/>
            <w:hideMark/>
          </w:tcPr>
          <w:p w:rsidR="00FC2012" w:rsidRPr="008A5812" w:rsidRDefault="00FC2012" w:rsidP="003269F2">
            <w:pPr>
              <w:spacing w:before="0" w:after="0"/>
              <w:jc w:val="right"/>
              <w:rPr>
                <w:color w:val="000000"/>
                <w:sz w:val="20"/>
              </w:rPr>
            </w:pPr>
            <w:r w:rsidRPr="008A5812">
              <w:rPr>
                <w:color w:val="000000"/>
                <w:sz w:val="20"/>
              </w:rPr>
              <w:t>N/A</w:t>
            </w:r>
          </w:p>
        </w:tc>
        <w:tc>
          <w:tcPr>
            <w:tcW w:w="1276"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jc w:val="right"/>
              <w:rPr>
                <w:color w:val="000000"/>
                <w:sz w:val="20"/>
              </w:rPr>
            </w:pPr>
            <w:r w:rsidRPr="008A5812">
              <w:rPr>
                <w:color w:val="000000"/>
                <w:sz w:val="20"/>
              </w:rPr>
              <w:t>0</w:t>
            </w:r>
          </w:p>
        </w:tc>
        <w:tc>
          <w:tcPr>
            <w:tcW w:w="1559"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jc w:val="right"/>
              <w:rPr>
                <w:color w:val="000000"/>
                <w:sz w:val="20"/>
              </w:rPr>
            </w:pPr>
            <w:r w:rsidRPr="008A5812">
              <w:rPr>
                <w:color w:val="000000"/>
                <w:sz w:val="20"/>
              </w:rPr>
              <w:t>0</w:t>
            </w:r>
          </w:p>
        </w:tc>
        <w:tc>
          <w:tcPr>
            <w:tcW w:w="1276"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jc w:val="right"/>
              <w:rPr>
                <w:i/>
                <w:iCs/>
                <w:color w:val="000000"/>
                <w:sz w:val="20"/>
              </w:rPr>
            </w:pPr>
            <w:r w:rsidRPr="008A5812">
              <w:rPr>
                <w:i/>
                <w:iCs/>
                <w:color w:val="000000"/>
                <w:sz w:val="20"/>
              </w:rPr>
              <w:t>0.0</w:t>
            </w:r>
          </w:p>
        </w:tc>
      </w:tr>
      <w:tr w:rsidR="00FC2012" w:rsidRPr="008A5812" w:rsidTr="003269F2">
        <w:trPr>
          <w:gridAfter w:val="1"/>
          <w:wAfter w:w="236" w:type="dxa"/>
          <w:trHeight w:val="255"/>
        </w:trPr>
        <w:tc>
          <w:tcPr>
            <w:tcW w:w="3701" w:type="dxa"/>
            <w:gridSpan w:val="4"/>
            <w:tcBorders>
              <w:top w:val="nil"/>
              <w:left w:val="nil"/>
              <w:bottom w:val="nil"/>
              <w:right w:val="nil"/>
            </w:tcBorders>
            <w:shd w:val="clear" w:color="000000" w:fill="FFFFFF"/>
            <w:vAlign w:val="bottom"/>
            <w:hideMark/>
          </w:tcPr>
          <w:p w:rsidR="00FC2012" w:rsidRPr="008A5812" w:rsidRDefault="00FC2012" w:rsidP="003269F2">
            <w:pPr>
              <w:spacing w:before="0" w:after="0"/>
              <w:rPr>
                <w:b/>
                <w:bCs/>
                <w:color w:val="000000"/>
                <w:sz w:val="20"/>
              </w:rPr>
            </w:pPr>
            <w:r w:rsidRPr="008A5812">
              <w:rPr>
                <w:b/>
                <w:bCs/>
                <w:color w:val="000000"/>
                <w:sz w:val="20"/>
              </w:rPr>
              <w:t> </w:t>
            </w:r>
          </w:p>
        </w:tc>
        <w:tc>
          <w:tcPr>
            <w:tcW w:w="709" w:type="dxa"/>
            <w:gridSpan w:val="2"/>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 </w:t>
            </w:r>
          </w:p>
        </w:tc>
        <w:tc>
          <w:tcPr>
            <w:tcW w:w="1275" w:type="dxa"/>
            <w:gridSpan w:val="2"/>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 </w:t>
            </w:r>
          </w:p>
        </w:tc>
        <w:tc>
          <w:tcPr>
            <w:tcW w:w="1276"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 </w:t>
            </w:r>
          </w:p>
        </w:tc>
        <w:tc>
          <w:tcPr>
            <w:tcW w:w="1559"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 </w:t>
            </w:r>
          </w:p>
        </w:tc>
        <w:tc>
          <w:tcPr>
            <w:tcW w:w="1276"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rPr>
                <w:i/>
                <w:iCs/>
                <w:color w:val="000000"/>
                <w:sz w:val="20"/>
              </w:rPr>
            </w:pPr>
            <w:r w:rsidRPr="008A5812">
              <w:rPr>
                <w:i/>
                <w:iCs/>
                <w:color w:val="000000"/>
                <w:sz w:val="20"/>
              </w:rPr>
              <w:t> </w:t>
            </w:r>
          </w:p>
        </w:tc>
      </w:tr>
      <w:tr w:rsidR="00FC2012" w:rsidRPr="008A5812" w:rsidTr="003269F2">
        <w:trPr>
          <w:gridAfter w:val="1"/>
          <w:wAfter w:w="236" w:type="dxa"/>
          <w:trHeight w:val="255"/>
        </w:trPr>
        <w:tc>
          <w:tcPr>
            <w:tcW w:w="3701" w:type="dxa"/>
            <w:gridSpan w:val="4"/>
            <w:tcBorders>
              <w:top w:val="nil"/>
              <w:left w:val="nil"/>
              <w:bottom w:val="nil"/>
              <w:right w:val="nil"/>
            </w:tcBorders>
            <w:shd w:val="clear" w:color="000000" w:fill="FFFFFF"/>
            <w:vAlign w:val="bottom"/>
            <w:hideMark/>
          </w:tcPr>
          <w:p w:rsidR="00FC2012" w:rsidRPr="008A5812" w:rsidRDefault="00FC2012" w:rsidP="003269F2">
            <w:pPr>
              <w:spacing w:before="0" w:after="0"/>
              <w:rPr>
                <w:b/>
                <w:bCs/>
                <w:color w:val="000000"/>
                <w:sz w:val="20"/>
              </w:rPr>
            </w:pPr>
            <w:r w:rsidRPr="008A5812">
              <w:rPr>
                <w:b/>
                <w:bCs/>
                <w:color w:val="000000"/>
                <w:sz w:val="20"/>
              </w:rPr>
              <w:t>Other Heating</w:t>
            </w:r>
          </w:p>
        </w:tc>
        <w:tc>
          <w:tcPr>
            <w:tcW w:w="709" w:type="dxa"/>
            <w:gridSpan w:val="2"/>
            <w:tcBorders>
              <w:top w:val="nil"/>
              <w:left w:val="nil"/>
              <w:bottom w:val="nil"/>
              <w:right w:val="nil"/>
            </w:tcBorders>
            <w:shd w:val="clear" w:color="000000" w:fill="FFFFFF"/>
            <w:vAlign w:val="bottom"/>
            <w:hideMark/>
          </w:tcPr>
          <w:p w:rsidR="00FC2012" w:rsidRDefault="00FC2012" w:rsidP="003269F2">
            <w:pPr>
              <w:spacing w:before="0" w:after="0"/>
              <w:jc w:val="right"/>
              <w:rPr>
                <w:b/>
                <w:bCs/>
                <w:color w:val="000000"/>
                <w:sz w:val="20"/>
              </w:rPr>
            </w:pPr>
            <w:r>
              <w:rPr>
                <w:b/>
                <w:bCs/>
                <w:color w:val="000000"/>
                <w:sz w:val="20"/>
              </w:rPr>
              <w:t>85</w:t>
            </w:r>
          </w:p>
        </w:tc>
        <w:tc>
          <w:tcPr>
            <w:tcW w:w="1275" w:type="dxa"/>
            <w:gridSpan w:val="2"/>
            <w:tcBorders>
              <w:top w:val="nil"/>
              <w:left w:val="nil"/>
              <w:bottom w:val="nil"/>
              <w:right w:val="nil"/>
            </w:tcBorders>
            <w:shd w:val="clear" w:color="000000" w:fill="FFFFFF"/>
            <w:vAlign w:val="bottom"/>
            <w:hideMark/>
          </w:tcPr>
          <w:p w:rsidR="00FC2012" w:rsidRDefault="00FC2012" w:rsidP="003269F2">
            <w:pPr>
              <w:spacing w:before="0" w:after="0"/>
              <w:jc w:val="right"/>
              <w:rPr>
                <w:b/>
                <w:bCs/>
                <w:color w:val="000000"/>
                <w:sz w:val="20"/>
              </w:rPr>
            </w:pPr>
            <w:r>
              <w:rPr>
                <w:b/>
                <w:bCs/>
                <w:color w:val="000000"/>
                <w:sz w:val="20"/>
              </w:rPr>
              <w:t>16</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b/>
                <w:bCs/>
                <w:color w:val="000000"/>
                <w:sz w:val="20"/>
              </w:rPr>
            </w:pPr>
            <w:r>
              <w:rPr>
                <w:b/>
                <w:bCs/>
                <w:color w:val="000000"/>
                <w:sz w:val="20"/>
              </w:rPr>
              <w:t>9,615</w:t>
            </w:r>
          </w:p>
        </w:tc>
        <w:tc>
          <w:tcPr>
            <w:tcW w:w="1559"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b/>
                <w:bCs/>
                <w:color w:val="000000"/>
                <w:sz w:val="20"/>
              </w:rPr>
            </w:pPr>
            <w:r>
              <w:rPr>
                <w:b/>
                <w:bCs/>
                <w:color w:val="000000"/>
                <w:sz w:val="20"/>
              </w:rPr>
              <w:t>9,716</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b/>
                <w:bCs/>
                <w:i/>
                <w:iCs/>
                <w:color w:val="000000"/>
                <w:sz w:val="20"/>
              </w:rPr>
            </w:pPr>
            <w:r>
              <w:rPr>
                <w:b/>
                <w:bCs/>
                <w:i/>
                <w:iCs/>
                <w:color w:val="000000"/>
                <w:sz w:val="20"/>
              </w:rPr>
              <w:t>3.2</w:t>
            </w:r>
          </w:p>
        </w:tc>
      </w:tr>
      <w:tr w:rsidR="00FC2012" w:rsidRPr="008A5812" w:rsidTr="003269F2">
        <w:trPr>
          <w:gridAfter w:val="1"/>
          <w:wAfter w:w="236" w:type="dxa"/>
          <w:trHeight w:val="255"/>
        </w:trPr>
        <w:tc>
          <w:tcPr>
            <w:tcW w:w="3701" w:type="dxa"/>
            <w:gridSpan w:val="4"/>
            <w:tcBorders>
              <w:top w:val="nil"/>
              <w:left w:val="nil"/>
              <w:bottom w:val="nil"/>
              <w:right w:val="nil"/>
            </w:tcBorders>
            <w:shd w:val="clear" w:color="000000" w:fill="FFFFFF"/>
            <w:vAlign w:val="bottom"/>
            <w:hideMark/>
          </w:tcPr>
          <w:p w:rsidR="00FC2012" w:rsidRPr="008A5812" w:rsidRDefault="00FC2012" w:rsidP="003269F2">
            <w:pPr>
              <w:spacing w:before="0" w:after="0"/>
              <w:rPr>
                <w:sz w:val="20"/>
              </w:rPr>
            </w:pPr>
            <w:r w:rsidRPr="008A5812">
              <w:rPr>
                <w:sz w:val="20"/>
              </w:rPr>
              <w:t>Electric Storage Heaters</w:t>
            </w:r>
          </w:p>
        </w:tc>
        <w:tc>
          <w:tcPr>
            <w:tcW w:w="709" w:type="dxa"/>
            <w:gridSpan w:val="2"/>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N/A</w:t>
            </w:r>
          </w:p>
        </w:tc>
        <w:tc>
          <w:tcPr>
            <w:tcW w:w="1275" w:type="dxa"/>
            <w:gridSpan w:val="2"/>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N/A</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8</w:t>
            </w:r>
          </w:p>
        </w:tc>
        <w:tc>
          <w:tcPr>
            <w:tcW w:w="1559"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8</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i/>
                <w:iCs/>
                <w:color w:val="000000"/>
                <w:sz w:val="20"/>
              </w:rPr>
            </w:pPr>
            <w:r>
              <w:rPr>
                <w:i/>
                <w:iCs/>
                <w:color w:val="000000"/>
                <w:sz w:val="20"/>
              </w:rPr>
              <w:t>0.0</w:t>
            </w:r>
          </w:p>
        </w:tc>
      </w:tr>
      <w:tr w:rsidR="00FC2012" w:rsidRPr="008A5812" w:rsidTr="003269F2">
        <w:trPr>
          <w:gridAfter w:val="1"/>
          <w:wAfter w:w="236" w:type="dxa"/>
          <w:trHeight w:val="174"/>
        </w:trPr>
        <w:tc>
          <w:tcPr>
            <w:tcW w:w="3701" w:type="dxa"/>
            <w:gridSpan w:val="4"/>
            <w:tcBorders>
              <w:top w:val="nil"/>
              <w:left w:val="nil"/>
              <w:bottom w:val="nil"/>
              <w:right w:val="nil"/>
            </w:tcBorders>
            <w:shd w:val="clear" w:color="000000" w:fill="FFFFFF"/>
            <w:vAlign w:val="bottom"/>
            <w:hideMark/>
          </w:tcPr>
          <w:p w:rsidR="00FC2012" w:rsidRPr="008A5812" w:rsidRDefault="00FC2012" w:rsidP="003269F2">
            <w:pPr>
              <w:spacing w:before="0" w:after="0"/>
              <w:rPr>
                <w:sz w:val="20"/>
              </w:rPr>
            </w:pPr>
            <w:r w:rsidRPr="008A5812">
              <w:rPr>
                <w:sz w:val="20"/>
              </w:rPr>
              <w:t>DHS: Biomass boiler new connections</w:t>
            </w:r>
          </w:p>
        </w:tc>
        <w:tc>
          <w:tcPr>
            <w:tcW w:w="709" w:type="dxa"/>
            <w:gridSpan w:val="2"/>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0</w:t>
            </w:r>
          </w:p>
        </w:tc>
        <w:tc>
          <w:tcPr>
            <w:tcW w:w="1275" w:type="dxa"/>
            <w:gridSpan w:val="2"/>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0</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0</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i/>
                <w:iCs/>
                <w:color w:val="000000"/>
                <w:sz w:val="20"/>
              </w:rPr>
            </w:pPr>
            <w:r>
              <w:rPr>
                <w:i/>
                <w:iCs/>
                <w:color w:val="000000"/>
                <w:sz w:val="20"/>
              </w:rPr>
              <w:t>0.0</w:t>
            </w:r>
          </w:p>
        </w:tc>
      </w:tr>
      <w:tr w:rsidR="00FC2012" w:rsidRPr="008A5812" w:rsidTr="003269F2">
        <w:trPr>
          <w:gridAfter w:val="1"/>
          <w:wAfter w:w="236" w:type="dxa"/>
          <w:trHeight w:val="255"/>
        </w:trPr>
        <w:tc>
          <w:tcPr>
            <w:tcW w:w="3701" w:type="dxa"/>
            <w:gridSpan w:val="4"/>
            <w:tcBorders>
              <w:top w:val="nil"/>
              <w:left w:val="nil"/>
              <w:bottom w:val="nil"/>
              <w:right w:val="nil"/>
            </w:tcBorders>
            <w:shd w:val="clear" w:color="000000" w:fill="FFFFFF"/>
            <w:vAlign w:val="bottom"/>
            <w:hideMark/>
          </w:tcPr>
          <w:p w:rsidR="00FC2012" w:rsidRPr="008A5812" w:rsidRDefault="00FC2012" w:rsidP="003269F2">
            <w:pPr>
              <w:spacing w:before="0" w:after="0"/>
              <w:rPr>
                <w:sz w:val="20"/>
              </w:rPr>
            </w:pPr>
            <w:r w:rsidRPr="008A5812">
              <w:rPr>
                <w:sz w:val="20"/>
              </w:rPr>
              <w:t>DHS: Biomass boiler upgrades</w:t>
            </w:r>
          </w:p>
        </w:tc>
        <w:tc>
          <w:tcPr>
            <w:tcW w:w="709" w:type="dxa"/>
            <w:gridSpan w:val="2"/>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0</w:t>
            </w:r>
          </w:p>
        </w:tc>
        <w:tc>
          <w:tcPr>
            <w:tcW w:w="1275" w:type="dxa"/>
            <w:gridSpan w:val="2"/>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0</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0</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i/>
                <w:iCs/>
                <w:color w:val="000000"/>
                <w:sz w:val="20"/>
              </w:rPr>
            </w:pPr>
            <w:r>
              <w:rPr>
                <w:i/>
                <w:iCs/>
                <w:color w:val="000000"/>
                <w:sz w:val="20"/>
              </w:rPr>
              <w:t>0.0</w:t>
            </w:r>
          </w:p>
        </w:tc>
      </w:tr>
      <w:tr w:rsidR="00FC2012" w:rsidRPr="008A5812" w:rsidTr="003269F2">
        <w:trPr>
          <w:gridAfter w:val="1"/>
          <w:wAfter w:w="236" w:type="dxa"/>
          <w:trHeight w:val="255"/>
        </w:trPr>
        <w:tc>
          <w:tcPr>
            <w:tcW w:w="3701" w:type="dxa"/>
            <w:gridSpan w:val="4"/>
            <w:tcBorders>
              <w:top w:val="nil"/>
              <w:left w:val="nil"/>
              <w:bottom w:val="nil"/>
              <w:right w:val="nil"/>
            </w:tcBorders>
            <w:shd w:val="clear" w:color="000000" w:fill="FFFFFF"/>
            <w:vAlign w:val="bottom"/>
            <w:hideMark/>
          </w:tcPr>
          <w:p w:rsidR="00FC2012" w:rsidRPr="008A5812" w:rsidRDefault="00FC2012" w:rsidP="003269F2">
            <w:pPr>
              <w:spacing w:before="0" w:after="0"/>
              <w:rPr>
                <w:sz w:val="20"/>
              </w:rPr>
            </w:pPr>
            <w:r w:rsidRPr="008A5812">
              <w:rPr>
                <w:sz w:val="20"/>
              </w:rPr>
              <w:t xml:space="preserve">DHS: CHP new connections </w:t>
            </w:r>
          </w:p>
        </w:tc>
        <w:tc>
          <w:tcPr>
            <w:tcW w:w="709" w:type="dxa"/>
            <w:gridSpan w:val="2"/>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85</w:t>
            </w:r>
          </w:p>
        </w:tc>
        <w:tc>
          <w:tcPr>
            <w:tcW w:w="1275" w:type="dxa"/>
            <w:gridSpan w:val="2"/>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16</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101</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i/>
                <w:iCs/>
                <w:color w:val="000000"/>
                <w:sz w:val="20"/>
              </w:rPr>
            </w:pPr>
            <w:r>
              <w:rPr>
                <w:i/>
                <w:iCs/>
                <w:color w:val="000000"/>
                <w:sz w:val="20"/>
              </w:rPr>
              <w:t>0.0</w:t>
            </w:r>
          </w:p>
        </w:tc>
      </w:tr>
      <w:tr w:rsidR="00FC2012" w:rsidRPr="008A5812" w:rsidTr="003269F2">
        <w:trPr>
          <w:gridAfter w:val="1"/>
          <w:wAfter w:w="236" w:type="dxa"/>
          <w:trHeight w:val="255"/>
        </w:trPr>
        <w:tc>
          <w:tcPr>
            <w:tcW w:w="3701" w:type="dxa"/>
            <w:gridSpan w:val="4"/>
            <w:tcBorders>
              <w:top w:val="nil"/>
              <w:left w:val="nil"/>
              <w:bottom w:val="nil"/>
              <w:right w:val="nil"/>
            </w:tcBorders>
            <w:shd w:val="clear" w:color="000000" w:fill="FFFFFF"/>
            <w:vAlign w:val="bottom"/>
            <w:hideMark/>
          </w:tcPr>
          <w:p w:rsidR="00FC2012" w:rsidRPr="008A5812" w:rsidRDefault="00FC2012" w:rsidP="003269F2">
            <w:pPr>
              <w:spacing w:before="0" w:after="0"/>
              <w:rPr>
                <w:sz w:val="20"/>
              </w:rPr>
            </w:pPr>
            <w:r w:rsidRPr="008A5812">
              <w:rPr>
                <w:sz w:val="20"/>
              </w:rPr>
              <w:t xml:space="preserve">DHS: CHP upgrades </w:t>
            </w:r>
          </w:p>
        </w:tc>
        <w:tc>
          <w:tcPr>
            <w:tcW w:w="709" w:type="dxa"/>
            <w:gridSpan w:val="2"/>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0</w:t>
            </w:r>
          </w:p>
        </w:tc>
        <w:tc>
          <w:tcPr>
            <w:tcW w:w="1275" w:type="dxa"/>
            <w:gridSpan w:val="2"/>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0</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0</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i/>
                <w:iCs/>
                <w:color w:val="000000"/>
                <w:sz w:val="20"/>
              </w:rPr>
            </w:pPr>
            <w:r>
              <w:rPr>
                <w:i/>
                <w:iCs/>
                <w:color w:val="000000"/>
                <w:sz w:val="20"/>
              </w:rPr>
              <w:t>0.0</w:t>
            </w:r>
          </w:p>
        </w:tc>
      </w:tr>
      <w:tr w:rsidR="00FC2012" w:rsidRPr="008A5812" w:rsidTr="003269F2">
        <w:trPr>
          <w:gridAfter w:val="1"/>
          <w:wAfter w:w="236" w:type="dxa"/>
          <w:trHeight w:val="246"/>
        </w:trPr>
        <w:tc>
          <w:tcPr>
            <w:tcW w:w="3701" w:type="dxa"/>
            <w:gridSpan w:val="4"/>
            <w:tcBorders>
              <w:top w:val="nil"/>
              <w:left w:val="nil"/>
              <w:bottom w:val="nil"/>
              <w:right w:val="nil"/>
            </w:tcBorders>
            <w:shd w:val="clear" w:color="000000" w:fill="FFFFFF"/>
            <w:vAlign w:val="bottom"/>
            <w:hideMark/>
          </w:tcPr>
          <w:p w:rsidR="00FC2012" w:rsidRPr="008A5812" w:rsidRDefault="00FC2012" w:rsidP="003269F2">
            <w:pPr>
              <w:spacing w:before="0" w:after="0"/>
              <w:rPr>
                <w:sz w:val="20"/>
              </w:rPr>
            </w:pPr>
            <w:r w:rsidRPr="008A5812">
              <w:rPr>
                <w:sz w:val="20"/>
              </w:rPr>
              <w:t xml:space="preserve">DHS: Gas/Oil boiler new connections </w:t>
            </w:r>
          </w:p>
        </w:tc>
        <w:tc>
          <w:tcPr>
            <w:tcW w:w="709" w:type="dxa"/>
            <w:gridSpan w:val="2"/>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0</w:t>
            </w:r>
          </w:p>
        </w:tc>
        <w:tc>
          <w:tcPr>
            <w:tcW w:w="1275" w:type="dxa"/>
            <w:gridSpan w:val="2"/>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0</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0</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i/>
                <w:iCs/>
                <w:color w:val="000000"/>
                <w:sz w:val="20"/>
              </w:rPr>
            </w:pPr>
            <w:r>
              <w:rPr>
                <w:i/>
                <w:iCs/>
                <w:color w:val="000000"/>
                <w:sz w:val="20"/>
              </w:rPr>
              <w:t>0.0</w:t>
            </w:r>
          </w:p>
        </w:tc>
      </w:tr>
      <w:tr w:rsidR="00FC2012" w:rsidRPr="008A5812" w:rsidTr="003269F2">
        <w:trPr>
          <w:gridAfter w:val="1"/>
          <w:wAfter w:w="236" w:type="dxa"/>
          <w:trHeight w:val="255"/>
        </w:trPr>
        <w:tc>
          <w:tcPr>
            <w:tcW w:w="3701" w:type="dxa"/>
            <w:gridSpan w:val="4"/>
            <w:tcBorders>
              <w:top w:val="nil"/>
              <w:left w:val="nil"/>
              <w:bottom w:val="nil"/>
              <w:right w:val="nil"/>
            </w:tcBorders>
            <w:shd w:val="clear" w:color="000000" w:fill="FFFFFF"/>
            <w:vAlign w:val="bottom"/>
            <w:hideMark/>
          </w:tcPr>
          <w:p w:rsidR="00FC2012" w:rsidRPr="008A5812" w:rsidRDefault="00FC2012" w:rsidP="003269F2">
            <w:pPr>
              <w:spacing w:before="0" w:after="0"/>
              <w:rPr>
                <w:sz w:val="20"/>
              </w:rPr>
            </w:pPr>
            <w:r w:rsidRPr="008A5812">
              <w:rPr>
                <w:sz w:val="20"/>
              </w:rPr>
              <w:t xml:space="preserve">DHS: Gas/Oil boiler upgrades </w:t>
            </w:r>
          </w:p>
        </w:tc>
        <w:tc>
          <w:tcPr>
            <w:tcW w:w="709" w:type="dxa"/>
            <w:gridSpan w:val="2"/>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0</w:t>
            </w:r>
          </w:p>
        </w:tc>
        <w:tc>
          <w:tcPr>
            <w:tcW w:w="1275" w:type="dxa"/>
            <w:gridSpan w:val="2"/>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0</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0</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i/>
                <w:iCs/>
                <w:color w:val="000000"/>
                <w:sz w:val="20"/>
              </w:rPr>
            </w:pPr>
            <w:r>
              <w:rPr>
                <w:i/>
                <w:iCs/>
                <w:color w:val="000000"/>
                <w:sz w:val="20"/>
              </w:rPr>
              <w:t>0.0</w:t>
            </w:r>
          </w:p>
        </w:tc>
      </w:tr>
      <w:tr w:rsidR="00FC2012" w:rsidRPr="008A5812" w:rsidTr="003269F2">
        <w:trPr>
          <w:gridAfter w:val="1"/>
          <w:wAfter w:w="236" w:type="dxa"/>
          <w:trHeight w:val="255"/>
        </w:trPr>
        <w:tc>
          <w:tcPr>
            <w:tcW w:w="3701" w:type="dxa"/>
            <w:gridSpan w:val="4"/>
            <w:tcBorders>
              <w:top w:val="nil"/>
              <w:left w:val="nil"/>
              <w:bottom w:val="nil"/>
              <w:right w:val="nil"/>
            </w:tcBorders>
            <w:shd w:val="clear" w:color="000000" w:fill="FFFFFF"/>
            <w:vAlign w:val="bottom"/>
            <w:hideMark/>
          </w:tcPr>
          <w:p w:rsidR="00FC2012" w:rsidRPr="008A5812" w:rsidRDefault="00FC2012" w:rsidP="003269F2">
            <w:pPr>
              <w:spacing w:before="0" w:after="0"/>
              <w:rPr>
                <w:sz w:val="20"/>
              </w:rPr>
            </w:pPr>
            <w:r w:rsidRPr="008A5812">
              <w:rPr>
                <w:sz w:val="20"/>
              </w:rPr>
              <w:t>DHS: heat meters</w:t>
            </w:r>
          </w:p>
        </w:tc>
        <w:tc>
          <w:tcPr>
            <w:tcW w:w="709" w:type="dxa"/>
            <w:gridSpan w:val="2"/>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0</w:t>
            </w:r>
          </w:p>
        </w:tc>
        <w:tc>
          <w:tcPr>
            <w:tcW w:w="1275" w:type="dxa"/>
            <w:gridSpan w:val="2"/>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0</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0</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i/>
                <w:iCs/>
                <w:color w:val="000000"/>
                <w:sz w:val="20"/>
              </w:rPr>
            </w:pPr>
            <w:r>
              <w:rPr>
                <w:i/>
                <w:iCs/>
                <w:color w:val="000000"/>
                <w:sz w:val="20"/>
              </w:rPr>
              <w:t>0.0</w:t>
            </w:r>
          </w:p>
        </w:tc>
      </w:tr>
      <w:tr w:rsidR="00FC2012"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FC2012" w:rsidRPr="008A5812" w:rsidRDefault="00FC2012" w:rsidP="003269F2">
            <w:pPr>
              <w:spacing w:before="0" w:after="0"/>
              <w:rPr>
                <w:sz w:val="20"/>
              </w:rPr>
            </w:pPr>
            <w:r w:rsidRPr="008A5812">
              <w:rPr>
                <w:sz w:val="20"/>
              </w:rPr>
              <w:t>Flue Gas Heat Recovery Devices</w:t>
            </w:r>
          </w:p>
        </w:tc>
        <w:tc>
          <w:tcPr>
            <w:tcW w:w="1134" w:type="dxa"/>
            <w:gridSpan w:val="5"/>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N/A</w:t>
            </w:r>
          </w:p>
        </w:tc>
        <w:tc>
          <w:tcPr>
            <w:tcW w:w="1275" w:type="dxa"/>
            <w:gridSpan w:val="2"/>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N/A</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0</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i/>
                <w:iCs/>
                <w:color w:val="000000"/>
                <w:sz w:val="20"/>
              </w:rPr>
            </w:pPr>
            <w:r>
              <w:rPr>
                <w:i/>
                <w:iCs/>
                <w:color w:val="000000"/>
                <w:sz w:val="20"/>
              </w:rPr>
              <w:t>0.0</w:t>
            </w:r>
          </w:p>
        </w:tc>
      </w:tr>
      <w:tr w:rsidR="00FC2012"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FC2012" w:rsidRPr="008A5812" w:rsidRDefault="00FC2012" w:rsidP="003269F2">
            <w:pPr>
              <w:spacing w:before="0" w:after="0"/>
              <w:rPr>
                <w:sz w:val="20"/>
              </w:rPr>
            </w:pPr>
            <w:r w:rsidRPr="008A5812">
              <w:rPr>
                <w:sz w:val="20"/>
              </w:rPr>
              <w:t>Heat Recovery Ventilation</w:t>
            </w:r>
          </w:p>
        </w:tc>
        <w:tc>
          <w:tcPr>
            <w:tcW w:w="1134" w:type="dxa"/>
            <w:gridSpan w:val="5"/>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N/A</w:t>
            </w:r>
          </w:p>
        </w:tc>
        <w:tc>
          <w:tcPr>
            <w:tcW w:w="1275" w:type="dxa"/>
            <w:gridSpan w:val="2"/>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N/A</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0</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i/>
                <w:iCs/>
                <w:color w:val="000000"/>
                <w:sz w:val="20"/>
              </w:rPr>
            </w:pPr>
            <w:r>
              <w:rPr>
                <w:i/>
                <w:iCs/>
                <w:color w:val="000000"/>
                <w:sz w:val="20"/>
              </w:rPr>
              <w:t>0.0</w:t>
            </w:r>
          </w:p>
        </w:tc>
      </w:tr>
      <w:tr w:rsidR="00FC2012"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FC2012" w:rsidRPr="008A5812" w:rsidRDefault="00FC2012" w:rsidP="003269F2">
            <w:pPr>
              <w:spacing w:before="0" w:after="0"/>
              <w:rPr>
                <w:sz w:val="20"/>
              </w:rPr>
            </w:pPr>
            <w:r w:rsidRPr="008A5812">
              <w:rPr>
                <w:sz w:val="20"/>
              </w:rPr>
              <w:t>Heating Controls</w:t>
            </w:r>
          </w:p>
        </w:tc>
        <w:tc>
          <w:tcPr>
            <w:tcW w:w="1134" w:type="dxa"/>
            <w:gridSpan w:val="5"/>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N/A</w:t>
            </w:r>
          </w:p>
        </w:tc>
        <w:tc>
          <w:tcPr>
            <w:tcW w:w="1275" w:type="dxa"/>
            <w:gridSpan w:val="2"/>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N/A</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9,607</w:t>
            </w:r>
          </w:p>
        </w:tc>
        <w:tc>
          <w:tcPr>
            <w:tcW w:w="1559"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9,607</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i/>
                <w:iCs/>
                <w:color w:val="000000"/>
                <w:sz w:val="20"/>
              </w:rPr>
            </w:pPr>
            <w:r>
              <w:rPr>
                <w:i/>
                <w:iCs/>
                <w:color w:val="000000"/>
                <w:sz w:val="20"/>
              </w:rPr>
              <w:t>3.2</w:t>
            </w:r>
          </w:p>
        </w:tc>
      </w:tr>
      <w:tr w:rsidR="00FC2012"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FC2012" w:rsidRPr="008A5812" w:rsidRDefault="00FC2012" w:rsidP="003269F2">
            <w:pPr>
              <w:spacing w:before="0" w:after="0"/>
              <w:rPr>
                <w:sz w:val="20"/>
              </w:rPr>
            </w:pPr>
            <w:r w:rsidRPr="008A5812">
              <w:rPr>
                <w:sz w:val="20"/>
              </w:rPr>
              <w:t>Radiator Panels</w:t>
            </w:r>
          </w:p>
        </w:tc>
        <w:tc>
          <w:tcPr>
            <w:tcW w:w="1134" w:type="dxa"/>
            <w:gridSpan w:val="5"/>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N/A</w:t>
            </w:r>
          </w:p>
        </w:tc>
        <w:tc>
          <w:tcPr>
            <w:tcW w:w="1275" w:type="dxa"/>
            <w:gridSpan w:val="2"/>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N/A</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0</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i/>
                <w:iCs/>
                <w:color w:val="000000"/>
                <w:sz w:val="20"/>
              </w:rPr>
            </w:pPr>
            <w:r>
              <w:rPr>
                <w:i/>
                <w:iCs/>
                <w:color w:val="000000"/>
                <w:sz w:val="20"/>
              </w:rPr>
              <w:t>0.0</w:t>
            </w:r>
          </w:p>
        </w:tc>
      </w:tr>
      <w:tr w:rsidR="00FC2012"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FC2012" w:rsidRPr="008A5812" w:rsidRDefault="00FC2012" w:rsidP="003269F2">
            <w:pPr>
              <w:spacing w:before="0" w:after="0"/>
              <w:rPr>
                <w:sz w:val="20"/>
              </w:rPr>
            </w:pPr>
            <w:r w:rsidRPr="008A5812">
              <w:rPr>
                <w:sz w:val="20"/>
              </w:rPr>
              <w:t>Warm Air Units</w:t>
            </w:r>
          </w:p>
        </w:tc>
        <w:tc>
          <w:tcPr>
            <w:tcW w:w="1134" w:type="dxa"/>
            <w:gridSpan w:val="5"/>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N/A</w:t>
            </w:r>
          </w:p>
        </w:tc>
        <w:tc>
          <w:tcPr>
            <w:tcW w:w="1275" w:type="dxa"/>
            <w:gridSpan w:val="2"/>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N/A</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0</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i/>
                <w:iCs/>
                <w:color w:val="000000"/>
                <w:sz w:val="20"/>
              </w:rPr>
            </w:pPr>
            <w:r>
              <w:rPr>
                <w:i/>
                <w:iCs/>
                <w:color w:val="000000"/>
                <w:sz w:val="20"/>
              </w:rPr>
              <w:t>0.0</w:t>
            </w:r>
          </w:p>
        </w:tc>
      </w:tr>
      <w:tr w:rsidR="00FC2012"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FC2012" w:rsidRPr="008A5812" w:rsidRDefault="00FC2012" w:rsidP="003269F2">
            <w:pPr>
              <w:spacing w:before="0" w:after="0"/>
              <w:rPr>
                <w:b/>
                <w:bCs/>
                <w:color w:val="000000"/>
                <w:sz w:val="20"/>
              </w:rPr>
            </w:pPr>
            <w:r w:rsidRPr="008A5812">
              <w:rPr>
                <w:b/>
                <w:bCs/>
                <w:color w:val="000000"/>
                <w:sz w:val="20"/>
              </w:rPr>
              <w:t> </w:t>
            </w:r>
          </w:p>
        </w:tc>
        <w:tc>
          <w:tcPr>
            <w:tcW w:w="1134" w:type="dxa"/>
            <w:gridSpan w:val="5"/>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 </w:t>
            </w:r>
          </w:p>
        </w:tc>
        <w:tc>
          <w:tcPr>
            <w:tcW w:w="1275" w:type="dxa"/>
            <w:gridSpan w:val="2"/>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 </w:t>
            </w:r>
          </w:p>
        </w:tc>
        <w:tc>
          <w:tcPr>
            <w:tcW w:w="1276"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 </w:t>
            </w:r>
          </w:p>
        </w:tc>
        <w:tc>
          <w:tcPr>
            <w:tcW w:w="1559"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 </w:t>
            </w:r>
          </w:p>
        </w:tc>
        <w:tc>
          <w:tcPr>
            <w:tcW w:w="1276"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rPr>
                <w:i/>
                <w:iCs/>
                <w:color w:val="000000"/>
                <w:sz w:val="20"/>
              </w:rPr>
            </w:pPr>
            <w:r w:rsidRPr="008A5812">
              <w:rPr>
                <w:i/>
                <w:iCs/>
                <w:color w:val="000000"/>
                <w:sz w:val="20"/>
              </w:rPr>
              <w:t> </w:t>
            </w:r>
          </w:p>
        </w:tc>
      </w:tr>
      <w:tr w:rsidR="00FC2012" w:rsidRPr="008A5812" w:rsidTr="003269F2">
        <w:trPr>
          <w:gridAfter w:val="1"/>
          <w:wAfter w:w="236" w:type="dxa"/>
          <w:trHeight w:val="255"/>
        </w:trPr>
        <w:tc>
          <w:tcPr>
            <w:tcW w:w="3276" w:type="dxa"/>
            <w:tcBorders>
              <w:top w:val="nil"/>
              <w:left w:val="nil"/>
              <w:bottom w:val="nil"/>
              <w:right w:val="nil"/>
            </w:tcBorders>
            <w:shd w:val="clear" w:color="000000" w:fill="FFFFFF"/>
            <w:vAlign w:val="bottom"/>
          </w:tcPr>
          <w:p w:rsidR="00FC2012" w:rsidRPr="008A5812" w:rsidRDefault="00FC2012" w:rsidP="003269F2">
            <w:pPr>
              <w:spacing w:before="0" w:after="0"/>
              <w:rPr>
                <w:b/>
                <w:bCs/>
                <w:color w:val="000000"/>
                <w:sz w:val="20"/>
              </w:rPr>
            </w:pPr>
          </w:p>
          <w:p w:rsidR="00FC2012" w:rsidRPr="008A5812" w:rsidRDefault="00FC2012" w:rsidP="003269F2">
            <w:pPr>
              <w:spacing w:before="0" w:after="0"/>
              <w:rPr>
                <w:b/>
                <w:bCs/>
                <w:color w:val="000000"/>
                <w:sz w:val="20"/>
              </w:rPr>
            </w:pPr>
          </w:p>
        </w:tc>
        <w:tc>
          <w:tcPr>
            <w:tcW w:w="1134" w:type="dxa"/>
            <w:gridSpan w:val="5"/>
            <w:tcBorders>
              <w:top w:val="nil"/>
              <w:left w:val="nil"/>
              <w:bottom w:val="nil"/>
              <w:right w:val="nil"/>
            </w:tcBorders>
            <w:shd w:val="clear" w:color="000000" w:fill="FFFFFF"/>
            <w:vAlign w:val="bottom"/>
          </w:tcPr>
          <w:p w:rsidR="00FC2012" w:rsidRPr="008A5812" w:rsidRDefault="00FC2012" w:rsidP="003269F2">
            <w:pPr>
              <w:spacing w:before="0" w:after="0"/>
              <w:rPr>
                <w:color w:val="000000"/>
                <w:sz w:val="20"/>
              </w:rPr>
            </w:pPr>
          </w:p>
        </w:tc>
        <w:tc>
          <w:tcPr>
            <w:tcW w:w="1275" w:type="dxa"/>
            <w:gridSpan w:val="2"/>
            <w:tcBorders>
              <w:top w:val="nil"/>
              <w:left w:val="nil"/>
              <w:bottom w:val="nil"/>
              <w:right w:val="nil"/>
            </w:tcBorders>
            <w:shd w:val="clear" w:color="000000" w:fill="FFFFFF"/>
            <w:vAlign w:val="bottom"/>
          </w:tcPr>
          <w:p w:rsidR="00FC2012" w:rsidRPr="008A5812" w:rsidRDefault="00FC2012" w:rsidP="003269F2">
            <w:pPr>
              <w:spacing w:before="0" w:after="0"/>
              <w:rPr>
                <w:color w:val="000000"/>
                <w:sz w:val="20"/>
              </w:rPr>
            </w:pPr>
          </w:p>
        </w:tc>
        <w:tc>
          <w:tcPr>
            <w:tcW w:w="1276" w:type="dxa"/>
            <w:gridSpan w:val="3"/>
            <w:tcBorders>
              <w:top w:val="nil"/>
              <w:left w:val="nil"/>
              <w:bottom w:val="nil"/>
              <w:right w:val="nil"/>
            </w:tcBorders>
            <w:shd w:val="clear" w:color="000000" w:fill="FFFFFF"/>
            <w:vAlign w:val="bottom"/>
          </w:tcPr>
          <w:p w:rsidR="00FC2012" w:rsidRPr="008A5812" w:rsidRDefault="00FC2012" w:rsidP="003269F2">
            <w:pPr>
              <w:spacing w:before="0" w:after="0"/>
              <w:rPr>
                <w:color w:val="000000"/>
                <w:sz w:val="20"/>
              </w:rPr>
            </w:pPr>
          </w:p>
        </w:tc>
        <w:tc>
          <w:tcPr>
            <w:tcW w:w="1559" w:type="dxa"/>
            <w:gridSpan w:val="3"/>
            <w:tcBorders>
              <w:top w:val="nil"/>
              <w:left w:val="nil"/>
              <w:bottom w:val="nil"/>
              <w:right w:val="nil"/>
            </w:tcBorders>
            <w:shd w:val="clear" w:color="000000" w:fill="FFFFFF"/>
            <w:vAlign w:val="bottom"/>
          </w:tcPr>
          <w:p w:rsidR="00FC2012" w:rsidRPr="008A5812" w:rsidRDefault="00FC2012" w:rsidP="003269F2">
            <w:pPr>
              <w:spacing w:before="0" w:after="0"/>
              <w:rPr>
                <w:color w:val="000000"/>
                <w:sz w:val="20"/>
              </w:rPr>
            </w:pPr>
          </w:p>
        </w:tc>
        <w:tc>
          <w:tcPr>
            <w:tcW w:w="1276" w:type="dxa"/>
            <w:gridSpan w:val="3"/>
            <w:tcBorders>
              <w:top w:val="nil"/>
              <w:left w:val="nil"/>
              <w:bottom w:val="nil"/>
              <w:right w:val="nil"/>
            </w:tcBorders>
            <w:shd w:val="clear" w:color="000000" w:fill="FFFFFF"/>
            <w:vAlign w:val="bottom"/>
          </w:tcPr>
          <w:p w:rsidR="00FC2012" w:rsidRPr="008A5812" w:rsidRDefault="00FC2012" w:rsidP="003269F2">
            <w:pPr>
              <w:spacing w:before="0" w:after="0"/>
              <w:rPr>
                <w:i/>
                <w:iCs/>
                <w:color w:val="000000"/>
                <w:sz w:val="20"/>
              </w:rPr>
            </w:pPr>
          </w:p>
        </w:tc>
      </w:tr>
      <w:tr w:rsidR="00FC2012"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FC2012" w:rsidRPr="008A5812" w:rsidRDefault="00FC2012" w:rsidP="003269F2">
            <w:pPr>
              <w:spacing w:before="0" w:after="0"/>
              <w:rPr>
                <w:b/>
                <w:bCs/>
                <w:color w:val="000000"/>
                <w:sz w:val="20"/>
              </w:rPr>
            </w:pPr>
            <w:r w:rsidRPr="008A5812">
              <w:rPr>
                <w:b/>
                <w:bCs/>
                <w:color w:val="000000"/>
                <w:sz w:val="20"/>
              </w:rPr>
              <w:lastRenderedPageBreak/>
              <w:t>Other Insulation</w:t>
            </w:r>
          </w:p>
        </w:tc>
        <w:tc>
          <w:tcPr>
            <w:tcW w:w="1134" w:type="dxa"/>
            <w:gridSpan w:val="5"/>
            <w:tcBorders>
              <w:top w:val="nil"/>
              <w:left w:val="nil"/>
              <w:bottom w:val="nil"/>
              <w:right w:val="nil"/>
            </w:tcBorders>
            <w:shd w:val="clear" w:color="000000" w:fill="FFFFFF"/>
            <w:vAlign w:val="bottom"/>
            <w:hideMark/>
          </w:tcPr>
          <w:p w:rsidR="00FC2012" w:rsidRDefault="00FC2012" w:rsidP="003269F2">
            <w:pPr>
              <w:spacing w:before="0" w:after="0"/>
              <w:jc w:val="right"/>
              <w:rPr>
                <w:b/>
                <w:bCs/>
                <w:color w:val="000000"/>
                <w:sz w:val="20"/>
              </w:rPr>
            </w:pPr>
            <w:r>
              <w:rPr>
                <w:b/>
                <w:bCs/>
                <w:color w:val="000000"/>
                <w:sz w:val="20"/>
              </w:rPr>
              <w:t>481</w:t>
            </w:r>
          </w:p>
        </w:tc>
        <w:tc>
          <w:tcPr>
            <w:tcW w:w="1275" w:type="dxa"/>
            <w:gridSpan w:val="2"/>
            <w:tcBorders>
              <w:top w:val="nil"/>
              <w:left w:val="nil"/>
              <w:bottom w:val="nil"/>
              <w:right w:val="nil"/>
            </w:tcBorders>
            <w:shd w:val="clear" w:color="000000" w:fill="FFFFFF"/>
            <w:vAlign w:val="bottom"/>
            <w:hideMark/>
          </w:tcPr>
          <w:p w:rsidR="00FC2012" w:rsidRDefault="00FC2012" w:rsidP="003269F2">
            <w:pPr>
              <w:spacing w:before="0" w:after="0"/>
              <w:jc w:val="right"/>
              <w:rPr>
                <w:b/>
                <w:bCs/>
                <w:color w:val="000000"/>
                <w:sz w:val="20"/>
              </w:rPr>
            </w:pPr>
            <w:r>
              <w:rPr>
                <w:b/>
                <w:bCs/>
                <w:color w:val="000000"/>
                <w:sz w:val="20"/>
              </w:rPr>
              <w:t>152</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b/>
                <w:bCs/>
                <w:color w:val="000000"/>
                <w:sz w:val="20"/>
              </w:rPr>
            </w:pPr>
            <w:r>
              <w:rPr>
                <w:b/>
                <w:bCs/>
                <w:color w:val="000000"/>
                <w:sz w:val="20"/>
              </w:rPr>
              <w:t>34</w:t>
            </w:r>
          </w:p>
        </w:tc>
        <w:tc>
          <w:tcPr>
            <w:tcW w:w="1559"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b/>
                <w:bCs/>
                <w:color w:val="000000"/>
                <w:sz w:val="20"/>
              </w:rPr>
            </w:pPr>
            <w:r>
              <w:rPr>
                <w:b/>
                <w:bCs/>
                <w:color w:val="000000"/>
                <w:sz w:val="20"/>
              </w:rPr>
              <w:t>667</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b/>
                <w:bCs/>
                <w:i/>
                <w:iCs/>
                <w:color w:val="000000"/>
                <w:sz w:val="20"/>
              </w:rPr>
            </w:pPr>
            <w:r>
              <w:rPr>
                <w:b/>
                <w:bCs/>
                <w:i/>
                <w:iCs/>
                <w:color w:val="000000"/>
                <w:sz w:val="20"/>
              </w:rPr>
              <w:t>0.2</w:t>
            </w:r>
          </w:p>
        </w:tc>
      </w:tr>
      <w:tr w:rsidR="00FC2012"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FC2012" w:rsidRPr="008A5812" w:rsidRDefault="00FC2012" w:rsidP="003269F2">
            <w:pPr>
              <w:spacing w:before="0" w:after="0"/>
              <w:rPr>
                <w:sz w:val="20"/>
              </w:rPr>
            </w:pPr>
            <w:r w:rsidRPr="008A5812">
              <w:rPr>
                <w:sz w:val="20"/>
              </w:rPr>
              <w:t>Flat Roof Insulation</w:t>
            </w:r>
          </w:p>
        </w:tc>
        <w:tc>
          <w:tcPr>
            <w:tcW w:w="1134" w:type="dxa"/>
            <w:gridSpan w:val="5"/>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47</w:t>
            </w:r>
          </w:p>
        </w:tc>
        <w:tc>
          <w:tcPr>
            <w:tcW w:w="1275" w:type="dxa"/>
            <w:gridSpan w:val="2"/>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24</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71</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i/>
                <w:iCs/>
                <w:color w:val="000000"/>
                <w:sz w:val="20"/>
              </w:rPr>
            </w:pPr>
            <w:r>
              <w:rPr>
                <w:i/>
                <w:iCs/>
                <w:color w:val="000000"/>
                <w:sz w:val="20"/>
              </w:rPr>
              <w:t>0.0</w:t>
            </w:r>
          </w:p>
        </w:tc>
      </w:tr>
      <w:tr w:rsidR="00FC2012"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FC2012" w:rsidRPr="008A5812" w:rsidRDefault="00FC2012" w:rsidP="003269F2">
            <w:pPr>
              <w:spacing w:before="0" w:after="0"/>
              <w:rPr>
                <w:sz w:val="20"/>
              </w:rPr>
            </w:pPr>
            <w:r w:rsidRPr="008A5812">
              <w:rPr>
                <w:sz w:val="20"/>
              </w:rPr>
              <w:t>Draught Proofing</w:t>
            </w:r>
          </w:p>
        </w:tc>
        <w:tc>
          <w:tcPr>
            <w:tcW w:w="1134" w:type="dxa"/>
            <w:gridSpan w:val="5"/>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341</w:t>
            </w:r>
          </w:p>
        </w:tc>
        <w:tc>
          <w:tcPr>
            <w:tcW w:w="1275" w:type="dxa"/>
            <w:gridSpan w:val="2"/>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41</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21</w:t>
            </w:r>
          </w:p>
        </w:tc>
        <w:tc>
          <w:tcPr>
            <w:tcW w:w="1559"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403</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i/>
                <w:iCs/>
                <w:color w:val="000000"/>
                <w:sz w:val="20"/>
              </w:rPr>
            </w:pPr>
            <w:r>
              <w:rPr>
                <w:i/>
                <w:iCs/>
                <w:color w:val="000000"/>
                <w:sz w:val="20"/>
              </w:rPr>
              <w:t>0.1</w:t>
            </w:r>
          </w:p>
        </w:tc>
      </w:tr>
      <w:tr w:rsidR="00FC2012"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FC2012" w:rsidRPr="008A5812" w:rsidRDefault="00FC2012" w:rsidP="003269F2">
            <w:pPr>
              <w:spacing w:before="0" w:after="0"/>
              <w:rPr>
                <w:sz w:val="20"/>
              </w:rPr>
            </w:pPr>
            <w:r w:rsidRPr="008A5812">
              <w:rPr>
                <w:sz w:val="20"/>
              </w:rPr>
              <w:t>Hot Water Cylinder Insulation</w:t>
            </w:r>
          </w:p>
        </w:tc>
        <w:tc>
          <w:tcPr>
            <w:tcW w:w="1134" w:type="dxa"/>
            <w:gridSpan w:val="5"/>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89</w:t>
            </w:r>
          </w:p>
        </w:tc>
        <w:tc>
          <w:tcPr>
            <w:tcW w:w="1275" w:type="dxa"/>
            <w:gridSpan w:val="2"/>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87</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N/A</w:t>
            </w:r>
          </w:p>
        </w:tc>
        <w:tc>
          <w:tcPr>
            <w:tcW w:w="1559"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176</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i/>
                <w:iCs/>
                <w:color w:val="000000"/>
                <w:sz w:val="20"/>
              </w:rPr>
            </w:pPr>
            <w:r>
              <w:rPr>
                <w:i/>
                <w:iCs/>
                <w:color w:val="000000"/>
                <w:sz w:val="20"/>
              </w:rPr>
              <w:t>0.1</w:t>
            </w:r>
          </w:p>
        </w:tc>
      </w:tr>
      <w:tr w:rsidR="00FC2012"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FC2012" w:rsidRPr="008A5812" w:rsidRDefault="00FC2012" w:rsidP="003269F2">
            <w:pPr>
              <w:spacing w:before="0" w:after="0"/>
              <w:rPr>
                <w:sz w:val="20"/>
              </w:rPr>
            </w:pPr>
            <w:r w:rsidRPr="008A5812">
              <w:rPr>
                <w:sz w:val="20"/>
              </w:rPr>
              <w:t>Passageway Walk-through Doors</w:t>
            </w:r>
          </w:p>
        </w:tc>
        <w:tc>
          <w:tcPr>
            <w:tcW w:w="1134" w:type="dxa"/>
            <w:gridSpan w:val="5"/>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0</w:t>
            </w:r>
          </w:p>
        </w:tc>
        <w:tc>
          <w:tcPr>
            <w:tcW w:w="1275" w:type="dxa"/>
            <w:gridSpan w:val="2"/>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0</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0</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i/>
                <w:iCs/>
                <w:color w:val="000000"/>
                <w:sz w:val="20"/>
              </w:rPr>
            </w:pPr>
            <w:r>
              <w:rPr>
                <w:i/>
                <w:iCs/>
                <w:color w:val="000000"/>
                <w:sz w:val="20"/>
              </w:rPr>
              <w:t>0.0</w:t>
            </w:r>
          </w:p>
        </w:tc>
      </w:tr>
      <w:tr w:rsidR="00FC2012"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FC2012" w:rsidRPr="008A5812" w:rsidRDefault="00FC2012" w:rsidP="003269F2">
            <w:pPr>
              <w:spacing w:before="0" w:after="0"/>
              <w:rPr>
                <w:sz w:val="20"/>
              </w:rPr>
            </w:pPr>
            <w:r w:rsidRPr="008A5812">
              <w:rPr>
                <w:sz w:val="20"/>
              </w:rPr>
              <w:t>Pipework Insulation</w:t>
            </w:r>
          </w:p>
        </w:tc>
        <w:tc>
          <w:tcPr>
            <w:tcW w:w="1134" w:type="dxa"/>
            <w:gridSpan w:val="5"/>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0</w:t>
            </w:r>
          </w:p>
        </w:tc>
        <w:tc>
          <w:tcPr>
            <w:tcW w:w="1275" w:type="dxa"/>
            <w:gridSpan w:val="2"/>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0</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0</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i/>
                <w:iCs/>
                <w:color w:val="000000"/>
                <w:sz w:val="20"/>
              </w:rPr>
            </w:pPr>
            <w:r>
              <w:rPr>
                <w:i/>
                <w:iCs/>
                <w:color w:val="000000"/>
                <w:sz w:val="20"/>
              </w:rPr>
              <w:t>0.0</w:t>
            </w:r>
          </w:p>
        </w:tc>
      </w:tr>
      <w:tr w:rsidR="00FC2012"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FC2012" w:rsidRPr="008A5812" w:rsidRDefault="00FC2012" w:rsidP="003269F2">
            <w:pPr>
              <w:spacing w:before="0" w:after="0"/>
              <w:rPr>
                <w:sz w:val="20"/>
              </w:rPr>
            </w:pPr>
            <w:r w:rsidRPr="008A5812">
              <w:rPr>
                <w:sz w:val="20"/>
              </w:rPr>
              <w:t>Under Floor Insulation</w:t>
            </w:r>
          </w:p>
        </w:tc>
        <w:tc>
          <w:tcPr>
            <w:tcW w:w="1134" w:type="dxa"/>
            <w:gridSpan w:val="5"/>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4</w:t>
            </w:r>
          </w:p>
        </w:tc>
        <w:tc>
          <w:tcPr>
            <w:tcW w:w="1275" w:type="dxa"/>
            <w:gridSpan w:val="2"/>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0</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13</w:t>
            </w:r>
          </w:p>
        </w:tc>
        <w:tc>
          <w:tcPr>
            <w:tcW w:w="1559"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17</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i/>
                <w:iCs/>
                <w:color w:val="000000"/>
                <w:sz w:val="20"/>
              </w:rPr>
            </w:pPr>
            <w:r>
              <w:rPr>
                <w:i/>
                <w:iCs/>
                <w:color w:val="000000"/>
                <w:sz w:val="20"/>
              </w:rPr>
              <w:t>0.0</w:t>
            </w:r>
          </w:p>
        </w:tc>
      </w:tr>
      <w:tr w:rsidR="00FC2012"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FC2012" w:rsidRPr="008A5812" w:rsidRDefault="00FC2012" w:rsidP="003269F2">
            <w:pPr>
              <w:spacing w:before="0" w:after="0"/>
              <w:rPr>
                <w:b/>
                <w:bCs/>
                <w:color w:val="000000"/>
                <w:sz w:val="20"/>
              </w:rPr>
            </w:pPr>
            <w:r w:rsidRPr="008A5812">
              <w:rPr>
                <w:b/>
                <w:bCs/>
                <w:color w:val="000000"/>
                <w:sz w:val="20"/>
              </w:rPr>
              <w:t> </w:t>
            </w:r>
          </w:p>
        </w:tc>
        <w:tc>
          <w:tcPr>
            <w:tcW w:w="1134" w:type="dxa"/>
            <w:gridSpan w:val="5"/>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 </w:t>
            </w:r>
          </w:p>
        </w:tc>
        <w:tc>
          <w:tcPr>
            <w:tcW w:w="1275" w:type="dxa"/>
            <w:gridSpan w:val="2"/>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 </w:t>
            </w:r>
          </w:p>
        </w:tc>
        <w:tc>
          <w:tcPr>
            <w:tcW w:w="1276"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 </w:t>
            </w:r>
          </w:p>
        </w:tc>
        <w:tc>
          <w:tcPr>
            <w:tcW w:w="1559"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 </w:t>
            </w:r>
          </w:p>
        </w:tc>
        <w:tc>
          <w:tcPr>
            <w:tcW w:w="1276"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rPr>
                <w:i/>
                <w:iCs/>
                <w:color w:val="000000"/>
                <w:sz w:val="20"/>
              </w:rPr>
            </w:pPr>
            <w:r w:rsidRPr="008A5812">
              <w:rPr>
                <w:i/>
                <w:iCs/>
                <w:color w:val="000000"/>
                <w:sz w:val="20"/>
              </w:rPr>
              <w:t> </w:t>
            </w:r>
          </w:p>
        </w:tc>
      </w:tr>
      <w:tr w:rsidR="00FC2012"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FC2012" w:rsidRPr="008A5812" w:rsidRDefault="00FC2012" w:rsidP="003269F2">
            <w:pPr>
              <w:spacing w:before="0" w:after="0"/>
              <w:rPr>
                <w:b/>
                <w:bCs/>
                <w:color w:val="000000"/>
                <w:sz w:val="20"/>
              </w:rPr>
            </w:pPr>
            <w:r w:rsidRPr="008A5812">
              <w:rPr>
                <w:b/>
                <w:bCs/>
                <w:color w:val="000000"/>
                <w:sz w:val="20"/>
              </w:rPr>
              <w:t>Solid Wall Insulation</w:t>
            </w:r>
          </w:p>
        </w:tc>
        <w:tc>
          <w:tcPr>
            <w:tcW w:w="1134" w:type="dxa"/>
            <w:gridSpan w:val="5"/>
            <w:tcBorders>
              <w:top w:val="nil"/>
              <w:left w:val="nil"/>
              <w:bottom w:val="nil"/>
              <w:right w:val="nil"/>
            </w:tcBorders>
            <w:shd w:val="clear" w:color="000000" w:fill="FFFFFF"/>
            <w:vAlign w:val="bottom"/>
            <w:hideMark/>
          </w:tcPr>
          <w:p w:rsidR="00FC2012" w:rsidRPr="008A5812" w:rsidRDefault="00FC2012" w:rsidP="003269F2">
            <w:pPr>
              <w:spacing w:before="0" w:after="0"/>
              <w:jc w:val="right"/>
              <w:rPr>
                <w:b/>
                <w:bCs/>
                <w:color w:val="000000"/>
                <w:sz w:val="20"/>
              </w:rPr>
            </w:pPr>
            <w:r>
              <w:rPr>
                <w:b/>
                <w:bCs/>
                <w:color w:val="000000"/>
                <w:sz w:val="20"/>
              </w:rPr>
              <w:t>11,236</w:t>
            </w:r>
          </w:p>
        </w:tc>
        <w:tc>
          <w:tcPr>
            <w:tcW w:w="1275" w:type="dxa"/>
            <w:gridSpan w:val="2"/>
            <w:tcBorders>
              <w:top w:val="nil"/>
              <w:left w:val="nil"/>
              <w:bottom w:val="nil"/>
              <w:right w:val="nil"/>
            </w:tcBorders>
            <w:shd w:val="clear" w:color="000000" w:fill="FFFFFF"/>
            <w:vAlign w:val="bottom"/>
            <w:hideMark/>
          </w:tcPr>
          <w:p w:rsidR="00FC2012" w:rsidRDefault="00FC2012" w:rsidP="003269F2">
            <w:pPr>
              <w:spacing w:before="0" w:after="0"/>
              <w:jc w:val="right"/>
              <w:rPr>
                <w:b/>
                <w:bCs/>
                <w:color w:val="000000"/>
                <w:sz w:val="20"/>
              </w:rPr>
            </w:pPr>
            <w:r>
              <w:rPr>
                <w:b/>
                <w:bCs/>
                <w:color w:val="000000"/>
                <w:sz w:val="20"/>
              </w:rPr>
              <w:t>1,539</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b/>
                <w:bCs/>
                <w:color w:val="000000"/>
                <w:sz w:val="20"/>
              </w:rPr>
            </w:pPr>
            <w:r>
              <w:rPr>
                <w:b/>
                <w:bCs/>
                <w:color w:val="000000"/>
                <w:sz w:val="20"/>
              </w:rPr>
              <w:t>5</w:t>
            </w:r>
          </w:p>
        </w:tc>
        <w:tc>
          <w:tcPr>
            <w:tcW w:w="1559"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b/>
                <w:bCs/>
                <w:color w:val="000000"/>
                <w:sz w:val="20"/>
              </w:rPr>
            </w:pPr>
            <w:r>
              <w:rPr>
                <w:b/>
                <w:bCs/>
                <w:color w:val="000000"/>
                <w:sz w:val="20"/>
              </w:rPr>
              <w:t>12,780</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b/>
                <w:bCs/>
                <w:i/>
                <w:iCs/>
                <w:color w:val="000000"/>
                <w:sz w:val="20"/>
              </w:rPr>
            </w:pPr>
            <w:r>
              <w:rPr>
                <w:b/>
                <w:bCs/>
                <w:i/>
                <w:iCs/>
                <w:color w:val="000000"/>
                <w:sz w:val="20"/>
              </w:rPr>
              <w:t>4.2</w:t>
            </w:r>
          </w:p>
        </w:tc>
      </w:tr>
      <w:tr w:rsidR="00FC2012" w:rsidRPr="008A5812" w:rsidTr="003269F2">
        <w:trPr>
          <w:gridAfter w:val="1"/>
          <w:wAfter w:w="236" w:type="dxa"/>
          <w:trHeight w:val="510"/>
        </w:trPr>
        <w:tc>
          <w:tcPr>
            <w:tcW w:w="3559"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rPr>
                <w:sz w:val="20"/>
              </w:rPr>
            </w:pPr>
            <w:r w:rsidRPr="008A5812">
              <w:rPr>
                <w:sz w:val="20"/>
              </w:rPr>
              <w:t>External wall insulation: Solid brick walls, built from 1967</w:t>
            </w:r>
          </w:p>
        </w:tc>
        <w:tc>
          <w:tcPr>
            <w:tcW w:w="851"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jc w:val="right"/>
              <w:rPr>
                <w:color w:val="000000"/>
                <w:sz w:val="20"/>
              </w:rPr>
            </w:pPr>
            <w:r>
              <w:rPr>
                <w:color w:val="000000"/>
                <w:sz w:val="20"/>
              </w:rPr>
              <w:t>2,2</w:t>
            </w:r>
            <w:r w:rsidRPr="008A5812">
              <w:rPr>
                <w:color w:val="000000"/>
                <w:sz w:val="20"/>
              </w:rPr>
              <w:t>0</w:t>
            </w:r>
            <w:r>
              <w:rPr>
                <w:color w:val="000000"/>
                <w:sz w:val="20"/>
              </w:rPr>
              <w:t>2</w:t>
            </w:r>
          </w:p>
        </w:tc>
        <w:tc>
          <w:tcPr>
            <w:tcW w:w="1275" w:type="dxa"/>
            <w:gridSpan w:val="2"/>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142</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2,344</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i/>
                <w:iCs/>
                <w:color w:val="000000"/>
                <w:sz w:val="20"/>
              </w:rPr>
            </w:pPr>
            <w:r>
              <w:rPr>
                <w:i/>
                <w:iCs/>
                <w:color w:val="000000"/>
                <w:sz w:val="20"/>
              </w:rPr>
              <w:t>0.8</w:t>
            </w:r>
          </w:p>
        </w:tc>
      </w:tr>
      <w:tr w:rsidR="00FC2012" w:rsidRPr="008A5812" w:rsidTr="003269F2">
        <w:trPr>
          <w:gridAfter w:val="1"/>
          <w:wAfter w:w="236" w:type="dxa"/>
          <w:trHeight w:val="510"/>
        </w:trPr>
        <w:tc>
          <w:tcPr>
            <w:tcW w:w="3559" w:type="dxa"/>
            <w:gridSpan w:val="3"/>
            <w:tcBorders>
              <w:top w:val="nil"/>
              <w:left w:val="nil"/>
              <w:bottom w:val="nil"/>
              <w:right w:val="nil"/>
            </w:tcBorders>
            <w:shd w:val="clear" w:color="DAEEF3" w:fill="FFFFFF"/>
            <w:vAlign w:val="bottom"/>
            <w:hideMark/>
          </w:tcPr>
          <w:p w:rsidR="00FC2012" w:rsidRPr="008A5812" w:rsidRDefault="00FC2012" w:rsidP="003269F2">
            <w:pPr>
              <w:spacing w:before="0" w:after="0"/>
              <w:rPr>
                <w:sz w:val="20"/>
              </w:rPr>
            </w:pPr>
            <w:r w:rsidRPr="008A5812">
              <w:rPr>
                <w:sz w:val="20"/>
              </w:rPr>
              <w:t>External wall insulation: Solid brick walls, built pre 1967</w:t>
            </w:r>
          </w:p>
        </w:tc>
        <w:tc>
          <w:tcPr>
            <w:tcW w:w="851"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jc w:val="right"/>
              <w:rPr>
                <w:color w:val="000000"/>
                <w:sz w:val="20"/>
              </w:rPr>
            </w:pPr>
            <w:r>
              <w:rPr>
                <w:color w:val="000000"/>
                <w:sz w:val="20"/>
              </w:rPr>
              <w:t>5,143</w:t>
            </w:r>
          </w:p>
        </w:tc>
        <w:tc>
          <w:tcPr>
            <w:tcW w:w="1275" w:type="dxa"/>
            <w:gridSpan w:val="2"/>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1,120</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5</w:t>
            </w:r>
          </w:p>
        </w:tc>
        <w:tc>
          <w:tcPr>
            <w:tcW w:w="1559"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6,268</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i/>
                <w:iCs/>
                <w:color w:val="000000"/>
                <w:sz w:val="20"/>
              </w:rPr>
            </w:pPr>
            <w:r>
              <w:rPr>
                <w:i/>
                <w:iCs/>
                <w:color w:val="000000"/>
                <w:sz w:val="20"/>
              </w:rPr>
              <w:t>2.1</w:t>
            </w:r>
          </w:p>
        </w:tc>
      </w:tr>
      <w:tr w:rsidR="00FC2012" w:rsidRPr="008A5812" w:rsidTr="003269F2">
        <w:trPr>
          <w:gridAfter w:val="1"/>
          <w:wAfter w:w="236" w:type="dxa"/>
          <w:trHeight w:val="510"/>
        </w:trPr>
        <w:tc>
          <w:tcPr>
            <w:tcW w:w="3559" w:type="dxa"/>
            <w:gridSpan w:val="3"/>
            <w:tcBorders>
              <w:top w:val="nil"/>
              <w:left w:val="nil"/>
              <w:bottom w:val="nil"/>
              <w:right w:val="nil"/>
            </w:tcBorders>
            <w:shd w:val="clear" w:color="000000" w:fill="FFFFFF"/>
            <w:vAlign w:val="center"/>
            <w:hideMark/>
          </w:tcPr>
          <w:p w:rsidR="00FC2012" w:rsidRPr="008A5812" w:rsidRDefault="00FC2012" w:rsidP="003269F2">
            <w:pPr>
              <w:spacing w:before="0" w:after="0"/>
              <w:rPr>
                <w:sz w:val="20"/>
              </w:rPr>
            </w:pPr>
            <w:r w:rsidRPr="008A5812">
              <w:rPr>
                <w:sz w:val="20"/>
              </w:rPr>
              <w:t>External wall insulation: Solid non-brick walls</w:t>
            </w:r>
          </w:p>
        </w:tc>
        <w:tc>
          <w:tcPr>
            <w:tcW w:w="851"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jc w:val="right"/>
              <w:rPr>
                <w:color w:val="000000"/>
                <w:sz w:val="20"/>
              </w:rPr>
            </w:pPr>
            <w:r>
              <w:rPr>
                <w:color w:val="000000"/>
                <w:sz w:val="20"/>
              </w:rPr>
              <w:t>3,715</w:t>
            </w:r>
          </w:p>
        </w:tc>
        <w:tc>
          <w:tcPr>
            <w:tcW w:w="1275" w:type="dxa"/>
            <w:gridSpan w:val="2"/>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275</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3,990</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i/>
                <w:iCs/>
                <w:color w:val="000000"/>
                <w:sz w:val="20"/>
              </w:rPr>
            </w:pPr>
            <w:r>
              <w:rPr>
                <w:i/>
                <w:iCs/>
                <w:color w:val="000000"/>
                <w:sz w:val="20"/>
              </w:rPr>
              <w:t>1.3</w:t>
            </w:r>
          </w:p>
        </w:tc>
      </w:tr>
      <w:tr w:rsidR="00FC2012" w:rsidRPr="008A5812" w:rsidTr="003269F2">
        <w:trPr>
          <w:gridAfter w:val="1"/>
          <w:wAfter w:w="236" w:type="dxa"/>
          <w:trHeight w:val="510"/>
        </w:trPr>
        <w:tc>
          <w:tcPr>
            <w:tcW w:w="3559" w:type="dxa"/>
            <w:gridSpan w:val="3"/>
            <w:tcBorders>
              <w:top w:val="nil"/>
              <w:left w:val="nil"/>
              <w:bottom w:val="nil"/>
              <w:right w:val="nil"/>
            </w:tcBorders>
            <w:shd w:val="clear" w:color="000000" w:fill="FFFFFF"/>
            <w:vAlign w:val="center"/>
            <w:hideMark/>
          </w:tcPr>
          <w:p w:rsidR="00FC2012" w:rsidRPr="008A5812" w:rsidRDefault="00FC2012" w:rsidP="003269F2">
            <w:pPr>
              <w:spacing w:before="0" w:after="0"/>
              <w:rPr>
                <w:sz w:val="20"/>
              </w:rPr>
            </w:pPr>
            <w:r w:rsidRPr="008A5812">
              <w:rPr>
                <w:sz w:val="20"/>
              </w:rPr>
              <w:t>Internal wall insulation: Solid brick walls, built from 1967</w:t>
            </w:r>
          </w:p>
        </w:tc>
        <w:tc>
          <w:tcPr>
            <w:tcW w:w="851"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jc w:val="right"/>
              <w:rPr>
                <w:color w:val="000000"/>
                <w:sz w:val="20"/>
              </w:rPr>
            </w:pPr>
            <w:r>
              <w:rPr>
                <w:color w:val="000000"/>
                <w:sz w:val="20"/>
              </w:rPr>
              <w:t>23</w:t>
            </w:r>
          </w:p>
        </w:tc>
        <w:tc>
          <w:tcPr>
            <w:tcW w:w="1275" w:type="dxa"/>
            <w:gridSpan w:val="2"/>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0</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23</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i/>
                <w:iCs/>
                <w:color w:val="000000"/>
                <w:sz w:val="20"/>
              </w:rPr>
            </w:pPr>
            <w:r>
              <w:rPr>
                <w:i/>
                <w:iCs/>
                <w:color w:val="000000"/>
                <w:sz w:val="20"/>
              </w:rPr>
              <w:t>0.0</w:t>
            </w:r>
          </w:p>
        </w:tc>
      </w:tr>
      <w:tr w:rsidR="00FC2012" w:rsidRPr="008A5812" w:rsidTr="003269F2">
        <w:trPr>
          <w:gridAfter w:val="1"/>
          <w:wAfter w:w="236" w:type="dxa"/>
          <w:trHeight w:val="510"/>
        </w:trPr>
        <w:tc>
          <w:tcPr>
            <w:tcW w:w="3559"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rPr>
                <w:sz w:val="20"/>
              </w:rPr>
            </w:pPr>
            <w:r w:rsidRPr="008A5812">
              <w:rPr>
                <w:sz w:val="20"/>
              </w:rPr>
              <w:t>Internal wall insulation: Solid brick walls, built pre 1967</w:t>
            </w:r>
          </w:p>
        </w:tc>
        <w:tc>
          <w:tcPr>
            <w:tcW w:w="851"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jc w:val="right"/>
              <w:rPr>
                <w:color w:val="000000"/>
                <w:sz w:val="20"/>
              </w:rPr>
            </w:pPr>
            <w:r>
              <w:rPr>
                <w:color w:val="000000"/>
                <w:sz w:val="20"/>
              </w:rPr>
              <w:t>109</w:t>
            </w:r>
          </w:p>
        </w:tc>
        <w:tc>
          <w:tcPr>
            <w:tcW w:w="1275" w:type="dxa"/>
            <w:gridSpan w:val="2"/>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2</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111</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i/>
                <w:iCs/>
                <w:color w:val="000000"/>
                <w:sz w:val="20"/>
              </w:rPr>
            </w:pPr>
            <w:r>
              <w:rPr>
                <w:i/>
                <w:iCs/>
                <w:color w:val="000000"/>
                <w:sz w:val="20"/>
              </w:rPr>
              <w:t>0.0</w:t>
            </w:r>
          </w:p>
        </w:tc>
      </w:tr>
      <w:tr w:rsidR="00FC2012" w:rsidRPr="008A5812" w:rsidTr="003269F2">
        <w:trPr>
          <w:gridAfter w:val="1"/>
          <w:wAfter w:w="236" w:type="dxa"/>
          <w:trHeight w:val="510"/>
        </w:trPr>
        <w:tc>
          <w:tcPr>
            <w:tcW w:w="3559" w:type="dxa"/>
            <w:gridSpan w:val="3"/>
            <w:tcBorders>
              <w:top w:val="nil"/>
              <w:left w:val="nil"/>
              <w:bottom w:val="nil"/>
              <w:right w:val="nil"/>
            </w:tcBorders>
            <w:shd w:val="clear" w:color="DAEEF3" w:fill="FFFFFF"/>
            <w:vAlign w:val="bottom"/>
            <w:hideMark/>
          </w:tcPr>
          <w:p w:rsidR="00FC2012" w:rsidRPr="008A5812" w:rsidRDefault="00FC2012" w:rsidP="003269F2">
            <w:pPr>
              <w:spacing w:before="0" w:after="0"/>
              <w:rPr>
                <w:sz w:val="20"/>
              </w:rPr>
            </w:pPr>
            <w:r w:rsidRPr="008A5812">
              <w:rPr>
                <w:sz w:val="20"/>
              </w:rPr>
              <w:t>Internal wall insulation: Solid non-brick walls</w:t>
            </w:r>
          </w:p>
        </w:tc>
        <w:tc>
          <w:tcPr>
            <w:tcW w:w="851"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jc w:val="right"/>
              <w:rPr>
                <w:color w:val="000000"/>
                <w:sz w:val="20"/>
              </w:rPr>
            </w:pPr>
            <w:r w:rsidRPr="008A5812">
              <w:rPr>
                <w:color w:val="000000"/>
                <w:sz w:val="20"/>
              </w:rPr>
              <w:t>44</w:t>
            </w:r>
          </w:p>
        </w:tc>
        <w:tc>
          <w:tcPr>
            <w:tcW w:w="1275" w:type="dxa"/>
            <w:gridSpan w:val="2"/>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0</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44</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i/>
                <w:iCs/>
                <w:color w:val="000000"/>
                <w:sz w:val="20"/>
              </w:rPr>
            </w:pPr>
            <w:r>
              <w:rPr>
                <w:i/>
                <w:iCs/>
                <w:color w:val="000000"/>
                <w:sz w:val="20"/>
              </w:rPr>
              <w:t>0.0</w:t>
            </w:r>
          </w:p>
        </w:tc>
      </w:tr>
      <w:tr w:rsidR="00FC2012" w:rsidRPr="008A5812" w:rsidTr="003269F2">
        <w:trPr>
          <w:gridAfter w:val="1"/>
          <w:wAfter w:w="236" w:type="dxa"/>
          <w:trHeight w:val="255"/>
        </w:trPr>
        <w:tc>
          <w:tcPr>
            <w:tcW w:w="3559" w:type="dxa"/>
            <w:gridSpan w:val="3"/>
            <w:tcBorders>
              <w:top w:val="nil"/>
              <w:left w:val="nil"/>
              <w:bottom w:val="nil"/>
              <w:right w:val="nil"/>
            </w:tcBorders>
            <w:shd w:val="clear" w:color="000000" w:fill="FFFFFF"/>
            <w:vAlign w:val="center"/>
            <w:hideMark/>
          </w:tcPr>
          <w:p w:rsidR="00FC2012" w:rsidRPr="008A5812" w:rsidRDefault="00FC2012" w:rsidP="003269F2">
            <w:pPr>
              <w:spacing w:before="0" w:after="0"/>
              <w:rPr>
                <w:sz w:val="20"/>
              </w:rPr>
            </w:pPr>
            <w:r w:rsidRPr="008A5812">
              <w:rPr>
                <w:sz w:val="20"/>
              </w:rPr>
              <w:t>Park Home External wall insulation</w:t>
            </w:r>
          </w:p>
        </w:tc>
        <w:tc>
          <w:tcPr>
            <w:tcW w:w="851"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jc w:val="right"/>
              <w:rPr>
                <w:color w:val="000000"/>
                <w:sz w:val="20"/>
              </w:rPr>
            </w:pPr>
            <w:r w:rsidRPr="008A5812">
              <w:rPr>
                <w:color w:val="000000"/>
                <w:sz w:val="20"/>
              </w:rPr>
              <w:t>0</w:t>
            </w:r>
          </w:p>
        </w:tc>
        <w:tc>
          <w:tcPr>
            <w:tcW w:w="1275" w:type="dxa"/>
            <w:gridSpan w:val="2"/>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0</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color w:val="000000"/>
                <w:sz w:val="20"/>
              </w:rPr>
            </w:pPr>
            <w:r>
              <w:rPr>
                <w:color w:val="000000"/>
                <w:sz w:val="20"/>
              </w:rPr>
              <w:t>0</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i/>
                <w:iCs/>
                <w:color w:val="000000"/>
                <w:sz w:val="20"/>
              </w:rPr>
            </w:pPr>
            <w:r>
              <w:rPr>
                <w:i/>
                <w:iCs/>
                <w:color w:val="000000"/>
                <w:sz w:val="20"/>
              </w:rPr>
              <w:t>0.0</w:t>
            </w:r>
          </w:p>
        </w:tc>
      </w:tr>
      <w:tr w:rsidR="00FC2012"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 </w:t>
            </w:r>
          </w:p>
        </w:tc>
        <w:tc>
          <w:tcPr>
            <w:tcW w:w="1134" w:type="dxa"/>
            <w:gridSpan w:val="5"/>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 </w:t>
            </w:r>
          </w:p>
        </w:tc>
        <w:tc>
          <w:tcPr>
            <w:tcW w:w="1275" w:type="dxa"/>
            <w:gridSpan w:val="2"/>
            <w:tcBorders>
              <w:top w:val="nil"/>
              <w:left w:val="nil"/>
              <w:bottom w:val="nil"/>
              <w:right w:val="nil"/>
            </w:tcBorders>
            <w:shd w:val="clear" w:color="000000" w:fill="FFFFFF"/>
            <w:vAlign w:val="bottom"/>
          </w:tcPr>
          <w:p w:rsidR="00FC2012" w:rsidRDefault="00FC2012" w:rsidP="003269F2">
            <w:pPr>
              <w:spacing w:before="0" w:after="0"/>
              <w:rPr>
                <w:color w:val="000000"/>
                <w:sz w:val="20"/>
              </w:rPr>
            </w:pPr>
            <w:r>
              <w:rPr>
                <w:color w:val="000000"/>
                <w:sz w:val="20"/>
              </w:rPr>
              <w:t> </w:t>
            </w:r>
          </w:p>
        </w:tc>
        <w:tc>
          <w:tcPr>
            <w:tcW w:w="1276" w:type="dxa"/>
            <w:gridSpan w:val="3"/>
            <w:tcBorders>
              <w:top w:val="nil"/>
              <w:left w:val="nil"/>
              <w:bottom w:val="nil"/>
              <w:right w:val="nil"/>
            </w:tcBorders>
            <w:shd w:val="clear" w:color="000000" w:fill="FFFFFF"/>
            <w:vAlign w:val="bottom"/>
          </w:tcPr>
          <w:p w:rsidR="00FC2012" w:rsidRDefault="00FC2012" w:rsidP="003269F2">
            <w:pPr>
              <w:spacing w:before="0" w:after="0"/>
              <w:rPr>
                <w:color w:val="000000"/>
                <w:sz w:val="20"/>
              </w:rPr>
            </w:pPr>
            <w:r>
              <w:rPr>
                <w:color w:val="000000"/>
                <w:sz w:val="20"/>
              </w:rPr>
              <w:t> </w:t>
            </w:r>
          </w:p>
        </w:tc>
        <w:tc>
          <w:tcPr>
            <w:tcW w:w="1559" w:type="dxa"/>
            <w:gridSpan w:val="3"/>
            <w:tcBorders>
              <w:top w:val="nil"/>
              <w:left w:val="nil"/>
              <w:bottom w:val="nil"/>
              <w:right w:val="nil"/>
            </w:tcBorders>
            <w:shd w:val="clear" w:color="000000" w:fill="FFFFFF"/>
            <w:vAlign w:val="bottom"/>
          </w:tcPr>
          <w:p w:rsidR="00FC2012" w:rsidRDefault="00FC2012" w:rsidP="003269F2">
            <w:pPr>
              <w:spacing w:before="0" w:after="0"/>
              <w:rPr>
                <w:color w:val="000000"/>
                <w:sz w:val="20"/>
              </w:rPr>
            </w:pPr>
            <w:r>
              <w:rPr>
                <w:color w:val="000000"/>
                <w:sz w:val="20"/>
              </w:rPr>
              <w:t> </w:t>
            </w:r>
          </w:p>
        </w:tc>
        <w:tc>
          <w:tcPr>
            <w:tcW w:w="1276" w:type="dxa"/>
            <w:gridSpan w:val="3"/>
            <w:tcBorders>
              <w:top w:val="nil"/>
              <w:left w:val="nil"/>
              <w:bottom w:val="nil"/>
              <w:right w:val="nil"/>
            </w:tcBorders>
            <w:shd w:val="clear" w:color="000000" w:fill="FFFFFF"/>
            <w:vAlign w:val="bottom"/>
          </w:tcPr>
          <w:p w:rsidR="00FC2012" w:rsidRDefault="00FC2012" w:rsidP="003269F2">
            <w:pPr>
              <w:spacing w:before="0" w:after="0"/>
              <w:rPr>
                <w:i/>
                <w:iCs/>
                <w:color w:val="000000"/>
                <w:sz w:val="20"/>
              </w:rPr>
            </w:pPr>
            <w:r>
              <w:rPr>
                <w:i/>
                <w:iCs/>
                <w:color w:val="000000"/>
                <w:sz w:val="20"/>
              </w:rPr>
              <w:t> </w:t>
            </w:r>
          </w:p>
        </w:tc>
      </w:tr>
      <w:tr w:rsidR="00FC2012"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FC2012" w:rsidRPr="008A5812" w:rsidRDefault="00FC2012" w:rsidP="003269F2">
            <w:pPr>
              <w:spacing w:before="0" w:after="0"/>
              <w:rPr>
                <w:b/>
                <w:bCs/>
                <w:color w:val="000000"/>
                <w:sz w:val="20"/>
              </w:rPr>
            </w:pPr>
            <w:r w:rsidRPr="008A5812">
              <w:rPr>
                <w:b/>
                <w:bCs/>
                <w:color w:val="000000"/>
                <w:sz w:val="20"/>
              </w:rPr>
              <w:t>Window Glazing</w:t>
            </w:r>
          </w:p>
        </w:tc>
        <w:tc>
          <w:tcPr>
            <w:tcW w:w="1134" w:type="dxa"/>
            <w:gridSpan w:val="5"/>
            <w:tcBorders>
              <w:top w:val="nil"/>
              <w:left w:val="nil"/>
              <w:bottom w:val="nil"/>
              <w:right w:val="nil"/>
            </w:tcBorders>
            <w:shd w:val="clear" w:color="000000" w:fill="FFFFFF"/>
            <w:vAlign w:val="bottom"/>
            <w:hideMark/>
          </w:tcPr>
          <w:p w:rsidR="00FC2012" w:rsidRPr="008A5812" w:rsidRDefault="00FC2012" w:rsidP="003269F2">
            <w:pPr>
              <w:spacing w:before="0" w:after="0"/>
              <w:jc w:val="right"/>
              <w:rPr>
                <w:b/>
                <w:bCs/>
                <w:color w:val="000000"/>
                <w:sz w:val="20"/>
              </w:rPr>
            </w:pPr>
            <w:r>
              <w:rPr>
                <w:b/>
                <w:bCs/>
                <w:color w:val="000000"/>
                <w:sz w:val="20"/>
              </w:rPr>
              <w:t>53</w:t>
            </w:r>
          </w:p>
        </w:tc>
        <w:tc>
          <w:tcPr>
            <w:tcW w:w="1275" w:type="dxa"/>
            <w:gridSpan w:val="2"/>
            <w:tcBorders>
              <w:top w:val="nil"/>
              <w:left w:val="nil"/>
              <w:bottom w:val="nil"/>
              <w:right w:val="nil"/>
            </w:tcBorders>
            <w:shd w:val="clear" w:color="000000" w:fill="FFFFFF"/>
            <w:vAlign w:val="bottom"/>
            <w:hideMark/>
          </w:tcPr>
          <w:p w:rsidR="00FC2012" w:rsidRDefault="00FC2012" w:rsidP="003269F2">
            <w:pPr>
              <w:spacing w:before="0" w:after="0"/>
              <w:jc w:val="right"/>
              <w:rPr>
                <w:b/>
                <w:bCs/>
                <w:color w:val="000000"/>
                <w:sz w:val="20"/>
              </w:rPr>
            </w:pPr>
            <w:r>
              <w:rPr>
                <w:b/>
                <w:bCs/>
                <w:color w:val="000000"/>
                <w:sz w:val="20"/>
              </w:rPr>
              <w:t>0</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b/>
                <w:bCs/>
                <w:color w:val="000000"/>
                <w:sz w:val="20"/>
              </w:rPr>
            </w:pPr>
            <w:r>
              <w:rPr>
                <w:b/>
                <w:bCs/>
                <w:color w:val="000000"/>
                <w:sz w:val="20"/>
              </w:rPr>
              <w:t>0</w:t>
            </w:r>
          </w:p>
        </w:tc>
        <w:tc>
          <w:tcPr>
            <w:tcW w:w="1559"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b/>
                <w:bCs/>
                <w:color w:val="000000"/>
                <w:sz w:val="20"/>
              </w:rPr>
            </w:pPr>
            <w:r>
              <w:rPr>
                <w:b/>
                <w:bCs/>
                <w:color w:val="000000"/>
                <w:sz w:val="20"/>
              </w:rPr>
              <w:t>53</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b/>
                <w:bCs/>
                <w:i/>
                <w:iCs/>
                <w:color w:val="000000"/>
                <w:sz w:val="20"/>
              </w:rPr>
            </w:pPr>
            <w:r>
              <w:rPr>
                <w:b/>
                <w:bCs/>
                <w:i/>
                <w:iCs/>
                <w:color w:val="000000"/>
                <w:sz w:val="20"/>
              </w:rPr>
              <w:t>0.0</w:t>
            </w:r>
          </w:p>
        </w:tc>
      </w:tr>
      <w:tr w:rsidR="00FC2012"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 </w:t>
            </w:r>
          </w:p>
        </w:tc>
        <w:tc>
          <w:tcPr>
            <w:tcW w:w="1134" w:type="dxa"/>
            <w:gridSpan w:val="5"/>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 </w:t>
            </w:r>
          </w:p>
        </w:tc>
        <w:tc>
          <w:tcPr>
            <w:tcW w:w="1275" w:type="dxa"/>
            <w:gridSpan w:val="2"/>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p>
        </w:tc>
        <w:tc>
          <w:tcPr>
            <w:tcW w:w="1276"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 </w:t>
            </w:r>
          </w:p>
        </w:tc>
        <w:tc>
          <w:tcPr>
            <w:tcW w:w="1559"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 </w:t>
            </w:r>
          </w:p>
        </w:tc>
        <w:tc>
          <w:tcPr>
            <w:tcW w:w="1276"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rPr>
                <w:i/>
                <w:iCs/>
                <w:color w:val="000000"/>
                <w:sz w:val="20"/>
              </w:rPr>
            </w:pPr>
            <w:r w:rsidRPr="008A5812">
              <w:rPr>
                <w:i/>
                <w:iCs/>
                <w:color w:val="000000"/>
                <w:sz w:val="20"/>
              </w:rPr>
              <w:t> </w:t>
            </w:r>
          </w:p>
        </w:tc>
      </w:tr>
      <w:tr w:rsidR="00FC2012" w:rsidRPr="008A5812" w:rsidTr="003269F2">
        <w:trPr>
          <w:gridAfter w:val="1"/>
          <w:wAfter w:w="236" w:type="dxa"/>
          <w:trHeight w:val="255"/>
        </w:trPr>
        <w:tc>
          <w:tcPr>
            <w:tcW w:w="3276" w:type="dxa"/>
            <w:tcBorders>
              <w:top w:val="nil"/>
              <w:left w:val="nil"/>
              <w:bottom w:val="single" w:sz="4" w:space="0" w:color="auto"/>
              <w:right w:val="nil"/>
            </w:tcBorders>
            <w:shd w:val="clear" w:color="000000" w:fill="FFFFFF"/>
            <w:vAlign w:val="bottom"/>
            <w:hideMark/>
          </w:tcPr>
          <w:p w:rsidR="00FC2012" w:rsidRPr="008A5812" w:rsidRDefault="00FC2012" w:rsidP="003269F2">
            <w:pPr>
              <w:spacing w:before="0" w:after="0"/>
              <w:rPr>
                <w:b/>
                <w:bCs/>
                <w:color w:val="000000"/>
                <w:sz w:val="20"/>
              </w:rPr>
            </w:pPr>
            <w:r w:rsidRPr="008A5812">
              <w:rPr>
                <w:b/>
                <w:bCs/>
                <w:color w:val="000000"/>
                <w:sz w:val="20"/>
              </w:rPr>
              <w:t>Total number of measures</w:t>
            </w:r>
          </w:p>
        </w:tc>
        <w:tc>
          <w:tcPr>
            <w:tcW w:w="1134" w:type="dxa"/>
            <w:gridSpan w:val="5"/>
            <w:tcBorders>
              <w:top w:val="nil"/>
              <w:left w:val="nil"/>
              <w:bottom w:val="single" w:sz="4" w:space="0" w:color="auto"/>
              <w:right w:val="nil"/>
            </w:tcBorders>
            <w:shd w:val="clear" w:color="000000" w:fill="FFFFFF"/>
            <w:vAlign w:val="bottom"/>
            <w:hideMark/>
          </w:tcPr>
          <w:p w:rsidR="00FC2012" w:rsidRDefault="00FC2012" w:rsidP="003269F2">
            <w:pPr>
              <w:spacing w:before="0" w:after="0"/>
              <w:jc w:val="right"/>
              <w:rPr>
                <w:b/>
                <w:bCs/>
                <w:color w:val="000000"/>
                <w:sz w:val="20"/>
              </w:rPr>
            </w:pPr>
            <w:r>
              <w:rPr>
                <w:b/>
                <w:bCs/>
                <w:color w:val="000000"/>
                <w:sz w:val="20"/>
              </w:rPr>
              <w:t>99,179</w:t>
            </w:r>
          </w:p>
        </w:tc>
        <w:tc>
          <w:tcPr>
            <w:tcW w:w="1275" w:type="dxa"/>
            <w:gridSpan w:val="2"/>
            <w:tcBorders>
              <w:top w:val="nil"/>
              <w:left w:val="nil"/>
              <w:bottom w:val="single" w:sz="4" w:space="0" w:color="auto"/>
              <w:right w:val="nil"/>
            </w:tcBorders>
            <w:shd w:val="clear" w:color="000000" w:fill="FFFFFF"/>
            <w:vAlign w:val="bottom"/>
            <w:hideMark/>
          </w:tcPr>
          <w:p w:rsidR="00FC2012" w:rsidRDefault="00FC2012" w:rsidP="003269F2">
            <w:pPr>
              <w:spacing w:before="0" w:after="0"/>
              <w:jc w:val="right"/>
              <w:rPr>
                <w:b/>
                <w:bCs/>
                <w:color w:val="000000"/>
                <w:sz w:val="20"/>
              </w:rPr>
            </w:pPr>
            <w:r>
              <w:rPr>
                <w:b/>
                <w:bCs/>
                <w:color w:val="000000"/>
                <w:sz w:val="20"/>
              </w:rPr>
              <w:t>76,286</w:t>
            </w:r>
          </w:p>
        </w:tc>
        <w:tc>
          <w:tcPr>
            <w:tcW w:w="1276" w:type="dxa"/>
            <w:gridSpan w:val="3"/>
            <w:tcBorders>
              <w:top w:val="nil"/>
              <w:left w:val="nil"/>
              <w:bottom w:val="single" w:sz="4" w:space="0" w:color="auto"/>
              <w:right w:val="nil"/>
            </w:tcBorders>
            <w:shd w:val="clear" w:color="000000" w:fill="FFFFFF"/>
            <w:vAlign w:val="bottom"/>
            <w:hideMark/>
          </w:tcPr>
          <w:p w:rsidR="00FC2012" w:rsidRDefault="00FC2012" w:rsidP="003269F2">
            <w:pPr>
              <w:spacing w:before="0" w:after="0"/>
              <w:jc w:val="right"/>
              <w:rPr>
                <w:b/>
                <w:bCs/>
                <w:color w:val="000000"/>
                <w:sz w:val="20"/>
              </w:rPr>
            </w:pPr>
            <w:r>
              <w:rPr>
                <w:b/>
                <w:bCs/>
                <w:color w:val="000000"/>
                <w:sz w:val="20"/>
              </w:rPr>
              <w:t>128,330</w:t>
            </w:r>
          </w:p>
        </w:tc>
        <w:tc>
          <w:tcPr>
            <w:tcW w:w="1559" w:type="dxa"/>
            <w:gridSpan w:val="3"/>
            <w:tcBorders>
              <w:top w:val="nil"/>
              <w:left w:val="nil"/>
              <w:bottom w:val="single" w:sz="4" w:space="0" w:color="auto"/>
              <w:right w:val="nil"/>
            </w:tcBorders>
            <w:shd w:val="clear" w:color="000000" w:fill="FFFFFF"/>
            <w:vAlign w:val="bottom"/>
            <w:hideMark/>
          </w:tcPr>
          <w:p w:rsidR="00FC2012" w:rsidRDefault="00FC2012" w:rsidP="003269F2">
            <w:pPr>
              <w:spacing w:before="0" w:after="0"/>
              <w:jc w:val="right"/>
              <w:rPr>
                <w:b/>
                <w:bCs/>
                <w:color w:val="000000"/>
                <w:sz w:val="20"/>
              </w:rPr>
            </w:pPr>
            <w:r>
              <w:rPr>
                <w:b/>
                <w:bCs/>
                <w:color w:val="000000"/>
                <w:sz w:val="20"/>
              </w:rPr>
              <w:t>303,795</w:t>
            </w:r>
          </w:p>
        </w:tc>
        <w:tc>
          <w:tcPr>
            <w:tcW w:w="1276" w:type="dxa"/>
            <w:gridSpan w:val="3"/>
            <w:tcBorders>
              <w:top w:val="nil"/>
              <w:left w:val="nil"/>
              <w:bottom w:val="single" w:sz="4" w:space="0" w:color="auto"/>
              <w:right w:val="nil"/>
            </w:tcBorders>
            <w:shd w:val="clear" w:color="000000" w:fill="FFFFFF"/>
            <w:vAlign w:val="bottom"/>
            <w:hideMark/>
          </w:tcPr>
          <w:p w:rsidR="00FC2012" w:rsidRDefault="00FC2012" w:rsidP="003269F2">
            <w:pPr>
              <w:spacing w:before="0" w:after="0"/>
              <w:jc w:val="right"/>
              <w:rPr>
                <w:b/>
                <w:bCs/>
                <w:i/>
                <w:iCs/>
                <w:color w:val="000000"/>
                <w:sz w:val="20"/>
              </w:rPr>
            </w:pPr>
            <w:r>
              <w:rPr>
                <w:b/>
                <w:bCs/>
                <w:i/>
                <w:iCs/>
                <w:color w:val="000000"/>
                <w:sz w:val="20"/>
              </w:rPr>
              <w:t>100</w:t>
            </w:r>
          </w:p>
        </w:tc>
      </w:tr>
      <w:tr w:rsidR="00FC2012"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FC2012" w:rsidRPr="008A5812" w:rsidRDefault="00FC2012" w:rsidP="003269F2">
            <w:pPr>
              <w:spacing w:before="0" w:after="0" w:line="240" w:lineRule="auto"/>
              <w:rPr>
                <w:b/>
                <w:bCs/>
                <w:color w:val="000000"/>
                <w:sz w:val="20"/>
                <w:lang w:eastAsia="en-GB"/>
              </w:rPr>
            </w:pPr>
            <w:r w:rsidRPr="008A5812">
              <w:rPr>
                <w:b/>
                <w:bCs/>
                <w:color w:val="000000"/>
                <w:sz w:val="20"/>
                <w:lang w:eastAsia="en-GB"/>
              </w:rPr>
              <w:t> </w:t>
            </w:r>
          </w:p>
        </w:tc>
        <w:tc>
          <w:tcPr>
            <w:tcW w:w="1134" w:type="dxa"/>
            <w:gridSpan w:val="5"/>
            <w:tcBorders>
              <w:top w:val="nil"/>
              <w:left w:val="nil"/>
              <w:bottom w:val="nil"/>
              <w:right w:val="nil"/>
            </w:tcBorders>
            <w:shd w:val="clear" w:color="000000" w:fill="FFFFFF"/>
            <w:vAlign w:val="bottom"/>
            <w:hideMark/>
          </w:tcPr>
          <w:p w:rsidR="00FC2012" w:rsidRPr="008A5812" w:rsidRDefault="00FC2012" w:rsidP="003269F2">
            <w:pPr>
              <w:spacing w:before="0" w:after="0" w:line="240" w:lineRule="auto"/>
              <w:rPr>
                <w:b/>
                <w:bCs/>
                <w:color w:val="000000"/>
                <w:sz w:val="20"/>
                <w:lang w:eastAsia="en-GB"/>
              </w:rPr>
            </w:pPr>
            <w:r w:rsidRPr="008A5812">
              <w:rPr>
                <w:b/>
                <w:bCs/>
                <w:color w:val="000000"/>
                <w:sz w:val="20"/>
                <w:lang w:eastAsia="en-GB"/>
              </w:rPr>
              <w:t> </w:t>
            </w:r>
          </w:p>
        </w:tc>
        <w:tc>
          <w:tcPr>
            <w:tcW w:w="1275" w:type="dxa"/>
            <w:gridSpan w:val="2"/>
            <w:tcBorders>
              <w:top w:val="nil"/>
              <w:left w:val="nil"/>
              <w:bottom w:val="nil"/>
              <w:right w:val="nil"/>
            </w:tcBorders>
            <w:shd w:val="clear" w:color="000000" w:fill="FFFFFF"/>
            <w:vAlign w:val="bottom"/>
            <w:hideMark/>
          </w:tcPr>
          <w:p w:rsidR="00FC2012" w:rsidRPr="008A5812" w:rsidRDefault="00FC2012" w:rsidP="003269F2">
            <w:pPr>
              <w:spacing w:before="0" w:after="0" w:line="240" w:lineRule="auto"/>
              <w:rPr>
                <w:b/>
                <w:bCs/>
                <w:color w:val="000000"/>
                <w:sz w:val="20"/>
                <w:lang w:eastAsia="en-GB"/>
              </w:rPr>
            </w:pPr>
            <w:r w:rsidRPr="008A5812">
              <w:rPr>
                <w:b/>
                <w:bCs/>
                <w:color w:val="000000"/>
                <w:sz w:val="20"/>
                <w:lang w:eastAsia="en-GB"/>
              </w:rPr>
              <w:t> </w:t>
            </w:r>
          </w:p>
        </w:tc>
        <w:tc>
          <w:tcPr>
            <w:tcW w:w="1276"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line="240" w:lineRule="auto"/>
              <w:rPr>
                <w:b/>
                <w:bCs/>
                <w:color w:val="000000"/>
                <w:sz w:val="20"/>
                <w:lang w:eastAsia="en-GB"/>
              </w:rPr>
            </w:pPr>
            <w:r w:rsidRPr="008A5812">
              <w:rPr>
                <w:b/>
                <w:bCs/>
                <w:color w:val="000000"/>
                <w:sz w:val="20"/>
                <w:lang w:eastAsia="en-GB"/>
              </w:rPr>
              <w:t> </w:t>
            </w:r>
          </w:p>
        </w:tc>
        <w:tc>
          <w:tcPr>
            <w:tcW w:w="1559"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line="240" w:lineRule="auto"/>
              <w:rPr>
                <w:b/>
                <w:bCs/>
                <w:color w:val="000000"/>
                <w:sz w:val="20"/>
                <w:lang w:eastAsia="en-GB"/>
              </w:rPr>
            </w:pPr>
            <w:r w:rsidRPr="008A5812">
              <w:rPr>
                <w:b/>
                <w:bCs/>
                <w:color w:val="000000"/>
                <w:sz w:val="20"/>
                <w:lang w:eastAsia="en-GB"/>
              </w:rPr>
              <w:t> </w:t>
            </w:r>
          </w:p>
        </w:tc>
        <w:tc>
          <w:tcPr>
            <w:tcW w:w="1276"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line="240" w:lineRule="auto"/>
              <w:rPr>
                <w:b/>
                <w:bCs/>
                <w:color w:val="000000"/>
                <w:sz w:val="20"/>
                <w:lang w:eastAsia="en-GB"/>
              </w:rPr>
            </w:pPr>
            <w:r w:rsidRPr="008A5812">
              <w:rPr>
                <w:b/>
                <w:bCs/>
                <w:color w:val="000000"/>
                <w:sz w:val="20"/>
                <w:lang w:eastAsia="en-GB"/>
              </w:rPr>
              <w:t> </w:t>
            </w:r>
          </w:p>
        </w:tc>
      </w:tr>
      <w:tr w:rsidR="00FC2012" w:rsidRPr="008A5812" w:rsidTr="003269F2">
        <w:trPr>
          <w:gridAfter w:val="1"/>
          <w:wAfter w:w="236" w:type="dxa"/>
          <w:trHeight w:val="510"/>
        </w:trPr>
        <w:tc>
          <w:tcPr>
            <w:tcW w:w="3276" w:type="dxa"/>
            <w:tcBorders>
              <w:top w:val="nil"/>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rPr>
                <w:b/>
                <w:bCs/>
                <w:color w:val="000000"/>
                <w:sz w:val="20"/>
                <w:lang w:eastAsia="en-GB"/>
              </w:rPr>
            </w:pPr>
            <w:r w:rsidRPr="008A5812">
              <w:rPr>
                <w:b/>
                <w:bCs/>
                <w:color w:val="000000"/>
                <w:sz w:val="20"/>
                <w:lang w:eastAsia="en-GB"/>
              </w:rPr>
              <w:t xml:space="preserve">Total number of unique properties </w:t>
            </w:r>
            <w:r w:rsidRPr="008A5812">
              <w:rPr>
                <w:bCs/>
                <w:color w:val="000000"/>
                <w:sz w:val="20"/>
                <w:vertAlign w:val="superscript"/>
                <w:lang w:eastAsia="en-GB"/>
              </w:rPr>
              <w:t>4</w:t>
            </w:r>
            <w:r>
              <w:rPr>
                <w:bCs/>
                <w:color w:val="000000"/>
                <w:sz w:val="20"/>
                <w:vertAlign w:val="superscript"/>
                <w:lang w:eastAsia="en-GB"/>
              </w:rPr>
              <w:t xml:space="preserve"> 5</w:t>
            </w:r>
          </w:p>
        </w:tc>
        <w:tc>
          <w:tcPr>
            <w:tcW w:w="1134" w:type="dxa"/>
            <w:gridSpan w:val="5"/>
            <w:tcBorders>
              <w:top w:val="nil"/>
              <w:left w:val="nil"/>
              <w:bottom w:val="single" w:sz="4" w:space="0" w:color="auto"/>
              <w:right w:val="nil"/>
            </w:tcBorders>
            <w:shd w:val="clear" w:color="000000" w:fill="FFFFFF"/>
            <w:vAlign w:val="bottom"/>
            <w:hideMark/>
          </w:tcPr>
          <w:p w:rsidR="00FC2012" w:rsidRDefault="00FC2012" w:rsidP="003269F2">
            <w:pPr>
              <w:spacing w:before="0" w:after="0"/>
              <w:jc w:val="right"/>
              <w:rPr>
                <w:b/>
                <w:bCs/>
                <w:color w:val="000000"/>
                <w:sz w:val="20"/>
              </w:rPr>
            </w:pPr>
            <w:r>
              <w:rPr>
                <w:b/>
                <w:bCs/>
                <w:color w:val="000000"/>
                <w:sz w:val="20"/>
              </w:rPr>
              <w:t>83,181</w:t>
            </w:r>
          </w:p>
        </w:tc>
        <w:tc>
          <w:tcPr>
            <w:tcW w:w="1275" w:type="dxa"/>
            <w:gridSpan w:val="2"/>
            <w:tcBorders>
              <w:top w:val="nil"/>
              <w:left w:val="nil"/>
              <w:bottom w:val="single" w:sz="4" w:space="0" w:color="auto"/>
              <w:right w:val="nil"/>
            </w:tcBorders>
            <w:shd w:val="clear" w:color="000000" w:fill="FFFFFF"/>
            <w:vAlign w:val="bottom"/>
            <w:hideMark/>
          </w:tcPr>
          <w:p w:rsidR="00FC2012" w:rsidRDefault="00FC2012" w:rsidP="003269F2">
            <w:pPr>
              <w:spacing w:before="0" w:after="0"/>
              <w:jc w:val="right"/>
              <w:rPr>
                <w:b/>
                <w:bCs/>
                <w:color w:val="000000"/>
                <w:sz w:val="20"/>
              </w:rPr>
            </w:pPr>
            <w:r>
              <w:rPr>
                <w:b/>
                <w:bCs/>
                <w:color w:val="000000"/>
                <w:sz w:val="20"/>
              </w:rPr>
              <w:t>69,685</w:t>
            </w:r>
          </w:p>
        </w:tc>
        <w:tc>
          <w:tcPr>
            <w:tcW w:w="1276" w:type="dxa"/>
            <w:gridSpan w:val="3"/>
            <w:tcBorders>
              <w:top w:val="nil"/>
              <w:left w:val="nil"/>
              <w:bottom w:val="single" w:sz="4" w:space="0" w:color="auto"/>
              <w:right w:val="nil"/>
            </w:tcBorders>
            <w:shd w:val="clear" w:color="000000" w:fill="FFFFFF"/>
            <w:vAlign w:val="bottom"/>
            <w:hideMark/>
          </w:tcPr>
          <w:p w:rsidR="00FC2012" w:rsidRDefault="00FC2012" w:rsidP="003269F2">
            <w:pPr>
              <w:spacing w:before="0" w:after="0"/>
              <w:jc w:val="right"/>
              <w:rPr>
                <w:b/>
                <w:bCs/>
                <w:color w:val="000000"/>
                <w:sz w:val="20"/>
              </w:rPr>
            </w:pPr>
            <w:r>
              <w:rPr>
                <w:b/>
                <w:bCs/>
                <w:color w:val="000000"/>
                <w:sz w:val="20"/>
              </w:rPr>
              <w:t>114,155</w:t>
            </w:r>
          </w:p>
        </w:tc>
        <w:tc>
          <w:tcPr>
            <w:tcW w:w="1559" w:type="dxa"/>
            <w:gridSpan w:val="3"/>
            <w:tcBorders>
              <w:top w:val="nil"/>
              <w:left w:val="nil"/>
              <w:bottom w:val="single" w:sz="4" w:space="0" w:color="auto"/>
              <w:right w:val="nil"/>
            </w:tcBorders>
            <w:shd w:val="clear" w:color="000000" w:fill="FFFFFF"/>
            <w:vAlign w:val="bottom"/>
            <w:hideMark/>
          </w:tcPr>
          <w:p w:rsidR="00FC2012" w:rsidRDefault="00FC2012" w:rsidP="003269F2">
            <w:pPr>
              <w:spacing w:before="0" w:after="0"/>
              <w:jc w:val="right"/>
              <w:rPr>
                <w:b/>
                <w:bCs/>
                <w:color w:val="000000"/>
                <w:sz w:val="20"/>
              </w:rPr>
            </w:pPr>
            <w:r>
              <w:rPr>
                <w:b/>
                <w:bCs/>
                <w:color w:val="000000"/>
                <w:sz w:val="20"/>
              </w:rPr>
              <w:t>266,016</w:t>
            </w:r>
          </w:p>
        </w:tc>
        <w:tc>
          <w:tcPr>
            <w:tcW w:w="1276" w:type="dxa"/>
            <w:gridSpan w:val="3"/>
            <w:tcBorders>
              <w:top w:val="nil"/>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rPr>
                <w:b/>
                <w:bCs/>
                <w:color w:val="000000"/>
                <w:sz w:val="20"/>
                <w:lang w:eastAsia="en-GB"/>
              </w:rPr>
            </w:pPr>
            <w:r w:rsidRPr="008A5812">
              <w:rPr>
                <w:b/>
                <w:bCs/>
                <w:color w:val="000000"/>
                <w:sz w:val="20"/>
                <w:lang w:eastAsia="en-GB"/>
              </w:rPr>
              <w:t> </w:t>
            </w:r>
          </w:p>
        </w:tc>
      </w:tr>
      <w:tr w:rsidR="00FC2012" w:rsidRPr="008A5812" w:rsidTr="003269F2">
        <w:trPr>
          <w:trHeight w:val="255"/>
        </w:trPr>
        <w:tc>
          <w:tcPr>
            <w:tcW w:w="3276" w:type="dxa"/>
            <w:tcBorders>
              <w:top w:val="nil"/>
              <w:left w:val="nil"/>
              <w:bottom w:val="nil"/>
              <w:right w:val="nil"/>
            </w:tcBorders>
            <w:shd w:val="clear" w:color="000000" w:fill="FFFFFF"/>
            <w:vAlign w:val="bottom"/>
            <w:hideMark/>
          </w:tcPr>
          <w:p w:rsidR="00FC2012" w:rsidRPr="008A5812" w:rsidRDefault="00FC2012" w:rsidP="003269F2">
            <w:pPr>
              <w:spacing w:before="0" w:after="0" w:line="240" w:lineRule="auto"/>
              <w:jc w:val="both"/>
              <w:rPr>
                <w:color w:val="000000"/>
                <w:szCs w:val="24"/>
                <w:lang w:eastAsia="en-GB"/>
              </w:rPr>
            </w:pPr>
            <w:r w:rsidRPr="008A5812">
              <w:rPr>
                <w:color w:val="000000"/>
                <w:szCs w:val="24"/>
                <w:lang w:eastAsia="en-GB"/>
              </w:rPr>
              <w:t> </w:t>
            </w:r>
          </w:p>
        </w:tc>
        <w:tc>
          <w:tcPr>
            <w:tcW w:w="1134" w:type="dxa"/>
            <w:gridSpan w:val="5"/>
            <w:tcBorders>
              <w:top w:val="nil"/>
              <w:left w:val="nil"/>
              <w:bottom w:val="nil"/>
              <w:right w:val="nil"/>
            </w:tcBorders>
            <w:shd w:val="clear" w:color="000000" w:fill="FFFFFF"/>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1275" w:type="dxa"/>
            <w:gridSpan w:val="2"/>
            <w:tcBorders>
              <w:top w:val="nil"/>
              <w:left w:val="nil"/>
              <w:bottom w:val="nil"/>
              <w:right w:val="nil"/>
            </w:tcBorders>
            <w:shd w:val="clear" w:color="000000" w:fill="FFFFFF"/>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538" w:type="dxa"/>
            <w:tcBorders>
              <w:top w:val="nil"/>
              <w:left w:val="nil"/>
              <w:bottom w:val="nil"/>
              <w:right w:val="nil"/>
            </w:tcBorders>
            <w:shd w:val="clear" w:color="000000" w:fill="FFFFFF"/>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1128"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2445" w:type="dxa"/>
            <w:gridSpan w:val="5"/>
            <w:tcBorders>
              <w:top w:val="nil"/>
              <w:left w:val="nil"/>
              <w:bottom w:val="nil"/>
              <w:right w:val="nil"/>
            </w:tcBorders>
            <w:shd w:val="clear" w:color="000000" w:fill="FFFFFF"/>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236" w:type="dxa"/>
            <w:tcBorders>
              <w:top w:val="nil"/>
              <w:left w:val="nil"/>
              <w:bottom w:val="nil"/>
              <w:right w:val="nil"/>
            </w:tcBorders>
            <w:shd w:val="clear" w:color="000000" w:fill="FFFFFF"/>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r>
      <w:tr w:rsidR="00FC2012" w:rsidRPr="008A5812" w:rsidTr="003269F2">
        <w:trPr>
          <w:trHeight w:val="540"/>
        </w:trPr>
        <w:tc>
          <w:tcPr>
            <w:tcW w:w="9796" w:type="dxa"/>
            <w:gridSpan w:val="17"/>
            <w:tcBorders>
              <w:top w:val="nil"/>
              <w:left w:val="nil"/>
              <w:bottom w:val="nil"/>
              <w:right w:val="nil"/>
            </w:tcBorders>
            <w:shd w:val="clear" w:color="000000" w:fill="FFFFFF"/>
            <w:vAlign w:val="bottom"/>
            <w:hideMark/>
          </w:tcPr>
          <w:p w:rsidR="00FC2012" w:rsidRPr="008A5812" w:rsidRDefault="00FC2012" w:rsidP="003269F2">
            <w:pPr>
              <w:spacing w:before="0" w:line="240" w:lineRule="auto"/>
              <w:jc w:val="both"/>
              <w:rPr>
                <w:color w:val="000000"/>
                <w:szCs w:val="24"/>
                <w:lang w:eastAsia="en-GB"/>
              </w:rPr>
            </w:pPr>
            <w:r w:rsidRPr="008A5812">
              <w:rPr>
                <w:color w:val="000000"/>
                <w:szCs w:val="24"/>
                <w:vertAlign w:val="superscript"/>
                <w:lang w:eastAsia="en-GB"/>
              </w:rPr>
              <w:t>1</w:t>
            </w:r>
            <w:r w:rsidRPr="008A5812">
              <w:rPr>
                <w:color w:val="000000"/>
                <w:szCs w:val="24"/>
                <w:lang w:eastAsia="en-GB"/>
              </w:rPr>
              <w:t xml:space="preserve"> As reported by energy suppliers to Ofgem in their monthly returns. Please see the accompanying</w:t>
            </w:r>
            <w:r w:rsidRPr="008A5812">
              <w:rPr>
                <w:b/>
                <w:bCs/>
                <w:color w:val="000000"/>
                <w:szCs w:val="24"/>
                <w:lang w:eastAsia="en-GB"/>
              </w:rPr>
              <w:t xml:space="preserve"> </w:t>
            </w:r>
            <w:hyperlink r:id="rId45" w:history="1">
              <w:r w:rsidRPr="008A5812">
                <w:rPr>
                  <w:rStyle w:val="Hyperlink"/>
                  <w:rFonts w:ascii="Arial" w:hAnsi="Arial"/>
                  <w:bCs/>
                  <w:szCs w:val="24"/>
                  <w:lang w:eastAsia="en-GB"/>
                </w:rPr>
                <w:t>Methodology Note</w:t>
              </w:r>
            </w:hyperlink>
            <w:r w:rsidRPr="008A5812">
              <w:rPr>
                <w:color w:val="000000"/>
                <w:szCs w:val="24"/>
                <w:lang w:eastAsia="en-GB"/>
              </w:rPr>
              <w:t xml:space="preserve"> for more details.</w:t>
            </w:r>
          </w:p>
          <w:p w:rsidR="00FC2012" w:rsidRPr="008A5812" w:rsidRDefault="00FC2012" w:rsidP="003269F2">
            <w:pPr>
              <w:spacing w:before="0" w:line="240" w:lineRule="auto"/>
              <w:jc w:val="both"/>
              <w:rPr>
                <w:color w:val="000000"/>
                <w:szCs w:val="24"/>
                <w:lang w:eastAsia="en-GB"/>
              </w:rPr>
            </w:pPr>
            <w:r w:rsidRPr="008A5812">
              <w:rPr>
                <w:color w:val="000000"/>
                <w:szCs w:val="24"/>
                <w:vertAlign w:val="superscript"/>
                <w:lang w:eastAsia="en-GB"/>
              </w:rPr>
              <w:t xml:space="preserve">2  </w:t>
            </w:r>
            <w:r w:rsidRPr="008A5812">
              <w:rPr>
                <w:color w:val="000000"/>
                <w:szCs w:val="24"/>
                <w:lang w:eastAsia="en-GB"/>
              </w:rPr>
              <w:t xml:space="preserve">Please see </w:t>
            </w:r>
            <w:hyperlink r:id="rId46" w:history="1">
              <w:r w:rsidRPr="008A5812">
                <w:rPr>
                  <w:rStyle w:val="Hyperlink"/>
                  <w:rFonts w:ascii="Arial" w:hAnsi="Arial"/>
                  <w:szCs w:val="24"/>
                  <w:lang w:eastAsia="en-GB"/>
                </w:rPr>
                <w:t>Ofgem’s guidance</w:t>
              </w:r>
            </w:hyperlink>
            <w:r w:rsidRPr="008A5812">
              <w:rPr>
                <w:color w:val="000000"/>
                <w:szCs w:val="24"/>
                <w:lang w:eastAsia="en-GB"/>
              </w:rPr>
              <w:t xml:space="preserve"> for suppliers for more details on eligible measures</w:t>
            </w:r>
          </w:p>
          <w:p w:rsidR="00FC2012" w:rsidRPr="008A5812" w:rsidRDefault="00FC2012" w:rsidP="003269F2">
            <w:pPr>
              <w:spacing w:before="0" w:line="240" w:lineRule="auto"/>
              <w:jc w:val="both"/>
              <w:rPr>
                <w:color w:val="000000"/>
                <w:szCs w:val="24"/>
                <w:lang w:eastAsia="en-GB"/>
              </w:rPr>
            </w:pPr>
            <w:r w:rsidRPr="008A5812">
              <w:rPr>
                <w:color w:val="000000"/>
                <w:szCs w:val="24"/>
                <w:vertAlign w:val="superscript"/>
                <w:lang w:eastAsia="en-GB"/>
              </w:rPr>
              <w:t>3</w:t>
            </w:r>
            <w:r w:rsidRPr="008A5812">
              <w:rPr>
                <w:color w:val="000000"/>
                <w:szCs w:val="24"/>
                <w:lang w:eastAsia="en-GB"/>
              </w:rPr>
              <w:t xml:space="preserve"> </w:t>
            </w:r>
            <w:r w:rsidRPr="00074DFE">
              <w:rPr>
                <w:color w:val="000000"/>
                <w:szCs w:val="24"/>
                <w:lang w:eastAsia="en-GB"/>
              </w:rPr>
              <w:t xml:space="preserve">Includes 24 measures installed under the 'rural' sub-obligation of CSCO, including six standard CWI and two hard-to-treat CWI, four virgin loft insulation, 10 </w:t>
            </w:r>
            <w:proofErr w:type="spellStart"/>
            <w:r w:rsidRPr="00074DFE">
              <w:rPr>
                <w:color w:val="000000"/>
                <w:szCs w:val="24"/>
                <w:lang w:eastAsia="en-GB"/>
              </w:rPr>
              <w:t>topup</w:t>
            </w:r>
            <w:proofErr w:type="spellEnd"/>
            <w:r w:rsidRPr="00074DFE">
              <w:rPr>
                <w:color w:val="000000"/>
                <w:szCs w:val="24"/>
                <w:lang w:eastAsia="en-GB"/>
              </w:rPr>
              <w:t xml:space="preserve"> loft insulation installations and two draft</w:t>
            </w:r>
            <w:r>
              <w:rPr>
                <w:color w:val="000000"/>
                <w:szCs w:val="24"/>
                <w:lang w:eastAsia="en-GB"/>
              </w:rPr>
              <w:t xml:space="preserve"> </w:t>
            </w:r>
            <w:r w:rsidRPr="00074DFE">
              <w:rPr>
                <w:color w:val="000000"/>
                <w:szCs w:val="24"/>
                <w:lang w:eastAsia="en-GB"/>
              </w:rPr>
              <w:t>proofing installations.</w:t>
            </w:r>
          </w:p>
          <w:p w:rsidR="00FC2012" w:rsidRDefault="00FC2012" w:rsidP="003269F2">
            <w:pPr>
              <w:spacing w:before="0" w:line="240" w:lineRule="auto"/>
              <w:jc w:val="both"/>
              <w:rPr>
                <w:bCs/>
                <w:szCs w:val="24"/>
              </w:rPr>
            </w:pPr>
            <w:r w:rsidRPr="008A5812">
              <w:rPr>
                <w:bCs/>
                <w:szCs w:val="24"/>
                <w:vertAlign w:val="superscript"/>
              </w:rPr>
              <w:t xml:space="preserve">4 </w:t>
            </w:r>
            <w:r>
              <w:rPr>
                <w:bCs/>
                <w:szCs w:val="24"/>
              </w:rPr>
              <w:t>The addresses</w:t>
            </w:r>
            <w:r w:rsidRPr="00074DFE">
              <w:rPr>
                <w:bCs/>
                <w:szCs w:val="24"/>
              </w:rPr>
              <w:t xml:space="preserve"> where 15 ECO measures were installed </w:t>
            </w:r>
            <w:proofErr w:type="gramStart"/>
            <w:r w:rsidRPr="00074DFE">
              <w:rPr>
                <w:bCs/>
                <w:szCs w:val="24"/>
              </w:rPr>
              <w:t>is</w:t>
            </w:r>
            <w:proofErr w:type="gramEnd"/>
            <w:r w:rsidRPr="00074DFE">
              <w:rPr>
                <w:bCs/>
                <w:szCs w:val="24"/>
              </w:rPr>
              <w:t xml:space="preserve"> unknown. As it is</w:t>
            </w:r>
            <w:r>
              <w:rPr>
                <w:bCs/>
                <w:szCs w:val="24"/>
              </w:rPr>
              <w:t xml:space="preserve"> not </w:t>
            </w:r>
            <w:r w:rsidRPr="00074DFE">
              <w:rPr>
                <w:bCs/>
                <w:szCs w:val="24"/>
              </w:rPr>
              <w:t>known whether these are unique properties they have been excluded from this total.</w:t>
            </w:r>
            <w:r>
              <w:rPr>
                <w:bCs/>
                <w:szCs w:val="24"/>
              </w:rPr>
              <w:t xml:space="preserve"> Also some ECO measures were installed in properties without recording the full address (i.e. blocks of flats), so there may be more unique properties than is recorded here.</w:t>
            </w:r>
          </w:p>
          <w:p w:rsidR="00FC2012" w:rsidRPr="008A5812" w:rsidRDefault="00FC2012" w:rsidP="003269F2">
            <w:pPr>
              <w:spacing w:before="0" w:line="240" w:lineRule="auto"/>
              <w:jc w:val="both"/>
              <w:rPr>
                <w:color w:val="000000"/>
                <w:szCs w:val="24"/>
                <w:lang w:eastAsia="en-GB"/>
              </w:rPr>
            </w:pPr>
            <w:r w:rsidRPr="00074DFE">
              <w:rPr>
                <w:color w:val="000000"/>
                <w:szCs w:val="24"/>
                <w:vertAlign w:val="superscript"/>
                <w:lang w:eastAsia="en-GB"/>
              </w:rPr>
              <w:t xml:space="preserve">5 </w:t>
            </w:r>
            <w:r w:rsidRPr="00074DFE">
              <w:rPr>
                <w:color w:val="000000"/>
                <w:szCs w:val="24"/>
                <w:lang w:eastAsia="en-GB"/>
              </w:rPr>
              <w:t>The total number of unique properties by obligation does not equal the total number of unique properties overall, as some properties have measures installed under more than one obligation</w:t>
            </w:r>
          </w:p>
        </w:tc>
        <w:tc>
          <w:tcPr>
            <w:tcW w:w="236" w:type="dxa"/>
            <w:tcBorders>
              <w:top w:val="nil"/>
              <w:left w:val="nil"/>
              <w:bottom w:val="nil"/>
              <w:right w:val="nil"/>
            </w:tcBorders>
            <w:shd w:val="clear" w:color="auto" w:fill="auto"/>
            <w:vAlign w:val="bottom"/>
            <w:hideMark/>
          </w:tcPr>
          <w:p w:rsidR="00FC2012" w:rsidRPr="008A5812" w:rsidRDefault="00FC2012" w:rsidP="003269F2">
            <w:pPr>
              <w:spacing w:before="0" w:line="240" w:lineRule="auto"/>
              <w:rPr>
                <w:color w:val="000000"/>
                <w:szCs w:val="24"/>
                <w:lang w:eastAsia="en-GB"/>
              </w:rPr>
            </w:pPr>
          </w:p>
        </w:tc>
      </w:tr>
    </w:tbl>
    <w:p w:rsidR="00FC2012" w:rsidRDefault="00FC2012" w:rsidP="00FC2012">
      <w:pPr>
        <w:spacing w:line="270" w:lineRule="atLeast"/>
        <w:jc w:val="both"/>
        <w:rPr>
          <w:b/>
          <w:bCs/>
          <w:szCs w:val="24"/>
        </w:rPr>
      </w:pPr>
    </w:p>
    <w:p w:rsidR="00FC2012" w:rsidRDefault="00FC2012" w:rsidP="00FC2012">
      <w:pPr>
        <w:spacing w:line="270" w:lineRule="atLeast"/>
        <w:jc w:val="both"/>
        <w:rPr>
          <w:b/>
          <w:bCs/>
          <w:szCs w:val="24"/>
        </w:rPr>
      </w:pPr>
    </w:p>
    <w:p w:rsidR="00FC2012" w:rsidRDefault="00FC2012" w:rsidP="00FC2012">
      <w:pPr>
        <w:spacing w:line="270" w:lineRule="atLeast"/>
        <w:jc w:val="both"/>
        <w:rPr>
          <w:b/>
          <w:bCs/>
          <w:szCs w:val="24"/>
        </w:rPr>
      </w:pPr>
    </w:p>
    <w:p w:rsidR="00FC2012" w:rsidRDefault="00FC2012" w:rsidP="00FC2012">
      <w:pPr>
        <w:spacing w:line="270" w:lineRule="atLeast"/>
        <w:jc w:val="both"/>
        <w:rPr>
          <w:b/>
          <w:bCs/>
          <w:szCs w:val="24"/>
        </w:rPr>
      </w:pPr>
    </w:p>
    <w:tbl>
      <w:tblPr>
        <w:tblW w:w="9796" w:type="dxa"/>
        <w:tblInd w:w="93" w:type="dxa"/>
        <w:tblLook w:val="04A0" w:firstRow="1" w:lastRow="0" w:firstColumn="1" w:lastColumn="0" w:noHBand="0" w:noVBand="1"/>
      </w:tblPr>
      <w:tblGrid>
        <w:gridCol w:w="2947"/>
        <w:gridCol w:w="283"/>
        <w:gridCol w:w="1888"/>
        <w:gridCol w:w="342"/>
        <w:gridCol w:w="2635"/>
        <w:gridCol w:w="1701"/>
      </w:tblGrid>
      <w:tr w:rsidR="00FC2012" w:rsidRPr="008A5812" w:rsidTr="003269F2">
        <w:trPr>
          <w:trHeight w:val="345"/>
        </w:trPr>
        <w:tc>
          <w:tcPr>
            <w:tcW w:w="9796" w:type="dxa"/>
            <w:gridSpan w:val="6"/>
            <w:tcBorders>
              <w:top w:val="nil"/>
              <w:left w:val="nil"/>
              <w:bottom w:val="nil"/>
              <w:right w:val="nil"/>
            </w:tcBorders>
            <w:shd w:val="clear" w:color="auto" w:fill="auto"/>
            <w:noWrap/>
            <w:vAlign w:val="bottom"/>
            <w:hideMark/>
          </w:tcPr>
          <w:p w:rsidR="00FC2012" w:rsidRPr="008A5812" w:rsidRDefault="00F7089E" w:rsidP="003269F2">
            <w:pPr>
              <w:spacing w:after="0" w:line="240" w:lineRule="auto"/>
              <w:jc w:val="both"/>
              <w:rPr>
                <w:b/>
                <w:bCs/>
                <w:color w:val="000000"/>
                <w:szCs w:val="24"/>
                <w:lang w:eastAsia="en-GB"/>
              </w:rPr>
            </w:pPr>
            <w:r>
              <w:rPr>
                <w:b/>
                <w:bCs/>
                <w:color w:val="000000"/>
                <w:szCs w:val="24"/>
                <w:lang w:eastAsia="en-GB"/>
              </w:rPr>
              <w:lastRenderedPageBreak/>
              <w:t>Table 6</w:t>
            </w:r>
            <w:r w:rsidR="00FC2012" w:rsidRPr="008A5812">
              <w:rPr>
                <w:b/>
                <w:bCs/>
                <w:color w:val="000000"/>
                <w:szCs w:val="24"/>
                <w:lang w:eastAsia="en-GB"/>
              </w:rPr>
              <w:t>: Number of ECO brokerage auctions</w:t>
            </w:r>
            <w:r w:rsidR="00FC2012" w:rsidRPr="008A5812">
              <w:rPr>
                <w:b/>
                <w:bCs/>
                <w:color w:val="000000"/>
                <w:szCs w:val="24"/>
                <w:vertAlign w:val="superscript"/>
                <w:lang w:eastAsia="en-GB"/>
              </w:rPr>
              <w:t>1</w:t>
            </w:r>
            <w:r w:rsidR="00FC2012" w:rsidRPr="008A5812">
              <w:rPr>
                <w:b/>
                <w:bCs/>
                <w:color w:val="000000"/>
                <w:szCs w:val="24"/>
                <w:lang w:eastAsia="en-GB"/>
              </w:rPr>
              <w:t xml:space="preserve"> and total amount traded, by month</w:t>
            </w:r>
          </w:p>
        </w:tc>
      </w:tr>
      <w:tr w:rsidR="00FC2012" w:rsidRPr="008A5812" w:rsidTr="003269F2">
        <w:trPr>
          <w:trHeight w:val="300"/>
        </w:trPr>
        <w:tc>
          <w:tcPr>
            <w:tcW w:w="2947"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b/>
                <w:bCs/>
                <w:color w:val="000000"/>
                <w:szCs w:val="24"/>
                <w:lang w:eastAsia="en-GB"/>
              </w:rPr>
            </w:pP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b/>
                <w:bCs/>
                <w:color w:val="000000"/>
                <w:szCs w:val="24"/>
                <w:lang w:eastAsia="en-GB"/>
              </w:rPr>
            </w:pPr>
          </w:p>
        </w:tc>
        <w:tc>
          <w:tcPr>
            <w:tcW w:w="2230" w:type="dxa"/>
            <w:gridSpan w:val="2"/>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b/>
                <w:bCs/>
                <w:color w:val="000000"/>
                <w:szCs w:val="24"/>
                <w:lang w:eastAsia="en-GB"/>
              </w:rPr>
            </w:pPr>
          </w:p>
        </w:tc>
        <w:tc>
          <w:tcPr>
            <w:tcW w:w="4336" w:type="dxa"/>
            <w:gridSpan w:val="2"/>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b/>
                <w:bCs/>
                <w:color w:val="000000"/>
                <w:szCs w:val="24"/>
                <w:lang w:eastAsia="en-GB"/>
              </w:rPr>
            </w:pPr>
          </w:p>
        </w:tc>
      </w:tr>
      <w:tr w:rsidR="00FC2012" w:rsidRPr="008A5812" w:rsidTr="003269F2">
        <w:trPr>
          <w:gridAfter w:val="1"/>
          <w:wAfter w:w="1701" w:type="dxa"/>
          <w:trHeight w:val="255"/>
        </w:trPr>
        <w:tc>
          <w:tcPr>
            <w:tcW w:w="2947"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1888"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2977" w:type="dxa"/>
            <w:gridSpan w:val="2"/>
            <w:tcBorders>
              <w:top w:val="nil"/>
              <w:left w:val="nil"/>
              <w:bottom w:val="single" w:sz="4" w:space="0" w:color="auto"/>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 </w:t>
            </w:r>
          </w:p>
        </w:tc>
      </w:tr>
      <w:tr w:rsidR="00FC2012" w:rsidRPr="008A5812" w:rsidTr="003269F2">
        <w:trPr>
          <w:gridAfter w:val="1"/>
          <w:wAfter w:w="1701" w:type="dxa"/>
          <w:trHeight w:val="285"/>
        </w:trPr>
        <w:tc>
          <w:tcPr>
            <w:tcW w:w="2947" w:type="dxa"/>
            <w:tcBorders>
              <w:top w:val="single" w:sz="4" w:space="0" w:color="auto"/>
              <w:left w:val="nil"/>
              <w:bottom w:val="single" w:sz="4" w:space="0" w:color="auto"/>
              <w:right w:val="nil"/>
            </w:tcBorders>
            <w:shd w:val="clear" w:color="auto" w:fill="auto"/>
            <w:noWrap/>
            <w:vAlign w:val="center"/>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Month</w:t>
            </w:r>
          </w:p>
        </w:tc>
        <w:tc>
          <w:tcPr>
            <w:tcW w:w="283" w:type="dxa"/>
            <w:tcBorders>
              <w:top w:val="single" w:sz="4" w:space="0" w:color="auto"/>
              <w:left w:val="nil"/>
              <w:bottom w:val="single" w:sz="4" w:space="0" w:color="auto"/>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1888" w:type="dxa"/>
            <w:tcBorders>
              <w:top w:val="nil"/>
              <w:left w:val="nil"/>
              <w:bottom w:val="single" w:sz="4" w:space="0" w:color="auto"/>
              <w:right w:val="nil"/>
            </w:tcBorders>
            <w:shd w:val="clear" w:color="auto" w:fill="auto"/>
            <w:vAlign w:val="bottom"/>
            <w:hideMark/>
          </w:tcPr>
          <w:p w:rsidR="00FC2012" w:rsidRPr="008A5812" w:rsidRDefault="00FC2012" w:rsidP="003269F2">
            <w:pPr>
              <w:spacing w:before="0" w:after="0" w:line="240" w:lineRule="auto"/>
              <w:jc w:val="center"/>
              <w:rPr>
                <w:color w:val="000000"/>
                <w:szCs w:val="24"/>
                <w:lang w:eastAsia="en-GB"/>
              </w:rPr>
            </w:pPr>
            <w:r w:rsidRPr="008A5812">
              <w:rPr>
                <w:color w:val="000000"/>
                <w:szCs w:val="24"/>
                <w:lang w:eastAsia="en-GB"/>
              </w:rPr>
              <w:t>Number of auctions</w:t>
            </w:r>
          </w:p>
        </w:tc>
        <w:tc>
          <w:tcPr>
            <w:tcW w:w="2977" w:type="dxa"/>
            <w:gridSpan w:val="2"/>
            <w:tcBorders>
              <w:top w:val="nil"/>
              <w:left w:val="nil"/>
              <w:bottom w:val="single" w:sz="4" w:space="0" w:color="auto"/>
              <w:right w:val="nil"/>
            </w:tcBorders>
            <w:shd w:val="clear" w:color="auto" w:fill="auto"/>
            <w:vAlign w:val="bottom"/>
            <w:hideMark/>
          </w:tcPr>
          <w:p w:rsidR="00FC2012" w:rsidRPr="008A5812" w:rsidRDefault="00FC2012" w:rsidP="003269F2">
            <w:pPr>
              <w:spacing w:before="0" w:after="0" w:line="240" w:lineRule="auto"/>
              <w:jc w:val="center"/>
              <w:rPr>
                <w:color w:val="000000"/>
                <w:szCs w:val="24"/>
                <w:lang w:eastAsia="en-GB"/>
              </w:rPr>
            </w:pPr>
            <w:r w:rsidRPr="008A5812">
              <w:rPr>
                <w:color w:val="000000"/>
                <w:szCs w:val="24"/>
                <w:lang w:eastAsia="en-GB"/>
              </w:rPr>
              <w:t>Total amount traded</w:t>
            </w:r>
          </w:p>
        </w:tc>
      </w:tr>
      <w:tr w:rsidR="00FC2012" w:rsidRPr="008A5812" w:rsidTr="003269F2">
        <w:trPr>
          <w:gridAfter w:val="1"/>
          <w:wAfter w:w="1701" w:type="dxa"/>
          <w:trHeight w:val="285"/>
        </w:trPr>
        <w:tc>
          <w:tcPr>
            <w:tcW w:w="2947"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January 2013</w:t>
            </w: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1888"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2</w:t>
            </w:r>
          </w:p>
        </w:tc>
        <w:tc>
          <w:tcPr>
            <w:tcW w:w="2977" w:type="dxa"/>
            <w:gridSpan w:val="2"/>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jc w:val="right"/>
              <w:rPr>
                <w:szCs w:val="24"/>
                <w:lang w:eastAsia="en-GB"/>
              </w:rPr>
            </w:pPr>
            <w:r w:rsidRPr="008A5812">
              <w:rPr>
                <w:szCs w:val="24"/>
                <w:lang w:eastAsia="en-GB"/>
              </w:rPr>
              <w:t>£9.5m</w:t>
            </w:r>
          </w:p>
        </w:tc>
      </w:tr>
      <w:tr w:rsidR="00FC2012" w:rsidRPr="008A5812" w:rsidTr="003269F2">
        <w:trPr>
          <w:gridAfter w:val="1"/>
          <w:wAfter w:w="1701" w:type="dxa"/>
          <w:trHeight w:val="285"/>
        </w:trPr>
        <w:tc>
          <w:tcPr>
            <w:tcW w:w="2947"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February 2013</w:t>
            </w: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1888"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2</w:t>
            </w:r>
          </w:p>
        </w:tc>
        <w:tc>
          <w:tcPr>
            <w:tcW w:w="2977" w:type="dxa"/>
            <w:gridSpan w:val="2"/>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jc w:val="right"/>
              <w:rPr>
                <w:szCs w:val="24"/>
                <w:lang w:eastAsia="en-GB"/>
              </w:rPr>
            </w:pPr>
            <w:r w:rsidRPr="008A5812">
              <w:rPr>
                <w:szCs w:val="24"/>
                <w:lang w:eastAsia="en-GB"/>
              </w:rPr>
              <w:t>£17.4m</w:t>
            </w:r>
          </w:p>
        </w:tc>
      </w:tr>
      <w:tr w:rsidR="00FC2012" w:rsidRPr="008A5812" w:rsidTr="003269F2">
        <w:trPr>
          <w:gridAfter w:val="1"/>
          <w:wAfter w:w="1701" w:type="dxa"/>
          <w:trHeight w:val="285"/>
        </w:trPr>
        <w:tc>
          <w:tcPr>
            <w:tcW w:w="2947"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March 2013</w:t>
            </w: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1888"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2</w:t>
            </w:r>
          </w:p>
        </w:tc>
        <w:tc>
          <w:tcPr>
            <w:tcW w:w="2977" w:type="dxa"/>
            <w:gridSpan w:val="2"/>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jc w:val="right"/>
              <w:rPr>
                <w:szCs w:val="24"/>
                <w:lang w:eastAsia="en-GB"/>
              </w:rPr>
            </w:pPr>
            <w:r w:rsidRPr="008A5812">
              <w:rPr>
                <w:szCs w:val="24"/>
                <w:lang w:eastAsia="en-GB"/>
              </w:rPr>
              <w:t>£42.0m</w:t>
            </w:r>
          </w:p>
        </w:tc>
      </w:tr>
      <w:tr w:rsidR="00FC2012" w:rsidRPr="008A5812" w:rsidTr="003269F2">
        <w:trPr>
          <w:gridAfter w:val="1"/>
          <w:wAfter w:w="1701" w:type="dxa"/>
          <w:trHeight w:val="285"/>
        </w:trPr>
        <w:tc>
          <w:tcPr>
            <w:tcW w:w="2947"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April 2013</w:t>
            </w: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1888"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2</w:t>
            </w:r>
          </w:p>
        </w:tc>
        <w:tc>
          <w:tcPr>
            <w:tcW w:w="2977" w:type="dxa"/>
            <w:gridSpan w:val="2"/>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jc w:val="right"/>
              <w:rPr>
                <w:szCs w:val="24"/>
                <w:lang w:eastAsia="en-GB"/>
              </w:rPr>
            </w:pPr>
            <w:r w:rsidRPr="008A5812">
              <w:rPr>
                <w:szCs w:val="24"/>
                <w:lang w:eastAsia="en-GB"/>
              </w:rPr>
              <w:t>£16.6m</w:t>
            </w:r>
          </w:p>
        </w:tc>
      </w:tr>
      <w:tr w:rsidR="00FC2012" w:rsidRPr="008A5812" w:rsidTr="003269F2">
        <w:trPr>
          <w:gridAfter w:val="1"/>
          <w:wAfter w:w="1701" w:type="dxa"/>
          <w:trHeight w:val="285"/>
        </w:trPr>
        <w:tc>
          <w:tcPr>
            <w:tcW w:w="2947"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May 2013</w:t>
            </w: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1888"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2</w:t>
            </w:r>
          </w:p>
        </w:tc>
        <w:tc>
          <w:tcPr>
            <w:tcW w:w="2977" w:type="dxa"/>
            <w:gridSpan w:val="2"/>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jc w:val="right"/>
              <w:rPr>
                <w:szCs w:val="24"/>
                <w:lang w:eastAsia="en-GB"/>
              </w:rPr>
            </w:pPr>
            <w:r w:rsidRPr="008A5812">
              <w:rPr>
                <w:szCs w:val="24"/>
                <w:lang w:eastAsia="en-GB"/>
              </w:rPr>
              <w:t>£34.6m</w:t>
            </w:r>
          </w:p>
        </w:tc>
      </w:tr>
      <w:tr w:rsidR="00FC2012" w:rsidRPr="008A5812" w:rsidTr="003269F2">
        <w:trPr>
          <w:gridAfter w:val="1"/>
          <w:wAfter w:w="1701" w:type="dxa"/>
          <w:trHeight w:val="285"/>
        </w:trPr>
        <w:tc>
          <w:tcPr>
            <w:tcW w:w="2947"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June 2013</w:t>
            </w: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1888"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2</w:t>
            </w:r>
          </w:p>
        </w:tc>
        <w:tc>
          <w:tcPr>
            <w:tcW w:w="2977" w:type="dxa"/>
            <w:gridSpan w:val="2"/>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jc w:val="right"/>
              <w:rPr>
                <w:szCs w:val="24"/>
                <w:lang w:eastAsia="en-GB"/>
              </w:rPr>
            </w:pPr>
            <w:r w:rsidRPr="008A5812">
              <w:rPr>
                <w:szCs w:val="24"/>
                <w:lang w:eastAsia="en-GB"/>
              </w:rPr>
              <w:t>£25.0m</w:t>
            </w:r>
          </w:p>
        </w:tc>
      </w:tr>
      <w:tr w:rsidR="00FC2012" w:rsidRPr="008A5812" w:rsidTr="003269F2">
        <w:trPr>
          <w:gridAfter w:val="1"/>
          <w:wAfter w:w="1701" w:type="dxa"/>
          <w:trHeight w:val="285"/>
        </w:trPr>
        <w:tc>
          <w:tcPr>
            <w:tcW w:w="2947" w:type="dxa"/>
            <w:tcBorders>
              <w:top w:val="nil"/>
              <w:left w:val="nil"/>
              <w:bottom w:val="nil"/>
              <w:right w:val="nil"/>
            </w:tcBorders>
            <w:shd w:val="clear" w:color="000000" w:fill="FFFFFF"/>
            <w:noWrap/>
            <w:vAlign w:val="bottom"/>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July 2013</w:t>
            </w:r>
          </w:p>
        </w:tc>
        <w:tc>
          <w:tcPr>
            <w:tcW w:w="283" w:type="dxa"/>
            <w:tcBorders>
              <w:top w:val="nil"/>
              <w:left w:val="nil"/>
              <w:bottom w:val="nil"/>
              <w:right w:val="nil"/>
            </w:tcBorders>
            <w:shd w:val="clear" w:color="auto" w:fill="auto"/>
            <w:noWrap/>
            <w:vAlign w:val="bottom"/>
          </w:tcPr>
          <w:p w:rsidR="00FC2012" w:rsidRPr="008A5812" w:rsidRDefault="00FC2012" w:rsidP="003269F2">
            <w:pPr>
              <w:spacing w:before="0" w:after="0" w:line="240" w:lineRule="auto"/>
              <w:rPr>
                <w:color w:val="000000"/>
                <w:szCs w:val="24"/>
                <w:lang w:eastAsia="en-GB"/>
              </w:rPr>
            </w:pPr>
          </w:p>
        </w:tc>
        <w:tc>
          <w:tcPr>
            <w:tcW w:w="1888" w:type="dxa"/>
            <w:tcBorders>
              <w:top w:val="nil"/>
              <w:left w:val="nil"/>
              <w:bottom w:val="nil"/>
              <w:right w:val="nil"/>
            </w:tcBorders>
            <w:shd w:val="clear" w:color="auto" w:fill="auto"/>
            <w:noWrap/>
            <w:vAlign w:val="bottom"/>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3</w:t>
            </w:r>
          </w:p>
        </w:tc>
        <w:tc>
          <w:tcPr>
            <w:tcW w:w="2977" w:type="dxa"/>
            <w:gridSpan w:val="2"/>
            <w:tcBorders>
              <w:top w:val="nil"/>
              <w:left w:val="nil"/>
              <w:bottom w:val="nil"/>
              <w:right w:val="nil"/>
            </w:tcBorders>
            <w:shd w:val="clear" w:color="000000" w:fill="FFFFFF"/>
            <w:noWrap/>
            <w:vAlign w:val="bottom"/>
          </w:tcPr>
          <w:p w:rsidR="00FC2012" w:rsidRPr="008A5812" w:rsidRDefault="00FC2012" w:rsidP="003269F2">
            <w:pPr>
              <w:spacing w:before="0" w:after="0" w:line="240" w:lineRule="auto"/>
              <w:jc w:val="right"/>
              <w:rPr>
                <w:szCs w:val="24"/>
                <w:lang w:eastAsia="en-GB"/>
              </w:rPr>
            </w:pPr>
            <w:r w:rsidRPr="008A5812">
              <w:rPr>
                <w:szCs w:val="24"/>
                <w:lang w:eastAsia="en-GB"/>
              </w:rPr>
              <w:t>£30.5m</w:t>
            </w:r>
          </w:p>
        </w:tc>
      </w:tr>
      <w:tr w:rsidR="00FC2012" w:rsidRPr="008A5812" w:rsidTr="003269F2">
        <w:trPr>
          <w:gridAfter w:val="1"/>
          <w:wAfter w:w="1701" w:type="dxa"/>
          <w:trHeight w:val="285"/>
        </w:trPr>
        <w:tc>
          <w:tcPr>
            <w:tcW w:w="2947" w:type="dxa"/>
            <w:tcBorders>
              <w:top w:val="nil"/>
              <w:left w:val="nil"/>
              <w:bottom w:val="nil"/>
              <w:right w:val="nil"/>
            </w:tcBorders>
            <w:shd w:val="clear" w:color="000000" w:fill="FFFFFF"/>
            <w:noWrap/>
            <w:vAlign w:val="bottom"/>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August 2013</w:t>
            </w:r>
          </w:p>
        </w:tc>
        <w:tc>
          <w:tcPr>
            <w:tcW w:w="283" w:type="dxa"/>
            <w:tcBorders>
              <w:top w:val="nil"/>
              <w:left w:val="nil"/>
              <w:bottom w:val="nil"/>
              <w:right w:val="nil"/>
            </w:tcBorders>
            <w:shd w:val="clear" w:color="auto" w:fill="auto"/>
            <w:noWrap/>
            <w:vAlign w:val="bottom"/>
          </w:tcPr>
          <w:p w:rsidR="00FC2012" w:rsidRPr="008A5812" w:rsidRDefault="00FC2012" w:rsidP="003269F2">
            <w:pPr>
              <w:spacing w:before="0" w:after="0" w:line="240" w:lineRule="auto"/>
              <w:rPr>
                <w:color w:val="000000"/>
                <w:szCs w:val="24"/>
                <w:lang w:eastAsia="en-GB"/>
              </w:rPr>
            </w:pPr>
          </w:p>
        </w:tc>
        <w:tc>
          <w:tcPr>
            <w:tcW w:w="1888" w:type="dxa"/>
            <w:tcBorders>
              <w:top w:val="nil"/>
              <w:left w:val="nil"/>
              <w:bottom w:val="nil"/>
              <w:right w:val="nil"/>
            </w:tcBorders>
            <w:shd w:val="clear" w:color="auto" w:fill="auto"/>
            <w:noWrap/>
            <w:vAlign w:val="bottom"/>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2</w:t>
            </w:r>
          </w:p>
        </w:tc>
        <w:tc>
          <w:tcPr>
            <w:tcW w:w="2977" w:type="dxa"/>
            <w:gridSpan w:val="2"/>
            <w:tcBorders>
              <w:top w:val="nil"/>
              <w:left w:val="nil"/>
              <w:bottom w:val="nil"/>
              <w:right w:val="nil"/>
            </w:tcBorders>
            <w:shd w:val="clear" w:color="000000" w:fill="FFFFFF"/>
            <w:noWrap/>
            <w:vAlign w:val="bottom"/>
          </w:tcPr>
          <w:p w:rsidR="00FC2012" w:rsidRPr="008A5812" w:rsidRDefault="00FC2012" w:rsidP="003269F2">
            <w:pPr>
              <w:spacing w:before="0" w:after="0" w:line="240" w:lineRule="auto"/>
              <w:jc w:val="right"/>
              <w:rPr>
                <w:szCs w:val="24"/>
                <w:lang w:eastAsia="en-GB"/>
              </w:rPr>
            </w:pPr>
            <w:r w:rsidRPr="008A5812">
              <w:rPr>
                <w:szCs w:val="24"/>
                <w:lang w:eastAsia="en-GB"/>
              </w:rPr>
              <w:t>£29.5m</w:t>
            </w:r>
          </w:p>
        </w:tc>
      </w:tr>
      <w:tr w:rsidR="00FC2012" w:rsidRPr="008A5812" w:rsidTr="003269F2">
        <w:trPr>
          <w:gridAfter w:val="1"/>
          <w:wAfter w:w="1701" w:type="dxa"/>
          <w:trHeight w:val="285"/>
        </w:trPr>
        <w:tc>
          <w:tcPr>
            <w:tcW w:w="2947" w:type="dxa"/>
            <w:tcBorders>
              <w:top w:val="nil"/>
              <w:left w:val="nil"/>
              <w:bottom w:val="nil"/>
              <w:right w:val="nil"/>
            </w:tcBorders>
            <w:shd w:val="clear" w:color="000000" w:fill="FFFFFF"/>
            <w:noWrap/>
            <w:vAlign w:val="bottom"/>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September 2013</w:t>
            </w:r>
          </w:p>
        </w:tc>
        <w:tc>
          <w:tcPr>
            <w:tcW w:w="283" w:type="dxa"/>
            <w:tcBorders>
              <w:top w:val="nil"/>
              <w:left w:val="nil"/>
              <w:bottom w:val="nil"/>
              <w:right w:val="nil"/>
            </w:tcBorders>
            <w:shd w:val="clear" w:color="auto" w:fill="auto"/>
            <w:noWrap/>
            <w:vAlign w:val="bottom"/>
          </w:tcPr>
          <w:p w:rsidR="00FC2012" w:rsidRPr="008A5812" w:rsidRDefault="00FC2012" w:rsidP="003269F2">
            <w:pPr>
              <w:spacing w:before="0" w:after="0" w:line="240" w:lineRule="auto"/>
              <w:rPr>
                <w:color w:val="000000"/>
                <w:szCs w:val="24"/>
                <w:lang w:eastAsia="en-GB"/>
              </w:rPr>
            </w:pPr>
          </w:p>
        </w:tc>
        <w:tc>
          <w:tcPr>
            <w:tcW w:w="1888" w:type="dxa"/>
            <w:tcBorders>
              <w:top w:val="nil"/>
              <w:left w:val="nil"/>
              <w:bottom w:val="nil"/>
              <w:right w:val="nil"/>
            </w:tcBorders>
            <w:shd w:val="clear" w:color="auto" w:fill="auto"/>
            <w:noWrap/>
            <w:vAlign w:val="bottom"/>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2</w:t>
            </w:r>
          </w:p>
        </w:tc>
        <w:tc>
          <w:tcPr>
            <w:tcW w:w="2977" w:type="dxa"/>
            <w:gridSpan w:val="2"/>
            <w:tcBorders>
              <w:top w:val="nil"/>
              <w:left w:val="nil"/>
              <w:bottom w:val="nil"/>
              <w:right w:val="nil"/>
            </w:tcBorders>
            <w:shd w:val="clear" w:color="000000" w:fill="FFFFFF"/>
            <w:noWrap/>
            <w:vAlign w:val="bottom"/>
          </w:tcPr>
          <w:p w:rsidR="00FC2012" w:rsidRPr="008A5812" w:rsidRDefault="00FC2012" w:rsidP="003269F2">
            <w:pPr>
              <w:spacing w:before="0" w:after="0" w:line="240" w:lineRule="auto"/>
              <w:jc w:val="right"/>
              <w:rPr>
                <w:szCs w:val="24"/>
                <w:lang w:eastAsia="en-GB"/>
              </w:rPr>
            </w:pPr>
            <w:r w:rsidRPr="008A5812">
              <w:rPr>
                <w:szCs w:val="24"/>
                <w:lang w:eastAsia="en-GB"/>
              </w:rPr>
              <w:t>£30.4m</w:t>
            </w:r>
          </w:p>
        </w:tc>
      </w:tr>
      <w:tr w:rsidR="00FC2012" w:rsidRPr="008A5812" w:rsidTr="003269F2">
        <w:trPr>
          <w:gridAfter w:val="1"/>
          <w:wAfter w:w="1701" w:type="dxa"/>
          <w:trHeight w:val="285"/>
        </w:trPr>
        <w:tc>
          <w:tcPr>
            <w:tcW w:w="2947" w:type="dxa"/>
            <w:tcBorders>
              <w:top w:val="nil"/>
              <w:left w:val="nil"/>
              <w:bottom w:val="nil"/>
              <w:right w:val="nil"/>
            </w:tcBorders>
            <w:shd w:val="clear" w:color="000000" w:fill="FFFFFF"/>
            <w:noWrap/>
            <w:vAlign w:val="bottom"/>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October 2013</w:t>
            </w:r>
          </w:p>
        </w:tc>
        <w:tc>
          <w:tcPr>
            <w:tcW w:w="283" w:type="dxa"/>
            <w:tcBorders>
              <w:top w:val="nil"/>
              <w:left w:val="nil"/>
              <w:bottom w:val="nil"/>
              <w:right w:val="nil"/>
            </w:tcBorders>
            <w:shd w:val="clear" w:color="auto" w:fill="auto"/>
            <w:noWrap/>
            <w:vAlign w:val="bottom"/>
          </w:tcPr>
          <w:p w:rsidR="00FC2012" w:rsidRPr="008A5812" w:rsidRDefault="00FC2012" w:rsidP="003269F2">
            <w:pPr>
              <w:spacing w:before="0" w:after="0" w:line="240" w:lineRule="auto"/>
              <w:rPr>
                <w:color w:val="000000"/>
                <w:szCs w:val="24"/>
                <w:lang w:eastAsia="en-GB"/>
              </w:rPr>
            </w:pPr>
          </w:p>
        </w:tc>
        <w:tc>
          <w:tcPr>
            <w:tcW w:w="1888" w:type="dxa"/>
            <w:tcBorders>
              <w:top w:val="nil"/>
              <w:left w:val="nil"/>
              <w:bottom w:val="nil"/>
              <w:right w:val="nil"/>
            </w:tcBorders>
            <w:shd w:val="clear" w:color="auto" w:fill="auto"/>
            <w:noWrap/>
            <w:vAlign w:val="bottom"/>
          </w:tcPr>
          <w:p w:rsidR="00FC2012" w:rsidRPr="008A5812" w:rsidRDefault="00FC2012" w:rsidP="003269F2">
            <w:pPr>
              <w:spacing w:before="0" w:after="0" w:line="240" w:lineRule="auto"/>
              <w:jc w:val="right"/>
              <w:rPr>
                <w:color w:val="000000"/>
                <w:szCs w:val="24"/>
                <w:lang w:eastAsia="en-GB"/>
              </w:rPr>
            </w:pPr>
            <w:r>
              <w:rPr>
                <w:color w:val="000000"/>
                <w:szCs w:val="24"/>
                <w:lang w:eastAsia="en-GB"/>
              </w:rPr>
              <w:t>2</w:t>
            </w:r>
          </w:p>
        </w:tc>
        <w:tc>
          <w:tcPr>
            <w:tcW w:w="2977" w:type="dxa"/>
            <w:gridSpan w:val="2"/>
            <w:tcBorders>
              <w:top w:val="nil"/>
              <w:left w:val="nil"/>
              <w:bottom w:val="nil"/>
              <w:right w:val="nil"/>
            </w:tcBorders>
            <w:shd w:val="clear" w:color="000000" w:fill="FFFFFF"/>
            <w:noWrap/>
            <w:vAlign w:val="bottom"/>
          </w:tcPr>
          <w:p w:rsidR="00FC2012" w:rsidRPr="008A5812" w:rsidRDefault="00FC2012" w:rsidP="003269F2">
            <w:pPr>
              <w:spacing w:before="0" w:after="0" w:line="240" w:lineRule="auto"/>
              <w:jc w:val="right"/>
              <w:rPr>
                <w:szCs w:val="24"/>
                <w:lang w:eastAsia="en-GB"/>
              </w:rPr>
            </w:pPr>
            <w:r>
              <w:rPr>
                <w:szCs w:val="24"/>
                <w:lang w:eastAsia="en-GB"/>
              </w:rPr>
              <w:t>£52.9m</w:t>
            </w:r>
          </w:p>
        </w:tc>
      </w:tr>
      <w:tr w:rsidR="00FC2012" w:rsidRPr="008A5812" w:rsidTr="003269F2">
        <w:trPr>
          <w:gridAfter w:val="1"/>
          <w:wAfter w:w="1701" w:type="dxa"/>
          <w:trHeight w:val="285"/>
        </w:trPr>
        <w:tc>
          <w:tcPr>
            <w:tcW w:w="2947"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1888"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977" w:type="dxa"/>
            <w:gridSpan w:val="2"/>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jc w:val="right"/>
              <w:rPr>
                <w:szCs w:val="24"/>
                <w:lang w:eastAsia="en-GB"/>
              </w:rPr>
            </w:pPr>
            <w:r w:rsidRPr="008A5812">
              <w:rPr>
                <w:szCs w:val="24"/>
                <w:lang w:eastAsia="en-GB"/>
              </w:rPr>
              <w:t> </w:t>
            </w:r>
          </w:p>
        </w:tc>
      </w:tr>
      <w:tr w:rsidR="00FC2012" w:rsidRPr="008A5812" w:rsidTr="003269F2">
        <w:trPr>
          <w:gridAfter w:val="1"/>
          <w:wAfter w:w="1701" w:type="dxa"/>
          <w:trHeight w:val="285"/>
        </w:trPr>
        <w:tc>
          <w:tcPr>
            <w:tcW w:w="2947" w:type="dxa"/>
            <w:tcBorders>
              <w:top w:val="nil"/>
              <w:left w:val="nil"/>
              <w:bottom w:val="single" w:sz="4" w:space="0" w:color="auto"/>
              <w:right w:val="nil"/>
            </w:tcBorders>
            <w:shd w:val="clear" w:color="000000" w:fill="FFFFFF"/>
            <w:noWrap/>
            <w:vAlign w:val="bottom"/>
            <w:hideMark/>
          </w:tcPr>
          <w:p w:rsidR="00FC2012" w:rsidRPr="008A5812" w:rsidRDefault="00FC2012" w:rsidP="003269F2">
            <w:pPr>
              <w:spacing w:before="0" w:after="0" w:line="240" w:lineRule="auto"/>
              <w:rPr>
                <w:b/>
                <w:color w:val="000000"/>
                <w:szCs w:val="24"/>
                <w:lang w:eastAsia="en-GB"/>
              </w:rPr>
            </w:pPr>
            <w:r w:rsidRPr="008A5812">
              <w:rPr>
                <w:b/>
                <w:color w:val="000000"/>
                <w:szCs w:val="24"/>
                <w:lang w:eastAsia="en-GB"/>
              </w:rPr>
              <w:t>Total to date</w:t>
            </w:r>
          </w:p>
        </w:tc>
        <w:tc>
          <w:tcPr>
            <w:tcW w:w="283"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before="0" w:after="0" w:line="240" w:lineRule="auto"/>
              <w:rPr>
                <w:b/>
                <w:color w:val="000000"/>
                <w:szCs w:val="24"/>
                <w:lang w:eastAsia="en-GB"/>
              </w:rPr>
            </w:pPr>
            <w:r w:rsidRPr="008A5812">
              <w:rPr>
                <w:b/>
                <w:color w:val="000000"/>
                <w:szCs w:val="24"/>
                <w:lang w:eastAsia="en-GB"/>
              </w:rPr>
              <w:t> </w:t>
            </w:r>
          </w:p>
        </w:tc>
        <w:tc>
          <w:tcPr>
            <w:tcW w:w="1888"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before="0" w:after="0" w:line="240" w:lineRule="auto"/>
              <w:jc w:val="right"/>
              <w:rPr>
                <w:b/>
                <w:color w:val="000000"/>
                <w:szCs w:val="24"/>
                <w:lang w:eastAsia="en-GB"/>
              </w:rPr>
            </w:pPr>
            <w:r>
              <w:rPr>
                <w:b/>
                <w:color w:val="000000"/>
                <w:szCs w:val="24"/>
                <w:lang w:eastAsia="en-GB"/>
              </w:rPr>
              <w:t>21</w:t>
            </w:r>
          </w:p>
        </w:tc>
        <w:tc>
          <w:tcPr>
            <w:tcW w:w="2977" w:type="dxa"/>
            <w:gridSpan w:val="2"/>
            <w:tcBorders>
              <w:top w:val="nil"/>
              <w:left w:val="nil"/>
              <w:bottom w:val="single" w:sz="4" w:space="0" w:color="auto"/>
              <w:right w:val="nil"/>
            </w:tcBorders>
            <w:shd w:val="clear" w:color="000000" w:fill="FFFFFF"/>
            <w:noWrap/>
            <w:vAlign w:val="bottom"/>
            <w:hideMark/>
          </w:tcPr>
          <w:p w:rsidR="00FC2012" w:rsidRPr="008A5812" w:rsidRDefault="00FC2012" w:rsidP="003269F2">
            <w:pPr>
              <w:spacing w:before="0" w:after="0" w:line="240" w:lineRule="auto"/>
              <w:jc w:val="right"/>
              <w:rPr>
                <w:b/>
                <w:szCs w:val="24"/>
                <w:lang w:eastAsia="en-GB"/>
              </w:rPr>
            </w:pPr>
            <w:r>
              <w:rPr>
                <w:b/>
                <w:szCs w:val="24"/>
                <w:lang w:eastAsia="en-GB"/>
              </w:rPr>
              <w:t>£288.2</w:t>
            </w:r>
            <w:r w:rsidRPr="008A5812">
              <w:rPr>
                <w:b/>
                <w:szCs w:val="24"/>
                <w:lang w:eastAsia="en-GB"/>
              </w:rPr>
              <w:t>m</w:t>
            </w:r>
          </w:p>
        </w:tc>
      </w:tr>
      <w:tr w:rsidR="00FC2012" w:rsidRPr="008A5812" w:rsidTr="003269F2">
        <w:trPr>
          <w:trHeight w:val="75"/>
        </w:trPr>
        <w:tc>
          <w:tcPr>
            <w:tcW w:w="2947"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230" w:type="dxa"/>
            <w:gridSpan w:val="2"/>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4336" w:type="dxa"/>
            <w:gridSpan w:val="2"/>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3269F2">
        <w:trPr>
          <w:trHeight w:val="330"/>
        </w:trPr>
        <w:tc>
          <w:tcPr>
            <w:tcW w:w="9796" w:type="dxa"/>
            <w:gridSpan w:val="6"/>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vertAlign w:val="superscript"/>
                <w:lang w:eastAsia="en-GB"/>
              </w:rPr>
              <w:t>1</w:t>
            </w:r>
            <w:r w:rsidRPr="008A5812">
              <w:rPr>
                <w:color w:val="000000"/>
                <w:szCs w:val="24"/>
                <w:lang w:eastAsia="en-GB"/>
              </w:rPr>
              <w:t xml:space="preserve"> ECO brokerage auctions are scheduled to take place on a fortnightly basis.</w:t>
            </w:r>
          </w:p>
        </w:tc>
      </w:tr>
    </w:tbl>
    <w:p w:rsidR="00FC2012" w:rsidRPr="008A5812" w:rsidRDefault="00FC2012" w:rsidP="00FC2012">
      <w:pPr>
        <w:spacing w:line="270" w:lineRule="atLeast"/>
        <w:rPr>
          <w:b/>
          <w:bCs/>
          <w:szCs w:val="24"/>
        </w:rPr>
      </w:pPr>
    </w:p>
    <w:p w:rsidR="00FC2012" w:rsidRPr="008A5812" w:rsidRDefault="00FC2012" w:rsidP="00FC2012">
      <w:pPr>
        <w:spacing w:line="270" w:lineRule="atLeast"/>
        <w:rPr>
          <w:b/>
          <w:bCs/>
          <w:szCs w:val="24"/>
        </w:rPr>
      </w:pPr>
    </w:p>
    <w:tbl>
      <w:tblPr>
        <w:tblW w:w="9433" w:type="dxa"/>
        <w:tblInd w:w="93" w:type="dxa"/>
        <w:tblLook w:val="04A0" w:firstRow="1" w:lastRow="0" w:firstColumn="1" w:lastColumn="0" w:noHBand="0" w:noVBand="1"/>
      </w:tblPr>
      <w:tblGrid>
        <w:gridCol w:w="2551"/>
        <w:gridCol w:w="1745"/>
        <w:gridCol w:w="1554"/>
        <w:gridCol w:w="1602"/>
        <w:gridCol w:w="1745"/>
        <w:gridCol w:w="236"/>
      </w:tblGrid>
      <w:tr w:rsidR="00FC2012" w:rsidRPr="008A5812" w:rsidTr="003269F2">
        <w:trPr>
          <w:gridAfter w:val="1"/>
          <w:wAfter w:w="236" w:type="dxa"/>
          <w:trHeight w:val="660"/>
        </w:trPr>
        <w:tc>
          <w:tcPr>
            <w:tcW w:w="9197" w:type="dxa"/>
            <w:gridSpan w:val="5"/>
            <w:tcBorders>
              <w:top w:val="nil"/>
              <w:left w:val="nil"/>
              <w:bottom w:val="nil"/>
              <w:right w:val="nil"/>
            </w:tcBorders>
            <w:shd w:val="clear" w:color="auto" w:fill="auto"/>
            <w:vAlign w:val="bottom"/>
            <w:hideMark/>
          </w:tcPr>
          <w:p w:rsidR="00FC2012" w:rsidRPr="008A5812" w:rsidRDefault="00F7089E" w:rsidP="003269F2">
            <w:pPr>
              <w:spacing w:before="0" w:after="0" w:line="240" w:lineRule="auto"/>
              <w:rPr>
                <w:b/>
                <w:bCs/>
                <w:color w:val="000000"/>
                <w:szCs w:val="24"/>
                <w:lang w:eastAsia="en-GB"/>
              </w:rPr>
            </w:pPr>
            <w:r>
              <w:rPr>
                <w:b/>
                <w:bCs/>
                <w:color w:val="000000"/>
                <w:szCs w:val="24"/>
                <w:lang w:eastAsia="en-GB"/>
              </w:rPr>
              <w:t>Table 7</w:t>
            </w:r>
            <w:r w:rsidR="00FC2012" w:rsidRPr="008A5812">
              <w:rPr>
                <w:b/>
                <w:bCs/>
                <w:color w:val="000000"/>
                <w:szCs w:val="24"/>
                <w:lang w:eastAsia="en-GB"/>
              </w:rPr>
              <w:t>: Number</w:t>
            </w:r>
            <w:r w:rsidR="00FC2012" w:rsidRPr="008A5812">
              <w:rPr>
                <w:b/>
                <w:bCs/>
                <w:color w:val="000000"/>
                <w:szCs w:val="24"/>
                <w:vertAlign w:val="superscript"/>
                <w:lang w:eastAsia="en-GB"/>
              </w:rPr>
              <w:t>1</w:t>
            </w:r>
            <w:r w:rsidR="00FC2012" w:rsidRPr="008A5812">
              <w:rPr>
                <w:b/>
                <w:bCs/>
                <w:color w:val="000000"/>
                <w:szCs w:val="24"/>
                <w:lang w:eastAsia="en-GB"/>
              </w:rPr>
              <w:t xml:space="preserve"> of accredited Assessor organisations, individual Advisors, Green Deal Providers, and Installer organisations, cumulative totals by month</w:t>
            </w:r>
          </w:p>
        </w:tc>
      </w:tr>
      <w:tr w:rsidR="00FC2012" w:rsidRPr="008A5812" w:rsidTr="003269F2">
        <w:trPr>
          <w:trHeight w:val="466"/>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1602"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 </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trHeight w:val="703"/>
        </w:trPr>
        <w:tc>
          <w:tcPr>
            <w:tcW w:w="2551" w:type="dxa"/>
            <w:tcBorders>
              <w:top w:val="single" w:sz="4" w:space="0" w:color="auto"/>
              <w:left w:val="nil"/>
              <w:bottom w:val="single" w:sz="4" w:space="0" w:color="auto"/>
              <w:right w:val="nil"/>
            </w:tcBorders>
            <w:shd w:val="clear" w:color="auto" w:fill="auto"/>
            <w:noWrap/>
            <w:vAlign w:val="center"/>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Month</w:t>
            </w:r>
            <w:r w:rsidRPr="008A5812">
              <w:rPr>
                <w:color w:val="000000"/>
                <w:szCs w:val="24"/>
                <w:vertAlign w:val="superscript"/>
                <w:lang w:eastAsia="en-GB"/>
              </w:rPr>
              <w:t>2</w:t>
            </w:r>
          </w:p>
        </w:tc>
        <w:tc>
          <w:tcPr>
            <w:tcW w:w="1745"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Assessor organisations</w:t>
            </w:r>
          </w:p>
        </w:tc>
        <w:tc>
          <w:tcPr>
            <w:tcW w:w="1554"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Individual Advisors</w:t>
            </w:r>
          </w:p>
        </w:tc>
        <w:tc>
          <w:tcPr>
            <w:tcW w:w="1602" w:type="dxa"/>
            <w:tcBorders>
              <w:top w:val="nil"/>
              <w:left w:val="nil"/>
              <w:bottom w:val="single" w:sz="4" w:space="0" w:color="auto"/>
              <w:right w:val="nil"/>
            </w:tcBorders>
            <w:shd w:val="clear" w:color="auto" w:fill="auto"/>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Green Deal Providers</w:t>
            </w:r>
          </w:p>
        </w:tc>
        <w:tc>
          <w:tcPr>
            <w:tcW w:w="1745"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Installer organisations</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3269F2">
        <w:trPr>
          <w:trHeight w:val="285"/>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rPr>
                <w:color w:val="000000"/>
                <w:szCs w:val="24"/>
                <w:lang w:eastAsia="en-GB"/>
              </w:rPr>
            </w:pPr>
            <w:r w:rsidRPr="008A5812">
              <w:rPr>
                <w:color w:val="000000"/>
                <w:szCs w:val="24"/>
                <w:lang w:eastAsia="en-GB"/>
              </w:rPr>
              <w:t>October 2012</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13</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40</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8</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231</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3269F2">
        <w:trPr>
          <w:trHeight w:val="285"/>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rPr>
                <w:color w:val="000000"/>
                <w:szCs w:val="24"/>
                <w:lang w:eastAsia="en-GB"/>
              </w:rPr>
            </w:pPr>
            <w:r w:rsidRPr="008A5812">
              <w:rPr>
                <w:color w:val="000000"/>
                <w:szCs w:val="24"/>
                <w:lang w:eastAsia="en-GB"/>
              </w:rPr>
              <w:t>November 2012</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18</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100</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15</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285</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3269F2">
        <w:trPr>
          <w:trHeight w:val="285"/>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rPr>
                <w:color w:val="000000"/>
                <w:szCs w:val="24"/>
                <w:lang w:eastAsia="en-GB"/>
              </w:rPr>
            </w:pPr>
            <w:r w:rsidRPr="008A5812">
              <w:rPr>
                <w:color w:val="000000"/>
                <w:szCs w:val="24"/>
                <w:lang w:eastAsia="en-GB"/>
              </w:rPr>
              <w:t>December 2012</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29</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159</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20</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429</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3269F2">
        <w:trPr>
          <w:trHeight w:val="270"/>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rPr>
                <w:color w:val="000000"/>
                <w:szCs w:val="24"/>
                <w:lang w:eastAsia="en-GB"/>
              </w:rPr>
            </w:pPr>
            <w:r w:rsidRPr="008A5812">
              <w:rPr>
                <w:color w:val="000000"/>
                <w:szCs w:val="24"/>
                <w:lang w:eastAsia="en-GB"/>
              </w:rPr>
              <w:t>January 2013</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48</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270</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25</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531</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3269F2">
        <w:trPr>
          <w:trHeight w:val="270"/>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rPr>
                <w:color w:val="000000"/>
                <w:szCs w:val="24"/>
                <w:lang w:eastAsia="en-GB"/>
              </w:rPr>
            </w:pPr>
            <w:r w:rsidRPr="008A5812">
              <w:rPr>
                <w:color w:val="000000"/>
                <w:szCs w:val="24"/>
                <w:lang w:eastAsia="en-GB"/>
              </w:rPr>
              <w:t>February 2013</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77</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618</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40</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629</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3269F2">
        <w:trPr>
          <w:trHeight w:val="270"/>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rPr>
                <w:color w:val="000000"/>
                <w:szCs w:val="24"/>
                <w:lang w:eastAsia="en-GB"/>
              </w:rPr>
            </w:pPr>
            <w:r w:rsidRPr="008A5812">
              <w:rPr>
                <w:color w:val="000000"/>
                <w:szCs w:val="24"/>
                <w:lang w:eastAsia="en-GB"/>
              </w:rPr>
              <w:t>March 2013</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108</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1,003</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48</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831</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3269F2">
        <w:trPr>
          <w:trHeight w:val="270"/>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both"/>
              <w:rPr>
                <w:color w:val="000000"/>
                <w:szCs w:val="24"/>
                <w:lang w:eastAsia="en-GB"/>
              </w:rPr>
            </w:pPr>
            <w:r w:rsidRPr="008A5812">
              <w:rPr>
                <w:color w:val="000000"/>
                <w:szCs w:val="24"/>
                <w:lang w:eastAsia="en-GB"/>
              </w:rPr>
              <w:t>April 2013</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152</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1,274</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55</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942</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3269F2">
        <w:trPr>
          <w:trHeight w:val="270"/>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both"/>
              <w:rPr>
                <w:color w:val="000000"/>
                <w:szCs w:val="24"/>
                <w:lang w:eastAsia="en-GB"/>
              </w:rPr>
            </w:pPr>
            <w:r w:rsidRPr="008A5812">
              <w:rPr>
                <w:color w:val="000000"/>
                <w:szCs w:val="24"/>
                <w:lang w:eastAsia="en-GB"/>
              </w:rPr>
              <w:t>May 2013</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182</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1,582</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60</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1,108</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3269F2">
        <w:trPr>
          <w:trHeight w:val="270"/>
        </w:trPr>
        <w:tc>
          <w:tcPr>
            <w:tcW w:w="2551" w:type="dxa"/>
            <w:tcBorders>
              <w:top w:val="nil"/>
              <w:left w:val="nil"/>
              <w:right w:val="nil"/>
            </w:tcBorders>
            <w:shd w:val="clear" w:color="auto" w:fill="auto"/>
            <w:noWrap/>
            <w:vAlign w:val="bottom"/>
            <w:hideMark/>
          </w:tcPr>
          <w:p w:rsidR="00FC2012" w:rsidRPr="008A5812" w:rsidRDefault="00FC2012" w:rsidP="003269F2">
            <w:pPr>
              <w:spacing w:before="0" w:after="60" w:line="240" w:lineRule="auto"/>
              <w:jc w:val="both"/>
              <w:rPr>
                <w:color w:val="000000"/>
                <w:szCs w:val="24"/>
                <w:lang w:eastAsia="en-GB"/>
              </w:rPr>
            </w:pPr>
            <w:r w:rsidRPr="008A5812">
              <w:rPr>
                <w:color w:val="000000"/>
                <w:szCs w:val="24"/>
                <w:lang w:eastAsia="en-GB"/>
              </w:rPr>
              <w:t>June 2013</w:t>
            </w:r>
          </w:p>
        </w:tc>
        <w:tc>
          <w:tcPr>
            <w:tcW w:w="1745" w:type="dxa"/>
            <w:tcBorders>
              <w:top w:val="nil"/>
              <w:left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226</w:t>
            </w:r>
          </w:p>
        </w:tc>
        <w:tc>
          <w:tcPr>
            <w:tcW w:w="1554" w:type="dxa"/>
            <w:tcBorders>
              <w:top w:val="nil"/>
              <w:left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1,919</w:t>
            </w:r>
          </w:p>
        </w:tc>
        <w:tc>
          <w:tcPr>
            <w:tcW w:w="1602" w:type="dxa"/>
            <w:tcBorders>
              <w:top w:val="nil"/>
              <w:left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66</w:t>
            </w:r>
          </w:p>
        </w:tc>
        <w:tc>
          <w:tcPr>
            <w:tcW w:w="1745" w:type="dxa"/>
            <w:tcBorders>
              <w:top w:val="nil"/>
              <w:left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1,234</w:t>
            </w:r>
          </w:p>
        </w:tc>
        <w:tc>
          <w:tcPr>
            <w:tcW w:w="236" w:type="dxa"/>
            <w:tcBorders>
              <w:top w:val="nil"/>
              <w:left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3269F2">
        <w:trPr>
          <w:trHeight w:val="270"/>
        </w:trPr>
        <w:tc>
          <w:tcPr>
            <w:tcW w:w="2551" w:type="dxa"/>
            <w:tcBorders>
              <w:top w:val="nil"/>
              <w:left w:val="nil"/>
              <w:right w:val="nil"/>
            </w:tcBorders>
            <w:shd w:val="clear" w:color="auto" w:fill="auto"/>
            <w:noWrap/>
            <w:vAlign w:val="bottom"/>
          </w:tcPr>
          <w:p w:rsidR="00FC2012" w:rsidRPr="008A5812" w:rsidRDefault="00FC2012" w:rsidP="003269F2">
            <w:pPr>
              <w:spacing w:before="0" w:after="60" w:line="240" w:lineRule="auto"/>
              <w:jc w:val="both"/>
              <w:rPr>
                <w:color w:val="000000"/>
                <w:szCs w:val="24"/>
                <w:lang w:eastAsia="en-GB"/>
              </w:rPr>
            </w:pPr>
            <w:r w:rsidRPr="008A5812">
              <w:rPr>
                <w:color w:val="000000"/>
                <w:szCs w:val="24"/>
                <w:lang w:eastAsia="en-GB"/>
              </w:rPr>
              <w:t>July 2013</w:t>
            </w:r>
          </w:p>
        </w:tc>
        <w:tc>
          <w:tcPr>
            <w:tcW w:w="1745" w:type="dxa"/>
            <w:tcBorders>
              <w:top w:val="nil"/>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248</w:t>
            </w:r>
          </w:p>
        </w:tc>
        <w:tc>
          <w:tcPr>
            <w:tcW w:w="1554" w:type="dxa"/>
            <w:tcBorders>
              <w:top w:val="nil"/>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2,129</w:t>
            </w:r>
          </w:p>
        </w:tc>
        <w:tc>
          <w:tcPr>
            <w:tcW w:w="1602" w:type="dxa"/>
            <w:tcBorders>
              <w:top w:val="nil"/>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79</w:t>
            </w:r>
          </w:p>
        </w:tc>
        <w:tc>
          <w:tcPr>
            <w:tcW w:w="1745" w:type="dxa"/>
            <w:tcBorders>
              <w:top w:val="nil"/>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1,457</w:t>
            </w:r>
          </w:p>
        </w:tc>
        <w:tc>
          <w:tcPr>
            <w:tcW w:w="236" w:type="dxa"/>
            <w:tcBorders>
              <w:top w:val="nil"/>
              <w:left w:val="nil"/>
              <w:right w:val="nil"/>
            </w:tcBorders>
            <w:shd w:val="clear" w:color="auto" w:fill="auto"/>
            <w:noWrap/>
            <w:vAlign w:val="bottom"/>
          </w:tcPr>
          <w:p w:rsidR="00FC2012" w:rsidRPr="008A5812" w:rsidRDefault="00FC2012" w:rsidP="003269F2">
            <w:pPr>
              <w:spacing w:before="0" w:after="0" w:line="240" w:lineRule="auto"/>
              <w:rPr>
                <w:color w:val="000000"/>
                <w:szCs w:val="24"/>
                <w:lang w:eastAsia="en-GB"/>
              </w:rPr>
            </w:pPr>
          </w:p>
        </w:tc>
      </w:tr>
      <w:tr w:rsidR="00FC2012" w:rsidRPr="008A5812" w:rsidTr="003269F2">
        <w:trPr>
          <w:trHeight w:val="270"/>
        </w:trPr>
        <w:tc>
          <w:tcPr>
            <w:tcW w:w="2551" w:type="dxa"/>
            <w:tcBorders>
              <w:left w:val="nil"/>
              <w:right w:val="nil"/>
            </w:tcBorders>
            <w:shd w:val="clear" w:color="auto" w:fill="auto"/>
            <w:noWrap/>
            <w:vAlign w:val="bottom"/>
          </w:tcPr>
          <w:p w:rsidR="00FC2012" w:rsidRPr="008A5812" w:rsidRDefault="00FC2012" w:rsidP="003269F2">
            <w:pPr>
              <w:spacing w:before="0" w:after="60" w:line="240" w:lineRule="auto"/>
              <w:jc w:val="both"/>
              <w:rPr>
                <w:color w:val="000000"/>
                <w:szCs w:val="24"/>
                <w:lang w:eastAsia="en-GB"/>
              </w:rPr>
            </w:pPr>
            <w:r w:rsidRPr="008A5812">
              <w:rPr>
                <w:color w:val="000000"/>
                <w:szCs w:val="24"/>
                <w:lang w:eastAsia="en-GB"/>
              </w:rPr>
              <w:t>August 2013</w:t>
            </w:r>
          </w:p>
        </w:tc>
        <w:tc>
          <w:tcPr>
            <w:tcW w:w="1745"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269</w:t>
            </w:r>
          </w:p>
        </w:tc>
        <w:tc>
          <w:tcPr>
            <w:tcW w:w="1554"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2,332</w:t>
            </w:r>
          </w:p>
        </w:tc>
        <w:tc>
          <w:tcPr>
            <w:tcW w:w="1602"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101</w:t>
            </w:r>
          </w:p>
        </w:tc>
        <w:tc>
          <w:tcPr>
            <w:tcW w:w="1745"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1,662</w:t>
            </w:r>
          </w:p>
        </w:tc>
        <w:tc>
          <w:tcPr>
            <w:tcW w:w="236" w:type="dxa"/>
            <w:tcBorders>
              <w:left w:val="nil"/>
              <w:right w:val="nil"/>
            </w:tcBorders>
            <w:shd w:val="clear" w:color="auto" w:fill="auto"/>
            <w:noWrap/>
            <w:vAlign w:val="bottom"/>
          </w:tcPr>
          <w:p w:rsidR="00FC2012" w:rsidRPr="008A5812" w:rsidRDefault="00FC2012" w:rsidP="003269F2">
            <w:pPr>
              <w:spacing w:before="0" w:after="0" w:line="240" w:lineRule="auto"/>
              <w:rPr>
                <w:color w:val="000000"/>
                <w:szCs w:val="24"/>
                <w:lang w:eastAsia="en-GB"/>
              </w:rPr>
            </w:pPr>
          </w:p>
        </w:tc>
      </w:tr>
      <w:tr w:rsidR="00FC2012" w:rsidRPr="008A5812" w:rsidTr="003269F2">
        <w:trPr>
          <w:trHeight w:val="270"/>
        </w:trPr>
        <w:tc>
          <w:tcPr>
            <w:tcW w:w="2551" w:type="dxa"/>
            <w:tcBorders>
              <w:left w:val="nil"/>
              <w:right w:val="nil"/>
            </w:tcBorders>
            <w:shd w:val="clear" w:color="auto" w:fill="auto"/>
            <w:noWrap/>
            <w:vAlign w:val="bottom"/>
          </w:tcPr>
          <w:p w:rsidR="00FC2012" w:rsidRPr="008A5812" w:rsidRDefault="00FC2012" w:rsidP="003269F2">
            <w:pPr>
              <w:spacing w:before="0" w:after="60" w:line="240" w:lineRule="auto"/>
              <w:jc w:val="both"/>
              <w:rPr>
                <w:color w:val="000000"/>
                <w:szCs w:val="24"/>
                <w:lang w:eastAsia="en-GB"/>
              </w:rPr>
            </w:pPr>
            <w:r w:rsidRPr="008A5812">
              <w:rPr>
                <w:color w:val="000000"/>
                <w:szCs w:val="24"/>
                <w:lang w:eastAsia="en-GB"/>
              </w:rPr>
              <w:t>September 2013</w:t>
            </w:r>
          </w:p>
        </w:tc>
        <w:tc>
          <w:tcPr>
            <w:tcW w:w="1745"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286</w:t>
            </w:r>
          </w:p>
        </w:tc>
        <w:tc>
          <w:tcPr>
            <w:tcW w:w="1554"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2,517</w:t>
            </w:r>
          </w:p>
        </w:tc>
        <w:tc>
          <w:tcPr>
            <w:tcW w:w="1602"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107</w:t>
            </w:r>
          </w:p>
        </w:tc>
        <w:tc>
          <w:tcPr>
            <w:tcW w:w="1745"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1,853</w:t>
            </w:r>
          </w:p>
        </w:tc>
        <w:tc>
          <w:tcPr>
            <w:tcW w:w="236" w:type="dxa"/>
            <w:tcBorders>
              <w:left w:val="nil"/>
              <w:right w:val="nil"/>
            </w:tcBorders>
            <w:shd w:val="clear" w:color="auto" w:fill="auto"/>
            <w:noWrap/>
            <w:vAlign w:val="bottom"/>
          </w:tcPr>
          <w:p w:rsidR="00FC2012" w:rsidRPr="008A5812" w:rsidRDefault="00FC2012" w:rsidP="003269F2">
            <w:pPr>
              <w:spacing w:before="0" w:after="0" w:line="240" w:lineRule="auto"/>
              <w:rPr>
                <w:color w:val="000000"/>
                <w:szCs w:val="24"/>
                <w:lang w:eastAsia="en-GB"/>
              </w:rPr>
            </w:pPr>
          </w:p>
        </w:tc>
      </w:tr>
      <w:tr w:rsidR="00FC2012" w:rsidRPr="008A5812" w:rsidTr="003269F2">
        <w:trPr>
          <w:trHeight w:val="270"/>
        </w:trPr>
        <w:tc>
          <w:tcPr>
            <w:tcW w:w="2551" w:type="dxa"/>
            <w:tcBorders>
              <w:left w:val="nil"/>
              <w:bottom w:val="single" w:sz="4" w:space="0" w:color="auto"/>
              <w:right w:val="nil"/>
            </w:tcBorders>
            <w:shd w:val="clear" w:color="auto" w:fill="auto"/>
            <w:noWrap/>
            <w:vAlign w:val="bottom"/>
          </w:tcPr>
          <w:p w:rsidR="00FC2012" w:rsidRPr="008A5812" w:rsidRDefault="00FC2012" w:rsidP="003269F2">
            <w:pPr>
              <w:spacing w:before="0" w:after="60" w:line="240" w:lineRule="auto"/>
              <w:jc w:val="both"/>
              <w:rPr>
                <w:color w:val="000000"/>
                <w:szCs w:val="24"/>
                <w:lang w:eastAsia="en-GB"/>
              </w:rPr>
            </w:pPr>
            <w:r w:rsidRPr="008A5812">
              <w:rPr>
                <w:color w:val="000000"/>
                <w:szCs w:val="24"/>
                <w:lang w:eastAsia="en-GB"/>
              </w:rPr>
              <w:t>October 2013</w:t>
            </w:r>
          </w:p>
        </w:tc>
        <w:tc>
          <w:tcPr>
            <w:tcW w:w="1745" w:type="dxa"/>
            <w:tcBorders>
              <w:left w:val="nil"/>
              <w:bottom w:val="single" w:sz="4" w:space="0" w:color="auto"/>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Pr>
                <w:color w:val="000000"/>
                <w:szCs w:val="24"/>
                <w:lang w:eastAsia="en-GB"/>
              </w:rPr>
              <w:t>302</w:t>
            </w:r>
          </w:p>
        </w:tc>
        <w:tc>
          <w:tcPr>
            <w:tcW w:w="1554" w:type="dxa"/>
            <w:tcBorders>
              <w:left w:val="nil"/>
              <w:bottom w:val="single" w:sz="4" w:space="0" w:color="auto"/>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Pr>
                <w:color w:val="000000"/>
                <w:szCs w:val="24"/>
                <w:lang w:eastAsia="en-GB"/>
              </w:rPr>
              <w:t>2,687</w:t>
            </w:r>
          </w:p>
        </w:tc>
        <w:tc>
          <w:tcPr>
            <w:tcW w:w="1602" w:type="dxa"/>
            <w:tcBorders>
              <w:left w:val="nil"/>
              <w:bottom w:val="single" w:sz="4" w:space="0" w:color="auto"/>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Pr>
                <w:color w:val="000000"/>
                <w:szCs w:val="24"/>
                <w:lang w:eastAsia="en-GB"/>
              </w:rPr>
              <w:t>112</w:t>
            </w:r>
          </w:p>
        </w:tc>
        <w:tc>
          <w:tcPr>
            <w:tcW w:w="1745" w:type="dxa"/>
            <w:tcBorders>
              <w:left w:val="nil"/>
              <w:bottom w:val="single" w:sz="4" w:space="0" w:color="auto"/>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Pr>
                <w:color w:val="000000"/>
                <w:szCs w:val="24"/>
                <w:lang w:eastAsia="en-GB"/>
              </w:rPr>
              <w:t>2,020</w:t>
            </w:r>
          </w:p>
        </w:tc>
        <w:tc>
          <w:tcPr>
            <w:tcW w:w="236" w:type="dxa"/>
            <w:tcBorders>
              <w:left w:val="nil"/>
              <w:bottom w:val="single" w:sz="4" w:space="0" w:color="auto"/>
              <w:right w:val="nil"/>
            </w:tcBorders>
            <w:shd w:val="clear" w:color="auto" w:fill="auto"/>
            <w:noWrap/>
            <w:vAlign w:val="bottom"/>
          </w:tcPr>
          <w:p w:rsidR="00FC2012" w:rsidRPr="008A5812" w:rsidRDefault="00FC2012" w:rsidP="003269F2">
            <w:pPr>
              <w:spacing w:before="0" w:after="0" w:line="240" w:lineRule="auto"/>
              <w:rPr>
                <w:color w:val="000000"/>
                <w:szCs w:val="24"/>
                <w:lang w:eastAsia="en-GB"/>
              </w:rPr>
            </w:pPr>
          </w:p>
        </w:tc>
      </w:tr>
      <w:tr w:rsidR="00FC2012" w:rsidRPr="008A5812" w:rsidTr="003269F2">
        <w:trPr>
          <w:trHeight w:val="90"/>
        </w:trPr>
        <w:tc>
          <w:tcPr>
            <w:tcW w:w="2551" w:type="dxa"/>
            <w:tcBorders>
              <w:top w:val="single" w:sz="4" w:space="0" w:color="auto"/>
              <w:left w:val="nil"/>
              <w:bottom w:val="nil"/>
              <w:right w:val="nil"/>
            </w:tcBorders>
            <w:shd w:val="clear" w:color="auto" w:fill="auto"/>
            <w:noWrap/>
            <w:vAlign w:val="bottom"/>
            <w:hideMark/>
          </w:tcPr>
          <w:p w:rsidR="00FC2012" w:rsidRPr="008A5812" w:rsidRDefault="00FC2012" w:rsidP="003269F2">
            <w:pPr>
              <w:spacing w:before="0" w:after="0" w:line="240" w:lineRule="auto"/>
              <w:jc w:val="both"/>
              <w:rPr>
                <w:color w:val="000000"/>
                <w:szCs w:val="24"/>
                <w:lang w:eastAsia="en-GB"/>
              </w:rPr>
            </w:pPr>
          </w:p>
        </w:tc>
        <w:tc>
          <w:tcPr>
            <w:tcW w:w="1745" w:type="dxa"/>
            <w:tcBorders>
              <w:top w:val="single" w:sz="4" w:space="0" w:color="auto"/>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1554" w:type="dxa"/>
            <w:tcBorders>
              <w:top w:val="single" w:sz="4" w:space="0" w:color="auto"/>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1602" w:type="dxa"/>
            <w:tcBorders>
              <w:top w:val="single" w:sz="4" w:space="0" w:color="auto"/>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1745" w:type="dxa"/>
            <w:tcBorders>
              <w:top w:val="single" w:sz="4" w:space="0" w:color="auto"/>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36" w:type="dxa"/>
            <w:tcBorders>
              <w:top w:val="single" w:sz="4" w:space="0" w:color="auto"/>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gridAfter w:val="1"/>
          <w:wAfter w:w="236" w:type="dxa"/>
          <w:trHeight w:val="570"/>
        </w:trPr>
        <w:tc>
          <w:tcPr>
            <w:tcW w:w="9197" w:type="dxa"/>
            <w:gridSpan w:val="5"/>
            <w:tcBorders>
              <w:top w:val="nil"/>
              <w:left w:val="nil"/>
              <w:bottom w:val="nil"/>
              <w:right w:val="nil"/>
            </w:tcBorders>
            <w:shd w:val="clear" w:color="auto" w:fill="auto"/>
            <w:vAlign w:val="bottom"/>
            <w:hideMark/>
          </w:tcPr>
          <w:p w:rsidR="00FC2012" w:rsidRPr="008A5812" w:rsidRDefault="00FC2012" w:rsidP="003269F2">
            <w:pPr>
              <w:spacing w:before="0" w:after="0" w:line="240" w:lineRule="auto"/>
              <w:jc w:val="both"/>
              <w:rPr>
                <w:color w:val="000000"/>
                <w:szCs w:val="24"/>
                <w:lang w:eastAsia="en-GB"/>
              </w:rPr>
            </w:pPr>
            <w:r w:rsidRPr="008A5812">
              <w:rPr>
                <w:color w:val="000000"/>
                <w:szCs w:val="24"/>
                <w:vertAlign w:val="superscript"/>
                <w:lang w:eastAsia="en-GB"/>
              </w:rPr>
              <w:t>1</w:t>
            </w:r>
            <w:r w:rsidRPr="008A5812">
              <w:rPr>
                <w:color w:val="000000"/>
                <w:szCs w:val="24"/>
                <w:lang w:eastAsia="en-GB"/>
              </w:rPr>
              <w:t xml:space="preserve"> Numbers include domestic, both domestic and non-domestic and a small number of non-domestic only participants.</w:t>
            </w:r>
          </w:p>
        </w:tc>
      </w:tr>
      <w:tr w:rsidR="00FC2012" w:rsidRPr="008A5812" w:rsidTr="003269F2">
        <w:trPr>
          <w:gridAfter w:val="1"/>
          <w:wAfter w:w="236" w:type="dxa"/>
          <w:trHeight w:val="630"/>
        </w:trPr>
        <w:tc>
          <w:tcPr>
            <w:tcW w:w="9197" w:type="dxa"/>
            <w:gridSpan w:val="5"/>
            <w:tcBorders>
              <w:top w:val="nil"/>
              <w:left w:val="nil"/>
              <w:bottom w:val="nil"/>
              <w:right w:val="nil"/>
            </w:tcBorders>
            <w:shd w:val="clear" w:color="auto" w:fill="auto"/>
            <w:vAlign w:val="bottom"/>
            <w:hideMark/>
          </w:tcPr>
          <w:p w:rsidR="00FC2012" w:rsidRPr="008A5812" w:rsidRDefault="00FC2012" w:rsidP="003269F2">
            <w:pPr>
              <w:spacing w:before="0" w:after="0" w:line="240" w:lineRule="auto"/>
              <w:jc w:val="both"/>
              <w:rPr>
                <w:color w:val="000000"/>
                <w:szCs w:val="24"/>
                <w:lang w:eastAsia="en-GB"/>
              </w:rPr>
            </w:pPr>
            <w:r w:rsidRPr="008A5812">
              <w:rPr>
                <w:color w:val="000000"/>
                <w:szCs w:val="24"/>
                <w:vertAlign w:val="superscript"/>
                <w:lang w:eastAsia="en-GB"/>
              </w:rPr>
              <w:t>2</w:t>
            </w:r>
            <w:r w:rsidRPr="008A5812">
              <w:rPr>
                <w:color w:val="000000"/>
                <w:szCs w:val="24"/>
                <w:lang w:eastAsia="en-GB"/>
              </w:rPr>
              <w:t xml:space="preserve"> Months are approximate as they are based on numbers up to the end of the last full week in the month.</w:t>
            </w:r>
          </w:p>
        </w:tc>
      </w:tr>
    </w:tbl>
    <w:p w:rsidR="00614FD5" w:rsidRPr="008A5812" w:rsidRDefault="00D12323" w:rsidP="00614FD5">
      <w:pPr>
        <w:pStyle w:val="ChapterHead"/>
        <w:spacing w:before="0" w:after="200"/>
        <w:rPr>
          <w:rFonts w:cs="Arial"/>
          <w:szCs w:val="50"/>
        </w:rPr>
      </w:pPr>
      <w:r w:rsidRPr="008A5812">
        <w:rPr>
          <w:b/>
          <w:bCs/>
          <w:szCs w:val="24"/>
        </w:rPr>
        <w:br w:type="page"/>
      </w:r>
      <w:bookmarkStart w:id="50" w:name="AnnexB"/>
      <w:bookmarkStart w:id="51" w:name="_Toc372290496"/>
      <w:r w:rsidR="00614FD5" w:rsidRPr="008A5812">
        <w:rPr>
          <w:rFonts w:cs="Arial"/>
          <w:szCs w:val="50"/>
        </w:rPr>
        <w:lastRenderedPageBreak/>
        <w:t>Annex B – Background</w:t>
      </w:r>
      <w:bookmarkEnd w:id="51"/>
    </w:p>
    <w:bookmarkEnd w:id="50"/>
    <w:p w:rsidR="00C8423E" w:rsidRPr="008A5812" w:rsidRDefault="00C8423E" w:rsidP="00D12323">
      <w:pPr>
        <w:spacing w:line="270" w:lineRule="atLeast"/>
        <w:rPr>
          <w:b/>
          <w:bCs/>
          <w:szCs w:val="24"/>
        </w:rPr>
      </w:pPr>
    </w:p>
    <w:p w:rsidR="00D12323" w:rsidRPr="008A5812" w:rsidRDefault="00D12323" w:rsidP="002A2F62">
      <w:pPr>
        <w:pStyle w:val="Heading2"/>
      </w:pPr>
      <w:bookmarkStart w:id="52" w:name="_Toc372290497"/>
      <w:r w:rsidRPr="008A5812">
        <w:t>Green Deal</w:t>
      </w:r>
      <w:bookmarkEnd w:id="52"/>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8A5812">
        <w:rPr>
          <w:szCs w:val="24"/>
        </w:rPr>
        <w:t xml:space="preserve">The </w:t>
      </w:r>
      <w:hyperlink r:id="rId47" w:history="1">
        <w:r w:rsidRPr="008A5812">
          <w:rPr>
            <w:rStyle w:val="Hyperlink"/>
            <w:rFonts w:ascii="Arial" w:hAnsi="Arial"/>
            <w:szCs w:val="24"/>
          </w:rPr>
          <w:t>Green Deal</w:t>
        </w:r>
      </w:hyperlink>
      <w:r w:rsidRPr="008A5812">
        <w:rPr>
          <w:b/>
          <w:szCs w:val="24"/>
        </w:rPr>
        <w:t xml:space="preserve"> </w:t>
      </w:r>
      <w:r w:rsidRPr="008A5812">
        <w:rPr>
          <w:szCs w:val="24"/>
        </w:rPr>
        <w:t xml:space="preserve">(GD) was launched on 28 January 2013 in England and Wales (and on 25 February in Scotland) and will tackle a number of the key barriers to the take-up of energy efficiency measures. </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8A5812">
        <w:rPr>
          <w:szCs w:val="24"/>
        </w:rPr>
        <w:t>Customers having Green Deal Assessments undertaken have the choice of how they proceed. They might take the view that their home is sufficiently energy efficient, or that they want to finance work through a Green Deal Plan or that they want to use alternative funding arrangements (e.g. use of savings).</w:t>
      </w:r>
    </w:p>
    <w:p w:rsidR="007719FF" w:rsidRPr="008A5812" w:rsidRDefault="007719FF"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bookmarkStart w:id="53" w:name="OLE_LINK17"/>
      <w:bookmarkStart w:id="54" w:name="OLE_LINK18"/>
      <w:r w:rsidRPr="008A5812">
        <w:rPr>
          <w:szCs w:val="24"/>
        </w:rPr>
        <w:t>The Green Deal process for households is briefly described below:</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8A5812">
        <w:rPr>
          <w:szCs w:val="24"/>
        </w:rPr>
        <w:t>Step 1 – Assessment – A Green Deal assessor will come to the home, talk to the owner/occupier about their energy use and see if they can benefit from making energy efficiency improvements to their property.</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8A5812">
        <w:rPr>
          <w:szCs w:val="24"/>
        </w:rPr>
        <w:t>Step 2 – Recommendations – The assessor will recommend improvements that are appropriate for the property and indicate whether they are expected to pay for themselves through reduced energy bills.</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8A5812">
        <w:rPr>
          <w:szCs w:val="24"/>
        </w:rPr>
        <w:t>Step 3 – Quotes – Green Deal Providers will discuss with the owner/occupier whether a Green Deal Plan is right for them and quote for the recommended improvements, including the savings estimates, savings period, first year instalments and payment period for each improvement. A number of quotes can be obtained.</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8A5812">
        <w:rPr>
          <w:szCs w:val="24"/>
        </w:rPr>
        <w:t>Step 4 – Signing a Plan – The customer chooses to proceed with a given provider and package of measures. The owner/occupier needs to obtain the necessary consent to make improvements to the property before they can agree terms with the GD Provider of a Green Deal Plan</w:t>
      </w:r>
      <w:r w:rsidRPr="008A5812">
        <w:rPr>
          <w:rStyle w:val="FootnoteReference"/>
          <w:szCs w:val="24"/>
        </w:rPr>
        <w:footnoteReference w:id="7"/>
      </w:r>
      <w:r w:rsidRPr="008A5812">
        <w:rPr>
          <w:szCs w:val="24"/>
        </w:rPr>
        <w:t>, at which stage they enter a cooling-off period</w:t>
      </w:r>
      <w:r w:rsidRPr="008A5812">
        <w:rPr>
          <w:rStyle w:val="FootnoteReference"/>
          <w:szCs w:val="24"/>
        </w:rPr>
        <w:footnoteReference w:id="8"/>
      </w:r>
      <w:r w:rsidRPr="008A5812">
        <w:rPr>
          <w:szCs w:val="24"/>
        </w:rPr>
        <w:t>.</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8A5812">
        <w:rPr>
          <w:szCs w:val="24"/>
        </w:rPr>
        <w:t xml:space="preserve">Step 5 – Installation – Once a Green Deal Plan has been agreed, the Provider will arrange for the improvements to be made by a Green Deal Installer. Once the installation has been completed a letter is sent to the Bill Payer and, at this stage, the Green Deal Plan goes ‘live’. </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8A5812">
        <w:rPr>
          <w:szCs w:val="24"/>
        </w:rPr>
        <w:t>Repayments will be no more than what a typical household should save in energy costs.</w:t>
      </w:r>
    </w:p>
    <w:bookmarkEnd w:id="53"/>
    <w:bookmarkEnd w:id="54"/>
    <w:p w:rsidR="00D12323" w:rsidRPr="008A5812" w:rsidRDefault="00D12323" w:rsidP="007719FF">
      <w:pPr>
        <w:spacing w:before="0" w:after="0" w:line="240" w:lineRule="auto"/>
        <w:jc w:val="both"/>
        <w:rPr>
          <w:szCs w:val="24"/>
        </w:rPr>
      </w:pPr>
      <w:r w:rsidRPr="008A5812">
        <w:rPr>
          <w:szCs w:val="24"/>
        </w:rPr>
        <w:t xml:space="preserve"> </w:t>
      </w:r>
    </w:p>
    <w:p w:rsidR="00D12323" w:rsidRPr="008A5812" w:rsidRDefault="00AF2024" w:rsidP="002A2F62">
      <w:pPr>
        <w:pStyle w:val="Heading2"/>
      </w:pPr>
      <w:r>
        <w:rPr>
          <w:rFonts w:eastAsia="Calibri"/>
        </w:rPr>
        <w:br w:type="page"/>
      </w:r>
      <w:bookmarkStart w:id="55" w:name="_Toc372290498"/>
      <w:r w:rsidR="00D12323" w:rsidRPr="008A5812">
        <w:rPr>
          <w:rFonts w:eastAsia="Calibri"/>
        </w:rPr>
        <w:lastRenderedPageBreak/>
        <w:t>E</w:t>
      </w:r>
      <w:r w:rsidR="00D12323" w:rsidRPr="008A5812">
        <w:t>nergy Company Obligation</w:t>
      </w:r>
      <w:bookmarkEnd w:id="55"/>
    </w:p>
    <w:p w:rsidR="00D12323" w:rsidRPr="008A5812" w:rsidRDefault="00D12323" w:rsidP="00D12323">
      <w:pPr>
        <w:pStyle w:val="NormalWeb"/>
        <w:jc w:val="both"/>
        <w:rPr>
          <w:rFonts w:ascii="Arial" w:hAnsi="Arial" w:cs="Arial"/>
          <w:u w:val="single"/>
        </w:rPr>
      </w:pPr>
    </w:p>
    <w:p w:rsidR="00D12323" w:rsidRPr="008A5812" w:rsidRDefault="00D12323" w:rsidP="00D12323">
      <w:pPr>
        <w:pStyle w:val="NormalWeb"/>
        <w:jc w:val="both"/>
        <w:rPr>
          <w:rFonts w:ascii="Arial" w:hAnsi="Arial" w:cs="Arial"/>
          <w:color w:val="000000"/>
        </w:rPr>
      </w:pPr>
      <w:r w:rsidRPr="008A5812">
        <w:rPr>
          <w:rFonts w:ascii="Arial" w:hAnsi="Arial" w:cs="Arial"/>
        </w:rPr>
        <w:t xml:space="preserve">The </w:t>
      </w:r>
      <w:hyperlink r:id="rId48" w:history="1">
        <w:r w:rsidRPr="008A5812">
          <w:rPr>
            <w:rStyle w:val="Hyperlink"/>
            <w:rFonts w:ascii="Arial" w:hAnsi="Arial" w:cs="Arial"/>
          </w:rPr>
          <w:t>Energy Company Obligation</w:t>
        </w:r>
      </w:hyperlink>
      <w:r w:rsidRPr="008A5812">
        <w:rPr>
          <w:rFonts w:ascii="Arial" w:hAnsi="Arial" w:cs="Arial"/>
        </w:rPr>
        <w:t xml:space="preserve"> (ECO) started on 1 January 2013 (although energy </w:t>
      </w:r>
      <w:r w:rsidRPr="008A5812">
        <w:rPr>
          <w:rFonts w:ascii="Arial" w:hAnsi="Arial" w:cs="Arial"/>
          <w:color w:val="000000"/>
        </w:rPr>
        <w:t>companies have been able to count against their targets measures delivered since 1 October 2012) and runs to 31 March 2015. It broadly takes over from two previous schemes (Carbon Emissions Reduction Target - CERT - and Community Energy Saving Programme - CESP) and focuses on providing energy efficiency measures to low income and vulnerable consumers and those living in 'hard-to-treat' properties. While ECO is not a financial target, DECC’s Impact Assessment estimated costs at around £1.3 billion a year.</w:t>
      </w:r>
    </w:p>
    <w:p w:rsidR="00D12323" w:rsidRPr="008A5812" w:rsidRDefault="00D12323" w:rsidP="00D12323">
      <w:pPr>
        <w:pStyle w:val="NormalWeb"/>
        <w:jc w:val="both"/>
        <w:rPr>
          <w:rFonts w:ascii="Arial" w:hAnsi="Arial" w:cs="Arial"/>
          <w:color w:val="FF0000"/>
        </w:rPr>
      </w:pPr>
    </w:p>
    <w:p w:rsidR="00D12323" w:rsidRPr="008A5812" w:rsidRDefault="00D12323" w:rsidP="00D12323">
      <w:pPr>
        <w:pStyle w:val="NormalWeb"/>
        <w:jc w:val="both"/>
        <w:rPr>
          <w:rFonts w:ascii="Arial" w:hAnsi="Arial" w:cs="Arial"/>
          <w:color w:val="000000"/>
        </w:rPr>
      </w:pPr>
      <w:bookmarkStart w:id="56" w:name="ECOSUB"/>
      <w:r w:rsidRPr="008A5812">
        <w:rPr>
          <w:rFonts w:ascii="Arial" w:hAnsi="Arial" w:cs="Arial"/>
          <w:color w:val="000000"/>
        </w:rPr>
        <w:t xml:space="preserve">There are three main ECO obligations </w:t>
      </w:r>
      <w:bookmarkEnd w:id="56"/>
      <w:r w:rsidRPr="008A5812">
        <w:rPr>
          <w:rFonts w:ascii="Arial" w:hAnsi="Arial" w:cs="Arial"/>
          <w:color w:val="000000"/>
        </w:rPr>
        <w:t>– The Carbon Saving Obligation (CSO); Carbon Saving Communities (CSCO) and Affordable Warmth (HHCRO). The ECO Carbon Saving Obligation is estimated to be worth around £760 million per year. The Carbon Saving Community Obligation and ECO Affordable Warmth will together provide support worth around an estimated £540 million per year to low-income households and areas.</w:t>
      </w:r>
    </w:p>
    <w:p w:rsidR="00D12323" w:rsidRPr="008A5812" w:rsidRDefault="00D12323" w:rsidP="00D12323">
      <w:pPr>
        <w:pStyle w:val="NormalWeb"/>
        <w:spacing w:line="270" w:lineRule="atLeast"/>
        <w:jc w:val="both"/>
        <w:rPr>
          <w:rFonts w:ascii="Arial" w:hAnsi="Arial" w:cs="Arial"/>
        </w:rPr>
      </w:pPr>
    </w:p>
    <w:p w:rsidR="00D12323" w:rsidRPr="008A5812" w:rsidRDefault="00D12323" w:rsidP="00D12323">
      <w:pPr>
        <w:pStyle w:val="NormalWeb"/>
        <w:spacing w:line="270" w:lineRule="atLeast"/>
        <w:jc w:val="both"/>
        <w:rPr>
          <w:rFonts w:ascii="Arial" w:hAnsi="Arial" w:cs="Arial"/>
        </w:rPr>
      </w:pPr>
      <w:r w:rsidRPr="008A5812">
        <w:rPr>
          <w:rFonts w:ascii="Arial" w:hAnsi="Arial" w:cs="Arial"/>
          <w:u w:val="single"/>
        </w:rPr>
        <w:t>Carbon Saving Obligation</w:t>
      </w:r>
      <w:r w:rsidRPr="008A5812">
        <w:rPr>
          <w:rFonts w:ascii="Arial" w:hAnsi="Arial" w:cs="Arial"/>
        </w:rPr>
        <w:t xml:space="preserve"> - This covers the installation of measures like solid wall and hard-to-treat cavity wall insulation, which ordinarily can’t be financed solely through the Green Deal. </w:t>
      </w:r>
    </w:p>
    <w:p w:rsidR="00D12323" w:rsidRPr="008A5812" w:rsidRDefault="00D12323" w:rsidP="00D12323">
      <w:pPr>
        <w:pStyle w:val="NormalWeb"/>
        <w:spacing w:line="270" w:lineRule="atLeast"/>
        <w:jc w:val="both"/>
        <w:rPr>
          <w:rFonts w:ascii="Arial" w:hAnsi="Arial" w:cs="Arial"/>
        </w:rPr>
      </w:pPr>
    </w:p>
    <w:p w:rsidR="00D12323" w:rsidRPr="008A5812" w:rsidRDefault="00D12323" w:rsidP="00D12323">
      <w:pPr>
        <w:pStyle w:val="NormalWeb"/>
        <w:spacing w:line="270" w:lineRule="atLeast"/>
        <w:jc w:val="both"/>
        <w:rPr>
          <w:rFonts w:ascii="Arial" w:hAnsi="Arial" w:cs="Arial"/>
        </w:rPr>
      </w:pPr>
      <w:r w:rsidRPr="008A5812">
        <w:rPr>
          <w:rFonts w:ascii="Arial" w:hAnsi="Arial" w:cs="Arial"/>
          <w:u w:val="single"/>
        </w:rPr>
        <w:t>Carbon Saving Communities Obligation</w:t>
      </w:r>
      <w:r w:rsidRPr="008A5812">
        <w:rPr>
          <w:rFonts w:ascii="Arial" w:hAnsi="Arial" w:cs="Arial"/>
        </w:rPr>
        <w:t xml:space="preserve"> - This provides insulation measures to households in specified areas of low income. It also makes sure that 15 per cent of each supplier’s obligation is used to upgrade more hard-to-reach low-income households in rural areas.</w:t>
      </w:r>
    </w:p>
    <w:p w:rsidR="00D12323" w:rsidRPr="008A5812" w:rsidRDefault="00D12323" w:rsidP="00D12323">
      <w:pPr>
        <w:pStyle w:val="NormalWeb"/>
        <w:spacing w:line="270" w:lineRule="atLeast"/>
        <w:jc w:val="both"/>
        <w:rPr>
          <w:rFonts w:ascii="Arial" w:hAnsi="Arial" w:cs="Arial"/>
        </w:rPr>
      </w:pPr>
    </w:p>
    <w:p w:rsidR="00D12323" w:rsidRPr="008A5812" w:rsidRDefault="00D12323" w:rsidP="00D12323">
      <w:pPr>
        <w:pStyle w:val="NormalWeb"/>
        <w:spacing w:line="270" w:lineRule="atLeast"/>
        <w:jc w:val="both"/>
        <w:rPr>
          <w:rFonts w:ascii="Arial" w:hAnsi="Arial" w:cs="Arial"/>
        </w:rPr>
      </w:pPr>
      <w:r w:rsidRPr="008A5812">
        <w:rPr>
          <w:rFonts w:ascii="Arial" w:hAnsi="Arial" w:cs="Arial"/>
          <w:u w:val="single"/>
        </w:rPr>
        <w:t>Affordable Warmth Obligation</w:t>
      </w:r>
      <w:r w:rsidRPr="008A5812">
        <w:rPr>
          <w:rFonts w:ascii="Arial" w:hAnsi="Arial" w:cs="Arial"/>
        </w:rPr>
        <w:t xml:space="preserve"> - This provides heating and insulation measures to consumers living in private tenure properties who receive particular means-tested benefits. This obligation supports low-income consumers who are vulnerable to the impact of living in cold homes, including the elderly, disabled and families.</w:t>
      </w:r>
    </w:p>
    <w:p w:rsidR="00D12323" w:rsidRPr="008A5812" w:rsidRDefault="00D12323" w:rsidP="00D12323">
      <w:pPr>
        <w:pStyle w:val="NormalWeb"/>
        <w:jc w:val="both"/>
        <w:rPr>
          <w:rFonts w:ascii="Arial" w:hAnsi="Arial" w:cs="Arial"/>
          <w:u w:val="single"/>
        </w:rPr>
      </w:pPr>
    </w:p>
    <w:p w:rsidR="00D12323" w:rsidRPr="008A5812" w:rsidRDefault="00D12323" w:rsidP="00D12323">
      <w:pPr>
        <w:pStyle w:val="NormalWeb"/>
        <w:spacing w:line="270" w:lineRule="atLeast"/>
        <w:jc w:val="both"/>
        <w:rPr>
          <w:rFonts w:ascii="Arial" w:hAnsi="Arial" w:cs="Arial"/>
          <w:u w:val="single"/>
        </w:rPr>
      </w:pPr>
      <w:r w:rsidRPr="008A5812">
        <w:rPr>
          <w:rFonts w:ascii="Arial" w:hAnsi="Arial" w:cs="Arial"/>
          <w:u w:val="single"/>
        </w:rPr>
        <w:t>How do the Green Deal and ECO interact?</w:t>
      </w:r>
    </w:p>
    <w:p w:rsidR="00D12323" w:rsidRPr="008A5812" w:rsidRDefault="00D12323" w:rsidP="00D12323">
      <w:pPr>
        <w:pStyle w:val="NormalWeb"/>
        <w:spacing w:line="270" w:lineRule="atLeast"/>
        <w:jc w:val="both"/>
        <w:rPr>
          <w:rFonts w:ascii="Arial" w:hAnsi="Arial" w:cs="Arial"/>
        </w:rPr>
      </w:pPr>
    </w:p>
    <w:p w:rsidR="00D12323" w:rsidRPr="008A5812" w:rsidRDefault="00D12323" w:rsidP="00D12323">
      <w:pPr>
        <w:pStyle w:val="NormalWeb"/>
        <w:spacing w:line="270" w:lineRule="atLeast"/>
        <w:jc w:val="both"/>
        <w:rPr>
          <w:rFonts w:ascii="Arial" w:hAnsi="Arial" w:cs="Arial"/>
          <w:color w:val="FF0000"/>
        </w:rPr>
      </w:pPr>
      <w:r w:rsidRPr="008A5812">
        <w:rPr>
          <w:rFonts w:ascii="Arial" w:hAnsi="Arial" w:cs="Arial"/>
        </w:rPr>
        <w:t>Following a GD Assessment there will be a range of measures which could improve the energy efficiency of the property. Some of these could be paid for through GD finance, up to the point where the expected annual cost will not exceed what a typical household should save in energy costs. However, depending on the measure or the property, other sources of finance may also be required. ECO funding could be one of these sources, for example for measures such as Solid Wall Insulation and hard-to-treat Cavity Wall insulation.</w:t>
      </w:r>
      <w:r w:rsidRPr="008A5812">
        <w:rPr>
          <w:rFonts w:ascii="Arial" w:hAnsi="Arial" w:cs="Arial"/>
          <w:color w:val="FF0000"/>
        </w:rPr>
        <w:t xml:space="preserve"> </w:t>
      </w:r>
    </w:p>
    <w:p w:rsidR="00D12323" w:rsidRPr="008A5812" w:rsidRDefault="00D12323" w:rsidP="00D12323">
      <w:pPr>
        <w:pStyle w:val="NormalWeb"/>
        <w:spacing w:line="270" w:lineRule="atLeast"/>
        <w:jc w:val="both"/>
        <w:rPr>
          <w:rFonts w:ascii="Arial" w:hAnsi="Arial" w:cs="Arial"/>
          <w:color w:val="FF0000"/>
          <w:highlight w:val="yellow"/>
        </w:rPr>
      </w:pPr>
    </w:p>
    <w:p w:rsidR="00D12323" w:rsidRPr="00300F50" w:rsidRDefault="00D12323" w:rsidP="002A2F62">
      <w:pPr>
        <w:pStyle w:val="Heading2"/>
      </w:pPr>
      <w:bookmarkStart w:id="57" w:name="_Toc372290499"/>
      <w:r w:rsidRPr="00300F50">
        <w:t>Green Deal Cashback</w:t>
      </w:r>
      <w:bookmarkEnd w:id="57"/>
    </w:p>
    <w:p w:rsidR="00D12323" w:rsidRPr="00300F50" w:rsidRDefault="00D12323" w:rsidP="00D12323">
      <w:pPr>
        <w:pStyle w:val="NormalWeb"/>
        <w:spacing w:line="270" w:lineRule="atLeast"/>
        <w:jc w:val="both"/>
        <w:rPr>
          <w:rFonts w:ascii="Arial" w:hAnsi="Arial" w:cs="Arial"/>
          <w:color w:val="000000"/>
          <w:u w:val="single"/>
        </w:rPr>
      </w:pPr>
    </w:p>
    <w:p w:rsidR="00D12323" w:rsidRPr="00300F50" w:rsidRDefault="00D12323" w:rsidP="00D12323">
      <w:pPr>
        <w:autoSpaceDE w:val="0"/>
        <w:autoSpaceDN w:val="0"/>
        <w:adjustRightInd w:val="0"/>
        <w:spacing w:after="0" w:line="240" w:lineRule="auto"/>
        <w:jc w:val="both"/>
        <w:rPr>
          <w:color w:val="000000"/>
          <w:szCs w:val="24"/>
          <w:u w:val="single"/>
        </w:rPr>
      </w:pPr>
      <w:r w:rsidRPr="00300F50">
        <w:rPr>
          <w:iCs/>
          <w:color w:val="000000"/>
          <w:szCs w:val="24"/>
          <w:lang w:eastAsia="en-GB"/>
        </w:rPr>
        <w:t xml:space="preserve">The Green Deal Cashback Scheme rewards the first Green Deal customers. It is a first-come, first served offer where householders can claim cash back from Government on energy saving improvements like insulation, front doors, windows and boilers with packages worth over £1000. It is available for households in </w:t>
      </w:r>
      <w:r w:rsidRPr="00300F50">
        <w:rPr>
          <w:iCs/>
          <w:color w:val="000000"/>
          <w:szCs w:val="24"/>
        </w:rPr>
        <w:t xml:space="preserve">England and Wales. </w:t>
      </w:r>
      <w:r w:rsidRPr="008A5812">
        <w:rPr>
          <w:szCs w:val="24"/>
        </w:rPr>
        <w:t xml:space="preserve">For more information on Cashback please see the </w:t>
      </w:r>
      <w:hyperlink r:id="rId49" w:history="1">
        <w:r w:rsidRPr="008A5812">
          <w:rPr>
            <w:rStyle w:val="Hyperlink"/>
            <w:rFonts w:ascii="Arial" w:hAnsi="Arial"/>
            <w:szCs w:val="24"/>
          </w:rPr>
          <w:t>Cashback website</w:t>
        </w:r>
      </w:hyperlink>
      <w:r w:rsidRPr="008A5812">
        <w:rPr>
          <w:rStyle w:val="Hyperlink"/>
          <w:rFonts w:ascii="Arial" w:hAnsi="Arial"/>
          <w:szCs w:val="24"/>
        </w:rPr>
        <w:t>.</w:t>
      </w:r>
      <w:r w:rsidRPr="00300F50">
        <w:rPr>
          <w:iCs/>
          <w:color w:val="000000"/>
          <w:szCs w:val="24"/>
        </w:rPr>
        <w:t xml:space="preserve"> For more information on the separate scheme that operates in Scotland please see the relevant </w:t>
      </w:r>
      <w:hyperlink r:id="rId50" w:history="1">
        <w:r w:rsidRPr="008A5812">
          <w:rPr>
            <w:rStyle w:val="Hyperlink"/>
            <w:rFonts w:ascii="Arial" w:hAnsi="Arial"/>
            <w:iCs/>
            <w:szCs w:val="24"/>
          </w:rPr>
          <w:t>website</w:t>
        </w:r>
      </w:hyperlink>
      <w:r w:rsidRPr="00300F50">
        <w:rPr>
          <w:iCs/>
          <w:color w:val="000000"/>
          <w:szCs w:val="24"/>
        </w:rPr>
        <w:t>.</w:t>
      </w:r>
    </w:p>
    <w:p w:rsidR="00D12323" w:rsidRDefault="00D12323" w:rsidP="00D12323">
      <w:pPr>
        <w:pStyle w:val="NormalWeb"/>
        <w:spacing w:line="270" w:lineRule="atLeast"/>
        <w:jc w:val="both"/>
        <w:rPr>
          <w:rFonts w:ascii="Arial" w:hAnsi="Arial" w:cs="Arial"/>
          <w:color w:val="FF0000"/>
          <w:highlight w:val="yellow"/>
        </w:rPr>
      </w:pPr>
    </w:p>
    <w:p w:rsidR="00AF2024" w:rsidRDefault="00AF2024" w:rsidP="00D12323">
      <w:pPr>
        <w:pStyle w:val="NormalWeb"/>
        <w:spacing w:line="270" w:lineRule="atLeast"/>
        <w:jc w:val="both"/>
        <w:rPr>
          <w:rFonts w:ascii="Arial" w:hAnsi="Arial" w:cs="Arial"/>
          <w:color w:val="FF0000"/>
          <w:highlight w:val="yellow"/>
        </w:rPr>
      </w:pPr>
    </w:p>
    <w:p w:rsidR="00AF2024" w:rsidRDefault="00AF2024" w:rsidP="00D12323">
      <w:pPr>
        <w:pStyle w:val="NormalWeb"/>
        <w:spacing w:line="270" w:lineRule="atLeast"/>
        <w:jc w:val="both"/>
        <w:rPr>
          <w:rFonts w:ascii="Arial" w:hAnsi="Arial" w:cs="Arial"/>
          <w:color w:val="FF0000"/>
          <w:highlight w:val="yellow"/>
        </w:rPr>
      </w:pPr>
    </w:p>
    <w:p w:rsidR="00AB3F8E" w:rsidRDefault="00AB3F8E" w:rsidP="00D12323">
      <w:pPr>
        <w:pStyle w:val="NormalWeb"/>
        <w:spacing w:line="270" w:lineRule="atLeast"/>
        <w:jc w:val="both"/>
        <w:rPr>
          <w:rFonts w:ascii="Arial" w:hAnsi="Arial" w:cs="Arial"/>
          <w:color w:val="FF0000"/>
          <w:highlight w:val="yellow"/>
        </w:rPr>
      </w:pPr>
    </w:p>
    <w:p w:rsidR="00AF2024" w:rsidRPr="008A5812" w:rsidRDefault="00AF2024" w:rsidP="00D12323">
      <w:pPr>
        <w:pStyle w:val="NormalWeb"/>
        <w:spacing w:line="270" w:lineRule="atLeast"/>
        <w:jc w:val="both"/>
        <w:rPr>
          <w:rFonts w:ascii="Arial" w:hAnsi="Arial" w:cs="Arial"/>
          <w:color w:val="FF0000"/>
          <w:highlight w:val="yellow"/>
        </w:rPr>
      </w:pPr>
    </w:p>
    <w:p w:rsidR="00D12323" w:rsidRPr="008A5812" w:rsidRDefault="00D12323" w:rsidP="002A2F62">
      <w:pPr>
        <w:pStyle w:val="Heading2"/>
      </w:pPr>
      <w:bookmarkStart w:id="58" w:name="OLE_LINK13"/>
      <w:bookmarkStart w:id="59" w:name="OLE_LINK14"/>
      <w:bookmarkStart w:id="60" w:name="_Toc372290500"/>
      <w:r w:rsidRPr="008A5812">
        <w:lastRenderedPageBreak/>
        <w:t>ECO Brokerage</w:t>
      </w:r>
      <w:bookmarkEnd w:id="60"/>
    </w:p>
    <w:p w:rsidR="00D12323" w:rsidRPr="008A5812" w:rsidRDefault="00D12323" w:rsidP="00D12323">
      <w:pPr>
        <w:pStyle w:val="NormalWeb"/>
        <w:spacing w:line="270" w:lineRule="atLeast"/>
        <w:jc w:val="both"/>
        <w:rPr>
          <w:rFonts w:ascii="Arial" w:hAnsi="Arial" w:cs="Arial"/>
        </w:rPr>
      </w:pPr>
      <w:bookmarkStart w:id="61" w:name="OLE_LINK3"/>
      <w:bookmarkStart w:id="62" w:name="OLE_LINK4"/>
    </w:p>
    <w:p w:rsidR="00D12323" w:rsidRPr="00300F50" w:rsidRDefault="00D12323" w:rsidP="00D12323">
      <w:pPr>
        <w:pStyle w:val="NormalWeb"/>
        <w:spacing w:line="270" w:lineRule="atLeast"/>
        <w:jc w:val="both"/>
        <w:rPr>
          <w:rFonts w:ascii="Arial" w:hAnsi="Arial" w:cs="Arial"/>
          <w:color w:val="000000"/>
        </w:rPr>
      </w:pPr>
      <w:bookmarkStart w:id="63" w:name="OLE_LINK10"/>
      <w:bookmarkStart w:id="64" w:name="OLE_LINK12"/>
      <w:bookmarkEnd w:id="61"/>
      <w:bookmarkEnd w:id="62"/>
      <w:r w:rsidRPr="00300F50">
        <w:rPr>
          <w:rFonts w:ascii="Arial" w:hAnsi="Arial" w:cs="Arial"/>
          <w:color w:val="000000"/>
        </w:rPr>
        <w:t xml:space="preserve">The </w:t>
      </w:r>
      <w:hyperlink r:id="rId51" w:history="1">
        <w:r w:rsidRPr="008A5812">
          <w:rPr>
            <w:rStyle w:val="Hyperlink"/>
            <w:rFonts w:ascii="Arial" w:hAnsi="Arial" w:cs="Arial"/>
          </w:rPr>
          <w:t>ECO Brokerage</w:t>
        </w:r>
      </w:hyperlink>
      <w:r w:rsidRPr="00300F50">
        <w:rPr>
          <w:rFonts w:ascii="Arial" w:hAnsi="Arial" w:cs="Arial"/>
          <w:color w:val="000000"/>
        </w:rPr>
        <w:t xml:space="preserve"> system operates as a fortnightly anonymous auction where GD Providers can sell ‘lots’ of future measures of ECO Carbon Saving Obligation, ECO Carbon Saving Communities and ECO Affordable Warmth, to energy companies in return for ECO subsidy. </w:t>
      </w:r>
    </w:p>
    <w:p w:rsidR="00D12323" w:rsidRPr="00300F50" w:rsidRDefault="00D12323" w:rsidP="00D12323">
      <w:pPr>
        <w:pStyle w:val="NormalWeb"/>
        <w:spacing w:line="270" w:lineRule="atLeast"/>
        <w:jc w:val="both"/>
        <w:rPr>
          <w:rFonts w:ascii="Arial" w:hAnsi="Arial" w:cs="Arial"/>
          <w:color w:val="000000"/>
        </w:rPr>
      </w:pPr>
    </w:p>
    <w:p w:rsidR="00D12323" w:rsidRPr="00300F50" w:rsidRDefault="00D12323" w:rsidP="00D12323">
      <w:pPr>
        <w:pStyle w:val="NormalWeb"/>
        <w:spacing w:line="270" w:lineRule="atLeast"/>
        <w:jc w:val="both"/>
        <w:rPr>
          <w:rFonts w:ascii="Arial" w:hAnsi="Arial" w:cs="Arial"/>
          <w:color w:val="000000"/>
        </w:rPr>
      </w:pPr>
      <w:r w:rsidRPr="00300F50">
        <w:rPr>
          <w:rFonts w:ascii="Arial" w:hAnsi="Arial" w:cs="Arial"/>
          <w:color w:val="000000"/>
          <w:lang w:val="en-US"/>
        </w:rPr>
        <w:t>This market-based mechanism has been introduced to support an open and competitive market for the delivery of the ECO. Brokerage allows a</w:t>
      </w:r>
      <w:r w:rsidRPr="00300F50">
        <w:rPr>
          <w:rFonts w:ascii="Arial" w:hAnsi="Arial" w:cs="Arial"/>
          <w:color w:val="000000"/>
        </w:rPr>
        <w:t xml:space="preserve"> range of Green Deal providers to fairly compete on price to attract ECO support and enables energy suppliers to deliver their obligations at the lowest possible cost, thereby reducing the impact on customer energy bills. </w:t>
      </w:r>
    </w:p>
    <w:p w:rsidR="00D12323" w:rsidRPr="00300F50" w:rsidRDefault="00D12323" w:rsidP="00D12323">
      <w:pPr>
        <w:pStyle w:val="NormalWeb"/>
        <w:spacing w:line="270" w:lineRule="atLeast"/>
        <w:jc w:val="both"/>
        <w:rPr>
          <w:rFonts w:ascii="Arial" w:hAnsi="Arial" w:cs="Arial"/>
          <w:color w:val="000000"/>
        </w:rPr>
      </w:pPr>
    </w:p>
    <w:p w:rsidR="00D12323" w:rsidRPr="00300F50" w:rsidRDefault="00D12323" w:rsidP="00D12323">
      <w:pPr>
        <w:pStyle w:val="NormalWeb"/>
        <w:spacing w:line="270" w:lineRule="atLeast"/>
        <w:jc w:val="both"/>
        <w:rPr>
          <w:rFonts w:ascii="Arial" w:hAnsi="Arial" w:cs="Arial"/>
          <w:color w:val="000000"/>
        </w:rPr>
      </w:pPr>
      <w:r w:rsidRPr="00300F50">
        <w:rPr>
          <w:rFonts w:ascii="Arial" w:hAnsi="Arial" w:cs="Arial"/>
          <w:color w:val="000000"/>
        </w:rPr>
        <w:t>Sellers (GD Providers) can make a competitive offer on brokerage by leveraging additional sources of finance, such as part funding measures through Green Deal Finance, partnerships with local authorities, or driving down costs by economies of scale.</w:t>
      </w:r>
      <w:bookmarkEnd w:id="58"/>
      <w:bookmarkEnd w:id="59"/>
      <w:bookmarkEnd w:id="63"/>
      <w:bookmarkEnd w:id="64"/>
    </w:p>
    <w:p w:rsidR="00D12323" w:rsidRPr="00300F50" w:rsidRDefault="00D12323" w:rsidP="00D12323">
      <w:pPr>
        <w:pStyle w:val="NormalWeb"/>
        <w:spacing w:line="270" w:lineRule="atLeast"/>
        <w:jc w:val="both"/>
        <w:rPr>
          <w:rFonts w:ascii="Arial" w:hAnsi="Arial" w:cs="Arial"/>
          <w:color w:val="000000"/>
        </w:rPr>
      </w:pPr>
    </w:p>
    <w:p w:rsidR="00D12323" w:rsidRPr="008A5812" w:rsidRDefault="00D12323" w:rsidP="002A2F62">
      <w:pPr>
        <w:pStyle w:val="Heading2"/>
      </w:pPr>
      <w:bookmarkStart w:id="65" w:name="_Toc372290501"/>
      <w:r w:rsidRPr="008A5812">
        <w:t>The Supply Chain</w:t>
      </w:r>
      <w:bookmarkEnd w:id="65"/>
    </w:p>
    <w:p w:rsidR="00D12323" w:rsidRPr="008A5812" w:rsidRDefault="00D12323" w:rsidP="00D12323">
      <w:pPr>
        <w:spacing w:line="240" w:lineRule="auto"/>
        <w:jc w:val="both"/>
        <w:rPr>
          <w:szCs w:val="24"/>
        </w:rPr>
      </w:pPr>
      <w:r w:rsidRPr="008A5812">
        <w:rPr>
          <w:szCs w:val="24"/>
        </w:rPr>
        <w:t>To understand more about the organisations and infrastructure underpinning the Green Deal, this report also includes a section summarising the trends in the number of Green Deal Advisors (and Assessor organisations), the number of Green Deal Providers and the number of Green Deal Installer organisations.</w:t>
      </w:r>
    </w:p>
    <w:p w:rsidR="00D12323" w:rsidRPr="008A5812" w:rsidRDefault="00D12323" w:rsidP="00D12323">
      <w:pPr>
        <w:spacing w:line="270" w:lineRule="atLeast"/>
        <w:rPr>
          <w:b/>
          <w:bCs/>
          <w:szCs w:val="24"/>
        </w:rPr>
      </w:pPr>
    </w:p>
    <w:p w:rsidR="007719FF" w:rsidRPr="008A5812" w:rsidRDefault="007719FF">
      <w:pPr>
        <w:spacing w:before="0" w:after="0" w:line="240" w:lineRule="auto"/>
        <w:rPr>
          <w:b/>
          <w:bCs/>
          <w:szCs w:val="24"/>
        </w:rPr>
      </w:pPr>
      <w:r w:rsidRPr="008A5812">
        <w:rPr>
          <w:b/>
          <w:bCs/>
          <w:szCs w:val="24"/>
        </w:rPr>
        <w:br w:type="page"/>
      </w:r>
    </w:p>
    <w:p w:rsidR="0003252A" w:rsidRPr="008A5812" w:rsidRDefault="0003252A" w:rsidP="000E7A31">
      <w:pPr>
        <w:pStyle w:val="ChapterHead"/>
        <w:spacing w:before="0" w:after="200"/>
        <w:rPr>
          <w:rFonts w:cs="Arial"/>
          <w:szCs w:val="50"/>
        </w:rPr>
      </w:pPr>
      <w:bookmarkStart w:id="66" w:name="_Toc372290502"/>
      <w:r w:rsidRPr="008A5812">
        <w:rPr>
          <w:rFonts w:cs="Arial"/>
          <w:szCs w:val="50"/>
        </w:rPr>
        <w:t>Annex C – Sources and Methodology</w:t>
      </w:r>
      <w:bookmarkEnd w:id="66"/>
    </w:p>
    <w:p w:rsidR="00D12323" w:rsidRPr="008A5812" w:rsidRDefault="00D12323" w:rsidP="00D12323">
      <w:pPr>
        <w:spacing w:line="270" w:lineRule="atLeast"/>
        <w:jc w:val="both"/>
        <w:rPr>
          <w:szCs w:val="24"/>
        </w:rPr>
      </w:pPr>
      <w:r w:rsidRPr="008A5812">
        <w:rPr>
          <w:szCs w:val="24"/>
        </w:rPr>
        <w:t xml:space="preserve">The estimates in this and future Statistical Release use administrative data generated as part of the Green Deal and Energy Company Obligation processes. </w:t>
      </w:r>
    </w:p>
    <w:p w:rsidR="00D12323" w:rsidRPr="008A5812" w:rsidRDefault="00D12323" w:rsidP="00D12323">
      <w:pPr>
        <w:spacing w:line="270" w:lineRule="atLeast"/>
        <w:jc w:val="both"/>
        <w:rPr>
          <w:szCs w:val="24"/>
        </w:rPr>
      </w:pPr>
      <w:bookmarkStart w:id="67" w:name="OLE_LINK11"/>
      <w:r w:rsidRPr="008A5812">
        <w:rPr>
          <w:szCs w:val="24"/>
        </w:rPr>
        <w:t xml:space="preserve">There are seven main sources of information: </w:t>
      </w:r>
    </w:p>
    <w:p w:rsidR="00D12323" w:rsidRPr="008A5812" w:rsidRDefault="00D12323" w:rsidP="003C6A41">
      <w:pPr>
        <w:numPr>
          <w:ilvl w:val="0"/>
          <w:numId w:val="6"/>
        </w:numPr>
        <w:spacing w:before="0" w:line="270" w:lineRule="atLeast"/>
        <w:jc w:val="both"/>
        <w:rPr>
          <w:szCs w:val="24"/>
        </w:rPr>
      </w:pPr>
      <w:r w:rsidRPr="008A5812">
        <w:rPr>
          <w:szCs w:val="24"/>
        </w:rPr>
        <w:t xml:space="preserve">Landmark – who manage the national lodgement of Green Deal Assessments in England and Wales </w:t>
      </w:r>
    </w:p>
    <w:p w:rsidR="00D12323" w:rsidRPr="008A5812" w:rsidRDefault="00D12323" w:rsidP="003C6A41">
      <w:pPr>
        <w:numPr>
          <w:ilvl w:val="0"/>
          <w:numId w:val="6"/>
        </w:numPr>
        <w:spacing w:before="0" w:line="270" w:lineRule="atLeast"/>
        <w:jc w:val="both"/>
        <w:rPr>
          <w:szCs w:val="24"/>
        </w:rPr>
      </w:pPr>
      <w:r w:rsidRPr="008A5812">
        <w:rPr>
          <w:szCs w:val="24"/>
        </w:rPr>
        <w:t>Energy Savings Trust (EST) – who manage the national lodgement of Green Deal Assessments in Scotland</w:t>
      </w:r>
    </w:p>
    <w:p w:rsidR="00D12323" w:rsidRPr="008A5812" w:rsidRDefault="00D12323" w:rsidP="003C6A41">
      <w:pPr>
        <w:numPr>
          <w:ilvl w:val="0"/>
          <w:numId w:val="6"/>
        </w:numPr>
        <w:spacing w:before="0" w:line="270" w:lineRule="atLeast"/>
        <w:jc w:val="both"/>
        <w:rPr>
          <w:szCs w:val="24"/>
        </w:rPr>
      </w:pPr>
      <w:r w:rsidRPr="008A5812">
        <w:rPr>
          <w:szCs w:val="24"/>
        </w:rPr>
        <w:t>Green Deal Central Charge Database – which manages the recording and administration of Green Deal Plans</w:t>
      </w:r>
    </w:p>
    <w:p w:rsidR="00D12323" w:rsidRPr="008A5812" w:rsidRDefault="00D12323" w:rsidP="003C6A41">
      <w:pPr>
        <w:numPr>
          <w:ilvl w:val="0"/>
          <w:numId w:val="6"/>
        </w:numPr>
        <w:spacing w:before="0" w:line="270" w:lineRule="atLeast"/>
        <w:jc w:val="both"/>
        <w:rPr>
          <w:szCs w:val="24"/>
        </w:rPr>
      </w:pPr>
      <w:r w:rsidRPr="008A5812">
        <w:rPr>
          <w:szCs w:val="24"/>
        </w:rPr>
        <w:t>Ofgem – who administer the Energy Company Obligation and collect information from energy companies on measures installed under ECO.</w:t>
      </w:r>
    </w:p>
    <w:p w:rsidR="00D12323" w:rsidRPr="008A5812" w:rsidRDefault="00D12323" w:rsidP="003C6A41">
      <w:pPr>
        <w:numPr>
          <w:ilvl w:val="0"/>
          <w:numId w:val="6"/>
        </w:numPr>
        <w:spacing w:before="0" w:line="270" w:lineRule="atLeast"/>
        <w:jc w:val="both"/>
        <w:rPr>
          <w:szCs w:val="24"/>
        </w:rPr>
      </w:pPr>
      <w:r w:rsidRPr="008A5812">
        <w:rPr>
          <w:szCs w:val="24"/>
        </w:rPr>
        <w:t>The Green Deal Oversight and Regulation Body (ORB) – who administer the certification of GD organisations (including assessors, installers and providers)</w:t>
      </w:r>
    </w:p>
    <w:p w:rsidR="00D12323" w:rsidRPr="008A5812" w:rsidRDefault="00D12323" w:rsidP="003C6A41">
      <w:pPr>
        <w:numPr>
          <w:ilvl w:val="0"/>
          <w:numId w:val="6"/>
        </w:numPr>
        <w:spacing w:before="0" w:line="270" w:lineRule="atLeast"/>
        <w:jc w:val="both"/>
        <w:rPr>
          <w:szCs w:val="24"/>
        </w:rPr>
      </w:pPr>
      <w:r w:rsidRPr="008A5812">
        <w:rPr>
          <w:szCs w:val="24"/>
        </w:rPr>
        <w:t>Data on ECO brokerage is publically available following each auction.</w:t>
      </w:r>
    </w:p>
    <w:p w:rsidR="00D12323" w:rsidRPr="008A5812" w:rsidRDefault="00D12323" w:rsidP="007719FF">
      <w:pPr>
        <w:numPr>
          <w:ilvl w:val="0"/>
          <w:numId w:val="6"/>
        </w:numPr>
        <w:spacing w:before="0" w:line="276" w:lineRule="auto"/>
        <w:jc w:val="both"/>
        <w:rPr>
          <w:szCs w:val="24"/>
        </w:rPr>
      </w:pPr>
      <w:r w:rsidRPr="008A5812">
        <w:rPr>
          <w:szCs w:val="24"/>
        </w:rPr>
        <w:t xml:space="preserve">Capita – who administer the </w:t>
      </w:r>
      <w:hyperlink r:id="rId52" w:history="1">
        <w:r w:rsidRPr="008A5812">
          <w:rPr>
            <w:rStyle w:val="Hyperlink"/>
            <w:rFonts w:ascii="Arial" w:hAnsi="Arial"/>
            <w:szCs w:val="24"/>
          </w:rPr>
          <w:t xml:space="preserve">Green Deal </w:t>
        </w:r>
        <w:r w:rsidRPr="008A5812">
          <w:rPr>
            <w:rStyle w:val="Hyperlink"/>
            <w:rFonts w:ascii="Arial" w:hAnsi="Arial"/>
            <w:szCs w:val="24"/>
          </w:rPr>
          <w:t>C</w:t>
        </w:r>
        <w:r w:rsidRPr="008A5812">
          <w:rPr>
            <w:rStyle w:val="Hyperlink"/>
            <w:rFonts w:ascii="Arial" w:hAnsi="Arial"/>
            <w:szCs w:val="24"/>
          </w:rPr>
          <w:t>ashback Scheme</w:t>
        </w:r>
      </w:hyperlink>
    </w:p>
    <w:p w:rsidR="00D12323" w:rsidRPr="008A5812" w:rsidRDefault="00D12323" w:rsidP="00D12323">
      <w:pPr>
        <w:spacing w:after="0" w:line="270" w:lineRule="atLeast"/>
        <w:jc w:val="both"/>
        <w:rPr>
          <w:szCs w:val="24"/>
        </w:rPr>
      </w:pPr>
      <w:r w:rsidRPr="008A5812">
        <w:rPr>
          <w:szCs w:val="24"/>
        </w:rPr>
        <w:t>This report uses data from Landmark and the Energy Savings Trust for numbers of lodged Assessments</w:t>
      </w:r>
      <w:r w:rsidR="00AF2024">
        <w:rPr>
          <w:szCs w:val="24"/>
        </w:rPr>
        <w:t xml:space="preserve"> and on measures installed using Green Deal finance</w:t>
      </w:r>
      <w:r w:rsidRPr="008A5812">
        <w:rPr>
          <w:szCs w:val="24"/>
        </w:rPr>
        <w:t>, data from the Central Charge Database on Green Deal Plans, data from the Cashback Scheme Administrator on Cashback vouchers issued and measures installed, data from Ofgem on ECO measures, data from the ORB for the supply chain and the published data on ECO brokerage.</w:t>
      </w:r>
    </w:p>
    <w:p w:rsidR="007719FF" w:rsidRPr="008A5812" w:rsidRDefault="007719FF" w:rsidP="00D12323">
      <w:pPr>
        <w:spacing w:after="0" w:line="270" w:lineRule="atLeast"/>
        <w:jc w:val="both"/>
        <w:rPr>
          <w:szCs w:val="24"/>
        </w:rPr>
      </w:pPr>
    </w:p>
    <w:p w:rsidR="00D12323" w:rsidRPr="00C06107" w:rsidRDefault="00D12323" w:rsidP="000E7A31">
      <w:pPr>
        <w:pStyle w:val="Heading2"/>
      </w:pPr>
      <w:bookmarkStart w:id="68" w:name="_Toc372290503"/>
      <w:r w:rsidRPr="00C06107">
        <w:t>Experimental Statistics</w:t>
      </w:r>
      <w:bookmarkEnd w:id="68"/>
    </w:p>
    <w:bookmarkEnd w:id="67"/>
    <w:p w:rsidR="00D12323" w:rsidRPr="008A5812" w:rsidRDefault="00D12323" w:rsidP="00D12323">
      <w:pPr>
        <w:spacing w:line="270" w:lineRule="atLeast"/>
        <w:jc w:val="both"/>
        <w:rPr>
          <w:szCs w:val="24"/>
        </w:rPr>
      </w:pPr>
      <w:r w:rsidRPr="008A5812">
        <w:rPr>
          <w:szCs w:val="24"/>
        </w:rPr>
        <w:t xml:space="preserve">These estimates are released as Experimental Statistics which means they are official statistics undergoing an evaluation process prior to being assessed as National Statistics later in 2013. They are published in order to involve users and stakeholders in their development, and as a means to build in quality assurance during development. </w:t>
      </w:r>
    </w:p>
    <w:p w:rsidR="00D12323" w:rsidRPr="008A5812" w:rsidRDefault="00D12323" w:rsidP="00D12323">
      <w:pPr>
        <w:spacing w:line="270" w:lineRule="atLeast"/>
        <w:jc w:val="both"/>
        <w:rPr>
          <w:szCs w:val="24"/>
        </w:rPr>
      </w:pPr>
      <w:r w:rsidRPr="008A5812">
        <w:rPr>
          <w:szCs w:val="24"/>
        </w:rPr>
        <w:t xml:space="preserve">More information on the methodology is included </w:t>
      </w:r>
      <w:hyperlink r:id="rId53" w:history="1">
        <w:r w:rsidRPr="008A5812">
          <w:rPr>
            <w:rStyle w:val="Hyperlink"/>
            <w:rFonts w:ascii="Arial" w:hAnsi="Arial"/>
            <w:szCs w:val="24"/>
          </w:rPr>
          <w:t>here</w:t>
        </w:r>
      </w:hyperlink>
      <w:r w:rsidRPr="008A5812">
        <w:rPr>
          <w:color w:val="FF0000"/>
          <w:szCs w:val="24"/>
        </w:rPr>
        <w:t xml:space="preserve">. </w:t>
      </w:r>
    </w:p>
    <w:p w:rsidR="00D12323" w:rsidRPr="008A5812" w:rsidRDefault="00D12323" w:rsidP="00D12323">
      <w:pPr>
        <w:spacing w:line="270" w:lineRule="atLeast"/>
        <w:jc w:val="both"/>
        <w:rPr>
          <w:szCs w:val="24"/>
        </w:rPr>
      </w:pPr>
      <w:r w:rsidRPr="008A5812">
        <w:rPr>
          <w:szCs w:val="24"/>
        </w:rPr>
        <w:t xml:space="preserve">As with any new data collection, there are likely to be some data quality issues to resolve as the process beds in. Therefore data in the monthly reports should be treated as provisional and subject to revision. </w:t>
      </w:r>
    </w:p>
    <w:p w:rsidR="00D12323" w:rsidRPr="008A5812" w:rsidRDefault="00D12323" w:rsidP="00D12323">
      <w:pPr>
        <w:spacing w:line="270" w:lineRule="atLeast"/>
        <w:jc w:val="both"/>
        <w:rPr>
          <w:b/>
          <w:szCs w:val="24"/>
        </w:rPr>
      </w:pPr>
      <w:r w:rsidRPr="008A5812">
        <w:rPr>
          <w:szCs w:val="24"/>
        </w:rPr>
        <w:t>Any revisions will be marked in the data tables and for any significant revisions we will provide an explanation of the main reasons.</w:t>
      </w:r>
    </w:p>
    <w:p w:rsidR="00D912D5" w:rsidRPr="008A5812" w:rsidRDefault="00D912D5" w:rsidP="001C6F3E">
      <w:pPr>
        <w:rPr>
          <w:szCs w:val="24"/>
        </w:rPr>
        <w:sectPr w:rsidR="00D912D5" w:rsidRPr="008A5812" w:rsidSect="00947EA2">
          <w:pgSz w:w="11906" w:h="16838" w:code="9"/>
          <w:pgMar w:top="851" w:right="851" w:bottom="568" w:left="851" w:header="567" w:footer="567" w:gutter="0"/>
          <w:cols w:space="720"/>
          <w:formProt w:val="0"/>
          <w:titlePg/>
        </w:sectPr>
      </w:pPr>
    </w:p>
    <w:p w:rsidR="0003252A" w:rsidRPr="00FB3E32" w:rsidRDefault="0003252A" w:rsidP="00FB3E32">
      <w:pPr>
        <w:pStyle w:val="Heading2"/>
      </w:pPr>
      <w:bookmarkStart w:id="69" w:name="_Toc372045048"/>
      <w:bookmarkStart w:id="70" w:name="_Toc372133531"/>
      <w:bookmarkStart w:id="71" w:name="_Toc372290504"/>
      <w:bookmarkEnd w:id="15"/>
      <w:r w:rsidRPr="00FB3E32">
        <w:lastRenderedPageBreak/>
        <w:t>Further Information and Feedback</w:t>
      </w:r>
      <w:bookmarkEnd w:id="69"/>
      <w:bookmarkEnd w:id="70"/>
      <w:bookmarkEnd w:id="71"/>
    </w:p>
    <w:p w:rsidR="00B35CEF" w:rsidRPr="008A5812" w:rsidRDefault="00B35CEF" w:rsidP="00106DBE">
      <w:pPr>
        <w:pStyle w:val="Paragraphtext"/>
        <w:spacing w:before="0" w:after="0"/>
        <w:jc w:val="both"/>
        <w:rPr>
          <w:rFonts w:cs="Arial"/>
          <w:szCs w:val="24"/>
        </w:rPr>
      </w:pPr>
      <w:r w:rsidRPr="008A5812">
        <w:rPr>
          <w:rFonts w:cs="Arial"/>
          <w:szCs w:val="24"/>
        </w:rPr>
        <w:t xml:space="preserve">Any enquiries or comments in relation to this statistical release should be sent to DECC’s Green Deal Statistics Team at the following email address: </w:t>
      </w:r>
      <w:hyperlink r:id="rId54" w:history="1">
        <w:r w:rsidRPr="008A5812">
          <w:rPr>
            <w:rStyle w:val="Hyperlink"/>
            <w:rFonts w:ascii="Arial" w:hAnsi="Arial" w:cs="Arial"/>
            <w:szCs w:val="24"/>
          </w:rPr>
          <w:t>EnergyEfficiency.Stats@decc.gsi.gov.uk</w:t>
        </w:r>
      </w:hyperlink>
      <w:r w:rsidRPr="008A5812">
        <w:rPr>
          <w:rFonts w:cs="Arial"/>
          <w:szCs w:val="24"/>
        </w:rPr>
        <w:t xml:space="preserve"> </w:t>
      </w:r>
    </w:p>
    <w:p w:rsidR="00D72894" w:rsidRPr="008A5812" w:rsidRDefault="00D72894" w:rsidP="00106DBE">
      <w:pPr>
        <w:pStyle w:val="Paragraphtext"/>
        <w:spacing w:before="0" w:after="0"/>
        <w:jc w:val="both"/>
        <w:rPr>
          <w:rFonts w:cs="Arial"/>
          <w:szCs w:val="24"/>
        </w:rPr>
      </w:pPr>
    </w:p>
    <w:p w:rsidR="00B35CEF" w:rsidRPr="008A5812" w:rsidRDefault="00B35CEF" w:rsidP="00106DBE">
      <w:pPr>
        <w:pStyle w:val="Paragraphtext"/>
        <w:spacing w:before="0" w:after="0"/>
        <w:jc w:val="both"/>
        <w:rPr>
          <w:rFonts w:cs="Arial"/>
          <w:szCs w:val="24"/>
        </w:rPr>
      </w:pPr>
      <w:r w:rsidRPr="008A5812">
        <w:rPr>
          <w:rFonts w:cs="Arial"/>
          <w:szCs w:val="24"/>
        </w:rPr>
        <w:t>C</w:t>
      </w:r>
      <w:r w:rsidR="00D72894" w:rsidRPr="008A5812">
        <w:rPr>
          <w:rFonts w:cs="Arial"/>
          <w:szCs w:val="24"/>
        </w:rPr>
        <w:t>ontact telephone: 0300 068 5202</w:t>
      </w:r>
    </w:p>
    <w:p w:rsidR="00D72894" w:rsidRPr="008A5812" w:rsidRDefault="00D72894" w:rsidP="00106DBE">
      <w:pPr>
        <w:pStyle w:val="Paragraphtext"/>
        <w:spacing w:before="0" w:after="0"/>
        <w:jc w:val="both"/>
        <w:rPr>
          <w:rFonts w:cs="Arial"/>
          <w:szCs w:val="24"/>
        </w:rPr>
      </w:pPr>
    </w:p>
    <w:p w:rsidR="00B35CEF" w:rsidRPr="008A5812" w:rsidRDefault="00B35CEF" w:rsidP="00106DBE">
      <w:pPr>
        <w:pStyle w:val="Paragraphtext"/>
        <w:spacing w:before="0" w:after="0"/>
        <w:jc w:val="both"/>
        <w:rPr>
          <w:rFonts w:cs="Arial"/>
          <w:szCs w:val="24"/>
        </w:rPr>
      </w:pPr>
      <w:r w:rsidRPr="008A5812">
        <w:rPr>
          <w:rFonts w:cs="Arial"/>
          <w:szCs w:val="24"/>
        </w:rPr>
        <w:t>The statistician responsible for this publication is Matt Walker.</w:t>
      </w:r>
    </w:p>
    <w:p w:rsidR="00D72894" w:rsidRPr="008A5812" w:rsidRDefault="00D72894" w:rsidP="00106DBE">
      <w:pPr>
        <w:pStyle w:val="Paragraphtext"/>
        <w:spacing w:before="0" w:after="0"/>
        <w:jc w:val="both"/>
        <w:rPr>
          <w:rFonts w:cs="Arial"/>
          <w:szCs w:val="24"/>
        </w:rPr>
      </w:pPr>
    </w:p>
    <w:p w:rsidR="00106DBE" w:rsidRDefault="00B35CEF" w:rsidP="00106DBE">
      <w:pPr>
        <w:pStyle w:val="Paragraphtext"/>
        <w:spacing w:before="0" w:after="0"/>
        <w:jc w:val="both"/>
        <w:rPr>
          <w:rFonts w:cs="Arial"/>
          <w:szCs w:val="24"/>
        </w:rPr>
      </w:pPr>
      <w:r w:rsidRPr="008A5812">
        <w:rPr>
          <w:rFonts w:cs="Arial"/>
          <w:szCs w:val="24"/>
        </w:rPr>
        <w:t xml:space="preserve">Further information on energy statistics is available at </w:t>
      </w:r>
    </w:p>
    <w:p w:rsidR="00B35CEF" w:rsidRPr="008A5812" w:rsidRDefault="00450F4E" w:rsidP="00106DBE">
      <w:pPr>
        <w:pStyle w:val="Paragraphtext"/>
        <w:spacing w:before="0" w:after="0"/>
        <w:jc w:val="both"/>
        <w:rPr>
          <w:rFonts w:cs="Arial"/>
          <w:szCs w:val="24"/>
        </w:rPr>
      </w:pPr>
      <w:hyperlink r:id="rId55" w:history="1">
        <w:r w:rsidR="00B35CEF" w:rsidRPr="008A5812">
          <w:rPr>
            <w:rStyle w:val="Hyperlink"/>
            <w:rFonts w:ascii="Arial" w:hAnsi="Arial" w:cs="Arial"/>
            <w:szCs w:val="24"/>
          </w:rPr>
          <w:t>https://www.gov.uk/government/organisations/department-of-energy-climate-change/about/statistics</w:t>
        </w:r>
      </w:hyperlink>
      <w:r w:rsidR="00B35CEF" w:rsidRPr="008A5812">
        <w:rPr>
          <w:rFonts w:cs="Arial"/>
          <w:szCs w:val="24"/>
        </w:rPr>
        <w:t xml:space="preserve"> </w:t>
      </w:r>
    </w:p>
    <w:p w:rsidR="00B35CEF" w:rsidRPr="008A5812" w:rsidRDefault="00B35CEF" w:rsidP="00B35CEF">
      <w:pPr>
        <w:pStyle w:val="Paragraphtext"/>
        <w:rPr>
          <w:rFonts w:cs="Arial"/>
          <w:szCs w:val="24"/>
        </w:rPr>
      </w:pPr>
    </w:p>
    <w:p w:rsidR="00D72894" w:rsidRPr="008A5812" w:rsidRDefault="00D72894" w:rsidP="00300F50">
      <w:pPr>
        <w:pStyle w:val="Heading2"/>
      </w:pPr>
    </w:p>
    <w:p w:rsidR="00B35CEF" w:rsidRPr="008A5812" w:rsidRDefault="00B35CEF" w:rsidP="00106DBE">
      <w:pPr>
        <w:pStyle w:val="Heading2"/>
        <w:jc w:val="both"/>
      </w:pPr>
      <w:bookmarkStart w:id="72" w:name="_Toc372290505"/>
      <w:r w:rsidRPr="008A5812">
        <w:t>Next Releases</w:t>
      </w:r>
      <w:bookmarkEnd w:id="72"/>
    </w:p>
    <w:p w:rsidR="00B35CEF" w:rsidRPr="008A5812" w:rsidRDefault="00B35CEF" w:rsidP="00106DBE">
      <w:pPr>
        <w:pStyle w:val="Paragraphtext"/>
        <w:spacing w:before="0" w:after="0"/>
        <w:jc w:val="both"/>
        <w:rPr>
          <w:rFonts w:cs="Arial"/>
          <w:szCs w:val="24"/>
        </w:rPr>
      </w:pPr>
      <w:r w:rsidRPr="008A5812">
        <w:rPr>
          <w:rFonts w:cs="Arial"/>
          <w:szCs w:val="24"/>
        </w:rPr>
        <w:t>All future publications of this series will be released mid-month to cover the preceding month, with publication dates a</w:t>
      </w:r>
      <w:r w:rsidR="00D72894" w:rsidRPr="008A5812">
        <w:rPr>
          <w:rFonts w:cs="Arial"/>
          <w:szCs w:val="24"/>
        </w:rPr>
        <w:t>vailable on the gov.uk website.</w:t>
      </w:r>
    </w:p>
    <w:p w:rsidR="00D72894" w:rsidRPr="008A5812" w:rsidRDefault="00D72894" w:rsidP="00106DBE">
      <w:pPr>
        <w:pStyle w:val="Paragraphtext"/>
        <w:spacing w:before="0" w:after="0"/>
        <w:jc w:val="both"/>
        <w:rPr>
          <w:rFonts w:cs="Arial"/>
          <w:szCs w:val="24"/>
        </w:rPr>
      </w:pPr>
    </w:p>
    <w:p w:rsidR="00A56350" w:rsidRPr="00A56350" w:rsidRDefault="00B35CEF" w:rsidP="00106DBE">
      <w:pPr>
        <w:pStyle w:val="Paragraphtext"/>
        <w:spacing w:before="0" w:after="0"/>
        <w:jc w:val="both"/>
        <w:rPr>
          <w:rFonts w:cs="Arial"/>
        </w:rPr>
      </w:pPr>
      <w:r w:rsidRPr="008A5812">
        <w:rPr>
          <w:rFonts w:cs="Arial"/>
          <w:szCs w:val="24"/>
        </w:rPr>
        <w:t xml:space="preserve">The next monthly publication is planned for publication at 9.30am on </w:t>
      </w:r>
      <w:r w:rsidRPr="008A5812">
        <w:rPr>
          <w:rFonts w:cs="Arial"/>
          <w:b/>
          <w:szCs w:val="24"/>
        </w:rPr>
        <w:t xml:space="preserve">19 December 2013 </w:t>
      </w:r>
      <w:r w:rsidRPr="008A5812">
        <w:rPr>
          <w:rFonts w:cs="Arial"/>
          <w:szCs w:val="24"/>
        </w:rPr>
        <w:t>and will contain the latest available information on the number of Assessments and Green Deal Plans, Cashback vouchers spent, measures installed, a summary of ECO brokerage and an overview of the supply chain.</w:t>
      </w:r>
      <w:r w:rsidR="00AA4467" w:rsidRPr="00AA4467">
        <w:rPr>
          <w:rFonts w:cs="Arial"/>
        </w:rPr>
        <w:t xml:space="preserve"> </w:t>
      </w:r>
    </w:p>
    <w:p w:rsidR="00D72894" w:rsidRPr="008A5812" w:rsidRDefault="00D72894" w:rsidP="00106DBE">
      <w:pPr>
        <w:pStyle w:val="Paragraphtext"/>
        <w:spacing w:before="0" w:after="0"/>
        <w:jc w:val="both"/>
        <w:rPr>
          <w:rFonts w:cs="Arial"/>
          <w:szCs w:val="24"/>
        </w:rPr>
      </w:pPr>
    </w:p>
    <w:p w:rsidR="00A56350" w:rsidRDefault="00B35CEF" w:rsidP="00A56350">
      <w:pPr>
        <w:pStyle w:val="Paragraphtext"/>
        <w:spacing w:before="0" w:after="0"/>
        <w:jc w:val="both"/>
        <w:rPr>
          <w:rFonts w:cs="Arial"/>
        </w:rPr>
      </w:pPr>
      <w:r w:rsidRPr="008A5812">
        <w:rPr>
          <w:rFonts w:cs="Arial"/>
          <w:szCs w:val="24"/>
        </w:rPr>
        <w:t xml:space="preserve">The next quarterly publication is also planned for publication at 9.30am on </w:t>
      </w:r>
      <w:r w:rsidRPr="008A5812">
        <w:rPr>
          <w:rFonts w:cs="Arial"/>
          <w:b/>
          <w:szCs w:val="24"/>
        </w:rPr>
        <w:t>19 December 2013</w:t>
      </w:r>
      <w:r w:rsidRPr="008A5812">
        <w:rPr>
          <w:rFonts w:cs="Arial"/>
          <w:szCs w:val="24"/>
        </w:rPr>
        <w:t xml:space="preserve"> </w:t>
      </w:r>
      <w:bookmarkStart w:id="73" w:name="_GoBack"/>
      <w:bookmarkEnd w:id="73"/>
      <w:r w:rsidRPr="008A5812">
        <w:rPr>
          <w:rFonts w:cs="Arial"/>
          <w:szCs w:val="24"/>
        </w:rPr>
        <w:t>and will contain more detailed information on activity up to the end of September, including geographic breakdowns of Green Deal Assessments and ECO measures.</w:t>
      </w:r>
      <w:r w:rsidR="00106DBE">
        <w:rPr>
          <w:rFonts w:cs="Arial"/>
          <w:szCs w:val="24"/>
        </w:rPr>
        <w:t xml:space="preserve"> </w:t>
      </w:r>
      <w:r w:rsidR="00106DBE" w:rsidRPr="00AA4467">
        <w:rPr>
          <w:rFonts w:cs="Arial"/>
        </w:rPr>
        <w:t>We are currently investigating whether it would be suitable to publish sub-L</w:t>
      </w:r>
      <w:r w:rsidR="00106DBE">
        <w:rPr>
          <w:rFonts w:cs="Arial"/>
        </w:rPr>
        <w:t xml:space="preserve">ocal </w:t>
      </w:r>
      <w:r w:rsidR="00106DBE" w:rsidRPr="00AA4467">
        <w:rPr>
          <w:rFonts w:cs="Arial"/>
        </w:rPr>
        <w:t>A</w:t>
      </w:r>
      <w:r w:rsidR="00106DBE">
        <w:rPr>
          <w:rFonts w:cs="Arial"/>
        </w:rPr>
        <w:t>uthority</w:t>
      </w:r>
      <w:r w:rsidR="00A56350">
        <w:rPr>
          <w:rFonts w:cs="Arial"/>
        </w:rPr>
        <w:t xml:space="preserve"> data as part of our quarterly </w:t>
      </w:r>
      <w:r w:rsidR="00106DBE" w:rsidRPr="00AA4467">
        <w:rPr>
          <w:rFonts w:cs="Arial"/>
        </w:rPr>
        <w:t>release series</w:t>
      </w:r>
      <w:r w:rsidR="00CC14D8">
        <w:rPr>
          <w:rFonts w:cs="Arial"/>
        </w:rPr>
        <w:t>.</w:t>
      </w:r>
    </w:p>
    <w:p w:rsidR="00A56350" w:rsidRDefault="00A56350" w:rsidP="00A56350">
      <w:pPr>
        <w:pStyle w:val="Paragraphtext"/>
        <w:spacing w:before="0" w:after="0"/>
        <w:jc w:val="both"/>
        <w:rPr>
          <w:rFonts w:cs="Arial"/>
        </w:rPr>
      </w:pPr>
    </w:p>
    <w:p w:rsidR="00A56350" w:rsidRPr="008A5812" w:rsidRDefault="00A56350" w:rsidP="00A56350">
      <w:pPr>
        <w:pStyle w:val="Paragraphtext"/>
        <w:spacing w:before="0" w:after="0"/>
        <w:jc w:val="both"/>
        <w:rPr>
          <w:rFonts w:cs="Arial"/>
        </w:rPr>
        <w:sectPr w:rsidR="00A56350" w:rsidRPr="008A5812" w:rsidSect="00496EA9">
          <w:pgSz w:w="11906" w:h="16838" w:code="9"/>
          <w:pgMar w:top="1134" w:right="851" w:bottom="851" w:left="851" w:header="567" w:footer="567" w:gutter="0"/>
          <w:cols w:space="720"/>
          <w:formProt w:val="0"/>
          <w:titlePg/>
        </w:sectPr>
      </w:pPr>
    </w:p>
    <w:p w:rsidR="008A5812" w:rsidRPr="00300F50" w:rsidRDefault="00647603" w:rsidP="00647603">
      <w:pPr>
        <w:pStyle w:val="Paragraphtext"/>
        <w:spacing w:line="240" w:lineRule="auto"/>
        <w:rPr>
          <w:rFonts w:cs="Arial"/>
          <w:color w:val="FFFFFF"/>
          <w:sz w:val="28"/>
          <w:szCs w:val="28"/>
        </w:rPr>
      </w:pPr>
      <w:r w:rsidRPr="00300F50">
        <w:rPr>
          <w:rFonts w:cs="Arial"/>
          <w:color w:val="FFFFFF"/>
          <w:sz w:val="28"/>
          <w:szCs w:val="28"/>
        </w:rPr>
        <w:lastRenderedPageBreak/>
        <w:t xml:space="preserve">© Crown copyright </w:t>
      </w:r>
      <w:r w:rsidR="000C27CC" w:rsidRPr="00300F50">
        <w:rPr>
          <w:rFonts w:cs="Arial"/>
          <w:color w:val="FFFFFF"/>
          <w:sz w:val="28"/>
          <w:szCs w:val="28"/>
        </w:rPr>
        <w:t>2013</w:t>
      </w:r>
    </w:p>
    <w:p w:rsidR="00647603" w:rsidRPr="00300F50" w:rsidRDefault="00647603" w:rsidP="00647603">
      <w:pPr>
        <w:pStyle w:val="Paragraphtext"/>
        <w:spacing w:line="240" w:lineRule="auto"/>
        <w:rPr>
          <w:rFonts w:cs="Arial"/>
          <w:color w:val="FFFFFF"/>
          <w:sz w:val="28"/>
          <w:szCs w:val="28"/>
        </w:rPr>
      </w:pPr>
      <w:r w:rsidRPr="00300F50">
        <w:rPr>
          <w:rFonts w:cs="Arial"/>
          <w:color w:val="FFFFFF"/>
          <w:sz w:val="28"/>
          <w:szCs w:val="28"/>
        </w:rPr>
        <w:t>Department of Energy &amp; Climate Change</w:t>
      </w:r>
    </w:p>
    <w:p w:rsidR="00647603" w:rsidRPr="00300F50" w:rsidRDefault="00647603" w:rsidP="00647603">
      <w:pPr>
        <w:pStyle w:val="Paragraphtext"/>
        <w:spacing w:line="240" w:lineRule="auto"/>
        <w:rPr>
          <w:rFonts w:cs="Arial"/>
          <w:color w:val="FFFFFF"/>
          <w:sz w:val="28"/>
          <w:szCs w:val="28"/>
        </w:rPr>
      </w:pPr>
      <w:r w:rsidRPr="00300F50">
        <w:rPr>
          <w:rFonts w:cs="Arial"/>
          <w:color w:val="FFFFFF"/>
          <w:sz w:val="28"/>
          <w:szCs w:val="28"/>
        </w:rPr>
        <w:t>3 Whitehall Place</w:t>
      </w:r>
    </w:p>
    <w:p w:rsidR="00647603" w:rsidRPr="00300F50" w:rsidRDefault="00647603" w:rsidP="00647603">
      <w:pPr>
        <w:pStyle w:val="Paragraphtext"/>
        <w:spacing w:line="240" w:lineRule="auto"/>
        <w:rPr>
          <w:rFonts w:cs="Arial"/>
          <w:color w:val="FFFFFF"/>
          <w:sz w:val="28"/>
          <w:szCs w:val="28"/>
        </w:rPr>
      </w:pPr>
      <w:r w:rsidRPr="00300F50">
        <w:rPr>
          <w:rFonts w:cs="Arial"/>
          <w:color w:val="FFFFFF"/>
          <w:sz w:val="28"/>
          <w:szCs w:val="28"/>
        </w:rPr>
        <w:t>London SW1A 2AW</w:t>
      </w:r>
    </w:p>
    <w:p w:rsidR="00647603" w:rsidRPr="00300F50" w:rsidRDefault="00450F4E" w:rsidP="00647603">
      <w:pPr>
        <w:pStyle w:val="Paragraphtext"/>
        <w:spacing w:line="240" w:lineRule="auto"/>
        <w:rPr>
          <w:rFonts w:cs="Arial"/>
          <w:color w:val="FFFFFF"/>
          <w:sz w:val="28"/>
          <w:szCs w:val="28"/>
        </w:rPr>
      </w:pPr>
      <w:hyperlink r:id="rId56" w:history="1">
        <w:r w:rsidR="00647603" w:rsidRPr="008A5812">
          <w:rPr>
            <w:rStyle w:val="Hyperlink"/>
            <w:rFonts w:ascii="Arial" w:hAnsi="Arial" w:cs="Arial"/>
            <w:sz w:val="28"/>
            <w:szCs w:val="28"/>
          </w:rPr>
          <w:t>www.gov.uk/decc</w:t>
        </w:r>
      </w:hyperlink>
      <w:r w:rsidR="00647603" w:rsidRPr="00300F50">
        <w:rPr>
          <w:rFonts w:cs="Arial"/>
          <w:color w:val="FFFFFF"/>
          <w:sz w:val="28"/>
          <w:szCs w:val="28"/>
        </w:rPr>
        <w:t xml:space="preserve"> </w:t>
      </w:r>
    </w:p>
    <w:p w:rsidR="00647603" w:rsidRPr="00300F50" w:rsidRDefault="00647603" w:rsidP="00647603">
      <w:pPr>
        <w:pStyle w:val="Paragraphtext"/>
        <w:spacing w:line="240" w:lineRule="auto"/>
        <w:rPr>
          <w:rFonts w:cs="Arial"/>
          <w:color w:val="FFFFFF"/>
          <w:sz w:val="28"/>
          <w:szCs w:val="28"/>
        </w:rPr>
      </w:pPr>
    </w:p>
    <w:sectPr w:rsidR="00647603" w:rsidRPr="00300F50" w:rsidSect="00647603">
      <w:headerReference w:type="even" r:id="rId57"/>
      <w:headerReference w:type="default" r:id="rId58"/>
      <w:headerReference w:type="first" r:id="rId59"/>
      <w:footerReference w:type="first" r:id="rId60"/>
      <w:pgSz w:w="11906" w:h="16838" w:code="9"/>
      <w:pgMar w:top="12474" w:right="851" w:bottom="851" w:left="851" w:header="567" w:footer="567"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257" w:rsidRDefault="00877257">
      <w:r>
        <w:separator/>
      </w:r>
    </w:p>
  </w:endnote>
  <w:endnote w:type="continuationSeparator" w:id="0">
    <w:p w:rsidR="00877257" w:rsidRDefault="0087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242" w:rsidRDefault="00136242" w:rsidP="00FB25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0F27">
      <w:rPr>
        <w:rStyle w:val="PageNumber"/>
        <w:noProof/>
      </w:rPr>
      <w:t>4</w:t>
    </w:r>
    <w:r>
      <w:rPr>
        <w:rStyle w:val="PageNumber"/>
      </w:rPr>
      <w:fldChar w:fldCharType="end"/>
    </w:r>
  </w:p>
  <w:p w:rsidR="00136242" w:rsidRDefault="0013624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242" w:rsidRPr="008B74D5" w:rsidRDefault="00136242" w:rsidP="008B74D5">
    <w:pPr>
      <w:pStyle w:val="Footer"/>
    </w:pPr>
    <w:r>
      <w:fldChar w:fldCharType="begin"/>
    </w:r>
    <w:r>
      <w:instrText xml:space="preserve"> PAGE </w:instrText>
    </w:r>
    <w:r>
      <w:fldChar w:fldCharType="separate"/>
    </w:r>
    <w:r w:rsidR="006C0F27">
      <w:rPr>
        <w:noProof/>
      </w:rPr>
      <w:t>27</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BE6" w:rsidRDefault="006B5BE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242" w:rsidRDefault="00136242" w:rsidP="008B74D5">
    <w:pPr>
      <w:pStyle w:val="Footer"/>
    </w:pPr>
    <w:r>
      <w:fldChar w:fldCharType="begin"/>
    </w:r>
    <w:r>
      <w:instrText xml:space="preserve"> PAGE </w:instrText>
    </w:r>
    <w:r>
      <w:fldChar w:fldCharType="separate"/>
    </w:r>
    <w:r w:rsidR="006C0F27">
      <w:rPr>
        <w:noProof/>
      </w:rPr>
      <w:t>3</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242" w:rsidRDefault="00136242" w:rsidP="008B7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257" w:rsidRPr="00D85261" w:rsidRDefault="00877257" w:rsidP="00D85261">
      <w:pPr>
        <w:pBdr>
          <w:top w:val="single" w:sz="6" w:space="1" w:color="auto"/>
        </w:pBdr>
        <w:spacing w:after="0" w:line="240" w:lineRule="auto"/>
        <w:rPr>
          <w:sz w:val="16"/>
          <w:szCs w:val="16"/>
        </w:rPr>
      </w:pPr>
    </w:p>
  </w:footnote>
  <w:footnote w:type="continuationSeparator" w:id="0">
    <w:p w:rsidR="00877257" w:rsidRDefault="00877257">
      <w:r>
        <w:continuationSeparator/>
      </w:r>
    </w:p>
  </w:footnote>
  <w:footnote w:id="1">
    <w:p w:rsidR="00136242" w:rsidRPr="0068071D" w:rsidRDefault="00136242" w:rsidP="0068071D">
      <w:pPr>
        <w:pStyle w:val="FootnoteText"/>
        <w:spacing w:after="0"/>
        <w:jc w:val="both"/>
      </w:pPr>
      <w:r w:rsidRPr="0068071D">
        <w:rPr>
          <w:rStyle w:val="FootnoteReference"/>
        </w:rPr>
        <w:footnoteRef/>
      </w:r>
      <w:r w:rsidRPr="0068071D">
        <w:t xml:space="preserve"> ECO measures installed in earlier installation months can be notified at a later date under some circumstances. Some notified measures can be reallocated to different ECO obligations and so are subject to change.</w:t>
      </w:r>
    </w:p>
  </w:footnote>
  <w:footnote w:id="2">
    <w:p w:rsidR="00136242" w:rsidRPr="00300F50" w:rsidRDefault="00136242" w:rsidP="0068071D">
      <w:pPr>
        <w:pStyle w:val="FootnoteText"/>
        <w:spacing w:after="0"/>
        <w:jc w:val="both"/>
        <w:rPr>
          <w:rFonts w:ascii="Calibri" w:hAnsi="Calibri" w:cs="Calibri"/>
          <w:sz w:val="22"/>
          <w:szCs w:val="22"/>
        </w:rPr>
      </w:pPr>
      <w:r w:rsidRPr="0068071D">
        <w:rPr>
          <w:rStyle w:val="FootnoteReference"/>
        </w:rPr>
        <w:footnoteRef/>
      </w:r>
      <w:r w:rsidRPr="0068071D">
        <w:t xml:space="preserve"> Affordable Warmth is also known as Home Heating Cost Reduction Obligation (HHCRO).</w:t>
      </w:r>
    </w:p>
  </w:footnote>
  <w:footnote w:id="3">
    <w:p w:rsidR="00136242" w:rsidRPr="006653D2" w:rsidRDefault="00136242" w:rsidP="00D12323">
      <w:pPr>
        <w:pStyle w:val="FootnoteText"/>
        <w:spacing w:after="0"/>
        <w:jc w:val="both"/>
      </w:pPr>
      <w:r w:rsidRPr="006653D2">
        <w:rPr>
          <w:rStyle w:val="FootnoteReference"/>
        </w:rPr>
        <w:footnoteRef/>
      </w:r>
      <w:r w:rsidRPr="006653D2">
        <w:t xml:space="preserve"> Boilers are only eligible under HHCRO. A full list of measure type eligibility by obligation is published here: </w:t>
      </w:r>
      <w:hyperlink r:id="rId1" w:history="1">
        <w:r w:rsidRPr="006653D2">
          <w:rPr>
            <w:rStyle w:val="Hyperlink"/>
            <w:rFonts w:ascii="Arial" w:hAnsi="Arial"/>
            <w:sz w:val="20"/>
          </w:rPr>
          <w:t>https://www.ofgem.gov.uk/ofgem-publications/59029/energy-companies-obligation-eco-list-measures-and-additional-information.pdf</w:t>
        </w:r>
      </w:hyperlink>
      <w:r w:rsidRPr="006653D2">
        <w:t xml:space="preserve"> </w:t>
      </w:r>
    </w:p>
  </w:footnote>
  <w:footnote w:id="4">
    <w:p w:rsidR="00136242" w:rsidRPr="00300F50" w:rsidRDefault="00136242" w:rsidP="00423FF1">
      <w:pPr>
        <w:pStyle w:val="FootnoteText"/>
        <w:jc w:val="both"/>
        <w:rPr>
          <w:rFonts w:ascii="Calibri" w:hAnsi="Calibri" w:cs="Calibri"/>
          <w:color w:val="000000"/>
        </w:rPr>
      </w:pPr>
      <w:r w:rsidRPr="006653D2">
        <w:rPr>
          <w:rStyle w:val="FootnoteReference"/>
          <w:color w:val="000000"/>
        </w:rPr>
        <w:footnoteRef/>
      </w:r>
      <w:r w:rsidRPr="006653D2">
        <w:rPr>
          <w:color w:val="000000"/>
          <w:lang w:val="en"/>
        </w:rPr>
        <w:t xml:space="preserve"> Hard to </w:t>
      </w:r>
      <w:proofErr w:type="gramStart"/>
      <w:r w:rsidRPr="006653D2">
        <w:rPr>
          <w:color w:val="000000"/>
          <w:lang w:val="en"/>
        </w:rPr>
        <w:t>Treat</w:t>
      </w:r>
      <w:proofErr w:type="gramEnd"/>
      <w:r w:rsidRPr="006653D2">
        <w:rPr>
          <w:color w:val="000000"/>
          <w:lang w:val="en"/>
        </w:rPr>
        <w:t xml:space="preserve"> cavity wall properties are also sometimes known as ‘hard-to-fill’. This means that they cannot be insulated using the same methods and/or products as a standard cavity wall.</w:t>
      </w:r>
    </w:p>
  </w:footnote>
  <w:footnote w:id="5">
    <w:p w:rsidR="00136242" w:rsidRPr="006653D2" w:rsidRDefault="00136242" w:rsidP="00D12323">
      <w:pPr>
        <w:pStyle w:val="FootnoteText"/>
        <w:spacing w:after="0"/>
        <w:jc w:val="both"/>
      </w:pPr>
      <w:r w:rsidRPr="006653D2">
        <w:rPr>
          <w:rStyle w:val="FootnoteReference"/>
        </w:rPr>
        <w:footnoteRef/>
      </w:r>
      <w:r w:rsidRPr="006653D2">
        <w:t xml:space="preserve"> </w:t>
      </w:r>
      <w:proofErr w:type="gramStart"/>
      <w:r w:rsidRPr="006653D2">
        <w:t>Where there was at least 60mm of existing loft insulation.</w:t>
      </w:r>
      <w:proofErr w:type="gramEnd"/>
    </w:p>
  </w:footnote>
  <w:footnote w:id="6">
    <w:p w:rsidR="00136242" w:rsidRDefault="00136242" w:rsidP="000374A9">
      <w:pPr>
        <w:pStyle w:val="FootnoteText"/>
        <w:spacing w:after="0"/>
      </w:pPr>
      <w:r>
        <w:rPr>
          <w:rStyle w:val="FootnoteReference"/>
        </w:rPr>
        <w:footnoteRef/>
      </w:r>
      <w:r>
        <w:t xml:space="preserve"> Unlike Advisors in Assessor organisations, individual Installers within an installer organisation</w:t>
      </w:r>
      <w:r w:rsidRPr="0045708B">
        <w:t xml:space="preserve"> do</w:t>
      </w:r>
      <w:r>
        <w:t xml:space="preserve"> not</w:t>
      </w:r>
      <w:r w:rsidRPr="0045708B">
        <w:t xml:space="preserve"> need to register</w:t>
      </w:r>
      <w:r>
        <w:t>.</w:t>
      </w:r>
    </w:p>
  </w:footnote>
  <w:footnote w:id="7">
    <w:p w:rsidR="00136242" w:rsidRPr="008A5812" w:rsidRDefault="00136242" w:rsidP="00D12323">
      <w:pPr>
        <w:pStyle w:val="FootnoteText"/>
        <w:spacing w:after="0"/>
        <w:jc w:val="both"/>
      </w:pPr>
      <w:r w:rsidRPr="008A5812">
        <w:rPr>
          <w:rStyle w:val="FootnoteReference"/>
        </w:rPr>
        <w:footnoteRef/>
      </w:r>
      <w:r w:rsidRPr="008A5812">
        <w:t xml:space="preserve"> The Plan is a contract between the owner/occupier and the Provider – it sets out the work that will be done and the repayments.</w:t>
      </w:r>
    </w:p>
  </w:footnote>
  <w:footnote w:id="8">
    <w:p w:rsidR="00136242" w:rsidRDefault="00136242" w:rsidP="00D12323">
      <w:pPr>
        <w:pStyle w:val="FootnoteText"/>
        <w:spacing w:after="0"/>
        <w:jc w:val="both"/>
      </w:pPr>
      <w:r w:rsidRPr="008A5812">
        <w:rPr>
          <w:rStyle w:val="FootnoteReference"/>
        </w:rPr>
        <w:footnoteRef/>
      </w:r>
      <w:r w:rsidRPr="008A5812">
        <w:t xml:space="preserve"> For example, in the case of a Green Deal Plan that is regulated by the Consumer Credit Act 1974, the consumer will have 14 days to withdraw from the part of the Green Deal Plan which provides credit.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242" w:rsidRDefault="00136242">
    <w:pPr>
      <w:pStyle w:val="Header"/>
    </w:pPr>
    <w:fldSimple w:instr=" STYLEREF &quot;Chapter Head&quot; \* MERGEFORMAT ">
      <w:r w:rsidR="006C0F27">
        <w:rPr>
          <w:noProof/>
        </w:rPr>
        <w:t>Executive summary</w:t>
      </w:r>
    </w:fldSimple>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BE6" w:rsidRDefault="006B5BE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BE6" w:rsidRDefault="006B5BE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242" w:rsidRDefault="0013624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Decc-graphic2.pdf" style="position:absolute;left:0;text-align:left;margin-left:-42.5pt;margin-top:-28.15pt;width:595.3pt;height:840.95pt;z-index:-251657728;visibility:visible">
          <v:imagedata r:id="rId1" o:title="Decc-graphic2"/>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BE6" w:rsidRDefault="006B5B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242" w:rsidRDefault="0013624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2051" type="#_x0000_t75" alt="Decc-graphic2.pdf" style="position:absolute;left:0;text-align:left;margin-left:-42.8pt;margin-top:-30.75pt;width:595.3pt;height:840.95pt;z-index:-251658752;visibility:visible">
          <v:imagedata r:id="rId1" o:title="Decc-graphic2"/>
        </v:shape>
      </w:pict>
    </w:r>
    <w:r>
      <w:rPr>
        <w:noProof/>
      </w:rPr>
      <w:pict>
        <v:shape id="Picture 18" o:spid="_x0000_s2050" type="#_x0000_t75" alt="DECC logo." style="position:absolute;left:0;text-align:left;margin-left:-14.75pt;margin-top:.4pt;width:106.85pt;height:70.85pt;z-index:251656704;visibility:visible">
          <v:imagedata r:id="rId2" o:title="DECC logo"/>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BE6" w:rsidRDefault="006B5BE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BE6" w:rsidRDefault="006B5BE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242" w:rsidRDefault="0013624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BE6" w:rsidRDefault="006B5BE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BE6" w:rsidRDefault="006B5BE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242" w:rsidRDefault="001362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7EB7"/>
    <w:multiLevelType w:val="hybridMultilevel"/>
    <w:tmpl w:val="33CA4E2E"/>
    <w:lvl w:ilvl="0" w:tplc="8938A4C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AF0A82"/>
    <w:multiLevelType w:val="hybridMultilevel"/>
    <w:tmpl w:val="7FE4E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053791"/>
    <w:multiLevelType w:val="multilevel"/>
    <w:tmpl w:val="2D8CE0CA"/>
    <w:lvl w:ilvl="0">
      <w:start w:val="1"/>
      <w:numFmt w:val="lowerRoman"/>
      <w:pStyle w:val="Listnumbered"/>
      <w:lvlText w:val="%1."/>
      <w:lvlJc w:val="left"/>
      <w:pPr>
        <w:tabs>
          <w:tab w:val="num" w:pos="360"/>
        </w:tabs>
        <w:ind w:left="360" w:hanging="360"/>
      </w:pPr>
      <w:rPr>
        <w:rFonts w:hint="default"/>
      </w:rPr>
    </w:lvl>
    <w:lvl w:ilvl="1">
      <w:start w:val="1"/>
      <w:numFmt w:val="lowerRoman"/>
      <w:lvlText w:val="%1.%2."/>
      <w:lvlJc w:val="left"/>
      <w:pPr>
        <w:tabs>
          <w:tab w:val="num" w:pos="792"/>
        </w:tabs>
        <w:ind w:left="792" w:hanging="432"/>
      </w:pPr>
      <w:rPr>
        <w:rFonts w:hint="default"/>
        <w:color w:val="auto"/>
      </w:rPr>
    </w:lvl>
    <w:lvl w:ilvl="2">
      <w:start w:val="1"/>
      <w:numFmt w:val="lowerRoman"/>
      <w:lvlText w:val="%1.%2.%3."/>
      <w:lvlJc w:val="left"/>
      <w:pPr>
        <w:tabs>
          <w:tab w:val="num" w:pos="1440"/>
        </w:tabs>
        <w:ind w:left="1224" w:hanging="504"/>
      </w:pPr>
      <w:rPr>
        <w:rFonts w:hint="default"/>
        <w:color w:val="auto"/>
      </w:rPr>
    </w:lvl>
    <w:lvl w:ilvl="3">
      <w:start w:val="1"/>
      <w:numFmt w:val="none"/>
      <w:lvlText w:val="%1.%2.%3.%4."/>
      <w:lvlJc w:val="left"/>
      <w:pPr>
        <w:tabs>
          <w:tab w:val="num" w:pos="2160"/>
        </w:tabs>
        <w:ind w:left="1728" w:hanging="648"/>
      </w:pPr>
      <w:rPr>
        <w:rFonts w:hint="default"/>
      </w:rPr>
    </w:lvl>
    <w:lvl w:ilvl="4">
      <w:start w:val="1"/>
      <w:numFmt w:val="none"/>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34067CC6"/>
    <w:multiLevelType w:val="multilevel"/>
    <w:tmpl w:val="0A303D78"/>
    <w:lvl w:ilvl="0">
      <w:start w:val="1"/>
      <w:numFmt w:val="lowerLetter"/>
      <w:pStyle w:val="Listalpha"/>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nsid w:val="3E0E6647"/>
    <w:multiLevelType w:val="multilevel"/>
    <w:tmpl w:val="08E0FAD4"/>
    <w:lvl w:ilvl="0">
      <w:start w:val="1"/>
      <w:numFmt w:val="bullet"/>
      <w:pStyle w:val="Listbullet1"/>
      <w:lvlText w:val=""/>
      <w:lvlJc w:val="left"/>
      <w:pPr>
        <w:ind w:left="1211" w:hanging="360"/>
      </w:pPr>
      <w:rPr>
        <w:rFonts w:ascii="Symbol" w:hAnsi="Symbol" w:hint="default"/>
        <w:color w:val="00AEEF"/>
      </w:rPr>
    </w:lvl>
    <w:lvl w:ilvl="1">
      <w:start w:val="1"/>
      <w:numFmt w:val="bullet"/>
      <w:pStyle w:val="Listbullet2"/>
      <w:lvlText w:val=""/>
      <w:lvlJc w:val="left"/>
      <w:pPr>
        <w:tabs>
          <w:tab w:val="num" w:pos="720"/>
        </w:tabs>
        <w:ind w:left="720" w:hanging="360"/>
      </w:pPr>
      <w:rPr>
        <w:rFonts w:ascii="Symbol" w:hAnsi="Symbol" w:hint="default"/>
        <w:color w:val="auto"/>
      </w:rPr>
    </w:lvl>
    <w:lvl w:ilvl="2">
      <w:start w:val="1"/>
      <w:numFmt w:val="bullet"/>
      <w:pStyle w:val="Listbullet3"/>
      <w:lvlText w:val="-"/>
      <w:lvlJc w:val="left"/>
      <w:pPr>
        <w:tabs>
          <w:tab w:val="num" w:pos="1080"/>
        </w:tabs>
        <w:ind w:left="1080" w:hanging="360"/>
      </w:pPr>
      <w:rPr>
        <w:rFonts w:ascii="Arial" w:hAnsi="Aria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55AA33CF"/>
    <w:multiLevelType w:val="hybridMultilevel"/>
    <w:tmpl w:val="AFDC4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2B7440"/>
    <w:multiLevelType w:val="multilevel"/>
    <w:tmpl w:val="DA823368"/>
    <w:lvl w:ilvl="0">
      <w:start w:val="1"/>
      <w:numFmt w:val="decimal"/>
      <w:pStyle w:val="ChptHead"/>
      <w:lvlText w:val="%1."/>
      <w:lvlJc w:val="left"/>
      <w:pPr>
        <w:tabs>
          <w:tab w:val="num" w:pos="360"/>
        </w:tabs>
        <w:ind w:left="360" w:hanging="360"/>
      </w:pPr>
      <w:rPr>
        <w:rFonts w:hint="default"/>
      </w:rPr>
    </w:lvl>
    <w:lvl w:ilvl="1">
      <w:start w:val="1"/>
      <w:numFmt w:val="decimal"/>
      <w:pStyle w:val="Paragraphnumbered"/>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4"/>
  </w:num>
  <w:num w:numId="2">
    <w:abstractNumId w:val="6"/>
  </w:num>
  <w:num w:numId="3">
    <w:abstractNumId w:val="2"/>
  </w:num>
  <w:num w:numId="4">
    <w:abstractNumId w:val="3"/>
  </w:num>
  <w:num w:numId="5">
    <w:abstractNumId w:val="5"/>
  </w:num>
  <w:num w:numId="6">
    <w:abstractNumId w:val="1"/>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colormru v:ext="edit" colors="#01d1ae"/>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0F4E"/>
    <w:rsid w:val="00004C7C"/>
    <w:rsid w:val="00007F0B"/>
    <w:rsid w:val="00017256"/>
    <w:rsid w:val="00022CDD"/>
    <w:rsid w:val="0002370D"/>
    <w:rsid w:val="00031926"/>
    <w:rsid w:val="0003252A"/>
    <w:rsid w:val="000374A9"/>
    <w:rsid w:val="0004106F"/>
    <w:rsid w:val="00043E08"/>
    <w:rsid w:val="00051DE6"/>
    <w:rsid w:val="000564B6"/>
    <w:rsid w:val="0006123D"/>
    <w:rsid w:val="00074DFE"/>
    <w:rsid w:val="00084CED"/>
    <w:rsid w:val="00090E71"/>
    <w:rsid w:val="000A37D1"/>
    <w:rsid w:val="000A6FF0"/>
    <w:rsid w:val="000A7029"/>
    <w:rsid w:val="000A73D0"/>
    <w:rsid w:val="000C15BD"/>
    <w:rsid w:val="000C27CC"/>
    <w:rsid w:val="000D0170"/>
    <w:rsid w:val="000D6E25"/>
    <w:rsid w:val="000E5896"/>
    <w:rsid w:val="000E7A31"/>
    <w:rsid w:val="000F4B03"/>
    <w:rsid w:val="000F7468"/>
    <w:rsid w:val="0010085D"/>
    <w:rsid w:val="0010186C"/>
    <w:rsid w:val="001048D3"/>
    <w:rsid w:val="00106DBE"/>
    <w:rsid w:val="00107D4C"/>
    <w:rsid w:val="001165D9"/>
    <w:rsid w:val="001177EA"/>
    <w:rsid w:val="001236EF"/>
    <w:rsid w:val="00125140"/>
    <w:rsid w:val="00136242"/>
    <w:rsid w:val="001371C6"/>
    <w:rsid w:val="001632E7"/>
    <w:rsid w:val="0017263F"/>
    <w:rsid w:val="00174CFA"/>
    <w:rsid w:val="00190CEA"/>
    <w:rsid w:val="00193980"/>
    <w:rsid w:val="0019698D"/>
    <w:rsid w:val="00197DFC"/>
    <w:rsid w:val="001A7251"/>
    <w:rsid w:val="001C0183"/>
    <w:rsid w:val="001C1519"/>
    <w:rsid w:val="001C6F3E"/>
    <w:rsid w:val="001E1146"/>
    <w:rsid w:val="001E271D"/>
    <w:rsid w:val="001E7594"/>
    <w:rsid w:val="001F4BE7"/>
    <w:rsid w:val="001F7746"/>
    <w:rsid w:val="0021193E"/>
    <w:rsid w:val="00211C72"/>
    <w:rsid w:val="00215650"/>
    <w:rsid w:val="00222237"/>
    <w:rsid w:val="002319DA"/>
    <w:rsid w:val="0024448F"/>
    <w:rsid w:val="00245D53"/>
    <w:rsid w:val="00247639"/>
    <w:rsid w:val="00257640"/>
    <w:rsid w:val="00261887"/>
    <w:rsid w:val="002662FE"/>
    <w:rsid w:val="00286217"/>
    <w:rsid w:val="0029002A"/>
    <w:rsid w:val="00293344"/>
    <w:rsid w:val="002A0494"/>
    <w:rsid w:val="002A2F62"/>
    <w:rsid w:val="002B0545"/>
    <w:rsid w:val="002C3684"/>
    <w:rsid w:val="002D353E"/>
    <w:rsid w:val="002D369C"/>
    <w:rsid w:val="002D53A2"/>
    <w:rsid w:val="002E3BF4"/>
    <w:rsid w:val="002F1300"/>
    <w:rsid w:val="002F2904"/>
    <w:rsid w:val="00300F50"/>
    <w:rsid w:val="003269F2"/>
    <w:rsid w:val="003372F1"/>
    <w:rsid w:val="003569AF"/>
    <w:rsid w:val="00367A43"/>
    <w:rsid w:val="00376EB0"/>
    <w:rsid w:val="003770D0"/>
    <w:rsid w:val="00377616"/>
    <w:rsid w:val="00384D78"/>
    <w:rsid w:val="003A428A"/>
    <w:rsid w:val="003B7DB8"/>
    <w:rsid w:val="003C6A41"/>
    <w:rsid w:val="003C7CDB"/>
    <w:rsid w:val="003D40C9"/>
    <w:rsid w:val="003E17F1"/>
    <w:rsid w:val="003E23FC"/>
    <w:rsid w:val="003E505D"/>
    <w:rsid w:val="003E6FF5"/>
    <w:rsid w:val="003F3860"/>
    <w:rsid w:val="003F5043"/>
    <w:rsid w:val="00400C35"/>
    <w:rsid w:val="0040395B"/>
    <w:rsid w:val="00423FF1"/>
    <w:rsid w:val="0044439B"/>
    <w:rsid w:val="00447D02"/>
    <w:rsid w:val="00450F4E"/>
    <w:rsid w:val="00455015"/>
    <w:rsid w:val="00455D54"/>
    <w:rsid w:val="00460740"/>
    <w:rsid w:val="00466DBE"/>
    <w:rsid w:val="00476A90"/>
    <w:rsid w:val="00484799"/>
    <w:rsid w:val="00486E4E"/>
    <w:rsid w:val="00491465"/>
    <w:rsid w:val="00494A42"/>
    <w:rsid w:val="00496EA9"/>
    <w:rsid w:val="004A6290"/>
    <w:rsid w:val="004A7A6A"/>
    <w:rsid w:val="004B58EF"/>
    <w:rsid w:val="004B6831"/>
    <w:rsid w:val="004C0373"/>
    <w:rsid w:val="004D5D49"/>
    <w:rsid w:val="0050316A"/>
    <w:rsid w:val="00516843"/>
    <w:rsid w:val="0051760B"/>
    <w:rsid w:val="005257A4"/>
    <w:rsid w:val="005375F1"/>
    <w:rsid w:val="005407CF"/>
    <w:rsid w:val="00546E91"/>
    <w:rsid w:val="005504AC"/>
    <w:rsid w:val="0055396C"/>
    <w:rsid w:val="00562EF8"/>
    <w:rsid w:val="0056693D"/>
    <w:rsid w:val="00576E8B"/>
    <w:rsid w:val="0058513A"/>
    <w:rsid w:val="00585D63"/>
    <w:rsid w:val="0058668E"/>
    <w:rsid w:val="00593B7F"/>
    <w:rsid w:val="00595D27"/>
    <w:rsid w:val="005B7CB0"/>
    <w:rsid w:val="005C580D"/>
    <w:rsid w:val="005C70A5"/>
    <w:rsid w:val="005C7CA4"/>
    <w:rsid w:val="005D1BB8"/>
    <w:rsid w:val="005F47CE"/>
    <w:rsid w:val="0060295C"/>
    <w:rsid w:val="00605559"/>
    <w:rsid w:val="00614FD5"/>
    <w:rsid w:val="00616187"/>
    <w:rsid w:val="00634A60"/>
    <w:rsid w:val="00637A9C"/>
    <w:rsid w:val="00647603"/>
    <w:rsid w:val="00653830"/>
    <w:rsid w:val="00656651"/>
    <w:rsid w:val="00656CED"/>
    <w:rsid w:val="006653D2"/>
    <w:rsid w:val="00665A70"/>
    <w:rsid w:val="006731A4"/>
    <w:rsid w:val="006779EF"/>
    <w:rsid w:val="0068071D"/>
    <w:rsid w:val="006A5E00"/>
    <w:rsid w:val="006A6CF7"/>
    <w:rsid w:val="006A7A57"/>
    <w:rsid w:val="006B5BE6"/>
    <w:rsid w:val="006C0F27"/>
    <w:rsid w:val="006C530C"/>
    <w:rsid w:val="006C6AFF"/>
    <w:rsid w:val="006C7267"/>
    <w:rsid w:val="006C7C48"/>
    <w:rsid w:val="006D0CC6"/>
    <w:rsid w:val="006D27C5"/>
    <w:rsid w:val="006D47B5"/>
    <w:rsid w:val="006D5897"/>
    <w:rsid w:val="006D5D73"/>
    <w:rsid w:val="006D62D1"/>
    <w:rsid w:val="006D693D"/>
    <w:rsid w:val="006D734E"/>
    <w:rsid w:val="006F07CB"/>
    <w:rsid w:val="006F4D88"/>
    <w:rsid w:val="00702723"/>
    <w:rsid w:val="00703428"/>
    <w:rsid w:val="00705A31"/>
    <w:rsid w:val="00706510"/>
    <w:rsid w:val="00706B3F"/>
    <w:rsid w:val="00710CDA"/>
    <w:rsid w:val="0071453A"/>
    <w:rsid w:val="007165CB"/>
    <w:rsid w:val="007176B0"/>
    <w:rsid w:val="00721C77"/>
    <w:rsid w:val="00725696"/>
    <w:rsid w:val="00730CE9"/>
    <w:rsid w:val="00742CE7"/>
    <w:rsid w:val="00744AAE"/>
    <w:rsid w:val="00760043"/>
    <w:rsid w:val="007719FF"/>
    <w:rsid w:val="00792DFF"/>
    <w:rsid w:val="007A5606"/>
    <w:rsid w:val="007B588D"/>
    <w:rsid w:val="007C00FB"/>
    <w:rsid w:val="007C08B6"/>
    <w:rsid w:val="007C1A03"/>
    <w:rsid w:val="007C1E2D"/>
    <w:rsid w:val="007C7C83"/>
    <w:rsid w:val="007E1CB3"/>
    <w:rsid w:val="007F7015"/>
    <w:rsid w:val="00805CA0"/>
    <w:rsid w:val="00811B79"/>
    <w:rsid w:val="008157B0"/>
    <w:rsid w:val="00853AA3"/>
    <w:rsid w:val="00864351"/>
    <w:rsid w:val="00864D40"/>
    <w:rsid w:val="008659F4"/>
    <w:rsid w:val="00872BC3"/>
    <w:rsid w:val="0087707B"/>
    <w:rsid w:val="00877257"/>
    <w:rsid w:val="008856DC"/>
    <w:rsid w:val="0089209B"/>
    <w:rsid w:val="008A43E6"/>
    <w:rsid w:val="008A5812"/>
    <w:rsid w:val="008A739B"/>
    <w:rsid w:val="008B1E85"/>
    <w:rsid w:val="008B4089"/>
    <w:rsid w:val="008B74D5"/>
    <w:rsid w:val="008B798A"/>
    <w:rsid w:val="008C4ABB"/>
    <w:rsid w:val="008D25E5"/>
    <w:rsid w:val="008E6704"/>
    <w:rsid w:val="008E6CEA"/>
    <w:rsid w:val="008E74B5"/>
    <w:rsid w:val="008F1AD2"/>
    <w:rsid w:val="008F5C6D"/>
    <w:rsid w:val="00901427"/>
    <w:rsid w:val="009036D6"/>
    <w:rsid w:val="00905A0B"/>
    <w:rsid w:val="0092001D"/>
    <w:rsid w:val="00927623"/>
    <w:rsid w:val="00947692"/>
    <w:rsid w:val="00947EA2"/>
    <w:rsid w:val="009522AA"/>
    <w:rsid w:val="00964D4D"/>
    <w:rsid w:val="00975E83"/>
    <w:rsid w:val="009877A4"/>
    <w:rsid w:val="009A367B"/>
    <w:rsid w:val="009B2972"/>
    <w:rsid w:val="009B6095"/>
    <w:rsid w:val="009B6714"/>
    <w:rsid w:val="009C2289"/>
    <w:rsid w:val="009E2CB7"/>
    <w:rsid w:val="009E7605"/>
    <w:rsid w:val="009F3E9E"/>
    <w:rsid w:val="009F5B44"/>
    <w:rsid w:val="00A04888"/>
    <w:rsid w:val="00A0544F"/>
    <w:rsid w:val="00A071D2"/>
    <w:rsid w:val="00A10673"/>
    <w:rsid w:val="00A13B82"/>
    <w:rsid w:val="00A1783D"/>
    <w:rsid w:val="00A221DF"/>
    <w:rsid w:val="00A3396D"/>
    <w:rsid w:val="00A36D01"/>
    <w:rsid w:val="00A37BA6"/>
    <w:rsid w:val="00A56350"/>
    <w:rsid w:val="00A73F13"/>
    <w:rsid w:val="00A7631E"/>
    <w:rsid w:val="00A83231"/>
    <w:rsid w:val="00A867B4"/>
    <w:rsid w:val="00A86E75"/>
    <w:rsid w:val="00A937F4"/>
    <w:rsid w:val="00A96189"/>
    <w:rsid w:val="00A979BF"/>
    <w:rsid w:val="00AA4467"/>
    <w:rsid w:val="00AB1997"/>
    <w:rsid w:val="00AB3F8E"/>
    <w:rsid w:val="00AB505A"/>
    <w:rsid w:val="00AB6445"/>
    <w:rsid w:val="00AC60C8"/>
    <w:rsid w:val="00AE0CB3"/>
    <w:rsid w:val="00AF077E"/>
    <w:rsid w:val="00AF2024"/>
    <w:rsid w:val="00B16B07"/>
    <w:rsid w:val="00B22929"/>
    <w:rsid w:val="00B26728"/>
    <w:rsid w:val="00B32C51"/>
    <w:rsid w:val="00B35CEF"/>
    <w:rsid w:val="00B36F62"/>
    <w:rsid w:val="00B410F0"/>
    <w:rsid w:val="00B540A0"/>
    <w:rsid w:val="00B66943"/>
    <w:rsid w:val="00B67B7F"/>
    <w:rsid w:val="00B85BC4"/>
    <w:rsid w:val="00B902C2"/>
    <w:rsid w:val="00BB1FB4"/>
    <w:rsid w:val="00BC3AC2"/>
    <w:rsid w:val="00BE0EAA"/>
    <w:rsid w:val="00BE646A"/>
    <w:rsid w:val="00C06107"/>
    <w:rsid w:val="00C139D8"/>
    <w:rsid w:val="00C152CB"/>
    <w:rsid w:val="00C207E7"/>
    <w:rsid w:val="00C43BE4"/>
    <w:rsid w:val="00C454B9"/>
    <w:rsid w:val="00C466D3"/>
    <w:rsid w:val="00C6064C"/>
    <w:rsid w:val="00C8423E"/>
    <w:rsid w:val="00C8677B"/>
    <w:rsid w:val="00C92F38"/>
    <w:rsid w:val="00CA28EB"/>
    <w:rsid w:val="00CB113B"/>
    <w:rsid w:val="00CB1716"/>
    <w:rsid w:val="00CB5D52"/>
    <w:rsid w:val="00CC14D8"/>
    <w:rsid w:val="00CC5009"/>
    <w:rsid w:val="00CC67E0"/>
    <w:rsid w:val="00CD692B"/>
    <w:rsid w:val="00CE2665"/>
    <w:rsid w:val="00CE60C6"/>
    <w:rsid w:val="00CE6451"/>
    <w:rsid w:val="00CF10C9"/>
    <w:rsid w:val="00CF6621"/>
    <w:rsid w:val="00D00230"/>
    <w:rsid w:val="00D03891"/>
    <w:rsid w:val="00D12323"/>
    <w:rsid w:val="00D17B88"/>
    <w:rsid w:val="00D20033"/>
    <w:rsid w:val="00D2039D"/>
    <w:rsid w:val="00D21F92"/>
    <w:rsid w:val="00D31987"/>
    <w:rsid w:val="00D37124"/>
    <w:rsid w:val="00D43EF1"/>
    <w:rsid w:val="00D52D61"/>
    <w:rsid w:val="00D60C35"/>
    <w:rsid w:val="00D62944"/>
    <w:rsid w:val="00D7038A"/>
    <w:rsid w:val="00D703AF"/>
    <w:rsid w:val="00D72894"/>
    <w:rsid w:val="00D84CF2"/>
    <w:rsid w:val="00D85261"/>
    <w:rsid w:val="00D912D5"/>
    <w:rsid w:val="00D93BBD"/>
    <w:rsid w:val="00DA54C0"/>
    <w:rsid w:val="00DA5DEE"/>
    <w:rsid w:val="00DA7331"/>
    <w:rsid w:val="00DB1D64"/>
    <w:rsid w:val="00DB59F3"/>
    <w:rsid w:val="00DB7A00"/>
    <w:rsid w:val="00DC0FA1"/>
    <w:rsid w:val="00DC1055"/>
    <w:rsid w:val="00DC67FF"/>
    <w:rsid w:val="00DD0BE1"/>
    <w:rsid w:val="00DD6CB3"/>
    <w:rsid w:val="00DE2E21"/>
    <w:rsid w:val="00DF27C9"/>
    <w:rsid w:val="00E13C26"/>
    <w:rsid w:val="00E14A29"/>
    <w:rsid w:val="00E2670A"/>
    <w:rsid w:val="00E320F5"/>
    <w:rsid w:val="00E37ADB"/>
    <w:rsid w:val="00E436B3"/>
    <w:rsid w:val="00E50CB3"/>
    <w:rsid w:val="00E52CE8"/>
    <w:rsid w:val="00E54EA2"/>
    <w:rsid w:val="00E6498C"/>
    <w:rsid w:val="00E82B6F"/>
    <w:rsid w:val="00E82B77"/>
    <w:rsid w:val="00E831E2"/>
    <w:rsid w:val="00E90724"/>
    <w:rsid w:val="00EA5D38"/>
    <w:rsid w:val="00EB0A90"/>
    <w:rsid w:val="00EB6438"/>
    <w:rsid w:val="00EC1E86"/>
    <w:rsid w:val="00EC252E"/>
    <w:rsid w:val="00EC4CC0"/>
    <w:rsid w:val="00ED403E"/>
    <w:rsid w:val="00ED4B22"/>
    <w:rsid w:val="00ED54B5"/>
    <w:rsid w:val="00EE4805"/>
    <w:rsid w:val="00EE4AB9"/>
    <w:rsid w:val="00EE4B99"/>
    <w:rsid w:val="00EF1F71"/>
    <w:rsid w:val="00EF278B"/>
    <w:rsid w:val="00F052D3"/>
    <w:rsid w:val="00F1001A"/>
    <w:rsid w:val="00F307A2"/>
    <w:rsid w:val="00F30B87"/>
    <w:rsid w:val="00F31808"/>
    <w:rsid w:val="00F3404A"/>
    <w:rsid w:val="00F40A8B"/>
    <w:rsid w:val="00F5166B"/>
    <w:rsid w:val="00F53F8B"/>
    <w:rsid w:val="00F541EA"/>
    <w:rsid w:val="00F542C0"/>
    <w:rsid w:val="00F7089E"/>
    <w:rsid w:val="00F75181"/>
    <w:rsid w:val="00F770DF"/>
    <w:rsid w:val="00F77169"/>
    <w:rsid w:val="00F95448"/>
    <w:rsid w:val="00FA55A3"/>
    <w:rsid w:val="00FB25A0"/>
    <w:rsid w:val="00FB26BA"/>
    <w:rsid w:val="00FB3E32"/>
    <w:rsid w:val="00FB50DB"/>
    <w:rsid w:val="00FC2012"/>
    <w:rsid w:val="00FC7841"/>
    <w:rsid w:val="00FD2A4E"/>
    <w:rsid w:val="00FD4270"/>
    <w:rsid w:val="00FF6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ru v:ext="edit" colors="#01d1ae"/>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407CF"/>
    <w:pPr>
      <w:spacing w:before="120" w:after="120" w:line="280" w:lineRule="exact"/>
    </w:pPr>
    <w:rPr>
      <w:rFonts w:ascii="Arial" w:hAnsi="Arial" w:cs="Arial"/>
      <w:sz w:val="24"/>
      <w:lang w:eastAsia="en-US"/>
    </w:rPr>
  </w:style>
  <w:style w:type="paragraph" w:styleId="Heading1">
    <w:name w:val="heading 1"/>
    <w:basedOn w:val="Normal"/>
    <w:next w:val="Paragraphtext"/>
    <w:qFormat/>
    <w:rsid w:val="000F7468"/>
    <w:pPr>
      <w:keepNext/>
      <w:spacing w:before="240" w:line="380" w:lineRule="exact"/>
      <w:outlineLvl w:val="0"/>
    </w:pPr>
    <w:rPr>
      <w:color w:val="00AEEF"/>
      <w:sz w:val="32"/>
    </w:rPr>
  </w:style>
  <w:style w:type="paragraph" w:styleId="Heading2">
    <w:name w:val="heading 2"/>
    <w:basedOn w:val="Normal"/>
    <w:next w:val="Normal"/>
    <w:qFormat/>
    <w:rsid w:val="00FA55A3"/>
    <w:pPr>
      <w:spacing w:before="240"/>
      <w:outlineLvl w:val="1"/>
    </w:pPr>
    <w:rPr>
      <w:b/>
      <w:color w:val="00AEEF"/>
    </w:rPr>
  </w:style>
  <w:style w:type="paragraph" w:styleId="Heading3">
    <w:name w:val="heading 3"/>
    <w:basedOn w:val="Normal"/>
    <w:next w:val="Normal"/>
    <w:qFormat/>
    <w:rsid w:val="00FA55A3"/>
    <w:pPr>
      <w:outlineLvl w:val="2"/>
    </w:pPr>
    <w:rPr>
      <w:b/>
    </w:rPr>
  </w:style>
  <w:style w:type="paragraph" w:styleId="Heading4">
    <w:name w:val="heading 4"/>
    <w:basedOn w:val="Normal"/>
    <w:next w:val="Normal"/>
    <w:qFormat/>
    <w:rsid w:val="000F7468"/>
    <w:pPr>
      <w:outlineLvl w:val="3"/>
    </w:pPr>
    <w:rPr>
      <w:color w:val="00AEEF"/>
    </w:rPr>
  </w:style>
  <w:style w:type="paragraph" w:styleId="Heading5">
    <w:name w:val="heading 5"/>
    <w:basedOn w:val="Normal"/>
    <w:next w:val="Normal"/>
    <w:qFormat/>
    <w:rsid w:val="00FA55A3"/>
    <w:pPr>
      <w:spacing w:before="240" w:after="60"/>
      <w:outlineLvl w:val="4"/>
    </w:pPr>
    <w:rPr>
      <w:bCs/>
      <w:i/>
      <w:iCs/>
      <w:szCs w:val="26"/>
    </w:rPr>
  </w:style>
  <w:style w:type="paragraph" w:styleId="Heading6">
    <w:name w:val="heading 6"/>
    <w:basedOn w:val="Normal"/>
    <w:next w:val="Normal"/>
    <w:link w:val="Heading6Char"/>
    <w:uiPriority w:val="9"/>
    <w:qFormat/>
    <w:rsid w:val="00FA55A3"/>
    <w:pPr>
      <w:spacing w:before="240" w:after="60"/>
      <w:outlineLvl w:val="5"/>
    </w:pPr>
    <w:rPr>
      <w:rFonts w:eastAsia="MS Mincho" w:cs="Times New Roman"/>
      <w:b/>
      <w:bCs/>
      <w:sz w:val="22"/>
      <w:szCs w:val="22"/>
    </w:rPr>
  </w:style>
  <w:style w:type="paragraph" w:styleId="Heading7">
    <w:name w:val="heading 7"/>
    <w:basedOn w:val="Normal"/>
    <w:next w:val="Normal"/>
    <w:link w:val="Heading7Char"/>
    <w:uiPriority w:val="9"/>
    <w:qFormat/>
    <w:rsid w:val="00FA55A3"/>
    <w:pPr>
      <w:spacing w:before="240" w:after="60"/>
      <w:outlineLvl w:val="6"/>
    </w:pPr>
    <w:rPr>
      <w:rFonts w:eastAsia="MS Mincho" w:cs="Times New Roman"/>
      <w: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rsid w:val="004D5D49"/>
    <w:rPr>
      <w:rFonts w:cs="Times New Roman"/>
    </w:rPr>
  </w:style>
  <w:style w:type="character" w:customStyle="1" w:styleId="Heading6Char">
    <w:name w:val="Heading 6 Char"/>
    <w:link w:val="Heading6"/>
    <w:uiPriority w:val="9"/>
    <w:rsid w:val="00FA55A3"/>
    <w:rPr>
      <w:rFonts w:ascii="Arial" w:eastAsia="MS Mincho" w:hAnsi="Arial"/>
      <w:b/>
      <w:bCs/>
      <w:sz w:val="22"/>
      <w:szCs w:val="22"/>
      <w:lang w:eastAsia="en-US"/>
    </w:rPr>
  </w:style>
  <w:style w:type="character" w:customStyle="1" w:styleId="Heading7Char">
    <w:name w:val="Heading 7 Char"/>
    <w:link w:val="Heading7"/>
    <w:uiPriority w:val="9"/>
    <w:rsid w:val="00FA55A3"/>
    <w:rPr>
      <w:rFonts w:ascii="Arial" w:eastAsia="MS Mincho" w:hAnsi="Arial"/>
      <w:i/>
      <w:sz w:val="22"/>
      <w:szCs w:val="24"/>
      <w:lang w:eastAsia="en-US"/>
    </w:rPr>
  </w:style>
  <w:style w:type="paragraph" w:customStyle="1" w:styleId="Listbullet2">
    <w:name w:val="List bullet2"/>
    <w:rsid w:val="00FA55A3"/>
    <w:pPr>
      <w:numPr>
        <w:ilvl w:val="1"/>
        <w:numId w:val="1"/>
      </w:numPr>
      <w:tabs>
        <w:tab w:val="clear" w:pos="720"/>
        <w:tab w:val="num" w:pos="1418"/>
      </w:tabs>
      <w:spacing w:before="120" w:after="120" w:line="320" w:lineRule="exact"/>
      <w:ind w:left="1418" w:hanging="567"/>
      <w:contextualSpacing/>
    </w:pPr>
    <w:rPr>
      <w:rFonts w:ascii="Arial" w:hAnsi="Arial"/>
      <w:sz w:val="24"/>
      <w:lang w:eastAsia="en-US"/>
    </w:rPr>
  </w:style>
  <w:style w:type="paragraph" w:customStyle="1" w:styleId="Figureschartstitle">
    <w:name w:val="Figures/charts title"/>
    <w:basedOn w:val="Introduction"/>
    <w:rsid w:val="005407CF"/>
    <w:pPr>
      <w:spacing w:before="120" w:after="60" w:line="240" w:lineRule="auto"/>
      <w:outlineLvl w:val="5"/>
    </w:pPr>
    <w:rPr>
      <w:b/>
      <w:sz w:val="22"/>
    </w:rPr>
  </w:style>
  <w:style w:type="paragraph" w:customStyle="1" w:styleId="Introduction">
    <w:name w:val="Introduction"/>
    <w:basedOn w:val="Normal"/>
    <w:next w:val="Paragraphtext"/>
    <w:rsid w:val="00EF1F71"/>
    <w:pPr>
      <w:spacing w:before="240" w:line="380" w:lineRule="exact"/>
    </w:pPr>
    <w:rPr>
      <w:rFonts w:cs="Times New Roman"/>
      <w:color w:val="00AEEF"/>
      <w:sz w:val="32"/>
    </w:rPr>
  </w:style>
  <w:style w:type="paragraph" w:customStyle="1" w:styleId="Titlepagetext">
    <w:name w:val="Title page text"/>
    <w:basedOn w:val="Normal"/>
    <w:next w:val="Paragraphtext"/>
    <w:rsid w:val="00FA55A3"/>
    <w:rPr>
      <w:b/>
    </w:rPr>
  </w:style>
  <w:style w:type="character" w:styleId="FollowedHyperlink">
    <w:name w:val="FollowedHyperlink"/>
    <w:uiPriority w:val="99"/>
    <w:semiHidden/>
    <w:rPr>
      <w:rFonts w:ascii="Arial" w:hAnsi="Arial"/>
      <w:color w:val="800080"/>
      <w:sz w:val="24"/>
      <w:u w:val="single"/>
    </w:rPr>
  </w:style>
  <w:style w:type="paragraph" w:customStyle="1" w:styleId="Listalpha">
    <w:name w:val="List alpha"/>
    <w:rsid w:val="00FA55A3"/>
    <w:pPr>
      <w:numPr>
        <w:numId w:val="4"/>
      </w:numPr>
      <w:spacing w:before="120" w:after="120" w:line="320" w:lineRule="exact"/>
      <w:ind w:left="357" w:hanging="357"/>
    </w:pPr>
    <w:rPr>
      <w:rFonts w:ascii="Arial" w:hAnsi="Arial"/>
      <w:sz w:val="24"/>
      <w:lang w:eastAsia="en-US"/>
    </w:rPr>
  </w:style>
  <w:style w:type="paragraph" w:customStyle="1" w:styleId="Listbullet1">
    <w:name w:val="List bullet1"/>
    <w:rsid w:val="00FA55A3"/>
    <w:pPr>
      <w:numPr>
        <w:numId w:val="1"/>
      </w:numPr>
      <w:tabs>
        <w:tab w:val="left" w:pos="851"/>
      </w:tabs>
      <w:spacing w:before="120" w:after="120" w:line="320" w:lineRule="exact"/>
      <w:ind w:left="885" w:hanging="397"/>
    </w:pPr>
    <w:rPr>
      <w:rFonts w:ascii="Arial" w:hAnsi="Arial" w:cs="Arial"/>
      <w:sz w:val="24"/>
      <w:lang w:eastAsia="en-US"/>
    </w:rPr>
  </w:style>
  <w:style w:type="paragraph" w:customStyle="1" w:styleId="ChapterHead">
    <w:name w:val="Chapter Head"/>
    <w:basedOn w:val="Normal"/>
    <w:next w:val="Introduction"/>
    <w:rsid w:val="00D52D61"/>
    <w:pPr>
      <w:keepNext/>
      <w:spacing w:before="1000" w:after="2000" w:line="540" w:lineRule="exact"/>
      <w:contextualSpacing/>
      <w:outlineLvl w:val="0"/>
    </w:pPr>
    <w:rPr>
      <w:rFonts w:cs="Times New Roman"/>
      <w:color w:val="00AEEF"/>
      <w:sz w:val="50"/>
    </w:rPr>
  </w:style>
  <w:style w:type="paragraph" w:customStyle="1" w:styleId="Footnote">
    <w:name w:val="Footnote"/>
    <w:basedOn w:val="Normal"/>
    <w:rsid w:val="00D37124"/>
    <w:pPr>
      <w:spacing w:after="60"/>
    </w:pPr>
    <w:rPr>
      <w:sz w:val="20"/>
    </w:rPr>
  </w:style>
  <w:style w:type="paragraph" w:customStyle="1" w:styleId="Listnumbered">
    <w:name w:val="List numbered"/>
    <w:rsid w:val="00FA55A3"/>
    <w:pPr>
      <w:numPr>
        <w:numId w:val="3"/>
      </w:numPr>
      <w:spacing w:before="120" w:after="120" w:line="320" w:lineRule="exact"/>
      <w:ind w:left="357" w:hanging="357"/>
    </w:pPr>
    <w:rPr>
      <w:rFonts w:ascii="Arial" w:hAnsi="Arial"/>
      <w:sz w:val="24"/>
      <w:lang w:eastAsia="en-US"/>
    </w:rPr>
  </w:style>
  <w:style w:type="paragraph" w:customStyle="1" w:styleId="Listbullet3">
    <w:name w:val="List bullet3"/>
    <w:rsid w:val="00FA55A3"/>
    <w:pPr>
      <w:numPr>
        <w:ilvl w:val="2"/>
        <w:numId w:val="1"/>
      </w:numPr>
      <w:spacing w:after="60"/>
      <w:ind w:left="1843" w:hanging="425"/>
      <w:contextualSpacing/>
    </w:pPr>
    <w:rPr>
      <w:rFonts w:ascii="Arial" w:hAnsi="Arial"/>
      <w:sz w:val="24"/>
      <w:lang w:eastAsia="en-US"/>
    </w:rPr>
  </w:style>
  <w:style w:type="paragraph" w:customStyle="1" w:styleId="Notesexample">
    <w:name w:val="Notes/example"/>
    <w:basedOn w:val="Caption"/>
    <w:next w:val="Paragraphtext"/>
    <w:rsid w:val="00E6498C"/>
    <w:pPr>
      <w:outlineLvl w:val="4"/>
    </w:pPr>
    <w:rPr>
      <w:color w:val="00AEEF"/>
      <w:sz w:val="22"/>
    </w:rPr>
  </w:style>
  <w:style w:type="paragraph" w:styleId="Caption">
    <w:name w:val="caption"/>
    <w:basedOn w:val="Normal"/>
    <w:next w:val="Normal"/>
    <w:qFormat/>
    <w:rsid w:val="005407CF"/>
    <w:rPr>
      <w:b/>
      <w:bCs/>
      <w:sz w:val="20"/>
    </w:rPr>
  </w:style>
  <w:style w:type="paragraph" w:customStyle="1" w:styleId="RunningHeads">
    <w:name w:val="Running Heads"/>
    <w:rsid w:val="00FA55A3"/>
    <w:pPr>
      <w:spacing w:line="240" w:lineRule="exact"/>
    </w:pPr>
    <w:rPr>
      <w:rFonts w:ascii="Arial" w:hAnsi="Arial" w:cs="Arial"/>
      <w:sz w:val="18"/>
      <w:lang w:eastAsia="en-US"/>
    </w:rPr>
  </w:style>
  <w:style w:type="paragraph" w:styleId="Footer">
    <w:name w:val="footer"/>
    <w:basedOn w:val="Normal"/>
    <w:link w:val="FooterChar"/>
    <w:uiPriority w:val="99"/>
    <w:rsid w:val="008B74D5"/>
    <w:pPr>
      <w:tabs>
        <w:tab w:val="center" w:pos="4153"/>
        <w:tab w:val="right" w:pos="8306"/>
      </w:tabs>
      <w:jc w:val="center"/>
    </w:pPr>
    <w:rPr>
      <w:sz w:val="22"/>
    </w:rPr>
  </w:style>
  <w:style w:type="character" w:customStyle="1" w:styleId="FooterChar">
    <w:name w:val="Footer Char"/>
    <w:link w:val="Footer"/>
    <w:uiPriority w:val="99"/>
    <w:rsid w:val="00D12323"/>
    <w:rPr>
      <w:rFonts w:ascii="Arial" w:hAnsi="Arial" w:cs="Arial"/>
      <w:sz w:val="22"/>
      <w:lang w:eastAsia="en-US"/>
    </w:rPr>
  </w:style>
  <w:style w:type="paragraph" w:styleId="Title">
    <w:name w:val="Title"/>
    <w:basedOn w:val="Normal"/>
    <w:qFormat/>
    <w:rsid w:val="006D62D1"/>
    <w:pPr>
      <w:spacing w:after="240" w:line="840" w:lineRule="exact"/>
      <w:outlineLvl w:val="0"/>
    </w:pPr>
    <w:rPr>
      <w:rFonts w:cs="Times New Roman"/>
      <w:color w:val="00AEEF"/>
      <w:sz w:val="76"/>
    </w:rPr>
  </w:style>
  <w:style w:type="character" w:styleId="Hyperlink">
    <w:name w:val="Hyperlink"/>
    <w:uiPriority w:val="99"/>
    <w:rsid w:val="008E6704"/>
    <w:rPr>
      <w:rFonts w:ascii="Helvetica Neue" w:hAnsi="Helvetica Neue"/>
      <w:color w:val="0000FF"/>
      <w:sz w:val="24"/>
      <w:u w:val="single"/>
    </w:rPr>
  </w:style>
  <w:style w:type="paragraph" w:styleId="TOC1">
    <w:name w:val="toc 1"/>
    <w:basedOn w:val="Normal"/>
    <w:next w:val="Normal"/>
    <w:autoRedefine/>
    <w:uiPriority w:val="39"/>
    <w:rsid w:val="00D52D61"/>
    <w:pPr>
      <w:tabs>
        <w:tab w:val="right" w:leader="dot" w:pos="10082"/>
      </w:tabs>
      <w:ind w:right="142"/>
    </w:pPr>
    <w:rPr>
      <w:color w:val="00AEEF"/>
    </w:rPr>
  </w:style>
  <w:style w:type="paragraph" w:styleId="TOC2">
    <w:name w:val="toc 2"/>
    <w:basedOn w:val="Normal"/>
    <w:next w:val="Normal"/>
    <w:autoRedefine/>
    <w:semiHidden/>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Subtitle">
    <w:name w:val="Subtitle"/>
    <w:basedOn w:val="Normal"/>
    <w:qFormat/>
    <w:rsid w:val="00EC252E"/>
    <w:pPr>
      <w:spacing w:line="520" w:lineRule="exact"/>
      <w:outlineLvl w:val="1"/>
    </w:pPr>
    <w:rPr>
      <w:rFonts w:cs="Times New Roman"/>
      <w:sz w:val="44"/>
    </w:rPr>
  </w:style>
  <w:style w:type="paragraph" w:customStyle="1" w:styleId="Paragraphnumbered">
    <w:name w:val="Paragraph numbered"/>
    <w:basedOn w:val="Paragraphtext"/>
    <w:rsid w:val="00B26728"/>
    <w:pPr>
      <w:numPr>
        <w:ilvl w:val="1"/>
        <w:numId w:val="2"/>
      </w:numPr>
      <w:ind w:left="794" w:hanging="794"/>
    </w:pPr>
  </w:style>
  <w:style w:type="paragraph" w:styleId="Date">
    <w:name w:val="Date"/>
    <w:next w:val="Normal"/>
    <w:link w:val="DateChar"/>
    <w:uiPriority w:val="99"/>
    <w:unhideWhenUsed/>
    <w:rsid w:val="00721C77"/>
    <w:pPr>
      <w:spacing w:before="240"/>
      <w:ind w:right="284"/>
      <w:jc w:val="right"/>
    </w:pPr>
    <w:rPr>
      <w:rFonts w:ascii="Arial" w:hAnsi="Arial"/>
      <w:color w:val="FFFFFF"/>
      <w:sz w:val="28"/>
      <w:lang w:eastAsia="en-US"/>
    </w:rPr>
  </w:style>
  <w:style w:type="character" w:customStyle="1" w:styleId="DateChar">
    <w:name w:val="Date Char"/>
    <w:link w:val="Date"/>
    <w:uiPriority w:val="99"/>
    <w:rsid w:val="00721C77"/>
    <w:rPr>
      <w:rFonts w:ascii="Arial" w:hAnsi="Arial"/>
      <w:color w:val="FFFFFF"/>
      <w:sz w:val="28"/>
      <w:lang w:eastAsia="en-US"/>
    </w:rPr>
  </w:style>
  <w:style w:type="paragraph" w:customStyle="1" w:styleId="ChptHead">
    <w:name w:val="Chpt Head"/>
    <w:basedOn w:val="ChapterHead"/>
    <w:next w:val="Paragraphtext"/>
    <w:rsid w:val="006C530C"/>
    <w:pPr>
      <w:numPr>
        <w:numId w:val="2"/>
      </w:numPr>
      <w:ind w:left="357" w:hanging="357"/>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D12323"/>
    <w:rPr>
      <w:rFonts w:ascii="Tahoma" w:hAnsi="Tahoma" w:cs="Tahoma"/>
      <w:sz w:val="16"/>
      <w:szCs w:val="16"/>
      <w:lang w:eastAsia="en-US"/>
    </w:rPr>
  </w:style>
  <w:style w:type="paragraph" w:styleId="Header">
    <w:name w:val="header"/>
    <w:basedOn w:val="Normal"/>
    <w:link w:val="HeaderChar"/>
    <w:uiPriority w:val="99"/>
    <w:rsid w:val="00D62944"/>
    <w:pPr>
      <w:tabs>
        <w:tab w:val="center" w:pos="4153"/>
        <w:tab w:val="right" w:pos="8306"/>
      </w:tabs>
      <w:jc w:val="right"/>
    </w:pPr>
    <w:rPr>
      <w:color w:val="666666"/>
      <w:sz w:val="22"/>
    </w:rPr>
  </w:style>
  <w:style w:type="character" w:customStyle="1" w:styleId="HeaderChar">
    <w:name w:val="Header Char"/>
    <w:link w:val="Header"/>
    <w:uiPriority w:val="99"/>
    <w:rsid w:val="00D12323"/>
    <w:rPr>
      <w:rFonts w:ascii="Arial" w:hAnsi="Arial" w:cs="Arial"/>
      <w:color w:val="666666"/>
      <w:sz w:val="22"/>
      <w:lang w:eastAsia="en-US"/>
    </w:rPr>
  </w:style>
  <w:style w:type="paragraph" w:styleId="FootnoteText">
    <w:name w:val="footnote text"/>
    <w:basedOn w:val="Normal"/>
    <w:link w:val="FootnoteTextChar"/>
    <w:uiPriority w:val="99"/>
    <w:semiHidden/>
    <w:rsid w:val="00D85261"/>
    <w:pPr>
      <w:spacing w:before="0" w:after="60" w:line="240" w:lineRule="exact"/>
    </w:pPr>
    <w:rPr>
      <w:sz w:val="20"/>
    </w:rPr>
  </w:style>
  <w:style w:type="character" w:customStyle="1" w:styleId="FootnoteTextChar">
    <w:name w:val="Footnote Text Char"/>
    <w:link w:val="FootnoteText"/>
    <w:uiPriority w:val="99"/>
    <w:semiHidden/>
    <w:rsid w:val="00D12323"/>
    <w:rPr>
      <w:rFonts w:ascii="Arial" w:hAnsi="Arial" w:cs="Arial"/>
      <w:lang w:eastAsia="en-US"/>
    </w:rPr>
  </w:style>
  <w:style w:type="character" w:styleId="FootnoteReference">
    <w:name w:val="footnote reference"/>
    <w:uiPriority w:val="99"/>
    <w:semiHidden/>
    <w:rPr>
      <w:vertAlign w:val="superscript"/>
    </w:rPr>
  </w:style>
  <w:style w:type="character" w:styleId="PageNumber">
    <w:name w:val="page number"/>
    <w:basedOn w:val="DefaultParagraphFont"/>
    <w:semiHidden/>
  </w:style>
  <w:style w:type="character" w:customStyle="1" w:styleId="colour">
    <w:name w:val="colour"/>
    <w:uiPriority w:val="1"/>
    <w:qFormat/>
    <w:rsid w:val="00A7631E"/>
    <w:rPr>
      <w:color w:val="00AEEF"/>
    </w:rPr>
  </w:style>
  <w:style w:type="paragraph" w:styleId="TOCHeading">
    <w:name w:val="TOC Heading"/>
    <w:basedOn w:val="ChapterHead"/>
    <w:next w:val="Normal"/>
    <w:uiPriority w:val="71"/>
    <w:unhideWhenUsed/>
    <w:qFormat/>
    <w:rsid w:val="00B36F62"/>
    <w:pPr>
      <w:spacing w:after="1000"/>
    </w:pPr>
  </w:style>
  <w:style w:type="paragraph" w:customStyle="1" w:styleId="Boxtext">
    <w:name w:val="Box text"/>
    <w:basedOn w:val="Paragraphtext"/>
    <w:next w:val="Paragraphtext"/>
    <w:qFormat/>
    <w:rsid w:val="00A867B4"/>
    <w:pPr>
      <w:shd w:val="clear" w:color="auto" w:fill="CAEEFF"/>
      <w:ind w:left="567" w:right="567"/>
    </w:pPr>
  </w:style>
  <w:style w:type="character" w:customStyle="1" w:styleId="CommentTextChar">
    <w:name w:val="Comment Text Char"/>
    <w:link w:val="CommentText"/>
    <w:uiPriority w:val="99"/>
    <w:semiHidden/>
    <w:rsid w:val="00D12323"/>
    <w:rPr>
      <w:rFonts w:ascii="Calibri" w:eastAsia="Calibri" w:hAnsi="Calibri"/>
      <w:lang w:eastAsia="en-US"/>
    </w:rPr>
  </w:style>
  <w:style w:type="paragraph" w:styleId="CommentText">
    <w:name w:val="annotation text"/>
    <w:basedOn w:val="Normal"/>
    <w:link w:val="CommentTextChar"/>
    <w:uiPriority w:val="99"/>
    <w:semiHidden/>
    <w:unhideWhenUsed/>
    <w:rsid w:val="00D12323"/>
    <w:pPr>
      <w:spacing w:before="0" w:after="200" w:line="276" w:lineRule="auto"/>
    </w:pPr>
    <w:rPr>
      <w:rFonts w:ascii="Calibri" w:eastAsia="Calibri" w:hAnsi="Calibri" w:cs="Times New Roman"/>
      <w:sz w:val="20"/>
    </w:rPr>
  </w:style>
  <w:style w:type="character" w:customStyle="1" w:styleId="CommentSubjectChar">
    <w:name w:val="Comment Subject Char"/>
    <w:link w:val="CommentSubject"/>
    <w:uiPriority w:val="99"/>
    <w:semiHidden/>
    <w:rsid w:val="00D12323"/>
    <w:rPr>
      <w:rFonts w:ascii="Calibri" w:eastAsia="Calibri" w:hAnsi="Calibri"/>
      <w:b/>
      <w:bCs/>
      <w:lang w:eastAsia="en-US"/>
    </w:rPr>
  </w:style>
  <w:style w:type="paragraph" w:styleId="CommentSubject">
    <w:name w:val="annotation subject"/>
    <w:basedOn w:val="CommentText"/>
    <w:next w:val="CommentText"/>
    <w:link w:val="CommentSubjectChar"/>
    <w:uiPriority w:val="99"/>
    <w:semiHidden/>
    <w:unhideWhenUsed/>
    <w:rsid w:val="00D12323"/>
    <w:rPr>
      <w:b/>
      <w:bCs/>
    </w:rPr>
  </w:style>
  <w:style w:type="paragraph" w:customStyle="1" w:styleId="Default">
    <w:name w:val="Default"/>
    <w:rsid w:val="00D12323"/>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D12323"/>
    <w:rPr>
      <w:rFonts w:ascii="Calibri" w:eastAsia="Calibri" w:hAnsi="Calibri"/>
      <w:sz w:val="22"/>
      <w:szCs w:val="22"/>
      <w:lang w:eastAsia="en-US"/>
    </w:rPr>
  </w:style>
  <w:style w:type="paragraph" w:styleId="ListParagraph">
    <w:name w:val="List Paragraph"/>
    <w:basedOn w:val="Normal"/>
    <w:uiPriority w:val="34"/>
    <w:qFormat/>
    <w:rsid w:val="00D12323"/>
    <w:pPr>
      <w:spacing w:before="0" w:after="0" w:line="240" w:lineRule="auto"/>
      <w:ind w:left="720"/>
    </w:pPr>
    <w:rPr>
      <w:rFonts w:ascii="Calibri" w:hAnsi="Calibri" w:cs="Times New Roman"/>
      <w:sz w:val="22"/>
      <w:szCs w:val="22"/>
    </w:rPr>
  </w:style>
  <w:style w:type="paragraph" w:styleId="NormalWeb">
    <w:name w:val="Normal (Web)"/>
    <w:basedOn w:val="Normal"/>
    <w:uiPriority w:val="99"/>
    <w:unhideWhenUsed/>
    <w:rsid w:val="00D12323"/>
    <w:pPr>
      <w:spacing w:before="0" w:after="0" w:line="240" w:lineRule="auto"/>
    </w:pPr>
    <w:rPr>
      <w:rFonts w:ascii="Times New Roman" w:hAnsi="Times New Roman" w:cs="Times New Roman"/>
      <w:szCs w:val="24"/>
      <w:lang w:eastAsia="en-GB"/>
    </w:rPr>
  </w:style>
  <w:style w:type="paragraph" w:styleId="TableofFigures">
    <w:name w:val="table of figures"/>
    <w:basedOn w:val="Normal"/>
    <w:next w:val="Normal"/>
    <w:uiPriority w:val="99"/>
    <w:unhideWhenUsed/>
    <w:rsid w:val="000F4B03"/>
  </w:style>
  <w:style w:type="character" w:styleId="CommentReference">
    <w:name w:val="annotation reference"/>
    <w:uiPriority w:val="99"/>
    <w:semiHidden/>
    <w:unhideWhenUsed/>
    <w:rsid w:val="00B6694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48663">
      <w:bodyDiv w:val="1"/>
      <w:marLeft w:val="0"/>
      <w:marRight w:val="0"/>
      <w:marTop w:val="0"/>
      <w:marBottom w:val="0"/>
      <w:divBdr>
        <w:top w:val="none" w:sz="0" w:space="0" w:color="auto"/>
        <w:left w:val="none" w:sz="0" w:space="0" w:color="auto"/>
        <w:bottom w:val="none" w:sz="0" w:space="0" w:color="auto"/>
        <w:right w:val="none" w:sz="0" w:space="0" w:color="auto"/>
      </w:divBdr>
    </w:div>
    <w:div w:id="740179861">
      <w:bodyDiv w:val="1"/>
      <w:marLeft w:val="0"/>
      <w:marRight w:val="0"/>
      <w:marTop w:val="0"/>
      <w:marBottom w:val="0"/>
      <w:divBdr>
        <w:top w:val="none" w:sz="0" w:space="0" w:color="auto"/>
        <w:left w:val="none" w:sz="0" w:space="0" w:color="auto"/>
        <w:bottom w:val="none" w:sz="0" w:space="0" w:color="auto"/>
        <w:right w:val="none" w:sz="0" w:space="0" w:color="auto"/>
      </w:divBdr>
    </w:div>
    <w:div w:id="1782339621">
      <w:bodyDiv w:val="1"/>
      <w:marLeft w:val="0"/>
      <w:marRight w:val="0"/>
      <w:marTop w:val="0"/>
      <w:marBottom w:val="0"/>
      <w:divBdr>
        <w:top w:val="none" w:sz="0" w:space="0" w:color="auto"/>
        <w:left w:val="none" w:sz="0" w:space="0" w:color="auto"/>
        <w:bottom w:val="none" w:sz="0" w:space="0" w:color="auto"/>
        <w:right w:val="none" w:sz="0" w:space="0" w:color="auto"/>
      </w:divBdr>
    </w:div>
    <w:div w:id="1804425959">
      <w:bodyDiv w:val="1"/>
      <w:marLeft w:val="0"/>
      <w:marRight w:val="0"/>
      <w:marTop w:val="0"/>
      <w:marBottom w:val="0"/>
      <w:divBdr>
        <w:top w:val="none" w:sz="0" w:space="0" w:color="auto"/>
        <w:left w:val="none" w:sz="0" w:space="0" w:color="auto"/>
        <w:bottom w:val="none" w:sz="0" w:space="0" w:color="auto"/>
        <w:right w:val="none" w:sz="0" w:space="0" w:color="auto"/>
      </w:divBdr>
    </w:div>
    <w:div w:id="1971476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psi@nationalarchives.gsi.gov.uk" TargetMode="External"/><Relationship Id="rId26" Type="http://schemas.openxmlformats.org/officeDocument/2006/relationships/header" Target="header9.xml"/><Relationship Id="rId39" Type="http://schemas.openxmlformats.org/officeDocument/2006/relationships/image" Target="media/image8.png"/><Relationship Id="rId21" Type="http://schemas.openxmlformats.org/officeDocument/2006/relationships/header" Target="header5.xml"/><Relationship Id="rId34" Type="http://schemas.openxmlformats.org/officeDocument/2006/relationships/hyperlink" Target="https://www.gov.uk/government/policies/helping-households-to-cut-their-energy-bills/supporting-pages/energy-companies-obligation-eco" TargetMode="External"/><Relationship Id="rId42" Type="http://schemas.openxmlformats.org/officeDocument/2006/relationships/hyperlink" Target="https://www.gov.uk/government/publications/green-deal-and-energy-company-obligation-eco-january-june-2013-statistics" TargetMode="External"/><Relationship Id="rId47" Type="http://schemas.openxmlformats.org/officeDocument/2006/relationships/hyperlink" Target="https://www.gov.uk/green-deal-energy-saving-measures" TargetMode="External"/><Relationship Id="rId50" Type="http://schemas.openxmlformats.org/officeDocument/2006/relationships/hyperlink" Target="http://www.energysavingtrust.org.uk/scotland/Take-action/Find-a-grant/Green-Homes-Cashback-Scheme" TargetMode="External"/><Relationship Id="rId55" Type="http://schemas.openxmlformats.org/officeDocument/2006/relationships/hyperlink" Target="https://www.gov.uk/government/organisations/department-of-energy-climate-change/about/statistic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hyperlink" Target="https://www.gov.uk/getting-a-green-deal-information-for-householders-and-landlords" TargetMode="External"/><Relationship Id="rId41" Type="http://schemas.openxmlformats.org/officeDocument/2006/relationships/image" Target="media/image9.png"/><Relationship Id="rId54" Type="http://schemas.openxmlformats.org/officeDocument/2006/relationships/hyperlink" Target="mailto:EnergyEfficiency.Stats@decc.gsi.gov.uk"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yperlink" Target="http://www.gov.uk/greendealcashback" TargetMode="External"/><Relationship Id="rId37" Type="http://schemas.openxmlformats.org/officeDocument/2006/relationships/hyperlink" Target="https://www.gov.uk/government/publications/green-deal-assessment-survey-wave-2-summary-report" TargetMode="External"/><Relationship Id="rId40" Type="http://schemas.openxmlformats.org/officeDocument/2006/relationships/hyperlink" Target="https://www.gov.uk/energy-companies-obligation-brokerage" TargetMode="External"/><Relationship Id="rId45" Type="http://schemas.openxmlformats.org/officeDocument/2006/relationships/hyperlink" Target="https://www.gov.uk/government/publications/domestic-green-deal-and-eco-statistics-methodology-note" TargetMode="External"/><Relationship Id="rId53" Type="http://schemas.openxmlformats.org/officeDocument/2006/relationships/hyperlink" Target="https://www.gov.uk/government/publications/domestic-green-deal-and-eco-statistics-methodology-note" TargetMode="External"/><Relationship Id="rId58"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yperlink" Target="https://www.gov.uk/government/publications/green-deal-and-energy-company-obligation-eco-january-june-2013-statistics" TargetMode="External"/><Relationship Id="rId36" Type="http://schemas.openxmlformats.org/officeDocument/2006/relationships/image" Target="media/image7.png"/><Relationship Id="rId49" Type="http://schemas.openxmlformats.org/officeDocument/2006/relationships/hyperlink" Target="http://www.gov.uk/greendealcashback" TargetMode="External"/><Relationship Id="rId57" Type="http://schemas.openxmlformats.org/officeDocument/2006/relationships/header" Target="header10.xm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EnergyEfficiency.Stats@decc.gsi.gov.uk" TargetMode="External"/><Relationship Id="rId31" Type="http://schemas.openxmlformats.org/officeDocument/2006/relationships/image" Target="media/image4.png"/><Relationship Id="rId44" Type="http://schemas.openxmlformats.org/officeDocument/2006/relationships/hyperlink" Target="http://www.greendealorb.co.uk/consumersearch" TargetMode="External"/><Relationship Id="rId52" Type="http://schemas.openxmlformats.org/officeDocument/2006/relationships/hyperlink" Target="https://gdcashback.decc.gov.uk/" TargetMode="External"/><Relationship Id="rId60"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yperlink" Target="https://www.gov.uk/government/publications/green-deal-and-energy-company-obligation-eco-january-june-2013-statistics" TargetMode="External"/><Relationship Id="rId30" Type="http://schemas.openxmlformats.org/officeDocument/2006/relationships/image" Target="media/image3.png"/><Relationship Id="rId35" Type="http://schemas.openxmlformats.org/officeDocument/2006/relationships/image" Target="media/image6.png"/><Relationship Id="rId43" Type="http://schemas.openxmlformats.org/officeDocument/2006/relationships/hyperlink" Target="http://www.greendealorb.co.uk/" TargetMode="External"/><Relationship Id="rId48" Type="http://schemas.openxmlformats.org/officeDocument/2006/relationships/hyperlink" Target="https://www.gov.uk/government/policies/helping-households-to-cut-their-energy-bills/supporting-pages/energy-companies-obligation-eco" TargetMode="External"/><Relationship Id="rId56" Type="http://schemas.openxmlformats.org/officeDocument/2006/relationships/hyperlink" Target="http://www.gov.uk/decc" TargetMode="External"/><Relationship Id="rId8" Type="http://schemas.openxmlformats.org/officeDocument/2006/relationships/webSettings" Target="webSettings.xml"/><Relationship Id="rId51" Type="http://schemas.openxmlformats.org/officeDocument/2006/relationships/hyperlink" Target="https://www.gov.uk/energy-companies-obligation-brokerage"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www.nationalarchives.gov.uk/doc/open-government-licence/" TargetMode="External"/><Relationship Id="rId25" Type="http://schemas.openxmlformats.org/officeDocument/2006/relationships/header" Target="header8.xml"/><Relationship Id="rId33" Type="http://schemas.openxmlformats.org/officeDocument/2006/relationships/image" Target="media/image5.png"/><Relationship Id="rId38" Type="http://schemas.openxmlformats.org/officeDocument/2006/relationships/hyperlink" Target="https://www.gov.uk/energy-companies-obligation-brokerage" TargetMode="External"/><Relationship Id="rId46" Type="http://schemas.openxmlformats.org/officeDocument/2006/relationships/hyperlink" Target="http://www.ofgem.gov.uk/Sustainability/Environment/ECO/Info-for-suppliers/Pages/index.aspx" TargetMode="External"/><Relationship Id="rId59" Type="http://schemas.openxmlformats.org/officeDocument/2006/relationships/header" Target="header12.xml"/></Relationships>
</file>

<file path=word/_rels/footnotes.xml.rels><?xml version="1.0" encoding="UTF-8" standalone="yes"?>
<Relationships xmlns="http://schemas.openxmlformats.org/package/2006/relationships"><Relationship Id="rId1" Type="http://schemas.openxmlformats.org/officeDocument/2006/relationships/hyperlink" Target="https://www.ofgem.gov.uk/ofgem-publications/59029/energy-companies-obligation-eco-list-measures-and-additional-information.pdf" TargetMode="External"/></Relationships>
</file>

<file path=word/_rels/header1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tatistics\Energy%20Efficiency\8.%20Green%20Deal\Restricted\November%20releases\Word%20Draft\Statistical%20release%20-%20Green%20Deal%20and%20ECO%20in%20GB%20-%2019%20November%20v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42F145830E9C4DA7DD0FA0AD8C4B35" ma:contentTypeVersion="1" ma:contentTypeDescription="Create a new document." ma:contentTypeScope="" ma:versionID="d70ea42bf5a6953fb7cdec4cf43ec2f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E9D1A-EB46-48E7-B018-66C0D6352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4560B3-DB9E-43B5-A901-DA1F5C8CA3C3}">
  <ds:schemaRefs>
    <ds:schemaRef ds:uri="http://schemas.microsoft.com/sharepoint/v3/contenttype/forms"/>
  </ds:schemaRefs>
</ds:datastoreItem>
</file>

<file path=customXml/itemProps3.xml><?xml version="1.0" encoding="utf-8"?>
<ds:datastoreItem xmlns:ds="http://schemas.openxmlformats.org/officeDocument/2006/customXml" ds:itemID="{25B8C34A-7716-437F-B286-13A6525065DB}">
  <ds:schemaRefs>
    <ds:schemaRef ds:uri="http://schemas.microsoft.com/office/infopath/2007/PartnerControls"/>
    <ds:schemaRef ds:uri="http://schemas.microsoft.com/office/2006/documentManagement/types"/>
    <ds:schemaRef ds:uri="http://schemas.microsoft.com/sharepoint/v3"/>
    <ds:schemaRef ds:uri="http://purl.org/dc/terms/"/>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132B5CD-8720-468F-B66E-0E8C18B34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Statistical release - Green Deal and ECO in GB - 19 November v0.1</Template>
  <TotalTime>0</TotalTime>
  <Pages>30</Pages>
  <Words>7106</Words>
  <Characters>40506</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DECC Title</vt:lpstr>
    </vt:vector>
  </TitlesOfParts>
  <Company>Department of Energy &amp; Climate Change</Company>
  <LinksUpToDate>false</LinksUpToDate>
  <CharactersWithSpaces>47517</CharactersWithSpaces>
  <SharedDoc>false</SharedDoc>
  <HyperlinkBase/>
  <HLinks>
    <vt:vector size="234" baseType="variant">
      <vt:variant>
        <vt:i4>6684797</vt:i4>
      </vt:variant>
      <vt:variant>
        <vt:i4>252</vt:i4>
      </vt:variant>
      <vt:variant>
        <vt:i4>0</vt:i4>
      </vt:variant>
      <vt:variant>
        <vt:i4>5</vt:i4>
      </vt:variant>
      <vt:variant>
        <vt:lpwstr>http://www.gov.uk/decc</vt:lpwstr>
      </vt:variant>
      <vt:variant>
        <vt:lpwstr/>
      </vt:variant>
      <vt:variant>
        <vt:i4>5046346</vt:i4>
      </vt:variant>
      <vt:variant>
        <vt:i4>249</vt:i4>
      </vt:variant>
      <vt:variant>
        <vt:i4>0</vt:i4>
      </vt:variant>
      <vt:variant>
        <vt:i4>5</vt:i4>
      </vt:variant>
      <vt:variant>
        <vt:lpwstr>https://www.gov.uk/government/organisations/department-of-energy-climate-change/about/statistics</vt:lpwstr>
      </vt:variant>
      <vt:variant>
        <vt:lpwstr/>
      </vt:variant>
      <vt:variant>
        <vt:i4>6357002</vt:i4>
      </vt:variant>
      <vt:variant>
        <vt:i4>246</vt:i4>
      </vt:variant>
      <vt:variant>
        <vt:i4>0</vt:i4>
      </vt:variant>
      <vt:variant>
        <vt:i4>5</vt:i4>
      </vt:variant>
      <vt:variant>
        <vt:lpwstr>mailto:EnergyEfficiency.Stats@decc.gsi.gov.uk</vt:lpwstr>
      </vt:variant>
      <vt:variant>
        <vt:lpwstr/>
      </vt:variant>
      <vt:variant>
        <vt:i4>3735652</vt:i4>
      </vt:variant>
      <vt:variant>
        <vt:i4>243</vt:i4>
      </vt:variant>
      <vt:variant>
        <vt:i4>0</vt:i4>
      </vt:variant>
      <vt:variant>
        <vt:i4>5</vt:i4>
      </vt:variant>
      <vt:variant>
        <vt:lpwstr>https://www.gov.uk/government/publications/domestic-green-deal-and-eco-statistics-methodology-note</vt:lpwstr>
      </vt:variant>
      <vt:variant>
        <vt:lpwstr/>
      </vt:variant>
      <vt:variant>
        <vt:i4>7667834</vt:i4>
      </vt:variant>
      <vt:variant>
        <vt:i4>240</vt:i4>
      </vt:variant>
      <vt:variant>
        <vt:i4>0</vt:i4>
      </vt:variant>
      <vt:variant>
        <vt:i4>5</vt:i4>
      </vt:variant>
      <vt:variant>
        <vt:lpwstr>https://gdcashback.decc.gov.uk/</vt:lpwstr>
      </vt:variant>
      <vt:variant>
        <vt:lpwstr/>
      </vt:variant>
      <vt:variant>
        <vt:i4>1048645</vt:i4>
      </vt:variant>
      <vt:variant>
        <vt:i4>237</vt:i4>
      </vt:variant>
      <vt:variant>
        <vt:i4>0</vt:i4>
      </vt:variant>
      <vt:variant>
        <vt:i4>5</vt:i4>
      </vt:variant>
      <vt:variant>
        <vt:lpwstr>https://www.gov.uk/energy-companies-obligation-brokerage</vt:lpwstr>
      </vt:variant>
      <vt:variant>
        <vt:lpwstr/>
      </vt:variant>
      <vt:variant>
        <vt:i4>1507356</vt:i4>
      </vt:variant>
      <vt:variant>
        <vt:i4>234</vt:i4>
      </vt:variant>
      <vt:variant>
        <vt:i4>0</vt:i4>
      </vt:variant>
      <vt:variant>
        <vt:i4>5</vt:i4>
      </vt:variant>
      <vt:variant>
        <vt:lpwstr>http://www.energysavingtrust.org.uk/scotland/Take-action/Find-a-grant/Green-Homes-Cashback-Scheme</vt:lpwstr>
      </vt:variant>
      <vt:variant>
        <vt:lpwstr/>
      </vt:variant>
      <vt:variant>
        <vt:i4>6488183</vt:i4>
      </vt:variant>
      <vt:variant>
        <vt:i4>231</vt:i4>
      </vt:variant>
      <vt:variant>
        <vt:i4>0</vt:i4>
      </vt:variant>
      <vt:variant>
        <vt:i4>5</vt:i4>
      </vt:variant>
      <vt:variant>
        <vt:lpwstr>http://www.gov.uk/greendealcashback</vt:lpwstr>
      </vt:variant>
      <vt:variant>
        <vt:lpwstr/>
      </vt:variant>
      <vt:variant>
        <vt:i4>1507346</vt:i4>
      </vt:variant>
      <vt:variant>
        <vt:i4>228</vt:i4>
      </vt:variant>
      <vt:variant>
        <vt:i4>0</vt:i4>
      </vt:variant>
      <vt:variant>
        <vt:i4>5</vt:i4>
      </vt:variant>
      <vt:variant>
        <vt:lpwstr>https://www.gov.uk/government/policies/helping-households-to-cut-their-energy-bills/supporting-pages/energy-companies-obligation-eco</vt:lpwstr>
      </vt:variant>
      <vt:variant>
        <vt:lpwstr/>
      </vt:variant>
      <vt:variant>
        <vt:i4>1179649</vt:i4>
      </vt:variant>
      <vt:variant>
        <vt:i4>225</vt:i4>
      </vt:variant>
      <vt:variant>
        <vt:i4>0</vt:i4>
      </vt:variant>
      <vt:variant>
        <vt:i4>5</vt:i4>
      </vt:variant>
      <vt:variant>
        <vt:lpwstr>https://www.gov.uk/green-deal-energy-saving-measures</vt:lpwstr>
      </vt:variant>
      <vt:variant>
        <vt:lpwstr/>
      </vt:variant>
      <vt:variant>
        <vt:i4>3473513</vt:i4>
      </vt:variant>
      <vt:variant>
        <vt:i4>222</vt:i4>
      </vt:variant>
      <vt:variant>
        <vt:i4>0</vt:i4>
      </vt:variant>
      <vt:variant>
        <vt:i4>5</vt:i4>
      </vt:variant>
      <vt:variant>
        <vt:lpwstr>http://www.ofgem.gov.uk/Sustainability/Environment/ECO/Info-for-suppliers/Pages/index.aspx</vt:lpwstr>
      </vt:variant>
      <vt:variant>
        <vt:lpwstr/>
      </vt:variant>
      <vt:variant>
        <vt:i4>3735652</vt:i4>
      </vt:variant>
      <vt:variant>
        <vt:i4>219</vt:i4>
      </vt:variant>
      <vt:variant>
        <vt:i4>0</vt:i4>
      </vt:variant>
      <vt:variant>
        <vt:i4>5</vt:i4>
      </vt:variant>
      <vt:variant>
        <vt:lpwstr>https://www.gov.uk/government/publications/domestic-green-deal-and-eco-statistics-methodology-note</vt:lpwstr>
      </vt:variant>
      <vt:variant>
        <vt:lpwstr/>
      </vt:variant>
      <vt:variant>
        <vt:i4>5963781</vt:i4>
      </vt:variant>
      <vt:variant>
        <vt:i4>216</vt:i4>
      </vt:variant>
      <vt:variant>
        <vt:i4>0</vt:i4>
      </vt:variant>
      <vt:variant>
        <vt:i4>5</vt:i4>
      </vt:variant>
      <vt:variant>
        <vt:lpwstr>http://www.greendealorb.co.uk/consumersearch</vt:lpwstr>
      </vt:variant>
      <vt:variant>
        <vt:lpwstr/>
      </vt:variant>
      <vt:variant>
        <vt:i4>2556009</vt:i4>
      </vt:variant>
      <vt:variant>
        <vt:i4>213</vt:i4>
      </vt:variant>
      <vt:variant>
        <vt:i4>0</vt:i4>
      </vt:variant>
      <vt:variant>
        <vt:i4>5</vt:i4>
      </vt:variant>
      <vt:variant>
        <vt:lpwstr>http://www.greendealorb.co.uk/</vt:lpwstr>
      </vt:variant>
      <vt:variant>
        <vt:lpwstr/>
      </vt:variant>
      <vt:variant>
        <vt:i4>4915281</vt:i4>
      </vt:variant>
      <vt:variant>
        <vt:i4>210</vt:i4>
      </vt:variant>
      <vt:variant>
        <vt:i4>0</vt:i4>
      </vt:variant>
      <vt:variant>
        <vt:i4>5</vt:i4>
      </vt:variant>
      <vt:variant>
        <vt:lpwstr>https://www.gov.uk/government/publications/green-deal-and-energy-company-obligation-eco-january-june-2013-statistics</vt:lpwstr>
      </vt:variant>
      <vt:variant>
        <vt:lpwstr/>
      </vt:variant>
      <vt:variant>
        <vt:i4>1048645</vt:i4>
      </vt:variant>
      <vt:variant>
        <vt:i4>201</vt:i4>
      </vt:variant>
      <vt:variant>
        <vt:i4>0</vt:i4>
      </vt:variant>
      <vt:variant>
        <vt:i4>5</vt:i4>
      </vt:variant>
      <vt:variant>
        <vt:lpwstr>https://www.gov.uk/energy-companies-obligation-brokerage</vt:lpwstr>
      </vt:variant>
      <vt:variant>
        <vt:lpwstr/>
      </vt:variant>
      <vt:variant>
        <vt:i4>1048645</vt:i4>
      </vt:variant>
      <vt:variant>
        <vt:i4>192</vt:i4>
      </vt:variant>
      <vt:variant>
        <vt:i4>0</vt:i4>
      </vt:variant>
      <vt:variant>
        <vt:i4>5</vt:i4>
      </vt:variant>
      <vt:variant>
        <vt:lpwstr>https://www.gov.uk/energy-companies-obligation-brokerage</vt:lpwstr>
      </vt:variant>
      <vt:variant>
        <vt:lpwstr/>
      </vt:variant>
      <vt:variant>
        <vt:i4>393222</vt:i4>
      </vt:variant>
      <vt:variant>
        <vt:i4>189</vt:i4>
      </vt:variant>
      <vt:variant>
        <vt:i4>0</vt:i4>
      </vt:variant>
      <vt:variant>
        <vt:i4>5</vt:i4>
      </vt:variant>
      <vt:variant>
        <vt:lpwstr>https://www.gov.uk/government/publications/green-deal-assessment-survey-wave-2-summary-report</vt:lpwstr>
      </vt:variant>
      <vt:variant>
        <vt:lpwstr/>
      </vt:variant>
      <vt:variant>
        <vt:i4>7471231</vt:i4>
      </vt:variant>
      <vt:variant>
        <vt:i4>180</vt:i4>
      </vt:variant>
      <vt:variant>
        <vt:i4>0</vt:i4>
      </vt:variant>
      <vt:variant>
        <vt:i4>5</vt:i4>
      </vt:variant>
      <vt:variant>
        <vt:lpwstr/>
      </vt:variant>
      <vt:variant>
        <vt:lpwstr>ECOSUB</vt:lpwstr>
      </vt:variant>
      <vt:variant>
        <vt:i4>7471231</vt:i4>
      </vt:variant>
      <vt:variant>
        <vt:i4>171</vt:i4>
      </vt:variant>
      <vt:variant>
        <vt:i4>0</vt:i4>
      </vt:variant>
      <vt:variant>
        <vt:i4>5</vt:i4>
      </vt:variant>
      <vt:variant>
        <vt:lpwstr/>
      </vt:variant>
      <vt:variant>
        <vt:lpwstr>ECOSUB</vt:lpwstr>
      </vt:variant>
      <vt:variant>
        <vt:i4>1507346</vt:i4>
      </vt:variant>
      <vt:variant>
        <vt:i4>168</vt:i4>
      </vt:variant>
      <vt:variant>
        <vt:i4>0</vt:i4>
      </vt:variant>
      <vt:variant>
        <vt:i4>5</vt:i4>
      </vt:variant>
      <vt:variant>
        <vt:lpwstr>https://www.gov.uk/government/policies/helping-households-to-cut-their-energy-bills/supporting-pages/energy-companies-obligation-eco</vt:lpwstr>
      </vt:variant>
      <vt:variant>
        <vt:lpwstr/>
      </vt:variant>
      <vt:variant>
        <vt:i4>6488183</vt:i4>
      </vt:variant>
      <vt:variant>
        <vt:i4>159</vt:i4>
      </vt:variant>
      <vt:variant>
        <vt:i4>0</vt:i4>
      </vt:variant>
      <vt:variant>
        <vt:i4>5</vt:i4>
      </vt:variant>
      <vt:variant>
        <vt:lpwstr>http://www.gov.uk/greendealcashback</vt:lpwstr>
      </vt:variant>
      <vt:variant>
        <vt:lpwstr/>
      </vt:variant>
      <vt:variant>
        <vt:i4>2818166</vt:i4>
      </vt:variant>
      <vt:variant>
        <vt:i4>144</vt:i4>
      </vt:variant>
      <vt:variant>
        <vt:i4>0</vt:i4>
      </vt:variant>
      <vt:variant>
        <vt:i4>5</vt:i4>
      </vt:variant>
      <vt:variant>
        <vt:lpwstr/>
      </vt:variant>
      <vt:variant>
        <vt:lpwstr>Chart1</vt:lpwstr>
      </vt:variant>
      <vt:variant>
        <vt:i4>4194331</vt:i4>
      </vt:variant>
      <vt:variant>
        <vt:i4>141</vt:i4>
      </vt:variant>
      <vt:variant>
        <vt:i4>0</vt:i4>
      </vt:variant>
      <vt:variant>
        <vt:i4>5</vt:i4>
      </vt:variant>
      <vt:variant>
        <vt:lpwstr>https://www.gov.uk/getting-a-green-deal-information-for-householders-and-landlords</vt:lpwstr>
      </vt:variant>
      <vt:variant>
        <vt:lpwstr>getting-your-home-assessed</vt:lpwstr>
      </vt:variant>
      <vt:variant>
        <vt:i4>4915281</vt:i4>
      </vt:variant>
      <vt:variant>
        <vt:i4>138</vt:i4>
      </vt:variant>
      <vt:variant>
        <vt:i4>0</vt:i4>
      </vt:variant>
      <vt:variant>
        <vt:i4>5</vt:i4>
      </vt:variant>
      <vt:variant>
        <vt:lpwstr>https://www.gov.uk/government/publications/green-deal-and-energy-company-obligation-eco-january-june-2013-statistics</vt:lpwstr>
      </vt:variant>
      <vt:variant>
        <vt:lpwstr/>
      </vt:variant>
      <vt:variant>
        <vt:i4>4915281</vt:i4>
      </vt:variant>
      <vt:variant>
        <vt:i4>135</vt:i4>
      </vt:variant>
      <vt:variant>
        <vt:i4>0</vt:i4>
      </vt:variant>
      <vt:variant>
        <vt:i4>5</vt:i4>
      </vt:variant>
      <vt:variant>
        <vt:lpwstr>https://www.gov.uk/government/publications/green-deal-and-energy-company-obligation-eco-january-june-2013-statistics</vt:lpwstr>
      </vt:variant>
      <vt:variant>
        <vt:lpwstr/>
      </vt:variant>
      <vt:variant>
        <vt:i4>6881399</vt:i4>
      </vt:variant>
      <vt:variant>
        <vt:i4>132</vt:i4>
      </vt:variant>
      <vt:variant>
        <vt:i4>0</vt:i4>
      </vt:variant>
      <vt:variant>
        <vt:i4>5</vt:i4>
      </vt:variant>
      <vt:variant>
        <vt:lpwstr/>
      </vt:variant>
      <vt:variant>
        <vt:lpwstr>AnnexB</vt:lpwstr>
      </vt:variant>
      <vt:variant>
        <vt:i4>1441849</vt:i4>
      </vt:variant>
      <vt:variant>
        <vt:i4>125</vt:i4>
      </vt:variant>
      <vt:variant>
        <vt:i4>0</vt:i4>
      </vt:variant>
      <vt:variant>
        <vt:i4>5</vt:i4>
      </vt:variant>
      <vt:variant>
        <vt:lpwstr/>
      </vt:variant>
      <vt:variant>
        <vt:lpwstr>_Toc372290145</vt:lpwstr>
      </vt:variant>
      <vt:variant>
        <vt:i4>1441849</vt:i4>
      </vt:variant>
      <vt:variant>
        <vt:i4>119</vt:i4>
      </vt:variant>
      <vt:variant>
        <vt:i4>0</vt:i4>
      </vt:variant>
      <vt:variant>
        <vt:i4>5</vt:i4>
      </vt:variant>
      <vt:variant>
        <vt:lpwstr/>
      </vt:variant>
      <vt:variant>
        <vt:lpwstr>_Toc372290144</vt:lpwstr>
      </vt:variant>
      <vt:variant>
        <vt:i4>1441849</vt:i4>
      </vt:variant>
      <vt:variant>
        <vt:i4>113</vt:i4>
      </vt:variant>
      <vt:variant>
        <vt:i4>0</vt:i4>
      </vt:variant>
      <vt:variant>
        <vt:i4>5</vt:i4>
      </vt:variant>
      <vt:variant>
        <vt:lpwstr/>
      </vt:variant>
      <vt:variant>
        <vt:lpwstr>_Toc372290143</vt:lpwstr>
      </vt:variant>
      <vt:variant>
        <vt:i4>1441849</vt:i4>
      </vt:variant>
      <vt:variant>
        <vt:i4>107</vt:i4>
      </vt:variant>
      <vt:variant>
        <vt:i4>0</vt:i4>
      </vt:variant>
      <vt:variant>
        <vt:i4>5</vt:i4>
      </vt:variant>
      <vt:variant>
        <vt:lpwstr/>
      </vt:variant>
      <vt:variant>
        <vt:lpwstr>_Toc372290142</vt:lpwstr>
      </vt:variant>
      <vt:variant>
        <vt:i4>1441849</vt:i4>
      </vt:variant>
      <vt:variant>
        <vt:i4>101</vt:i4>
      </vt:variant>
      <vt:variant>
        <vt:i4>0</vt:i4>
      </vt:variant>
      <vt:variant>
        <vt:i4>5</vt:i4>
      </vt:variant>
      <vt:variant>
        <vt:lpwstr/>
      </vt:variant>
      <vt:variant>
        <vt:lpwstr>_Toc372290141</vt:lpwstr>
      </vt:variant>
      <vt:variant>
        <vt:i4>1441849</vt:i4>
      </vt:variant>
      <vt:variant>
        <vt:i4>95</vt:i4>
      </vt:variant>
      <vt:variant>
        <vt:i4>0</vt:i4>
      </vt:variant>
      <vt:variant>
        <vt:i4>5</vt:i4>
      </vt:variant>
      <vt:variant>
        <vt:lpwstr/>
      </vt:variant>
      <vt:variant>
        <vt:lpwstr>_Toc372290140</vt:lpwstr>
      </vt:variant>
      <vt:variant>
        <vt:i4>1114169</vt:i4>
      </vt:variant>
      <vt:variant>
        <vt:i4>89</vt:i4>
      </vt:variant>
      <vt:variant>
        <vt:i4>0</vt:i4>
      </vt:variant>
      <vt:variant>
        <vt:i4>5</vt:i4>
      </vt:variant>
      <vt:variant>
        <vt:lpwstr/>
      </vt:variant>
      <vt:variant>
        <vt:lpwstr>_Toc372290139</vt:lpwstr>
      </vt:variant>
      <vt:variant>
        <vt:i4>5111822</vt:i4>
      </vt:variant>
      <vt:variant>
        <vt:i4>9</vt:i4>
      </vt:variant>
      <vt:variant>
        <vt:i4>0</vt:i4>
      </vt:variant>
      <vt:variant>
        <vt:i4>5</vt:i4>
      </vt:variant>
      <vt:variant>
        <vt:lpwstr>https://www.gov.uk/government/collections/green-deal-and-energy-company-obligation-eco-statistics</vt:lpwstr>
      </vt:variant>
      <vt:variant>
        <vt:lpwstr/>
      </vt:variant>
      <vt:variant>
        <vt:i4>6357002</vt:i4>
      </vt:variant>
      <vt:variant>
        <vt:i4>6</vt:i4>
      </vt:variant>
      <vt:variant>
        <vt:i4>0</vt:i4>
      </vt:variant>
      <vt:variant>
        <vt:i4>5</vt:i4>
      </vt:variant>
      <vt:variant>
        <vt:lpwstr>mailto:EnergyEfficiency.Stats@decc.gsi.gov.uk</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6553714</vt:i4>
      </vt:variant>
      <vt:variant>
        <vt:i4>0</vt:i4>
      </vt:variant>
      <vt:variant>
        <vt:i4>0</vt:i4>
      </vt:variant>
      <vt:variant>
        <vt:i4>5</vt:i4>
      </vt:variant>
      <vt:variant>
        <vt:lpwstr>http://www.nationalarchives.gov.uk/doc/open-government-licence/</vt:lpwstr>
      </vt:variant>
      <vt:variant>
        <vt:lpwstr/>
      </vt:variant>
      <vt:variant>
        <vt:i4>3407925</vt:i4>
      </vt:variant>
      <vt:variant>
        <vt:i4>0</vt:i4>
      </vt:variant>
      <vt:variant>
        <vt:i4>0</vt:i4>
      </vt:variant>
      <vt:variant>
        <vt:i4>5</vt:i4>
      </vt:variant>
      <vt:variant>
        <vt:lpwstr>https://www.ofgem.gov.uk/ofgem-publications/59029/energy-companies-obligation-eco-list-measures-and-additional-information.pdf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DECC Title</dc:title>
  <dc:creator>Antoniades Peter (Green Deal)</dc:creator>
  <cp:lastModifiedBy>Walker Matt (Green Deal)</cp:lastModifiedBy>
  <cp:revision>2</cp:revision>
  <cp:lastPrinted>2013-11-18T09:14:00Z</cp:lastPrinted>
  <dcterms:created xsi:type="dcterms:W3CDTF">2013-11-18T09:15:00Z</dcterms:created>
  <dcterms:modified xsi:type="dcterms:W3CDTF">2013-11-18T09:15:00Z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0x010100DA42F145830E9C4DA7DD0FA0AD8C4B35</vt:lpwstr>
  </property>
</Properties>
</file>