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342CD8" w:rsidRPr="00DD5BE3" w:rsidTr="00CF776B">
        <w:trPr>
          <w:cantSplit/>
          <w:trHeight w:val="1361"/>
        </w:trPr>
        <w:tc>
          <w:tcPr>
            <w:tcW w:w="7334" w:type="dxa"/>
            <w:gridSpan w:val="2"/>
            <w:tcBorders>
              <w:top w:val="nil"/>
            </w:tcBorders>
          </w:tcPr>
          <w:p w:rsidR="00342CD8" w:rsidRDefault="00342CD8" w:rsidP="00C100A2">
            <w:pPr>
              <w:rPr>
                <w:rFonts w:ascii="Arial" w:hAnsi="Arial"/>
                <w:color w:val="000000"/>
                <w:sz w:val="22"/>
              </w:rPr>
            </w:pPr>
            <w:r w:rsidRPr="00C8797E">
              <w:rPr>
                <w:rFonts w:ascii="Arial" w:hAnsi="Arial"/>
                <w:color w:val="000000"/>
                <w:sz w:val="22"/>
              </w:rPr>
              <w:t xml:space="preserve">      </w:t>
            </w:r>
            <w:r w:rsidRPr="00AD13A5">
              <w:rPr>
                <w:rFonts w:ascii="Arial" w:hAnsi="Arial"/>
                <w:noProof/>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BLK_SML" style="width:110.25pt;height:93pt;visibility:visible">
                  <v:imagedata r:id="rId7" o:title=""/>
                </v:shape>
              </w:pict>
            </w:r>
          </w:p>
          <w:p w:rsidR="00342CD8" w:rsidRPr="00C8797E" w:rsidRDefault="00342CD8" w:rsidP="00CF776B">
            <w:pPr>
              <w:rPr>
                <w:rFonts w:ascii="Arial" w:hAnsi="Arial"/>
                <w:color w:val="000000"/>
                <w:sz w:val="22"/>
              </w:rPr>
            </w:pPr>
          </w:p>
        </w:tc>
        <w:tc>
          <w:tcPr>
            <w:tcW w:w="180" w:type="dxa"/>
          </w:tcPr>
          <w:p w:rsidR="00342CD8" w:rsidRPr="00C8797E" w:rsidRDefault="00342CD8" w:rsidP="00CF776B">
            <w:pPr>
              <w:pStyle w:val="MOJnormal"/>
              <w:rPr>
                <w:color w:val="000000"/>
                <w:sz w:val="22"/>
              </w:rPr>
            </w:pPr>
          </w:p>
        </w:tc>
        <w:tc>
          <w:tcPr>
            <w:tcW w:w="3145" w:type="dxa"/>
            <w:vMerge w:val="restart"/>
            <w:tcBorders>
              <w:top w:val="nil"/>
            </w:tcBorders>
          </w:tcPr>
          <w:p w:rsidR="00342CD8" w:rsidRPr="00DD5BE3" w:rsidRDefault="00342CD8" w:rsidP="00CF776B">
            <w:pPr>
              <w:tabs>
                <w:tab w:val="left" w:pos="170"/>
              </w:tabs>
              <w:rPr>
                <w:rFonts w:ascii="Arial" w:hAnsi="Arial"/>
                <w:i/>
                <w:color w:val="0000FF"/>
                <w:sz w:val="22"/>
                <w:lang w:val="pt-BR"/>
              </w:rPr>
            </w:pPr>
          </w:p>
          <w:p w:rsidR="00342CD8" w:rsidRPr="00DD5BE3" w:rsidRDefault="00342CD8" w:rsidP="00CF776B">
            <w:pPr>
              <w:tabs>
                <w:tab w:val="left" w:pos="170"/>
              </w:tabs>
              <w:rPr>
                <w:rFonts w:ascii="Arial" w:hAnsi="Arial"/>
                <w:b/>
                <w:sz w:val="20"/>
                <w:szCs w:val="20"/>
                <w:lang w:val="pt-BR"/>
              </w:rPr>
            </w:pPr>
            <w:r w:rsidRPr="00DD5BE3">
              <w:rPr>
                <w:rFonts w:ascii="Arial" w:hAnsi="Arial"/>
                <w:b/>
                <w:sz w:val="20"/>
                <w:szCs w:val="20"/>
                <w:lang w:val="pt-BR"/>
              </w:rPr>
              <w:t>www.justice.gov.uk</w:t>
            </w:r>
          </w:p>
        </w:tc>
      </w:tr>
      <w:tr w:rsidR="00342CD8" w:rsidRPr="001B3F9E" w:rsidTr="00CF776B">
        <w:trPr>
          <w:cantSplit/>
          <w:trHeight w:val="1259"/>
        </w:trPr>
        <w:tc>
          <w:tcPr>
            <w:tcW w:w="1214" w:type="dxa"/>
          </w:tcPr>
          <w:p w:rsidR="00342CD8" w:rsidRPr="001B3F9E" w:rsidRDefault="00342CD8" w:rsidP="00CF776B">
            <w:pPr>
              <w:pStyle w:val="MOJtext-otheraddress"/>
              <w:rPr>
                <w:sz w:val="22"/>
                <w:lang w:val="pt-BR"/>
              </w:rPr>
            </w:pPr>
          </w:p>
        </w:tc>
        <w:tc>
          <w:tcPr>
            <w:tcW w:w="6120" w:type="dxa"/>
          </w:tcPr>
          <w:p w:rsidR="00342CD8" w:rsidRPr="00BB0947" w:rsidRDefault="00342CD8" w:rsidP="00702E62">
            <w:pPr>
              <w:spacing w:line="280" w:lineRule="atLeast"/>
              <w:rPr>
                <w:rFonts w:ascii="Arial" w:hAnsi="Arial" w:cs="Arial"/>
              </w:rPr>
            </w:pPr>
          </w:p>
        </w:tc>
        <w:tc>
          <w:tcPr>
            <w:tcW w:w="180" w:type="dxa"/>
          </w:tcPr>
          <w:p w:rsidR="00342CD8" w:rsidRPr="001B3F9E" w:rsidRDefault="00342CD8" w:rsidP="00CF776B">
            <w:pPr>
              <w:pStyle w:val="MOJnormal"/>
              <w:rPr>
                <w:sz w:val="22"/>
              </w:rPr>
            </w:pPr>
          </w:p>
        </w:tc>
        <w:tc>
          <w:tcPr>
            <w:tcW w:w="3145" w:type="dxa"/>
            <w:vMerge/>
          </w:tcPr>
          <w:p w:rsidR="00342CD8" w:rsidRPr="001B3F9E" w:rsidRDefault="00342CD8" w:rsidP="00CF776B">
            <w:pPr>
              <w:pStyle w:val="MOJtext-otheraddress"/>
              <w:rPr>
                <w:sz w:val="22"/>
              </w:rPr>
            </w:pPr>
          </w:p>
        </w:tc>
      </w:tr>
      <w:tr w:rsidR="00342CD8" w:rsidRPr="001B3F9E" w:rsidTr="00CF776B">
        <w:trPr>
          <w:cantSplit/>
          <w:trHeight w:val="73"/>
        </w:trPr>
        <w:tc>
          <w:tcPr>
            <w:tcW w:w="1214" w:type="dxa"/>
          </w:tcPr>
          <w:p w:rsidR="00342CD8" w:rsidRPr="001B3F9E" w:rsidRDefault="00342CD8" w:rsidP="00CF776B">
            <w:pPr>
              <w:pStyle w:val="MOJnormal"/>
              <w:rPr>
                <w:sz w:val="22"/>
              </w:rPr>
            </w:pPr>
          </w:p>
        </w:tc>
        <w:tc>
          <w:tcPr>
            <w:tcW w:w="6120" w:type="dxa"/>
          </w:tcPr>
          <w:p w:rsidR="00342CD8" w:rsidRPr="001B3F9E" w:rsidRDefault="00342CD8" w:rsidP="00083ADF">
            <w:pPr>
              <w:spacing w:line="280" w:lineRule="atLeast"/>
              <w:rPr>
                <w:rFonts w:ascii="Arial" w:hAnsi="Arial"/>
                <w:i/>
                <w:sz w:val="22"/>
              </w:rPr>
            </w:pPr>
            <w:r>
              <w:rPr>
                <w:rFonts w:ascii="Arial" w:hAnsi="Arial"/>
                <w:b/>
              </w:rPr>
              <w:t>FOI</w:t>
            </w:r>
            <w:r w:rsidRPr="001B3F9E">
              <w:rPr>
                <w:rFonts w:ascii="Arial" w:hAnsi="Arial"/>
                <w:b/>
              </w:rPr>
              <w:t>:</w:t>
            </w:r>
            <w:r w:rsidRPr="001B3F9E">
              <w:rPr>
                <w:rFonts w:ascii="Arial" w:hAnsi="Arial"/>
                <w:sz w:val="22"/>
              </w:rPr>
              <w:t xml:space="preserve"> </w:t>
            </w:r>
            <w:r>
              <w:rPr>
                <w:rFonts w:ascii="Arial" w:hAnsi="Arial"/>
                <w:sz w:val="22"/>
              </w:rPr>
              <w:t>85981</w:t>
            </w:r>
          </w:p>
        </w:tc>
        <w:tc>
          <w:tcPr>
            <w:tcW w:w="180" w:type="dxa"/>
          </w:tcPr>
          <w:p w:rsidR="00342CD8" w:rsidRPr="001B3F9E" w:rsidRDefault="00342CD8" w:rsidP="00CF776B">
            <w:pPr>
              <w:spacing w:line="280" w:lineRule="atLeast"/>
              <w:rPr>
                <w:rFonts w:ascii="Arial" w:hAnsi="Arial"/>
                <w:sz w:val="22"/>
              </w:rPr>
            </w:pPr>
            <w:r w:rsidRPr="001B3F9E">
              <w:rPr>
                <w:rFonts w:ascii="Arial" w:hAnsi="Arial"/>
                <w:sz w:val="22"/>
              </w:rPr>
              <w:tab/>
            </w:r>
          </w:p>
        </w:tc>
        <w:tc>
          <w:tcPr>
            <w:tcW w:w="3145" w:type="dxa"/>
          </w:tcPr>
          <w:p w:rsidR="00342CD8" w:rsidRPr="00335D19" w:rsidRDefault="00342CD8" w:rsidP="00335D19">
            <w:pPr>
              <w:pStyle w:val="MOJnormal"/>
              <w:rPr>
                <w:sz w:val="22"/>
              </w:rPr>
            </w:pPr>
            <w:r>
              <w:rPr>
                <w:sz w:val="22"/>
              </w:rPr>
              <w:t>November 2013</w:t>
            </w:r>
          </w:p>
        </w:tc>
      </w:tr>
    </w:tbl>
    <w:p w:rsidR="00342CD8" w:rsidRPr="001B3F9E" w:rsidRDefault="00342CD8"/>
    <w:p w:rsidR="00342CD8" w:rsidRPr="001B3F9E" w:rsidRDefault="00342CD8"/>
    <w:p w:rsidR="00342CD8" w:rsidRPr="001B3F9E" w:rsidRDefault="00342CD8" w:rsidP="0081625B">
      <w:pPr>
        <w:jc w:val="center"/>
        <w:rPr>
          <w:rFonts w:ascii="Arial" w:hAnsi="Arial" w:cs="Arial"/>
          <w:b/>
          <w:sz w:val="22"/>
          <w:szCs w:val="22"/>
        </w:rPr>
      </w:pPr>
      <w:r w:rsidRPr="001B3F9E">
        <w:rPr>
          <w:rFonts w:ascii="Arial" w:hAnsi="Arial" w:cs="Arial"/>
          <w:b/>
          <w:sz w:val="22"/>
          <w:szCs w:val="22"/>
        </w:rPr>
        <w:t xml:space="preserve">Freedom of Information Request </w:t>
      </w:r>
    </w:p>
    <w:p w:rsidR="00342CD8" w:rsidRPr="001B3F9E" w:rsidRDefault="00342CD8" w:rsidP="0081625B">
      <w:pPr>
        <w:rPr>
          <w:rFonts w:ascii="Arial" w:hAnsi="Arial" w:cs="Arial"/>
          <w:sz w:val="22"/>
          <w:szCs w:val="22"/>
        </w:rPr>
      </w:pPr>
    </w:p>
    <w:p w:rsidR="00342CD8" w:rsidRDefault="00342CD8" w:rsidP="00ED7C29">
      <w:pPr>
        <w:rPr>
          <w:rFonts w:ascii="Arial" w:hAnsi="Arial" w:cs="Arial"/>
          <w:sz w:val="22"/>
          <w:szCs w:val="22"/>
        </w:rPr>
      </w:pPr>
      <w:r>
        <w:rPr>
          <w:rFonts w:ascii="Arial" w:hAnsi="Arial" w:cs="Arial"/>
          <w:sz w:val="22"/>
          <w:szCs w:val="22"/>
        </w:rPr>
        <w:t>You asked for a range of information from the Ministry of Justice (MoJ).</w:t>
      </w:r>
    </w:p>
    <w:p w:rsidR="00342CD8" w:rsidRDefault="00342CD8" w:rsidP="00ED7C29">
      <w:pPr>
        <w:rPr>
          <w:rFonts w:ascii="Arial" w:hAnsi="Arial" w:cs="Arial"/>
          <w:sz w:val="22"/>
          <w:szCs w:val="22"/>
        </w:rPr>
      </w:pPr>
    </w:p>
    <w:p w:rsidR="00342CD8" w:rsidRDefault="00342CD8" w:rsidP="00ED7C29">
      <w:pPr>
        <w:rPr>
          <w:rFonts w:ascii="Arial" w:hAnsi="Arial" w:cs="Arial"/>
          <w:sz w:val="22"/>
          <w:szCs w:val="22"/>
        </w:rPr>
      </w:pPr>
      <w:r>
        <w:rPr>
          <w:rFonts w:ascii="Arial" w:hAnsi="Arial" w:cs="Arial"/>
          <w:sz w:val="22"/>
          <w:szCs w:val="22"/>
        </w:rPr>
        <w:t>Your request has been handled under the terms of the Freedom of Information Act (FOIA) 2000.</w:t>
      </w:r>
    </w:p>
    <w:p w:rsidR="00342CD8" w:rsidRDefault="00342CD8" w:rsidP="00ED7C29">
      <w:pPr>
        <w:rPr>
          <w:rFonts w:ascii="Arial" w:hAnsi="Arial" w:cs="Arial"/>
          <w:sz w:val="22"/>
          <w:szCs w:val="22"/>
        </w:rPr>
      </w:pPr>
    </w:p>
    <w:p w:rsidR="00342CD8" w:rsidRDefault="00342CD8" w:rsidP="00ED7C29">
      <w:pPr>
        <w:rPr>
          <w:rFonts w:ascii="Arial" w:hAnsi="Arial" w:cs="Arial"/>
          <w:sz w:val="22"/>
          <w:szCs w:val="22"/>
        </w:rPr>
      </w:pPr>
      <w:r>
        <w:rPr>
          <w:rFonts w:ascii="Arial" w:hAnsi="Arial" w:cs="Arial"/>
          <w:sz w:val="22"/>
          <w:szCs w:val="22"/>
        </w:rPr>
        <w:t>The MoJ holds some of the information that you have requested. Where information is not held this has been indicated. For clarity I have addressed each of your questions in turn.</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1. How many requests have there been for assistance in the discrimination in employment area of law between 01 April 2013 and 30 September 2013?</w:t>
      </w:r>
    </w:p>
    <w:p w:rsidR="00342CD8" w:rsidRDefault="00342CD8" w:rsidP="00ED7C29">
      <w:pPr>
        <w:rPr>
          <w:rFonts w:ascii="Arial" w:hAnsi="Arial" w:cs="Arial"/>
          <w:b/>
          <w:sz w:val="22"/>
          <w:szCs w:val="22"/>
        </w:rPr>
      </w:pPr>
    </w:p>
    <w:p w:rsidR="00342CD8" w:rsidRDefault="00342CD8" w:rsidP="00ED7C29">
      <w:pPr>
        <w:rPr>
          <w:rFonts w:ascii="Arial" w:hAnsi="Arial" w:cs="Arial"/>
          <w:sz w:val="22"/>
          <w:szCs w:val="22"/>
        </w:rPr>
      </w:pPr>
      <w:r>
        <w:rPr>
          <w:rFonts w:ascii="Arial" w:hAnsi="Arial" w:cs="Arial"/>
          <w:sz w:val="22"/>
          <w:szCs w:val="22"/>
        </w:rPr>
        <w:t>Since 1 April 2013 the Operator Service has recorded 2,268 discrimination cases with the matter type code that would indicate the issue relates to employment.</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2. Of those requests, how many have been referred to a legal help provider?</w:t>
      </w:r>
    </w:p>
    <w:p w:rsidR="00342CD8" w:rsidRDefault="00342CD8" w:rsidP="00ED7C29">
      <w:pPr>
        <w:rPr>
          <w:rFonts w:ascii="Arial" w:hAnsi="Arial" w:cs="Arial"/>
          <w:b/>
          <w:sz w:val="22"/>
          <w:szCs w:val="22"/>
        </w:rPr>
      </w:pPr>
    </w:p>
    <w:p w:rsidR="00342CD8" w:rsidRDefault="00342CD8" w:rsidP="00ED7C29">
      <w:pPr>
        <w:rPr>
          <w:rFonts w:ascii="Arial" w:hAnsi="Arial" w:cs="Arial"/>
          <w:sz w:val="22"/>
          <w:szCs w:val="22"/>
        </w:rPr>
      </w:pPr>
      <w:r>
        <w:rPr>
          <w:rFonts w:ascii="Arial" w:hAnsi="Arial" w:cs="Arial"/>
          <w:sz w:val="22"/>
          <w:szCs w:val="22"/>
        </w:rPr>
        <w:t>Of the 2,268 referred to above, 1,031 were referred to a CLA specialist provider for advice.</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3. Of those not referred to a provider how many have been refused due to not being financially eligible?</w:t>
      </w:r>
    </w:p>
    <w:p w:rsidR="00342CD8" w:rsidRDefault="00342CD8" w:rsidP="00ED7C29">
      <w:pPr>
        <w:rPr>
          <w:rFonts w:ascii="Arial" w:hAnsi="Arial" w:cs="Arial"/>
          <w:b/>
          <w:sz w:val="22"/>
          <w:szCs w:val="22"/>
        </w:rPr>
      </w:pPr>
    </w:p>
    <w:p w:rsidR="00342CD8" w:rsidRDefault="00342CD8" w:rsidP="00ED7C29">
      <w:pPr>
        <w:rPr>
          <w:rFonts w:ascii="Arial" w:hAnsi="Arial" w:cs="Arial"/>
          <w:sz w:val="22"/>
          <w:szCs w:val="22"/>
        </w:rPr>
      </w:pPr>
      <w:r>
        <w:rPr>
          <w:rFonts w:ascii="Arial" w:hAnsi="Arial" w:cs="Arial"/>
          <w:sz w:val="22"/>
          <w:szCs w:val="22"/>
        </w:rPr>
        <w:t>Of the 2.268 cases referred to in question 1, 670 clients were found to be financially ineligible.</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4. Of those not referred to a provider how many have been refused because it was decided by the agency that the call was not in relation to discrimination?</w:t>
      </w:r>
    </w:p>
    <w:p w:rsidR="00342CD8" w:rsidRDefault="00342CD8" w:rsidP="00ED7C29">
      <w:pPr>
        <w:rPr>
          <w:rFonts w:ascii="Arial" w:hAnsi="Arial" w:cs="Arial"/>
          <w:b/>
          <w:sz w:val="22"/>
          <w:szCs w:val="22"/>
        </w:rPr>
      </w:pPr>
    </w:p>
    <w:p w:rsidR="00342CD8" w:rsidRDefault="00342CD8" w:rsidP="00335D19">
      <w:pPr>
        <w:rPr>
          <w:rFonts w:ascii="Arial" w:hAnsi="Arial" w:cs="Arial"/>
          <w:sz w:val="22"/>
          <w:szCs w:val="22"/>
        </w:rPr>
      </w:pPr>
      <w:r>
        <w:rPr>
          <w:rFonts w:ascii="Arial" w:hAnsi="Arial" w:cs="Arial"/>
          <w:sz w:val="22"/>
          <w:szCs w:val="22"/>
        </w:rPr>
        <w:t xml:space="preserve">All matters where the relevant matter type code is used will be deemed to relate to discrimination. This is because the approach the Operator Service take is to only close a matter as being in the discrimination category if the matter has been deemed to include an element of discrimination. For example, Employment cases with no discrimination element would be closed as Employment matters rather than discrimination. </w:t>
      </w:r>
    </w:p>
    <w:p w:rsidR="00342CD8" w:rsidRDefault="00342CD8" w:rsidP="00335D19">
      <w:pPr>
        <w:rPr>
          <w:rFonts w:ascii="Arial" w:hAnsi="Arial" w:cs="Arial"/>
          <w:sz w:val="22"/>
          <w:szCs w:val="22"/>
        </w:rPr>
      </w:pPr>
    </w:p>
    <w:p w:rsidR="00342CD8" w:rsidRDefault="00342CD8" w:rsidP="00335D19">
      <w:pPr>
        <w:rPr>
          <w:rFonts w:ascii="Arial" w:hAnsi="Arial" w:cs="Arial"/>
          <w:sz w:val="22"/>
          <w:szCs w:val="22"/>
        </w:rPr>
      </w:pPr>
      <w:r>
        <w:rPr>
          <w:rFonts w:ascii="Arial" w:hAnsi="Arial" w:cs="Arial"/>
          <w:sz w:val="22"/>
          <w:szCs w:val="22"/>
        </w:rPr>
        <w:t>For the period 1</w:t>
      </w:r>
      <w:r>
        <w:rPr>
          <w:rFonts w:ascii="Arial" w:hAnsi="Arial" w:cs="Arial"/>
          <w:sz w:val="22"/>
          <w:szCs w:val="22"/>
          <w:vertAlign w:val="superscript"/>
        </w:rPr>
        <w:t>st</w:t>
      </w:r>
      <w:r>
        <w:rPr>
          <w:rFonts w:ascii="Arial" w:hAnsi="Arial" w:cs="Arial"/>
          <w:sz w:val="22"/>
          <w:szCs w:val="22"/>
        </w:rPr>
        <w:t xml:space="preserve"> April 2013 – 30</w:t>
      </w:r>
      <w:r>
        <w:rPr>
          <w:rFonts w:ascii="Arial" w:hAnsi="Arial" w:cs="Arial"/>
          <w:sz w:val="22"/>
          <w:szCs w:val="22"/>
          <w:vertAlign w:val="superscript"/>
        </w:rPr>
        <w:t>th</w:t>
      </w:r>
      <w:r>
        <w:rPr>
          <w:rFonts w:ascii="Arial" w:hAnsi="Arial" w:cs="Arial"/>
          <w:sz w:val="22"/>
          <w:szCs w:val="22"/>
        </w:rPr>
        <w:t xml:space="preserve"> September 2013 the Operator Service handled 4,212 employment cases.</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5. What supervision is provided to the operatives who take initial calls?</w:t>
      </w:r>
    </w:p>
    <w:p w:rsidR="00342CD8" w:rsidRDefault="00342CD8" w:rsidP="00ED7C29">
      <w:pPr>
        <w:rPr>
          <w:rFonts w:ascii="Arial" w:hAnsi="Arial" w:cs="Arial"/>
          <w:b/>
          <w:sz w:val="22"/>
          <w:szCs w:val="22"/>
        </w:rPr>
      </w:pPr>
    </w:p>
    <w:p w:rsidR="00342CD8" w:rsidRDefault="00342CD8" w:rsidP="00ED7C29">
      <w:pPr>
        <w:rPr>
          <w:rFonts w:ascii="Arial" w:hAnsi="Arial" w:cs="Arial"/>
          <w:sz w:val="22"/>
          <w:szCs w:val="22"/>
        </w:rPr>
      </w:pPr>
      <w:r>
        <w:rPr>
          <w:rFonts w:ascii="Arial" w:hAnsi="Arial" w:cs="Arial"/>
          <w:sz w:val="22"/>
          <w:szCs w:val="22"/>
        </w:rPr>
        <w:t>Each operator has a team leader responsible for the quality of their calls and their training and development plan. There is a designated supervisor on site during opening hours and quality team that review a sample of calls taken by each individual every month. In addition, as all calls are recorded, we take a sample of cases closed at operator service level and ask the specialist telephone advisers to review whether it was appropriate for the matter to be closed at that point.</w:t>
      </w:r>
    </w:p>
    <w:p w:rsidR="00342CD8" w:rsidRDefault="00342CD8" w:rsidP="00ED7C29">
      <w:pPr>
        <w:rPr>
          <w:rFonts w:ascii="Arial" w:hAnsi="Arial" w:cs="Arial"/>
          <w:sz w:val="22"/>
          <w:szCs w:val="22"/>
        </w:rPr>
      </w:pPr>
    </w:p>
    <w:p w:rsidR="00342CD8" w:rsidRDefault="00342CD8" w:rsidP="00ED7C29">
      <w:pPr>
        <w:rPr>
          <w:rFonts w:ascii="Arial" w:hAnsi="Arial" w:cs="Arial"/>
          <w:b/>
          <w:sz w:val="22"/>
          <w:szCs w:val="22"/>
        </w:rPr>
      </w:pPr>
      <w:r>
        <w:rPr>
          <w:rFonts w:ascii="Arial" w:hAnsi="Arial" w:cs="Arial"/>
          <w:b/>
          <w:sz w:val="22"/>
          <w:szCs w:val="22"/>
        </w:rPr>
        <w:t>6. Do the operatives have proforma questions to ask callers. If so please provide copy.</w:t>
      </w:r>
    </w:p>
    <w:p w:rsidR="00342CD8" w:rsidRDefault="00342CD8" w:rsidP="00ED7C29">
      <w:pPr>
        <w:rPr>
          <w:rFonts w:ascii="Arial" w:hAnsi="Arial" w:cs="Arial"/>
          <w:b/>
          <w:sz w:val="22"/>
          <w:szCs w:val="22"/>
        </w:rPr>
      </w:pPr>
    </w:p>
    <w:p w:rsidR="00342CD8" w:rsidRDefault="00342CD8" w:rsidP="00ED7C29">
      <w:pPr>
        <w:rPr>
          <w:rFonts w:ascii="Arial" w:hAnsi="Arial" w:cs="Arial"/>
          <w:b/>
          <w:sz w:val="22"/>
          <w:szCs w:val="22"/>
        </w:rPr>
      </w:pPr>
      <w:r>
        <w:rPr>
          <w:rFonts w:ascii="Arial" w:hAnsi="Arial" w:cs="Arial"/>
          <w:sz w:val="22"/>
          <w:szCs w:val="22"/>
        </w:rPr>
        <w:t>The Operator Service does not use proforma questions and this information is therefore not held.</w:t>
      </w:r>
      <w:r>
        <w:rPr>
          <w:rFonts w:ascii="Arial" w:hAnsi="Arial" w:cs="Arial"/>
          <w:b/>
          <w:sz w:val="22"/>
          <w:szCs w:val="22"/>
        </w:rPr>
        <w:t xml:space="preserve"> </w:t>
      </w:r>
    </w:p>
    <w:p w:rsidR="00342CD8" w:rsidRDefault="00342CD8" w:rsidP="00ED7C29">
      <w:pPr>
        <w:rPr>
          <w:rFonts w:ascii="Arial" w:hAnsi="Arial" w:cs="Arial"/>
          <w:b/>
          <w:sz w:val="22"/>
          <w:szCs w:val="22"/>
        </w:rPr>
      </w:pPr>
    </w:p>
    <w:p w:rsidR="00342CD8" w:rsidRPr="00CE7106" w:rsidRDefault="00342CD8" w:rsidP="00335D19">
      <w:pPr>
        <w:autoSpaceDE w:val="0"/>
        <w:autoSpaceDN w:val="0"/>
        <w:adjustRightInd w:val="0"/>
        <w:rPr>
          <w:rFonts w:ascii="Arial" w:hAnsi="Arial" w:cs="Arial"/>
          <w:sz w:val="22"/>
          <w:szCs w:val="22"/>
        </w:rPr>
      </w:pPr>
      <w:r w:rsidRPr="00CE7106">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342CD8" w:rsidRDefault="00342CD8" w:rsidP="00ED7C29">
      <w:pPr>
        <w:rPr>
          <w:rFonts w:ascii="Arial" w:hAnsi="Arial" w:cs="Arial"/>
          <w:b/>
          <w:sz w:val="22"/>
          <w:szCs w:val="22"/>
        </w:rPr>
      </w:pPr>
    </w:p>
    <w:p w:rsidR="00342CD8" w:rsidRPr="0067161C" w:rsidRDefault="00342CD8" w:rsidP="00D31A00">
      <w:pPr>
        <w:pStyle w:val="Default"/>
        <w:spacing w:after="240"/>
        <w:rPr>
          <w:color w:val="auto"/>
          <w:sz w:val="22"/>
          <w:szCs w:val="22"/>
        </w:rPr>
      </w:pPr>
    </w:p>
    <w:sectPr w:rsidR="00342CD8" w:rsidRPr="0067161C"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D8" w:rsidRDefault="00342CD8">
      <w:r>
        <w:separator/>
      </w:r>
    </w:p>
  </w:endnote>
  <w:endnote w:type="continuationSeparator" w:id="0">
    <w:p w:rsidR="00342CD8" w:rsidRDefault="00342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8" w:rsidRPr="002179DD" w:rsidRDefault="00342CD8" w:rsidP="002179DD">
    <w:pPr>
      <w:pStyle w:val="Footer"/>
      <w:jc w:val="cen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D8" w:rsidRDefault="00342CD8">
      <w:r>
        <w:separator/>
      </w:r>
    </w:p>
  </w:footnote>
  <w:footnote w:type="continuationSeparator" w:id="0">
    <w:p w:rsidR="00342CD8" w:rsidRDefault="00342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45EFF"/>
    <w:rsid w:val="00083ADF"/>
    <w:rsid w:val="000900D8"/>
    <w:rsid w:val="000A2BCA"/>
    <w:rsid w:val="000C154E"/>
    <w:rsid w:val="000F0C2B"/>
    <w:rsid w:val="00150A41"/>
    <w:rsid w:val="00152332"/>
    <w:rsid w:val="001763E9"/>
    <w:rsid w:val="001A6C9B"/>
    <w:rsid w:val="001B3F9E"/>
    <w:rsid w:val="001C27E9"/>
    <w:rsid w:val="001D01A8"/>
    <w:rsid w:val="001D3B65"/>
    <w:rsid w:val="002179DD"/>
    <w:rsid w:val="0022089E"/>
    <w:rsid w:val="00335D19"/>
    <w:rsid w:val="00342CD8"/>
    <w:rsid w:val="003652DD"/>
    <w:rsid w:val="003658F1"/>
    <w:rsid w:val="00377547"/>
    <w:rsid w:val="003C0068"/>
    <w:rsid w:val="003E029A"/>
    <w:rsid w:val="003F6C63"/>
    <w:rsid w:val="004253BB"/>
    <w:rsid w:val="004264BC"/>
    <w:rsid w:val="00426691"/>
    <w:rsid w:val="0043092E"/>
    <w:rsid w:val="004332BC"/>
    <w:rsid w:val="004650DB"/>
    <w:rsid w:val="004E1E12"/>
    <w:rsid w:val="004F3BC8"/>
    <w:rsid w:val="005114FB"/>
    <w:rsid w:val="005202DD"/>
    <w:rsid w:val="005243B4"/>
    <w:rsid w:val="005B3FBF"/>
    <w:rsid w:val="005B71A3"/>
    <w:rsid w:val="005B7296"/>
    <w:rsid w:val="005C2AFE"/>
    <w:rsid w:val="005D0A14"/>
    <w:rsid w:val="005F3181"/>
    <w:rsid w:val="006201B1"/>
    <w:rsid w:val="006269C1"/>
    <w:rsid w:val="00637EE3"/>
    <w:rsid w:val="0065756A"/>
    <w:rsid w:val="0067156E"/>
    <w:rsid w:val="0067161C"/>
    <w:rsid w:val="00672C95"/>
    <w:rsid w:val="006A721C"/>
    <w:rsid w:val="006C0CAD"/>
    <w:rsid w:val="006C5F8A"/>
    <w:rsid w:val="006D58B4"/>
    <w:rsid w:val="00702E62"/>
    <w:rsid w:val="00707F63"/>
    <w:rsid w:val="007546D3"/>
    <w:rsid w:val="00762A92"/>
    <w:rsid w:val="007A1D26"/>
    <w:rsid w:val="007A4F7E"/>
    <w:rsid w:val="007F2CB3"/>
    <w:rsid w:val="00811AB4"/>
    <w:rsid w:val="00812C02"/>
    <w:rsid w:val="0081625B"/>
    <w:rsid w:val="00837883"/>
    <w:rsid w:val="00877DFC"/>
    <w:rsid w:val="00957F59"/>
    <w:rsid w:val="00973D0D"/>
    <w:rsid w:val="009B624A"/>
    <w:rsid w:val="009D1C90"/>
    <w:rsid w:val="009E501C"/>
    <w:rsid w:val="00A05242"/>
    <w:rsid w:val="00A4070B"/>
    <w:rsid w:val="00A9652D"/>
    <w:rsid w:val="00AA3A3A"/>
    <w:rsid w:val="00AB3DC4"/>
    <w:rsid w:val="00AC0C75"/>
    <w:rsid w:val="00AD13A5"/>
    <w:rsid w:val="00AD715C"/>
    <w:rsid w:val="00AF6F11"/>
    <w:rsid w:val="00B00A36"/>
    <w:rsid w:val="00B1005D"/>
    <w:rsid w:val="00B125D6"/>
    <w:rsid w:val="00B27CC9"/>
    <w:rsid w:val="00B55A9E"/>
    <w:rsid w:val="00B67C4B"/>
    <w:rsid w:val="00BB0947"/>
    <w:rsid w:val="00BE4E2B"/>
    <w:rsid w:val="00BF247F"/>
    <w:rsid w:val="00C100A2"/>
    <w:rsid w:val="00C27387"/>
    <w:rsid w:val="00C47068"/>
    <w:rsid w:val="00C8797E"/>
    <w:rsid w:val="00C92C3C"/>
    <w:rsid w:val="00C97F31"/>
    <w:rsid w:val="00CB72D3"/>
    <w:rsid w:val="00CE7106"/>
    <w:rsid w:val="00CF02EF"/>
    <w:rsid w:val="00CF776B"/>
    <w:rsid w:val="00D31A00"/>
    <w:rsid w:val="00D71F9D"/>
    <w:rsid w:val="00D82B8A"/>
    <w:rsid w:val="00DD5BE3"/>
    <w:rsid w:val="00DF4E06"/>
    <w:rsid w:val="00DF4FFE"/>
    <w:rsid w:val="00E0591C"/>
    <w:rsid w:val="00E1544C"/>
    <w:rsid w:val="00E36BAC"/>
    <w:rsid w:val="00E67738"/>
    <w:rsid w:val="00E75AD9"/>
    <w:rsid w:val="00ED7C29"/>
    <w:rsid w:val="00F35B4A"/>
    <w:rsid w:val="00F865A1"/>
    <w:rsid w:val="00FA764E"/>
    <w:rsid w:val="00FD0B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1">
    <w:name w:val="heading 1"/>
    <w:basedOn w:val="Normal"/>
    <w:next w:val="Normal"/>
    <w:link w:val="Heading1Char"/>
    <w:uiPriority w:val="99"/>
    <w:qFormat/>
    <w:rsid w:val="00335D1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D19"/>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6F554D"/>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6F554D"/>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6F554D"/>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6F554D"/>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5BE3"/>
    <w:rPr>
      <w:rFonts w:ascii="Tahoma" w:hAnsi="Tahoma" w:cs="Tahoma"/>
      <w:sz w:val="16"/>
      <w:szCs w:val="16"/>
    </w:rPr>
  </w:style>
  <w:style w:type="character" w:customStyle="1" w:styleId="BalloonTextChar">
    <w:name w:val="Balloon Text Char"/>
    <w:basedOn w:val="DefaultParagraphFont"/>
    <w:link w:val="BalloonText"/>
    <w:uiPriority w:val="99"/>
    <w:semiHidden/>
    <w:rsid w:val="006F554D"/>
    <w:rPr>
      <w:sz w:val="0"/>
      <w:szCs w:val="0"/>
    </w:rPr>
  </w:style>
</w:styles>
</file>

<file path=word/webSettings.xml><?xml version="1.0" encoding="utf-8"?>
<w:webSettings xmlns:r="http://schemas.openxmlformats.org/officeDocument/2006/relationships" xmlns:w="http://schemas.openxmlformats.org/wordprocessingml/2006/main">
  <w:divs>
    <w:div w:id="1025133198">
      <w:marLeft w:val="0"/>
      <w:marRight w:val="0"/>
      <w:marTop w:val="0"/>
      <w:marBottom w:val="0"/>
      <w:divBdr>
        <w:top w:val="none" w:sz="0" w:space="0" w:color="auto"/>
        <w:left w:val="none" w:sz="0" w:space="0" w:color="auto"/>
        <w:bottom w:val="none" w:sz="0" w:space="0" w:color="auto"/>
        <w:right w:val="none" w:sz="0" w:space="0" w:color="auto"/>
      </w:divBdr>
    </w:div>
    <w:div w:id="1025133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430</Words>
  <Characters>2457</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Employment</dc:title>
  <dc:subject/>
  <dc:creator>MoJ</dc:creator>
  <cp:keywords>FOI, FOIA, employment, discrimination</cp:keywords>
  <dc:description/>
  <cp:lastModifiedBy>feg18q</cp:lastModifiedBy>
  <cp:revision>3</cp:revision>
  <dcterms:created xsi:type="dcterms:W3CDTF">2013-11-05T12:45:00Z</dcterms:created>
  <dcterms:modified xsi:type="dcterms:W3CDTF">2013-11-05T12:47:00Z</dcterms:modified>
</cp:coreProperties>
</file>