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B1" w:rsidRDefault="00037BB1" w:rsidP="00037BB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Seasonal appeals raising funds for children affected by the Syria crisis</w:t>
      </w:r>
    </w:p>
    <w:p w:rsidR="00037BB1" w:rsidRDefault="00037BB1" w:rsidP="00037BB1">
      <w:pPr>
        <w:rPr>
          <w:rFonts w:ascii="Arial" w:hAnsi="Arial" w:cs="Arial"/>
          <w:sz w:val="24"/>
          <w:szCs w:val="24"/>
        </w:rPr>
      </w:pPr>
    </w:p>
    <w:p w:rsidR="00C0298F" w:rsidRDefault="00C0298F" w:rsidP="00037BB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37BB1" w:rsidRPr="00037BB1" w:rsidRDefault="00037BB1" w:rsidP="00037BB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37BB1">
        <w:rPr>
          <w:rFonts w:ascii="Arial" w:hAnsi="Arial" w:cs="Arial"/>
          <w:b/>
          <w:bCs/>
          <w:sz w:val="24"/>
          <w:szCs w:val="24"/>
          <w:u w:val="single"/>
        </w:rPr>
        <w:t>Invitation to submit a proposal</w:t>
      </w:r>
    </w:p>
    <w:p w:rsidR="00037BB1" w:rsidRDefault="00037BB1" w:rsidP="00037BB1">
      <w:pPr>
        <w:rPr>
          <w:rFonts w:ascii="Arial" w:hAnsi="Arial" w:cs="Arial"/>
          <w:b/>
          <w:bCs/>
          <w:sz w:val="24"/>
          <w:szCs w:val="24"/>
        </w:rPr>
      </w:pPr>
    </w:p>
    <w:p w:rsidR="00037BB1" w:rsidRDefault="00037BB1" w:rsidP="00037BB1">
      <w:pPr>
        <w:rPr>
          <w:rFonts w:ascii="Arial" w:hAnsi="Arial" w:cs="Arial"/>
          <w:b/>
          <w:bCs/>
          <w:lang w:eastAsia="en-GB"/>
        </w:rPr>
      </w:pPr>
    </w:p>
    <w:p w:rsidR="00037BB1" w:rsidRPr="00037BB1" w:rsidRDefault="00037BB1" w:rsidP="00037BB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7B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Lost Generation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</w:t>
      </w:r>
      <w:r w:rsidRPr="00037B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nitiative:</w:t>
      </w:r>
    </w:p>
    <w:p w:rsidR="00037BB1" w:rsidRDefault="00037BB1" w:rsidP="00037BB1">
      <w:pPr>
        <w:jc w:val="both"/>
        <w:rPr>
          <w:rFonts w:ascii="Arial" w:eastAsia="Times New Roman" w:hAnsi="Arial" w:cs="Arial"/>
          <w:b/>
          <w:bCs/>
          <w:lang w:eastAsia="en-GB"/>
        </w:rPr>
      </w:pPr>
    </w:p>
    <w:p w:rsidR="00037BB1" w:rsidRPr="00037BB1" w:rsidRDefault="00037BB1" w:rsidP="00037BB1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37BB1">
        <w:rPr>
          <w:rFonts w:ascii="Arial" w:eastAsia="Times New Roman" w:hAnsi="Arial" w:cs="Arial"/>
          <w:bCs/>
          <w:sz w:val="24"/>
          <w:szCs w:val="24"/>
          <w:lang w:eastAsia="en-GB"/>
        </w:rPr>
        <w:t>Syria’s children are in danger of becoming a lost generation.</w:t>
      </w:r>
      <w:r w:rsidRPr="00037BB1">
        <w:rPr>
          <w:rFonts w:ascii="Arial" w:eastAsia="Times New Roman" w:hAnsi="Arial" w:cs="Arial"/>
          <w:sz w:val="24"/>
          <w:szCs w:val="24"/>
          <w:lang w:eastAsia="en-GB"/>
        </w:rPr>
        <w:t xml:space="preserve"> Over 3 million have been affected by the conflict, 80% of them under the age of 14.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Over </w:t>
      </w:r>
      <w:r w:rsidRPr="00037BB1">
        <w:rPr>
          <w:rFonts w:ascii="Arial" w:eastAsia="Times New Roman" w:hAnsi="Arial" w:cs="Arial"/>
          <w:bCs/>
          <w:sz w:val="24"/>
          <w:szCs w:val="24"/>
          <w:lang w:eastAsia="en-GB"/>
        </w:rPr>
        <w:t>1 million children from Syria are now refugees</w:t>
      </w:r>
      <w:r w:rsidRPr="00037BB1">
        <w:rPr>
          <w:rFonts w:ascii="Arial" w:eastAsia="Times New Roman" w:hAnsi="Arial" w:cs="Arial"/>
          <w:sz w:val="24"/>
          <w:szCs w:val="24"/>
          <w:lang w:eastAsia="en-GB"/>
        </w:rPr>
        <w:t xml:space="preserve"> in neighbouring countries - this is the equivalent of more than 1 in 5 primary school children in England. </w:t>
      </w:r>
    </w:p>
    <w:p w:rsidR="00037BB1" w:rsidRPr="00037BB1" w:rsidRDefault="00037BB1" w:rsidP="00037BB1">
      <w:pPr>
        <w:ind w:left="72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:rsidR="00037BB1" w:rsidRPr="00037BB1" w:rsidRDefault="00037BB1" w:rsidP="00037BB1">
      <w:pPr>
        <w:spacing w:after="240"/>
        <w:contextualSpacing/>
        <w:rPr>
          <w:rFonts w:ascii="Arial" w:hAnsi="Arial" w:cs="Arial"/>
          <w:sz w:val="24"/>
          <w:szCs w:val="24"/>
          <w:lang w:eastAsia="en-GB"/>
        </w:rPr>
      </w:pPr>
      <w:r w:rsidRPr="00037BB1">
        <w:rPr>
          <w:rFonts w:ascii="Arial" w:hAnsi="Arial" w:cs="Arial"/>
          <w:sz w:val="24"/>
          <w:szCs w:val="24"/>
          <w:lang w:eastAsia="en-GB"/>
        </w:rPr>
        <w:t xml:space="preserve">Their future as well as their childhood is at risk. Whilst school children in the UK have returned to a new school year - </w:t>
      </w:r>
      <w:r w:rsidRPr="00037BB1">
        <w:rPr>
          <w:rFonts w:ascii="Arial" w:hAnsi="Arial" w:cs="Arial"/>
          <w:bCs/>
          <w:sz w:val="24"/>
          <w:szCs w:val="24"/>
          <w:lang w:eastAsia="en-GB"/>
        </w:rPr>
        <w:t>over a million Syrian children are unable to access basic education</w:t>
      </w:r>
      <w:r w:rsidRPr="00037BB1">
        <w:rPr>
          <w:rFonts w:ascii="Arial" w:hAnsi="Arial" w:cs="Arial"/>
          <w:sz w:val="24"/>
          <w:szCs w:val="24"/>
          <w:lang w:eastAsia="en-GB"/>
        </w:rPr>
        <w:t xml:space="preserve"> and </w:t>
      </w:r>
      <w:r w:rsidRPr="00037BB1">
        <w:rPr>
          <w:rFonts w:ascii="Arial" w:hAnsi="Arial" w:cs="Arial"/>
          <w:bCs/>
          <w:sz w:val="24"/>
          <w:szCs w:val="24"/>
          <w:lang w:eastAsia="en-GB"/>
        </w:rPr>
        <w:t>4,000 schools</w:t>
      </w:r>
      <w:r w:rsidRPr="00037BB1">
        <w:rPr>
          <w:rFonts w:ascii="Arial" w:hAnsi="Arial" w:cs="Arial"/>
          <w:sz w:val="24"/>
          <w:szCs w:val="24"/>
          <w:lang w:eastAsia="en-GB"/>
        </w:rPr>
        <w:t xml:space="preserve"> have been destroyed.</w:t>
      </w:r>
    </w:p>
    <w:p w:rsidR="00037BB1" w:rsidRPr="00037BB1" w:rsidRDefault="00037BB1" w:rsidP="00037BB1">
      <w:pPr>
        <w:spacing w:after="240"/>
        <w:contextualSpacing/>
        <w:rPr>
          <w:rFonts w:ascii="Arial" w:hAnsi="Arial" w:cs="Arial"/>
          <w:sz w:val="24"/>
          <w:szCs w:val="24"/>
          <w:lang w:eastAsia="en-GB"/>
        </w:rPr>
      </w:pPr>
    </w:p>
    <w:p w:rsidR="00037BB1" w:rsidRPr="00037BB1" w:rsidRDefault="00037BB1" w:rsidP="00037BB1">
      <w:pPr>
        <w:spacing w:after="240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Department for International Development has</w:t>
      </w:r>
      <w:r w:rsidRPr="00037BB1">
        <w:rPr>
          <w:rFonts w:ascii="Arial" w:hAnsi="Arial" w:cs="Arial"/>
          <w:sz w:val="24"/>
          <w:szCs w:val="24"/>
          <w:lang w:eastAsia="en-GB"/>
        </w:rPr>
        <w:t xml:space="preserve"> put in place </w:t>
      </w:r>
      <w:r w:rsidRPr="00C0298F">
        <w:rPr>
          <w:rFonts w:ascii="Arial" w:hAnsi="Arial" w:cs="Arial"/>
          <w:bCs/>
          <w:sz w:val="24"/>
          <w:szCs w:val="24"/>
          <w:lang w:eastAsia="en-GB"/>
        </w:rPr>
        <w:t>a new £30m ‘Lost</w:t>
      </w:r>
      <w:r w:rsidRPr="00037BB1">
        <w:rPr>
          <w:rFonts w:ascii="Arial" w:hAnsi="Arial" w:cs="Arial"/>
          <w:bCs/>
          <w:sz w:val="24"/>
          <w:szCs w:val="24"/>
          <w:lang w:eastAsia="en-GB"/>
        </w:rPr>
        <w:t xml:space="preserve"> Generation initiative</w:t>
      </w:r>
      <w:r>
        <w:rPr>
          <w:rFonts w:ascii="Arial" w:hAnsi="Arial" w:cs="Arial"/>
          <w:bCs/>
          <w:sz w:val="24"/>
          <w:szCs w:val="24"/>
          <w:lang w:eastAsia="en-GB"/>
        </w:rPr>
        <w:t>’</w:t>
      </w:r>
      <w:r w:rsidRPr="00037BB1">
        <w:rPr>
          <w:rFonts w:ascii="Arial" w:hAnsi="Arial" w:cs="Arial"/>
          <w:sz w:val="24"/>
          <w:szCs w:val="24"/>
          <w:lang w:eastAsia="en-GB"/>
        </w:rPr>
        <w:t xml:space="preserve"> to </w:t>
      </w:r>
      <w:r w:rsidR="0053080D">
        <w:rPr>
          <w:rFonts w:ascii="Arial" w:hAnsi="Arial" w:cs="Arial"/>
          <w:sz w:val="24"/>
          <w:szCs w:val="24"/>
          <w:lang w:eastAsia="en-GB"/>
        </w:rPr>
        <w:t>support emotional and social</w:t>
      </w:r>
      <w:r w:rsidR="00F60A87">
        <w:rPr>
          <w:rFonts w:ascii="Arial" w:hAnsi="Arial" w:cs="Arial"/>
          <w:sz w:val="24"/>
          <w:szCs w:val="24"/>
          <w:lang w:eastAsia="en-GB"/>
        </w:rPr>
        <w:t xml:space="preserve"> wellbeing</w:t>
      </w:r>
      <w:r w:rsidR="0053080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37BB1">
        <w:rPr>
          <w:rFonts w:ascii="Arial" w:hAnsi="Arial" w:cs="Arial"/>
          <w:sz w:val="24"/>
          <w:szCs w:val="24"/>
          <w:lang w:eastAsia="en-GB"/>
        </w:rPr>
        <w:t xml:space="preserve">for those children who need it and </w:t>
      </w:r>
      <w:r w:rsidRPr="00037BB1">
        <w:rPr>
          <w:rFonts w:ascii="Arial" w:hAnsi="Arial" w:cs="Arial"/>
          <w:bCs/>
          <w:sz w:val="24"/>
          <w:szCs w:val="24"/>
          <w:lang w:eastAsia="en-GB"/>
        </w:rPr>
        <w:t>basic educational supplies</w:t>
      </w:r>
      <w:r w:rsidRPr="00037BB1">
        <w:rPr>
          <w:rFonts w:ascii="Arial" w:hAnsi="Arial" w:cs="Arial"/>
          <w:sz w:val="24"/>
          <w:szCs w:val="24"/>
          <w:lang w:eastAsia="en-GB"/>
        </w:rPr>
        <w:t xml:space="preserve"> to try and bring some sense of normality back into their lives. </w:t>
      </w:r>
    </w:p>
    <w:p w:rsidR="00037BB1" w:rsidRPr="00037BB1" w:rsidRDefault="00037BB1" w:rsidP="00037BB1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37BB1" w:rsidRPr="00037BB1" w:rsidRDefault="00037BB1" w:rsidP="00037BB1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37BB1">
        <w:rPr>
          <w:rFonts w:ascii="Arial" w:eastAsia="Times New Roman" w:hAnsi="Arial" w:cs="Arial"/>
          <w:sz w:val="24"/>
          <w:szCs w:val="24"/>
          <w:lang w:eastAsia="en-GB"/>
        </w:rPr>
        <w:t xml:space="preserve">We will also provide child support services in refugee camps and hand out some basic toys to children who have had to leave so much behind. </w:t>
      </w:r>
      <w:r w:rsidRPr="00037BB1">
        <w:rPr>
          <w:rFonts w:ascii="Arial" w:eastAsia="Times New Roman" w:hAnsi="Arial" w:cs="Arial"/>
          <w:bCs/>
          <w:sz w:val="24"/>
          <w:szCs w:val="24"/>
          <w:lang w:eastAsia="en-GB"/>
        </w:rPr>
        <w:t>Our help will mean that thousands of children across the region will be able to return to education in a safer environment.</w:t>
      </w:r>
    </w:p>
    <w:p w:rsidR="00037BB1" w:rsidRPr="00037BB1" w:rsidRDefault="00037BB1" w:rsidP="00037BB1">
      <w:pPr>
        <w:rPr>
          <w:rFonts w:ascii="Arial" w:hAnsi="Arial" w:cs="Arial"/>
          <w:bCs/>
          <w:sz w:val="24"/>
          <w:szCs w:val="24"/>
        </w:rPr>
      </w:pPr>
    </w:p>
    <w:p w:rsidR="00037BB1" w:rsidRDefault="00037BB1" w:rsidP="00037B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are inviting organisations that have;</w:t>
      </w:r>
    </w:p>
    <w:p w:rsidR="00037BB1" w:rsidRDefault="00037BB1" w:rsidP="00037B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7BB1" w:rsidRPr="00037BB1" w:rsidRDefault="00037BB1" w:rsidP="00037BB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037BB1">
        <w:rPr>
          <w:rFonts w:ascii="Arial" w:hAnsi="Arial" w:cs="Arial"/>
          <w:b/>
          <w:bCs/>
          <w:sz w:val="24"/>
          <w:szCs w:val="24"/>
        </w:rPr>
        <w:t>a track record of working with those impacted by the Syria crisis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037B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7BB1" w:rsidRDefault="00037BB1" w:rsidP="00037BB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037BB1">
        <w:rPr>
          <w:rFonts w:ascii="Arial" w:hAnsi="Arial" w:cs="Arial"/>
          <w:b/>
          <w:bCs/>
          <w:sz w:val="24"/>
          <w:szCs w:val="24"/>
        </w:rPr>
        <w:t xml:space="preserve">understanding of and experience in meeting the specific </w:t>
      </w:r>
      <w:r w:rsidR="0053080D">
        <w:rPr>
          <w:rFonts w:ascii="Arial" w:hAnsi="Arial" w:cs="Arial"/>
          <w:b/>
          <w:bCs/>
          <w:sz w:val="24"/>
          <w:szCs w:val="24"/>
        </w:rPr>
        <w:t xml:space="preserve">– child protection, education and psycho-social </w:t>
      </w:r>
      <w:r w:rsidRPr="00037BB1">
        <w:rPr>
          <w:rFonts w:ascii="Arial" w:hAnsi="Arial" w:cs="Arial"/>
          <w:b/>
          <w:bCs/>
          <w:sz w:val="24"/>
          <w:szCs w:val="24"/>
        </w:rPr>
        <w:t>needs of children</w:t>
      </w:r>
      <w:r w:rsidR="0053080D">
        <w:rPr>
          <w:rFonts w:ascii="Arial" w:hAnsi="Arial" w:cs="Arial"/>
          <w:b/>
          <w:bCs/>
          <w:sz w:val="24"/>
          <w:szCs w:val="24"/>
        </w:rPr>
        <w:t xml:space="preserve"> in emergencies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037B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7BB1" w:rsidRDefault="00037BB1" w:rsidP="00037BB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037BB1">
        <w:rPr>
          <w:rFonts w:ascii="Arial" w:hAnsi="Arial" w:cs="Arial"/>
          <w:b/>
          <w:bCs/>
          <w:sz w:val="24"/>
          <w:szCs w:val="24"/>
        </w:rPr>
        <w:t>a winter appeal for Syria planned and ready to go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037B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7BB1" w:rsidRDefault="00037BB1" w:rsidP="00037BB1">
      <w:pPr>
        <w:rPr>
          <w:rFonts w:ascii="Arial" w:hAnsi="Arial" w:cs="Arial"/>
          <w:b/>
          <w:bCs/>
          <w:sz w:val="24"/>
          <w:szCs w:val="24"/>
        </w:rPr>
      </w:pPr>
    </w:p>
    <w:p w:rsidR="00037BB1" w:rsidRDefault="008B3E8F" w:rsidP="00037B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037BB1" w:rsidRPr="00037BB1">
        <w:rPr>
          <w:rFonts w:ascii="Arial" w:hAnsi="Arial" w:cs="Arial"/>
          <w:b/>
          <w:bCs/>
          <w:sz w:val="24"/>
          <w:szCs w:val="24"/>
        </w:rPr>
        <w:t>o submit a proposal for match-funding of public donations to winter appe</w:t>
      </w:r>
      <w:r w:rsidR="000F11DB">
        <w:rPr>
          <w:rFonts w:ascii="Arial" w:hAnsi="Arial" w:cs="Arial"/>
          <w:b/>
          <w:bCs/>
          <w:sz w:val="24"/>
          <w:szCs w:val="24"/>
        </w:rPr>
        <w:t>als for work to be undertaken as a part of</w:t>
      </w:r>
      <w:r w:rsidR="00037BB1">
        <w:rPr>
          <w:rFonts w:ascii="Arial" w:hAnsi="Arial" w:cs="Arial"/>
          <w:b/>
          <w:bCs/>
          <w:sz w:val="24"/>
          <w:szCs w:val="24"/>
        </w:rPr>
        <w:t xml:space="preserve"> the Lost Generation initiative</w:t>
      </w:r>
      <w:r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="00037BB1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594CAB" w:rsidRDefault="00594CAB" w:rsidP="00037BB1">
      <w:pPr>
        <w:rPr>
          <w:rFonts w:ascii="Arial" w:hAnsi="Arial" w:cs="Arial"/>
          <w:b/>
          <w:bCs/>
          <w:sz w:val="24"/>
          <w:szCs w:val="24"/>
        </w:rPr>
      </w:pPr>
    </w:p>
    <w:p w:rsidR="002B34E4" w:rsidRDefault="002B34E4" w:rsidP="00037BB1">
      <w:pPr>
        <w:rPr>
          <w:rFonts w:ascii="Arial" w:hAnsi="Arial" w:cs="Arial"/>
          <w:bCs/>
          <w:sz w:val="24"/>
          <w:szCs w:val="24"/>
        </w:rPr>
      </w:pPr>
      <w:r w:rsidRPr="00A40E67">
        <w:rPr>
          <w:rFonts w:ascii="Arial" w:hAnsi="Arial" w:cs="Arial"/>
          <w:bCs/>
          <w:sz w:val="24"/>
          <w:szCs w:val="24"/>
        </w:rPr>
        <w:t>The project must target children affected by the Syria crisis. The project must be ready to commence activity by April 2014 and must be completed by April 2015.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2B34E4" w:rsidRDefault="002B34E4" w:rsidP="00037BB1">
      <w:pPr>
        <w:rPr>
          <w:rFonts w:ascii="Arial" w:hAnsi="Arial" w:cs="Arial"/>
          <w:bCs/>
          <w:sz w:val="24"/>
          <w:szCs w:val="24"/>
        </w:rPr>
      </w:pPr>
    </w:p>
    <w:p w:rsidR="00594CAB" w:rsidRDefault="00594CAB" w:rsidP="00037BB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order to bid for these funds organisations must </w:t>
      </w:r>
      <w:r w:rsidR="00F21C4D">
        <w:rPr>
          <w:rFonts w:ascii="Arial" w:hAnsi="Arial" w:cs="Arial"/>
          <w:bCs/>
          <w:sz w:val="24"/>
          <w:szCs w:val="24"/>
        </w:rPr>
        <w:t>complete the</w:t>
      </w:r>
      <w:r w:rsidR="00806011">
        <w:rPr>
          <w:rFonts w:ascii="Arial" w:hAnsi="Arial" w:cs="Arial"/>
          <w:bCs/>
          <w:sz w:val="24"/>
          <w:szCs w:val="24"/>
        </w:rPr>
        <w:t xml:space="preserve"> following </w:t>
      </w:r>
      <w:r w:rsidR="008B3E8F">
        <w:rPr>
          <w:rFonts w:ascii="Arial" w:hAnsi="Arial" w:cs="Arial"/>
          <w:bCs/>
          <w:sz w:val="24"/>
          <w:szCs w:val="24"/>
        </w:rPr>
        <w:t>documents</w:t>
      </w:r>
      <w:r w:rsidR="00C0298F">
        <w:rPr>
          <w:rFonts w:ascii="Arial" w:hAnsi="Arial" w:cs="Arial"/>
          <w:bCs/>
          <w:sz w:val="24"/>
          <w:szCs w:val="24"/>
        </w:rPr>
        <w:t xml:space="preserve"> relating to the project and the appeal, including </w:t>
      </w:r>
      <w:r w:rsidR="00806011">
        <w:rPr>
          <w:rFonts w:ascii="Arial" w:hAnsi="Arial" w:cs="Arial"/>
          <w:bCs/>
          <w:sz w:val="24"/>
          <w:szCs w:val="24"/>
        </w:rPr>
        <w:t>the</w:t>
      </w:r>
      <w:r w:rsidR="00F21C4D">
        <w:rPr>
          <w:rFonts w:ascii="Arial" w:hAnsi="Arial" w:cs="Arial"/>
          <w:bCs/>
          <w:sz w:val="24"/>
          <w:szCs w:val="24"/>
        </w:rPr>
        <w:t xml:space="preserve"> </w:t>
      </w:r>
      <w:r w:rsidR="00806011">
        <w:rPr>
          <w:rFonts w:ascii="Arial" w:hAnsi="Arial" w:cs="Arial"/>
          <w:bCs/>
          <w:sz w:val="24"/>
          <w:szCs w:val="24"/>
        </w:rPr>
        <w:t>impact and outcome levels of the</w:t>
      </w:r>
      <w:r w:rsidR="006A4A36">
        <w:rPr>
          <w:rFonts w:ascii="Arial" w:hAnsi="Arial" w:cs="Arial"/>
          <w:bCs/>
          <w:sz w:val="24"/>
          <w:szCs w:val="24"/>
        </w:rPr>
        <w:t xml:space="preserve"> </w:t>
      </w:r>
      <w:r w:rsidR="006A4A36">
        <w:rPr>
          <w:rFonts w:ascii="Arial" w:hAnsi="Arial" w:cs="Arial"/>
          <w:b/>
          <w:bCs/>
          <w:sz w:val="24"/>
          <w:szCs w:val="24"/>
        </w:rPr>
        <w:t>indicative</w:t>
      </w:r>
      <w:r w:rsidR="006A4A36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2"/>
      </w:r>
      <w:r w:rsidR="00806011">
        <w:rPr>
          <w:rFonts w:ascii="Arial" w:hAnsi="Arial" w:cs="Arial"/>
          <w:bCs/>
          <w:sz w:val="24"/>
          <w:szCs w:val="24"/>
        </w:rPr>
        <w:t xml:space="preserve"> logframe </w:t>
      </w:r>
      <w:r w:rsidR="00F21C4D">
        <w:rPr>
          <w:rFonts w:ascii="Arial" w:hAnsi="Arial" w:cs="Arial"/>
          <w:bCs/>
          <w:sz w:val="24"/>
          <w:szCs w:val="24"/>
        </w:rPr>
        <w:t xml:space="preserve">and return to </w:t>
      </w:r>
      <w:hyperlink r:id="rId9" w:history="1">
        <w:r w:rsidR="00C0298F" w:rsidRPr="005A32A4">
          <w:rPr>
            <w:rStyle w:val="Hyperlink"/>
            <w:rFonts w:ascii="Arial" w:hAnsi="Arial" w:cs="Arial"/>
            <w:bCs/>
            <w:sz w:val="24"/>
            <w:szCs w:val="24"/>
          </w:rPr>
          <w:t>ukaidmatch@dfid.gov.uk</w:t>
        </w:r>
      </w:hyperlink>
      <w:r w:rsidR="00C0298F">
        <w:rPr>
          <w:rFonts w:ascii="Arial" w:hAnsi="Arial" w:cs="Arial"/>
          <w:bCs/>
          <w:sz w:val="24"/>
          <w:szCs w:val="24"/>
        </w:rPr>
        <w:t xml:space="preserve"> </w:t>
      </w:r>
      <w:r w:rsidR="00F21C4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by </w:t>
      </w:r>
      <w:r w:rsidR="00C42CA7">
        <w:rPr>
          <w:rFonts w:ascii="Arial" w:hAnsi="Arial" w:cs="Arial"/>
          <w:b/>
          <w:bCs/>
          <w:sz w:val="24"/>
          <w:szCs w:val="24"/>
        </w:rPr>
        <w:t>midnight,</w:t>
      </w:r>
      <w:r>
        <w:rPr>
          <w:rFonts w:ascii="Arial" w:hAnsi="Arial" w:cs="Arial"/>
          <w:b/>
          <w:bCs/>
          <w:sz w:val="24"/>
          <w:szCs w:val="24"/>
        </w:rPr>
        <w:t xml:space="preserve"> 4 November</w:t>
      </w:r>
      <w:r>
        <w:rPr>
          <w:rFonts w:ascii="Arial" w:hAnsi="Arial" w:cs="Arial"/>
          <w:bCs/>
          <w:sz w:val="24"/>
          <w:szCs w:val="24"/>
        </w:rPr>
        <w:t>:</w:t>
      </w:r>
    </w:p>
    <w:p w:rsidR="00594CAB" w:rsidRDefault="00594CAB" w:rsidP="00037BB1">
      <w:pPr>
        <w:rPr>
          <w:rFonts w:ascii="Arial" w:hAnsi="Arial" w:cs="Arial"/>
          <w:bCs/>
          <w:sz w:val="24"/>
          <w:szCs w:val="24"/>
        </w:rPr>
      </w:pPr>
    </w:p>
    <w:p w:rsidR="00555F21" w:rsidRDefault="00555F2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445E62" w:rsidRDefault="00555F21" w:rsidP="00F21C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Lost Ge</w:t>
      </w:r>
      <w:r w:rsidR="00445E62">
        <w:rPr>
          <w:rFonts w:ascii="Arial" w:hAnsi="Arial" w:cs="Arial"/>
          <w:b/>
          <w:bCs/>
          <w:sz w:val="24"/>
          <w:szCs w:val="24"/>
        </w:rPr>
        <w:t xml:space="preserve">neration initiative: the project </w:t>
      </w:r>
    </w:p>
    <w:p w:rsidR="00594CAB" w:rsidRPr="00445E62" w:rsidRDefault="00445E62" w:rsidP="00F21C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Cs/>
          <w:sz w:val="24"/>
          <w:szCs w:val="24"/>
        </w:rPr>
        <w:t>should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be no more than 4 sides when completed. Please use Arial font 12)</w:t>
      </w:r>
    </w:p>
    <w:p w:rsidR="00555F21" w:rsidRDefault="00555F21" w:rsidP="00F21C4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55F21" w:rsidTr="00555F21">
        <w:tc>
          <w:tcPr>
            <w:tcW w:w="9854" w:type="dxa"/>
          </w:tcPr>
          <w:p w:rsidR="00555F21" w:rsidRPr="00555F21" w:rsidRDefault="00555F21" w:rsidP="00445E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description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(brief overview of the work that you plan to do</w:t>
            </w:r>
            <w:r w:rsidR="00445E62">
              <w:rPr>
                <w:rFonts w:ascii="Arial" w:hAnsi="Arial" w:cs="Arial"/>
                <w:bCs/>
                <w:sz w:val="24"/>
                <w:szCs w:val="24"/>
              </w:rPr>
              <w:t>, including location</w:t>
            </w:r>
            <w:r w:rsidR="002B34E4">
              <w:rPr>
                <w:rFonts w:ascii="Arial" w:hAnsi="Arial" w:cs="Arial"/>
                <w:bCs/>
                <w:sz w:val="24"/>
                <w:szCs w:val="24"/>
              </w:rPr>
              <w:t xml:space="preserve"> (s)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555F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55F21" w:rsidTr="00555F21">
        <w:tc>
          <w:tcPr>
            <w:tcW w:w="9854" w:type="dxa"/>
          </w:tcPr>
          <w:p w:rsidR="00555F21" w:rsidRDefault="00555F21" w:rsidP="00F21C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F21" w:rsidRDefault="00555F21" w:rsidP="00F21C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F21" w:rsidRDefault="00555F21" w:rsidP="00F21C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F21C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55F21" w:rsidRPr="00445E62" w:rsidRDefault="00555F21" w:rsidP="00F21C4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55F21" w:rsidRPr="00555F21" w:rsidTr="00710E52">
        <w:tc>
          <w:tcPr>
            <w:tcW w:w="9854" w:type="dxa"/>
          </w:tcPr>
          <w:p w:rsidR="00555F21" w:rsidRPr="00555F21" w:rsidRDefault="00555F21" w:rsidP="00445E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 impact</w:t>
            </w:r>
            <w:r w:rsidR="00F60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beneficiaries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(impact that </w:t>
            </w:r>
            <w:r w:rsidR="00445E62">
              <w:rPr>
                <w:rFonts w:ascii="Arial" w:hAnsi="Arial" w:cs="Arial"/>
                <w:bCs/>
                <w:sz w:val="24"/>
                <w:szCs w:val="24"/>
              </w:rPr>
              <w:t>you expect your project to have</w:t>
            </w:r>
            <w:r w:rsidR="00F60A87">
              <w:rPr>
                <w:rFonts w:ascii="Arial" w:hAnsi="Arial" w:cs="Arial"/>
                <w:bCs/>
                <w:sz w:val="24"/>
                <w:szCs w:val="24"/>
              </w:rPr>
              <w:t xml:space="preserve"> and how beneficiaries will be targeted</w:t>
            </w:r>
            <w:r w:rsidR="00445E6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555F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55F21" w:rsidTr="00710E52">
        <w:tc>
          <w:tcPr>
            <w:tcW w:w="9854" w:type="dxa"/>
          </w:tcPr>
          <w:p w:rsidR="00555F21" w:rsidRDefault="00555F21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F21" w:rsidRDefault="00555F21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F21" w:rsidRDefault="00555F21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F21" w:rsidRDefault="00555F21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F21" w:rsidRDefault="00555F21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37BB1" w:rsidRPr="00445E62" w:rsidRDefault="00037BB1" w:rsidP="00037BB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5E62" w:rsidRPr="00555F21" w:rsidTr="00710E52">
        <w:tc>
          <w:tcPr>
            <w:tcW w:w="9854" w:type="dxa"/>
          </w:tcPr>
          <w:p w:rsidR="00445E62" w:rsidRPr="00555F21" w:rsidRDefault="00445E62" w:rsidP="00445E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methodology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(brief overview how you will implement your project) </w:t>
            </w:r>
            <w:r w:rsidRPr="00555F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45E62" w:rsidTr="00710E52">
        <w:tc>
          <w:tcPr>
            <w:tcW w:w="9854" w:type="dxa"/>
          </w:tcPr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21C4D" w:rsidRPr="00445E62" w:rsidRDefault="00F21C4D" w:rsidP="00037BB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5E62" w:rsidRPr="00555F21" w:rsidTr="00710E52">
        <w:tc>
          <w:tcPr>
            <w:tcW w:w="9854" w:type="dxa"/>
          </w:tcPr>
          <w:p w:rsidR="00445E62" w:rsidRPr="00555F21" w:rsidRDefault="00445E62" w:rsidP="00445E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Value for Money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(how you will ensure that your project delivers value for money)</w:t>
            </w:r>
            <w:r w:rsidRPr="00555F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45E62" w:rsidTr="00710E52">
        <w:tc>
          <w:tcPr>
            <w:tcW w:w="9854" w:type="dxa"/>
          </w:tcPr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21C4D" w:rsidRPr="00445E62" w:rsidRDefault="00F21C4D" w:rsidP="00037BB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5E62" w:rsidRPr="00555F21" w:rsidTr="00710E52">
        <w:tc>
          <w:tcPr>
            <w:tcW w:w="9854" w:type="dxa"/>
          </w:tcPr>
          <w:p w:rsidR="00445E62" w:rsidRPr="00555F21" w:rsidRDefault="00445E62" w:rsidP="00445E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Management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(management arrangements for this work)</w:t>
            </w:r>
            <w:r w:rsidRPr="00555F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45E62" w:rsidTr="00710E52">
        <w:tc>
          <w:tcPr>
            <w:tcW w:w="9854" w:type="dxa"/>
          </w:tcPr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21C4D" w:rsidRPr="00445E62" w:rsidRDefault="00F21C4D" w:rsidP="00037BB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5E62" w:rsidRPr="00555F21" w:rsidTr="00710E52">
        <w:tc>
          <w:tcPr>
            <w:tcW w:w="9854" w:type="dxa"/>
          </w:tcPr>
          <w:p w:rsidR="00445E62" w:rsidRPr="00555F21" w:rsidRDefault="00445E62" w:rsidP="00445E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Monitoring and evaluation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(how you will monitor and evaluate this work)</w:t>
            </w:r>
            <w:r w:rsidRPr="00555F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45E62" w:rsidTr="00710E52">
        <w:tc>
          <w:tcPr>
            <w:tcW w:w="9854" w:type="dxa"/>
          </w:tcPr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21C4D" w:rsidRPr="00445E62" w:rsidRDefault="00F21C4D" w:rsidP="00037BB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5E62" w:rsidRPr="00555F21" w:rsidTr="00710E52">
        <w:tc>
          <w:tcPr>
            <w:tcW w:w="9854" w:type="dxa"/>
          </w:tcPr>
          <w:p w:rsidR="00445E62" w:rsidRPr="00555F21" w:rsidRDefault="00445E62" w:rsidP="00445E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Avoiding duplication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(ensuring this work in complimentary to the overall humanitarian response</w:t>
            </w:r>
            <w:r w:rsidR="00F60A87">
              <w:rPr>
                <w:rFonts w:ascii="Arial" w:hAnsi="Arial" w:cs="Arial"/>
                <w:bCs/>
                <w:sz w:val="24"/>
                <w:szCs w:val="24"/>
              </w:rPr>
              <w:t xml:space="preserve"> including work of other NGOs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555F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45E62" w:rsidTr="00710E52">
        <w:tc>
          <w:tcPr>
            <w:tcW w:w="9854" w:type="dxa"/>
          </w:tcPr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5E62" w:rsidRDefault="00445E62" w:rsidP="00710E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21C4D" w:rsidRDefault="00F21C4D" w:rsidP="00037BB1">
      <w:pPr>
        <w:rPr>
          <w:rFonts w:ascii="Arial" w:hAnsi="Arial" w:cs="Arial"/>
          <w:b/>
          <w:bCs/>
          <w:sz w:val="24"/>
          <w:szCs w:val="24"/>
        </w:rPr>
        <w:sectPr w:rsidR="00F21C4D" w:rsidSect="00037BB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836"/>
        <w:gridCol w:w="2176"/>
        <w:gridCol w:w="1794"/>
        <w:gridCol w:w="695"/>
        <w:gridCol w:w="1259"/>
        <w:gridCol w:w="1281"/>
        <w:gridCol w:w="998"/>
        <w:gridCol w:w="1226"/>
        <w:gridCol w:w="963"/>
        <w:gridCol w:w="2671"/>
      </w:tblGrid>
      <w:tr w:rsidR="00F21C4D" w:rsidRPr="00F21C4D" w:rsidTr="00F21C4D">
        <w:trPr>
          <w:trHeight w:val="525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IMPACT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Indicator (</w:t>
            </w:r>
            <w:proofErr w:type="spellStart"/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Baseline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Milestone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Milestone 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Target 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Assumptions / Comments</w:t>
            </w:r>
          </w:p>
        </w:tc>
      </w:tr>
      <w:tr w:rsidR="00F21C4D" w:rsidRPr="00F21C4D" w:rsidTr="00F21C4D">
        <w:trPr>
          <w:trHeight w:val="288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21C4D" w:rsidRPr="00F21C4D" w:rsidRDefault="00F21C4D" w:rsidP="00F21C4D">
            <w:pPr>
              <w:tabs>
                <w:tab w:val="left" w:pos="1329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n-GB"/>
              </w:rPr>
              <w:t> </w:t>
            </w:r>
          </w:p>
        </w:tc>
      </w:tr>
      <w:tr w:rsidR="00F21C4D" w:rsidRPr="00F21C4D" w:rsidTr="00F21C4D">
        <w:trPr>
          <w:trHeight w:val="270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67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525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Indicator (ii)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Baseline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Milestone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Milestone 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Target </w:t>
            </w: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93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70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46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5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5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315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lang w:eastAsia="en-GB"/>
              </w:rPr>
              <w:t>OUTCOME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Indicator (</w:t>
            </w:r>
            <w:proofErr w:type="spellStart"/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Baseline 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Milestone 1 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Milestone 2 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Target 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Assumptions / Comments</w:t>
            </w:r>
          </w:p>
        </w:tc>
      </w:tr>
      <w:tr w:rsidR="00F21C4D" w:rsidRPr="00F21C4D" w:rsidTr="00F21C4D">
        <w:trPr>
          <w:trHeight w:val="379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70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806011">
        <w:trPr>
          <w:trHeight w:val="274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AB0CED">
        <w:trPr>
          <w:trHeight w:val="270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Indicator (ii)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Baseline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Milestone 1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Milestone 2 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Target </w:t>
            </w: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806011">
        <w:trPr>
          <w:trHeight w:val="254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70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806011">
        <w:trPr>
          <w:trHeight w:val="247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9365BF">
        <w:trPr>
          <w:trHeight w:val="270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Indicator (iii)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Baseline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Milestone 1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Milestone 2 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Target </w:t>
            </w: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65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70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806011">
        <w:trPr>
          <w:trHeight w:val="249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8035FE">
        <w:trPr>
          <w:trHeight w:val="270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Indicator (iv)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Baseline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Milestone 1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Milestone 2 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F21C4D" w:rsidRPr="00F21C4D" w:rsidRDefault="00F21C4D" w:rsidP="00710E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Target </w:t>
            </w: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806011">
        <w:trPr>
          <w:trHeight w:val="257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70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806011">
        <w:trPr>
          <w:trHeight w:val="239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70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INPUTS (£)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DFID (£)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 (£)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(£)</w:t>
            </w:r>
          </w:p>
        </w:tc>
        <w:tc>
          <w:tcPr>
            <w:tcW w:w="3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DFID SHARE (%)</w:t>
            </w:r>
          </w:p>
        </w:tc>
      </w:tr>
      <w:tr w:rsidR="00F21C4D" w:rsidRPr="00F21C4D" w:rsidTr="00F21C4D">
        <w:trPr>
          <w:trHeight w:val="270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1C4D" w:rsidRPr="00F21C4D" w:rsidTr="00F21C4D">
        <w:trPr>
          <w:trHeight w:val="270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INPUTS (HR)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(FTEs)</w:t>
            </w:r>
          </w:p>
        </w:tc>
        <w:tc>
          <w:tcPr>
            <w:tcW w:w="108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1C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21C4D" w:rsidRPr="00F21C4D" w:rsidTr="00F21C4D">
        <w:trPr>
          <w:trHeight w:val="252"/>
        </w:trPr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87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4D" w:rsidRPr="00F21C4D" w:rsidRDefault="00F21C4D" w:rsidP="00F21C4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21C4D" w:rsidRDefault="00F21C4D" w:rsidP="00037BB1">
      <w:pPr>
        <w:rPr>
          <w:rFonts w:ascii="Arial" w:hAnsi="Arial" w:cs="Arial"/>
          <w:b/>
          <w:bCs/>
          <w:sz w:val="24"/>
          <w:szCs w:val="24"/>
        </w:rPr>
      </w:pPr>
    </w:p>
    <w:p w:rsidR="00445E62" w:rsidRDefault="00445E62" w:rsidP="00037BB1">
      <w:pPr>
        <w:rPr>
          <w:rFonts w:ascii="Arial" w:hAnsi="Arial" w:cs="Arial"/>
          <w:b/>
          <w:bCs/>
          <w:sz w:val="24"/>
          <w:szCs w:val="24"/>
        </w:rPr>
        <w:sectPr w:rsidR="00445E62" w:rsidSect="00806011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EA7DD5" w:rsidRDefault="00EA7DD5" w:rsidP="00037B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 no more than 2-sides, and referring to the detailed criteria below please provide a brief description of your appeal including:</w:t>
      </w:r>
    </w:p>
    <w:p w:rsidR="00EA7DD5" w:rsidRDefault="00EA7DD5" w:rsidP="00037BB1">
      <w:pPr>
        <w:rPr>
          <w:rFonts w:ascii="Arial" w:hAnsi="Arial" w:cs="Arial"/>
          <w:bCs/>
          <w:sz w:val="24"/>
          <w:szCs w:val="24"/>
        </w:rPr>
      </w:pPr>
    </w:p>
    <w:p w:rsidR="00D4199B" w:rsidRPr="00EA7DD5" w:rsidRDefault="00D4199B" w:rsidP="00037BB1">
      <w:pPr>
        <w:rPr>
          <w:rFonts w:ascii="Arial" w:hAnsi="Arial" w:cs="Arial"/>
          <w:bCs/>
          <w:sz w:val="24"/>
          <w:szCs w:val="24"/>
        </w:rPr>
      </w:pPr>
    </w:p>
    <w:p w:rsidR="00EA7DD5" w:rsidRPr="00EA7DD5" w:rsidRDefault="00EA7DD5" w:rsidP="00EA7DD5">
      <w:pPr>
        <w:pStyle w:val="ListParagraph"/>
        <w:numPr>
          <w:ilvl w:val="0"/>
          <w:numId w:val="8"/>
        </w:numPr>
        <w:ind w:left="426" w:hanging="426"/>
        <w:outlineLvl w:val="0"/>
        <w:rPr>
          <w:rFonts w:ascii="Arial" w:hAnsi="Arial" w:cs="Arial"/>
          <w:sz w:val="24"/>
          <w:szCs w:val="24"/>
          <w:lang w:eastAsia="en-GB"/>
        </w:rPr>
      </w:pPr>
      <w:r w:rsidRPr="00EA7DD5">
        <w:rPr>
          <w:rFonts w:ascii="Arial" w:hAnsi="Arial" w:cs="Arial"/>
          <w:sz w:val="24"/>
          <w:szCs w:val="24"/>
          <w:lang w:eastAsia="en-GB"/>
        </w:rPr>
        <w:t>Audience</w:t>
      </w:r>
    </w:p>
    <w:p w:rsidR="00EA7DD5" w:rsidRPr="00EA7DD5" w:rsidRDefault="00EA7DD5" w:rsidP="00EA7D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/>
        <w:ind w:left="426" w:hanging="426"/>
        <w:outlineLvl w:val="0"/>
        <w:rPr>
          <w:rFonts w:ascii="Arial" w:hAnsi="Arial" w:cs="Arial"/>
          <w:bCs/>
          <w:iCs/>
          <w:sz w:val="24"/>
          <w:szCs w:val="24"/>
          <w:lang w:eastAsia="en-GB"/>
        </w:rPr>
      </w:pPr>
      <w:r w:rsidRPr="00EA7DD5">
        <w:rPr>
          <w:rFonts w:ascii="Arial" w:hAnsi="Arial" w:cs="Arial"/>
          <w:sz w:val="24"/>
          <w:szCs w:val="24"/>
          <w:lang w:eastAsia="en-GB"/>
        </w:rPr>
        <w:t>Key messages and content</w:t>
      </w:r>
      <w:r>
        <w:rPr>
          <w:rFonts w:ascii="Arial" w:hAnsi="Arial" w:cs="Arial"/>
          <w:sz w:val="24"/>
          <w:szCs w:val="24"/>
          <w:lang w:eastAsia="en-GB"/>
        </w:rPr>
        <w:t xml:space="preserve"> (include examples</w:t>
      </w:r>
      <w:r w:rsidR="00D4199B">
        <w:rPr>
          <w:rFonts w:ascii="Arial" w:hAnsi="Arial" w:cs="Arial"/>
          <w:sz w:val="24"/>
          <w:szCs w:val="24"/>
          <w:lang w:eastAsia="en-GB"/>
        </w:rPr>
        <w:t xml:space="preserve"> and visuals</w:t>
      </w:r>
      <w:r>
        <w:rPr>
          <w:rFonts w:ascii="Arial" w:hAnsi="Arial" w:cs="Arial"/>
          <w:sz w:val="24"/>
          <w:szCs w:val="24"/>
          <w:lang w:eastAsia="en-GB"/>
        </w:rPr>
        <w:t xml:space="preserve"> where possible) </w:t>
      </w:r>
      <w:r w:rsidRPr="00EA7DD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EA7DD5" w:rsidRPr="00EA7DD5" w:rsidRDefault="00EA7DD5" w:rsidP="00EA7DD5">
      <w:pPr>
        <w:pStyle w:val="ListParagraph"/>
        <w:numPr>
          <w:ilvl w:val="0"/>
          <w:numId w:val="8"/>
        </w:numPr>
        <w:ind w:left="426" w:hanging="426"/>
        <w:outlineLvl w:val="0"/>
        <w:rPr>
          <w:rFonts w:ascii="Arial" w:hAnsi="Arial" w:cs="Arial"/>
          <w:sz w:val="24"/>
          <w:szCs w:val="24"/>
          <w:lang w:eastAsia="en-GB"/>
        </w:rPr>
      </w:pPr>
      <w:r w:rsidRPr="00EA7DD5">
        <w:rPr>
          <w:rFonts w:ascii="Arial" w:hAnsi="Arial" w:cs="Arial"/>
          <w:sz w:val="24"/>
          <w:szCs w:val="24"/>
          <w:lang w:eastAsia="en-GB"/>
        </w:rPr>
        <w:t>Reporting back to the public on the use of donations and match funding</w:t>
      </w:r>
    </w:p>
    <w:p w:rsidR="00EA7DD5" w:rsidRDefault="00EA7DD5" w:rsidP="00037BB1">
      <w:pPr>
        <w:rPr>
          <w:rFonts w:ascii="Arial" w:hAnsi="Arial" w:cs="Arial"/>
          <w:b/>
          <w:bCs/>
          <w:sz w:val="24"/>
          <w:szCs w:val="24"/>
        </w:rPr>
      </w:pPr>
    </w:p>
    <w:p w:rsidR="00A10ACE" w:rsidRDefault="00EA7DD5">
      <w:r w:rsidRPr="00EA7DD5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66309" wp14:editId="48920791">
                <wp:simplePos x="0" y="0"/>
                <wp:positionH relativeFrom="column">
                  <wp:posOffset>-168761</wp:posOffset>
                </wp:positionH>
                <wp:positionV relativeFrom="paragraph">
                  <wp:posOffset>419323</wp:posOffset>
                </wp:positionV>
                <wp:extent cx="6548718" cy="6185647"/>
                <wp:effectExtent l="0" t="0" r="2413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18" cy="6185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D5" w:rsidRPr="00445E62" w:rsidRDefault="00EA7DD5" w:rsidP="00EA7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E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Communications criteria</w:t>
                            </w:r>
                          </w:p>
                          <w:p w:rsidR="00EA7DD5" w:rsidRPr="00445E62" w:rsidRDefault="00EA7DD5" w:rsidP="00EA7D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7DD5" w:rsidRPr="00445E62" w:rsidRDefault="00EA7DD5" w:rsidP="00EA7D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5E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be eligible for Lost Generation match funding, the appeal must meet the following criteria:</w:t>
                            </w:r>
                          </w:p>
                          <w:p w:rsidR="00EA7DD5" w:rsidRPr="00445E62" w:rsidRDefault="00EA7DD5" w:rsidP="00EA7D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7DD5" w:rsidRDefault="00EA7DD5" w:rsidP="00EA7D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eek to raise at least £100,000 from public donations from people living in the UK for an eligible project for </w:t>
                            </w:r>
                            <w:r w:rsidRPr="008D697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</w:rPr>
                              <w:t>children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affected by the crisis in Syria</w:t>
                            </w:r>
                          </w:p>
                          <w:p w:rsidR="00EA7DD5" w:rsidRPr="00445E62" w:rsidRDefault="00EA7DD5" w:rsidP="00EA7DD5">
                            <w:pPr>
                              <w:ind w:left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7DD5" w:rsidRDefault="00EA7DD5" w:rsidP="00EA7D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ommunicate what donations will achieve for children affected by the crisis in Syria</w:t>
                            </w:r>
                          </w:p>
                          <w:p w:rsidR="00EA7DD5" w:rsidRPr="00445E62" w:rsidRDefault="00EA7DD5" w:rsidP="00EA7DD5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F4337" w:rsidRPr="00DF4337" w:rsidRDefault="00EA7DD5" w:rsidP="00DF43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ommunicate throughout the entire match funding period, on all communications and prompts for donations, that all eligible donations will be match funded by t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 UK government, using the UK a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id logo and Lost Generation messaging 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'Your donation will be matched by the UK </w:t>
                            </w:r>
                            <w:r w:rsidRPr="00DF43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government pound for pound to help prevent a lost generation of Syrian children…..’</w:t>
                            </w:r>
                            <w:r w:rsidR="00DF4337" w:rsidRPr="00DF43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337" w:rsidRPr="00DF43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including wherever possible, opportunities for in depth and joint messages with DFID on how UK aid is contributing to children affected by the crisis. </w:t>
                            </w:r>
                          </w:p>
                          <w:p w:rsidR="00EA7DD5" w:rsidRPr="00DF4337" w:rsidRDefault="00EA7DD5" w:rsidP="00EA7DD5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7DD5" w:rsidRDefault="00EA7DD5" w:rsidP="00EA7D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he appeal must be active </w:t>
                            </w:r>
                            <w:r w:rsidR="00DF43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for at least one month between November and January 2013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DF433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The period to be matched must be specified and the maximum period is three months. 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To be matched, donations must be made during this period. However, if donations during this period cannot all be delivered to the organisation within match funding period (e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funds </w:t>
                            </w:r>
                            <w:proofErr w:type="gramStart"/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raised</w:t>
                            </w:r>
                            <w:proofErr w:type="gramEnd"/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through multiple fund-raising events), these can be collected for 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up to a further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month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after the appeal closes.</w:t>
                            </w:r>
                          </w:p>
                          <w:p w:rsidR="00EA7DD5" w:rsidRPr="00445E62" w:rsidRDefault="00EA7DD5" w:rsidP="00EA7DD5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A7DD5" w:rsidRDefault="00EA7DD5" w:rsidP="00EA7D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here appropriate, communications should include links to DFID's online presence (</w:t>
                            </w:r>
                            <w:proofErr w:type="spellStart"/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@</w:t>
                            </w:r>
                            <w:proofErr w:type="spellStart"/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DFID_UK</w:t>
                            </w:r>
                            <w:proofErr w:type="spellEnd"/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  <w:hyperlink r:id="rId10" w:history="1">
                              <w:r w:rsidRPr="00445E62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www.facebook.com/ukdfid</w:t>
                              </w:r>
                            </w:hyperlink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  <w:hyperlink r:id="rId11" w:history="1">
                              <w:r w:rsidRPr="00445E62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www.gov.uk/dfid</w:t>
                              </w:r>
                            </w:hyperlink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  <w:p w:rsidR="00EA7DD5" w:rsidRPr="00445E62" w:rsidRDefault="00EA7DD5" w:rsidP="00EA7DD5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7DD5" w:rsidRDefault="00EA7DD5" w:rsidP="00EA7D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445E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here must be an appeal communications plan that will reach at least 500,000 members of the UK public outside of the NGO's supporter database during the match funding period</w:t>
                            </w:r>
                          </w:p>
                          <w:p w:rsidR="00EA7DD5" w:rsidRPr="00445E62" w:rsidRDefault="00EA7DD5" w:rsidP="00EA7DD5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7DD5" w:rsidRPr="00445E62" w:rsidRDefault="00EA7DD5" w:rsidP="00EA7D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EA7DD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We will require organisations to report back to the public on how ‘Lost Generation’ match funding has been used through comparable channels to the appeal in due course.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33pt;width:515.65pt;height:4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">
                <v:textbox>
                  <w:txbxContent>
                    <w:p w:rsidR="00EA7DD5" w:rsidRPr="00445E62" w:rsidRDefault="00EA7DD5" w:rsidP="00EA7DD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45E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Communications criteria</w:t>
                      </w:r>
                    </w:p>
                    <w:p w:rsidR="00EA7DD5" w:rsidRPr="00445E62" w:rsidRDefault="00EA7DD5" w:rsidP="00EA7D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7DD5" w:rsidRPr="00445E62" w:rsidRDefault="00EA7DD5" w:rsidP="00EA7D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5E62">
                        <w:rPr>
                          <w:rFonts w:ascii="Arial" w:hAnsi="Arial" w:cs="Arial"/>
                          <w:sz w:val="24"/>
                          <w:szCs w:val="24"/>
                        </w:rPr>
                        <w:t>To be eligible for Lost Generation match funding, the appeal must meet the following criteria:</w:t>
                      </w:r>
                    </w:p>
                    <w:p w:rsidR="00EA7DD5" w:rsidRPr="00445E62" w:rsidRDefault="00EA7DD5" w:rsidP="00EA7D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7DD5" w:rsidRDefault="00EA7DD5" w:rsidP="00EA7DD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S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eek to raise at least £100,000 from public donations from people living in the UK for an eligible project for </w:t>
                      </w:r>
                      <w:r w:rsidRPr="008D6976"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</w:rPr>
                        <w:t>children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affected by the crisis in Syria</w:t>
                      </w:r>
                    </w:p>
                    <w:p w:rsidR="00EA7DD5" w:rsidRPr="00445E62" w:rsidRDefault="00EA7DD5" w:rsidP="00EA7DD5">
                      <w:pPr>
                        <w:ind w:left="72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EA7DD5" w:rsidRDefault="00EA7DD5" w:rsidP="00EA7DD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ommunicate what donations will achieve for children affected by the crisis in Syria</w:t>
                      </w:r>
                    </w:p>
                    <w:p w:rsidR="00EA7DD5" w:rsidRPr="00445E62" w:rsidRDefault="00EA7DD5" w:rsidP="00EA7DD5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DF4337" w:rsidRPr="00DF4337" w:rsidRDefault="00EA7DD5" w:rsidP="00DF43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ommunicate throughout the entire match funding period, on all communications and prompts for donations, that all eligible donations will be match funded by t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he UK government, using the UK a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id logo and Lost Generation messaging e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'Your donation will be matched by the UK </w:t>
                      </w:r>
                      <w:r w:rsidRPr="00DF433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government pound for pound to help prevent a lost generation of Syrian children…..’</w:t>
                      </w:r>
                      <w:r w:rsidR="00DF4337" w:rsidRPr="00DF433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F4337" w:rsidRPr="00DF43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including wherever possible, opportunities for in depth and joint messages with DFID on how UK aid is contributing to children affected by the crisis. </w:t>
                      </w:r>
                    </w:p>
                    <w:p w:rsidR="00EA7DD5" w:rsidRPr="00DF4337" w:rsidRDefault="00EA7DD5" w:rsidP="00EA7DD5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EA7DD5" w:rsidRDefault="00EA7DD5" w:rsidP="00EA7DD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he appeal must be active </w:t>
                      </w:r>
                      <w:r w:rsidR="00DF433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for at least one month between November and January 2013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  <w:r w:rsidR="00DF433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The period to be matched must be specified and the maximum period is three months. 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To be matched, donations must be made during this period. However, if donations during this period cannot all be delivered to the organisation within match funding period (e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funds </w:t>
                      </w:r>
                      <w:proofErr w:type="gramStart"/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raised</w:t>
                      </w:r>
                      <w:proofErr w:type="gramEnd"/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through multiple fund-raising events), these can be collected for </w:t>
                      </w:r>
                      <w:r w:rsidRPr="00445E62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</w:rPr>
                        <w:t xml:space="preserve">up to a further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</w:rPr>
                        <w:t>month</w:t>
                      </w:r>
                      <w:r w:rsidRPr="00445E62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</w:rPr>
                        <w:t xml:space="preserve"> after the appeal closes.</w:t>
                      </w:r>
                    </w:p>
                    <w:p w:rsidR="00EA7DD5" w:rsidRPr="00445E62" w:rsidRDefault="00EA7DD5" w:rsidP="00EA7DD5">
                      <w:pPr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A7DD5" w:rsidRDefault="00EA7DD5" w:rsidP="00EA7DD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W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here appropriate, communications should include links to DFID's online presence (</w:t>
                      </w:r>
                      <w:proofErr w:type="spellStart"/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@</w:t>
                      </w:r>
                      <w:proofErr w:type="spellStart"/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DFID_UK</w:t>
                      </w:r>
                      <w:proofErr w:type="spellEnd"/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; </w:t>
                      </w:r>
                      <w:hyperlink r:id="rId12" w:history="1">
                        <w:r w:rsidRPr="00445E62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</w:rPr>
                          <w:t>www.facebook.com/ukdfid</w:t>
                        </w:r>
                      </w:hyperlink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; </w:t>
                      </w:r>
                      <w:hyperlink r:id="rId13" w:history="1">
                        <w:r w:rsidRPr="00445E62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</w:rPr>
                          <w:t>www.gov.uk/dfid</w:t>
                        </w:r>
                      </w:hyperlink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)</w:t>
                      </w:r>
                    </w:p>
                    <w:p w:rsidR="00EA7DD5" w:rsidRPr="00445E62" w:rsidRDefault="00EA7DD5" w:rsidP="00EA7DD5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EA7DD5" w:rsidRDefault="00EA7DD5" w:rsidP="00EA7DD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</w:t>
                      </w:r>
                      <w:r w:rsidRPr="00445E6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here must be an appeal communications plan that will reach at least 500,000 members of the UK public outside of the NGO's supporter database during the match funding period</w:t>
                      </w:r>
                    </w:p>
                    <w:p w:rsidR="00EA7DD5" w:rsidRPr="00445E62" w:rsidRDefault="00EA7DD5" w:rsidP="00EA7DD5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EA7DD5" w:rsidRPr="00445E62" w:rsidRDefault="00EA7DD5" w:rsidP="00EA7DD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A7DD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We will require organisations to report back to the public on how ‘Lost Generation’ match funding has been used through comparable channels to the appeal in due course.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0ACE" w:rsidSect="00445E62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F6" w:rsidRDefault="005436F6" w:rsidP="006A4A36">
      <w:r>
        <w:separator/>
      </w:r>
    </w:p>
  </w:endnote>
  <w:endnote w:type="continuationSeparator" w:id="0">
    <w:p w:rsidR="005436F6" w:rsidRDefault="005436F6" w:rsidP="006A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F6" w:rsidRDefault="005436F6" w:rsidP="006A4A36">
      <w:r>
        <w:separator/>
      </w:r>
    </w:p>
  </w:footnote>
  <w:footnote w:type="continuationSeparator" w:id="0">
    <w:p w:rsidR="005436F6" w:rsidRDefault="005436F6" w:rsidP="006A4A36">
      <w:r>
        <w:continuationSeparator/>
      </w:r>
    </w:p>
  </w:footnote>
  <w:footnote w:id="1">
    <w:p w:rsidR="008B3E8F" w:rsidRDefault="008B3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534E">
        <w:t>Subject</w:t>
      </w:r>
      <w:bookmarkStart w:id="0" w:name="_GoBack"/>
      <w:bookmarkEnd w:id="0"/>
      <w:r w:rsidR="00E9534E">
        <w:t xml:space="preserve"> to final confirmation, </w:t>
      </w:r>
      <w:r>
        <w:t>UK Government match funding will be capped at £5,000,000</w:t>
      </w:r>
    </w:p>
  </w:footnote>
  <w:footnote w:id="2">
    <w:p w:rsidR="006A4A36" w:rsidRDefault="006A4A36">
      <w:pPr>
        <w:pStyle w:val="FootnoteText"/>
      </w:pPr>
      <w:r>
        <w:rPr>
          <w:rStyle w:val="FootnoteReference"/>
        </w:rPr>
        <w:footnoteRef/>
      </w:r>
      <w:r>
        <w:t xml:space="preserve"> The logframe is intended to give us an idea of the type of outcomes and impact expected. We are aware that this is a complex and rapidly changing situation and so any targets set will be treated as indicative. In addition, the scale of any project will depend to a degree on the success of the appeal and so will be subject to change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3FD"/>
    <w:multiLevelType w:val="hybridMultilevel"/>
    <w:tmpl w:val="F0A4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7FD6"/>
    <w:multiLevelType w:val="hybridMultilevel"/>
    <w:tmpl w:val="140C6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5B01"/>
    <w:multiLevelType w:val="hybridMultilevel"/>
    <w:tmpl w:val="08B43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46D47"/>
    <w:multiLevelType w:val="hybridMultilevel"/>
    <w:tmpl w:val="0904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92B3D"/>
    <w:multiLevelType w:val="hybridMultilevel"/>
    <w:tmpl w:val="6346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2165"/>
    <w:multiLevelType w:val="hybridMultilevel"/>
    <w:tmpl w:val="75604B14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4A63"/>
    <w:multiLevelType w:val="hybridMultilevel"/>
    <w:tmpl w:val="D7964C60"/>
    <w:lvl w:ilvl="0" w:tplc="E170492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760A9"/>
    <w:multiLevelType w:val="hybridMultilevel"/>
    <w:tmpl w:val="E95AA3DA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C5B0DF7"/>
    <w:multiLevelType w:val="hybridMultilevel"/>
    <w:tmpl w:val="43209F12"/>
    <w:lvl w:ilvl="0" w:tplc="56A68C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B1"/>
    <w:rsid w:val="00037BB1"/>
    <w:rsid w:val="00040009"/>
    <w:rsid w:val="000F11DB"/>
    <w:rsid w:val="001B7659"/>
    <w:rsid w:val="00213258"/>
    <w:rsid w:val="002428B6"/>
    <w:rsid w:val="00250B60"/>
    <w:rsid w:val="002B06A7"/>
    <w:rsid w:val="002B34E4"/>
    <w:rsid w:val="003C4BEB"/>
    <w:rsid w:val="0044306F"/>
    <w:rsid w:val="00445E62"/>
    <w:rsid w:val="00521737"/>
    <w:rsid w:val="0053080D"/>
    <w:rsid w:val="00534E41"/>
    <w:rsid w:val="005436F6"/>
    <w:rsid w:val="00555F21"/>
    <w:rsid w:val="00594CAB"/>
    <w:rsid w:val="0067097D"/>
    <w:rsid w:val="006A4A36"/>
    <w:rsid w:val="00806011"/>
    <w:rsid w:val="0082394F"/>
    <w:rsid w:val="008B3E8F"/>
    <w:rsid w:val="008D6976"/>
    <w:rsid w:val="009B4AFB"/>
    <w:rsid w:val="009C0E2C"/>
    <w:rsid w:val="00A10ACE"/>
    <w:rsid w:val="00A40E67"/>
    <w:rsid w:val="00B01C5D"/>
    <w:rsid w:val="00B36DE7"/>
    <w:rsid w:val="00C0298F"/>
    <w:rsid w:val="00C162CA"/>
    <w:rsid w:val="00C35AF6"/>
    <w:rsid w:val="00C42CA7"/>
    <w:rsid w:val="00C47771"/>
    <w:rsid w:val="00D4199B"/>
    <w:rsid w:val="00DF4337"/>
    <w:rsid w:val="00E22722"/>
    <w:rsid w:val="00E34FD8"/>
    <w:rsid w:val="00E75685"/>
    <w:rsid w:val="00E9534E"/>
    <w:rsid w:val="00EA7DD5"/>
    <w:rsid w:val="00F21C4D"/>
    <w:rsid w:val="00F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BB1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7B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B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5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F21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5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4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4A36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4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36"/>
    <w:rPr>
      <w:rFonts w:ascii="Calibri" w:eastAsiaTheme="minorHAns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6A4A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A36"/>
    <w:rPr>
      <w:rFonts w:ascii="Calibri" w:eastAsiaTheme="minorHAnsi" w:hAnsi="Calibri" w:cs="Calibri"/>
      <w:lang w:eastAsia="en-US"/>
    </w:rPr>
  </w:style>
  <w:style w:type="character" w:styleId="FootnoteReference">
    <w:name w:val="footnote reference"/>
    <w:basedOn w:val="DefaultParagraphFont"/>
    <w:rsid w:val="006A4A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BB1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7B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B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5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F21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5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4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4A36"/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4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36"/>
    <w:rPr>
      <w:rFonts w:ascii="Calibri" w:eastAsiaTheme="minorHAns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6A4A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A36"/>
    <w:rPr>
      <w:rFonts w:ascii="Calibri" w:eastAsiaTheme="minorHAnsi" w:hAnsi="Calibri" w:cs="Calibri"/>
      <w:lang w:eastAsia="en-US"/>
    </w:rPr>
  </w:style>
  <w:style w:type="character" w:styleId="FootnoteReference">
    <w:name w:val="footnote reference"/>
    <w:basedOn w:val="DefaultParagraphFont"/>
    <w:rsid w:val="006A4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uk/df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ukdf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uk/df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ukdf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kaidmatch@dfid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FE4A-B873-4CB4-9AD7-FF878595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Bailey</dc:creator>
  <cp:lastModifiedBy>David Bailey</cp:lastModifiedBy>
  <cp:revision>5</cp:revision>
  <cp:lastPrinted>2013-10-23T14:05:00Z</cp:lastPrinted>
  <dcterms:created xsi:type="dcterms:W3CDTF">2013-10-24T13:07:00Z</dcterms:created>
  <dcterms:modified xsi:type="dcterms:W3CDTF">2013-10-24T14:51:00Z</dcterms:modified>
</cp:coreProperties>
</file>