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DA79C8">
        <w:trPr>
          <w:trHeight w:hRule="exact" w:val="2268"/>
        </w:trPr>
        <w:tc>
          <w:tcPr>
            <w:tcW w:w="8010" w:type="dxa"/>
            <w:tcBorders>
              <w:top w:val="nil"/>
              <w:left w:val="nil"/>
              <w:bottom w:val="nil"/>
              <w:right w:val="nil"/>
            </w:tcBorders>
          </w:tcPr>
          <w:p w:rsidR="00DA79C8" w:rsidRDefault="00DA79C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TUC logo mono" href="http://www.tuc.org.uk/" style="position:absolute;margin-left:250.35pt;margin-top:-72.85pt;width:129pt;height:70.65pt;z-index:251658240;visibility:visible;mso-position-vertical-relative:page" o:button="t">
                  <v:fill o:detectmouseclick="t"/>
                  <v:imagedata r:id="rId7" o:title=""/>
                  <w10:wrap anchory="page"/>
                  <w10:anchorlock/>
                </v:shape>
              </w:pict>
            </w:r>
          </w:p>
        </w:tc>
      </w:tr>
      <w:tr w:rsidR="00DA79C8">
        <w:trPr>
          <w:trHeight w:hRule="exact" w:val="2948"/>
        </w:trPr>
        <w:tc>
          <w:tcPr>
            <w:tcW w:w="8010" w:type="dxa"/>
            <w:tcBorders>
              <w:top w:val="nil"/>
              <w:left w:val="nil"/>
              <w:bottom w:val="nil"/>
              <w:right w:val="nil"/>
            </w:tcBorders>
          </w:tcPr>
          <w:p w:rsidR="00DA79C8" w:rsidRDefault="00DA79C8">
            <w:pPr>
              <w:pStyle w:val="T5MainTitle"/>
            </w:pPr>
            <w:bookmarkStart w:id="0" w:name="bmMainTitle"/>
            <w:r>
              <w:t>LPC accommodation offset inquiry 2012</w:t>
            </w:r>
            <w:bookmarkEnd w:id="0"/>
          </w:p>
        </w:tc>
      </w:tr>
      <w:tr w:rsidR="00DA79C8">
        <w:trPr>
          <w:trHeight w:hRule="exact" w:val="1247"/>
        </w:trPr>
        <w:tc>
          <w:tcPr>
            <w:tcW w:w="8010" w:type="dxa"/>
            <w:tcBorders>
              <w:top w:val="nil"/>
              <w:left w:val="nil"/>
              <w:bottom w:val="nil"/>
              <w:right w:val="nil"/>
            </w:tcBorders>
          </w:tcPr>
          <w:p w:rsidR="00DA79C8" w:rsidRDefault="00DA79C8" w:rsidP="00FC109A">
            <w:pPr>
              <w:pStyle w:val="T5DescriptiveSubheading"/>
            </w:pPr>
            <w:bookmarkStart w:id="1" w:name="bmSubheading"/>
            <w:r>
              <w:t>TUC response</w:t>
            </w:r>
            <w:bookmarkEnd w:id="1"/>
          </w:p>
        </w:tc>
      </w:tr>
    </w:tbl>
    <w:p w:rsidR="00DA79C8" w:rsidRDefault="00DA79C8">
      <w:bookmarkStart w:id="2" w:name="bmP1_pagebreak"/>
    </w:p>
    <w:p w:rsidR="00DA79C8" w:rsidRDefault="00DA79C8">
      <w:pPr>
        <w:pStyle w:val="T5TextBody"/>
      </w:pPr>
      <w:r>
        <w:br w:type="page"/>
      </w:r>
      <w:bookmarkEnd w:id="2"/>
    </w:p>
    <w:p w:rsidR="00DA79C8" w:rsidRDefault="00DA79C8" w:rsidP="00FC109A">
      <w:pPr>
        <w:pStyle w:val="T5TextBody"/>
        <w:rPr>
          <w:rFonts w:ascii="Frutiger 55" w:hAnsi="Frutiger 55"/>
          <w:b/>
        </w:rPr>
      </w:pPr>
      <w:r w:rsidRPr="005A54A6">
        <w:rPr>
          <w:rFonts w:ascii="Frutiger 55" w:hAnsi="Frutiger 55"/>
          <w:b/>
        </w:rPr>
        <w:t>1:</w:t>
      </w:r>
      <w:r>
        <w:t xml:space="preserve"> </w:t>
      </w:r>
      <w:r w:rsidRPr="006F35C8">
        <w:rPr>
          <w:rFonts w:ascii="Frutiger 55" w:hAnsi="Frutiger 55"/>
          <w:b/>
        </w:rPr>
        <w:t xml:space="preserve">Introduction </w:t>
      </w:r>
    </w:p>
    <w:p w:rsidR="00DA79C8" w:rsidRPr="00FC109A" w:rsidRDefault="00DA79C8" w:rsidP="00E44726">
      <w:pPr>
        <w:pStyle w:val="T11TextBody"/>
        <w:spacing w:line="276" w:lineRule="auto"/>
        <w:rPr>
          <w:rStyle w:val="T11TextBold"/>
          <w:rFonts w:ascii="Sabon" w:hAnsi="Sabon"/>
          <w:b w:val="0"/>
        </w:rPr>
      </w:pPr>
      <w:r w:rsidRPr="00FC109A">
        <w:rPr>
          <w:rStyle w:val="T11TextBold"/>
          <w:rFonts w:ascii="Sabon" w:hAnsi="Sabon"/>
          <w:b w:val="0"/>
        </w:rPr>
        <w:t>The TUC is the UK’s national trade union confederation. Our 54 affiliated unions represent 6.1 million people at work</w:t>
      </w:r>
      <w:r>
        <w:rPr>
          <w:rStyle w:val="T11TextBold"/>
          <w:rFonts w:ascii="Sabon" w:hAnsi="Sabon"/>
          <w:b w:val="0"/>
        </w:rPr>
        <w:t>. O</w:t>
      </w:r>
      <w:r w:rsidRPr="00FC109A">
        <w:rPr>
          <w:rStyle w:val="T11TextBold"/>
          <w:rFonts w:ascii="Sabon" w:hAnsi="Sabon"/>
          <w:b w:val="0"/>
        </w:rPr>
        <w:t xml:space="preserve">ur influence extends more widely through the coverage of trade union agreements and the advice that we give. The TUC can be said to </w:t>
      </w:r>
      <w:r>
        <w:rPr>
          <w:rStyle w:val="T11TextBold"/>
          <w:rFonts w:ascii="Sabon" w:hAnsi="Sabon"/>
          <w:b w:val="0"/>
        </w:rPr>
        <w:t>be</w:t>
      </w:r>
      <w:r w:rsidRPr="00FC109A">
        <w:rPr>
          <w:rStyle w:val="T11TextBold"/>
          <w:rFonts w:ascii="Sabon" w:hAnsi="Sabon"/>
          <w:b w:val="0"/>
        </w:rPr>
        <w:t xml:space="preserve"> the voice of Britain at work.</w:t>
      </w:r>
    </w:p>
    <w:p w:rsidR="00DA79C8" w:rsidRDefault="00DA79C8" w:rsidP="009A6B8D">
      <w:pPr>
        <w:pStyle w:val="T5TextBody"/>
        <w:spacing w:line="276" w:lineRule="auto"/>
      </w:pPr>
      <w:r>
        <w:t>This paper sets out the TUC's evidence to the Low Pay Commission's 2012 inquiry into the National Minimum Wage accommodation offset. The provisions of the offset are summarised below:</w:t>
      </w:r>
    </w:p>
    <w:p w:rsidR="00DA79C8" w:rsidRPr="009A6B8D" w:rsidRDefault="00DA79C8" w:rsidP="009A6B8D">
      <w:pPr>
        <w:pStyle w:val="T5TextBody"/>
        <w:spacing w:line="276" w:lineRule="auto"/>
        <w:rPr>
          <w:i/>
          <w:color w:val="000000"/>
          <w:szCs w:val="22"/>
          <w:lang w:eastAsia="en-GB"/>
        </w:rPr>
      </w:pPr>
      <w:r w:rsidRPr="009A6B8D">
        <w:rPr>
          <w:i/>
          <w:color w:val="000000"/>
          <w:szCs w:val="22"/>
          <w:lang w:eastAsia="en-GB"/>
        </w:rPr>
        <w:t>“If your employer provides you with accommodation, they can count some of its value towards National Minimum Wage (NMW) pay. ...Your employer cannot count more than the accommodation offset rate which is in force at any given time.</w:t>
      </w:r>
    </w:p>
    <w:p w:rsidR="00DA79C8" w:rsidRPr="009A6B8D" w:rsidRDefault="00DA79C8" w:rsidP="009A6B8D">
      <w:pPr>
        <w:widowControl/>
        <w:spacing w:line="276" w:lineRule="auto"/>
        <w:rPr>
          <w:rFonts w:ascii="Sabon" w:hAnsi="Sabon"/>
          <w:i/>
          <w:color w:val="000000"/>
          <w:sz w:val="22"/>
          <w:szCs w:val="22"/>
          <w:lang w:eastAsia="en-GB"/>
        </w:rPr>
      </w:pPr>
    </w:p>
    <w:p w:rsidR="00DA79C8" w:rsidRPr="009A6B8D" w:rsidRDefault="00DA79C8" w:rsidP="009A6B8D">
      <w:pPr>
        <w:widowControl/>
        <w:spacing w:line="276" w:lineRule="auto"/>
        <w:rPr>
          <w:rFonts w:ascii="Sabon" w:hAnsi="Sabon"/>
          <w:i/>
          <w:color w:val="000000"/>
          <w:sz w:val="22"/>
          <w:szCs w:val="22"/>
          <w:lang w:eastAsia="en-GB"/>
        </w:rPr>
      </w:pPr>
      <w:r w:rsidRPr="009A6B8D">
        <w:rPr>
          <w:rFonts w:ascii="Sabon" w:hAnsi="Sabon"/>
          <w:i/>
          <w:color w:val="000000"/>
          <w:sz w:val="22"/>
          <w:szCs w:val="22"/>
          <w:lang w:eastAsia="en-GB"/>
        </w:rPr>
        <w:t>From 1 October 2011, the maximum amount your employer can count towards NMW pay as an accommodation offset is:</w:t>
      </w:r>
    </w:p>
    <w:p w:rsidR="00DA79C8" w:rsidRPr="009A6B8D" w:rsidRDefault="00DA79C8" w:rsidP="009A6B8D">
      <w:pPr>
        <w:widowControl/>
        <w:numPr>
          <w:ilvl w:val="0"/>
          <w:numId w:val="45"/>
        </w:numPr>
        <w:spacing w:before="100" w:beforeAutospacing="1" w:after="90" w:line="276" w:lineRule="auto"/>
        <w:ind w:left="3825" w:right="150"/>
        <w:rPr>
          <w:rFonts w:ascii="Sabon" w:hAnsi="Sabon"/>
          <w:i/>
          <w:color w:val="000000"/>
          <w:sz w:val="22"/>
          <w:szCs w:val="22"/>
          <w:lang w:eastAsia="en-GB"/>
        </w:rPr>
      </w:pPr>
      <w:r w:rsidRPr="009A6B8D">
        <w:rPr>
          <w:rFonts w:ascii="Sabon" w:hAnsi="Sabon"/>
          <w:i/>
          <w:color w:val="000000"/>
          <w:sz w:val="22"/>
          <w:szCs w:val="22"/>
          <w:lang w:eastAsia="en-GB"/>
        </w:rPr>
        <w:t>£4.73 a day</w:t>
      </w:r>
    </w:p>
    <w:p w:rsidR="00DA79C8" w:rsidRPr="009A6B8D" w:rsidRDefault="00DA79C8" w:rsidP="009A6B8D">
      <w:pPr>
        <w:widowControl/>
        <w:numPr>
          <w:ilvl w:val="0"/>
          <w:numId w:val="45"/>
        </w:numPr>
        <w:spacing w:before="100" w:beforeAutospacing="1" w:after="90" w:line="276" w:lineRule="auto"/>
        <w:ind w:left="3825" w:right="150"/>
        <w:rPr>
          <w:rFonts w:ascii="Sabon" w:hAnsi="Sabon"/>
          <w:i/>
          <w:color w:val="000000"/>
          <w:sz w:val="22"/>
          <w:szCs w:val="22"/>
          <w:lang w:eastAsia="en-GB"/>
        </w:rPr>
      </w:pPr>
      <w:r w:rsidRPr="009A6B8D">
        <w:rPr>
          <w:rFonts w:ascii="Sabon" w:hAnsi="Sabon"/>
          <w:i/>
          <w:color w:val="000000"/>
          <w:sz w:val="22"/>
          <w:szCs w:val="22"/>
          <w:lang w:eastAsia="en-GB"/>
        </w:rPr>
        <w:t>£33.11 a week”</w:t>
      </w:r>
      <w:r>
        <w:rPr>
          <w:rStyle w:val="FootnoteReference"/>
          <w:rFonts w:ascii="Sabon" w:hAnsi="Sabon"/>
          <w:i/>
          <w:color w:val="000000"/>
          <w:szCs w:val="22"/>
          <w:lang w:eastAsia="en-GB"/>
        </w:rPr>
        <w:footnoteReference w:id="1"/>
      </w:r>
    </w:p>
    <w:p w:rsidR="00DA79C8" w:rsidRDefault="00DA79C8" w:rsidP="00E44726">
      <w:pPr>
        <w:pStyle w:val="T5TextBody"/>
        <w:spacing w:line="276" w:lineRule="auto"/>
      </w:pPr>
    </w:p>
    <w:p w:rsidR="00DA79C8" w:rsidRDefault="00DA79C8" w:rsidP="00E44726">
      <w:pPr>
        <w:pStyle w:val="T5TextBody"/>
        <w:spacing w:line="276" w:lineRule="auto"/>
      </w:pPr>
      <w:r>
        <w:t>Our view is that the offset should be retained for employees who have a choice about whether to accept accommodation. Where they have no choice, the employers should pay the full rate. We believe that this is already the position, but more rigorous enforcement is needed.</w:t>
      </w:r>
    </w:p>
    <w:p w:rsidR="00DA79C8" w:rsidRDefault="00DA79C8" w:rsidP="00E44726">
      <w:pPr>
        <w:pStyle w:val="T5TextBody"/>
        <w:spacing w:line="276" w:lineRule="auto"/>
        <w:rPr>
          <w:szCs w:val="22"/>
          <w:lang w:val="en-US" w:eastAsia="en-GB"/>
        </w:rPr>
      </w:pPr>
      <w:r w:rsidRPr="00DC272D">
        <w:rPr>
          <w:szCs w:val="22"/>
          <w:lang w:val="en-US" w:eastAsia="en-GB"/>
        </w:rPr>
        <w:t xml:space="preserve">The existing arrangements are a compromise that was hard-fought on both sides in the early days of the LPC. There is a real danger that broadening the offset would push more workers into poverty. Of course, we might also </w:t>
      </w:r>
      <w:r>
        <w:rPr>
          <w:szCs w:val="22"/>
          <w:lang w:val="en-US" w:eastAsia="en-GB"/>
        </w:rPr>
        <w:t xml:space="preserve">question </w:t>
      </w:r>
      <w:r w:rsidRPr="00DC272D">
        <w:rPr>
          <w:szCs w:val="22"/>
          <w:lang w:val="en-US" w:eastAsia="en-GB"/>
        </w:rPr>
        <w:t xml:space="preserve">whether we need to keep the offset at all, but at the moment we </w:t>
      </w:r>
      <w:r>
        <w:rPr>
          <w:szCs w:val="22"/>
          <w:lang w:val="en-US" w:eastAsia="en-GB"/>
        </w:rPr>
        <w:t xml:space="preserve">would make </w:t>
      </w:r>
      <w:r w:rsidRPr="00DC272D">
        <w:rPr>
          <w:szCs w:val="22"/>
          <w:lang w:val="en-US" w:eastAsia="en-GB"/>
        </w:rPr>
        <w:t>a cautious defen</w:t>
      </w:r>
      <w:r>
        <w:rPr>
          <w:szCs w:val="22"/>
          <w:lang w:val="en-US" w:eastAsia="en-GB"/>
        </w:rPr>
        <w:t>c</w:t>
      </w:r>
      <w:r w:rsidRPr="00DC272D">
        <w:rPr>
          <w:szCs w:val="22"/>
          <w:lang w:val="en-US" w:eastAsia="en-GB"/>
        </w:rPr>
        <w:t>e of the existing arrangements</w:t>
      </w:r>
      <w:r>
        <w:rPr>
          <w:szCs w:val="22"/>
          <w:lang w:val="en-US" w:eastAsia="en-GB"/>
        </w:rPr>
        <w:t xml:space="preserve"> that we describe above.</w:t>
      </w:r>
      <w:r w:rsidRPr="00DC272D">
        <w:rPr>
          <w:szCs w:val="22"/>
          <w:lang w:val="en-US" w:eastAsia="en-GB"/>
        </w:rPr>
        <w:t xml:space="preserve"> </w:t>
      </w:r>
    </w:p>
    <w:p w:rsidR="00DA79C8" w:rsidRPr="002C7CB2" w:rsidRDefault="00DA79C8" w:rsidP="00E44726">
      <w:pPr>
        <w:pStyle w:val="T5TextBody"/>
        <w:spacing w:line="276" w:lineRule="auto"/>
        <w:rPr>
          <w:b/>
          <w:szCs w:val="22"/>
          <w:lang w:val="en-US" w:eastAsia="en-GB"/>
        </w:rPr>
      </w:pPr>
      <w:r w:rsidRPr="002C7CB2">
        <w:rPr>
          <w:b/>
          <w:szCs w:val="22"/>
          <w:lang w:val="en-US" w:eastAsia="en-GB"/>
        </w:rPr>
        <w:t>Employers gain from offering workers accommodation</w:t>
      </w:r>
    </w:p>
    <w:p w:rsidR="00DA79C8" w:rsidRDefault="00DA79C8" w:rsidP="00E44726">
      <w:pPr>
        <w:pStyle w:val="T5TextBody"/>
        <w:spacing w:line="276" w:lineRule="auto"/>
        <w:rPr>
          <w:szCs w:val="22"/>
          <w:lang w:val="en-US" w:eastAsia="en-GB"/>
        </w:rPr>
      </w:pPr>
      <w:r>
        <w:rPr>
          <w:szCs w:val="22"/>
          <w:lang w:val="en-US" w:eastAsia="en-GB"/>
        </w:rPr>
        <w:t>There is a strand of literature in industrial sociology that examines that way corporate strategies have become sought to gain comprehensive control of all aspects of their business, including a broad ranging portfolio of factors such as relocation subsidies, land and planning permission for expansion, and, of course their pool of labour. One classic study demonstrates how these factors were brought together when Nissan opened their plant in Sunderland in 1986, where a skilled but unemployed workforce was an important component of the company’s decision to site in the area.`</w:t>
      </w:r>
    </w:p>
    <w:p w:rsidR="00DA79C8" w:rsidRDefault="00DA79C8" w:rsidP="00E44726">
      <w:pPr>
        <w:pStyle w:val="T5TextBody"/>
        <w:spacing w:line="276" w:lineRule="auto"/>
        <w:rPr>
          <w:szCs w:val="22"/>
          <w:lang w:val="en-US" w:eastAsia="en-GB"/>
        </w:rPr>
      </w:pPr>
      <w:r>
        <w:rPr>
          <w:szCs w:val="22"/>
          <w:lang w:val="en-US" w:eastAsia="en-GB"/>
        </w:rPr>
        <w:t>Similar considerations apply to much smaller employers, some of whom have are driven by the imperative to be sure that they have sufficient labour available on site, on time, every day.</w:t>
      </w:r>
    </w:p>
    <w:p w:rsidR="00DA79C8" w:rsidRDefault="00DA79C8" w:rsidP="00E44726">
      <w:pPr>
        <w:pStyle w:val="T5TextBody"/>
        <w:spacing w:line="276" w:lineRule="auto"/>
        <w:rPr>
          <w:szCs w:val="22"/>
          <w:lang w:val="en-US" w:eastAsia="en-GB"/>
        </w:rPr>
      </w:pPr>
      <w:r>
        <w:rPr>
          <w:szCs w:val="22"/>
          <w:lang w:val="en-US" w:eastAsia="en-GB"/>
        </w:rPr>
        <w:t xml:space="preserve">The view commonly expressed by people working for agencies and gangmasters where accommodation is offered as part of the employment package is that they are brought much more closely under the control of their employer by this arrangement.  </w:t>
      </w:r>
    </w:p>
    <w:p w:rsidR="00DA79C8" w:rsidRDefault="00DA79C8" w:rsidP="00E44726">
      <w:pPr>
        <w:pStyle w:val="T5TextBody"/>
        <w:spacing w:line="276" w:lineRule="auto"/>
        <w:rPr>
          <w:szCs w:val="22"/>
          <w:lang w:val="en-US" w:eastAsia="en-GB"/>
        </w:rPr>
      </w:pPr>
      <w:r>
        <w:rPr>
          <w:szCs w:val="22"/>
          <w:lang w:val="en-US" w:eastAsia="en-GB"/>
        </w:rPr>
        <w:t xml:space="preserve">For example, living in the employer’s accommodation has a negative impact on absence. It is also the case that it is simply harder to leave your job if that also means that you must leave your accommodation at the same time, so employers who offer homes as part of the package tend to have lower labour turnover. </w:t>
      </w:r>
    </w:p>
    <w:p w:rsidR="00DA79C8" w:rsidRPr="00DC272D" w:rsidRDefault="00DA79C8" w:rsidP="00E44726">
      <w:pPr>
        <w:pStyle w:val="T5TextBody"/>
        <w:spacing w:line="276" w:lineRule="auto"/>
        <w:rPr>
          <w:szCs w:val="22"/>
          <w:lang w:val="en-US" w:eastAsia="en-GB"/>
        </w:rPr>
      </w:pPr>
      <w:r>
        <w:rPr>
          <w:szCs w:val="22"/>
          <w:lang w:val="en-US" w:eastAsia="en-GB"/>
        </w:rPr>
        <w:t>In short, having control over where workers live skews the politics of working life further towards the employer.</w:t>
      </w:r>
    </w:p>
    <w:p w:rsidR="00DA79C8" w:rsidRPr="000B6A78" w:rsidRDefault="00DA79C8" w:rsidP="00E44726">
      <w:pPr>
        <w:spacing w:line="276" w:lineRule="auto"/>
        <w:rPr>
          <w:rFonts w:ascii="Sabon" w:hAnsi="Sabon"/>
          <w:b/>
          <w:bCs/>
          <w:color w:val="000000"/>
          <w:sz w:val="22"/>
          <w:szCs w:val="22"/>
          <w:lang w:eastAsia="en-GB"/>
        </w:rPr>
      </w:pPr>
      <w:r w:rsidRPr="000B6A78">
        <w:rPr>
          <w:rFonts w:ascii="Sabon" w:hAnsi="Sabon"/>
          <w:b/>
          <w:bCs/>
          <w:color w:val="000000"/>
          <w:sz w:val="22"/>
          <w:szCs w:val="22"/>
          <w:lang w:eastAsia="en-GB"/>
        </w:rPr>
        <w:t>The housing bubble has burst</w:t>
      </w:r>
    </w:p>
    <w:p w:rsidR="00DA79C8" w:rsidRDefault="00DA79C8" w:rsidP="00093B5D">
      <w:pPr>
        <w:spacing w:line="276" w:lineRule="auto"/>
        <w:rPr>
          <w:rFonts w:ascii="Sabon" w:hAnsi="Sabon"/>
          <w:bCs/>
          <w:color w:val="000000"/>
          <w:sz w:val="22"/>
          <w:szCs w:val="22"/>
          <w:lang w:eastAsia="en-GB"/>
        </w:rPr>
      </w:pPr>
      <w:r>
        <w:rPr>
          <w:rFonts w:ascii="Sabon" w:hAnsi="Sabon"/>
          <w:bCs/>
          <w:color w:val="000000"/>
          <w:sz w:val="22"/>
          <w:szCs w:val="22"/>
          <w:lang w:eastAsia="en-GB"/>
        </w:rPr>
        <w:t xml:space="preserve">Set against the employer’s desire to offer accommodation is the question of long-term investment. In buoyant economic times when house prices were rising fast employers could hold onto accommodation and be confident of making a good profit when they no longer needed it. </w:t>
      </w:r>
    </w:p>
    <w:p w:rsidR="00DA79C8" w:rsidRDefault="00DA79C8" w:rsidP="00093B5D">
      <w:pPr>
        <w:spacing w:line="276" w:lineRule="auto"/>
        <w:rPr>
          <w:rFonts w:ascii="Sabon" w:hAnsi="Sabon"/>
          <w:bCs/>
          <w:color w:val="000000"/>
          <w:sz w:val="22"/>
          <w:szCs w:val="22"/>
          <w:lang w:eastAsia="en-GB"/>
        </w:rPr>
      </w:pPr>
    </w:p>
    <w:p w:rsidR="00DA79C8" w:rsidRDefault="00DA79C8" w:rsidP="00093B5D">
      <w:pPr>
        <w:spacing w:line="276" w:lineRule="auto"/>
        <w:rPr>
          <w:rFonts w:ascii="Sabon" w:hAnsi="Sabon"/>
          <w:bCs/>
          <w:color w:val="000000"/>
          <w:sz w:val="22"/>
          <w:szCs w:val="22"/>
          <w:lang w:eastAsia="en-GB"/>
        </w:rPr>
      </w:pPr>
      <w:r>
        <w:rPr>
          <w:rFonts w:ascii="Sabon" w:hAnsi="Sabon"/>
          <w:bCs/>
          <w:color w:val="000000"/>
          <w:sz w:val="22"/>
          <w:szCs w:val="22"/>
          <w:lang w:eastAsia="en-GB"/>
        </w:rPr>
        <w:t xml:space="preserve">Holding housing stock meant holding a capital asset that was appreciated rapidly. In these conditions it was obviously good business practice to hold property, both for its immediate utility in providing accommodation (with all the attendant benefits for the employer described above), as a profit making line, and as an insurance policy against the decline of trading conditions in the future. </w:t>
      </w:r>
    </w:p>
    <w:p w:rsidR="00DA79C8" w:rsidRDefault="00DA79C8" w:rsidP="00093B5D">
      <w:pPr>
        <w:spacing w:line="276" w:lineRule="auto"/>
        <w:rPr>
          <w:rFonts w:ascii="Sabon" w:hAnsi="Sabon"/>
          <w:bCs/>
          <w:color w:val="000000"/>
          <w:sz w:val="22"/>
          <w:szCs w:val="22"/>
          <w:lang w:eastAsia="en-GB"/>
        </w:rPr>
      </w:pPr>
    </w:p>
    <w:p w:rsidR="00DA79C8" w:rsidRDefault="00DA79C8" w:rsidP="00093B5D">
      <w:pPr>
        <w:spacing w:line="276" w:lineRule="auto"/>
        <w:rPr>
          <w:rFonts w:ascii="Sabon" w:hAnsi="Sabon"/>
          <w:bCs/>
          <w:color w:val="000000"/>
          <w:sz w:val="22"/>
          <w:szCs w:val="22"/>
          <w:lang w:eastAsia="en-GB"/>
        </w:rPr>
      </w:pPr>
      <w:r>
        <w:rPr>
          <w:rFonts w:ascii="Sabon" w:hAnsi="Sabon"/>
          <w:bCs/>
          <w:color w:val="000000"/>
          <w:sz w:val="22"/>
          <w:szCs w:val="22"/>
          <w:lang w:eastAsia="en-GB"/>
        </w:rPr>
        <w:t xml:space="preserve">Sadly, falling house prices and the difficulty in obtaining affordable mortgage finance means that it is no longer always inherently profitable to combine property speculation with employment packages, either for low paid or high paid workers.    </w:t>
      </w:r>
    </w:p>
    <w:p w:rsidR="00DA79C8" w:rsidRDefault="00DA79C8" w:rsidP="00E44726">
      <w:pPr>
        <w:spacing w:line="276" w:lineRule="auto"/>
        <w:rPr>
          <w:rFonts w:ascii="Sabon" w:hAnsi="Sabon"/>
          <w:bCs/>
          <w:color w:val="000000"/>
          <w:sz w:val="22"/>
          <w:szCs w:val="22"/>
          <w:lang w:eastAsia="en-GB"/>
        </w:rPr>
      </w:pPr>
    </w:p>
    <w:p w:rsidR="00DA79C8" w:rsidRPr="004B76CA" w:rsidRDefault="00DA79C8" w:rsidP="00E44726">
      <w:pPr>
        <w:pStyle w:val="T5TextBody"/>
        <w:spacing w:line="276" w:lineRule="auto"/>
        <w:rPr>
          <w:b/>
          <w:lang w:val="en-US"/>
        </w:rPr>
      </w:pPr>
      <w:r w:rsidRPr="004B76CA">
        <w:rPr>
          <w:b/>
          <w:lang w:val="en-US"/>
        </w:rPr>
        <w:t xml:space="preserve">Data from the </w:t>
      </w:r>
      <w:r>
        <w:rPr>
          <w:b/>
          <w:lang w:val="en-US"/>
        </w:rPr>
        <w:t xml:space="preserve">ONS </w:t>
      </w:r>
      <w:r w:rsidRPr="004B76CA">
        <w:rPr>
          <w:b/>
          <w:lang w:val="en-US"/>
        </w:rPr>
        <w:t xml:space="preserve">Labour </w:t>
      </w:r>
      <w:r>
        <w:rPr>
          <w:b/>
          <w:lang w:val="en-US"/>
        </w:rPr>
        <w:t>F</w:t>
      </w:r>
      <w:r w:rsidRPr="004B76CA">
        <w:rPr>
          <w:b/>
          <w:lang w:val="en-US"/>
        </w:rPr>
        <w:t xml:space="preserve">orce </w:t>
      </w:r>
      <w:r>
        <w:rPr>
          <w:b/>
          <w:lang w:val="en-US"/>
        </w:rPr>
        <w:t>S</w:t>
      </w:r>
      <w:r w:rsidRPr="004B76CA">
        <w:rPr>
          <w:b/>
          <w:lang w:val="en-US"/>
        </w:rPr>
        <w:t>urvey</w:t>
      </w:r>
    </w:p>
    <w:p w:rsidR="00DA79C8" w:rsidRDefault="00DA79C8" w:rsidP="00E44726">
      <w:pPr>
        <w:pStyle w:val="T5TextBody"/>
        <w:spacing w:line="276" w:lineRule="auto"/>
        <w:rPr>
          <w:lang w:val="en-US"/>
        </w:rPr>
      </w:pPr>
      <w:r>
        <w:rPr>
          <w:lang w:val="en-US"/>
        </w:rPr>
        <w:t>The ONS Labour Force Survey (LFS) is the most comprehensive source of information on the provision of accommodation to employees by their employers. A question in this survey asks whether rented or accommodation is tied to the job.</w:t>
      </w:r>
    </w:p>
    <w:p w:rsidR="00DA79C8" w:rsidRDefault="00DA79C8" w:rsidP="00E44726">
      <w:pPr>
        <w:pStyle w:val="T5TextBody"/>
        <w:spacing w:line="276" w:lineRule="auto"/>
        <w:rPr>
          <w:lang w:val="en-US"/>
        </w:rPr>
      </w:pPr>
      <w:r>
        <w:rPr>
          <w:lang w:val="en-US"/>
        </w:rPr>
        <w:t xml:space="preserve">However, there are limitations to the LFS data that we should be aware of. The survey is drawn from a list of residential postal addresses, and thus excludes employees living in hotels and guest house, which is a state of affairs which may include employees across a range of industrial sectors rather than just those employed in the hotel sector. </w:t>
      </w:r>
    </w:p>
    <w:p w:rsidR="00DA79C8" w:rsidRDefault="00DA79C8" w:rsidP="00E44726">
      <w:pPr>
        <w:pStyle w:val="T5TextBody"/>
        <w:spacing w:line="276" w:lineRule="auto"/>
        <w:rPr>
          <w:lang w:val="en-US"/>
        </w:rPr>
      </w:pPr>
      <w:r>
        <w:rPr>
          <w:lang w:val="en-US"/>
        </w:rPr>
        <w:t xml:space="preserve">It also excludes those living in mobile caravans, tents and barns, which means that it understates the extent of the agricultural workforce during the summer months. </w:t>
      </w:r>
    </w:p>
    <w:p w:rsidR="00DA79C8" w:rsidRDefault="00DA79C8" w:rsidP="00E44726">
      <w:pPr>
        <w:pStyle w:val="T5TextBody"/>
        <w:spacing w:line="276" w:lineRule="auto"/>
        <w:rPr>
          <w:lang w:val="en-US"/>
        </w:rPr>
      </w:pPr>
      <w:r>
        <w:rPr>
          <w:lang w:val="en-US"/>
        </w:rPr>
        <w:t xml:space="preserve">It also seems likely that it will under-report migrant workers, who may be less likely to answer the survey because English is not their first language, because of concerns about the validity of their employment status, or simply because short-term migrants may feel that they have less of a stake in answering UK Government surveys. </w:t>
      </w:r>
    </w:p>
    <w:p w:rsidR="00DA79C8" w:rsidRDefault="00DA79C8" w:rsidP="00E44726">
      <w:pPr>
        <w:pStyle w:val="T5TextBody"/>
        <w:spacing w:line="276" w:lineRule="auto"/>
        <w:rPr>
          <w:lang w:val="en-US"/>
        </w:rPr>
      </w:pPr>
      <w:r>
        <w:rPr>
          <w:lang w:val="en-US"/>
        </w:rPr>
        <w:t>Nevertheless, despite these limitations, the LFS is a large-sample survey taken on a quarterly basis, so it provides the most comprehensive and timely statistical evidence that we have. In the following sections we use this data to explore aspects of employer-provided accommodation in order to examine whether the NMW and the accommodation offset has made any difference.</w:t>
      </w:r>
    </w:p>
    <w:p w:rsidR="00DA79C8" w:rsidRPr="000B6A78" w:rsidRDefault="00DA79C8" w:rsidP="00E44726">
      <w:pPr>
        <w:pStyle w:val="T5TextBody"/>
        <w:spacing w:line="276" w:lineRule="auto"/>
        <w:rPr>
          <w:b/>
          <w:lang w:val="en-US"/>
        </w:rPr>
      </w:pPr>
      <w:r w:rsidRPr="000B6A78">
        <w:rPr>
          <w:b/>
          <w:lang w:val="en-US"/>
        </w:rPr>
        <w:t>Tied accommodation has declined</w:t>
      </w:r>
    </w:p>
    <w:p w:rsidR="00DA79C8" w:rsidRDefault="00DA79C8" w:rsidP="00E44726">
      <w:pPr>
        <w:pStyle w:val="T5TextBody"/>
        <w:spacing w:line="276" w:lineRule="auto"/>
      </w:pPr>
      <w:r>
        <w:t xml:space="preserve">The table below show that the number of employees in tied accommodation has fallen since 1998, with half of the fall coming since the recession. </w:t>
      </w:r>
    </w:p>
    <w:p w:rsidR="00DA79C8" w:rsidRDefault="00DA79C8" w:rsidP="00E44726">
      <w:pPr>
        <w:pStyle w:val="T5TextBody"/>
        <w:spacing w:line="276" w:lineRule="auto"/>
      </w:pPr>
      <w:r>
        <w:t>What is less easy to understand is that the overall number of people living in tied accommodation has fallen much less sharply. The latter figure includes the entire household, including other workers and non-workers including children. Our working hypothesis is that the recession has disproportionally affected accommodation offered to single people.</w:t>
      </w:r>
    </w:p>
    <w:p w:rsidR="00DA79C8" w:rsidRDefault="00DA79C8" w:rsidP="00EC563D">
      <w:pPr>
        <w:rPr>
          <w:rFonts w:ascii="Verdana" w:hAnsi="Verdana"/>
          <w:b/>
          <w:bCs/>
          <w:color w:val="000000"/>
          <w:sz w:val="17"/>
          <w:szCs w:val="17"/>
          <w:lang w:eastAsia="en-GB"/>
        </w:rPr>
      </w:pPr>
    </w:p>
    <w:p w:rsidR="00DA79C8" w:rsidRPr="00A27FA3" w:rsidRDefault="00DA79C8" w:rsidP="00EC563D">
      <w:pPr>
        <w:rPr>
          <w:rFonts w:ascii="Sabon" w:hAnsi="Sabon"/>
          <w:b/>
          <w:bCs/>
          <w:color w:val="000000"/>
          <w:sz w:val="22"/>
          <w:szCs w:val="22"/>
          <w:lang w:eastAsia="en-GB"/>
        </w:rPr>
      </w:pPr>
      <w:r w:rsidRPr="00A27FA3">
        <w:rPr>
          <w:rFonts w:ascii="Sabon" w:hAnsi="Sabon"/>
          <w:b/>
          <w:bCs/>
          <w:color w:val="000000"/>
          <w:sz w:val="22"/>
          <w:szCs w:val="22"/>
          <w:lang w:eastAsia="en-GB"/>
        </w:rPr>
        <w:t>Employees and families in tied 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2009"/>
        <w:gridCol w:w="3461"/>
      </w:tblGrid>
      <w:tr w:rsidR="00DA79C8" w:rsidTr="0032683F">
        <w:tc>
          <w:tcPr>
            <w:tcW w:w="2009" w:type="dxa"/>
          </w:tcPr>
          <w:p w:rsidR="00DA79C8" w:rsidRPr="0032683F" w:rsidRDefault="00DA79C8" w:rsidP="00EC563D">
            <w:pPr>
              <w:rPr>
                <w:rFonts w:ascii="Sabon" w:hAnsi="Sabon"/>
                <w:bCs/>
                <w:color w:val="000000"/>
                <w:sz w:val="20"/>
                <w:lang w:eastAsia="en-GB"/>
              </w:rPr>
            </w:pPr>
          </w:p>
        </w:tc>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Employees in tied accommodation</w:t>
            </w:r>
          </w:p>
        </w:tc>
        <w:tc>
          <w:tcPr>
            <w:tcW w:w="3461" w:type="dxa"/>
          </w:tcPr>
          <w:p w:rsidR="00DA79C8" w:rsidRPr="0032683F" w:rsidRDefault="00DA79C8" w:rsidP="009C3560">
            <w:pPr>
              <w:rPr>
                <w:rFonts w:ascii="Sabon" w:hAnsi="Sabon"/>
                <w:bCs/>
                <w:color w:val="000000"/>
                <w:sz w:val="20"/>
                <w:lang w:eastAsia="en-GB"/>
              </w:rPr>
            </w:pPr>
            <w:r w:rsidRPr="0032683F">
              <w:rPr>
                <w:rFonts w:ascii="Sabon" w:hAnsi="Sabon"/>
                <w:bCs/>
                <w:color w:val="000000"/>
                <w:sz w:val="20"/>
                <w:lang w:eastAsia="en-GB"/>
              </w:rPr>
              <w:t>People living in accommodation tied to another member of the household’s employee job</w:t>
            </w:r>
          </w:p>
        </w:tc>
      </w:tr>
      <w:tr w:rsidR="00DA79C8" w:rsidTr="0032683F">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1998</w:t>
            </w:r>
          </w:p>
        </w:tc>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455,000</w:t>
            </w:r>
          </w:p>
        </w:tc>
        <w:tc>
          <w:tcPr>
            <w:tcW w:w="3461" w:type="dxa"/>
          </w:tcPr>
          <w:p w:rsidR="00DA79C8" w:rsidRPr="0032683F" w:rsidRDefault="00DA79C8" w:rsidP="00907534">
            <w:pPr>
              <w:rPr>
                <w:rFonts w:ascii="Sabon" w:hAnsi="Sabon"/>
                <w:bCs/>
                <w:color w:val="000000"/>
                <w:sz w:val="20"/>
                <w:lang w:eastAsia="en-GB"/>
              </w:rPr>
            </w:pPr>
            <w:r w:rsidRPr="0032683F">
              <w:rPr>
                <w:rFonts w:ascii="Sabon" w:hAnsi="Sabon"/>
                <w:bCs/>
                <w:color w:val="000000"/>
                <w:sz w:val="20"/>
                <w:lang w:eastAsia="en-GB"/>
              </w:rPr>
              <w:t>926,000</w:t>
            </w:r>
          </w:p>
        </w:tc>
      </w:tr>
      <w:tr w:rsidR="00DA79C8" w:rsidTr="0032683F">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2008</w:t>
            </w:r>
          </w:p>
        </w:tc>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406,000</w:t>
            </w:r>
          </w:p>
        </w:tc>
        <w:tc>
          <w:tcPr>
            <w:tcW w:w="3461"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827,000</w:t>
            </w:r>
          </w:p>
        </w:tc>
      </w:tr>
      <w:tr w:rsidR="00DA79C8" w:rsidTr="0032683F">
        <w:tc>
          <w:tcPr>
            <w:tcW w:w="2009" w:type="dxa"/>
          </w:tcPr>
          <w:p w:rsidR="00DA79C8" w:rsidRPr="0032683F" w:rsidRDefault="00DA79C8" w:rsidP="00AD570B">
            <w:pPr>
              <w:rPr>
                <w:rFonts w:ascii="Sabon" w:hAnsi="Sabon"/>
                <w:bCs/>
                <w:color w:val="000000"/>
                <w:sz w:val="20"/>
                <w:lang w:eastAsia="en-GB"/>
              </w:rPr>
            </w:pPr>
            <w:r w:rsidRPr="0032683F">
              <w:rPr>
                <w:rFonts w:ascii="Sabon" w:hAnsi="Sabon"/>
                <w:bCs/>
                <w:color w:val="000000"/>
                <w:sz w:val="20"/>
                <w:lang w:eastAsia="en-GB"/>
              </w:rPr>
              <w:t>2012</w:t>
            </w:r>
          </w:p>
        </w:tc>
        <w:tc>
          <w:tcPr>
            <w:tcW w:w="2009" w:type="dxa"/>
          </w:tcPr>
          <w:p w:rsidR="00DA79C8" w:rsidRPr="0032683F" w:rsidRDefault="00DA79C8" w:rsidP="00907534">
            <w:pPr>
              <w:rPr>
                <w:rFonts w:ascii="Sabon" w:hAnsi="Sabon"/>
                <w:bCs/>
                <w:color w:val="000000"/>
                <w:sz w:val="20"/>
                <w:lang w:eastAsia="en-GB"/>
              </w:rPr>
            </w:pPr>
            <w:r w:rsidRPr="0032683F">
              <w:rPr>
                <w:rFonts w:ascii="Sabon" w:hAnsi="Sabon"/>
                <w:bCs/>
                <w:color w:val="000000"/>
                <w:sz w:val="20"/>
                <w:lang w:eastAsia="en-GB"/>
              </w:rPr>
              <w:t>325,000</w:t>
            </w:r>
          </w:p>
        </w:tc>
        <w:tc>
          <w:tcPr>
            <w:tcW w:w="3461"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724,000</w:t>
            </w:r>
          </w:p>
        </w:tc>
      </w:tr>
      <w:tr w:rsidR="00DA79C8" w:rsidTr="0032683F">
        <w:tc>
          <w:tcPr>
            <w:tcW w:w="2009" w:type="dxa"/>
          </w:tcPr>
          <w:p w:rsidR="00DA79C8" w:rsidRPr="0032683F" w:rsidRDefault="00DA79C8" w:rsidP="00EC563D">
            <w:pPr>
              <w:rPr>
                <w:rFonts w:ascii="Sabon" w:hAnsi="Sabon"/>
                <w:bCs/>
                <w:color w:val="000000"/>
                <w:sz w:val="20"/>
                <w:lang w:eastAsia="en-GB"/>
              </w:rPr>
            </w:pPr>
          </w:p>
        </w:tc>
        <w:tc>
          <w:tcPr>
            <w:tcW w:w="2009" w:type="dxa"/>
          </w:tcPr>
          <w:p w:rsidR="00DA79C8" w:rsidRPr="0032683F" w:rsidRDefault="00DA79C8" w:rsidP="00EC563D">
            <w:pPr>
              <w:rPr>
                <w:rFonts w:ascii="Sabon" w:hAnsi="Sabon"/>
                <w:bCs/>
                <w:color w:val="000000"/>
                <w:sz w:val="20"/>
                <w:lang w:eastAsia="en-GB"/>
              </w:rPr>
            </w:pPr>
          </w:p>
        </w:tc>
        <w:tc>
          <w:tcPr>
            <w:tcW w:w="3461" w:type="dxa"/>
          </w:tcPr>
          <w:p w:rsidR="00DA79C8" w:rsidRPr="0032683F" w:rsidRDefault="00DA79C8" w:rsidP="00EC563D">
            <w:pPr>
              <w:rPr>
                <w:rFonts w:ascii="Sabon" w:hAnsi="Sabon"/>
                <w:bCs/>
                <w:color w:val="000000"/>
                <w:sz w:val="20"/>
                <w:lang w:eastAsia="en-GB"/>
              </w:rPr>
            </w:pPr>
          </w:p>
        </w:tc>
      </w:tr>
      <w:tr w:rsidR="00DA79C8" w:rsidTr="0032683F">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Per cent change 1998-2008</w:t>
            </w:r>
          </w:p>
        </w:tc>
        <w:tc>
          <w:tcPr>
            <w:tcW w:w="2009"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-10.8%</w:t>
            </w:r>
          </w:p>
        </w:tc>
        <w:tc>
          <w:tcPr>
            <w:tcW w:w="3461" w:type="dxa"/>
          </w:tcPr>
          <w:p w:rsidR="00DA79C8" w:rsidRPr="0032683F" w:rsidRDefault="00DA79C8" w:rsidP="00EC563D">
            <w:pPr>
              <w:rPr>
                <w:rFonts w:ascii="Sabon" w:hAnsi="Sabon"/>
                <w:bCs/>
                <w:color w:val="000000"/>
                <w:sz w:val="20"/>
                <w:lang w:eastAsia="en-GB"/>
              </w:rPr>
            </w:pPr>
            <w:r w:rsidRPr="0032683F">
              <w:rPr>
                <w:rFonts w:ascii="Sabon" w:hAnsi="Sabon"/>
                <w:bCs/>
                <w:color w:val="000000"/>
                <w:sz w:val="20"/>
                <w:lang w:eastAsia="en-GB"/>
              </w:rPr>
              <w:t>-10.7%</w:t>
            </w:r>
          </w:p>
        </w:tc>
      </w:tr>
      <w:tr w:rsidR="00DA79C8" w:rsidTr="0032683F">
        <w:tc>
          <w:tcPr>
            <w:tcW w:w="2009" w:type="dxa"/>
          </w:tcPr>
          <w:p w:rsidR="00DA79C8" w:rsidRPr="0032683F" w:rsidRDefault="00DA79C8" w:rsidP="00E016A2">
            <w:pPr>
              <w:rPr>
                <w:rFonts w:ascii="Sabon" w:hAnsi="Sabon"/>
                <w:bCs/>
                <w:color w:val="000000"/>
                <w:sz w:val="20"/>
                <w:lang w:eastAsia="en-GB"/>
              </w:rPr>
            </w:pPr>
          </w:p>
        </w:tc>
        <w:tc>
          <w:tcPr>
            <w:tcW w:w="2009" w:type="dxa"/>
          </w:tcPr>
          <w:p w:rsidR="00DA79C8" w:rsidRPr="0032683F" w:rsidRDefault="00DA79C8" w:rsidP="00E016A2">
            <w:pPr>
              <w:rPr>
                <w:rFonts w:ascii="Sabon" w:hAnsi="Sabon"/>
                <w:bCs/>
                <w:color w:val="000000"/>
                <w:sz w:val="20"/>
                <w:lang w:eastAsia="en-GB"/>
              </w:rPr>
            </w:pPr>
          </w:p>
        </w:tc>
        <w:tc>
          <w:tcPr>
            <w:tcW w:w="3461" w:type="dxa"/>
          </w:tcPr>
          <w:p w:rsidR="00DA79C8" w:rsidRPr="0032683F" w:rsidRDefault="00DA79C8" w:rsidP="00E016A2">
            <w:pPr>
              <w:rPr>
                <w:rFonts w:ascii="Sabon" w:hAnsi="Sabon"/>
                <w:bCs/>
                <w:color w:val="000000"/>
                <w:sz w:val="20"/>
                <w:lang w:eastAsia="en-GB"/>
              </w:rPr>
            </w:pPr>
          </w:p>
        </w:tc>
      </w:tr>
      <w:tr w:rsidR="00DA79C8" w:rsidTr="0032683F">
        <w:tc>
          <w:tcPr>
            <w:tcW w:w="2009" w:type="dxa"/>
          </w:tcPr>
          <w:p w:rsidR="00DA79C8" w:rsidRPr="0032683F" w:rsidRDefault="00DA79C8" w:rsidP="00E016A2">
            <w:pPr>
              <w:rPr>
                <w:rFonts w:ascii="Sabon" w:hAnsi="Sabon"/>
                <w:bCs/>
                <w:color w:val="000000"/>
                <w:sz w:val="20"/>
                <w:lang w:eastAsia="en-GB"/>
              </w:rPr>
            </w:pPr>
            <w:r w:rsidRPr="0032683F">
              <w:rPr>
                <w:rFonts w:ascii="Sabon" w:hAnsi="Sabon"/>
                <w:bCs/>
                <w:color w:val="000000"/>
                <w:sz w:val="20"/>
                <w:lang w:eastAsia="en-GB"/>
              </w:rPr>
              <w:t>Per cent change 2008-2012</w:t>
            </w:r>
          </w:p>
        </w:tc>
        <w:tc>
          <w:tcPr>
            <w:tcW w:w="2009" w:type="dxa"/>
          </w:tcPr>
          <w:p w:rsidR="00DA79C8" w:rsidRPr="0032683F" w:rsidRDefault="00DA79C8" w:rsidP="00E016A2">
            <w:pPr>
              <w:rPr>
                <w:rFonts w:ascii="Sabon" w:hAnsi="Sabon"/>
                <w:bCs/>
                <w:color w:val="000000"/>
                <w:sz w:val="20"/>
                <w:lang w:eastAsia="en-GB"/>
              </w:rPr>
            </w:pPr>
            <w:r w:rsidRPr="0032683F">
              <w:rPr>
                <w:rFonts w:ascii="Sabon" w:hAnsi="Sabon"/>
                <w:bCs/>
                <w:color w:val="000000"/>
                <w:sz w:val="20"/>
                <w:lang w:eastAsia="en-GB"/>
              </w:rPr>
              <w:t>-20.0%</w:t>
            </w:r>
          </w:p>
        </w:tc>
        <w:tc>
          <w:tcPr>
            <w:tcW w:w="3461" w:type="dxa"/>
          </w:tcPr>
          <w:p w:rsidR="00DA79C8" w:rsidRPr="0032683F" w:rsidRDefault="00DA79C8" w:rsidP="00907534">
            <w:pPr>
              <w:rPr>
                <w:rFonts w:ascii="Sabon" w:hAnsi="Sabon"/>
                <w:bCs/>
                <w:color w:val="000000"/>
                <w:sz w:val="20"/>
                <w:lang w:eastAsia="en-GB"/>
              </w:rPr>
            </w:pPr>
            <w:r w:rsidRPr="0032683F">
              <w:rPr>
                <w:rFonts w:ascii="Sabon" w:hAnsi="Sabon"/>
                <w:bCs/>
                <w:color w:val="000000"/>
                <w:sz w:val="20"/>
                <w:lang w:eastAsia="en-GB"/>
              </w:rPr>
              <w:t>-12.5%</w:t>
            </w:r>
          </w:p>
        </w:tc>
      </w:tr>
    </w:tbl>
    <w:p w:rsidR="00DA79C8" w:rsidRPr="00A27FA3" w:rsidRDefault="00DA79C8" w:rsidP="00EC563D">
      <w:pPr>
        <w:rPr>
          <w:rFonts w:ascii="Sabon" w:hAnsi="Sabon"/>
          <w:bCs/>
          <w:color w:val="000000"/>
          <w:sz w:val="18"/>
          <w:szCs w:val="18"/>
          <w:lang w:eastAsia="en-GB"/>
        </w:rPr>
      </w:pPr>
      <w:r w:rsidRPr="00A27FA3">
        <w:rPr>
          <w:rFonts w:ascii="Sabon" w:hAnsi="Sabon"/>
          <w:bCs/>
          <w:color w:val="000000"/>
          <w:sz w:val="18"/>
          <w:szCs w:val="18"/>
          <w:lang w:eastAsia="en-GB"/>
        </w:rPr>
        <w:t>Source: LFS spring qua</w:t>
      </w:r>
      <w:r>
        <w:rPr>
          <w:rFonts w:ascii="Sabon" w:hAnsi="Sabon"/>
          <w:bCs/>
          <w:color w:val="000000"/>
          <w:sz w:val="18"/>
          <w:szCs w:val="18"/>
          <w:lang w:eastAsia="en-GB"/>
        </w:rPr>
        <w:t>r</w:t>
      </w:r>
      <w:r w:rsidRPr="00A27FA3">
        <w:rPr>
          <w:rFonts w:ascii="Sabon" w:hAnsi="Sabon"/>
          <w:bCs/>
          <w:color w:val="000000"/>
          <w:sz w:val="18"/>
          <w:szCs w:val="18"/>
          <w:lang w:eastAsia="en-GB"/>
        </w:rPr>
        <w:t>t</w:t>
      </w:r>
      <w:r>
        <w:rPr>
          <w:rFonts w:ascii="Sabon" w:hAnsi="Sabon"/>
          <w:bCs/>
          <w:color w:val="000000"/>
          <w:sz w:val="18"/>
          <w:szCs w:val="18"/>
          <w:lang w:eastAsia="en-GB"/>
        </w:rPr>
        <w:t>ers</w:t>
      </w:r>
    </w:p>
    <w:p w:rsidR="00DA79C8" w:rsidRDefault="00DA79C8" w:rsidP="00EC563D">
      <w:pPr>
        <w:rPr>
          <w:rFonts w:ascii="Verdana" w:hAnsi="Verdana"/>
          <w:b/>
          <w:bCs/>
          <w:color w:val="000000"/>
          <w:sz w:val="17"/>
          <w:szCs w:val="17"/>
          <w:lang w:eastAsia="en-GB"/>
        </w:rPr>
      </w:pPr>
    </w:p>
    <w:p w:rsidR="00DA79C8" w:rsidRDefault="00DA79C8" w:rsidP="00A20090">
      <w:pPr>
        <w:rPr>
          <w:rFonts w:ascii="Verdana" w:hAnsi="Verdana"/>
          <w:b/>
          <w:bCs/>
          <w:color w:val="000000"/>
          <w:sz w:val="17"/>
          <w:szCs w:val="17"/>
          <w:lang w:eastAsia="en-GB"/>
        </w:rPr>
      </w:pPr>
    </w:p>
    <w:p w:rsidR="00DA79C8" w:rsidRPr="00E10F9C" w:rsidRDefault="00DA79C8" w:rsidP="00A20090">
      <w:pPr>
        <w:rPr>
          <w:rFonts w:ascii="Sabon" w:hAnsi="Sabon"/>
          <w:b/>
          <w:bCs/>
          <w:color w:val="000000"/>
          <w:sz w:val="22"/>
          <w:szCs w:val="22"/>
          <w:lang w:eastAsia="en-GB"/>
        </w:rPr>
      </w:pPr>
      <w:r w:rsidRPr="00E10F9C">
        <w:rPr>
          <w:rFonts w:ascii="Sabon" w:hAnsi="Sabon"/>
          <w:b/>
          <w:bCs/>
          <w:color w:val="000000"/>
          <w:sz w:val="22"/>
          <w:szCs w:val="22"/>
          <w:lang w:eastAsia="en-GB"/>
        </w:rPr>
        <w:t>Public and private sector tied accommodation</w:t>
      </w:r>
    </w:p>
    <w:p w:rsidR="00DA79C8" w:rsidRDefault="00DA79C8" w:rsidP="00A20090">
      <w:pPr>
        <w:rPr>
          <w:rFonts w:ascii="Verdana" w:hAnsi="Verdana"/>
          <w:b/>
          <w:bCs/>
          <w:color w:val="000000"/>
          <w:sz w:val="17"/>
          <w:szCs w:val="17"/>
          <w:lang w:eastAsia="en-GB"/>
        </w:rPr>
      </w:pPr>
    </w:p>
    <w:p w:rsidR="00DA79C8" w:rsidRPr="004B76CA"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The next t</w:t>
      </w:r>
      <w:r w:rsidRPr="004B76CA">
        <w:rPr>
          <w:rFonts w:ascii="Sabon" w:hAnsi="Sabon"/>
          <w:bCs/>
          <w:color w:val="000000"/>
          <w:sz w:val="22"/>
          <w:szCs w:val="22"/>
          <w:lang w:eastAsia="en-GB"/>
        </w:rPr>
        <w:t xml:space="preserve">able </w:t>
      </w:r>
      <w:r>
        <w:rPr>
          <w:rFonts w:ascii="Sabon" w:hAnsi="Sabon"/>
          <w:bCs/>
          <w:color w:val="000000"/>
          <w:sz w:val="22"/>
          <w:szCs w:val="22"/>
          <w:lang w:eastAsia="en-GB"/>
        </w:rPr>
        <w:t xml:space="preserve">greatly </w:t>
      </w:r>
      <w:r w:rsidRPr="004B76CA">
        <w:rPr>
          <w:rFonts w:ascii="Sabon" w:hAnsi="Sabon"/>
          <w:bCs/>
          <w:color w:val="000000"/>
          <w:sz w:val="22"/>
          <w:szCs w:val="22"/>
          <w:lang w:eastAsia="en-GB"/>
        </w:rPr>
        <w:t xml:space="preserve">increases our understanding of what has happened. The decline in tied accommodation in the decade </w:t>
      </w:r>
      <w:r>
        <w:rPr>
          <w:rFonts w:ascii="Sabon" w:hAnsi="Sabon"/>
          <w:bCs/>
          <w:color w:val="000000"/>
          <w:sz w:val="22"/>
          <w:szCs w:val="22"/>
          <w:lang w:eastAsia="en-GB"/>
        </w:rPr>
        <w:t>up to</w:t>
      </w:r>
      <w:r w:rsidRPr="004B76CA">
        <w:rPr>
          <w:rFonts w:ascii="Sabon" w:hAnsi="Sabon"/>
          <w:bCs/>
          <w:color w:val="000000"/>
          <w:sz w:val="22"/>
          <w:szCs w:val="22"/>
          <w:lang w:eastAsia="en-GB"/>
        </w:rPr>
        <w:t xml:space="preserve"> 2008 was largely in the </w:t>
      </w:r>
      <w:r w:rsidRPr="00E10F9C">
        <w:rPr>
          <w:rFonts w:ascii="Sabon" w:hAnsi="Sabon"/>
          <w:bCs/>
          <w:i/>
          <w:color w:val="000000"/>
          <w:sz w:val="22"/>
          <w:szCs w:val="22"/>
          <w:lang w:eastAsia="en-GB"/>
        </w:rPr>
        <w:t>public</w:t>
      </w:r>
      <w:r w:rsidRPr="004B76CA">
        <w:rPr>
          <w:rFonts w:ascii="Sabon" w:hAnsi="Sabon"/>
          <w:bCs/>
          <w:color w:val="000000"/>
          <w:sz w:val="22"/>
          <w:szCs w:val="22"/>
          <w:lang w:eastAsia="en-GB"/>
        </w:rPr>
        <w:t xml:space="preserve"> sector. This decline has continued during the recession, but it has been greatly outstripped by the sudden decline in the </w:t>
      </w:r>
      <w:r w:rsidRPr="00E10F9C">
        <w:rPr>
          <w:rFonts w:ascii="Sabon" w:hAnsi="Sabon"/>
          <w:bCs/>
          <w:i/>
          <w:color w:val="000000"/>
          <w:sz w:val="22"/>
          <w:szCs w:val="22"/>
          <w:lang w:eastAsia="en-GB"/>
        </w:rPr>
        <w:t>private</w:t>
      </w:r>
      <w:r w:rsidRPr="004B76CA">
        <w:rPr>
          <w:rFonts w:ascii="Sabon" w:hAnsi="Sabon"/>
          <w:bCs/>
          <w:color w:val="000000"/>
          <w:sz w:val="22"/>
          <w:szCs w:val="22"/>
          <w:lang w:eastAsia="en-GB"/>
        </w:rPr>
        <w:t xml:space="preserve"> sector</w:t>
      </w:r>
      <w:r>
        <w:rPr>
          <w:rFonts w:ascii="Sabon" w:hAnsi="Sabon"/>
          <w:bCs/>
          <w:color w:val="000000"/>
          <w:sz w:val="22"/>
          <w:szCs w:val="22"/>
          <w:lang w:eastAsia="en-GB"/>
        </w:rPr>
        <w:t xml:space="preserve"> from 2008 onwards</w:t>
      </w:r>
      <w:r w:rsidRPr="004B76CA">
        <w:rPr>
          <w:rFonts w:ascii="Sabon" w:hAnsi="Sabon"/>
          <w:bCs/>
          <w:color w:val="000000"/>
          <w:sz w:val="22"/>
          <w:szCs w:val="22"/>
          <w:lang w:eastAsia="en-GB"/>
        </w:rPr>
        <w:t xml:space="preserve">. </w:t>
      </w:r>
    </w:p>
    <w:p w:rsidR="00DA79C8" w:rsidRDefault="00DA79C8" w:rsidP="00A20090">
      <w:pPr>
        <w:rPr>
          <w:rFonts w:ascii="Verdana" w:hAnsi="Verdana"/>
          <w:b/>
          <w:bCs/>
          <w:color w:val="000000"/>
          <w:sz w:val="17"/>
          <w:szCs w:val="17"/>
          <w:lang w:eastAsia="en-GB"/>
        </w:rPr>
      </w:pPr>
    </w:p>
    <w:p w:rsidR="00DA79C8" w:rsidRDefault="00DA79C8" w:rsidP="00A20090">
      <w:pPr>
        <w:rPr>
          <w:rFonts w:ascii="Verdana" w:hAnsi="Verdana"/>
          <w:b/>
          <w:bCs/>
          <w:color w:val="000000"/>
          <w:sz w:val="17"/>
          <w:szCs w:val="17"/>
          <w:lang w:eastAsia="en-GB"/>
        </w:rPr>
      </w:pPr>
    </w:p>
    <w:p w:rsidR="00DA79C8" w:rsidRDefault="00DA79C8" w:rsidP="00A20090">
      <w:pPr>
        <w:rPr>
          <w:rFonts w:ascii="Verdana" w:hAnsi="Verdana"/>
          <w:b/>
          <w:bCs/>
          <w:color w:val="000000"/>
          <w:sz w:val="17"/>
          <w:szCs w:val="17"/>
          <w:lang w:eastAsia="en-GB"/>
        </w:rPr>
      </w:pPr>
    </w:p>
    <w:p w:rsidR="00DA79C8" w:rsidRDefault="00DA79C8" w:rsidP="00A20090">
      <w:pPr>
        <w:rPr>
          <w:rFonts w:ascii="Verdana" w:hAnsi="Verdana"/>
          <w:b/>
          <w:bCs/>
          <w:color w:val="000000"/>
          <w:sz w:val="17"/>
          <w:szCs w:val="17"/>
          <w:lang w:eastAsia="en-GB"/>
        </w:rPr>
      </w:pPr>
    </w:p>
    <w:p w:rsidR="00DA79C8" w:rsidRPr="00A27FA3" w:rsidRDefault="00DA79C8" w:rsidP="00A20090">
      <w:pPr>
        <w:rPr>
          <w:rFonts w:ascii="Sabon" w:hAnsi="Sabon"/>
          <w:b/>
          <w:bCs/>
          <w:color w:val="000000"/>
          <w:sz w:val="22"/>
          <w:szCs w:val="22"/>
          <w:lang w:eastAsia="en-GB"/>
        </w:rPr>
      </w:pPr>
      <w:r w:rsidRPr="00A27FA3">
        <w:rPr>
          <w:rFonts w:ascii="Sabon" w:hAnsi="Sabon"/>
          <w:b/>
          <w:bCs/>
          <w:color w:val="000000"/>
          <w:sz w:val="22"/>
          <w:szCs w:val="22"/>
          <w:lang w:eastAsia="en-GB"/>
        </w:rPr>
        <w:t xml:space="preserve">Employees in tied accommodation - </w:t>
      </w:r>
      <w:r>
        <w:rPr>
          <w:rFonts w:ascii="Sabon" w:hAnsi="Sabon"/>
          <w:b/>
          <w:bCs/>
          <w:color w:val="000000"/>
          <w:sz w:val="22"/>
          <w:szCs w:val="22"/>
          <w:lang w:eastAsia="en-GB"/>
        </w:rPr>
        <w:t>p</w:t>
      </w:r>
      <w:r w:rsidRPr="00A27FA3">
        <w:rPr>
          <w:rFonts w:ascii="Sabon" w:hAnsi="Sabon"/>
          <w:b/>
          <w:bCs/>
          <w:color w:val="000000"/>
          <w:sz w:val="22"/>
          <w:szCs w:val="22"/>
          <w:lang w:eastAsia="en-GB"/>
        </w:rPr>
        <w:t xml:space="preserve">ublic </w:t>
      </w:r>
      <w:r>
        <w:rPr>
          <w:rFonts w:ascii="Sabon" w:hAnsi="Sabon"/>
          <w:b/>
          <w:bCs/>
          <w:color w:val="000000"/>
          <w:sz w:val="22"/>
          <w:szCs w:val="22"/>
          <w:lang w:eastAsia="en-GB"/>
        </w:rPr>
        <w:t>and p</w:t>
      </w:r>
      <w:r w:rsidRPr="00A27FA3">
        <w:rPr>
          <w:rFonts w:ascii="Sabon" w:hAnsi="Sabon"/>
          <w:b/>
          <w:bCs/>
          <w:color w:val="000000"/>
          <w:sz w:val="22"/>
          <w:szCs w:val="22"/>
          <w:lang w:eastAsia="en-GB"/>
        </w:rPr>
        <w:t>rivate sector</w:t>
      </w:r>
      <w:r>
        <w:rPr>
          <w:rFonts w:ascii="Sabon" w:hAnsi="Sabon"/>
          <w:b/>
          <w:bCs/>
          <w:color w:val="000000"/>
          <w:sz w:val="22"/>
          <w:szCs w:val="22"/>
          <w:lang w:eastAsia="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2009"/>
        <w:gridCol w:w="3461"/>
      </w:tblGrid>
      <w:tr w:rsidR="00DA79C8" w:rsidTr="0032683F">
        <w:tc>
          <w:tcPr>
            <w:tcW w:w="2009" w:type="dxa"/>
          </w:tcPr>
          <w:p w:rsidR="00DA79C8" w:rsidRPr="0032683F" w:rsidRDefault="00DA79C8" w:rsidP="00C32B7C">
            <w:pPr>
              <w:rPr>
                <w:rFonts w:ascii="Sabon" w:hAnsi="Sabon"/>
                <w:bCs/>
                <w:color w:val="000000"/>
                <w:sz w:val="20"/>
                <w:lang w:eastAsia="en-GB"/>
              </w:rPr>
            </w:pPr>
          </w:p>
        </w:tc>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Private sector</w:t>
            </w:r>
          </w:p>
        </w:tc>
        <w:tc>
          <w:tcPr>
            <w:tcW w:w="3461"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 xml:space="preserve">Public sector </w:t>
            </w:r>
          </w:p>
        </w:tc>
      </w:tr>
      <w:tr w:rsidR="00DA79C8" w:rsidTr="0032683F">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1998</w:t>
            </w:r>
          </w:p>
        </w:tc>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266,000</w:t>
            </w:r>
          </w:p>
        </w:tc>
        <w:tc>
          <w:tcPr>
            <w:tcW w:w="3461"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188,000</w:t>
            </w:r>
          </w:p>
        </w:tc>
      </w:tr>
      <w:tr w:rsidR="00DA79C8" w:rsidTr="0032683F">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2008</w:t>
            </w:r>
          </w:p>
        </w:tc>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258,000</w:t>
            </w:r>
          </w:p>
        </w:tc>
        <w:tc>
          <w:tcPr>
            <w:tcW w:w="3461"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147,000</w:t>
            </w:r>
          </w:p>
        </w:tc>
      </w:tr>
      <w:tr w:rsidR="00DA79C8" w:rsidTr="0032683F">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2012</w:t>
            </w:r>
          </w:p>
        </w:tc>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205,000</w:t>
            </w:r>
          </w:p>
        </w:tc>
        <w:tc>
          <w:tcPr>
            <w:tcW w:w="3461"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130,000</w:t>
            </w:r>
          </w:p>
        </w:tc>
      </w:tr>
      <w:tr w:rsidR="00DA79C8" w:rsidTr="0032683F">
        <w:tc>
          <w:tcPr>
            <w:tcW w:w="2009" w:type="dxa"/>
          </w:tcPr>
          <w:p w:rsidR="00DA79C8" w:rsidRPr="0032683F" w:rsidRDefault="00DA79C8" w:rsidP="00C32B7C">
            <w:pPr>
              <w:rPr>
                <w:rFonts w:ascii="Sabon" w:hAnsi="Sabon"/>
                <w:bCs/>
                <w:color w:val="000000"/>
                <w:sz w:val="20"/>
                <w:lang w:eastAsia="en-GB"/>
              </w:rPr>
            </w:pPr>
          </w:p>
        </w:tc>
        <w:tc>
          <w:tcPr>
            <w:tcW w:w="2009" w:type="dxa"/>
          </w:tcPr>
          <w:p w:rsidR="00DA79C8" w:rsidRPr="0032683F" w:rsidRDefault="00DA79C8" w:rsidP="00C32B7C">
            <w:pPr>
              <w:rPr>
                <w:rFonts w:ascii="Sabon" w:hAnsi="Sabon"/>
                <w:bCs/>
                <w:color w:val="000000"/>
                <w:sz w:val="20"/>
                <w:lang w:eastAsia="en-GB"/>
              </w:rPr>
            </w:pPr>
          </w:p>
        </w:tc>
        <w:tc>
          <w:tcPr>
            <w:tcW w:w="3461" w:type="dxa"/>
          </w:tcPr>
          <w:p w:rsidR="00DA79C8" w:rsidRPr="0032683F" w:rsidRDefault="00DA79C8" w:rsidP="00C32B7C">
            <w:pPr>
              <w:rPr>
                <w:rFonts w:ascii="Sabon" w:hAnsi="Sabon"/>
                <w:bCs/>
                <w:color w:val="000000"/>
                <w:sz w:val="20"/>
                <w:lang w:eastAsia="en-GB"/>
              </w:rPr>
            </w:pPr>
          </w:p>
        </w:tc>
      </w:tr>
      <w:tr w:rsidR="00DA79C8" w:rsidTr="0032683F">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Per cent change 1998-2008</w:t>
            </w:r>
          </w:p>
        </w:tc>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-3.0%</w:t>
            </w:r>
          </w:p>
        </w:tc>
        <w:tc>
          <w:tcPr>
            <w:tcW w:w="3461"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-21.8%</w:t>
            </w:r>
          </w:p>
        </w:tc>
      </w:tr>
      <w:tr w:rsidR="00DA79C8" w:rsidTr="0032683F">
        <w:tc>
          <w:tcPr>
            <w:tcW w:w="2009" w:type="dxa"/>
          </w:tcPr>
          <w:p w:rsidR="00DA79C8" w:rsidRPr="0032683F" w:rsidRDefault="00DA79C8" w:rsidP="00C32B7C">
            <w:pPr>
              <w:rPr>
                <w:rFonts w:ascii="Sabon" w:hAnsi="Sabon"/>
                <w:bCs/>
                <w:color w:val="000000"/>
                <w:sz w:val="20"/>
                <w:lang w:eastAsia="en-GB"/>
              </w:rPr>
            </w:pPr>
          </w:p>
        </w:tc>
        <w:tc>
          <w:tcPr>
            <w:tcW w:w="2009" w:type="dxa"/>
          </w:tcPr>
          <w:p w:rsidR="00DA79C8" w:rsidRPr="0032683F" w:rsidRDefault="00DA79C8" w:rsidP="00C32B7C">
            <w:pPr>
              <w:rPr>
                <w:rFonts w:ascii="Sabon" w:hAnsi="Sabon"/>
                <w:bCs/>
                <w:color w:val="000000"/>
                <w:sz w:val="20"/>
                <w:lang w:eastAsia="en-GB"/>
              </w:rPr>
            </w:pPr>
          </w:p>
        </w:tc>
        <w:tc>
          <w:tcPr>
            <w:tcW w:w="3461" w:type="dxa"/>
          </w:tcPr>
          <w:p w:rsidR="00DA79C8" w:rsidRPr="0032683F" w:rsidRDefault="00DA79C8" w:rsidP="00C32B7C">
            <w:pPr>
              <w:rPr>
                <w:rFonts w:ascii="Sabon" w:hAnsi="Sabon"/>
                <w:bCs/>
                <w:color w:val="000000"/>
                <w:sz w:val="20"/>
                <w:lang w:eastAsia="en-GB"/>
              </w:rPr>
            </w:pPr>
          </w:p>
        </w:tc>
      </w:tr>
      <w:tr w:rsidR="00DA79C8" w:rsidTr="0032683F">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Per cent change 2008-2012</w:t>
            </w:r>
          </w:p>
        </w:tc>
        <w:tc>
          <w:tcPr>
            <w:tcW w:w="2009"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-20.5%</w:t>
            </w:r>
          </w:p>
        </w:tc>
        <w:tc>
          <w:tcPr>
            <w:tcW w:w="3461" w:type="dxa"/>
          </w:tcPr>
          <w:p w:rsidR="00DA79C8" w:rsidRPr="0032683F" w:rsidRDefault="00DA79C8" w:rsidP="00C32B7C">
            <w:pPr>
              <w:rPr>
                <w:rFonts w:ascii="Sabon" w:hAnsi="Sabon"/>
                <w:bCs/>
                <w:color w:val="000000"/>
                <w:sz w:val="20"/>
                <w:lang w:eastAsia="en-GB"/>
              </w:rPr>
            </w:pPr>
            <w:r w:rsidRPr="0032683F">
              <w:rPr>
                <w:rFonts w:ascii="Sabon" w:hAnsi="Sabon"/>
                <w:bCs/>
                <w:color w:val="000000"/>
                <w:sz w:val="20"/>
                <w:lang w:eastAsia="en-GB"/>
              </w:rPr>
              <w:t>-11.6%</w:t>
            </w:r>
          </w:p>
        </w:tc>
      </w:tr>
    </w:tbl>
    <w:p w:rsidR="00DA79C8" w:rsidRDefault="00DA79C8" w:rsidP="00EC563D">
      <w:pPr>
        <w:rPr>
          <w:rFonts w:ascii="Verdana" w:hAnsi="Verdana"/>
          <w:b/>
          <w:bCs/>
          <w:color w:val="000000"/>
          <w:sz w:val="17"/>
          <w:szCs w:val="17"/>
          <w:lang w:eastAsia="en-GB"/>
        </w:rPr>
      </w:pPr>
    </w:p>
    <w:p w:rsidR="00DA79C8" w:rsidRPr="00A27FA3" w:rsidRDefault="00DA79C8" w:rsidP="00B556E4">
      <w:pPr>
        <w:rPr>
          <w:rFonts w:ascii="Sabon" w:hAnsi="Sabon"/>
          <w:bCs/>
          <w:color w:val="000000"/>
          <w:sz w:val="18"/>
          <w:szCs w:val="18"/>
          <w:lang w:eastAsia="en-GB"/>
        </w:rPr>
      </w:pPr>
      <w:r w:rsidRPr="00A27FA3">
        <w:rPr>
          <w:rFonts w:ascii="Sabon" w:hAnsi="Sabon"/>
          <w:bCs/>
          <w:color w:val="000000"/>
          <w:sz w:val="18"/>
          <w:szCs w:val="18"/>
          <w:lang w:eastAsia="en-GB"/>
        </w:rPr>
        <w:t>Source: LFS spring qua</w:t>
      </w:r>
      <w:r>
        <w:rPr>
          <w:rFonts w:ascii="Sabon" w:hAnsi="Sabon"/>
          <w:bCs/>
          <w:color w:val="000000"/>
          <w:sz w:val="18"/>
          <w:szCs w:val="18"/>
          <w:lang w:eastAsia="en-GB"/>
        </w:rPr>
        <w:t>r</w:t>
      </w:r>
      <w:r w:rsidRPr="00A27FA3">
        <w:rPr>
          <w:rFonts w:ascii="Sabon" w:hAnsi="Sabon"/>
          <w:bCs/>
          <w:color w:val="000000"/>
          <w:sz w:val="18"/>
          <w:szCs w:val="18"/>
          <w:lang w:eastAsia="en-GB"/>
        </w:rPr>
        <w:t>t</w:t>
      </w:r>
      <w:r>
        <w:rPr>
          <w:rFonts w:ascii="Sabon" w:hAnsi="Sabon"/>
          <w:bCs/>
          <w:color w:val="000000"/>
          <w:sz w:val="18"/>
          <w:szCs w:val="18"/>
          <w:lang w:eastAsia="en-GB"/>
        </w:rPr>
        <w:t>ers</w:t>
      </w:r>
    </w:p>
    <w:p w:rsidR="00DA79C8" w:rsidRDefault="00DA79C8" w:rsidP="00EC563D">
      <w:pPr>
        <w:rPr>
          <w:rFonts w:ascii="Verdana" w:hAnsi="Verdana"/>
          <w:b/>
          <w:bCs/>
          <w:color w:val="000000"/>
          <w:sz w:val="17"/>
          <w:szCs w:val="17"/>
          <w:lang w:eastAsia="en-GB"/>
        </w:rPr>
      </w:pPr>
    </w:p>
    <w:p w:rsidR="00DA79C8"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Is the trend simply a function of the economic downturn and the decline of the property market? This certainly must be the largest part of the explanation for the sudden onset of decline in the private sector. More recently, the onset of public sector austerity may also help to explain the increase in the speed of the rate of decline in the public sector.</w:t>
      </w:r>
    </w:p>
    <w:p w:rsidR="00DA79C8" w:rsidRDefault="00DA79C8" w:rsidP="00E44726">
      <w:pPr>
        <w:spacing w:line="276" w:lineRule="auto"/>
        <w:rPr>
          <w:rFonts w:ascii="Sabon" w:hAnsi="Sabon"/>
          <w:bCs/>
          <w:color w:val="000000"/>
          <w:sz w:val="22"/>
          <w:szCs w:val="22"/>
          <w:lang w:eastAsia="en-GB"/>
        </w:rPr>
      </w:pPr>
    </w:p>
    <w:p w:rsidR="00DA79C8"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However, we should also consider the effect of the SIMAP (2000) and Jaeger (2003) European Court of Justice Judgments, which classified “inactive” on-call time spent on the employer’s premises as working time for the purposes of the relevant EU directive. It is reported that these cases have led to the public sector moving away from on-call time, which had been part of the rationale for providing accommodation in the first place.</w:t>
      </w:r>
    </w:p>
    <w:p w:rsidR="00DA79C8" w:rsidRDefault="00DA79C8" w:rsidP="00E44726">
      <w:pPr>
        <w:spacing w:line="276" w:lineRule="auto"/>
        <w:rPr>
          <w:rFonts w:ascii="Sabon" w:hAnsi="Sabon"/>
          <w:bCs/>
          <w:color w:val="000000"/>
          <w:sz w:val="22"/>
          <w:szCs w:val="22"/>
          <w:lang w:eastAsia="en-GB"/>
        </w:rPr>
      </w:pPr>
    </w:p>
    <w:p w:rsidR="00DA79C8"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For example, before the ECJ judgements the London Borough of Harrow employed wardens in old people homes to be on duty or on call on the premises for 113 hour per week. Clearly this was not acceptable.</w:t>
      </w:r>
    </w:p>
    <w:p w:rsidR="00DA79C8" w:rsidRDefault="00DA79C8" w:rsidP="00E44726">
      <w:pPr>
        <w:spacing w:line="276" w:lineRule="auto"/>
        <w:rPr>
          <w:rFonts w:ascii="Sabon" w:hAnsi="Sabon"/>
          <w:bCs/>
          <w:color w:val="000000"/>
          <w:sz w:val="22"/>
          <w:szCs w:val="22"/>
          <w:lang w:eastAsia="en-GB"/>
        </w:rPr>
      </w:pPr>
    </w:p>
    <w:p w:rsidR="00DA79C8"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Average weekly working hours are longer for those in tied accommodation (40.1 mean, 40.3 median) than for the employee workforce as a whole (38.1 mean, 36.0 median), largely because around 80 per cent of tied employees are full-time workers. In addition, about 60 per cent of tied employees are male.</w:t>
      </w:r>
    </w:p>
    <w:p w:rsidR="00DA79C8" w:rsidRDefault="00DA79C8" w:rsidP="00E44726">
      <w:pPr>
        <w:spacing w:line="276" w:lineRule="auto"/>
        <w:rPr>
          <w:rFonts w:ascii="Sabon" w:hAnsi="Sabon"/>
          <w:bCs/>
          <w:color w:val="000000"/>
          <w:sz w:val="22"/>
          <w:szCs w:val="22"/>
          <w:lang w:eastAsia="en-GB"/>
        </w:rPr>
      </w:pPr>
    </w:p>
    <w:p w:rsidR="00DA79C8" w:rsidRPr="009C3560" w:rsidRDefault="00DA79C8" w:rsidP="00E44726">
      <w:pPr>
        <w:spacing w:line="276" w:lineRule="auto"/>
        <w:rPr>
          <w:rFonts w:ascii="Sabon" w:hAnsi="Sabon"/>
          <w:b/>
          <w:bCs/>
          <w:color w:val="000000"/>
          <w:sz w:val="22"/>
          <w:szCs w:val="22"/>
          <w:lang w:eastAsia="en-GB"/>
        </w:rPr>
      </w:pPr>
      <w:r w:rsidRPr="009C3560">
        <w:rPr>
          <w:rFonts w:ascii="Sabon" w:hAnsi="Sabon"/>
          <w:b/>
          <w:bCs/>
          <w:color w:val="000000"/>
          <w:sz w:val="22"/>
          <w:szCs w:val="22"/>
          <w:lang w:eastAsia="en-GB"/>
        </w:rPr>
        <w:t xml:space="preserve">Decline of inward migration </w:t>
      </w:r>
    </w:p>
    <w:p w:rsidR="00DA79C8" w:rsidRPr="009C3560" w:rsidRDefault="00DA79C8" w:rsidP="00E44726">
      <w:pPr>
        <w:spacing w:line="276" w:lineRule="auto"/>
        <w:rPr>
          <w:rFonts w:ascii="Sabon" w:hAnsi="Sabon"/>
          <w:bCs/>
          <w:color w:val="000000"/>
          <w:sz w:val="22"/>
          <w:szCs w:val="22"/>
          <w:lang w:eastAsia="en-GB"/>
        </w:rPr>
      </w:pPr>
      <w:r w:rsidRPr="009C3560">
        <w:rPr>
          <w:rFonts w:ascii="Sabon" w:hAnsi="Sabon"/>
          <w:bCs/>
          <w:color w:val="000000"/>
          <w:sz w:val="22"/>
          <w:szCs w:val="22"/>
          <w:lang w:eastAsia="en-GB"/>
        </w:rPr>
        <w:t>Th</w:t>
      </w:r>
      <w:r>
        <w:rPr>
          <w:rFonts w:ascii="Sabon" w:hAnsi="Sabon"/>
          <w:bCs/>
          <w:color w:val="000000"/>
          <w:sz w:val="22"/>
          <w:szCs w:val="22"/>
          <w:lang w:eastAsia="en-GB"/>
        </w:rPr>
        <w:t xml:space="preserve">e TUC’s hypothesis is also that the decline </w:t>
      </w:r>
      <w:r w:rsidRPr="009C3560">
        <w:rPr>
          <w:rFonts w:ascii="Sabon" w:hAnsi="Sabon"/>
          <w:bCs/>
          <w:color w:val="000000"/>
          <w:sz w:val="22"/>
          <w:szCs w:val="22"/>
          <w:lang w:eastAsia="en-GB"/>
        </w:rPr>
        <w:t>may</w:t>
      </w:r>
      <w:r>
        <w:rPr>
          <w:rFonts w:ascii="Sabon" w:hAnsi="Sabon"/>
          <w:bCs/>
          <w:color w:val="000000"/>
          <w:sz w:val="22"/>
          <w:szCs w:val="22"/>
          <w:lang w:eastAsia="en-GB"/>
        </w:rPr>
        <w:t xml:space="preserve"> partly be the result of </w:t>
      </w:r>
      <w:r w:rsidRPr="009C3560">
        <w:rPr>
          <w:rFonts w:ascii="Sabon" w:hAnsi="Sabon"/>
          <w:bCs/>
          <w:color w:val="000000"/>
          <w:sz w:val="22"/>
          <w:szCs w:val="22"/>
          <w:lang w:eastAsia="en-GB"/>
        </w:rPr>
        <w:t>the recession reducing both the demand and supply of short-term migr</w:t>
      </w:r>
      <w:r>
        <w:rPr>
          <w:rFonts w:ascii="Sabon" w:hAnsi="Sabon"/>
          <w:bCs/>
          <w:color w:val="000000"/>
          <w:sz w:val="22"/>
          <w:szCs w:val="22"/>
          <w:lang w:eastAsia="en-GB"/>
        </w:rPr>
        <w:t>ant</w:t>
      </w:r>
      <w:r w:rsidRPr="009C3560">
        <w:rPr>
          <w:rFonts w:ascii="Sabon" w:hAnsi="Sabon"/>
          <w:bCs/>
          <w:color w:val="000000"/>
          <w:sz w:val="22"/>
          <w:szCs w:val="22"/>
          <w:lang w:eastAsia="en-GB"/>
        </w:rPr>
        <w:t xml:space="preserve"> labour coming into the UK.</w:t>
      </w:r>
    </w:p>
    <w:p w:rsidR="00DA79C8" w:rsidRPr="009C3560" w:rsidRDefault="00DA79C8" w:rsidP="00E44726">
      <w:pPr>
        <w:spacing w:line="276" w:lineRule="auto"/>
        <w:rPr>
          <w:rFonts w:ascii="Sabon" w:hAnsi="Sabon"/>
          <w:bCs/>
          <w:color w:val="000000"/>
          <w:sz w:val="22"/>
          <w:szCs w:val="22"/>
          <w:lang w:eastAsia="en-GB"/>
        </w:rPr>
      </w:pPr>
    </w:p>
    <w:p w:rsidR="00DA79C8" w:rsidRPr="009C3560" w:rsidRDefault="00DA79C8" w:rsidP="00E44726">
      <w:pPr>
        <w:spacing w:line="276" w:lineRule="auto"/>
        <w:rPr>
          <w:rFonts w:ascii="Sabon" w:hAnsi="Sabon"/>
          <w:bCs/>
          <w:color w:val="000000"/>
          <w:sz w:val="22"/>
          <w:szCs w:val="22"/>
          <w:lang w:eastAsia="en-GB"/>
        </w:rPr>
      </w:pPr>
      <w:r w:rsidRPr="009C3560">
        <w:rPr>
          <w:rFonts w:ascii="Sabon" w:hAnsi="Sabon"/>
          <w:bCs/>
          <w:color w:val="000000"/>
          <w:sz w:val="22"/>
          <w:szCs w:val="22"/>
          <w:lang w:eastAsia="en-GB"/>
        </w:rPr>
        <w:t>Those coming here to work for relatively short periods – a few months or a few years – have tended to be younger workers without families. Looking just at migrants arriving in the UK for the first time, in 20</w:t>
      </w:r>
      <w:r>
        <w:rPr>
          <w:rFonts w:ascii="Sabon" w:hAnsi="Sabon"/>
          <w:bCs/>
          <w:color w:val="000000"/>
          <w:sz w:val="22"/>
          <w:szCs w:val="22"/>
          <w:lang w:eastAsia="en-GB"/>
        </w:rPr>
        <w:t>07,  25,000</w:t>
      </w:r>
      <w:r w:rsidRPr="009C3560">
        <w:rPr>
          <w:rFonts w:ascii="Sabon" w:hAnsi="Sabon"/>
          <w:bCs/>
          <w:color w:val="000000"/>
          <w:sz w:val="22"/>
          <w:szCs w:val="22"/>
          <w:lang w:eastAsia="en-GB"/>
        </w:rPr>
        <w:t xml:space="preserve"> new migrants entered the UK to take up employee jobs with tied accommodation.</w:t>
      </w:r>
      <w:r w:rsidRPr="000B6A78">
        <w:rPr>
          <w:rFonts w:ascii="Sabon" w:hAnsi="Sabon"/>
          <w:bCs/>
          <w:color w:val="000000"/>
          <w:sz w:val="22"/>
          <w:szCs w:val="22"/>
          <w:lang w:eastAsia="en-GB"/>
        </w:rPr>
        <w:t xml:space="preserve"> </w:t>
      </w:r>
      <w:r>
        <w:rPr>
          <w:rFonts w:ascii="Sabon" w:hAnsi="Sabon"/>
          <w:bCs/>
          <w:color w:val="000000"/>
          <w:sz w:val="22"/>
          <w:szCs w:val="22"/>
          <w:lang w:eastAsia="en-GB"/>
        </w:rPr>
        <w:t xml:space="preserve">By 2011 the figure had fallen to </w:t>
      </w:r>
      <w:r w:rsidRPr="009C3560">
        <w:rPr>
          <w:rFonts w:ascii="Sabon" w:hAnsi="Sabon"/>
          <w:bCs/>
          <w:color w:val="000000"/>
          <w:sz w:val="22"/>
          <w:szCs w:val="22"/>
          <w:lang w:eastAsia="en-GB"/>
        </w:rPr>
        <w:t>1</w:t>
      </w:r>
      <w:r>
        <w:rPr>
          <w:rFonts w:ascii="Sabon" w:hAnsi="Sabon"/>
          <w:bCs/>
          <w:color w:val="000000"/>
          <w:sz w:val="22"/>
          <w:szCs w:val="22"/>
          <w:lang w:eastAsia="en-GB"/>
        </w:rPr>
        <w:t>0</w:t>
      </w:r>
      <w:r w:rsidRPr="009C3560">
        <w:rPr>
          <w:rFonts w:ascii="Sabon" w:hAnsi="Sabon"/>
          <w:bCs/>
          <w:color w:val="000000"/>
          <w:sz w:val="22"/>
          <w:szCs w:val="22"/>
          <w:lang w:eastAsia="en-GB"/>
        </w:rPr>
        <w:t>,000</w:t>
      </w:r>
      <w:r>
        <w:rPr>
          <w:rFonts w:ascii="Sabon" w:hAnsi="Sabon"/>
          <w:bCs/>
          <w:color w:val="000000"/>
          <w:sz w:val="22"/>
          <w:szCs w:val="22"/>
          <w:lang w:eastAsia="en-GB"/>
        </w:rPr>
        <w:t>.</w:t>
      </w:r>
    </w:p>
    <w:p w:rsidR="00DA79C8" w:rsidRDefault="00DA79C8" w:rsidP="00E44726">
      <w:pPr>
        <w:spacing w:line="276" w:lineRule="auto"/>
        <w:rPr>
          <w:rFonts w:ascii="Sabon" w:hAnsi="Sabon"/>
          <w:bCs/>
          <w:color w:val="000000"/>
          <w:sz w:val="22"/>
          <w:szCs w:val="22"/>
          <w:lang w:eastAsia="en-GB"/>
        </w:rPr>
      </w:pPr>
    </w:p>
    <w:p w:rsidR="00DA79C8" w:rsidRPr="00E10F9C" w:rsidRDefault="00DA79C8" w:rsidP="00E44726">
      <w:pPr>
        <w:spacing w:line="276" w:lineRule="auto"/>
        <w:rPr>
          <w:rFonts w:ascii="Sabon" w:hAnsi="Sabon"/>
          <w:b/>
          <w:bCs/>
          <w:color w:val="000000"/>
          <w:sz w:val="22"/>
          <w:szCs w:val="22"/>
          <w:lang w:eastAsia="en-GB"/>
        </w:rPr>
      </w:pPr>
      <w:r>
        <w:rPr>
          <w:rFonts w:ascii="Sabon" w:hAnsi="Sabon"/>
          <w:b/>
          <w:bCs/>
          <w:color w:val="000000"/>
          <w:sz w:val="22"/>
          <w:szCs w:val="22"/>
          <w:lang w:eastAsia="en-GB"/>
        </w:rPr>
        <w:t>I</w:t>
      </w:r>
      <w:r w:rsidRPr="00E10F9C">
        <w:rPr>
          <w:rFonts w:ascii="Sabon" w:hAnsi="Sabon"/>
          <w:b/>
          <w:bCs/>
          <w:color w:val="000000"/>
          <w:sz w:val="22"/>
          <w:szCs w:val="22"/>
          <w:lang w:eastAsia="en-GB"/>
        </w:rPr>
        <w:t xml:space="preserve">s tied </w:t>
      </w:r>
      <w:r>
        <w:rPr>
          <w:rFonts w:ascii="Sabon" w:hAnsi="Sabon"/>
          <w:b/>
          <w:bCs/>
          <w:color w:val="000000"/>
          <w:sz w:val="22"/>
          <w:szCs w:val="22"/>
          <w:lang w:eastAsia="en-GB"/>
        </w:rPr>
        <w:t>accomm</w:t>
      </w:r>
      <w:r w:rsidRPr="00E10F9C">
        <w:rPr>
          <w:rFonts w:ascii="Sabon" w:hAnsi="Sabon"/>
          <w:b/>
          <w:bCs/>
          <w:color w:val="000000"/>
          <w:sz w:val="22"/>
          <w:szCs w:val="22"/>
          <w:lang w:eastAsia="en-GB"/>
        </w:rPr>
        <w:t xml:space="preserve">odation </w:t>
      </w:r>
      <w:r>
        <w:rPr>
          <w:rFonts w:ascii="Sabon" w:hAnsi="Sabon"/>
          <w:b/>
          <w:bCs/>
          <w:color w:val="000000"/>
          <w:sz w:val="22"/>
          <w:szCs w:val="22"/>
          <w:lang w:eastAsia="en-GB"/>
        </w:rPr>
        <w:t xml:space="preserve">just </w:t>
      </w:r>
      <w:r w:rsidRPr="00E10F9C">
        <w:rPr>
          <w:rFonts w:ascii="Sabon" w:hAnsi="Sabon"/>
          <w:b/>
          <w:bCs/>
          <w:color w:val="000000"/>
          <w:sz w:val="22"/>
          <w:szCs w:val="22"/>
          <w:lang w:eastAsia="en-GB"/>
        </w:rPr>
        <w:t>a low paid workers issue?</w:t>
      </w:r>
    </w:p>
    <w:p w:rsidR="00DA79C8" w:rsidRPr="004B76CA" w:rsidRDefault="00DA79C8" w:rsidP="00E44726">
      <w:pPr>
        <w:spacing w:line="276" w:lineRule="auto"/>
        <w:rPr>
          <w:rFonts w:ascii="Sabon" w:hAnsi="Sabon"/>
          <w:bCs/>
          <w:color w:val="000000"/>
          <w:sz w:val="22"/>
          <w:szCs w:val="22"/>
          <w:lang w:eastAsia="en-GB"/>
        </w:rPr>
      </w:pPr>
      <w:r w:rsidRPr="004B76CA">
        <w:rPr>
          <w:rFonts w:ascii="Sabon" w:hAnsi="Sabon"/>
          <w:bCs/>
          <w:color w:val="000000"/>
          <w:sz w:val="22"/>
          <w:szCs w:val="22"/>
          <w:lang w:eastAsia="en-GB"/>
        </w:rPr>
        <w:t>For the purpose of the LPC inquiry, it is important to understand whether this has been an issue for low paid people on or near the NMW.</w:t>
      </w:r>
    </w:p>
    <w:p w:rsidR="00DA79C8" w:rsidRDefault="00DA79C8" w:rsidP="00E44726">
      <w:pPr>
        <w:spacing w:line="276" w:lineRule="auto"/>
        <w:rPr>
          <w:rFonts w:ascii="Verdana" w:hAnsi="Verdana"/>
          <w:b/>
          <w:bCs/>
          <w:color w:val="000000"/>
          <w:sz w:val="17"/>
          <w:szCs w:val="17"/>
          <w:lang w:eastAsia="en-GB"/>
        </w:rPr>
      </w:pPr>
    </w:p>
    <w:p w:rsidR="00DA79C8"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The t</w:t>
      </w:r>
      <w:r w:rsidRPr="00A27FA3">
        <w:rPr>
          <w:rFonts w:ascii="Sabon" w:hAnsi="Sabon"/>
          <w:bCs/>
          <w:color w:val="000000"/>
          <w:sz w:val="22"/>
          <w:szCs w:val="22"/>
          <w:lang w:eastAsia="en-GB"/>
        </w:rPr>
        <w:t xml:space="preserve">able </w:t>
      </w:r>
      <w:r>
        <w:rPr>
          <w:rFonts w:ascii="Sabon" w:hAnsi="Sabon"/>
          <w:bCs/>
          <w:color w:val="000000"/>
          <w:sz w:val="22"/>
          <w:szCs w:val="22"/>
          <w:lang w:eastAsia="en-GB"/>
        </w:rPr>
        <w:t>below</w:t>
      </w:r>
      <w:r w:rsidRPr="00A27FA3">
        <w:rPr>
          <w:rFonts w:ascii="Sabon" w:hAnsi="Sabon"/>
          <w:bCs/>
          <w:color w:val="000000"/>
          <w:sz w:val="22"/>
          <w:szCs w:val="22"/>
          <w:lang w:eastAsia="en-GB"/>
        </w:rPr>
        <w:t xml:space="preserve"> shows that most people in tied accommodation are on rates far above the NMW. </w:t>
      </w:r>
      <w:r>
        <w:rPr>
          <w:rFonts w:ascii="Sabon" w:hAnsi="Sabon"/>
          <w:bCs/>
          <w:color w:val="000000"/>
          <w:sz w:val="22"/>
          <w:szCs w:val="22"/>
          <w:lang w:eastAsia="en-GB"/>
        </w:rPr>
        <w:t xml:space="preserve"> As is the case with many other employment related benefits, accommodation is more likely to be given to those with relatively high-status jobs.  </w:t>
      </w:r>
    </w:p>
    <w:p w:rsidR="00DA79C8" w:rsidRDefault="00DA79C8" w:rsidP="00E44726">
      <w:pPr>
        <w:spacing w:line="276" w:lineRule="auto"/>
        <w:rPr>
          <w:rFonts w:ascii="Sabon" w:hAnsi="Sabon"/>
          <w:bCs/>
          <w:color w:val="000000"/>
          <w:sz w:val="22"/>
          <w:szCs w:val="22"/>
          <w:lang w:eastAsia="en-GB"/>
        </w:rPr>
      </w:pPr>
    </w:p>
    <w:p w:rsidR="00DA79C8" w:rsidRPr="00A27FA3" w:rsidRDefault="00DA79C8" w:rsidP="00E44726">
      <w:pPr>
        <w:spacing w:line="276" w:lineRule="auto"/>
        <w:rPr>
          <w:rFonts w:ascii="Sabon" w:hAnsi="Sabon"/>
          <w:bCs/>
          <w:color w:val="000000"/>
          <w:sz w:val="22"/>
          <w:szCs w:val="22"/>
          <w:lang w:eastAsia="en-GB"/>
        </w:rPr>
      </w:pPr>
      <w:r>
        <w:rPr>
          <w:rFonts w:ascii="Sabon" w:hAnsi="Sabon"/>
          <w:bCs/>
          <w:color w:val="000000"/>
          <w:sz w:val="22"/>
          <w:szCs w:val="22"/>
          <w:lang w:eastAsia="en-GB"/>
        </w:rPr>
        <w:t xml:space="preserve">Tellingly, the bite of the NMW against median earnings for employees in tied accommodation has not changed. In </w:t>
      </w:r>
      <w:r w:rsidRPr="00A27FA3">
        <w:rPr>
          <w:rFonts w:ascii="Sabon" w:hAnsi="Sabon"/>
          <w:bCs/>
          <w:color w:val="000000"/>
          <w:sz w:val="22"/>
          <w:szCs w:val="22"/>
          <w:lang w:eastAsia="en-GB"/>
        </w:rPr>
        <w:t>1998, the</w:t>
      </w:r>
      <w:r>
        <w:rPr>
          <w:rFonts w:ascii="Sabon" w:hAnsi="Sabon"/>
          <w:bCs/>
          <w:color w:val="000000"/>
          <w:sz w:val="22"/>
          <w:szCs w:val="22"/>
          <w:lang w:eastAsia="en-GB"/>
        </w:rPr>
        <w:t xml:space="preserve"> NMW</w:t>
      </w:r>
      <w:r w:rsidRPr="00A27FA3">
        <w:rPr>
          <w:rFonts w:ascii="Sabon" w:hAnsi="Sabon"/>
          <w:bCs/>
          <w:color w:val="000000"/>
          <w:sz w:val="22"/>
          <w:szCs w:val="22"/>
          <w:lang w:eastAsia="en-GB"/>
        </w:rPr>
        <w:t xml:space="preserve"> was 64.2% of the median pay rate for employees in tied accommodation. In 2012 the position </w:t>
      </w:r>
      <w:r>
        <w:rPr>
          <w:rFonts w:ascii="Sabon" w:hAnsi="Sabon"/>
          <w:bCs/>
          <w:color w:val="000000"/>
          <w:sz w:val="22"/>
          <w:szCs w:val="22"/>
          <w:lang w:eastAsia="en-GB"/>
        </w:rPr>
        <w:t>was</w:t>
      </w:r>
      <w:r w:rsidRPr="00A27FA3">
        <w:rPr>
          <w:rFonts w:ascii="Sabon" w:hAnsi="Sabon"/>
          <w:bCs/>
          <w:color w:val="000000"/>
          <w:sz w:val="22"/>
          <w:szCs w:val="22"/>
          <w:lang w:eastAsia="en-GB"/>
        </w:rPr>
        <w:t xml:space="preserve"> virtually unchanged, with the NMW constituting 64.7% of the tied employee median.</w:t>
      </w:r>
    </w:p>
    <w:p w:rsidR="00DA79C8" w:rsidRDefault="00DA79C8">
      <w:pPr>
        <w:pStyle w:val="T5TextBody"/>
        <w:rPr>
          <w:b/>
        </w:rPr>
      </w:pPr>
    </w:p>
    <w:p w:rsidR="00DA79C8" w:rsidRPr="00A27FA3" w:rsidRDefault="00DA79C8">
      <w:pPr>
        <w:pStyle w:val="T5TextBody"/>
        <w:rPr>
          <w:b/>
        </w:rPr>
      </w:pPr>
      <w:r>
        <w:rPr>
          <w:b/>
        </w:rPr>
        <w:t>A</w:t>
      </w:r>
      <w:r w:rsidRPr="00A27FA3">
        <w:rPr>
          <w:b/>
        </w:rPr>
        <w:t xml:space="preserve">verage </w:t>
      </w:r>
      <w:r>
        <w:rPr>
          <w:b/>
        </w:rPr>
        <w:t xml:space="preserve">hourly </w:t>
      </w:r>
      <w:r w:rsidRPr="00A27FA3">
        <w:rPr>
          <w:b/>
        </w:rPr>
        <w:t>pay of employees in tied accommodation</w:t>
      </w:r>
      <w:r>
        <w:rPr>
          <w:b/>
        </w:rPr>
        <w:t xml:space="preserve"> and adult NMW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2009"/>
        <w:gridCol w:w="2010"/>
        <w:gridCol w:w="2010"/>
      </w:tblGrid>
      <w:tr w:rsidR="00DA79C8" w:rsidTr="0032683F">
        <w:tc>
          <w:tcPr>
            <w:tcW w:w="2009" w:type="dxa"/>
          </w:tcPr>
          <w:p w:rsidR="00DA79C8" w:rsidRPr="0032683F" w:rsidRDefault="00DA79C8" w:rsidP="0032683F">
            <w:pPr>
              <w:pStyle w:val="T5TextBody"/>
              <w:spacing w:line="240" w:lineRule="auto"/>
              <w:rPr>
                <w:sz w:val="20"/>
              </w:rPr>
            </w:pPr>
          </w:p>
        </w:tc>
        <w:tc>
          <w:tcPr>
            <w:tcW w:w="2009" w:type="dxa"/>
          </w:tcPr>
          <w:p w:rsidR="00DA79C8" w:rsidRPr="0032683F" w:rsidRDefault="00DA79C8" w:rsidP="0032683F">
            <w:pPr>
              <w:pStyle w:val="T5TextBody"/>
              <w:spacing w:line="240" w:lineRule="auto"/>
              <w:rPr>
                <w:sz w:val="20"/>
              </w:rPr>
            </w:pPr>
            <w:r w:rsidRPr="0032683F">
              <w:rPr>
                <w:sz w:val="20"/>
              </w:rPr>
              <w:t>1998</w:t>
            </w:r>
          </w:p>
        </w:tc>
        <w:tc>
          <w:tcPr>
            <w:tcW w:w="2010" w:type="dxa"/>
          </w:tcPr>
          <w:p w:rsidR="00DA79C8" w:rsidRPr="0032683F" w:rsidRDefault="00DA79C8" w:rsidP="0032683F">
            <w:pPr>
              <w:pStyle w:val="T5TextBody"/>
              <w:spacing w:line="240" w:lineRule="auto"/>
              <w:rPr>
                <w:sz w:val="20"/>
              </w:rPr>
            </w:pPr>
            <w:r w:rsidRPr="0032683F">
              <w:rPr>
                <w:sz w:val="20"/>
              </w:rPr>
              <w:t>2008</w:t>
            </w:r>
          </w:p>
        </w:tc>
        <w:tc>
          <w:tcPr>
            <w:tcW w:w="2010" w:type="dxa"/>
          </w:tcPr>
          <w:p w:rsidR="00DA79C8" w:rsidRPr="0032683F" w:rsidRDefault="00DA79C8" w:rsidP="0032683F">
            <w:pPr>
              <w:pStyle w:val="T5TextBody"/>
              <w:spacing w:line="240" w:lineRule="auto"/>
              <w:rPr>
                <w:sz w:val="20"/>
              </w:rPr>
            </w:pPr>
            <w:r w:rsidRPr="0032683F">
              <w:rPr>
                <w:sz w:val="20"/>
              </w:rPr>
              <w:t>2012</w:t>
            </w:r>
          </w:p>
        </w:tc>
      </w:tr>
      <w:tr w:rsidR="00DA79C8" w:rsidTr="0032683F">
        <w:tc>
          <w:tcPr>
            <w:tcW w:w="2009" w:type="dxa"/>
          </w:tcPr>
          <w:p w:rsidR="00DA79C8" w:rsidRPr="0032683F" w:rsidRDefault="00DA79C8" w:rsidP="0032683F">
            <w:pPr>
              <w:pStyle w:val="T5TextBody"/>
              <w:spacing w:line="240" w:lineRule="auto"/>
              <w:rPr>
                <w:sz w:val="20"/>
              </w:rPr>
            </w:pPr>
            <w:r w:rsidRPr="0032683F">
              <w:rPr>
                <w:sz w:val="20"/>
              </w:rPr>
              <w:t xml:space="preserve">Median </w:t>
            </w:r>
          </w:p>
        </w:tc>
        <w:tc>
          <w:tcPr>
            <w:tcW w:w="2009" w:type="dxa"/>
          </w:tcPr>
          <w:p w:rsidR="00DA79C8" w:rsidRPr="0032683F" w:rsidRDefault="00DA79C8" w:rsidP="0032683F">
            <w:pPr>
              <w:pStyle w:val="T5TextBody"/>
              <w:spacing w:line="240" w:lineRule="auto"/>
              <w:rPr>
                <w:sz w:val="20"/>
              </w:rPr>
            </w:pPr>
            <w:r w:rsidRPr="0032683F">
              <w:rPr>
                <w:sz w:val="20"/>
              </w:rPr>
              <w:t>£5.60</w:t>
            </w:r>
          </w:p>
        </w:tc>
        <w:tc>
          <w:tcPr>
            <w:tcW w:w="2010" w:type="dxa"/>
          </w:tcPr>
          <w:p w:rsidR="00DA79C8" w:rsidRPr="0032683F" w:rsidRDefault="00DA79C8" w:rsidP="0032683F">
            <w:pPr>
              <w:pStyle w:val="T5TextBody"/>
              <w:spacing w:line="240" w:lineRule="auto"/>
              <w:rPr>
                <w:sz w:val="20"/>
              </w:rPr>
            </w:pPr>
            <w:r w:rsidRPr="0032683F">
              <w:rPr>
                <w:sz w:val="20"/>
              </w:rPr>
              <w:t>£8.60</w:t>
            </w:r>
          </w:p>
        </w:tc>
        <w:tc>
          <w:tcPr>
            <w:tcW w:w="2010" w:type="dxa"/>
          </w:tcPr>
          <w:p w:rsidR="00DA79C8" w:rsidRPr="0032683F" w:rsidRDefault="00DA79C8" w:rsidP="0032683F">
            <w:pPr>
              <w:pStyle w:val="T5TextBody"/>
              <w:spacing w:line="240" w:lineRule="auto"/>
              <w:rPr>
                <w:sz w:val="20"/>
              </w:rPr>
            </w:pPr>
            <w:r w:rsidRPr="0032683F">
              <w:rPr>
                <w:sz w:val="20"/>
              </w:rPr>
              <w:t>£9.40</w:t>
            </w:r>
          </w:p>
        </w:tc>
      </w:tr>
      <w:tr w:rsidR="00DA79C8" w:rsidTr="0032683F">
        <w:tc>
          <w:tcPr>
            <w:tcW w:w="2009" w:type="dxa"/>
          </w:tcPr>
          <w:p w:rsidR="00DA79C8" w:rsidRPr="0032683F" w:rsidRDefault="00DA79C8" w:rsidP="0032683F">
            <w:pPr>
              <w:pStyle w:val="T5TextBody"/>
              <w:spacing w:line="240" w:lineRule="auto"/>
              <w:rPr>
                <w:sz w:val="20"/>
              </w:rPr>
            </w:pPr>
            <w:r w:rsidRPr="0032683F">
              <w:rPr>
                <w:sz w:val="20"/>
              </w:rPr>
              <w:t>Mean</w:t>
            </w:r>
          </w:p>
        </w:tc>
        <w:tc>
          <w:tcPr>
            <w:tcW w:w="2009" w:type="dxa"/>
          </w:tcPr>
          <w:p w:rsidR="00DA79C8" w:rsidRPr="0032683F" w:rsidRDefault="00DA79C8" w:rsidP="0032683F">
            <w:pPr>
              <w:pStyle w:val="T5TextBody"/>
              <w:spacing w:line="240" w:lineRule="auto"/>
              <w:rPr>
                <w:sz w:val="20"/>
              </w:rPr>
            </w:pPr>
            <w:r w:rsidRPr="0032683F">
              <w:rPr>
                <w:sz w:val="20"/>
              </w:rPr>
              <w:t>£6.80</w:t>
            </w:r>
          </w:p>
        </w:tc>
        <w:tc>
          <w:tcPr>
            <w:tcW w:w="2010" w:type="dxa"/>
          </w:tcPr>
          <w:p w:rsidR="00DA79C8" w:rsidRPr="0032683F" w:rsidRDefault="00DA79C8" w:rsidP="0032683F">
            <w:pPr>
              <w:pStyle w:val="T5TextBody"/>
              <w:spacing w:line="240" w:lineRule="auto"/>
              <w:rPr>
                <w:sz w:val="20"/>
              </w:rPr>
            </w:pPr>
            <w:r w:rsidRPr="0032683F">
              <w:rPr>
                <w:sz w:val="20"/>
              </w:rPr>
              <w:t>£10.20</w:t>
            </w:r>
          </w:p>
        </w:tc>
        <w:tc>
          <w:tcPr>
            <w:tcW w:w="2010" w:type="dxa"/>
          </w:tcPr>
          <w:p w:rsidR="00DA79C8" w:rsidRPr="0032683F" w:rsidRDefault="00DA79C8" w:rsidP="0032683F">
            <w:pPr>
              <w:pStyle w:val="T5TextBody"/>
              <w:spacing w:line="240" w:lineRule="auto"/>
              <w:rPr>
                <w:sz w:val="20"/>
              </w:rPr>
            </w:pPr>
            <w:r w:rsidRPr="0032683F">
              <w:rPr>
                <w:sz w:val="20"/>
              </w:rPr>
              <w:t>£13.20</w:t>
            </w:r>
          </w:p>
        </w:tc>
      </w:tr>
      <w:tr w:rsidR="00DA79C8" w:rsidTr="0032683F">
        <w:tc>
          <w:tcPr>
            <w:tcW w:w="2009" w:type="dxa"/>
          </w:tcPr>
          <w:p w:rsidR="00DA79C8" w:rsidRPr="0032683F" w:rsidRDefault="00DA79C8" w:rsidP="0032683F">
            <w:pPr>
              <w:pStyle w:val="T5TextBody"/>
              <w:spacing w:line="240" w:lineRule="auto"/>
              <w:rPr>
                <w:sz w:val="20"/>
              </w:rPr>
            </w:pPr>
          </w:p>
        </w:tc>
        <w:tc>
          <w:tcPr>
            <w:tcW w:w="2009" w:type="dxa"/>
          </w:tcPr>
          <w:p w:rsidR="00DA79C8" w:rsidRPr="0032683F" w:rsidRDefault="00DA79C8" w:rsidP="0032683F">
            <w:pPr>
              <w:pStyle w:val="T5TextBody"/>
              <w:spacing w:line="240" w:lineRule="auto"/>
              <w:rPr>
                <w:sz w:val="20"/>
              </w:rPr>
            </w:pPr>
          </w:p>
        </w:tc>
        <w:tc>
          <w:tcPr>
            <w:tcW w:w="2010" w:type="dxa"/>
          </w:tcPr>
          <w:p w:rsidR="00DA79C8" w:rsidRPr="0032683F" w:rsidRDefault="00DA79C8" w:rsidP="0032683F">
            <w:pPr>
              <w:pStyle w:val="T5TextBody"/>
              <w:spacing w:line="240" w:lineRule="auto"/>
              <w:rPr>
                <w:sz w:val="20"/>
              </w:rPr>
            </w:pPr>
          </w:p>
        </w:tc>
        <w:tc>
          <w:tcPr>
            <w:tcW w:w="2010" w:type="dxa"/>
          </w:tcPr>
          <w:p w:rsidR="00DA79C8" w:rsidRPr="0032683F" w:rsidRDefault="00DA79C8" w:rsidP="0032683F">
            <w:pPr>
              <w:pStyle w:val="T5TextBody"/>
              <w:spacing w:line="240" w:lineRule="auto"/>
              <w:rPr>
                <w:sz w:val="20"/>
              </w:rPr>
            </w:pPr>
          </w:p>
        </w:tc>
      </w:tr>
      <w:tr w:rsidR="00DA79C8" w:rsidTr="0032683F">
        <w:tc>
          <w:tcPr>
            <w:tcW w:w="2009" w:type="dxa"/>
          </w:tcPr>
          <w:p w:rsidR="00DA79C8" w:rsidRPr="0032683F" w:rsidRDefault="00DA79C8" w:rsidP="0032683F">
            <w:pPr>
              <w:pStyle w:val="T5TextBody"/>
              <w:spacing w:line="240" w:lineRule="auto"/>
              <w:rPr>
                <w:sz w:val="20"/>
              </w:rPr>
            </w:pPr>
            <w:r w:rsidRPr="0032683F">
              <w:rPr>
                <w:sz w:val="20"/>
              </w:rPr>
              <w:t>Adult NMW</w:t>
            </w:r>
          </w:p>
        </w:tc>
        <w:tc>
          <w:tcPr>
            <w:tcW w:w="2009" w:type="dxa"/>
          </w:tcPr>
          <w:p w:rsidR="00DA79C8" w:rsidRPr="0032683F" w:rsidRDefault="00DA79C8" w:rsidP="0032683F">
            <w:pPr>
              <w:pStyle w:val="T5TextBody"/>
              <w:spacing w:line="240" w:lineRule="auto"/>
              <w:rPr>
                <w:sz w:val="20"/>
              </w:rPr>
            </w:pPr>
            <w:r w:rsidRPr="0032683F">
              <w:rPr>
                <w:sz w:val="20"/>
              </w:rPr>
              <w:t>£3.60</w:t>
            </w:r>
          </w:p>
        </w:tc>
        <w:tc>
          <w:tcPr>
            <w:tcW w:w="2010" w:type="dxa"/>
          </w:tcPr>
          <w:p w:rsidR="00DA79C8" w:rsidRPr="0032683F" w:rsidRDefault="00DA79C8" w:rsidP="0032683F">
            <w:pPr>
              <w:pStyle w:val="T5TextBody"/>
              <w:spacing w:line="240" w:lineRule="auto"/>
              <w:rPr>
                <w:sz w:val="20"/>
              </w:rPr>
            </w:pPr>
            <w:r w:rsidRPr="0032683F">
              <w:rPr>
                <w:sz w:val="20"/>
              </w:rPr>
              <w:t>£5.52</w:t>
            </w:r>
          </w:p>
        </w:tc>
        <w:tc>
          <w:tcPr>
            <w:tcW w:w="2010" w:type="dxa"/>
          </w:tcPr>
          <w:p w:rsidR="00DA79C8" w:rsidRPr="0032683F" w:rsidRDefault="00DA79C8" w:rsidP="0032683F">
            <w:pPr>
              <w:pStyle w:val="T5TextBody"/>
              <w:spacing w:line="240" w:lineRule="auto"/>
              <w:rPr>
                <w:sz w:val="20"/>
              </w:rPr>
            </w:pPr>
            <w:r w:rsidRPr="0032683F">
              <w:rPr>
                <w:sz w:val="20"/>
              </w:rPr>
              <w:t>£6.08</w:t>
            </w:r>
          </w:p>
        </w:tc>
      </w:tr>
    </w:tbl>
    <w:p w:rsidR="00DA79C8" w:rsidRPr="00A27FA3" w:rsidRDefault="00DA79C8" w:rsidP="00B556E4">
      <w:pPr>
        <w:rPr>
          <w:rFonts w:ascii="Sabon" w:hAnsi="Sabon"/>
          <w:bCs/>
          <w:color w:val="000000"/>
          <w:sz w:val="18"/>
          <w:szCs w:val="18"/>
          <w:lang w:eastAsia="en-GB"/>
        </w:rPr>
      </w:pPr>
      <w:r w:rsidRPr="00A27FA3">
        <w:rPr>
          <w:rFonts w:ascii="Sabon" w:hAnsi="Sabon"/>
          <w:bCs/>
          <w:color w:val="000000"/>
          <w:sz w:val="18"/>
          <w:szCs w:val="18"/>
          <w:lang w:eastAsia="en-GB"/>
        </w:rPr>
        <w:t>Source: LFS spring qua</w:t>
      </w:r>
      <w:r>
        <w:rPr>
          <w:rFonts w:ascii="Sabon" w:hAnsi="Sabon"/>
          <w:bCs/>
          <w:color w:val="000000"/>
          <w:sz w:val="18"/>
          <w:szCs w:val="18"/>
          <w:lang w:eastAsia="en-GB"/>
        </w:rPr>
        <w:t>r</w:t>
      </w:r>
      <w:r w:rsidRPr="00A27FA3">
        <w:rPr>
          <w:rFonts w:ascii="Sabon" w:hAnsi="Sabon"/>
          <w:bCs/>
          <w:color w:val="000000"/>
          <w:sz w:val="18"/>
          <w:szCs w:val="18"/>
          <w:lang w:eastAsia="en-GB"/>
        </w:rPr>
        <w:t>t</w:t>
      </w:r>
      <w:r>
        <w:rPr>
          <w:rFonts w:ascii="Sabon" w:hAnsi="Sabon"/>
          <w:bCs/>
          <w:color w:val="000000"/>
          <w:sz w:val="18"/>
          <w:szCs w:val="18"/>
          <w:lang w:eastAsia="en-GB"/>
        </w:rPr>
        <w:t>ers</w:t>
      </w:r>
    </w:p>
    <w:p w:rsidR="00DA79C8" w:rsidRDefault="00DA79C8">
      <w:pPr>
        <w:pStyle w:val="T5TextBody"/>
      </w:pPr>
    </w:p>
    <w:p w:rsidR="00DA79C8" w:rsidRDefault="00DA79C8" w:rsidP="00E44726">
      <w:pPr>
        <w:pStyle w:val="T5TextBody"/>
        <w:spacing w:line="276" w:lineRule="auto"/>
      </w:pPr>
      <w:r>
        <w:t xml:space="preserve">Furthermore, whilst the number of tied accommodation employees has declined faster than the whole-economy average in the elementary and personal services occupations during the past four years, the same has also been true for managerial and professional occupations. </w:t>
      </w:r>
    </w:p>
    <w:p w:rsidR="00DA79C8" w:rsidRDefault="00DA79C8" w:rsidP="00E44726">
      <w:pPr>
        <w:pStyle w:val="T5TextBody"/>
        <w:spacing w:line="276" w:lineRule="auto"/>
      </w:pPr>
      <w:r>
        <w:t>This suggests that the decline in tied accommodation has applied across the income range, rather than particularly affecting low paid workers. It seems that the recession and the collapse of the housing market are the main factors.</w:t>
      </w:r>
    </w:p>
    <w:p w:rsidR="00DA79C8" w:rsidRPr="00E10F9C" w:rsidRDefault="00DA79C8" w:rsidP="00E44726">
      <w:pPr>
        <w:pStyle w:val="T5TextBody"/>
        <w:spacing w:line="276" w:lineRule="auto"/>
        <w:rPr>
          <w:b/>
        </w:rPr>
      </w:pPr>
      <w:r w:rsidRPr="00E10F9C">
        <w:rPr>
          <w:b/>
        </w:rPr>
        <w:t>Self employed workers in tied accommodation</w:t>
      </w:r>
    </w:p>
    <w:p w:rsidR="00DA79C8" w:rsidRDefault="00DA79C8" w:rsidP="00E44726">
      <w:pPr>
        <w:pStyle w:val="T5TextBody"/>
        <w:spacing w:line="276" w:lineRule="auto"/>
      </w:pPr>
      <w:r>
        <w:t>This hypothesis was further supported when we examined the position of self-employed workers, the majority of whom are not covered by the NMW.</w:t>
      </w:r>
    </w:p>
    <w:p w:rsidR="00DA79C8" w:rsidRDefault="00DA79C8" w:rsidP="00E44726">
      <w:pPr>
        <w:pStyle w:val="T5TextBody"/>
        <w:spacing w:line="276" w:lineRule="auto"/>
      </w:pPr>
      <w:r>
        <w:t xml:space="preserve">In 1998, 80,000 self-employed people had tied accommodation, but that figure had fallen to 49,000 by 2012. </w:t>
      </w:r>
    </w:p>
    <w:p w:rsidR="00DA79C8" w:rsidRDefault="00DA79C8" w:rsidP="00E44726">
      <w:pPr>
        <w:pStyle w:val="T5TextBody"/>
        <w:spacing w:line="276" w:lineRule="auto"/>
      </w:pPr>
      <w:r>
        <w:t>In fact, the decline in accommodation offered to the self-employed since 1998 (29.3 per cent) was slightly more than the fall for employees (28.6 per cent).</w:t>
      </w:r>
    </w:p>
    <w:p w:rsidR="00DA79C8" w:rsidRDefault="00DA79C8" w:rsidP="005631CF">
      <w:pPr>
        <w:pStyle w:val="T5TextBody"/>
        <w:spacing w:line="276" w:lineRule="auto"/>
        <w:rPr>
          <w:b/>
          <w:lang w:val="en-US"/>
        </w:rPr>
      </w:pPr>
    </w:p>
    <w:p w:rsidR="00DA79C8" w:rsidRDefault="00DA79C8" w:rsidP="005631CF">
      <w:pPr>
        <w:pStyle w:val="T5TextBody"/>
        <w:spacing w:line="276" w:lineRule="auto"/>
        <w:rPr>
          <w:b/>
          <w:lang w:val="en-US"/>
        </w:rPr>
      </w:pPr>
    </w:p>
    <w:p w:rsidR="00DA79C8" w:rsidRDefault="00DA79C8" w:rsidP="005631CF">
      <w:pPr>
        <w:pStyle w:val="T5TextBody"/>
        <w:spacing w:line="276" w:lineRule="auto"/>
        <w:rPr>
          <w:b/>
          <w:lang w:val="en-US"/>
        </w:rPr>
      </w:pPr>
    </w:p>
    <w:p w:rsidR="00DA79C8" w:rsidRDefault="00DA79C8" w:rsidP="005631CF">
      <w:pPr>
        <w:pStyle w:val="T5TextBody"/>
        <w:spacing w:line="276" w:lineRule="auto"/>
        <w:rPr>
          <w:b/>
          <w:lang w:val="en-US"/>
        </w:rPr>
      </w:pPr>
      <w:r>
        <w:rPr>
          <w:b/>
          <w:lang w:val="en-US"/>
        </w:rPr>
        <w:t>Cases where the worker has no choice about taking employer accommodation</w:t>
      </w:r>
    </w:p>
    <w:p w:rsidR="00DA79C8" w:rsidRDefault="00DA79C8" w:rsidP="00B556E4">
      <w:pPr>
        <w:pStyle w:val="T5TextBody"/>
        <w:spacing w:line="276" w:lineRule="auto"/>
        <w:rPr>
          <w:lang w:val="en-US"/>
        </w:rPr>
      </w:pPr>
      <w:r w:rsidRPr="00B556E4">
        <w:rPr>
          <w:lang w:val="en-US"/>
        </w:rPr>
        <w:t>The TUC argues that the accommodation offset should only be available in cases where the employee has a choice about accepting the arrangements. Where living in the accommodation is an essential condition of employment then the employer should pay at least the full minimum wage rate.</w:t>
      </w:r>
    </w:p>
    <w:p w:rsidR="00DA79C8" w:rsidRPr="00B556E4" w:rsidRDefault="00DA79C8" w:rsidP="00B556E4">
      <w:pPr>
        <w:pStyle w:val="T5TextBody"/>
        <w:spacing w:line="276" w:lineRule="auto"/>
        <w:rPr>
          <w:lang w:val="en-US"/>
        </w:rPr>
      </w:pPr>
      <w:r>
        <w:rPr>
          <w:lang w:val="en-US"/>
        </w:rPr>
        <w:t>This test has numerous applications including, for example, the local authority wardens mentioned above. One extreme example is the case of seafarers, where the shipping union RMT has found that many employers deduct the accommodation offset for the use of the cabin while on ship. Some companies have already backed down when challenged on this practice, but it should be made absolutely clear to all that this is not a proper use of the offset.</w:t>
      </w:r>
    </w:p>
    <w:p w:rsidR="00DA79C8" w:rsidRDefault="00DA79C8" w:rsidP="005631CF">
      <w:pPr>
        <w:pStyle w:val="T5TextBody"/>
        <w:spacing w:line="276" w:lineRule="auto"/>
        <w:rPr>
          <w:b/>
          <w:lang w:val="en-US"/>
        </w:rPr>
      </w:pPr>
    </w:p>
    <w:p w:rsidR="00DA79C8" w:rsidRPr="009C2387" w:rsidRDefault="00DA79C8" w:rsidP="005631CF">
      <w:pPr>
        <w:pStyle w:val="T5TextBody"/>
        <w:spacing w:line="276" w:lineRule="auto"/>
        <w:rPr>
          <w:b/>
          <w:lang w:val="en-US"/>
        </w:rPr>
      </w:pPr>
      <w:r>
        <w:rPr>
          <w:b/>
          <w:lang w:val="en-US"/>
        </w:rPr>
        <w:t>E</w:t>
      </w:r>
      <w:r w:rsidRPr="009C2387">
        <w:rPr>
          <w:b/>
          <w:lang w:val="en-US"/>
        </w:rPr>
        <w:t xml:space="preserve">mployers </w:t>
      </w:r>
      <w:r>
        <w:rPr>
          <w:b/>
          <w:lang w:val="en-US"/>
        </w:rPr>
        <w:t>should not be allowed to abuse the accommodation offset</w:t>
      </w:r>
      <w:r w:rsidRPr="009C2387">
        <w:rPr>
          <w:b/>
          <w:lang w:val="en-US"/>
        </w:rPr>
        <w:t xml:space="preserve"> </w:t>
      </w:r>
    </w:p>
    <w:p w:rsidR="00DA79C8" w:rsidRDefault="00DA79C8" w:rsidP="005631CF">
      <w:pPr>
        <w:pStyle w:val="T5TextBody"/>
        <w:spacing w:line="276" w:lineRule="auto"/>
        <w:rPr>
          <w:lang w:val="en-US"/>
        </w:rPr>
      </w:pPr>
      <w:r>
        <w:rPr>
          <w:lang w:val="en-US"/>
        </w:rPr>
        <w:t xml:space="preserve">We have seen how tied accommodation may bring mutual benefits, but in some cases employers seek to make further gains by cheating their workers. </w:t>
      </w:r>
    </w:p>
    <w:p w:rsidR="00DA79C8" w:rsidRDefault="00DA79C8" w:rsidP="00127DF9">
      <w:pPr>
        <w:pStyle w:val="T5TextBody"/>
        <w:spacing w:line="276" w:lineRule="auto"/>
        <w:rPr>
          <w:lang w:val="en-US"/>
        </w:rPr>
      </w:pPr>
      <w:r>
        <w:rPr>
          <w:lang w:val="en-US"/>
        </w:rPr>
        <w:t>The most common way has been to split the operation into two separate businesses, one of which provides work and the other accommodation. The last government took the view that this practice was prohibited in cases where it was simply an attempt to avoid the NMW legislation and issued guidance accordingly.</w:t>
      </w:r>
      <w:r w:rsidRPr="00127DF9">
        <w:rPr>
          <w:lang w:val="en-US"/>
        </w:rPr>
        <w:t xml:space="preserve"> </w:t>
      </w:r>
      <w:r>
        <w:rPr>
          <w:lang w:val="en-US"/>
        </w:rPr>
        <w:t>Unfortunately, what was agreed is no longer easy to find, as the guidance note is not linked from Directgov or Businesslink – it is however, still on the web</w:t>
      </w:r>
      <w:r>
        <w:rPr>
          <w:rStyle w:val="FootnoteReference"/>
          <w:lang w:val="en-US"/>
        </w:rPr>
        <w:footnoteReference w:id="2"/>
      </w:r>
      <w:r>
        <w:rPr>
          <w:lang w:val="en-US"/>
        </w:rPr>
        <w:t>, but it needs to be made more accessible.</w:t>
      </w:r>
    </w:p>
    <w:p w:rsidR="00DA79C8" w:rsidRDefault="00DA79C8" w:rsidP="005631CF">
      <w:pPr>
        <w:pStyle w:val="T5TextBody"/>
        <w:spacing w:line="276" w:lineRule="auto"/>
        <w:rPr>
          <w:lang w:val="en-US"/>
        </w:rPr>
      </w:pPr>
      <w:r>
        <w:rPr>
          <w:lang w:val="en-US"/>
        </w:rPr>
        <w:t>Another abusive practice that has declined since the collapse of the property market is the practice of offering migrant agency workers poor quality accommodation and little work, so that the employer makes as much of a living out of being a landlord as running an employment agency.</w:t>
      </w:r>
    </w:p>
    <w:p w:rsidR="00DA79C8" w:rsidRDefault="00DA79C8" w:rsidP="005631CF">
      <w:pPr>
        <w:pStyle w:val="T5TextBody"/>
        <w:spacing w:line="276" w:lineRule="auto"/>
        <w:rPr>
          <w:lang w:val="en-US"/>
        </w:rPr>
      </w:pPr>
      <w:r>
        <w:rPr>
          <w:lang w:val="en-US"/>
        </w:rPr>
        <w:t xml:space="preserve">Even now, the 68,000 part-time employees with tied accommodation have below average weekly working hours (17.5 hours per week mean with tied accommodation, somewhat less than the 19.0 hour mean for part-time employers without accommodation).  </w:t>
      </w:r>
    </w:p>
    <w:p w:rsidR="00DA79C8" w:rsidRDefault="00DA79C8" w:rsidP="005631CF">
      <w:pPr>
        <w:pStyle w:val="T5TextBody"/>
        <w:spacing w:line="276" w:lineRule="auto"/>
        <w:rPr>
          <w:lang w:val="en-US"/>
        </w:rPr>
      </w:pPr>
      <w:r>
        <w:rPr>
          <w:lang w:val="en-US"/>
        </w:rPr>
        <w:t>The accommodation offset has also been claimed by employers in circumstances where accommodation is illegally overcrowded or unfit for human habitation.</w:t>
      </w:r>
    </w:p>
    <w:p w:rsidR="00DA79C8" w:rsidRDefault="00DA79C8" w:rsidP="005631CF">
      <w:pPr>
        <w:pStyle w:val="T5TextBody"/>
        <w:spacing w:line="276" w:lineRule="auto"/>
        <w:rPr>
          <w:lang w:val="en-US"/>
        </w:rPr>
      </w:pPr>
      <w:r>
        <w:rPr>
          <w:lang w:val="en-US"/>
        </w:rPr>
        <w:t xml:space="preserve"> We have also gathered some evidence of some very heavy-handed illegal evictions and attempted evictions from tied accommodation.  One such case will go before an Employment Tribunal at the end of September.</w:t>
      </w:r>
    </w:p>
    <w:p w:rsidR="00DA79C8" w:rsidRDefault="00DA79C8" w:rsidP="00E44726">
      <w:pPr>
        <w:pStyle w:val="T5TextBody"/>
        <w:spacing w:line="276" w:lineRule="auto"/>
        <w:rPr>
          <w:b/>
        </w:rPr>
      </w:pPr>
    </w:p>
    <w:p w:rsidR="00DA79C8" w:rsidRPr="00E26E0C" w:rsidRDefault="00DA79C8" w:rsidP="00E44726">
      <w:pPr>
        <w:pStyle w:val="T5TextBody"/>
        <w:spacing w:line="276" w:lineRule="auto"/>
        <w:rPr>
          <w:b/>
        </w:rPr>
      </w:pPr>
      <w:r w:rsidRPr="00E26E0C">
        <w:rPr>
          <w:b/>
        </w:rPr>
        <w:t xml:space="preserve">Conclusions </w:t>
      </w:r>
    </w:p>
    <w:p w:rsidR="00DA79C8" w:rsidRDefault="00DA79C8" w:rsidP="00E44726">
      <w:pPr>
        <w:pStyle w:val="T5TextBody"/>
        <w:spacing w:line="276" w:lineRule="auto"/>
      </w:pPr>
      <w:r>
        <w:t>There has been a decline in the amount of tied accommodation offered to employees in the UK. The fall has only been felt in the private sector since the onset of the recession.</w:t>
      </w:r>
    </w:p>
    <w:p w:rsidR="00DA79C8" w:rsidRDefault="00DA79C8" w:rsidP="00E44726">
      <w:pPr>
        <w:pStyle w:val="T5TextBody"/>
        <w:spacing w:line="276" w:lineRule="auto"/>
      </w:pPr>
      <w:r>
        <w:t>In the private sector, the fall appears to have been driven by the UK’s significant economic difficulties and the collapse of the property market. A further component is the decline in the demand for migrant labour.</w:t>
      </w:r>
    </w:p>
    <w:p w:rsidR="00DA79C8" w:rsidRDefault="00DA79C8" w:rsidP="00330BB6">
      <w:pPr>
        <w:pStyle w:val="T5TextBody"/>
      </w:pPr>
      <w:r>
        <w:t xml:space="preserve">The trend goes back further in the public sector, where the ECJ judgements clarifying the Working Time Directive have prohibited very excessive hours of on-call time in tied employment. The old idea that some employees were effectively on-call all the time has been swept away, which has in turn diminished the attraction of providing accommodation to some public sector employees. This is not without its problems, but the previous situation was clearly untenable. There was no excuse for contracting people to be on site for well over 100 hours per week. </w:t>
      </w:r>
    </w:p>
    <w:p w:rsidR="00DA79C8" w:rsidRDefault="00DA79C8" w:rsidP="00330BB6">
      <w:pPr>
        <w:pStyle w:val="T5TextBody"/>
      </w:pPr>
      <w:r>
        <w:t>But the issue has not been driven by low pay or the NMW. The decline in tied accommodation has affected the self-employed (where the NMW does not apply) slightly more than employees and the highly paid employee occupations as much as those low paid jobs. The “bite” of tied-employee average earnings against those of employees in the whole economy has not changed, so there is no hint at all in the official statistics that the NMW might be a factor.</w:t>
      </w:r>
    </w:p>
    <w:p w:rsidR="00DA79C8" w:rsidRDefault="00DA79C8" w:rsidP="0040237A">
      <w:pPr>
        <w:widowControl/>
        <w:spacing w:before="100" w:beforeAutospacing="1"/>
        <w:outlineLvl w:val="2"/>
        <w:rPr>
          <w:rFonts w:ascii="Sabon" w:hAnsi="Sabon"/>
          <w:sz w:val="22"/>
          <w:szCs w:val="22"/>
          <w:lang w:eastAsia="en-GB"/>
        </w:rPr>
      </w:pPr>
      <w:r w:rsidRPr="00E94F04">
        <w:rPr>
          <w:rFonts w:ascii="Sabon" w:hAnsi="Sabon"/>
          <w:sz w:val="22"/>
          <w:szCs w:val="22"/>
          <w:lang w:eastAsia="en-GB"/>
        </w:rPr>
        <w:t xml:space="preserve">Employers offer accommodation because they gain something by doing so, in terms of employee </w:t>
      </w:r>
      <w:r>
        <w:rPr>
          <w:rFonts w:ascii="Sabon" w:hAnsi="Sabon"/>
          <w:sz w:val="22"/>
          <w:szCs w:val="22"/>
          <w:lang w:eastAsia="en-GB"/>
        </w:rPr>
        <w:t>a</w:t>
      </w:r>
      <w:r w:rsidRPr="00E94F04">
        <w:rPr>
          <w:rFonts w:ascii="Sabon" w:hAnsi="Sabon"/>
          <w:sz w:val="22"/>
          <w:szCs w:val="22"/>
          <w:lang w:eastAsia="en-GB"/>
        </w:rPr>
        <w:t>va</w:t>
      </w:r>
      <w:r>
        <w:rPr>
          <w:rFonts w:ascii="Sabon" w:hAnsi="Sabon"/>
          <w:sz w:val="22"/>
          <w:szCs w:val="22"/>
          <w:lang w:eastAsia="en-GB"/>
        </w:rPr>
        <w:t>il</w:t>
      </w:r>
      <w:r w:rsidRPr="00E94F04">
        <w:rPr>
          <w:rFonts w:ascii="Sabon" w:hAnsi="Sabon"/>
          <w:sz w:val="22"/>
          <w:szCs w:val="22"/>
          <w:lang w:eastAsia="en-GB"/>
        </w:rPr>
        <w:t>ability, attendance and retention.</w:t>
      </w:r>
      <w:r>
        <w:rPr>
          <w:rFonts w:ascii="Sabon" w:hAnsi="Sabon"/>
          <w:sz w:val="22"/>
          <w:szCs w:val="22"/>
          <w:lang w:eastAsia="en-GB"/>
        </w:rPr>
        <w:t xml:space="preserve"> </w:t>
      </w:r>
    </w:p>
    <w:p w:rsidR="00DA79C8" w:rsidRDefault="00DA79C8" w:rsidP="0040237A">
      <w:pPr>
        <w:widowControl/>
        <w:spacing w:before="100" w:beforeAutospacing="1"/>
        <w:outlineLvl w:val="2"/>
        <w:rPr>
          <w:rFonts w:ascii="Sabon" w:hAnsi="Sabon"/>
          <w:color w:val="000000"/>
          <w:sz w:val="22"/>
          <w:szCs w:val="22"/>
          <w:lang w:eastAsia="en-GB"/>
        </w:rPr>
      </w:pPr>
      <w:r>
        <w:rPr>
          <w:rFonts w:ascii="Sabon" w:hAnsi="Sabon"/>
          <w:color w:val="000000"/>
          <w:sz w:val="22"/>
          <w:szCs w:val="22"/>
          <w:lang w:eastAsia="en-GB"/>
        </w:rPr>
        <w:t xml:space="preserve">On balance, this often brings mutual benefits, but the decline in provision can only be reversed by reviving the economy and the housing market, not through tinkering with the provisions of the NMW. </w:t>
      </w:r>
    </w:p>
    <w:p w:rsidR="00DA79C8" w:rsidRPr="006C7771" w:rsidRDefault="00DA79C8" w:rsidP="006C7771">
      <w:pPr>
        <w:widowControl/>
        <w:spacing w:before="100" w:beforeAutospacing="1" w:line="276" w:lineRule="auto"/>
        <w:outlineLvl w:val="2"/>
        <w:rPr>
          <w:rFonts w:ascii="Sabon" w:hAnsi="Sabon"/>
          <w:color w:val="000000"/>
          <w:sz w:val="22"/>
          <w:szCs w:val="22"/>
          <w:lang w:eastAsia="en-GB"/>
        </w:rPr>
      </w:pPr>
      <w:r w:rsidRPr="006C7771">
        <w:rPr>
          <w:rFonts w:ascii="Sabon" w:hAnsi="Sabon"/>
          <w:color w:val="000000"/>
          <w:sz w:val="22"/>
          <w:szCs w:val="22"/>
          <w:lang w:eastAsia="en-GB"/>
        </w:rPr>
        <w:t xml:space="preserve">We also note that employers also sometimes abuse the relationship by evading the NMW, providing accommodation that is overcrowded or unfit for human habitation, keeping workers in poverty or carrying out illegal evictions. </w:t>
      </w:r>
    </w:p>
    <w:p w:rsidR="00DA79C8" w:rsidRDefault="00DA79C8" w:rsidP="00093B5D">
      <w:pPr>
        <w:widowControl/>
        <w:spacing w:before="100" w:beforeAutospacing="1" w:line="276" w:lineRule="auto"/>
        <w:outlineLvl w:val="2"/>
        <w:rPr>
          <w:rFonts w:ascii="Sabon" w:hAnsi="Sabon"/>
          <w:sz w:val="22"/>
          <w:szCs w:val="22"/>
        </w:rPr>
      </w:pPr>
      <w:r w:rsidRPr="006C7771">
        <w:rPr>
          <w:rFonts w:ascii="Sabon" w:hAnsi="Sabon"/>
          <w:sz w:val="22"/>
          <w:szCs w:val="22"/>
        </w:rPr>
        <w:t>The current review should address this issue. The accommodation offset should continue to be related directly to the adult rate of the NMW where living in the accommodation is not a direct requirement of the job, but the offset should not be available in cases where the employee must live in the accommodation in order to be able to do the job</w:t>
      </w:r>
      <w:r>
        <w:rPr>
          <w:rFonts w:ascii="Sabon" w:hAnsi="Sabon"/>
          <w:sz w:val="22"/>
          <w:szCs w:val="22"/>
        </w:rPr>
        <w:t>, such as seafarers</w:t>
      </w:r>
      <w:r w:rsidRPr="006C7771">
        <w:rPr>
          <w:rFonts w:ascii="Sabon" w:hAnsi="Sabon"/>
          <w:sz w:val="22"/>
          <w:szCs w:val="22"/>
        </w:rPr>
        <w:t xml:space="preserve">. </w:t>
      </w:r>
    </w:p>
    <w:p w:rsidR="00DA79C8" w:rsidRPr="00093B5D" w:rsidRDefault="00DA79C8" w:rsidP="00093B5D">
      <w:pPr>
        <w:widowControl/>
        <w:spacing w:before="100" w:beforeAutospacing="1" w:line="276" w:lineRule="auto"/>
        <w:outlineLvl w:val="2"/>
        <w:rPr>
          <w:rFonts w:ascii="Sabon" w:hAnsi="Sabon"/>
          <w:sz w:val="22"/>
          <w:szCs w:val="22"/>
        </w:rPr>
      </w:pPr>
      <w:r w:rsidRPr="00093B5D">
        <w:rPr>
          <w:rFonts w:ascii="Sabon" w:hAnsi="Sabon"/>
          <w:sz w:val="22"/>
          <w:szCs w:val="22"/>
        </w:rPr>
        <w:t xml:space="preserve">In addition, new guidance should be introduced to rule out unfit or overcrowded accommodation and to prohibit the use of a bogus division between employer and landlord when in fact they are one and the same entity. </w:t>
      </w:r>
    </w:p>
    <w:sectPr w:rsidR="00DA79C8" w:rsidRPr="00093B5D" w:rsidSect="00A867FC">
      <w:headerReference w:type="default" r:id="rId8"/>
      <w:footerReference w:type="default" r:id="rId9"/>
      <w:headerReference w:type="first" r:id="rId10"/>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C8" w:rsidRDefault="00DA79C8">
      <w:r>
        <w:separator/>
      </w:r>
    </w:p>
  </w:endnote>
  <w:endnote w:type="continuationSeparator" w:id="0">
    <w:p w:rsidR="00DA79C8" w:rsidRDefault="00DA7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w:panose1 w:val="00000000000000000000"/>
    <w:charset w:val="00"/>
    <w:family w:val="roman"/>
    <w:notTrueType/>
    <w:pitch w:val="variable"/>
    <w:sig w:usb0="00000003" w:usb1="00000000" w:usb2="00000000" w:usb3="00000000" w:csb0="00000001" w:csb1="00000000"/>
  </w:font>
  <w:font w:name="WP MathA">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 55">
    <w:altName w:val="Courier"/>
    <w:panose1 w:val="00000000000000000000"/>
    <w:charset w:val="00"/>
    <w:family w:val="swiss"/>
    <w:notTrueType/>
    <w:pitch w:val="variable"/>
    <w:sig w:usb0="00000003" w:usb1="00000000" w:usb2="00000000" w:usb3="00000000" w:csb0="00000001" w:csb1="00000000"/>
  </w:font>
  <w:font w:name="Frutiger 45">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8" w:rsidRDefault="00DA79C8">
    <w:pPr>
      <w:pStyle w:val="Footer"/>
    </w:pPr>
    <w:fldSimple w:instr=" STYLEREF T5MainTitle">
      <w:r>
        <w:rPr>
          <w:noProof/>
        </w:rPr>
        <w:t>LPC accommodation offset inquiry 2012</w:t>
      </w:r>
    </w:fldSimple>
    <w:r>
      <w:tab/>
    </w:r>
    <w:bookmarkStart w:id="3" w:name="bmDepartmentAndDate"/>
    <w:r>
      <w:t>ESAD 2012</w:t>
    </w:r>
    <w:bookmarkEnd w:id="3"/>
    <w:r>
      <w:tab/>
    </w: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C8" w:rsidRDefault="00DA79C8">
      <w:r>
        <w:separator/>
      </w:r>
    </w:p>
  </w:footnote>
  <w:footnote w:type="continuationSeparator" w:id="0">
    <w:p w:rsidR="00DA79C8" w:rsidRDefault="00DA79C8">
      <w:r>
        <w:continuationSeparator/>
      </w:r>
    </w:p>
  </w:footnote>
  <w:footnote w:id="1">
    <w:p w:rsidR="00DA79C8" w:rsidRDefault="00DA79C8">
      <w:pPr>
        <w:pStyle w:val="FootnoteText"/>
      </w:pPr>
      <w:r>
        <w:rPr>
          <w:rStyle w:val="FootnoteReference"/>
        </w:rPr>
        <w:footnoteRef/>
      </w:r>
      <w:r>
        <w:t xml:space="preserve"> DirectGov, calculating the minimum wage when your employer provides accommodation: </w:t>
      </w:r>
      <w:hyperlink r:id="rId1" w:history="1">
        <w:r w:rsidRPr="009A6B8D">
          <w:rPr>
            <w:rStyle w:val="Hyperlink"/>
          </w:rPr>
          <w:t>http://www.direct.gov.uk/en/Employment/Employees/TheNationalMinimumWage/DG_175108</w:t>
        </w:r>
      </w:hyperlink>
    </w:p>
  </w:footnote>
  <w:footnote w:id="2">
    <w:p w:rsidR="00DA79C8" w:rsidRDefault="00DA79C8" w:rsidP="00AA54D3">
      <w:pPr>
        <w:pStyle w:val="FootnoteText"/>
      </w:pPr>
      <w:r>
        <w:rPr>
          <w:rStyle w:val="FootnoteReference"/>
        </w:rPr>
        <w:footnoteRef/>
      </w:r>
      <w:r>
        <w:t xml:space="preserve"> DTI, National Minimum Wage and the accommodation offset- guidance note, 2007:  </w:t>
      </w:r>
      <w:hyperlink r:id="rId2" w:history="1">
        <w:r w:rsidRPr="00093B5D">
          <w:rPr>
            <w:rStyle w:val="Hyperlink"/>
            <w:rFonts w:cs="Arial"/>
            <w:szCs w:val="18"/>
          </w:rPr>
          <w:t>www.</w:t>
        </w:r>
        <w:r w:rsidRPr="00093B5D">
          <w:rPr>
            <w:rStyle w:val="Hyperlink"/>
            <w:rFonts w:cs="Arial"/>
            <w:b/>
            <w:bCs/>
            <w:szCs w:val="18"/>
          </w:rPr>
          <w:t>berr</w:t>
        </w:r>
        <w:r w:rsidRPr="00093B5D">
          <w:rPr>
            <w:rStyle w:val="Hyperlink"/>
            <w:rFonts w:cs="Arial"/>
            <w:szCs w:val="18"/>
          </w:rPr>
          <w:t>.gov.uk/files/file38769.pdf</w:t>
        </w:r>
      </w:hyperlink>
      <w:r>
        <w:rPr>
          <w:rFonts w:cs="Arial"/>
          <w:szCs w:val="18"/>
        </w:rPr>
        <w:t xml:space="preserve"> NB, Page 8 deals with bogus separation of landlord and employer.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8" w:rsidRDefault="00DA79C8">
    <w:pPr>
      <w:spacing w:line="240" w:lineRule="exac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49" type="#_x0000_t75" alt="TUC logo small mono" href="http://www.tuc.org.uk/" style="position:absolute;margin-left:322.05pt;margin-top:34pt;width:78.25pt;height:43.2pt;z-index:251657728;visibility:visible;mso-position-vertical-relative:page" o:button="t">
          <v:fill o:detectmouseclick="t"/>
          <v:imagedata r:id="rId1" o:title=""/>
          <w10:wrap anchory="page"/>
          <w10:anchorlock/>
        </v:shape>
      </w:pict>
    </w:r>
    <w:r>
      <w:rPr>
        <w:noProof/>
        <w:lang w:eastAsia="en-GB"/>
      </w:rPr>
      <w:pict>
        <v:rect id="_x0000_s2050" style="position:absolute;margin-left:-486.7pt;margin-top:67.9pt;width:468pt;height:660.3pt;z-index:-251657728;mso-position-horizontal-relative:margin;mso-position-vertical-relative:margin" o:allowincell="f" filled="f" stroked="f" strokeweight="0">
          <v:textbox style="mso-next-textbox:#_x0000_s2050" inset="0,0,0,0">
            <w:txbxContent>
              <w:p w:rsidR="00DA79C8" w:rsidRDefault="00DA79C8">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8" w:rsidRDefault="00DA79C8">
    <w:pPr>
      <w:pStyle w:val="Header"/>
      <w:tabs>
        <w:tab w:val="clear" w:pos="4320"/>
        <w:tab w:val="clear" w:pos="8640"/>
        <w:tab w:val="right" w:pos="7848"/>
      </w:tabs>
      <w:ind w:left="-225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pFront_Cover" o:spid="_x0000_s2051" type="#_x0000_t75" alt="T05 front cover blank" style="position:absolute;left:0;text-align:left;margin-left:-121.9pt;margin-top:5.9pt;width:527.4pt;height:773.5pt;z-index:-251659776;visibility:visible">
          <v:imagedata r:id="rId1" o:title=""/>
          <w10:anchorlock/>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22B7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A87D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BE36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0EE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E42FC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966935"/>
    <w:multiLevelType w:val="multilevel"/>
    <w:tmpl w:val="CC7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5C0793"/>
    <w:multiLevelType w:val="multilevel"/>
    <w:tmpl w:val="668EE14E"/>
    <w:lvl w:ilvl="0">
      <w:start w:val="1"/>
      <w:numFmt w:val="decimal"/>
      <w:lvlText w:val="%1.1"/>
      <w:lvlJc w:val="right"/>
      <w:pPr>
        <w:tabs>
          <w:tab w:val="num" w:pos="0"/>
        </w:tabs>
        <w:ind w:hanging="288"/>
      </w:pPr>
      <w:rPr>
        <w:rFonts w:cs="Times New Roman"/>
      </w:rPr>
    </w:lvl>
    <w:lvl w:ilvl="1">
      <w:start w:val="1"/>
      <w:numFmt w:val="decimal"/>
      <w:lvlText w:val="%1.%2"/>
      <w:lvlJc w:val="left"/>
      <w:pPr>
        <w:tabs>
          <w:tab w:val="num" w:pos="360"/>
        </w:tabs>
      </w:pPr>
      <w:rPr>
        <w:rFonts w:ascii="Sabon" w:hAnsi="Sabon" w:cs="Times New Roman" w:hint="default"/>
        <w:b w:val="0"/>
        <w:i w:val="0"/>
        <w:sz w:val="22"/>
      </w:rPr>
    </w:lvl>
    <w:lvl w:ilvl="2">
      <w:start w:val="1"/>
      <w:numFmt w:val="decimal"/>
      <w:lvlText w:val="%1.%2.%3."/>
      <w:lvlJc w:val="left"/>
      <w:pPr>
        <w:tabs>
          <w:tab w:val="num" w:pos="1224"/>
        </w:tabs>
        <w:ind w:left="1224" w:hanging="504"/>
      </w:pPr>
      <w:rPr>
        <w:rFonts w:cs="Times New Roman"/>
      </w:rPr>
    </w:lvl>
    <w:lvl w:ilvl="3">
      <w:start w:val="1"/>
      <w:numFmt w:val="decimal"/>
      <w:suff w:val="nothing"/>
      <w:lvlText w:val="%1.%2.%3.%4."/>
      <w:lvlJc w:val="left"/>
      <w:pPr>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3">
    <w:nsid w:val="10E30C56"/>
    <w:multiLevelType w:val="multilevel"/>
    <w:tmpl w:val="88849478"/>
    <w:name w:val="T5Level1Heading"/>
    <w:lvl w:ilvl="0">
      <w:start w:val="1"/>
      <w:numFmt w:val="decimal"/>
      <w:lvlRestart w:val="0"/>
      <w:pStyle w:val="T5Level1HeadingNum"/>
      <w:lvlText w:val="%1.1"/>
      <w:lvlJc w:val="right"/>
      <w:pPr>
        <w:tabs>
          <w:tab w:val="num" w:pos="0"/>
        </w:tabs>
        <w:ind w:hanging="567"/>
      </w:pPr>
      <w:rPr>
        <w:rFonts w:cs="Times New Roman" w:hint="default"/>
        <w:color w:val="FFFFFF"/>
      </w:rPr>
    </w:lvl>
    <w:lvl w:ilvl="1">
      <w:start w:val="1"/>
      <w:numFmt w:val="decimal"/>
      <w:pStyle w:val="T5TextBodyNum"/>
      <w:lvlText w:val="%1.%2"/>
      <w:lvlJc w:val="left"/>
      <w:pPr>
        <w:tabs>
          <w:tab w:val="num" w:pos="649"/>
        </w:tabs>
        <w:ind w:left="289"/>
      </w:pPr>
      <w:rPr>
        <w:rFonts w:ascii="Sabon" w:hAnsi="Sabon" w:cs="Times New Roman" w:hint="default"/>
        <w:sz w:val="22"/>
      </w:rPr>
    </w:lvl>
    <w:lvl w:ilvl="2">
      <w:start w:val="1"/>
      <w:numFmt w:val="lowerRoman"/>
      <w:lvlText w:val="%3)"/>
      <w:lvlJc w:val="left"/>
      <w:pPr>
        <w:tabs>
          <w:tab w:val="num" w:pos="1366"/>
        </w:tabs>
        <w:ind w:left="1366" w:hanging="357"/>
      </w:pPr>
      <w:rPr>
        <w:rFonts w:cs="Times New Roman" w:hint="default"/>
      </w:rPr>
    </w:lvl>
    <w:lvl w:ilvl="3">
      <w:start w:val="1"/>
      <w:numFmt w:val="decimal"/>
      <w:lvlText w:val="(%4)"/>
      <w:lvlJc w:val="left"/>
      <w:pPr>
        <w:tabs>
          <w:tab w:val="num" w:pos="1729"/>
        </w:tabs>
        <w:ind w:left="1729" w:hanging="363"/>
      </w:pPr>
      <w:rPr>
        <w:rFonts w:cs="Times New Roman" w:hint="default"/>
      </w:rPr>
    </w:lvl>
    <w:lvl w:ilvl="4">
      <w:start w:val="1"/>
      <w:numFmt w:val="lowerLetter"/>
      <w:lvlText w:val="(%5)"/>
      <w:lvlJc w:val="left"/>
      <w:pPr>
        <w:tabs>
          <w:tab w:val="num" w:pos="2086"/>
        </w:tabs>
        <w:ind w:left="2086" w:hanging="357"/>
      </w:pPr>
      <w:rPr>
        <w:rFonts w:cs="Times New Roman" w:hint="default"/>
      </w:rPr>
    </w:lvl>
    <w:lvl w:ilvl="5">
      <w:start w:val="1"/>
      <w:numFmt w:val="lowerRoman"/>
      <w:lvlText w:val="(%6)"/>
      <w:lvlJc w:val="left"/>
      <w:pPr>
        <w:tabs>
          <w:tab w:val="num" w:pos="2449"/>
        </w:tabs>
        <w:ind w:left="2449" w:hanging="363"/>
      </w:pPr>
      <w:rPr>
        <w:rFonts w:cs="Times New Roman" w:hint="default"/>
      </w:rPr>
    </w:lvl>
    <w:lvl w:ilvl="6">
      <w:start w:val="1"/>
      <w:numFmt w:val="decimal"/>
      <w:lvlText w:val="%7."/>
      <w:lvlJc w:val="left"/>
      <w:pPr>
        <w:tabs>
          <w:tab w:val="num" w:pos="2806"/>
        </w:tabs>
        <w:ind w:left="2806" w:hanging="357"/>
      </w:pPr>
      <w:rPr>
        <w:rFonts w:cs="Times New Roman" w:hint="default"/>
      </w:rPr>
    </w:lvl>
    <w:lvl w:ilvl="7">
      <w:start w:val="1"/>
      <w:numFmt w:val="lowerLetter"/>
      <w:lvlText w:val="%8."/>
      <w:lvlJc w:val="left"/>
      <w:pPr>
        <w:tabs>
          <w:tab w:val="num" w:pos="3169"/>
        </w:tabs>
        <w:ind w:left="3169" w:hanging="363"/>
      </w:pPr>
      <w:rPr>
        <w:rFonts w:cs="Times New Roman" w:hint="default"/>
      </w:rPr>
    </w:lvl>
    <w:lvl w:ilvl="8">
      <w:start w:val="1"/>
      <w:numFmt w:val="lowerRoman"/>
      <w:lvlText w:val="%9."/>
      <w:lvlJc w:val="left"/>
      <w:pPr>
        <w:tabs>
          <w:tab w:val="num" w:pos="3526"/>
        </w:tabs>
        <w:ind w:left="3526" w:hanging="357"/>
      </w:pPr>
      <w:rPr>
        <w:rFonts w:cs="Times New Roman" w:hint="default"/>
      </w:rPr>
    </w:lvl>
  </w:abstractNum>
  <w:abstractNum w:abstractNumId="14">
    <w:nsid w:val="15FE6C3F"/>
    <w:multiLevelType w:val="hybridMultilevel"/>
    <w:tmpl w:val="D772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8E2CD1"/>
    <w:multiLevelType w:val="multilevel"/>
    <w:tmpl w:val="CBBA5756"/>
    <w:lvl w:ilvl="0">
      <w:start w:val="1"/>
      <w:numFmt w:val="none"/>
      <w:suff w:val="nothing"/>
      <w:lvlText w:val="%1.1"/>
      <w:lvlJc w:val="right"/>
      <w:pPr>
        <w:ind w:firstLine="288"/>
      </w:pPr>
      <w:rPr>
        <w:rFonts w:cs="Times New Roman"/>
      </w:rPr>
    </w:lvl>
    <w:lvl w:ilvl="1">
      <w:start w:val="1"/>
      <w:numFmt w:val="decimal"/>
      <w:lvlText w:val="%11.%2"/>
      <w:lvlJc w:val="left"/>
      <w:pPr>
        <w:tabs>
          <w:tab w:val="num" w:pos="720"/>
        </w:tabs>
        <w:ind w:left="360" w:hanging="360"/>
      </w:pPr>
      <w:rPr>
        <w:rFonts w:ascii="Sabon" w:hAnsi="Sabon" w:cs="Times New Roman" w:hint="default"/>
        <w:b w:val="0"/>
        <w:i w:val="0"/>
        <w:sz w:val="22"/>
      </w:rPr>
    </w:lvl>
    <w:lvl w:ilvl="2">
      <w:start w:val="1"/>
      <w:numFmt w:val="decimal"/>
      <w:lvlText w:val="%1.%2.%3."/>
      <w:lvlJc w:val="left"/>
      <w:pPr>
        <w:tabs>
          <w:tab w:val="num" w:pos="1224"/>
        </w:tabs>
        <w:ind w:left="1224" w:hanging="504"/>
      </w:pPr>
      <w:rPr>
        <w:rFonts w:cs="Times New Roman"/>
      </w:rPr>
    </w:lvl>
    <w:lvl w:ilvl="3">
      <w:start w:val="1"/>
      <w:numFmt w:val="decimal"/>
      <w:suff w:val="nothing"/>
      <w:lvlText w:val="%1.%2.%3.%4."/>
      <w:lvlJc w:val="left"/>
      <w:pPr>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6">
    <w:nsid w:val="245623F5"/>
    <w:multiLevelType w:val="multilevel"/>
    <w:tmpl w:val="6824B5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suff w:val="nothing"/>
      <w:lvlText w:val="%1.%2.%3.%4."/>
      <w:lvlJc w:val="left"/>
      <w:pPr>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7">
    <w:nsid w:val="343472C4"/>
    <w:multiLevelType w:val="multilevel"/>
    <w:tmpl w:val="DC543B0E"/>
    <w:name w:val="T5TextBodyLst"/>
    <w:lvl w:ilvl="0">
      <w:start w:val="1"/>
      <w:numFmt w:val="decimal"/>
      <w:lvlRestart w:val="0"/>
      <w:lvlText w:val="%1.1"/>
      <w:lvlJc w:val="right"/>
      <w:pPr>
        <w:tabs>
          <w:tab w:val="num" w:pos="1156"/>
        </w:tabs>
        <w:ind w:left="1156" w:hanging="289"/>
      </w:pPr>
      <w:rPr>
        <w:rFonts w:cs="Times New Roman" w:hint="default"/>
        <w:color w:val="FFFFFF"/>
      </w:rPr>
    </w:lvl>
    <w:lvl w:ilvl="1">
      <w:start w:val="1"/>
      <w:numFmt w:val="decimal"/>
      <w:lvlText w:val="%1.%2"/>
      <w:lvlJc w:val="left"/>
      <w:pPr>
        <w:tabs>
          <w:tab w:val="num" w:pos="1516"/>
        </w:tabs>
        <w:ind w:left="1156"/>
      </w:pPr>
      <w:rPr>
        <w:rFonts w:ascii="Sabon" w:hAnsi="Sabon" w:cs="Times New Roman" w:hint="default"/>
        <w:sz w:val="22"/>
      </w:rPr>
    </w:lvl>
    <w:lvl w:ilvl="2">
      <w:start w:val="1"/>
      <w:numFmt w:val="lowerRoman"/>
      <w:lvlText w:val="%3)"/>
      <w:lvlJc w:val="left"/>
      <w:pPr>
        <w:tabs>
          <w:tab w:val="num" w:pos="2233"/>
        </w:tabs>
        <w:ind w:left="2233" w:hanging="357"/>
      </w:pPr>
      <w:rPr>
        <w:rFonts w:cs="Times New Roman" w:hint="default"/>
      </w:rPr>
    </w:lvl>
    <w:lvl w:ilvl="3">
      <w:start w:val="1"/>
      <w:numFmt w:val="decimal"/>
      <w:lvlText w:val="(%4)"/>
      <w:lvlJc w:val="left"/>
      <w:pPr>
        <w:tabs>
          <w:tab w:val="num" w:pos="2596"/>
        </w:tabs>
        <w:ind w:left="2596" w:hanging="363"/>
      </w:pPr>
      <w:rPr>
        <w:rFonts w:cs="Times New Roman" w:hint="default"/>
      </w:rPr>
    </w:lvl>
    <w:lvl w:ilvl="4">
      <w:start w:val="1"/>
      <w:numFmt w:val="lowerLetter"/>
      <w:lvlText w:val="(%5)"/>
      <w:lvlJc w:val="left"/>
      <w:pPr>
        <w:tabs>
          <w:tab w:val="num" w:pos="2953"/>
        </w:tabs>
        <w:ind w:left="2953" w:hanging="357"/>
      </w:pPr>
      <w:rPr>
        <w:rFonts w:cs="Times New Roman" w:hint="default"/>
      </w:rPr>
    </w:lvl>
    <w:lvl w:ilvl="5">
      <w:start w:val="1"/>
      <w:numFmt w:val="lowerRoman"/>
      <w:lvlText w:val="(%6)"/>
      <w:lvlJc w:val="left"/>
      <w:pPr>
        <w:tabs>
          <w:tab w:val="num" w:pos="3316"/>
        </w:tabs>
        <w:ind w:left="3316" w:hanging="363"/>
      </w:pPr>
      <w:rPr>
        <w:rFonts w:cs="Times New Roman" w:hint="default"/>
      </w:rPr>
    </w:lvl>
    <w:lvl w:ilvl="6">
      <w:start w:val="1"/>
      <w:numFmt w:val="decimal"/>
      <w:lvlText w:val="%7."/>
      <w:lvlJc w:val="left"/>
      <w:pPr>
        <w:tabs>
          <w:tab w:val="num" w:pos="3673"/>
        </w:tabs>
        <w:ind w:left="3673" w:hanging="357"/>
      </w:pPr>
      <w:rPr>
        <w:rFonts w:cs="Times New Roman" w:hint="default"/>
      </w:rPr>
    </w:lvl>
    <w:lvl w:ilvl="7">
      <w:start w:val="1"/>
      <w:numFmt w:val="lowerLetter"/>
      <w:lvlText w:val="%8."/>
      <w:lvlJc w:val="left"/>
      <w:pPr>
        <w:tabs>
          <w:tab w:val="num" w:pos="4036"/>
        </w:tabs>
        <w:ind w:left="4036" w:hanging="363"/>
      </w:pPr>
      <w:rPr>
        <w:rFonts w:cs="Times New Roman" w:hint="default"/>
      </w:rPr>
    </w:lvl>
    <w:lvl w:ilvl="8">
      <w:start w:val="1"/>
      <w:numFmt w:val="lowerRoman"/>
      <w:lvlText w:val="%9."/>
      <w:lvlJc w:val="left"/>
      <w:pPr>
        <w:tabs>
          <w:tab w:val="num" w:pos="4393"/>
        </w:tabs>
        <w:ind w:left="4393" w:hanging="357"/>
      </w:pPr>
      <w:rPr>
        <w:rFonts w:cs="Times New Roman" w:hint="default"/>
      </w:rPr>
    </w:lvl>
  </w:abstractNum>
  <w:abstractNum w:abstractNumId="18">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2CB7B10"/>
    <w:multiLevelType w:val="multilevel"/>
    <w:tmpl w:val="5AE46AB6"/>
    <w:name w:val="T5LstTemplate"/>
    <w:lvl w:ilvl="0">
      <w:start w:val="1"/>
      <w:numFmt w:val="decimal"/>
      <w:lvlText w:val="%1.1"/>
      <w:lvlJc w:val="right"/>
      <w:pPr>
        <w:tabs>
          <w:tab w:val="num" w:pos="0"/>
        </w:tabs>
        <w:ind w:hanging="288"/>
      </w:pPr>
      <w:rPr>
        <w:rFonts w:cs="Times New Roman"/>
      </w:rPr>
    </w:lvl>
    <w:lvl w:ilvl="1">
      <w:start w:val="1"/>
      <w:numFmt w:val="decimal"/>
      <w:lvlText w:val="%1.%2"/>
      <w:lvlJc w:val="left"/>
      <w:pPr>
        <w:tabs>
          <w:tab w:val="num" w:pos="360"/>
        </w:tabs>
      </w:pPr>
      <w:rPr>
        <w:rFonts w:ascii="Sabon" w:hAnsi="Sabon" w:cs="Times New Roman" w:hint="default"/>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831056A"/>
    <w:multiLevelType w:val="multilevel"/>
    <w:tmpl w:val="DC76516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suff w:val="nothing"/>
      <w:lvlText w:val="%1.%2.%3.%4."/>
      <w:lvlJc w:val="left"/>
      <w:pPr>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1">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2">
    <w:nsid w:val="704A2233"/>
    <w:multiLevelType w:val="multilevel"/>
    <w:tmpl w:val="477CC66E"/>
    <w:name w:val="T5LstTemplate2"/>
    <w:lvl w:ilvl="0">
      <w:start w:val="1"/>
      <w:numFmt w:val="decimal"/>
      <w:lvlText w:val="%1.1"/>
      <w:lvlJc w:val="right"/>
      <w:pPr>
        <w:tabs>
          <w:tab w:val="num" w:pos="0"/>
        </w:tabs>
        <w:ind w:hanging="288"/>
      </w:pPr>
      <w:rPr>
        <w:rFonts w:cs="Times New Roman"/>
      </w:rPr>
    </w:lvl>
    <w:lvl w:ilvl="1">
      <w:start w:val="1"/>
      <w:numFmt w:val="decimal"/>
      <w:lvlText w:val="%1.%2"/>
      <w:lvlJc w:val="left"/>
      <w:pPr>
        <w:tabs>
          <w:tab w:val="num" w:pos="360"/>
        </w:tabs>
      </w:pPr>
      <w:rPr>
        <w:rFonts w:ascii="Sabon" w:hAnsi="Sabon" w:cs="Times New Roman" w:hint="default"/>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2">
    <w:abstractNumId w:val="21"/>
  </w:num>
  <w:num w:numId="23">
    <w:abstractNumId w:val="16"/>
  </w:num>
  <w:num w:numId="24">
    <w:abstractNumId w:val="20"/>
  </w:num>
  <w:num w:numId="25">
    <w:abstractNumId w:val="15"/>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13"/>
  </w:num>
  <w:num w:numId="44">
    <w:abstractNumId w:val="14"/>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CB2"/>
    <w:rsid w:val="00081AD3"/>
    <w:rsid w:val="00093B5D"/>
    <w:rsid w:val="000B1918"/>
    <w:rsid w:val="000B6A78"/>
    <w:rsid w:val="000C07EC"/>
    <w:rsid w:val="000C7350"/>
    <w:rsid w:val="00127DF9"/>
    <w:rsid w:val="00132ED3"/>
    <w:rsid w:val="00132EF2"/>
    <w:rsid w:val="00165226"/>
    <w:rsid w:val="002C7CB2"/>
    <w:rsid w:val="0032683F"/>
    <w:rsid w:val="00330BB6"/>
    <w:rsid w:val="003B388F"/>
    <w:rsid w:val="003B51FA"/>
    <w:rsid w:val="0040237A"/>
    <w:rsid w:val="004161AC"/>
    <w:rsid w:val="004B76CA"/>
    <w:rsid w:val="005631CF"/>
    <w:rsid w:val="005A54A6"/>
    <w:rsid w:val="005B4C20"/>
    <w:rsid w:val="005F360E"/>
    <w:rsid w:val="0065598E"/>
    <w:rsid w:val="006C7771"/>
    <w:rsid w:val="006F35C8"/>
    <w:rsid w:val="008466F8"/>
    <w:rsid w:val="008763A9"/>
    <w:rsid w:val="008C25D3"/>
    <w:rsid w:val="00907534"/>
    <w:rsid w:val="009A6B8D"/>
    <w:rsid w:val="009C2387"/>
    <w:rsid w:val="009C3560"/>
    <w:rsid w:val="00A20090"/>
    <w:rsid w:val="00A27FA3"/>
    <w:rsid w:val="00A867FC"/>
    <w:rsid w:val="00AA54D3"/>
    <w:rsid w:val="00AD570B"/>
    <w:rsid w:val="00B556E4"/>
    <w:rsid w:val="00C32B7C"/>
    <w:rsid w:val="00C62E03"/>
    <w:rsid w:val="00C71B2E"/>
    <w:rsid w:val="00D45308"/>
    <w:rsid w:val="00DA79C8"/>
    <w:rsid w:val="00DC2097"/>
    <w:rsid w:val="00DC272D"/>
    <w:rsid w:val="00E016A2"/>
    <w:rsid w:val="00E10F9C"/>
    <w:rsid w:val="00E26E0C"/>
    <w:rsid w:val="00E44726"/>
    <w:rsid w:val="00E917B4"/>
    <w:rsid w:val="00E94F04"/>
    <w:rsid w:val="00EC563D"/>
    <w:rsid w:val="00EF4A64"/>
    <w:rsid w:val="00F73967"/>
    <w:rsid w:val="00FC10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67FC"/>
    <w:pPr>
      <w:widowControl w:val="0"/>
    </w:pPr>
    <w:rPr>
      <w:sz w:val="24"/>
      <w:szCs w:val="20"/>
      <w:lang w:eastAsia="en-US"/>
    </w:rPr>
  </w:style>
  <w:style w:type="paragraph" w:styleId="Heading1">
    <w:name w:val="heading 1"/>
    <w:basedOn w:val="Normal"/>
    <w:next w:val="Normal"/>
    <w:link w:val="Heading1Char"/>
    <w:uiPriority w:val="99"/>
    <w:qFormat/>
    <w:rsid w:val="00A867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86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867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867FC"/>
    <w:pPr>
      <w:keepNext/>
      <w:spacing w:before="240" w:after="60"/>
      <w:outlineLvl w:val="3"/>
    </w:pPr>
    <w:rPr>
      <w:b/>
      <w:bCs/>
      <w:sz w:val="28"/>
      <w:szCs w:val="28"/>
    </w:rPr>
  </w:style>
  <w:style w:type="paragraph" w:styleId="Heading5">
    <w:name w:val="heading 5"/>
    <w:basedOn w:val="Normal"/>
    <w:next w:val="Normal"/>
    <w:link w:val="Heading5Char"/>
    <w:uiPriority w:val="99"/>
    <w:qFormat/>
    <w:rsid w:val="00A867FC"/>
    <w:pPr>
      <w:spacing w:before="240" w:after="60"/>
      <w:outlineLvl w:val="4"/>
    </w:pPr>
    <w:rPr>
      <w:b/>
      <w:bCs/>
      <w:i/>
      <w:iCs/>
      <w:sz w:val="26"/>
      <w:szCs w:val="26"/>
    </w:rPr>
  </w:style>
  <w:style w:type="paragraph" w:styleId="Heading6">
    <w:name w:val="heading 6"/>
    <w:basedOn w:val="Normal"/>
    <w:next w:val="Normal"/>
    <w:link w:val="Heading6Char"/>
    <w:uiPriority w:val="99"/>
    <w:qFormat/>
    <w:rsid w:val="00A867FC"/>
    <w:pPr>
      <w:spacing w:before="240" w:after="60"/>
      <w:outlineLvl w:val="5"/>
    </w:pPr>
    <w:rPr>
      <w:b/>
      <w:bCs/>
      <w:sz w:val="22"/>
      <w:szCs w:val="22"/>
    </w:rPr>
  </w:style>
  <w:style w:type="paragraph" w:styleId="Heading7">
    <w:name w:val="heading 7"/>
    <w:basedOn w:val="Normal"/>
    <w:next w:val="Normal"/>
    <w:link w:val="Heading7Char"/>
    <w:uiPriority w:val="99"/>
    <w:qFormat/>
    <w:rsid w:val="00A867FC"/>
    <w:pPr>
      <w:spacing w:before="240" w:after="60"/>
      <w:outlineLvl w:val="6"/>
    </w:pPr>
    <w:rPr>
      <w:szCs w:val="24"/>
    </w:rPr>
  </w:style>
  <w:style w:type="paragraph" w:styleId="Heading8">
    <w:name w:val="heading 8"/>
    <w:basedOn w:val="Normal"/>
    <w:next w:val="Normal"/>
    <w:link w:val="Heading8Char"/>
    <w:uiPriority w:val="99"/>
    <w:qFormat/>
    <w:rsid w:val="00A867FC"/>
    <w:pPr>
      <w:spacing w:before="240" w:after="60"/>
      <w:outlineLvl w:val="7"/>
    </w:pPr>
    <w:rPr>
      <w:i/>
      <w:iCs/>
      <w:szCs w:val="24"/>
    </w:rPr>
  </w:style>
  <w:style w:type="paragraph" w:styleId="Heading9">
    <w:name w:val="heading 9"/>
    <w:basedOn w:val="Normal"/>
    <w:next w:val="Normal"/>
    <w:link w:val="Heading9Char"/>
    <w:uiPriority w:val="99"/>
    <w:qFormat/>
    <w:rsid w:val="00A867F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A9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45A9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45A9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45A9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45A9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45A9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45A9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45A9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45A90"/>
    <w:rPr>
      <w:rFonts w:asciiTheme="majorHAnsi" w:eastAsiaTheme="majorEastAsia" w:hAnsiTheme="majorHAnsi" w:cstheme="majorBidi"/>
      <w:lang w:eastAsia="en-US"/>
    </w:rPr>
  </w:style>
  <w:style w:type="character" w:styleId="FootnoteReference">
    <w:name w:val="footnote reference"/>
    <w:basedOn w:val="DefaultParagraphFont"/>
    <w:uiPriority w:val="99"/>
    <w:semiHidden/>
    <w:rsid w:val="00A867FC"/>
    <w:rPr>
      <w:rFonts w:cs="Times New Roman"/>
      <w:sz w:val="18"/>
      <w:vertAlign w:val="superscript"/>
    </w:rPr>
  </w:style>
  <w:style w:type="paragraph" w:customStyle="1" w:styleId="T5Bullet">
    <w:name w:val="T5Bullet"/>
    <w:basedOn w:val="Normal"/>
    <w:uiPriority w:val="99"/>
    <w:rsid w:val="00A867FC"/>
    <w:pPr>
      <w:numPr>
        <w:numId w:val="29"/>
      </w:numPr>
      <w:tabs>
        <w:tab w:val="left" w:pos="227"/>
        <w:tab w:val="left" w:pos="454"/>
      </w:tabs>
      <w:spacing w:after="140"/>
    </w:pPr>
    <w:rPr>
      <w:rFonts w:ascii="Sabon" w:hAnsi="Sabon"/>
      <w:sz w:val="22"/>
    </w:rPr>
  </w:style>
  <w:style w:type="character" w:styleId="PageNumber">
    <w:name w:val="page number"/>
    <w:basedOn w:val="DefaultParagraphFont"/>
    <w:uiPriority w:val="99"/>
    <w:semiHidden/>
    <w:rsid w:val="00A867FC"/>
    <w:rPr>
      <w:rFonts w:cs="Times New Roman"/>
    </w:rPr>
  </w:style>
  <w:style w:type="paragraph" w:styleId="Closing">
    <w:name w:val="Closing"/>
    <w:basedOn w:val="Normal"/>
    <w:link w:val="ClosingChar"/>
    <w:uiPriority w:val="99"/>
    <w:semiHidden/>
    <w:rsid w:val="00A867FC"/>
  </w:style>
  <w:style w:type="character" w:customStyle="1" w:styleId="ClosingChar">
    <w:name w:val="Closing Char"/>
    <w:basedOn w:val="DefaultParagraphFont"/>
    <w:link w:val="Closing"/>
    <w:uiPriority w:val="99"/>
    <w:semiHidden/>
    <w:rsid w:val="00E45A90"/>
    <w:rPr>
      <w:sz w:val="24"/>
      <w:szCs w:val="20"/>
      <w:lang w:eastAsia="en-US"/>
    </w:rPr>
  </w:style>
  <w:style w:type="paragraph" w:customStyle="1" w:styleId="T5MainTitle">
    <w:name w:val="T5MainTitle"/>
    <w:basedOn w:val="Normal"/>
    <w:uiPriority w:val="99"/>
    <w:rsid w:val="00A867FC"/>
    <w:pPr>
      <w:spacing w:line="720" w:lineRule="exact"/>
    </w:pPr>
    <w:rPr>
      <w:rFonts w:ascii="Frutiger 55" w:hAnsi="Frutiger 55"/>
      <w:color w:val="000000"/>
      <w:sz w:val="60"/>
    </w:rPr>
  </w:style>
  <w:style w:type="paragraph" w:customStyle="1" w:styleId="T5DescriptiveSubheading">
    <w:name w:val="T5DescriptiveSubheading"/>
    <w:basedOn w:val="Normal"/>
    <w:uiPriority w:val="99"/>
    <w:rsid w:val="00A867FC"/>
    <w:rPr>
      <w:rFonts w:ascii="Frutiger 45" w:hAnsi="Frutiger 45"/>
      <w:color w:val="000000"/>
      <w:sz w:val="28"/>
    </w:rPr>
  </w:style>
  <w:style w:type="paragraph" w:customStyle="1" w:styleId="T5TableHeader">
    <w:name w:val="T5TableHeader"/>
    <w:basedOn w:val="Normal"/>
    <w:uiPriority w:val="99"/>
    <w:rsid w:val="00A867FC"/>
    <w:pPr>
      <w:spacing w:after="160" w:line="280" w:lineRule="exact"/>
    </w:pPr>
    <w:rPr>
      <w:rFonts w:ascii="Frutiger 55" w:hAnsi="Frutiger 55"/>
      <w:b/>
      <w:sz w:val="22"/>
    </w:rPr>
  </w:style>
  <w:style w:type="paragraph" w:styleId="BlockText">
    <w:name w:val="Block Text"/>
    <w:basedOn w:val="Normal"/>
    <w:uiPriority w:val="99"/>
    <w:semiHidden/>
    <w:rsid w:val="00A867FC"/>
    <w:pPr>
      <w:spacing w:after="120"/>
      <w:ind w:left="1440" w:right="1440"/>
    </w:pPr>
  </w:style>
  <w:style w:type="paragraph" w:customStyle="1" w:styleId="T5TextBody">
    <w:name w:val="T5TextBody"/>
    <w:basedOn w:val="Normal"/>
    <w:uiPriority w:val="99"/>
    <w:rsid w:val="00A867FC"/>
    <w:pPr>
      <w:widowControl/>
      <w:spacing w:after="140" w:line="280" w:lineRule="exact"/>
      <w:outlineLvl w:val="0"/>
    </w:pPr>
    <w:rPr>
      <w:rFonts w:ascii="Sabon" w:hAnsi="Sabon"/>
      <w:sz w:val="22"/>
    </w:rPr>
  </w:style>
  <w:style w:type="paragraph" w:customStyle="1" w:styleId="T5TextBodyNum">
    <w:name w:val="T5TextBodyNum"/>
    <w:basedOn w:val="T5TextBody"/>
    <w:uiPriority w:val="99"/>
    <w:rsid w:val="00A867FC"/>
    <w:pPr>
      <w:numPr>
        <w:ilvl w:val="1"/>
        <w:numId w:val="43"/>
      </w:numPr>
      <w:tabs>
        <w:tab w:val="left" w:pos="504"/>
      </w:tabs>
      <w:ind w:left="0"/>
      <w:outlineLvl w:val="1"/>
    </w:pPr>
  </w:style>
  <w:style w:type="paragraph" w:styleId="Header">
    <w:name w:val="header"/>
    <w:basedOn w:val="Normal"/>
    <w:link w:val="HeaderChar"/>
    <w:uiPriority w:val="99"/>
    <w:semiHidden/>
    <w:rsid w:val="00A867FC"/>
    <w:pPr>
      <w:tabs>
        <w:tab w:val="center" w:pos="4320"/>
        <w:tab w:val="right" w:pos="8640"/>
      </w:tabs>
    </w:pPr>
  </w:style>
  <w:style w:type="character" w:customStyle="1" w:styleId="HeaderChar">
    <w:name w:val="Header Char"/>
    <w:basedOn w:val="DefaultParagraphFont"/>
    <w:link w:val="Header"/>
    <w:uiPriority w:val="99"/>
    <w:semiHidden/>
    <w:rsid w:val="00E45A90"/>
    <w:rPr>
      <w:sz w:val="24"/>
      <w:szCs w:val="20"/>
      <w:lang w:eastAsia="en-US"/>
    </w:rPr>
  </w:style>
  <w:style w:type="paragraph" w:styleId="Footer">
    <w:name w:val="footer"/>
    <w:basedOn w:val="Normal"/>
    <w:link w:val="FooterChar"/>
    <w:uiPriority w:val="99"/>
    <w:semiHidden/>
    <w:rsid w:val="00A867FC"/>
    <w:pPr>
      <w:tabs>
        <w:tab w:val="left" w:pos="2155"/>
        <w:tab w:val="right" w:pos="7825"/>
      </w:tabs>
    </w:pPr>
    <w:rPr>
      <w:rFonts w:ascii="Frutiger 45" w:hAnsi="Frutiger 45"/>
      <w:sz w:val="16"/>
    </w:rPr>
  </w:style>
  <w:style w:type="character" w:customStyle="1" w:styleId="FooterChar">
    <w:name w:val="Footer Char"/>
    <w:basedOn w:val="DefaultParagraphFont"/>
    <w:link w:val="Footer"/>
    <w:uiPriority w:val="99"/>
    <w:semiHidden/>
    <w:rsid w:val="00E45A90"/>
    <w:rPr>
      <w:sz w:val="24"/>
      <w:szCs w:val="20"/>
      <w:lang w:eastAsia="en-US"/>
    </w:rPr>
  </w:style>
  <w:style w:type="paragraph" w:styleId="BodyText">
    <w:name w:val="Body Text"/>
    <w:basedOn w:val="Normal"/>
    <w:link w:val="BodyTextChar"/>
    <w:uiPriority w:val="99"/>
    <w:semiHidden/>
    <w:rsid w:val="00A867FC"/>
    <w:rPr>
      <w:sz w:val="48"/>
    </w:rPr>
  </w:style>
  <w:style w:type="character" w:customStyle="1" w:styleId="BodyTextChar">
    <w:name w:val="Body Text Char"/>
    <w:basedOn w:val="DefaultParagraphFont"/>
    <w:link w:val="BodyText"/>
    <w:uiPriority w:val="99"/>
    <w:semiHidden/>
    <w:rsid w:val="00E45A90"/>
    <w:rPr>
      <w:sz w:val="24"/>
      <w:szCs w:val="20"/>
      <w:lang w:eastAsia="en-US"/>
    </w:rPr>
  </w:style>
  <w:style w:type="paragraph" w:styleId="DocumentMap">
    <w:name w:val="Document Map"/>
    <w:basedOn w:val="Normal"/>
    <w:link w:val="DocumentMapChar"/>
    <w:uiPriority w:val="99"/>
    <w:semiHidden/>
    <w:rsid w:val="00A867F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45A90"/>
    <w:rPr>
      <w:sz w:val="0"/>
      <w:szCs w:val="0"/>
      <w:lang w:eastAsia="en-US"/>
    </w:rPr>
  </w:style>
  <w:style w:type="paragraph" w:customStyle="1" w:styleId="T5Level2Heading">
    <w:name w:val="T5Level2Heading"/>
    <w:basedOn w:val="Normal"/>
    <w:next w:val="T5TextBody"/>
    <w:uiPriority w:val="99"/>
    <w:rsid w:val="00A867FC"/>
    <w:pPr>
      <w:spacing w:before="120" w:after="140"/>
      <w:outlineLvl w:val="1"/>
    </w:pPr>
    <w:rPr>
      <w:rFonts w:ascii="Frutiger 55" w:hAnsi="Frutiger 55"/>
      <w:b/>
      <w:sz w:val="22"/>
    </w:rPr>
  </w:style>
  <w:style w:type="paragraph" w:customStyle="1" w:styleId="T5Level1Heading">
    <w:name w:val="T5Level1Heading"/>
    <w:basedOn w:val="T5Level1HeadingNum"/>
    <w:next w:val="T5TextBody"/>
    <w:uiPriority w:val="99"/>
    <w:rsid w:val="00A867FC"/>
    <w:pPr>
      <w:numPr>
        <w:numId w:val="0"/>
      </w:numPr>
    </w:pPr>
  </w:style>
  <w:style w:type="paragraph" w:styleId="EndnoteText">
    <w:name w:val="endnote text"/>
    <w:basedOn w:val="T5TextBody"/>
    <w:link w:val="EndnoteTextChar"/>
    <w:uiPriority w:val="99"/>
    <w:semiHidden/>
    <w:rsid w:val="00A867FC"/>
    <w:rPr>
      <w:sz w:val="20"/>
    </w:rPr>
  </w:style>
  <w:style w:type="character" w:customStyle="1" w:styleId="EndnoteTextChar">
    <w:name w:val="Endnote Text Char"/>
    <w:basedOn w:val="DefaultParagraphFont"/>
    <w:link w:val="EndnoteText"/>
    <w:uiPriority w:val="99"/>
    <w:semiHidden/>
    <w:rsid w:val="00E45A90"/>
    <w:rPr>
      <w:sz w:val="20"/>
      <w:szCs w:val="20"/>
      <w:lang w:eastAsia="en-US"/>
    </w:rPr>
  </w:style>
  <w:style w:type="paragraph" w:styleId="FootnoteText">
    <w:name w:val="footnote text"/>
    <w:basedOn w:val="T5TextBody"/>
    <w:link w:val="FootnoteTextChar"/>
    <w:uiPriority w:val="99"/>
    <w:semiHidden/>
    <w:rsid w:val="00A867FC"/>
    <w:rPr>
      <w:sz w:val="18"/>
    </w:rPr>
  </w:style>
  <w:style w:type="character" w:customStyle="1" w:styleId="FootnoteTextChar">
    <w:name w:val="Footnote Text Char"/>
    <w:basedOn w:val="DefaultParagraphFont"/>
    <w:link w:val="FootnoteText"/>
    <w:uiPriority w:val="99"/>
    <w:semiHidden/>
    <w:rsid w:val="00E45A90"/>
    <w:rPr>
      <w:sz w:val="20"/>
      <w:szCs w:val="20"/>
      <w:lang w:eastAsia="en-US"/>
    </w:rPr>
  </w:style>
  <w:style w:type="paragraph" w:customStyle="1" w:styleId="T5Level1HeadingNum">
    <w:name w:val="T5Level1HeadingNum"/>
    <w:basedOn w:val="Normal"/>
    <w:next w:val="T5TextBody"/>
    <w:uiPriority w:val="99"/>
    <w:rsid w:val="00A867FC"/>
    <w:pPr>
      <w:numPr>
        <w:numId w:val="43"/>
      </w:numPr>
      <w:spacing w:before="120" w:after="140" w:line="340" w:lineRule="exact"/>
      <w:outlineLvl w:val="0"/>
    </w:pPr>
    <w:rPr>
      <w:rFonts w:ascii="Frutiger 45" w:hAnsi="Frutiger 45"/>
      <w:sz w:val="28"/>
    </w:rPr>
  </w:style>
  <w:style w:type="paragraph" w:customStyle="1" w:styleId="T5PageNumber">
    <w:name w:val="T5PageNumber"/>
    <w:basedOn w:val="Footer"/>
    <w:uiPriority w:val="99"/>
    <w:rsid w:val="00A867FC"/>
    <w:rPr>
      <w:sz w:val="22"/>
    </w:rPr>
  </w:style>
  <w:style w:type="paragraph" w:styleId="BodyText2">
    <w:name w:val="Body Text 2"/>
    <w:basedOn w:val="Normal"/>
    <w:link w:val="BodyText2Char"/>
    <w:uiPriority w:val="99"/>
    <w:semiHidden/>
    <w:rsid w:val="00A867FC"/>
    <w:pPr>
      <w:spacing w:after="120" w:line="480" w:lineRule="auto"/>
    </w:pPr>
  </w:style>
  <w:style w:type="character" w:customStyle="1" w:styleId="BodyText2Char">
    <w:name w:val="Body Text 2 Char"/>
    <w:basedOn w:val="DefaultParagraphFont"/>
    <w:link w:val="BodyText2"/>
    <w:uiPriority w:val="99"/>
    <w:semiHidden/>
    <w:rsid w:val="00E45A90"/>
    <w:rPr>
      <w:sz w:val="24"/>
      <w:szCs w:val="20"/>
      <w:lang w:eastAsia="en-US"/>
    </w:rPr>
  </w:style>
  <w:style w:type="paragraph" w:styleId="BodyText3">
    <w:name w:val="Body Text 3"/>
    <w:basedOn w:val="Normal"/>
    <w:link w:val="BodyText3Char"/>
    <w:uiPriority w:val="99"/>
    <w:semiHidden/>
    <w:rsid w:val="00A867FC"/>
    <w:pPr>
      <w:spacing w:after="120"/>
    </w:pPr>
    <w:rPr>
      <w:sz w:val="16"/>
      <w:szCs w:val="16"/>
    </w:rPr>
  </w:style>
  <w:style w:type="character" w:customStyle="1" w:styleId="BodyText3Char">
    <w:name w:val="Body Text 3 Char"/>
    <w:basedOn w:val="DefaultParagraphFont"/>
    <w:link w:val="BodyText3"/>
    <w:uiPriority w:val="99"/>
    <w:semiHidden/>
    <w:rsid w:val="00E45A90"/>
    <w:rPr>
      <w:sz w:val="16"/>
      <w:szCs w:val="16"/>
      <w:lang w:eastAsia="en-US"/>
    </w:rPr>
  </w:style>
  <w:style w:type="paragraph" w:styleId="BodyTextFirstIndent">
    <w:name w:val="Body Text First Indent"/>
    <w:basedOn w:val="BodyText"/>
    <w:link w:val="BodyTextFirstIndentChar"/>
    <w:uiPriority w:val="99"/>
    <w:semiHidden/>
    <w:rsid w:val="00A867FC"/>
    <w:pPr>
      <w:spacing w:after="120"/>
      <w:ind w:firstLine="210"/>
    </w:pPr>
    <w:rPr>
      <w:sz w:val="24"/>
    </w:rPr>
  </w:style>
  <w:style w:type="character" w:customStyle="1" w:styleId="BodyTextFirstIndentChar">
    <w:name w:val="Body Text First Indent Char"/>
    <w:basedOn w:val="BodyTextChar"/>
    <w:link w:val="BodyTextFirstIndent"/>
    <w:uiPriority w:val="99"/>
    <w:semiHidden/>
    <w:rsid w:val="00E45A90"/>
  </w:style>
  <w:style w:type="paragraph" w:styleId="BodyTextIndent">
    <w:name w:val="Body Text Indent"/>
    <w:basedOn w:val="Normal"/>
    <w:link w:val="BodyTextIndentChar"/>
    <w:uiPriority w:val="99"/>
    <w:semiHidden/>
    <w:rsid w:val="00A867FC"/>
    <w:pPr>
      <w:spacing w:after="120"/>
      <w:ind w:left="283"/>
    </w:pPr>
  </w:style>
  <w:style w:type="character" w:customStyle="1" w:styleId="BodyTextIndentChar">
    <w:name w:val="Body Text Indent Char"/>
    <w:basedOn w:val="DefaultParagraphFont"/>
    <w:link w:val="BodyTextIndent"/>
    <w:uiPriority w:val="99"/>
    <w:semiHidden/>
    <w:rsid w:val="00E45A90"/>
    <w:rPr>
      <w:sz w:val="24"/>
      <w:szCs w:val="20"/>
      <w:lang w:eastAsia="en-US"/>
    </w:rPr>
  </w:style>
  <w:style w:type="paragraph" w:styleId="BodyTextFirstIndent2">
    <w:name w:val="Body Text First Indent 2"/>
    <w:basedOn w:val="BodyTextIndent"/>
    <w:link w:val="BodyTextFirstIndent2Char"/>
    <w:uiPriority w:val="99"/>
    <w:semiHidden/>
    <w:rsid w:val="00A867FC"/>
    <w:pPr>
      <w:ind w:firstLine="210"/>
    </w:pPr>
  </w:style>
  <w:style w:type="character" w:customStyle="1" w:styleId="BodyTextFirstIndent2Char">
    <w:name w:val="Body Text First Indent 2 Char"/>
    <w:basedOn w:val="BodyTextIndentChar"/>
    <w:link w:val="BodyTextFirstIndent2"/>
    <w:uiPriority w:val="99"/>
    <w:semiHidden/>
    <w:rsid w:val="00E45A90"/>
  </w:style>
  <w:style w:type="paragraph" w:styleId="BodyTextIndent2">
    <w:name w:val="Body Text Indent 2"/>
    <w:basedOn w:val="Normal"/>
    <w:link w:val="BodyTextIndent2Char"/>
    <w:uiPriority w:val="99"/>
    <w:semiHidden/>
    <w:rsid w:val="00A867FC"/>
    <w:pPr>
      <w:spacing w:after="120" w:line="480" w:lineRule="auto"/>
      <w:ind w:left="283"/>
    </w:pPr>
  </w:style>
  <w:style w:type="character" w:customStyle="1" w:styleId="BodyTextIndent2Char">
    <w:name w:val="Body Text Indent 2 Char"/>
    <w:basedOn w:val="DefaultParagraphFont"/>
    <w:link w:val="BodyTextIndent2"/>
    <w:uiPriority w:val="99"/>
    <w:semiHidden/>
    <w:rsid w:val="00E45A90"/>
    <w:rPr>
      <w:sz w:val="24"/>
      <w:szCs w:val="20"/>
      <w:lang w:eastAsia="en-US"/>
    </w:rPr>
  </w:style>
  <w:style w:type="paragraph" w:styleId="BodyTextIndent3">
    <w:name w:val="Body Text Indent 3"/>
    <w:basedOn w:val="Normal"/>
    <w:link w:val="BodyTextIndent3Char"/>
    <w:uiPriority w:val="99"/>
    <w:semiHidden/>
    <w:rsid w:val="00A86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5A90"/>
    <w:rPr>
      <w:sz w:val="16"/>
      <w:szCs w:val="16"/>
      <w:lang w:eastAsia="en-US"/>
    </w:rPr>
  </w:style>
  <w:style w:type="paragraph" w:styleId="Caption">
    <w:name w:val="caption"/>
    <w:basedOn w:val="Normal"/>
    <w:next w:val="Normal"/>
    <w:uiPriority w:val="99"/>
    <w:qFormat/>
    <w:rsid w:val="00A867FC"/>
    <w:pPr>
      <w:spacing w:before="120" w:after="120"/>
    </w:pPr>
    <w:rPr>
      <w:b/>
      <w:bCs/>
      <w:sz w:val="20"/>
    </w:rPr>
  </w:style>
  <w:style w:type="character" w:styleId="CommentReference">
    <w:name w:val="annotation reference"/>
    <w:basedOn w:val="DefaultParagraphFont"/>
    <w:uiPriority w:val="99"/>
    <w:semiHidden/>
    <w:rsid w:val="00A867FC"/>
    <w:rPr>
      <w:rFonts w:cs="Times New Roman"/>
      <w:sz w:val="16"/>
      <w:szCs w:val="16"/>
    </w:rPr>
  </w:style>
  <w:style w:type="paragraph" w:styleId="CommentText">
    <w:name w:val="annotation text"/>
    <w:basedOn w:val="Normal"/>
    <w:link w:val="CommentTextChar"/>
    <w:uiPriority w:val="99"/>
    <w:semiHidden/>
    <w:rsid w:val="00A867FC"/>
    <w:rPr>
      <w:sz w:val="20"/>
    </w:rPr>
  </w:style>
  <w:style w:type="character" w:customStyle="1" w:styleId="CommentTextChar">
    <w:name w:val="Comment Text Char"/>
    <w:basedOn w:val="DefaultParagraphFont"/>
    <w:link w:val="CommentText"/>
    <w:uiPriority w:val="99"/>
    <w:semiHidden/>
    <w:rsid w:val="00E45A90"/>
    <w:rPr>
      <w:sz w:val="20"/>
      <w:szCs w:val="20"/>
      <w:lang w:eastAsia="en-US"/>
    </w:rPr>
  </w:style>
  <w:style w:type="paragraph" w:styleId="Date">
    <w:name w:val="Date"/>
    <w:basedOn w:val="Normal"/>
    <w:next w:val="Normal"/>
    <w:link w:val="DateChar"/>
    <w:uiPriority w:val="99"/>
    <w:semiHidden/>
    <w:rsid w:val="00A867FC"/>
  </w:style>
  <w:style w:type="character" w:customStyle="1" w:styleId="DateChar">
    <w:name w:val="Date Char"/>
    <w:basedOn w:val="DefaultParagraphFont"/>
    <w:link w:val="Date"/>
    <w:uiPriority w:val="99"/>
    <w:semiHidden/>
    <w:rsid w:val="00E45A90"/>
    <w:rPr>
      <w:sz w:val="24"/>
      <w:szCs w:val="20"/>
      <w:lang w:eastAsia="en-US"/>
    </w:rPr>
  </w:style>
  <w:style w:type="paragraph" w:styleId="E-mailSignature">
    <w:name w:val="E-mail Signature"/>
    <w:basedOn w:val="Normal"/>
    <w:link w:val="E-mailSignatureChar"/>
    <w:uiPriority w:val="99"/>
    <w:semiHidden/>
    <w:rsid w:val="00A867FC"/>
  </w:style>
  <w:style w:type="character" w:customStyle="1" w:styleId="E-mailSignatureChar">
    <w:name w:val="E-mail Signature Char"/>
    <w:basedOn w:val="DefaultParagraphFont"/>
    <w:link w:val="E-mailSignature"/>
    <w:uiPriority w:val="99"/>
    <w:semiHidden/>
    <w:rsid w:val="00E45A90"/>
    <w:rPr>
      <w:sz w:val="24"/>
      <w:szCs w:val="20"/>
      <w:lang w:eastAsia="en-US"/>
    </w:rPr>
  </w:style>
  <w:style w:type="character" w:styleId="Emphasis">
    <w:name w:val="Emphasis"/>
    <w:basedOn w:val="DefaultParagraphFont"/>
    <w:uiPriority w:val="99"/>
    <w:qFormat/>
    <w:rsid w:val="00A867FC"/>
    <w:rPr>
      <w:rFonts w:cs="Times New Roman"/>
      <w:i/>
      <w:iCs/>
    </w:rPr>
  </w:style>
  <w:style w:type="character" w:styleId="EndnoteReference">
    <w:name w:val="endnote reference"/>
    <w:basedOn w:val="DefaultParagraphFont"/>
    <w:uiPriority w:val="99"/>
    <w:semiHidden/>
    <w:rsid w:val="00A867FC"/>
    <w:rPr>
      <w:rFonts w:cs="Times New Roman"/>
      <w:vertAlign w:val="superscript"/>
    </w:rPr>
  </w:style>
  <w:style w:type="paragraph" w:styleId="EnvelopeAddress">
    <w:name w:val="envelope address"/>
    <w:basedOn w:val="Normal"/>
    <w:uiPriority w:val="99"/>
    <w:semiHidden/>
    <w:rsid w:val="00A867F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A867FC"/>
    <w:rPr>
      <w:rFonts w:ascii="Arial" w:hAnsi="Arial" w:cs="Arial"/>
      <w:sz w:val="20"/>
    </w:rPr>
  </w:style>
  <w:style w:type="character" w:styleId="FollowedHyperlink">
    <w:name w:val="FollowedHyperlink"/>
    <w:basedOn w:val="DefaultParagraphFont"/>
    <w:uiPriority w:val="99"/>
    <w:semiHidden/>
    <w:rsid w:val="00A867FC"/>
    <w:rPr>
      <w:rFonts w:cs="Times New Roman"/>
      <w:color w:val="800080"/>
      <w:u w:val="single"/>
    </w:rPr>
  </w:style>
  <w:style w:type="character" w:styleId="HTMLAcronym">
    <w:name w:val="HTML Acronym"/>
    <w:basedOn w:val="DefaultParagraphFont"/>
    <w:uiPriority w:val="99"/>
    <w:semiHidden/>
    <w:rsid w:val="00A867FC"/>
    <w:rPr>
      <w:rFonts w:cs="Times New Roman"/>
    </w:rPr>
  </w:style>
  <w:style w:type="paragraph" w:styleId="HTMLAddress">
    <w:name w:val="HTML Address"/>
    <w:basedOn w:val="Normal"/>
    <w:link w:val="HTMLAddressChar"/>
    <w:uiPriority w:val="99"/>
    <w:semiHidden/>
    <w:rsid w:val="00A867FC"/>
    <w:rPr>
      <w:i/>
      <w:iCs/>
    </w:rPr>
  </w:style>
  <w:style w:type="character" w:customStyle="1" w:styleId="HTMLAddressChar">
    <w:name w:val="HTML Address Char"/>
    <w:basedOn w:val="DefaultParagraphFont"/>
    <w:link w:val="HTMLAddress"/>
    <w:uiPriority w:val="99"/>
    <w:semiHidden/>
    <w:rsid w:val="00E45A90"/>
    <w:rPr>
      <w:i/>
      <w:iCs/>
      <w:sz w:val="24"/>
      <w:szCs w:val="20"/>
      <w:lang w:eastAsia="en-US"/>
    </w:rPr>
  </w:style>
  <w:style w:type="character" w:styleId="HTMLCite">
    <w:name w:val="HTML Cite"/>
    <w:basedOn w:val="DefaultParagraphFont"/>
    <w:uiPriority w:val="99"/>
    <w:semiHidden/>
    <w:rsid w:val="00A867FC"/>
    <w:rPr>
      <w:rFonts w:cs="Times New Roman"/>
      <w:i/>
      <w:iCs/>
    </w:rPr>
  </w:style>
  <w:style w:type="character" w:styleId="HTMLCode">
    <w:name w:val="HTML Code"/>
    <w:basedOn w:val="DefaultParagraphFont"/>
    <w:uiPriority w:val="99"/>
    <w:semiHidden/>
    <w:rsid w:val="00A867FC"/>
    <w:rPr>
      <w:rFonts w:ascii="Courier New" w:hAnsi="Courier New" w:cs="Times New Roman"/>
      <w:sz w:val="20"/>
      <w:szCs w:val="20"/>
    </w:rPr>
  </w:style>
  <w:style w:type="character" w:styleId="HTMLDefinition">
    <w:name w:val="HTML Definition"/>
    <w:basedOn w:val="DefaultParagraphFont"/>
    <w:uiPriority w:val="99"/>
    <w:semiHidden/>
    <w:rsid w:val="00A867FC"/>
    <w:rPr>
      <w:rFonts w:cs="Times New Roman"/>
      <w:i/>
      <w:iCs/>
    </w:rPr>
  </w:style>
  <w:style w:type="character" w:styleId="HTMLKeyboard">
    <w:name w:val="HTML Keyboard"/>
    <w:basedOn w:val="DefaultParagraphFont"/>
    <w:uiPriority w:val="99"/>
    <w:semiHidden/>
    <w:rsid w:val="00A867FC"/>
    <w:rPr>
      <w:rFonts w:ascii="Courier New" w:hAnsi="Courier New" w:cs="Times New Roman"/>
      <w:sz w:val="20"/>
      <w:szCs w:val="20"/>
    </w:rPr>
  </w:style>
  <w:style w:type="paragraph" w:styleId="HTMLPreformatted">
    <w:name w:val="HTML Preformatted"/>
    <w:basedOn w:val="Normal"/>
    <w:link w:val="HTMLPreformattedChar"/>
    <w:uiPriority w:val="99"/>
    <w:semiHidden/>
    <w:rsid w:val="00A867FC"/>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45A90"/>
    <w:rPr>
      <w:rFonts w:ascii="Courier New" w:hAnsi="Courier New" w:cs="Courier New"/>
      <w:sz w:val="20"/>
      <w:szCs w:val="20"/>
      <w:lang w:eastAsia="en-US"/>
    </w:rPr>
  </w:style>
  <w:style w:type="character" w:styleId="HTMLSample">
    <w:name w:val="HTML Sample"/>
    <w:basedOn w:val="DefaultParagraphFont"/>
    <w:uiPriority w:val="99"/>
    <w:semiHidden/>
    <w:rsid w:val="00A867FC"/>
    <w:rPr>
      <w:rFonts w:ascii="Courier New" w:hAnsi="Courier New" w:cs="Times New Roman"/>
    </w:rPr>
  </w:style>
  <w:style w:type="character" w:styleId="HTMLTypewriter">
    <w:name w:val="HTML Typewriter"/>
    <w:basedOn w:val="DefaultParagraphFont"/>
    <w:uiPriority w:val="99"/>
    <w:semiHidden/>
    <w:rsid w:val="00A867FC"/>
    <w:rPr>
      <w:rFonts w:ascii="Courier New" w:hAnsi="Courier New" w:cs="Times New Roman"/>
      <w:sz w:val="20"/>
      <w:szCs w:val="20"/>
    </w:rPr>
  </w:style>
  <w:style w:type="character" w:styleId="HTMLVariable">
    <w:name w:val="HTML Variable"/>
    <w:basedOn w:val="DefaultParagraphFont"/>
    <w:uiPriority w:val="99"/>
    <w:semiHidden/>
    <w:rsid w:val="00A867FC"/>
    <w:rPr>
      <w:rFonts w:cs="Times New Roman"/>
      <w:i/>
      <w:iCs/>
    </w:rPr>
  </w:style>
  <w:style w:type="character" w:styleId="Hyperlink">
    <w:name w:val="Hyperlink"/>
    <w:basedOn w:val="DefaultParagraphFont"/>
    <w:uiPriority w:val="99"/>
    <w:semiHidden/>
    <w:rsid w:val="00A867FC"/>
    <w:rPr>
      <w:rFonts w:cs="Times New Roman"/>
      <w:color w:val="0000FF"/>
      <w:u w:val="single"/>
    </w:rPr>
  </w:style>
  <w:style w:type="paragraph" w:styleId="Index1">
    <w:name w:val="index 1"/>
    <w:basedOn w:val="Normal"/>
    <w:next w:val="Normal"/>
    <w:autoRedefine/>
    <w:uiPriority w:val="99"/>
    <w:semiHidden/>
    <w:rsid w:val="00A867FC"/>
    <w:pPr>
      <w:ind w:left="240" w:hanging="240"/>
    </w:pPr>
  </w:style>
  <w:style w:type="paragraph" w:styleId="Index2">
    <w:name w:val="index 2"/>
    <w:basedOn w:val="Normal"/>
    <w:next w:val="Normal"/>
    <w:autoRedefine/>
    <w:uiPriority w:val="99"/>
    <w:semiHidden/>
    <w:rsid w:val="00A867FC"/>
    <w:pPr>
      <w:ind w:left="480" w:hanging="240"/>
    </w:pPr>
  </w:style>
  <w:style w:type="paragraph" w:styleId="Index3">
    <w:name w:val="index 3"/>
    <w:basedOn w:val="Normal"/>
    <w:next w:val="Normal"/>
    <w:autoRedefine/>
    <w:uiPriority w:val="99"/>
    <w:semiHidden/>
    <w:rsid w:val="00A867FC"/>
    <w:pPr>
      <w:ind w:left="720" w:hanging="240"/>
    </w:pPr>
  </w:style>
  <w:style w:type="paragraph" w:styleId="Index4">
    <w:name w:val="index 4"/>
    <w:basedOn w:val="Normal"/>
    <w:next w:val="Normal"/>
    <w:autoRedefine/>
    <w:uiPriority w:val="99"/>
    <w:semiHidden/>
    <w:rsid w:val="00A867FC"/>
    <w:pPr>
      <w:ind w:left="960" w:hanging="240"/>
    </w:pPr>
  </w:style>
  <w:style w:type="paragraph" w:styleId="Index5">
    <w:name w:val="index 5"/>
    <w:basedOn w:val="Normal"/>
    <w:next w:val="Normal"/>
    <w:autoRedefine/>
    <w:uiPriority w:val="99"/>
    <w:semiHidden/>
    <w:rsid w:val="00A867FC"/>
    <w:pPr>
      <w:ind w:left="1200" w:hanging="240"/>
    </w:pPr>
  </w:style>
  <w:style w:type="paragraph" w:styleId="Index6">
    <w:name w:val="index 6"/>
    <w:basedOn w:val="Normal"/>
    <w:next w:val="Normal"/>
    <w:autoRedefine/>
    <w:uiPriority w:val="99"/>
    <w:semiHidden/>
    <w:rsid w:val="00A867FC"/>
    <w:pPr>
      <w:ind w:left="1440" w:hanging="240"/>
    </w:pPr>
  </w:style>
  <w:style w:type="paragraph" w:styleId="Index7">
    <w:name w:val="index 7"/>
    <w:basedOn w:val="Normal"/>
    <w:next w:val="Normal"/>
    <w:autoRedefine/>
    <w:uiPriority w:val="99"/>
    <w:semiHidden/>
    <w:rsid w:val="00A867FC"/>
    <w:pPr>
      <w:ind w:left="1680" w:hanging="240"/>
    </w:pPr>
  </w:style>
  <w:style w:type="paragraph" w:styleId="Index8">
    <w:name w:val="index 8"/>
    <w:basedOn w:val="Normal"/>
    <w:next w:val="Normal"/>
    <w:autoRedefine/>
    <w:uiPriority w:val="99"/>
    <w:semiHidden/>
    <w:rsid w:val="00A867FC"/>
    <w:pPr>
      <w:ind w:left="1920" w:hanging="240"/>
    </w:pPr>
  </w:style>
  <w:style w:type="paragraph" w:styleId="Index9">
    <w:name w:val="index 9"/>
    <w:basedOn w:val="Normal"/>
    <w:next w:val="Normal"/>
    <w:autoRedefine/>
    <w:uiPriority w:val="99"/>
    <w:semiHidden/>
    <w:rsid w:val="00A867FC"/>
    <w:pPr>
      <w:ind w:left="2160" w:hanging="240"/>
    </w:pPr>
  </w:style>
  <w:style w:type="paragraph" w:styleId="IndexHeading">
    <w:name w:val="index heading"/>
    <w:basedOn w:val="Normal"/>
    <w:next w:val="Index1"/>
    <w:uiPriority w:val="99"/>
    <w:semiHidden/>
    <w:rsid w:val="00A867FC"/>
    <w:rPr>
      <w:rFonts w:ascii="Arial" w:hAnsi="Arial" w:cs="Arial"/>
      <w:b/>
      <w:bCs/>
    </w:rPr>
  </w:style>
  <w:style w:type="character" w:styleId="LineNumber">
    <w:name w:val="line number"/>
    <w:basedOn w:val="DefaultParagraphFont"/>
    <w:uiPriority w:val="99"/>
    <w:semiHidden/>
    <w:rsid w:val="00A867FC"/>
    <w:rPr>
      <w:rFonts w:cs="Times New Roman"/>
    </w:rPr>
  </w:style>
  <w:style w:type="paragraph" w:styleId="List">
    <w:name w:val="List"/>
    <w:basedOn w:val="Normal"/>
    <w:uiPriority w:val="99"/>
    <w:semiHidden/>
    <w:rsid w:val="00A867FC"/>
    <w:pPr>
      <w:ind w:left="283" w:hanging="283"/>
    </w:pPr>
  </w:style>
  <w:style w:type="paragraph" w:styleId="List2">
    <w:name w:val="List 2"/>
    <w:basedOn w:val="Normal"/>
    <w:uiPriority w:val="99"/>
    <w:semiHidden/>
    <w:rsid w:val="00A867FC"/>
    <w:pPr>
      <w:ind w:left="566" w:hanging="283"/>
    </w:pPr>
  </w:style>
  <w:style w:type="paragraph" w:styleId="List3">
    <w:name w:val="List 3"/>
    <w:basedOn w:val="Normal"/>
    <w:uiPriority w:val="99"/>
    <w:semiHidden/>
    <w:rsid w:val="00A867FC"/>
    <w:pPr>
      <w:ind w:left="849" w:hanging="283"/>
    </w:pPr>
  </w:style>
  <w:style w:type="paragraph" w:styleId="List4">
    <w:name w:val="List 4"/>
    <w:basedOn w:val="Normal"/>
    <w:uiPriority w:val="99"/>
    <w:semiHidden/>
    <w:rsid w:val="00A867FC"/>
    <w:pPr>
      <w:ind w:left="1132" w:hanging="283"/>
    </w:pPr>
  </w:style>
  <w:style w:type="paragraph" w:styleId="List5">
    <w:name w:val="List 5"/>
    <w:basedOn w:val="Normal"/>
    <w:uiPriority w:val="99"/>
    <w:semiHidden/>
    <w:rsid w:val="00A867FC"/>
    <w:pPr>
      <w:ind w:left="1415" w:hanging="283"/>
    </w:pPr>
  </w:style>
  <w:style w:type="paragraph" w:styleId="ListBullet">
    <w:name w:val="List Bullet"/>
    <w:basedOn w:val="Normal"/>
    <w:autoRedefine/>
    <w:uiPriority w:val="99"/>
    <w:semiHidden/>
    <w:rsid w:val="00A867FC"/>
    <w:pPr>
      <w:numPr>
        <w:numId w:val="20"/>
      </w:numPr>
      <w:tabs>
        <w:tab w:val="clear" w:pos="1492"/>
        <w:tab w:val="num" w:pos="360"/>
      </w:tabs>
      <w:ind w:left="360"/>
    </w:pPr>
  </w:style>
  <w:style w:type="paragraph" w:styleId="ListBullet2">
    <w:name w:val="List Bullet 2"/>
    <w:basedOn w:val="Normal"/>
    <w:autoRedefine/>
    <w:uiPriority w:val="99"/>
    <w:semiHidden/>
    <w:rsid w:val="00A867FC"/>
    <w:pPr>
      <w:numPr>
        <w:numId w:val="21"/>
      </w:numPr>
      <w:tabs>
        <w:tab w:val="num" w:pos="643"/>
      </w:tabs>
      <w:ind w:left="643" w:hanging="360"/>
    </w:pPr>
  </w:style>
  <w:style w:type="paragraph" w:styleId="ListBullet3">
    <w:name w:val="List Bullet 3"/>
    <w:basedOn w:val="Normal"/>
    <w:autoRedefine/>
    <w:uiPriority w:val="99"/>
    <w:semiHidden/>
    <w:rsid w:val="00A867FC"/>
    <w:pPr>
      <w:numPr>
        <w:numId w:val="22"/>
      </w:numPr>
      <w:tabs>
        <w:tab w:val="clear" w:pos="360"/>
        <w:tab w:val="num" w:pos="926"/>
      </w:tabs>
      <w:ind w:left="926"/>
    </w:pPr>
  </w:style>
  <w:style w:type="paragraph" w:styleId="ListBullet4">
    <w:name w:val="List Bullet 4"/>
    <w:basedOn w:val="Normal"/>
    <w:autoRedefine/>
    <w:uiPriority w:val="99"/>
    <w:semiHidden/>
    <w:rsid w:val="00A867FC"/>
    <w:pPr>
      <w:numPr>
        <w:numId w:val="23"/>
      </w:numPr>
      <w:tabs>
        <w:tab w:val="clear" w:pos="360"/>
        <w:tab w:val="num" w:pos="1209"/>
      </w:tabs>
      <w:ind w:left="1209"/>
    </w:pPr>
  </w:style>
  <w:style w:type="paragraph" w:styleId="ListBullet5">
    <w:name w:val="List Bullet 5"/>
    <w:basedOn w:val="Normal"/>
    <w:autoRedefine/>
    <w:uiPriority w:val="99"/>
    <w:semiHidden/>
    <w:rsid w:val="00A867FC"/>
    <w:pPr>
      <w:numPr>
        <w:numId w:val="24"/>
      </w:numPr>
      <w:tabs>
        <w:tab w:val="clear" w:pos="360"/>
        <w:tab w:val="num" w:pos="1492"/>
      </w:tabs>
      <w:ind w:left="1492"/>
    </w:pPr>
  </w:style>
  <w:style w:type="paragraph" w:styleId="ListContinue">
    <w:name w:val="List Continue"/>
    <w:basedOn w:val="Normal"/>
    <w:uiPriority w:val="99"/>
    <w:semiHidden/>
    <w:rsid w:val="00A867FC"/>
    <w:pPr>
      <w:spacing w:after="120"/>
      <w:ind w:left="283"/>
    </w:pPr>
  </w:style>
  <w:style w:type="paragraph" w:styleId="ListContinue2">
    <w:name w:val="List Continue 2"/>
    <w:basedOn w:val="Normal"/>
    <w:uiPriority w:val="99"/>
    <w:semiHidden/>
    <w:rsid w:val="00A867FC"/>
    <w:pPr>
      <w:spacing w:after="120"/>
      <w:ind w:left="566"/>
    </w:pPr>
  </w:style>
  <w:style w:type="paragraph" w:styleId="ListContinue3">
    <w:name w:val="List Continue 3"/>
    <w:basedOn w:val="Normal"/>
    <w:uiPriority w:val="99"/>
    <w:semiHidden/>
    <w:rsid w:val="00A867FC"/>
    <w:pPr>
      <w:spacing w:after="120"/>
      <w:ind w:left="849"/>
    </w:pPr>
  </w:style>
  <w:style w:type="paragraph" w:styleId="ListContinue4">
    <w:name w:val="List Continue 4"/>
    <w:basedOn w:val="Normal"/>
    <w:uiPriority w:val="99"/>
    <w:semiHidden/>
    <w:rsid w:val="00A867FC"/>
    <w:pPr>
      <w:spacing w:after="120"/>
      <w:ind w:left="1132"/>
    </w:pPr>
  </w:style>
  <w:style w:type="paragraph" w:styleId="ListContinue5">
    <w:name w:val="List Continue 5"/>
    <w:basedOn w:val="Normal"/>
    <w:uiPriority w:val="99"/>
    <w:semiHidden/>
    <w:rsid w:val="00A867FC"/>
    <w:pPr>
      <w:spacing w:after="120"/>
      <w:ind w:left="1415"/>
    </w:pPr>
  </w:style>
  <w:style w:type="paragraph" w:styleId="ListNumber">
    <w:name w:val="List Number"/>
    <w:basedOn w:val="Normal"/>
    <w:uiPriority w:val="99"/>
    <w:semiHidden/>
    <w:rsid w:val="00A867FC"/>
    <w:pPr>
      <w:numPr>
        <w:numId w:val="25"/>
      </w:numPr>
      <w:tabs>
        <w:tab w:val="num" w:pos="360"/>
      </w:tabs>
      <w:ind w:left="360" w:hanging="360"/>
    </w:pPr>
  </w:style>
  <w:style w:type="paragraph" w:styleId="ListNumber2">
    <w:name w:val="List Number 2"/>
    <w:basedOn w:val="Normal"/>
    <w:uiPriority w:val="99"/>
    <w:semiHidden/>
    <w:rsid w:val="00A867FC"/>
    <w:pPr>
      <w:numPr>
        <w:numId w:val="26"/>
      </w:numPr>
      <w:tabs>
        <w:tab w:val="clear" w:pos="0"/>
        <w:tab w:val="num" w:pos="643"/>
      </w:tabs>
      <w:ind w:left="643" w:hanging="360"/>
    </w:pPr>
  </w:style>
  <w:style w:type="paragraph" w:styleId="ListNumber3">
    <w:name w:val="List Number 3"/>
    <w:basedOn w:val="Normal"/>
    <w:uiPriority w:val="99"/>
    <w:semiHidden/>
    <w:rsid w:val="00A867FC"/>
    <w:pPr>
      <w:numPr>
        <w:numId w:val="27"/>
      </w:numPr>
      <w:tabs>
        <w:tab w:val="clear" w:pos="0"/>
        <w:tab w:val="num" w:pos="926"/>
      </w:tabs>
      <w:ind w:left="926" w:hanging="360"/>
    </w:pPr>
  </w:style>
  <w:style w:type="paragraph" w:styleId="ListNumber4">
    <w:name w:val="List Number 4"/>
    <w:basedOn w:val="Normal"/>
    <w:uiPriority w:val="99"/>
    <w:semiHidden/>
    <w:rsid w:val="00A867FC"/>
    <w:pPr>
      <w:numPr>
        <w:numId w:val="28"/>
      </w:numPr>
      <w:tabs>
        <w:tab w:val="clear" w:pos="0"/>
        <w:tab w:val="num" w:pos="1209"/>
      </w:tabs>
      <w:ind w:left="1209" w:hanging="360"/>
    </w:pPr>
  </w:style>
  <w:style w:type="paragraph" w:styleId="ListNumber5">
    <w:name w:val="List Number 5"/>
    <w:basedOn w:val="Normal"/>
    <w:uiPriority w:val="99"/>
    <w:semiHidden/>
    <w:rsid w:val="00A867FC"/>
    <w:pPr>
      <w:numPr>
        <w:numId w:val="29"/>
      </w:numPr>
      <w:tabs>
        <w:tab w:val="clear" w:pos="360"/>
        <w:tab w:val="num" w:pos="1492"/>
      </w:tabs>
      <w:ind w:left="1492" w:hanging="360"/>
    </w:pPr>
  </w:style>
  <w:style w:type="paragraph" w:styleId="MacroText">
    <w:name w:val="macro"/>
    <w:link w:val="MacroTextChar"/>
    <w:uiPriority w:val="99"/>
    <w:semiHidden/>
    <w:rsid w:val="00A867F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E45A90"/>
    <w:rPr>
      <w:rFonts w:ascii="Courier New" w:hAnsi="Courier New" w:cs="Courier New"/>
      <w:sz w:val="20"/>
      <w:szCs w:val="20"/>
      <w:lang w:eastAsia="en-US"/>
    </w:rPr>
  </w:style>
  <w:style w:type="paragraph" w:styleId="MessageHeader">
    <w:name w:val="Message Header"/>
    <w:basedOn w:val="Normal"/>
    <w:link w:val="MessageHeaderChar"/>
    <w:uiPriority w:val="99"/>
    <w:semiHidden/>
    <w:rsid w:val="00A867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45A90"/>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A867FC"/>
    <w:rPr>
      <w:szCs w:val="24"/>
    </w:rPr>
  </w:style>
  <w:style w:type="paragraph" w:styleId="NormalIndent">
    <w:name w:val="Normal Indent"/>
    <w:basedOn w:val="Normal"/>
    <w:uiPriority w:val="99"/>
    <w:semiHidden/>
    <w:rsid w:val="00A867FC"/>
    <w:pPr>
      <w:ind w:left="720"/>
    </w:pPr>
  </w:style>
  <w:style w:type="paragraph" w:styleId="NoteHeading">
    <w:name w:val="Note Heading"/>
    <w:basedOn w:val="Normal"/>
    <w:next w:val="Normal"/>
    <w:link w:val="NoteHeadingChar"/>
    <w:uiPriority w:val="99"/>
    <w:semiHidden/>
    <w:rsid w:val="00A867FC"/>
  </w:style>
  <w:style w:type="character" w:customStyle="1" w:styleId="NoteHeadingChar">
    <w:name w:val="Note Heading Char"/>
    <w:basedOn w:val="DefaultParagraphFont"/>
    <w:link w:val="NoteHeading"/>
    <w:uiPriority w:val="99"/>
    <w:semiHidden/>
    <w:rsid w:val="00E45A90"/>
    <w:rPr>
      <w:sz w:val="24"/>
      <w:szCs w:val="20"/>
      <w:lang w:eastAsia="en-US"/>
    </w:rPr>
  </w:style>
  <w:style w:type="paragraph" w:styleId="PlainText">
    <w:name w:val="Plain Text"/>
    <w:basedOn w:val="Normal"/>
    <w:link w:val="PlainTextChar"/>
    <w:uiPriority w:val="99"/>
    <w:semiHidden/>
    <w:rsid w:val="00A867FC"/>
    <w:rPr>
      <w:rFonts w:ascii="Courier New" w:hAnsi="Courier New" w:cs="Courier New"/>
      <w:sz w:val="20"/>
    </w:rPr>
  </w:style>
  <w:style w:type="character" w:customStyle="1" w:styleId="PlainTextChar">
    <w:name w:val="Plain Text Char"/>
    <w:basedOn w:val="DefaultParagraphFont"/>
    <w:link w:val="PlainText"/>
    <w:uiPriority w:val="99"/>
    <w:semiHidden/>
    <w:rsid w:val="00E45A90"/>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A867FC"/>
  </w:style>
  <w:style w:type="character" w:customStyle="1" w:styleId="SalutationChar">
    <w:name w:val="Salutation Char"/>
    <w:basedOn w:val="DefaultParagraphFont"/>
    <w:link w:val="Salutation"/>
    <w:uiPriority w:val="99"/>
    <w:semiHidden/>
    <w:rsid w:val="00E45A90"/>
    <w:rPr>
      <w:sz w:val="24"/>
      <w:szCs w:val="20"/>
      <w:lang w:eastAsia="en-US"/>
    </w:rPr>
  </w:style>
  <w:style w:type="paragraph" w:styleId="Signature">
    <w:name w:val="Signature"/>
    <w:basedOn w:val="Normal"/>
    <w:link w:val="SignatureChar"/>
    <w:uiPriority w:val="99"/>
    <w:semiHidden/>
    <w:rsid w:val="00A867FC"/>
    <w:pPr>
      <w:ind w:left="4252"/>
    </w:pPr>
  </w:style>
  <w:style w:type="character" w:customStyle="1" w:styleId="SignatureChar">
    <w:name w:val="Signature Char"/>
    <w:basedOn w:val="DefaultParagraphFont"/>
    <w:link w:val="Signature"/>
    <w:uiPriority w:val="99"/>
    <w:semiHidden/>
    <w:rsid w:val="00E45A90"/>
    <w:rPr>
      <w:sz w:val="24"/>
      <w:szCs w:val="20"/>
      <w:lang w:eastAsia="en-US"/>
    </w:rPr>
  </w:style>
  <w:style w:type="character" w:styleId="Strong">
    <w:name w:val="Strong"/>
    <w:basedOn w:val="DefaultParagraphFont"/>
    <w:uiPriority w:val="99"/>
    <w:qFormat/>
    <w:rsid w:val="00A867FC"/>
    <w:rPr>
      <w:rFonts w:cs="Times New Roman"/>
      <w:b/>
      <w:bCs/>
    </w:rPr>
  </w:style>
  <w:style w:type="paragraph" w:styleId="Subtitle">
    <w:name w:val="Subtitle"/>
    <w:basedOn w:val="Normal"/>
    <w:link w:val="SubtitleChar"/>
    <w:uiPriority w:val="99"/>
    <w:qFormat/>
    <w:rsid w:val="00A867FC"/>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45A90"/>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A867FC"/>
    <w:pPr>
      <w:ind w:left="240" w:hanging="240"/>
    </w:pPr>
  </w:style>
  <w:style w:type="paragraph" w:styleId="TableofFigures">
    <w:name w:val="table of figures"/>
    <w:basedOn w:val="Normal"/>
    <w:next w:val="Normal"/>
    <w:uiPriority w:val="99"/>
    <w:semiHidden/>
    <w:rsid w:val="00A867FC"/>
    <w:pPr>
      <w:ind w:left="480" w:hanging="480"/>
    </w:pPr>
  </w:style>
  <w:style w:type="paragraph" w:styleId="Title">
    <w:name w:val="Title"/>
    <w:basedOn w:val="Normal"/>
    <w:link w:val="TitleChar"/>
    <w:uiPriority w:val="99"/>
    <w:qFormat/>
    <w:rsid w:val="00A867F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45A90"/>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rsid w:val="00A867FC"/>
    <w:pPr>
      <w:spacing w:before="120"/>
    </w:pPr>
    <w:rPr>
      <w:rFonts w:ascii="Arial" w:hAnsi="Arial" w:cs="Arial"/>
      <w:b/>
      <w:bCs/>
      <w:szCs w:val="24"/>
    </w:rPr>
  </w:style>
  <w:style w:type="paragraph" w:styleId="TOC1">
    <w:name w:val="toc 1"/>
    <w:basedOn w:val="Normal"/>
    <w:next w:val="Normal"/>
    <w:autoRedefine/>
    <w:uiPriority w:val="99"/>
    <w:semiHidden/>
    <w:rsid w:val="00A867FC"/>
  </w:style>
  <w:style w:type="paragraph" w:styleId="TOC2">
    <w:name w:val="toc 2"/>
    <w:basedOn w:val="Normal"/>
    <w:next w:val="Normal"/>
    <w:autoRedefine/>
    <w:uiPriority w:val="99"/>
    <w:semiHidden/>
    <w:rsid w:val="00A867FC"/>
    <w:pPr>
      <w:ind w:left="240"/>
    </w:pPr>
  </w:style>
  <w:style w:type="paragraph" w:styleId="TOC3">
    <w:name w:val="toc 3"/>
    <w:basedOn w:val="Normal"/>
    <w:next w:val="Normal"/>
    <w:autoRedefine/>
    <w:uiPriority w:val="99"/>
    <w:semiHidden/>
    <w:rsid w:val="00A867FC"/>
    <w:pPr>
      <w:ind w:left="480"/>
    </w:pPr>
  </w:style>
  <w:style w:type="paragraph" w:styleId="TOC4">
    <w:name w:val="toc 4"/>
    <w:basedOn w:val="Normal"/>
    <w:next w:val="Normal"/>
    <w:autoRedefine/>
    <w:uiPriority w:val="99"/>
    <w:semiHidden/>
    <w:rsid w:val="00A867FC"/>
    <w:pPr>
      <w:ind w:left="720"/>
    </w:pPr>
  </w:style>
  <w:style w:type="paragraph" w:styleId="TOC5">
    <w:name w:val="toc 5"/>
    <w:basedOn w:val="Normal"/>
    <w:next w:val="Normal"/>
    <w:autoRedefine/>
    <w:uiPriority w:val="99"/>
    <w:semiHidden/>
    <w:rsid w:val="00A867FC"/>
    <w:pPr>
      <w:ind w:left="960"/>
    </w:pPr>
  </w:style>
  <w:style w:type="paragraph" w:styleId="TOC6">
    <w:name w:val="toc 6"/>
    <w:basedOn w:val="Normal"/>
    <w:next w:val="Normal"/>
    <w:autoRedefine/>
    <w:uiPriority w:val="99"/>
    <w:semiHidden/>
    <w:rsid w:val="00A867FC"/>
    <w:pPr>
      <w:ind w:left="1200"/>
    </w:pPr>
  </w:style>
  <w:style w:type="paragraph" w:styleId="TOC7">
    <w:name w:val="toc 7"/>
    <w:basedOn w:val="Normal"/>
    <w:next w:val="Normal"/>
    <w:autoRedefine/>
    <w:uiPriority w:val="99"/>
    <w:semiHidden/>
    <w:rsid w:val="00A867FC"/>
    <w:pPr>
      <w:ind w:left="1440"/>
    </w:pPr>
  </w:style>
  <w:style w:type="paragraph" w:styleId="TOC8">
    <w:name w:val="toc 8"/>
    <w:basedOn w:val="Normal"/>
    <w:next w:val="Normal"/>
    <w:autoRedefine/>
    <w:uiPriority w:val="99"/>
    <w:semiHidden/>
    <w:rsid w:val="00A867FC"/>
    <w:pPr>
      <w:ind w:left="1680"/>
    </w:pPr>
  </w:style>
  <w:style w:type="paragraph" w:styleId="TOC9">
    <w:name w:val="toc 9"/>
    <w:basedOn w:val="Normal"/>
    <w:next w:val="Normal"/>
    <w:autoRedefine/>
    <w:uiPriority w:val="99"/>
    <w:semiHidden/>
    <w:rsid w:val="00A867FC"/>
    <w:pPr>
      <w:ind w:left="1920"/>
    </w:pPr>
  </w:style>
  <w:style w:type="paragraph" w:customStyle="1" w:styleId="T5Table">
    <w:name w:val="T5Table"/>
    <w:basedOn w:val="Normal"/>
    <w:uiPriority w:val="99"/>
    <w:rsid w:val="00A867FC"/>
    <w:pPr>
      <w:widowControl/>
      <w:spacing w:line="240" w:lineRule="atLeast"/>
      <w:jc w:val="right"/>
    </w:pPr>
    <w:rPr>
      <w:rFonts w:ascii="Frutiger 45" w:hAnsi="Frutiger 45"/>
      <w:sz w:val="18"/>
      <w:szCs w:val="24"/>
    </w:rPr>
  </w:style>
  <w:style w:type="paragraph" w:customStyle="1" w:styleId="T11TextBody">
    <w:name w:val="T11TextBody"/>
    <w:basedOn w:val="Normal"/>
    <w:uiPriority w:val="99"/>
    <w:rsid w:val="00FC109A"/>
    <w:pPr>
      <w:widowControl/>
      <w:spacing w:after="140" w:line="300" w:lineRule="exact"/>
    </w:pPr>
    <w:rPr>
      <w:rFonts w:ascii="Frutiger 45" w:hAnsi="Frutiger 45"/>
      <w:sz w:val="22"/>
    </w:rPr>
  </w:style>
  <w:style w:type="character" w:customStyle="1" w:styleId="T11TextBold">
    <w:name w:val="T11TextBold"/>
    <w:uiPriority w:val="99"/>
    <w:rsid w:val="00FC109A"/>
    <w:rPr>
      <w:rFonts w:ascii="Frutiger 55" w:hAnsi="Frutiger 55"/>
      <w:b/>
      <w:sz w:val="22"/>
    </w:rPr>
  </w:style>
  <w:style w:type="table" w:styleId="TableGrid">
    <w:name w:val="Table Grid"/>
    <w:basedOn w:val="TableNormal"/>
    <w:uiPriority w:val="99"/>
    <w:rsid w:val="00165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330BB6"/>
    <w:pPr>
      <w:widowControl/>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330BB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30BB6"/>
    <w:pPr>
      <w:widowControl/>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330BB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39234490">
      <w:marLeft w:val="0"/>
      <w:marRight w:val="0"/>
      <w:marTop w:val="0"/>
      <w:marBottom w:val="0"/>
      <w:divBdr>
        <w:top w:val="none" w:sz="0" w:space="0" w:color="auto"/>
        <w:left w:val="none" w:sz="0" w:space="0" w:color="auto"/>
        <w:bottom w:val="none" w:sz="0" w:space="0" w:color="auto"/>
        <w:right w:val="none" w:sz="0" w:space="0" w:color="auto"/>
      </w:divBdr>
      <w:divsChild>
        <w:div w:id="2039234476">
          <w:marLeft w:val="0"/>
          <w:marRight w:val="0"/>
          <w:marTop w:val="0"/>
          <w:marBottom w:val="0"/>
          <w:divBdr>
            <w:top w:val="none" w:sz="0" w:space="0" w:color="auto"/>
            <w:left w:val="none" w:sz="0" w:space="0" w:color="auto"/>
            <w:bottom w:val="none" w:sz="0" w:space="0" w:color="auto"/>
            <w:right w:val="none" w:sz="0" w:space="0" w:color="auto"/>
          </w:divBdr>
          <w:divsChild>
            <w:div w:id="2039234504">
              <w:marLeft w:val="0"/>
              <w:marRight w:val="0"/>
              <w:marTop w:val="0"/>
              <w:marBottom w:val="0"/>
              <w:divBdr>
                <w:top w:val="none" w:sz="0" w:space="0" w:color="auto"/>
                <w:left w:val="none" w:sz="0" w:space="0" w:color="auto"/>
                <w:bottom w:val="none" w:sz="0" w:space="0" w:color="auto"/>
                <w:right w:val="none" w:sz="0" w:space="0" w:color="auto"/>
              </w:divBdr>
              <w:divsChild>
                <w:div w:id="2039234474">
                  <w:marLeft w:val="0"/>
                  <w:marRight w:val="0"/>
                  <w:marTop w:val="900"/>
                  <w:marBottom w:val="0"/>
                  <w:divBdr>
                    <w:top w:val="none" w:sz="0" w:space="0" w:color="auto"/>
                    <w:left w:val="none" w:sz="0" w:space="0" w:color="auto"/>
                    <w:bottom w:val="none" w:sz="0" w:space="0" w:color="auto"/>
                    <w:right w:val="none" w:sz="0" w:space="0" w:color="auto"/>
                  </w:divBdr>
                </w:div>
                <w:div w:id="2039234501">
                  <w:marLeft w:val="0"/>
                  <w:marRight w:val="0"/>
                  <w:marTop w:val="0"/>
                  <w:marBottom w:val="0"/>
                  <w:divBdr>
                    <w:top w:val="none" w:sz="0" w:space="0" w:color="auto"/>
                    <w:left w:val="none" w:sz="0" w:space="0" w:color="auto"/>
                    <w:bottom w:val="none" w:sz="0" w:space="0" w:color="auto"/>
                    <w:right w:val="none" w:sz="0" w:space="0" w:color="auto"/>
                  </w:divBdr>
                  <w:divsChild>
                    <w:div w:id="2039234519">
                      <w:marLeft w:val="0"/>
                      <w:marRight w:val="0"/>
                      <w:marTop w:val="150"/>
                      <w:marBottom w:val="0"/>
                      <w:divBdr>
                        <w:top w:val="none" w:sz="0" w:space="0" w:color="auto"/>
                        <w:left w:val="none" w:sz="0" w:space="0" w:color="auto"/>
                        <w:bottom w:val="none" w:sz="0" w:space="0" w:color="auto"/>
                        <w:right w:val="none" w:sz="0" w:space="0" w:color="auto"/>
                      </w:divBdr>
                    </w:div>
                    <w:div w:id="2039234523">
                      <w:marLeft w:val="0"/>
                      <w:marRight w:val="0"/>
                      <w:marTop w:val="0"/>
                      <w:marBottom w:val="0"/>
                      <w:divBdr>
                        <w:top w:val="none" w:sz="0" w:space="0" w:color="auto"/>
                        <w:left w:val="none" w:sz="0" w:space="0" w:color="auto"/>
                        <w:bottom w:val="none" w:sz="0" w:space="0" w:color="auto"/>
                        <w:right w:val="none" w:sz="0" w:space="0" w:color="auto"/>
                      </w:divBdr>
                      <w:divsChild>
                        <w:div w:id="2039234484">
                          <w:marLeft w:val="0"/>
                          <w:marRight w:val="0"/>
                          <w:marTop w:val="0"/>
                          <w:marBottom w:val="0"/>
                          <w:divBdr>
                            <w:top w:val="none" w:sz="0" w:space="0" w:color="auto"/>
                            <w:left w:val="none" w:sz="0" w:space="0" w:color="auto"/>
                            <w:bottom w:val="none" w:sz="0" w:space="0" w:color="auto"/>
                            <w:right w:val="none" w:sz="0" w:space="0" w:color="auto"/>
                          </w:divBdr>
                        </w:div>
                        <w:div w:id="2039234513">
                          <w:marLeft w:val="0"/>
                          <w:marRight w:val="0"/>
                          <w:marTop w:val="0"/>
                          <w:marBottom w:val="0"/>
                          <w:divBdr>
                            <w:top w:val="none" w:sz="0" w:space="0" w:color="auto"/>
                            <w:left w:val="none" w:sz="0" w:space="0" w:color="auto"/>
                            <w:bottom w:val="none" w:sz="0" w:space="0" w:color="auto"/>
                            <w:right w:val="none" w:sz="0" w:space="0" w:color="auto"/>
                          </w:divBdr>
                        </w:div>
                      </w:divsChild>
                    </w:div>
                    <w:div w:id="2039234527">
                      <w:marLeft w:val="0"/>
                      <w:marRight w:val="0"/>
                      <w:marTop w:val="0"/>
                      <w:marBottom w:val="0"/>
                      <w:divBdr>
                        <w:top w:val="none" w:sz="0" w:space="0" w:color="auto"/>
                        <w:left w:val="none" w:sz="0" w:space="0" w:color="auto"/>
                        <w:bottom w:val="none" w:sz="0" w:space="0" w:color="auto"/>
                        <w:right w:val="none" w:sz="0" w:space="0" w:color="auto"/>
                      </w:divBdr>
                      <w:divsChild>
                        <w:div w:id="2039234475">
                          <w:marLeft w:val="0"/>
                          <w:marRight w:val="0"/>
                          <w:marTop w:val="0"/>
                          <w:marBottom w:val="0"/>
                          <w:divBdr>
                            <w:top w:val="none" w:sz="0" w:space="0" w:color="auto"/>
                            <w:left w:val="none" w:sz="0" w:space="0" w:color="auto"/>
                            <w:bottom w:val="none" w:sz="0" w:space="0" w:color="auto"/>
                            <w:right w:val="none" w:sz="0" w:space="0" w:color="auto"/>
                          </w:divBdr>
                        </w:div>
                        <w:div w:id="20392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039234491">
      <w:marLeft w:val="0"/>
      <w:marRight w:val="0"/>
      <w:marTop w:val="0"/>
      <w:marBottom w:val="0"/>
      <w:divBdr>
        <w:top w:val="none" w:sz="0" w:space="0" w:color="auto"/>
        <w:left w:val="none" w:sz="0" w:space="0" w:color="auto"/>
        <w:bottom w:val="none" w:sz="0" w:space="0" w:color="auto"/>
        <w:right w:val="none" w:sz="0" w:space="0" w:color="auto"/>
      </w:divBdr>
      <w:divsChild>
        <w:div w:id="2039234514">
          <w:marLeft w:val="0"/>
          <w:marRight w:val="0"/>
          <w:marTop w:val="0"/>
          <w:marBottom w:val="0"/>
          <w:divBdr>
            <w:top w:val="none" w:sz="0" w:space="0" w:color="auto"/>
            <w:left w:val="none" w:sz="0" w:space="0" w:color="auto"/>
            <w:bottom w:val="none" w:sz="0" w:space="0" w:color="auto"/>
            <w:right w:val="none" w:sz="0" w:space="0" w:color="auto"/>
          </w:divBdr>
          <w:divsChild>
            <w:div w:id="2039234528">
              <w:marLeft w:val="-3075"/>
              <w:marRight w:val="0"/>
              <w:marTop w:val="0"/>
              <w:marBottom w:val="0"/>
              <w:divBdr>
                <w:top w:val="none" w:sz="0" w:space="0" w:color="auto"/>
                <w:left w:val="none" w:sz="0" w:space="0" w:color="auto"/>
                <w:bottom w:val="none" w:sz="0" w:space="0" w:color="auto"/>
                <w:right w:val="none" w:sz="0" w:space="0" w:color="auto"/>
              </w:divBdr>
              <w:divsChild>
                <w:div w:id="2039234503">
                  <w:marLeft w:val="3075"/>
                  <w:marRight w:val="0"/>
                  <w:marTop w:val="0"/>
                  <w:marBottom w:val="0"/>
                  <w:divBdr>
                    <w:top w:val="none" w:sz="0" w:space="0" w:color="auto"/>
                    <w:left w:val="none" w:sz="0" w:space="0" w:color="auto"/>
                    <w:bottom w:val="none" w:sz="0" w:space="0" w:color="auto"/>
                    <w:right w:val="none" w:sz="0" w:space="0" w:color="auto"/>
                  </w:divBdr>
                  <w:divsChild>
                    <w:div w:id="2039234508">
                      <w:marLeft w:val="0"/>
                      <w:marRight w:val="0"/>
                      <w:marTop w:val="0"/>
                      <w:marBottom w:val="0"/>
                      <w:divBdr>
                        <w:top w:val="none" w:sz="0" w:space="0" w:color="auto"/>
                        <w:left w:val="none" w:sz="0" w:space="0" w:color="auto"/>
                        <w:bottom w:val="none" w:sz="0" w:space="0" w:color="auto"/>
                        <w:right w:val="none" w:sz="0" w:space="0" w:color="auto"/>
                      </w:divBdr>
                      <w:divsChild>
                        <w:div w:id="2039234482">
                          <w:marLeft w:val="-2550"/>
                          <w:marRight w:val="0"/>
                          <w:marTop w:val="0"/>
                          <w:marBottom w:val="0"/>
                          <w:divBdr>
                            <w:top w:val="none" w:sz="0" w:space="0" w:color="auto"/>
                            <w:left w:val="none" w:sz="0" w:space="0" w:color="auto"/>
                            <w:bottom w:val="none" w:sz="0" w:space="0" w:color="auto"/>
                            <w:right w:val="none" w:sz="0" w:space="0" w:color="auto"/>
                          </w:divBdr>
                          <w:divsChild>
                            <w:div w:id="2039234473">
                              <w:marLeft w:val="2550"/>
                              <w:marRight w:val="0"/>
                              <w:marTop w:val="0"/>
                              <w:marBottom w:val="0"/>
                              <w:divBdr>
                                <w:top w:val="none" w:sz="0" w:space="0" w:color="auto"/>
                                <w:left w:val="none" w:sz="0" w:space="0" w:color="auto"/>
                                <w:bottom w:val="none" w:sz="0" w:space="0" w:color="auto"/>
                                <w:right w:val="none" w:sz="0" w:space="0" w:color="auto"/>
                              </w:divBdr>
                              <w:divsChild>
                                <w:div w:id="2039234483">
                                  <w:marLeft w:val="3150"/>
                                  <w:marRight w:val="0"/>
                                  <w:marTop w:val="0"/>
                                  <w:marBottom w:val="0"/>
                                  <w:divBdr>
                                    <w:top w:val="none" w:sz="0" w:space="0" w:color="auto"/>
                                    <w:left w:val="none" w:sz="0" w:space="0" w:color="auto"/>
                                    <w:bottom w:val="none" w:sz="0" w:space="0" w:color="auto"/>
                                    <w:right w:val="none" w:sz="0" w:space="0" w:color="auto"/>
                                  </w:divBdr>
                                  <w:divsChild>
                                    <w:div w:id="2039234470">
                                      <w:marLeft w:val="0"/>
                                      <w:marRight w:val="0"/>
                                      <w:marTop w:val="0"/>
                                      <w:marBottom w:val="0"/>
                                      <w:divBdr>
                                        <w:top w:val="none" w:sz="0" w:space="0" w:color="auto"/>
                                        <w:left w:val="none" w:sz="0" w:space="0" w:color="auto"/>
                                        <w:bottom w:val="none" w:sz="0" w:space="0" w:color="auto"/>
                                        <w:right w:val="none" w:sz="0" w:space="0" w:color="auto"/>
                                      </w:divBdr>
                                      <w:divsChild>
                                        <w:div w:id="20392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234494">
      <w:marLeft w:val="0"/>
      <w:marRight w:val="0"/>
      <w:marTop w:val="0"/>
      <w:marBottom w:val="0"/>
      <w:divBdr>
        <w:top w:val="none" w:sz="0" w:space="0" w:color="auto"/>
        <w:left w:val="none" w:sz="0" w:space="0" w:color="auto"/>
        <w:bottom w:val="none" w:sz="0" w:space="0" w:color="auto"/>
        <w:right w:val="none" w:sz="0" w:space="0" w:color="auto"/>
      </w:divBdr>
      <w:divsChild>
        <w:div w:id="2039234520">
          <w:marLeft w:val="0"/>
          <w:marRight w:val="0"/>
          <w:marTop w:val="0"/>
          <w:marBottom w:val="0"/>
          <w:divBdr>
            <w:top w:val="none" w:sz="0" w:space="0" w:color="auto"/>
            <w:left w:val="none" w:sz="0" w:space="0" w:color="auto"/>
            <w:bottom w:val="none" w:sz="0" w:space="0" w:color="auto"/>
            <w:right w:val="none" w:sz="0" w:space="0" w:color="auto"/>
          </w:divBdr>
          <w:divsChild>
            <w:div w:id="2039234469">
              <w:marLeft w:val="0"/>
              <w:marRight w:val="0"/>
              <w:marTop w:val="0"/>
              <w:marBottom w:val="0"/>
              <w:divBdr>
                <w:top w:val="none" w:sz="0" w:space="0" w:color="auto"/>
                <w:left w:val="none" w:sz="0" w:space="0" w:color="auto"/>
                <w:bottom w:val="none" w:sz="0" w:space="0" w:color="auto"/>
                <w:right w:val="none" w:sz="0" w:space="0" w:color="auto"/>
              </w:divBdr>
              <w:divsChild>
                <w:div w:id="2039234500">
                  <w:marLeft w:val="0"/>
                  <w:marRight w:val="0"/>
                  <w:marTop w:val="0"/>
                  <w:marBottom w:val="0"/>
                  <w:divBdr>
                    <w:top w:val="none" w:sz="0" w:space="0" w:color="auto"/>
                    <w:left w:val="none" w:sz="0" w:space="0" w:color="auto"/>
                    <w:bottom w:val="none" w:sz="0" w:space="0" w:color="auto"/>
                    <w:right w:val="none" w:sz="0" w:space="0" w:color="auto"/>
                  </w:divBdr>
                  <w:divsChild>
                    <w:div w:id="2039234472">
                      <w:marLeft w:val="0"/>
                      <w:marRight w:val="0"/>
                      <w:marTop w:val="0"/>
                      <w:marBottom w:val="0"/>
                      <w:divBdr>
                        <w:top w:val="none" w:sz="0" w:space="0" w:color="auto"/>
                        <w:left w:val="none" w:sz="0" w:space="0" w:color="auto"/>
                        <w:bottom w:val="none" w:sz="0" w:space="0" w:color="auto"/>
                        <w:right w:val="none" w:sz="0" w:space="0" w:color="auto"/>
                      </w:divBdr>
                      <w:divsChild>
                        <w:div w:id="2039234518">
                          <w:marLeft w:val="0"/>
                          <w:marRight w:val="0"/>
                          <w:marTop w:val="0"/>
                          <w:marBottom w:val="0"/>
                          <w:divBdr>
                            <w:top w:val="none" w:sz="0" w:space="0" w:color="auto"/>
                            <w:left w:val="none" w:sz="0" w:space="0" w:color="auto"/>
                            <w:bottom w:val="none" w:sz="0" w:space="0" w:color="auto"/>
                            <w:right w:val="none" w:sz="0" w:space="0" w:color="auto"/>
                          </w:divBdr>
                        </w:div>
                      </w:divsChild>
                    </w:div>
                    <w:div w:id="2039234516">
                      <w:marLeft w:val="0"/>
                      <w:marRight w:val="0"/>
                      <w:marTop w:val="0"/>
                      <w:marBottom w:val="0"/>
                      <w:divBdr>
                        <w:top w:val="none" w:sz="0" w:space="0" w:color="auto"/>
                        <w:left w:val="none" w:sz="0" w:space="0" w:color="auto"/>
                        <w:bottom w:val="none" w:sz="0" w:space="0" w:color="auto"/>
                        <w:right w:val="none" w:sz="0" w:space="0" w:color="auto"/>
                      </w:divBdr>
                      <w:divsChild>
                        <w:div w:id="2039234486">
                          <w:marLeft w:val="0"/>
                          <w:marRight w:val="0"/>
                          <w:marTop w:val="0"/>
                          <w:marBottom w:val="0"/>
                          <w:divBdr>
                            <w:top w:val="none" w:sz="0" w:space="0" w:color="auto"/>
                            <w:left w:val="none" w:sz="0" w:space="0" w:color="auto"/>
                            <w:bottom w:val="none" w:sz="0" w:space="0" w:color="auto"/>
                            <w:right w:val="none" w:sz="0" w:space="0" w:color="auto"/>
                          </w:divBdr>
                        </w:div>
                        <w:div w:id="2039234499">
                          <w:marLeft w:val="0"/>
                          <w:marRight w:val="0"/>
                          <w:marTop w:val="0"/>
                          <w:marBottom w:val="0"/>
                          <w:divBdr>
                            <w:top w:val="none" w:sz="0" w:space="0" w:color="auto"/>
                            <w:left w:val="none" w:sz="0" w:space="0" w:color="auto"/>
                            <w:bottom w:val="none" w:sz="0" w:space="0" w:color="auto"/>
                            <w:right w:val="none" w:sz="0" w:space="0" w:color="auto"/>
                          </w:divBdr>
                        </w:div>
                      </w:divsChild>
                    </w:div>
                    <w:div w:id="2039234525">
                      <w:marLeft w:val="0"/>
                      <w:marRight w:val="0"/>
                      <w:marTop w:val="150"/>
                      <w:marBottom w:val="0"/>
                      <w:divBdr>
                        <w:top w:val="none" w:sz="0" w:space="0" w:color="auto"/>
                        <w:left w:val="none" w:sz="0" w:space="0" w:color="auto"/>
                        <w:bottom w:val="none" w:sz="0" w:space="0" w:color="auto"/>
                        <w:right w:val="none" w:sz="0" w:space="0" w:color="auto"/>
                      </w:divBdr>
                    </w:div>
                  </w:divsChild>
                </w:div>
                <w:div w:id="2039234521">
                  <w:marLeft w:val="0"/>
                  <w:marRight w:val="0"/>
                  <w:marTop w:val="0"/>
                  <w:marBottom w:val="165"/>
                  <w:divBdr>
                    <w:top w:val="none" w:sz="0" w:space="0" w:color="auto"/>
                    <w:left w:val="none" w:sz="0" w:space="0" w:color="auto"/>
                    <w:bottom w:val="none" w:sz="0" w:space="0" w:color="auto"/>
                    <w:right w:val="none" w:sz="0" w:space="0" w:color="auto"/>
                  </w:divBdr>
                </w:div>
                <w:div w:id="203923452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39234498">
      <w:marLeft w:val="0"/>
      <w:marRight w:val="0"/>
      <w:marTop w:val="0"/>
      <w:marBottom w:val="0"/>
      <w:divBdr>
        <w:top w:val="none" w:sz="0" w:space="0" w:color="auto"/>
        <w:left w:val="none" w:sz="0" w:space="0" w:color="auto"/>
        <w:bottom w:val="none" w:sz="0" w:space="0" w:color="auto"/>
        <w:right w:val="none" w:sz="0" w:space="0" w:color="auto"/>
      </w:divBdr>
      <w:divsChild>
        <w:div w:id="2039234477">
          <w:marLeft w:val="0"/>
          <w:marRight w:val="0"/>
          <w:marTop w:val="0"/>
          <w:marBottom w:val="0"/>
          <w:divBdr>
            <w:top w:val="none" w:sz="0" w:space="0" w:color="auto"/>
            <w:left w:val="none" w:sz="0" w:space="0" w:color="auto"/>
            <w:bottom w:val="none" w:sz="0" w:space="0" w:color="auto"/>
            <w:right w:val="none" w:sz="0" w:space="0" w:color="auto"/>
          </w:divBdr>
          <w:divsChild>
            <w:div w:id="2039234502">
              <w:marLeft w:val="0"/>
              <w:marRight w:val="0"/>
              <w:marTop w:val="0"/>
              <w:marBottom w:val="0"/>
              <w:divBdr>
                <w:top w:val="none" w:sz="0" w:space="0" w:color="auto"/>
                <w:left w:val="none" w:sz="0" w:space="0" w:color="auto"/>
                <w:bottom w:val="none" w:sz="0" w:space="0" w:color="auto"/>
                <w:right w:val="none" w:sz="0" w:space="0" w:color="auto"/>
              </w:divBdr>
              <w:divsChild>
                <w:div w:id="2039234479">
                  <w:marLeft w:val="0"/>
                  <w:marRight w:val="0"/>
                  <w:marTop w:val="0"/>
                  <w:marBottom w:val="165"/>
                  <w:divBdr>
                    <w:top w:val="none" w:sz="0" w:space="0" w:color="auto"/>
                    <w:left w:val="none" w:sz="0" w:space="0" w:color="auto"/>
                    <w:bottom w:val="none" w:sz="0" w:space="0" w:color="auto"/>
                    <w:right w:val="none" w:sz="0" w:space="0" w:color="auto"/>
                  </w:divBdr>
                </w:div>
                <w:div w:id="2039234515">
                  <w:marLeft w:val="0"/>
                  <w:marRight w:val="0"/>
                  <w:marTop w:val="0"/>
                  <w:marBottom w:val="0"/>
                  <w:divBdr>
                    <w:top w:val="none" w:sz="0" w:space="0" w:color="auto"/>
                    <w:left w:val="none" w:sz="0" w:space="0" w:color="auto"/>
                    <w:bottom w:val="none" w:sz="0" w:space="0" w:color="auto"/>
                    <w:right w:val="none" w:sz="0" w:space="0" w:color="auto"/>
                  </w:divBdr>
                  <w:divsChild>
                    <w:div w:id="2039234481">
                      <w:marLeft w:val="0"/>
                      <w:marRight w:val="0"/>
                      <w:marTop w:val="0"/>
                      <w:marBottom w:val="0"/>
                      <w:divBdr>
                        <w:top w:val="none" w:sz="0" w:space="0" w:color="auto"/>
                        <w:left w:val="none" w:sz="0" w:space="0" w:color="auto"/>
                        <w:bottom w:val="none" w:sz="0" w:space="0" w:color="auto"/>
                        <w:right w:val="none" w:sz="0" w:space="0" w:color="auto"/>
                      </w:divBdr>
                      <w:divsChild>
                        <w:div w:id="2039234489">
                          <w:marLeft w:val="0"/>
                          <w:marRight w:val="0"/>
                          <w:marTop w:val="0"/>
                          <w:marBottom w:val="0"/>
                          <w:divBdr>
                            <w:top w:val="none" w:sz="0" w:space="0" w:color="auto"/>
                            <w:left w:val="none" w:sz="0" w:space="0" w:color="auto"/>
                            <w:bottom w:val="none" w:sz="0" w:space="0" w:color="auto"/>
                            <w:right w:val="none" w:sz="0" w:space="0" w:color="auto"/>
                          </w:divBdr>
                        </w:div>
                        <w:div w:id="2039234505">
                          <w:marLeft w:val="0"/>
                          <w:marRight w:val="0"/>
                          <w:marTop w:val="0"/>
                          <w:marBottom w:val="0"/>
                          <w:divBdr>
                            <w:top w:val="none" w:sz="0" w:space="0" w:color="auto"/>
                            <w:left w:val="none" w:sz="0" w:space="0" w:color="auto"/>
                            <w:bottom w:val="none" w:sz="0" w:space="0" w:color="auto"/>
                            <w:right w:val="none" w:sz="0" w:space="0" w:color="auto"/>
                          </w:divBdr>
                        </w:div>
                      </w:divsChild>
                    </w:div>
                    <w:div w:id="2039234493">
                      <w:marLeft w:val="0"/>
                      <w:marRight w:val="0"/>
                      <w:marTop w:val="150"/>
                      <w:marBottom w:val="0"/>
                      <w:divBdr>
                        <w:top w:val="none" w:sz="0" w:space="0" w:color="auto"/>
                        <w:left w:val="none" w:sz="0" w:space="0" w:color="auto"/>
                        <w:bottom w:val="none" w:sz="0" w:space="0" w:color="auto"/>
                        <w:right w:val="none" w:sz="0" w:space="0" w:color="auto"/>
                      </w:divBdr>
                    </w:div>
                  </w:divsChild>
                </w:div>
                <w:div w:id="2039234517">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39234507">
      <w:marLeft w:val="0"/>
      <w:marRight w:val="0"/>
      <w:marTop w:val="0"/>
      <w:marBottom w:val="0"/>
      <w:divBdr>
        <w:top w:val="none" w:sz="0" w:space="0" w:color="auto"/>
        <w:left w:val="none" w:sz="0" w:space="0" w:color="auto"/>
        <w:bottom w:val="none" w:sz="0" w:space="0" w:color="auto"/>
        <w:right w:val="none" w:sz="0" w:space="0" w:color="auto"/>
      </w:divBdr>
      <w:divsChild>
        <w:div w:id="2039234512">
          <w:marLeft w:val="0"/>
          <w:marRight w:val="0"/>
          <w:marTop w:val="0"/>
          <w:marBottom w:val="0"/>
          <w:divBdr>
            <w:top w:val="none" w:sz="0" w:space="0" w:color="auto"/>
            <w:left w:val="none" w:sz="0" w:space="0" w:color="auto"/>
            <w:bottom w:val="none" w:sz="0" w:space="0" w:color="auto"/>
            <w:right w:val="none" w:sz="0" w:space="0" w:color="auto"/>
          </w:divBdr>
          <w:divsChild>
            <w:div w:id="2039234530">
              <w:marLeft w:val="0"/>
              <w:marRight w:val="0"/>
              <w:marTop w:val="0"/>
              <w:marBottom w:val="0"/>
              <w:divBdr>
                <w:top w:val="none" w:sz="0" w:space="0" w:color="auto"/>
                <w:left w:val="none" w:sz="0" w:space="0" w:color="auto"/>
                <w:bottom w:val="none" w:sz="0" w:space="0" w:color="auto"/>
                <w:right w:val="none" w:sz="0" w:space="0" w:color="auto"/>
              </w:divBdr>
              <w:divsChild>
                <w:div w:id="2039234485">
                  <w:marLeft w:val="0"/>
                  <w:marRight w:val="0"/>
                  <w:marTop w:val="0"/>
                  <w:marBottom w:val="165"/>
                  <w:divBdr>
                    <w:top w:val="none" w:sz="0" w:space="0" w:color="auto"/>
                    <w:left w:val="none" w:sz="0" w:space="0" w:color="auto"/>
                    <w:bottom w:val="none" w:sz="0" w:space="0" w:color="auto"/>
                    <w:right w:val="none" w:sz="0" w:space="0" w:color="auto"/>
                  </w:divBdr>
                </w:div>
                <w:div w:id="2039234497">
                  <w:marLeft w:val="0"/>
                  <w:marRight w:val="0"/>
                  <w:marTop w:val="0"/>
                  <w:marBottom w:val="0"/>
                  <w:divBdr>
                    <w:top w:val="none" w:sz="0" w:space="0" w:color="auto"/>
                    <w:left w:val="none" w:sz="0" w:space="0" w:color="auto"/>
                    <w:bottom w:val="none" w:sz="0" w:space="0" w:color="auto"/>
                    <w:right w:val="none" w:sz="0" w:space="0" w:color="auto"/>
                  </w:divBdr>
                  <w:divsChild>
                    <w:div w:id="2039234471">
                      <w:marLeft w:val="0"/>
                      <w:marRight w:val="0"/>
                      <w:marTop w:val="0"/>
                      <w:marBottom w:val="0"/>
                      <w:divBdr>
                        <w:top w:val="none" w:sz="0" w:space="0" w:color="auto"/>
                        <w:left w:val="none" w:sz="0" w:space="0" w:color="auto"/>
                        <w:bottom w:val="none" w:sz="0" w:space="0" w:color="auto"/>
                        <w:right w:val="none" w:sz="0" w:space="0" w:color="auto"/>
                      </w:divBdr>
                      <w:divsChild>
                        <w:div w:id="2039234478">
                          <w:marLeft w:val="0"/>
                          <w:marRight w:val="0"/>
                          <w:marTop w:val="0"/>
                          <w:marBottom w:val="0"/>
                          <w:divBdr>
                            <w:top w:val="none" w:sz="0" w:space="0" w:color="auto"/>
                            <w:left w:val="none" w:sz="0" w:space="0" w:color="auto"/>
                            <w:bottom w:val="none" w:sz="0" w:space="0" w:color="auto"/>
                            <w:right w:val="none" w:sz="0" w:space="0" w:color="auto"/>
                          </w:divBdr>
                        </w:div>
                        <w:div w:id="2039234496">
                          <w:marLeft w:val="0"/>
                          <w:marRight w:val="0"/>
                          <w:marTop w:val="0"/>
                          <w:marBottom w:val="0"/>
                          <w:divBdr>
                            <w:top w:val="none" w:sz="0" w:space="0" w:color="auto"/>
                            <w:left w:val="none" w:sz="0" w:space="0" w:color="auto"/>
                            <w:bottom w:val="none" w:sz="0" w:space="0" w:color="auto"/>
                            <w:right w:val="none" w:sz="0" w:space="0" w:color="auto"/>
                          </w:divBdr>
                        </w:div>
                      </w:divsChild>
                    </w:div>
                    <w:div w:id="2039234480">
                      <w:marLeft w:val="0"/>
                      <w:marRight w:val="0"/>
                      <w:marTop w:val="150"/>
                      <w:marBottom w:val="0"/>
                      <w:divBdr>
                        <w:top w:val="none" w:sz="0" w:space="0" w:color="auto"/>
                        <w:left w:val="none" w:sz="0" w:space="0" w:color="auto"/>
                        <w:bottom w:val="none" w:sz="0" w:space="0" w:color="auto"/>
                        <w:right w:val="none" w:sz="0" w:space="0" w:color="auto"/>
                      </w:divBdr>
                    </w:div>
                    <w:div w:id="2039234509">
                      <w:marLeft w:val="0"/>
                      <w:marRight w:val="0"/>
                      <w:marTop w:val="0"/>
                      <w:marBottom w:val="0"/>
                      <w:divBdr>
                        <w:top w:val="none" w:sz="0" w:space="0" w:color="auto"/>
                        <w:left w:val="none" w:sz="0" w:space="0" w:color="auto"/>
                        <w:bottom w:val="none" w:sz="0" w:space="0" w:color="auto"/>
                        <w:right w:val="none" w:sz="0" w:space="0" w:color="auto"/>
                      </w:divBdr>
                      <w:divsChild>
                        <w:div w:id="20392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52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39234524">
      <w:marLeft w:val="0"/>
      <w:marRight w:val="0"/>
      <w:marTop w:val="0"/>
      <w:marBottom w:val="0"/>
      <w:divBdr>
        <w:top w:val="none" w:sz="0" w:space="0" w:color="auto"/>
        <w:left w:val="none" w:sz="0" w:space="0" w:color="auto"/>
        <w:bottom w:val="none" w:sz="0" w:space="0" w:color="auto"/>
        <w:right w:val="none" w:sz="0" w:space="0" w:color="auto"/>
      </w:divBdr>
      <w:divsChild>
        <w:div w:id="2039234506">
          <w:marLeft w:val="0"/>
          <w:marRight w:val="0"/>
          <w:marTop w:val="0"/>
          <w:marBottom w:val="0"/>
          <w:divBdr>
            <w:top w:val="none" w:sz="0" w:space="0" w:color="auto"/>
            <w:left w:val="none" w:sz="0" w:space="0" w:color="auto"/>
            <w:bottom w:val="none" w:sz="0" w:space="0" w:color="auto"/>
            <w:right w:val="none" w:sz="0" w:space="0" w:color="auto"/>
          </w:divBdr>
          <w:divsChild>
            <w:div w:id="2039234492">
              <w:marLeft w:val="0"/>
              <w:marRight w:val="0"/>
              <w:marTop w:val="0"/>
              <w:marBottom w:val="0"/>
              <w:divBdr>
                <w:top w:val="none" w:sz="0" w:space="0" w:color="auto"/>
                <w:left w:val="none" w:sz="0" w:space="0" w:color="auto"/>
                <w:bottom w:val="none" w:sz="0" w:space="0" w:color="auto"/>
                <w:right w:val="none" w:sz="0" w:space="0" w:color="auto"/>
              </w:divBdr>
              <w:divsChild>
                <w:div w:id="2039234488">
                  <w:marLeft w:val="0"/>
                  <w:marRight w:val="0"/>
                  <w:marTop w:val="0"/>
                  <w:marBottom w:val="0"/>
                  <w:divBdr>
                    <w:top w:val="none" w:sz="0" w:space="0" w:color="auto"/>
                    <w:left w:val="none" w:sz="0" w:space="0" w:color="auto"/>
                    <w:bottom w:val="none" w:sz="0" w:space="0" w:color="auto"/>
                    <w:right w:val="none" w:sz="0" w:space="0" w:color="auto"/>
                  </w:divBdr>
                  <w:divsChild>
                    <w:div w:id="2039234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www.berr.gov.uk/files/file38769.pdf" TargetMode="External"/><Relationship Id="rId1" Type="http://schemas.openxmlformats.org/officeDocument/2006/relationships/hyperlink" Target="http://www.direct.gov.uk/en/Employment/Employees/TheNationalMinimumWage/DG_175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T05 Short Report</Template>
  <TotalTime>1</TotalTime>
  <Pages>23</Pages>
  <Words>2347</Words>
  <Characters>13383</Characters>
  <Application>Microsoft Office Outlook</Application>
  <DocSecurity>0</DocSecurity>
  <Lines>0</Lines>
  <Paragraphs>0</Paragraphs>
  <ScaleCrop>false</ScaleCrop>
  <Company>ARIS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sellerp</dc:creator>
  <cp:keywords/>
  <dc:description/>
  <cp:lastModifiedBy>jarjan</cp:lastModifiedBy>
  <cp:revision>2</cp:revision>
  <cp:lastPrinted>2012-09-10T14:40:00Z</cp:lastPrinted>
  <dcterms:created xsi:type="dcterms:W3CDTF">2013-09-08T16:47:00Z</dcterms:created>
  <dcterms:modified xsi:type="dcterms:W3CDTF">2013-09-08T16:47:00Z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