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7C4C1E" w:rsidTr="00CF776B">
        <w:trPr>
          <w:cantSplit/>
          <w:trHeight w:val="1361"/>
        </w:trPr>
        <w:tc>
          <w:tcPr>
            <w:tcW w:w="7334" w:type="dxa"/>
            <w:gridSpan w:val="2"/>
            <w:tcBorders>
              <w:top w:val="nil"/>
            </w:tcBorders>
          </w:tcPr>
          <w:p w:rsidR="007C4C1E" w:rsidRPr="00C8797E" w:rsidRDefault="007C4C1E" w:rsidP="00CF776B">
            <w:pPr>
              <w:rPr>
                <w:rFonts w:ascii="Arial" w:hAnsi="Arial"/>
                <w:color w:val="000000"/>
              </w:rPr>
            </w:pPr>
            <w:bookmarkStart w:id="0" w:name="_GoBack"/>
            <w:bookmarkEnd w:id="0"/>
            <w:r w:rsidRPr="00C8797E">
              <w:rPr>
                <w:rFonts w:ascii="Arial" w:hAnsi="Arial"/>
                <w:color w:val="000000"/>
                <w:sz w:val="22"/>
              </w:rPr>
              <w:t xml:space="preserve">   </w:t>
            </w:r>
            <w:r w:rsidR="006150BD">
              <w:rPr>
                <w:rFonts w:ascii="Arial" w:hAnsi="Arial"/>
                <w:noProof/>
              </w:rPr>
              <w:drawing>
                <wp:inline distT="0" distB="0" distL="0" distR="0">
                  <wp:extent cx="1971675" cy="581025"/>
                  <wp:effectExtent l="0" t="0" r="9525" b="9525"/>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p>
        </w:tc>
        <w:tc>
          <w:tcPr>
            <w:tcW w:w="180" w:type="dxa"/>
          </w:tcPr>
          <w:p w:rsidR="007C4C1E" w:rsidRPr="00C8797E" w:rsidRDefault="007C4C1E" w:rsidP="00CF776B">
            <w:pPr>
              <w:pStyle w:val="MOJnormal"/>
              <w:rPr>
                <w:color w:val="000000"/>
                <w:sz w:val="22"/>
              </w:rPr>
            </w:pPr>
          </w:p>
        </w:tc>
        <w:tc>
          <w:tcPr>
            <w:tcW w:w="3145" w:type="dxa"/>
            <w:vMerge w:val="restart"/>
            <w:tcBorders>
              <w:top w:val="nil"/>
            </w:tcBorders>
          </w:tcPr>
          <w:p w:rsidR="007C4C1E" w:rsidRPr="00924204" w:rsidRDefault="007C4C1E" w:rsidP="008120CA">
            <w:pPr>
              <w:tabs>
                <w:tab w:val="left" w:pos="170"/>
              </w:tabs>
              <w:rPr>
                <w:rFonts w:ascii="Arial" w:hAnsi="Arial"/>
                <w:b/>
                <w:sz w:val="20"/>
                <w:szCs w:val="20"/>
              </w:rPr>
            </w:pPr>
          </w:p>
        </w:tc>
      </w:tr>
      <w:tr w:rsidR="007C4C1E" w:rsidTr="00CF776B">
        <w:trPr>
          <w:cantSplit/>
          <w:trHeight w:val="1259"/>
        </w:trPr>
        <w:tc>
          <w:tcPr>
            <w:tcW w:w="1214" w:type="dxa"/>
          </w:tcPr>
          <w:p w:rsidR="007C4C1E" w:rsidRPr="00C8797E" w:rsidRDefault="007C4C1E" w:rsidP="00CF776B">
            <w:pPr>
              <w:pStyle w:val="MOJtext-otheraddress"/>
              <w:rPr>
                <w:color w:val="000000"/>
                <w:sz w:val="22"/>
              </w:rPr>
            </w:pPr>
          </w:p>
        </w:tc>
        <w:tc>
          <w:tcPr>
            <w:tcW w:w="6120" w:type="dxa"/>
          </w:tcPr>
          <w:p w:rsidR="007C4C1E" w:rsidRPr="00924204" w:rsidRDefault="007C4C1E" w:rsidP="004135C3">
            <w:pPr>
              <w:spacing w:line="280" w:lineRule="atLeast"/>
              <w:rPr>
                <w:rFonts w:ascii="Arial" w:hAnsi="Arial"/>
                <w:color w:val="000000"/>
              </w:rPr>
            </w:pPr>
          </w:p>
        </w:tc>
        <w:tc>
          <w:tcPr>
            <w:tcW w:w="180" w:type="dxa"/>
          </w:tcPr>
          <w:p w:rsidR="007C4C1E" w:rsidRPr="00C8797E" w:rsidRDefault="007C4C1E" w:rsidP="00CF776B">
            <w:pPr>
              <w:pStyle w:val="MOJnormal"/>
              <w:rPr>
                <w:color w:val="000000"/>
                <w:sz w:val="22"/>
              </w:rPr>
            </w:pPr>
          </w:p>
        </w:tc>
        <w:tc>
          <w:tcPr>
            <w:tcW w:w="3145" w:type="dxa"/>
            <w:vMerge/>
          </w:tcPr>
          <w:p w:rsidR="007C4C1E" w:rsidRPr="00C8797E" w:rsidRDefault="007C4C1E" w:rsidP="00CF776B">
            <w:pPr>
              <w:pStyle w:val="MOJtext-otheraddress"/>
              <w:rPr>
                <w:color w:val="000000"/>
                <w:sz w:val="22"/>
              </w:rPr>
            </w:pPr>
          </w:p>
        </w:tc>
      </w:tr>
      <w:tr w:rsidR="007C4C1E" w:rsidTr="00CF776B">
        <w:trPr>
          <w:cantSplit/>
          <w:trHeight w:val="73"/>
        </w:trPr>
        <w:tc>
          <w:tcPr>
            <w:tcW w:w="1214" w:type="dxa"/>
          </w:tcPr>
          <w:p w:rsidR="007C4C1E" w:rsidRPr="00C8797E" w:rsidRDefault="007C4C1E" w:rsidP="00CF776B">
            <w:pPr>
              <w:pStyle w:val="MOJnormal"/>
              <w:rPr>
                <w:color w:val="000000"/>
                <w:sz w:val="22"/>
              </w:rPr>
            </w:pPr>
          </w:p>
        </w:tc>
        <w:tc>
          <w:tcPr>
            <w:tcW w:w="6120" w:type="dxa"/>
          </w:tcPr>
          <w:p w:rsidR="007C4C1E" w:rsidRPr="00CE6E9A" w:rsidRDefault="007C4C1E" w:rsidP="0022013F">
            <w:pPr>
              <w:spacing w:line="280" w:lineRule="atLeast"/>
              <w:rPr>
                <w:rFonts w:ascii="Arial" w:hAnsi="Arial"/>
                <w:i/>
                <w:color w:val="000000"/>
              </w:rPr>
            </w:pPr>
            <w:r w:rsidRPr="00924204">
              <w:rPr>
                <w:rFonts w:ascii="Arial" w:hAnsi="Arial"/>
                <w:b/>
                <w:color w:val="000000"/>
              </w:rPr>
              <w:t>Our Reference:</w:t>
            </w:r>
            <w:r w:rsidRPr="00C8797E">
              <w:rPr>
                <w:rFonts w:ascii="Arial" w:hAnsi="Arial"/>
                <w:color w:val="000000"/>
                <w:sz w:val="22"/>
              </w:rPr>
              <w:t xml:space="preserve"> </w:t>
            </w:r>
            <w:r>
              <w:rPr>
                <w:rFonts w:ascii="Arial" w:hAnsi="Arial"/>
                <w:color w:val="000000"/>
              </w:rPr>
              <w:t>84828/13</w:t>
            </w:r>
          </w:p>
        </w:tc>
        <w:tc>
          <w:tcPr>
            <w:tcW w:w="180" w:type="dxa"/>
          </w:tcPr>
          <w:p w:rsidR="007C4C1E" w:rsidRPr="0058030C" w:rsidRDefault="007C4C1E" w:rsidP="00CF776B">
            <w:pPr>
              <w:spacing w:line="280" w:lineRule="atLeast"/>
              <w:rPr>
                <w:rFonts w:ascii="Arial" w:hAnsi="Arial"/>
              </w:rPr>
            </w:pPr>
            <w:r w:rsidRPr="0058030C">
              <w:rPr>
                <w:rFonts w:ascii="Arial" w:hAnsi="Arial"/>
                <w:sz w:val="22"/>
              </w:rPr>
              <w:tab/>
            </w:r>
          </w:p>
        </w:tc>
        <w:tc>
          <w:tcPr>
            <w:tcW w:w="3145" w:type="dxa"/>
          </w:tcPr>
          <w:p w:rsidR="007C4C1E" w:rsidRPr="0058030C" w:rsidRDefault="007C4C1E" w:rsidP="00CF776B">
            <w:pPr>
              <w:pStyle w:val="MOJnormal"/>
              <w:rPr>
                <w:sz w:val="22"/>
              </w:rPr>
            </w:pPr>
          </w:p>
          <w:p w:rsidR="007C4C1E" w:rsidRPr="0058030C" w:rsidRDefault="007C4C1E" w:rsidP="00CF776B">
            <w:pPr>
              <w:pStyle w:val="MOJnormal"/>
              <w:rPr>
                <w:sz w:val="22"/>
              </w:rPr>
            </w:pPr>
            <w:r>
              <w:rPr>
                <w:sz w:val="22"/>
              </w:rPr>
              <w:t>September</w:t>
            </w:r>
            <w:r w:rsidRPr="0058030C">
              <w:rPr>
                <w:sz w:val="22"/>
              </w:rPr>
              <w:t xml:space="preserve"> 2013</w:t>
            </w:r>
          </w:p>
        </w:tc>
      </w:tr>
    </w:tbl>
    <w:p w:rsidR="007C4C1E" w:rsidRDefault="007C4C1E"/>
    <w:p w:rsidR="007C4C1E" w:rsidRDefault="007C4C1E"/>
    <w:p w:rsidR="007C4C1E" w:rsidRDefault="007C4C1E"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7C4C1E" w:rsidRDefault="007C4C1E" w:rsidP="0081625B">
      <w:pPr>
        <w:rPr>
          <w:rFonts w:ascii="Arial" w:hAnsi="Arial" w:cs="Arial"/>
          <w:sz w:val="22"/>
          <w:szCs w:val="22"/>
        </w:rPr>
      </w:pPr>
    </w:p>
    <w:p w:rsidR="007C4C1E" w:rsidRDefault="007C4C1E" w:rsidP="0081625B">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7C4C1E" w:rsidRDefault="007C4C1E" w:rsidP="0081625B">
      <w:pPr>
        <w:rPr>
          <w:rFonts w:ascii="Arial" w:hAnsi="Arial" w:cs="Arial"/>
          <w:sz w:val="22"/>
          <w:szCs w:val="22"/>
        </w:rPr>
      </w:pPr>
    </w:p>
    <w:p w:rsidR="007C4C1E" w:rsidRPr="000C7D6E" w:rsidRDefault="007C4C1E" w:rsidP="00571F04">
      <w:pPr>
        <w:autoSpaceDE w:val="0"/>
        <w:autoSpaceDN w:val="0"/>
        <w:adjustRightInd w:val="0"/>
        <w:rPr>
          <w:rFonts w:ascii="Arial" w:hAnsi="Arial" w:cs="Arial"/>
          <w:b/>
          <w:sz w:val="20"/>
          <w:szCs w:val="20"/>
        </w:rPr>
      </w:pPr>
      <w:r>
        <w:rPr>
          <w:rFonts w:ascii="Arial" w:hAnsi="Arial" w:cs="Arial"/>
          <w:b/>
          <w:sz w:val="20"/>
          <w:szCs w:val="20"/>
        </w:rPr>
        <w:t>I am now writing to refine my request for information to includ</w:t>
      </w:r>
      <w:r w:rsidRPr="000C7D6E">
        <w:rPr>
          <w:rFonts w:ascii="Arial" w:hAnsi="Arial" w:cs="Arial"/>
          <w:b/>
          <w:sz w:val="20"/>
          <w:szCs w:val="20"/>
        </w:rPr>
        <w:t>e the rates of retirement pay only and to include ten adult male Category training prisons only. Specifically, I request the following information:</w:t>
      </w:r>
    </w:p>
    <w:p w:rsidR="007C4C1E" w:rsidRPr="000C7D6E" w:rsidRDefault="007C4C1E" w:rsidP="00571F04">
      <w:pPr>
        <w:autoSpaceDE w:val="0"/>
        <w:autoSpaceDN w:val="0"/>
        <w:adjustRightInd w:val="0"/>
        <w:rPr>
          <w:rFonts w:ascii="Arial" w:hAnsi="Arial" w:cs="Arial"/>
          <w:b/>
          <w:sz w:val="20"/>
          <w:szCs w:val="20"/>
        </w:rPr>
      </w:pPr>
    </w:p>
    <w:p w:rsidR="007C4C1E" w:rsidRPr="000C7D6E" w:rsidRDefault="007C4C1E" w:rsidP="00571F04">
      <w:pPr>
        <w:numPr>
          <w:ilvl w:val="0"/>
          <w:numId w:val="11"/>
        </w:numPr>
        <w:autoSpaceDE w:val="0"/>
        <w:autoSpaceDN w:val="0"/>
        <w:adjustRightInd w:val="0"/>
        <w:ind w:left="380" w:hanging="380"/>
        <w:rPr>
          <w:rFonts w:ascii="Arial" w:hAnsi="Arial" w:cs="Arial"/>
          <w:b/>
          <w:sz w:val="20"/>
          <w:szCs w:val="20"/>
        </w:rPr>
      </w:pPr>
      <w:r w:rsidRPr="000C7D6E">
        <w:rPr>
          <w:rFonts w:ascii="Arial" w:hAnsi="Arial" w:cs="Arial"/>
          <w:b/>
          <w:sz w:val="20"/>
          <w:szCs w:val="20"/>
        </w:rPr>
        <w:t>The rate of retirement pay at the following ten adult male Category C training prisons: HMP Bullingdon, HMP Coldingley, HMP Everthorpe, HMP Highpoint, HMP Maidstone, HMP The Mount, HMP Onley, HMP Risley, HMP Wayland, HMP Whatton.</w:t>
      </w:r>
    </w:p>
    <w:p w:rsidR="007C4C1E" w:rsidRDefault="007C4C1E" w:rsidP="0081625B">
      <w:pPr>
        <w:rPr>
          <w:rFonts w:ascii="Arial" w:hAnsi="Arial" w:cs="Arial"/>
          <w:sz w:val="22"/>
          <w:szCs w:val="22"/>
        </w:rPr>
      </w:pPr>
    </w:p>
    <w:p w:rsidR="007C4C1E" w:rsidRDefault="007C4C1E" w:rsidP="000C7D6E">
      <w:pPr>
        <w:spacing w:line="240" w:lineRule="atLeast"/>
        <w:rPr>
          <w:rFonts w:ascii="Arial" w:hAnsi="Arial" w:cs="Arial"/>
          <w:sz w:val="22"/>
          <w:szCs w:val="22"/>
        </w:rPr>
      </w:pPr>
      <w:r w:rsidRPr="0071076E">
        <w:rPr>
          <w:rFonts w:ascii="Arial" w:hAnsi="Arial" w:cs="Arial"/>
          <w:sz w:val="22"/>
          <w:szCs w:val="22"/>
        </w:rPr>
        <w:t xml:space="preserve">Your request has been handled under the Freedom of Information Act 2000 (FOIA).  </w:t>
      </w:r>
      <w:r>
        <w:rPr>
          <w:rFonts w:ascii="Arial" w:hAnsi="Arial" w:cs="Arial"/>
          <w:sz w:val="22"/>
          <w:szCs w:val="22"/>
        </w:rPr>
        <w:t xml:space="preserve">The answer has been provided by the National Offender Management Service (NOMS) an executive agency of the Ministry of Justice, with responsibility for prisons in </w:t>
      </w:r>
      <w:smartTag w:uri="urn:schemas-microsoft-com:office:smarttags" w:element="place">
        <w:r>
          <w:rPr>
            <w:rFonts w:ascii="Arial" w:hAnsi="Arial" w:cs="Arial"/>
            <w:sz w:val="22"/>
            <w:szCs w:val="22"/>
          </w:rPr>
          <w:t>England</w:t>
        </w:r>
      </w:smartTag>
      <w:r>
        <w:rPr>
          <w:rFonts w:ascii="Arial" w:hAnsi="Arial" w:cs="Arial"/>
          <w:sz w:val="22"/>
          <w:szCs w:val="22"/>
        </w:rPr>
        <w:t xml:space="preserve"> and </w:t>
      </w:r>
      <w:smartTag w:uri="urn:schemas-microsoft-com:office:smarttags" w:element="place">
        <w:r>
          <w:rPr>
            <w:rFonts w:ascii="Arial" w:hAnsi="Arial" w:cs="Arial"/>
            <w:sz w:val="22"/>
            <w:szCs w:val="22"/>
          </w:rPr>
          <w:t>Wales</w:t>
        </w:r>
      </w:smartTag>
      <w:r>
        <w:rPr>
          <w:rFonts w:ascii="Arial" w:hAnsi="Arial" w:cs="Arial"/>
          <w:sz w:val="22"/>
          <w:szCs w:val="22"/>
        </w:rPr>
        <w:t>.</w:t>
      </w:r>
      <w:r w:rsidRPr="0071076E">
        <w:rPr>
          <w:rFonts w:ascii="Arial" w:hAnsi="Arial" w:cs="Arial"/>
          <w:sz w:val="22"/>
          <w:szCs w:val="22"/>
        </w:rPr>
        <w:t xml:space="preserve">  </w:t>
      </w:r>
    </w:p>
    <w:p w:rsidR="007C4C1E" w:rsidRDefault="007C4C1E" w:rsidP="000C7D6E">
      <w:pPr>
        <w:pStyle w:val="NormalWeb"/>
        <w:spacing w:before="0" w:beforeAutospacing="0" w:after="0" w:afterAutospacing="0" w:line="240" w:lineRule="atLeast"/>
        <w:rPr>
          <w:rFonts w:ascii="Arial" w:hAnsi="Arial" w:cs="Arial"/>
          <w:sz w:val="22"/>
          <w:szCs w:val="22"/>
        </w:rPr>
      </w:pPr>
    </w:p>
    <w:p w:rsidR="007C4C1E" w:rsidRDefault="007C4C1E" w:rsidP="000C7D6E">
      <w:pPr>
        <w:spacing w:line="240" w:lineRule="atLeast"/>
        <w:rPr>
          <w:rFonts w:ascii="Arial" w:hAnsi="Arial" w:cs="Arial"/>
          <w:sz w:val="22"/>
          <w:szCs w:val="22"/>
        </w:rPr>
      </w:pPr>
      <w:r>
        <w:rPr>
          <w:rFonts w:ascii="Arial" w:hAnsi="Arial" w:cs="Arial"/>
          <w:sz w:val="22"/>
          <w:szCs w:val="22"/>
        </w:rPr>
        <w:t xml:space="preserve">I can confirm that the department holds information that you have asked for, and I am pleased to provide this to you. </w:t>
      </w:r>
    </w:p>
    <w:p w:rsidR="007C4C1E" w:rsidRDefault="007C4C1E" w:rsidP="000C7D6E">
      <w:pPr>
        <w:spacing w:line="240" w:lineRule="atLeast"/>
        <w:rPr>
          <w:rFonts w:ascii="Arial" w:hAnsi="Arial" w:cs="Arial"/>
          <w:sz w:val="22"/>
          <w:szCs w:val="22"/>
        </w:rPr>
      </w:pPr>
    </w:p>
    <w:p w:rsidR="007C4C1E" w:rsidRPr="004D28E2" w:rsidRDefault="007C4C1E" w:rsidP="000C7D6E">
      <w:pPr>
        <w:spacing w:line="240" w:lineRule="atLeast"/>
        <w:rPr>
          <w:rFonts w:ascii="Arial" w:hAnsi="Arial" w:cs="Arial"/>
          <w:sz w:val="22"/>
          <w:szCs w:val="22"/>
        </w:rPr>
      </w:pPr>
      <w:r w:rsidRPr="004D28E2">
        <w:rPr>
          <w:rFonts w:ascii="Arial" w:hAnsi="Arial" w:cs="Arial"/>
          <w:sz w:val="22"/>
          <w:szCs w:val="22"/>
        </w:rPr>
        <w:t xml:space="preserve">Prisoners of state retirement age are not normally required to work. Under Prison Service Order (PSO) 4460 – ‘Prisoners’ Pay’ – the pay rate for prisoners of </w:t>
      </w:r>
      <w:r>
        <w:rPr>
          <w:rFonts w:ascii="Arial" w:hAnsi="Arial" w:cs="Arial"/>
          <w:sz w:val="22"/>
          <w:szCs w:val="22"/>
        </w:rPr>
        <w:t xml:space="preserve">state </w:t>
      </w:r>
      <w:r w:rsidRPr="004D28E2">
        <w:rPr>
          <w:rFonts w:ascii="Arial" w:hAnsi="Arial" w:cs="Arial"/>
          <w:sz w:val="22"/>
          <w:szCs w:val="22"/>
        </w:rPr>
        <w:t xml:space="preserve">retirement age who do not work, or who wish to work but for whom work is not available, is set at £3.25 per week or 65 pence per day. Those prisoners who are above retirement age and choose to work will be paid according to the daily rates set by individual establishment under their local pay policy for prisoners. Convicted prisoners are not entitled to claim any state benefits while they are in prison and this includes the state retirement pension.  </w:t>
      </w:r>
    </w:p>
    <w:p w:rsidR="007C4C1E" w:rsidRPr="004D28E2" w:rsidRDefault="007C4C1E" w:rsidP="000C7D6E">
      <w:pPr>
        <w:spacing w:line="240" w:lineRule="atLeast"/>
        <w:rPr>
          <w:rFonts w:ascii="Arial" w:hAnsi="Arial" w:cs="Arial"/>
          <w:sz w:val="22"/>
          <w:szCs w:val="22"/>
        </w:rPr>
      </w:pPr>
    </w:p>
    <w:p w:rsidR="007C4C1E" w:rsidRPr="004D28E2" w:rsidRDefault="007C4C1E" w:rsidP="000C7D6E">
      <w:pPr>
        <w:spacing w:line="240" w:lineRule="atLeast"/>
        <w:rPr>
          <w:rFonts w:ascii="Arial" w:hAnsi="Arial" w:cs="Arial"/>
          <w:sz w:val="22"/>
          <w:szCs w:val="22"/>
        </w:rPr>
      </w:pPr>
      <w:r w:rsidRPr="004D28E2">
        <w:rPr>
          <w:rFonts w:ascii="Arial" w:hAnsi="Arial" w:cs="Arial"/>
          <w:sz w:val="22"/>
          <w:szCs w:val="22"/>
        </w:rPr>
        <w:t xml:space="preserve">PSO 4460 sets out several ‘minimum’ rates of pay and Governors are able to increase these minimum rates to reflect regime priorities. However, in the case of prisoners of </w:t>
      </w:r>
      <w:r w:rsidRPr="00715455">
        <w:rPr>
          <w:rFonts w:ascii="Arial" w:hAnsi="Arial" w:cs="Arial"/>
          <w:sz w:val="22"/>
          <w:szCs w:val="22"/>
        </w:rPr>
        <w:t>state</w:t>
      </w:r>
      <w:r w:rsidRPr="004D28E2">
        <w:rPr>
          <w:rFonts w:ascii="Arial" w:hAnsi="Arial" w:cs="Arial"/>
          <w:sz w:val="22"/>
          <w:szCs w:val="22"/>
        </w:rPr>
        <w:t xml:space="preserve"> retirement age</w:t>
      </w:r>
      <w:r>
        <w:rPr>
          <w:rFonts w:ascii="Arial" w:hAnsi="Arial" w:cs="Arial"/>
          <w:sz w:val="22"/>
          <w:szCs w:val="22"/>
        </w:rPr>
        <w:t>, as mentioned above,</w:t>
      </w:r>
      <w:r w:rsidRPr="004D28E2">
        <w:rPr>
          <w:rFonts w:ascii="Arial" w:hAnsi="Arial" w:cs="Arial"/>
          <w:sz w:val="22"/>
          <w:szCs w:val="22"/>
        </w:rPr>
        <w:t xml:space="preserve"> a fixed rate of £3</w:t>
      </w:r>
      <w:r>
        <w:rPr>
          <w:rFonts w:ascii="Arial" w:hAnsi="Arial" w:cs="Arial"/>
          <w:sz w:val="22"/>
          <w:szCs w:val="22"/>
        </w:rPr>
        <w:t>.</w:t>
      </w:r>
      <w:r w:rsidRPr="004D28E2">
        <w:rPr>
          <w:rFonts w:ascii="Arial" w:hAnsi="Arial" w:cs="Arial"/>
          <w:sz w:val="22"/>
          <w:szCs w:val="22"/>
        </w:rPr>
        <w:t xml:space="preserve">25 a week is set. As you will see from the information you have requested </w:t>
      </w:r>
      <w:r>
        <w:rPr>
          <w:rFonts w:ascii="Arial" w:hAnsi="Arial" w:cs="Arial"/>
          <w:sz w:val="22"/>
          <w:szCs w:val="22"/>
        </w:rPr>
        <w:t>(</w:t>
      </w:r>
      <w:r w:rsidRPr="004D28E2">
        <w:rPr>
          <w:rFonts w:ascii="Arial" w:hAnsi="Arial" w:cs="Arial"/>
          <w:sz w:val="22"/>
          <w:szCs w:val="22"/>
        </w:rPr>
        <w:t>below</w:t>
      </w:r>
      <w:r>
        <w:rPr>
          <w:rFonts w:ascii="Arial" w:hAnsi="Arial" w:cs="Arial"/>
          <w:sz w:val="22"/>
          <w:szCs w:val="22"/>
        </w:rPr>
        <w:t>)</w:t>
      </w:r>
      <w:r w:rsidRPr="004D28E2">
        <w:rPr>
          <w:rFonts w:ascii="Arial" w:hAnsi="Arial" w:cs="Arial"/>
          <w:sz w:val="22"/>
          <w:szCs w:val="22"/>
        </w:rPr>
        <w:t xml:space="preserve"> some prisons have interpreted the rate for prisoners of retirement age to be a ‘minimum’ rather than a fixed rate. In the light of this coming to our attention, we will notify Governors that</w:t>
      </w:r>
      <w:r>
        <w:rPr>
          <w:rFonts w:ascii="Arial" w:hAnsi="Arial" w:cs="Arial"/>
          <w:sz w:val="22"/>
          <w:szCs w:val="22"/>
        </w:rPr>
        <w:t xml:space="preserve"> such prisoners must be paid £3.</w:t>
      </w:r>
      <w:r w:rsidRPr="004D28E2">
        <w:rPr>
          <w:rFonts w:ascii="Arial" w:hAnsi="Arial" w:cs="Arial"/>
          <w:sz w:val="22"/>
          <w:szCs w:val="22"/>
        </w:rPr>
        <w:t>25 a week.</w:t>
      </w:r>
    </w:p>
    <w:p w:rsidR="007C4C1E" w:rsidRPr="004D28E2" w:rsidRDefault="007C4C1E" w:rsidP="000C7D6E">
      <w:pPr>
        <w:spacing w:line="240" w:lineRule="atLeast"/>
        <w:rPr>
          <w:rFonts w:ascii="Arial" w:hAnsi="Arial" w:cs="Arial"/>
          <w:sz w:val="22"/>
          <w:szCs w:val="22"/>
        </w:rPr>
      </w:pPr>
    </w:p>
    <w:p w:rsidR="007C4C1E" w:rsidRPr="004D28E2" w:rsidRDefault="007C4C1E" w:rsidP="000C7D6E">
      <w:pPr>
        <w:spacing w:line="240" w:lineRule="atLeast"/>
        <w:rPr>
          <w:rFonts w:ascii="Arial" w:hAnsi="Arial" w:cs="Arial"/>
          <w:sz w:val="22"/>
          <w:szCs w:val="22"/>
        </w:rPr>
      </w:pPr>
      <w:r w:rsidRPr="004D28E2">
        <w:rPr>
          <w:rFonts w:ascii="Arial" w:hAnsi="Arial" w:cs="Arial"/>
          <w:sz w:val="22"/>
          <w:szCs w:val="22"/>
        </w:rPr>
        <w:t xml:space="preserve">The table below shows the latest details of the daily rates of retirement pay recorded in our P NOMIS recording system. </w:t>
      </w:r>
    </w:p>
    <w:p w:rsidR="007C4C1E" w:rsidRDefault="007C4C1E" w:rsidP="00CB5E81">
      <w:pPr>
        <w:rPr>
          <w:rFonts w:ascii="Arial" w:hAnsi="Arial" w:cs="Arial"/>
          <w:color w:val="0000FF"/>
          <w:sz w:val="22"/>
          <w:szCs w:val="22"/>
        </w:rPr>
      </w:pPr>
      <w:r>
        <w:rPr>
          <w:rFonts w:ascii="Arial" w:hAnsi="Arial" w:cs="Arial"/>
          <w:color w:val="0000FF"/>
          <w:sz w:val="22"/>
          <w:szCs w:val="22"/>
        </w:rPr>
        <w:t xml:space="preserve"> </w:t>
      </w:r>
    </w:p>
    <w:tbl>
      <w:tblPr>
        <w:tblW w:w="7081" w:type="dxa"/>
        <w:tblInd w:w="108" w:type="dxa"/>
        <w:tblLook w:val="0000" w:firstRow="0" w:lastRow="0" w:firstColumn="0" w:lastColumn="0" w:noHBand="0" w:noVBand="0"/>
      </w:tblPr>
      <w:tblGrid>
        <w:gridCol w:w="5400"/>
        <w:gridCol w:w="1681"/>
      </w:tblGrid>
      <w:tr w:rsidR="007C4C1E" w:rsidTr="00715455">
        <w:trPr>
          <w:trHeight w:val="273"/>
        </w:trPr>
        <w:tc>
          <w:tcPr>
            <w:tcW w:w="5400" w:type="dxa"/>
            <w:tcBorders>
              <w:top w:val="single" w:sz="8" w:space="0" w:color="auto"/>
              <w:left w:val="single" w:sz="8" w:space="0" w:color="auto"/>
              <w:bottom w:val="nil"/>
              <w:right w:val="nil"/>
            </w:tcBorders>
            <w:noWrap/>
            <w:vAlign w:val="bottom"/>
          </w:tcPr>
          <w:p w:rsidR="007C4C1E" w:rsidRPr="00905197" w:rsidRDefault="007C4C1E">
            <w:pPr>
              <w:jc w:val="center"/>
              <w:rPr>
                <w:rFonts w:ascii="Arial" w:hAnsi="Arial" w:cs="Arial"/>
                <w:b/>
                <w:bCs/>
              </w:rPr>
            </w:pPr>
            <w:r w:rsidRPr="00905197">
              <w:rPr>
                <w:rFonts w:ascii="Arial" w:hAnsi="Arial" w:cs="Arial"/>
                <w:b/>
                <w:bCs/>
                <w:sz w:val="22"/>
                <w:szCs w:val="22"/>
              </w:rPr>
              <w:t>Establishments</w:t>
            </w:r>
          </w:p>
        </w:tc>
        <w:tc>
          <w:tcPr>
            <w:tcW w:w="1681" w:type="dxa"/>
            <w:tcBorders>
              <w:top w:val="single" w:sz="8" w:space="0" w:color="auto"/>
              <w:left w:val="nil"/>
              <w:bottom w:val="nil"/>
              <w:right w:val="single" w:sz="8" w:space="0" w:color="auto"/>
            </w:tcBorders>
            <w:noWrap/>
            <w:vAlign w:val="bottom"/>
          </w:tcPr>
          <w:p w:rsidR="007C4C1E" w:rsidRPr="00905197" w:rsidRDefault="007C4C1E">
            <w:pPr>
              <w:jc w:val="center"/>
              <w:rPr>
                <w:rFonts w:ascii="Arial" w:hAnsi="Arial" w:cs="Arial"/>
                <w:b/>
                <w:bCs/>
              </w:rPr>
            </w:pPr>
            <w:r w:rsidRPr="00905197">
              <w:rPr>
                <w:rFonts w:ascii="Arial" w:hAnsi="Arial" w:cs="Arial"/>
                <w:b/>
                <w:bCs/>
                <w:sz w:val="22"/>
                <w:szCs w:val="22"/>
              </w:rPr>
              <w:t xml:space="preserve">Daily Rates of Retirement </w:t>
            </w:r>
            <w:r w:rsidRPr="00905197">
              <w:rPr>
                <w:rFonts w:ascii="Arial" w:hAnsi="Arial" w:cs="Arial"/>
                <w:b/>
                <w:bCs/>
                <w:sz w:val="22"/>
                <w:szCs w:val="22"/>
              </w:rPr>
              <w:lastRenderedPageBreak/>
              <w:t>Pay</w:t>
            </w:r>
          </w:p>
        </w:tc>
      </w:tr>
      <w:tr w:rsidR="007C4C1E" w:rsidTr="00715455">
        <w:trPr>
          <w:trHeight w:val="257"/>
        </w:trPr>
        <w:tc>
          <w:tcPr>
            <w:tcW w:w="5400" w:type="dxa"/>
            <w:tcBorders>
              <w:top w:val="single" w:sz="4" w:space="0" w:color="CCCCFF"/>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lastRenderedPageBreak/>
              <w:t>BULLINGDON</w:t>
            </w:r>
          </w:p>
        </w:tc>
        <w:tc>
          <w:tcPr>
            <w:tcW w:w="1681" w:type="dxa"/>
            <w:tcBorders>
              <w:top w:val="single" w:sz="4" w:space="0" w:color="CCCCFF"/>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£0.65</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COLDINGLEY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£1.44</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EVERTHORPE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£0.80</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HIGHPOINT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£1.30</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smartTag w:uri="urn:schemas-microsoft-com:office:smarttags" w:element="place">
              <w:r w:rsidRPr="00905197">
                <w:rPr>
                  <w:rFonts w:ascii="Arial" w:hAnsi="Arial" w:cs="Arial"/>
                  <w:sz w:val="22"/>
                  <w:szCs w:val="22"/>
                </w:rPr>
                <w:t>MAIDSTONE</w:t>
              </w:r>
            </w:smartTag>
            <w:r w:rsidRPr="00905197">
              <w:rPr>
                <w:rFonts w:ascii="Arial" w:hAnsi="Arial" w:cs="Arial"/>
                <w:sz w:val="22"/>
                <w:szCs w:val="22"/>
              </w:rPr>
              <w:t xml:space="preserve">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£0.75</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THE MOUNT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£0.65</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ONLEY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£0.70</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RISLEY</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£0.65</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 xml:space="preserve">WAYLAND </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£1.60</w:t>
            </w:r>
          </w:p>
        </w:tc>
      </w:tr>
      <w:tr w:rsidR="007C4C1E" w:rsidTr="00715455">
        <w:trPr>
          <w:trHeight w:val="257"/>
        </w:trPr>
        <w:tc>
          <w:tcPr>
            <w:tcW w:w="5400" w:type="dxa"/>
            <w:tcBorders>
              <w:top w:val="nil"/>
              <w:left w:val="single" w:sz="8" w:space="0" w:color="auto"/>
              <w:bottom w:val="single" w:sz="4" w:space="0" w:color="CCCCFF"/>
              <w:right w:val="single" w:sz="4" w:space="0" w:color="CCCCFF"/>
            </w:tcBorders>
            <w:noWrap/>
            <w:vAlign w:val="bottom"/>
          </w:tcPr>
          <w:p w:rsidR="007C4C1E" w:rsidRPr="00905197" w:rsidRDefault="007C4C1E">
            <w:pPr>
              <w:jc w:val="center"/>
              <w:rPr>
                <w:rFonts w:ascii="Arial" w:hAnsi="Arial" w:cs="Arial"/>
              </w:rPr>
            </w:pPr>
            <w:r w:rsidRPr="00905197">
              <w:rPr>
                <w:rFonts w:ascii="Arial" w:hAnsi="Arial" w:cs="Arial"/>
                <w:sz w:val="22"/>
                <w:szCs w:val="22"/>
              </w:rPr>
              <w:t>WHATTON</w:t>
            </w:r>
          </w:p>
        </w:tc>
        <w:tc>
          <w:tcPr>
            <w:tcW w:w="1681" w:type="dxa"/>
            <w:tcBorders>
              <w:top w:val="nil"/>
              <w:left w:val="nil"/>
              <w:bottom w:val="single" w:sz="4" w:space="0" w:color="CCCCFF"/>
              <w:right w:val="single" w:sz="8" w:space="0" w:color="auto"/>
            </w:tcBorders>
            <w:noWrap/>
            <w:vAlign w:val="bottom"/>
          </w:tcPr>
          <w:p w:rsidR="007C4C1E" w:rsidRPr="00905197" w:rsidRDefault="007C4C1E">
            <w:pPr>
              <w:jc w:val="center"/>
              <w:rPr>
                <w:rFonts w:ascii="Arial" w:hAnsi="Arial" w:cs="Arial"/>
              </w:rPr>
            </w:pPr>
            <w:r w:rsidRPr="00905197">
              <w:rPr>
                <w:rFonts w:ascii="Arial" w:hAnsi="Arial" w:cs="Arial"/>
                <w:sz w:val="22"/>
                <w:szCs w:val="22"/>
              </w:rPr>
              <w:t>£0.65</w:t>
            </w:r>
          </w:p>
        </w:tc>
      </w:tr>
      <w:tr w:rsidR="007C4C1E" w:rsidTr="00715455">
        <w:trPr>
          <w:trHeight w:val="257"/>
        </w:trPr>
        <w:tc>
          <w:tcPr>
            <w:tcW w:w="5400" w:type="dxa"/>
            <w:tcBorders>
              <w:top w:val="nil"/>
              <w:left w:val="single" w:sz="8" w:space="0" w:color="auto"/>
              <w:bottom w:val="single" w:sz="8" w:space="0" w:color="auto"/>
              <w:right w:val="nil"/>
            </w:tcBorders>
            <w:noWrap/>
            <w:vAlign w:val="bottom"/>
          </w:tcPr>
          <w:p w:rsidR="007C4C1E" w:rsidRPr="00905197" w:rsidRDefault="007C4C1E">
            <w:pPr>
              <w:rPr>
                <w:rFonts w:ascii="Arial" w:hAnsi="Arial" w:cs="Arial"/>
              </w:rPr>
            </w:pPr>
            <w:r w:rsidRPr="00905197">
              <w:rPr>
                <w:rFonts w:ascii="Arial" w:hAnsi="Arial" w:cs="Arial"/>
                <w:sz w:val="22"/>
                <w:szCs w:val="22"/>
              </w:rPr>
              <w:t> </w:t>
            </w:r>
          </w:p>
        </w:tc>
        <w:tc>
          <w:tcPr>
            <w:tcW w:w="1681" w:type="dxa"/>
            <w:tcBorders>
              <w:top w:val="nil"/>
              <w:left w:val="nil"/>
              <w:bottom w:val="single" w:sz="8" w:space="0" w:color="auto"/>
              <w:right w:val="single" w:sz="8" w:space="0" w:color="auto"/>
            </w:tcBorders>
            <w:noWrap/>
            <w:vAlign w:val="bottom"/>
          </w:tcPr>
          <w:p w:rsidR="007C4C1E" w:rsidRPr="00905197" w:rsidRDefault="007C4C1E">
            <w:pPr>
              <w:rPr>
                <w:rFonts w:ascii="Arial" w:hAnsi="Arial" w:cs="Arial"/>
              </w:rPr>
            </w:pPr>
            <w:r w:rsidRPr="00905197">
              <w:rPr>
                <w:rFonts w:ascii="Arial" w:hAnsi="Arial" w:cs="Arial"/>
                <w:sz w:val="22"/>
                <w:szCs w:val="22"/>
              </w:rPr>
              <w:t> </w:t>
            </w:r>
          </w:p>
        </w:tc>
      </w:tr>
      <w:tr w:rsidR="007C4C1E" w:rsidTr="00715455">
        <w:trPr>
          <w:trHeight w:val="273"/>
        </w:trPr>
        <w:tc>
          <w:tcPr>
            <w:tcW w:w="5400" w:type="dxa"/>
            <w:tcBorders>
              <w:top w:val="nil"/>
              <w:left w:val="single" w:sz="8" w:space="0" w:color="auto"/>
              <w:bottom w:val="nil"/>
              <w:right w:val="nil"/>
            </w:tcBorders>
            <w:noWrap/>
            <w:vAlign w:val="bottom"/>
          </w:tcPr>
          <w:p w:rsidR="007C4C1E" w:rsidRPr="00905197" w:rsidRDefault="007C4C1E">
            <w:pPr>
              <w:rPr>
                <w:rFonts w:ascii="Arial" w:hAnsi="Arial" w:cs="Arial"/>
              </w:rPr>
            </w:pPr>
            <w:r w:rsidRPr="00905197">
              <w:rPr>
                <w:rFonts w:ascii="Arial" w:hAnsi="Arial" w:cs="Arial"/>
                <w:sz w:val="22"/>
                <w:szCs w:val="22"/>
              </w:rPr>
              <w:t>To note within the table:</w:t>
            </w:r>
          </w:p>
        </w:tc>
        <w:tc>
          <w:tcPr>
            <w:tcW w:w="1681" w:type="dxa"/>
            <w:tcBorders>
              <w:top w:val="nil"/>
              <w:left w:val="nil"/>
              <w:bottom w:val="nil"/>
              <w:right w:val="nil"/>
            </w:tcBorders>
            <w:noWrap/>
            <w:vAlign w:val="bottom"/>
          </w:tcPr>
          <w:p w:rsidR="007C4C1E" w:rsidRPr="00905197" w:rsidRDefault="007C4C1E">
            <w:pPr>
              <w:rPr>
                <w:rFonts w:ascii="Arial" w:hAnsi="Arial" w:cs="Arial"/>
              </w:rPr>
            </w:pPr>
          </w:p>
        </w:tc>
      </w:tr>
      <w:tr w:rsidR="007C4C1E" w:rsidTr="00715455">
        <w:trPr>
          <w:trHeight w:val="257"/>
        </w:trPr>
        <w:tc>
          <w:tcPr>
            <w:tcW w:w="5400" w:type="dxa"/>
            <w:tcBorders>
              <w:top w:val="nil"/>
              <w:left w:val="single" w:sz="8" w:space="0" w:color="auto"/>
              <w:bottom w:val="nil"/>
              <w:right w:val="nil"/>
            </w:tcBorders>
            <w:noWrap/>
            <w:vAlign w:val="bottom"/>
          </w:tcPr>
          <w:p w:rsidR="007C4C1E" w:rsidRPr="00905197" w:rsidRDefault="007C4C1E" w:rsidP="009D68A0">
            <w:pPr>
              <w:pStyle w:val="NormalWeb"/>
              <w:rPr>
                <w:rFonts w:ascii="Arial" w:hAnsi="Arial" w:cs="Arial"/>
              </w:rPr>
            </w:pPr>
            <w:r w:rsidRPr="00905197">
              <w:rPr>
                <w:rFonts w:ascii="Arial" w:hAnsi="Arial" w:cs="Arial"/>
                <w:sz w:val="22"/>
                <w:szCs w:val="22"/>
              </w:rPr>
              <w:t>1.  The figures have been drawn from P NOMIS recording system. Although care is taken when processing and analysing the returns, the detail collected is subject to the inaccuracies inherent in any large scale recording system.</w:t>
            </w:r>
          </w:p>
        </w:tc>
        <w:tc>
          <w:tcPr>
            <w:tcW w:w="1681" w:type="dxa"/>
            <w:noWrap/>
          </w:tcPr>
          <w:p w:rsidR="007C4C1E" w:rsidRPr="00905197" w:rsidRDefault="007C4C1E">
            <w:pPr>
              <w:rPr>
                <w:rFonts w:ascii="Arial" w:hAnsi="Arial" w:cs="Arial"/>
              </w:rPr>
            </w:pPr>
          </w:p>
        </w:tc>
      </w:tr>
    </w:tbl>
    <w:p w:rsidR="007C4C1E" w:rsidRPr="0071076E" w:rsidRDefault="007C4C1E" w:rsidP="00F81C49">
      <w:pPr>
        <w:spacing w:line="240" w:lineRule="atLeast"/>
        <w:rPr>
          <w:rFonts w:ascii="Arial" w:hAnsi="Arial" w:cs="Arial"/>
          <w:sz w:val="22"/>
          <w:szCs w:val="22"/>
        </w:rPr>
      </w:pPr>
    </w:p>
    <w:p w:rsidR="007C4C1E" w:rsidRPr="0071076E" w:rsidRDefault="007C4C1E" w:rsidP="0032242B">
      <w:pPr>
        <w:autoSpaceDE w:val="0"/>
        <w:autoSpaceDN w:val="0"/>
        <w:adjustRightInd w:val="0"/>
        <w:rPr>
          <w:rFonts w:ascii="Arial" w:hAnsi="Arial" w:cs="Arial"/>
          <w:sz w:val="22"/>
          <w:szCs w:val="22"/>
        </w:rPr>
      </w:pPr>
      <w:r w:rsidRPr="0071076E">
        <w:rPr>
          <w:rFonts w:ascii="Arial" w:hAnsi="Arial" w:cs="Arial"/>
          <w:sz w:val="22"/>
          <w:szCs w:val="22"/>
        </w:rPr>
        <w:t>I hope you will find the information provided helpful.</w:t>
      </w:r>
    </w:p>
    <w:p w:rsidR="007C4C1E" w:rsidRDefault="007C4C1E" w:rsidP="00CB5E81">
      <w:pPr>
        <w:autoSpaceDE w:val="0"/>
        <w:autoSpaceDN w:val="0"/>
        <w:adjustRightInd w:val="0"/>
        <w:rPr>
          <w:rFonts w:ascii="Arial" w:hAnsi="Arial" w:cs="Arial"/>
          <w:sz w:val="22"/>
          <w:szCs w:val="22"/>
        </w:rPr>
      </w:pPr>
    </w:p>
    <w:p w:rsidR="007C4C1E" w:rsidRPr="003C0D6F" w:rsidRDefault="007C4C1E" w:rsidP="00CB5E81">
      <w:pPr>
        <w:autoSpaceDE w:val="0"/>
        <w:autoSpaceDN w:val="0"/>
        <w:adjustRightInd w:val="0"/>
        <w:rPr>
          <w:rFonts w:ascii="Arial" w:hAnsi="Arial" w:cs="Arial"/>
          <w:sz w:val="22"/>
          <w:szCs w:val="22"/>
        </w:rPr>
      </w:pPr>
      <w:r>
        <w:rPr>
          <w:rFonts w:ascii="Arial" w:hAnsi="Arial" w:cs="Arial"/>
          <w:sz w:val="22"/>
          <w:szCs w:val="22"/>
        </w:rPr>
        <w:t xml:space="preserve">You can also find more information by reading the full text of the Act (available at </w:t>
      </w:r>
      <w:hyperlink r:id="rId8" w:history="1">
        <w:r w:rsidRPr="00AC617F">
          <w:rPr>
            <w:rStyle w:val="Hyperlink"/>
            <w:rFonts w:ascii="Arial" w:hAnsi="Arial" w:cs="Arial"/>
            <w:sz w:val="22"/>
            <w:szCs w:val="22"/>
          </w:rPr>
          <w:t>http://www.legislation.gov.uk/ukpga/2000/36/contents</w:t>
        </w:r>
      </w:hyperlink>
      <w:r>
        <w:rPr>
          <w:rFonts w:ascii="Arial" w:hAnsi="Arial" w:cs="Arial"/>
          <w:sz w:val="22"/>
          <w:szCs w:val="22"/>
        </w:rPr>
        <w:t>).</w:t>
      </w:r>
    </w:p>
    <w:p w:rsidR="007C4C1E" w:rsidRDefault="007C4C1E" w:rsidP="00C6249F"/>
    <w:sectPr w:rsidR="007C4C1E"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42" w:rsidRDefault="00BA3142">
      <w:r>
        <w:separator/>
      </w:r>
    </w:p>
  </w:endnote>
  <w:endnote w:type="continuationSeparator" w:id="0">
    <w:p w:rsidR="00BA3142" w:rsidRDefault="00BA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1E" w:rsidRPr="002179DD" w:rsidRDefault="007C4C1E"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42" w:rsidRDefault="00BA3142">
      <w:r>
        <w:separator/>
      </w:r>
    </w:p>
  </w:footnote>
  <w:footnote w:type="continuationSeparator" w:id="0">
    <w:p w:rsidR="00BA3142" w:rsidRDefault="00BA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7A5ECC88"/>
    <w:lvl w:ilvl="0">
      <w:numFmt w:val="bullet"/>
      <w:lvlText w:val="*"/>
      <w:lvlJc w:val="left"/>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4365A"/>
    <w:multiLevelType w:val="multilevel"/>
    <w:tmpl w:val="B37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4"/>
  </w:num>
  <w:num w:numId="5">
    <w:abstractNumId w:val="0"/>
  </w:num>
  <w:num w:numId="6">
    <w:abstractNumId w:val="10"/>
  </w:num>
  <w:num w:numId="7">
    <w:abstractNumId w:val="5"/>
  </w:num>
  <w:num w:numId="8">
    <w:abstractNumId w:val="7"/>
  </w:num>
  <w:num w:numId="9">
    <w:abstractNumId w:val="3"/>
  </w:num>
  <w:num w:numId="10">
    <w:abstractNumId w:val="9"/>
  </w:num>
  <w:num w:numId="11">
    <w:abstractNumId w:val="1"/>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F6"/>
    <w:rsid w:val="000166D6"/>
    <w:rsid w:val="00025CB0"/>
    <w:rsid w:val="00026866"/>
    <w:rsid w:val="000316D2"/>
    <w:rsid w:val="00033456"/>
    <w:rsid w:val="00043C1B"/>
    <w:rsid w:val="00046F66"/>
    <w:rsid w:val="0008574D"/>
    <w:rsid w:val="000900D8"/>
    <w:rsid w:val="000A2BCA"/>
    <w:rsid w:val="000A378D"/>
    <w:rsid w:val="000B0C5A"/>
    <w:rsid w:val="000C2071"/>
    <w:rsid w:val="000C5396"/>
    <w:rsid w:val="000C7D6E"/>
    <w:rsid w:val="000D706C"/>
    <w:rsid w:val="000E3F0A"/>
    <w:rsid w:val="000F1A0F"/>
    <w:rsid w:val="00102BD1"/>
    <w:rsid w:val="00113955"/>
    <w:rsid w:val="001150AC"/>
    <w:rsid w:val="00131AC2"/>
    <w:rsid w:val="00141F26"/>
    <w:rsid w:val="00150A41"/>
    <w:rsid w:val="00155B66"/>
    <w:rsid w:val="00156D9C"/>
    <w:rsid w:val="001705EF"/>
    <w:rsid w:val="00172BC6"/>
    <w:rsid w:val="0017750C"/>
    <w:rsid w:val="001A1C7E"/>
    <w:rsid w:val="001A22D4"/>
    <w:rsid w:val="001A4616"/>
    <w:rsid w:val="001A6C9B"/>
    <w:rsid w:val="001C27E9"/>
    <w:rsid w:val="001D01A8"/>
    <w:rsid w:val="001D78C6"/>
    <w:rsid w:val="001E7FDA"/>
    <w:rsid w:val="001F53B2"/>
    <w:rsid w:val="00204760"/>
    <w:rsid w:val="00205451"/>
    <w:rsid w:val="00205B69"/>
    <w:rsid w:val="002179DD"/>
    <w:rsid w:val="0022013F"/>
    <w:rsid w:val="0022089E"/>
    <w:rsid w:val="00223AFD"/>
    <w:rsid w:val="00231E83"/>
    <w:rsid w:val="00233F06"/>
    <w:rsid w:val="00243CA4"/>
    <w:rsid w:val="002446F9"/>
    <w:rsid w:val="00246E9B"/>
    <w:rsid w:val="00260A9D"/>
    <w:rsid w:val="002807CB"/>
    <w:rsid w:val="002915D9"/>
    <w:rsid w:val="002976A4"/>
    <w:rsid w:val="00297F90"/>
    <w:rsid w:val="002B2D7D"/>
    <w:rsid w:val="002C05D7"/>
    <w:rsid w:val="002C5972"/>
    <w:rsid w:val="002C5F30"/>
    <w:rsid w:val="002C67B7"/>
    <w:rsid w:val="002D3461"/>
    <w:rsid w:val="002D44EB"/>
    <w:rsid w:val="002E2D77"/>
    <w:rsid w:val="002E2E1C"/>
    <w:rsid w:val="002E52AF"/>
    <w:rsid w:val="002E6160"/>
    <w:rsid w:val="002F2F10"/>
    <w:rsid w:val="002F70EA"/>
    <w:rsid w:val="00312DFB"/>
    <w:rsid w:val="00320205"/>
    <w:rsid w:val="0032242B"/>
    <w:rsid w:val="00324695"/>
    <w:rsid w:val="0033137F"/>
    <w:rsid w:val="0034185D"/>
    <w:rsid w:val="0035566D"/>
    <w:rsid w:val="0037228D"/>
    <w:rsid w:val="00377547"/>
    <w:rsid w:val="00382990"/>
    <w:rsid w:val="00385664"/>
    <w:rsid w:val="00386A0A"/>
    <w:rsid w:val="003944A1"/>
    <w:rsid w:val="003B6267"/>
    <w:rsid w:val="003B7D88"/>
    <w:rsid w:val="003C0D6F"/>
    <w:rsid w:val="003C6C2B"/>
    <w:rsid w:val="003D488A"/>
    <w:rsid w:val="003F044E"/>
    <w:rsid w:val="003F2001"/>
    <w:rsid w:val="003F2167"/>
    <w:rsid w:val="003F6C63"/>
    <w:rsid w:val="004135C3"/>
    <w:rsid w:val="004179A0"/>
    <w:rsid w:val="004253BB"/>
    <w:rsid w:val="0043092E"/>
    <w:rsid w:val="00435089"/>
    <w:rsid w:val="004460E5"/>
    <w:rsid w:val="00446FA9"/>
    <w:rsid w:val="00456543"/>
    <w:rsid w:val="00457553"/>
    <w:rsid w:val="004614C8"/>
    <w:rsid w:val="004861CE"/>
    <w:rsid w:val="004B14BA"/>
    <w:rsid w:val="004B302F"/>
    <w:rsid w:val="004C2B5B"/>
    <w:rsid w:val="004C7B93"/>
    <w:rsid w:val="004D28E2"/>
    <w:rsid w:val="004D3099"/>
    <w:rsid w:val="004D3C1D"/>
    <w:rsid w:val="004E1E12"/>
    <w:rsid w:val="004E2392"/>
    <w:rsid w:val="004E33F8"/>
    <w:rsid w:val="004F526D"/>
    <w:rsid w:val="005114E6"/>
    <w:rsid w:val="0051617C"/>
    <w:rsid w:val="005202DD"/>
    <w:rsid w:val="00530F19"/>
    <w:rsid w:val="00537B28"/>
    <w:rsid w:val="005656A1"/>
    <w:rsid w:val="00571F04"/>
    <w:rsid w:val="0058030C"/>
    <w:rsid w:val="00585DDB"/>
    <w:rsid w:val="00596841"/>
    <w:rsid w:val="005A45B4"/>
    <w:rsid w:val="005B71A3"/>
    <w:rsid w:val="005B7296"/>
    <w:rsid w:val="005C2AFE"/>
    <w:rsid w:val="005D0A14"/>
    <w:rsid w:val="005D15AB"/>
    <w:rsid w:val="005E20BF"/>
    <w:rsid w:val="005E455C"/>
    <w:rsid w:val="005F37FF"/>
    <w:rsid w:val="00606EB2"/>
    <w:rsid w:val="00607F16"/>
    <w:rsid w:val="00614848"/>
    <w:rsid w:val="006150BD"/>
    <w:rsid w:val="006201B1"/>
    <w:rsid w:val="00622969"/>
    <w:rsid w:val="00624B5B"/>
    <w:rsid w:val="006269C1"/>
    <w:rsid w:val="00631B8C"/>
    <w:rsid w:val="00641184"/>
    <w:rsid w:val="006414E6"/>
    <w:rsid w:val="006628F6"/>
    <w:rsid w:val="00672767"/>
    <w:rsid w:val="00672C95"/>
    <w:rsid w:val="00683FE5"/>
    <w:rsid w:val="006946FC"/>
    <w:rsid w:val="006949B4"/>
    <w:rsid w:val="00695830"/>
    <w:rsid w:val="006A0DBB"/>
    <w:rsid w:val="006A7299"/>
    <w:rsid w:val="006B26A9"/>
    <w:rsid w:val="006B2736"/>
    <w:rsid w:val="006B34F3"/>
    <w:rsid w:val="006C5F8A"/>
    <w:rsid w:val="006C7D9D"/>
    <w:rsid w:val="006D38FE"/>
    <w:rsid w:val="006D7605"/>
    <w:rsid w:val="006F3680"/>
    <w:rsid w:val="006F39F1"/>
    <w:rsid w:val="006F3D6E"/>
    <w:rsid w:val="00707F63"/>
    <w:rsid w:val="0071076E"/>
    <w:rsid w:val="00715455"/>
    <w:rsid w:val="007331A2"/>
    <w:rsid w:val="00744BAC"/>
    <w:rsid w:val="007546D3"/>
    <w:rsid w:val="007566A5"/>
    <w:rsid w:val="00772E27"/>
    <w:rsid w:val="00773035"/>
    <w:rsid w:val="00774CB0"/>
    <w:rsid w:val="00780355"/>
    <w:rsid w:val="00784562"/>
    <w:rsid w:val="00792F3D"/>
    <w:rsid w:val="00793BDA"/>
    <w:rsid w:val="007960EE"/>
    <w:rsid w:val="007C4C1E"/>
    <w:rsid w:val="007D00CC"/>
    <w:rsid w:val="007D3453"/>
    <w:rsid w:val="007F2CB3"/>
    <w:rsid w:val="007F5ABF"/>
    <w:rsid w:val="008120CA"/>
    <w:rsid w:val="00815FCB"/>
    <w:rsid w:val="0081625B"/>
    <w:rsid w:val="00820102"/>
    <w:rsid w:val="00820C72"/>
    <w:rsid w:val="00837883"/>
    <w:rsid w:val="008540CB"/>
    <w:rsid w:val="00854C46"/>
    <w:rsid w:val="008653C2"/>
    <w:rsid w:val="00875296"/>
    <w:rsid w:val="008848B6"/>
    <w:rsid w:val="0088677B"/>
    <w:rsid w:val="00890A76"/>
    <w:rsid w:val="00893D20"/>
    <w:rsid w:val="00893EB7"/>
    <w:rsid w:val="008A4F87"/>
    <w:rsid w:val="008E33EC"/>
    <w:rsid w:val="008F0A88"/>
    <w:rsid w:val="009026FE"/>
    <w:rsid w:val="00905197"/>
    <w:rsid w:val="00905F6B"/>
    <w:rsid w:val="00913446"/>
    <w:rsid w:val="00917DFF"/>
    <w:rsid w:val="0092010B"/>
    <w:rsid w:val="00924204"/>
    <w:rsid w:val="00932D27"/>
    <w:rsid w:val="00933E03"/>
    <w:rsid w:val="009357D7"/>
    <w:rsid w:val="00942AA2"/>
    <w:rsid w:val="00951FE2"/>
    <w:rsid w:val="00954DBE"/>
    <w:rsid w:val="00960C03"/>
    <w:rsid w:val="009A0006"/>
    <w:rsid w:val="009A2243"/>
    <w:rsid w:val="009A4B35"/>
    <w:rsid w:val="009B624A"/>
    <w:rsid w:val="009B7A4B"/>
    <w:rsid w:val="009C2177"/>
    <w:rsid w:val="009D68A0"/>
    <w:rsid w:val="009E10A4"/>
    <w:rsid w:val="009E501C"/>
    <w:rsid w:val="009F79A1"/>
    <w:rsid w:val="00A041A5"/>
    <w:rsid w:val="00A055BB"/>
    <w:rsid w:val="00A068C5"/>
    <w:rsid w:val="00A129BF"/>
    <w:rsid w:val="00A4070B"/>
    <w:rsid w:val="00A53462"/>
    <w:rsid w:val="00A57446"/>
    <w:rsid w:val="00A64A8E"/>
    <w:rsid w:val="00A66233"/>
    <w:rsid w:val="00A803B8"/>
    <w:rsid w:val="00AA3A3A"/>
    <w:rsid w:val="00AB3DC4"/>
    <w:rsid w:val="00AB663D"/>
    <w:rsid w:val="00AC617F"/>
    <w:rsid w:val="00AC65A6"/>
    <w:rsid w:val="00AD5B39"/>
    <w:rsid w:val="00AE132B"/>
    <w:rsid w:val="00AF6F11"/>
    <w:rsid w:val="00B13B66"/>
    <w:rsid w:val="00B14C35"/>
    <w:rsid w:val="00B220A8"/>
    <w:rsid w:val="00B22DB3"/>
    <w:rsid w:val="00B27CC9"/>
    <w:rsid w:val="00B35366"/>
    <w:rsid w:val="00B50AC8"/>
    <w:rsid w:val="00B55A9E"/>
    <w:rsid w:val="00B658A6"/>
    <w:rsid w:val="00B7036A"/>
    <w:rsid w:val="00B83BAA"/>
    <w:rsid w:val="00B95332"/>
    <w:rsid w:val="00B95D17"/>
    <w:rsid w:val="00BA3142"/>
    <w:rsid w:val="00BB2CBF"/>
    <w:rsid w:val="00BD0D76"/>
    <w:rsid w:val="00BE1ADF"/>
    <w:rsid w:val="00BF247F"/>
    <w:rsid w:val="00C03441"/>
    <w:rsid w:val="00C23D10"/>
    <w:rsid w:val="00C27387"/>
    <w:rsid w:val="00C43B0A"/>
    <w:rsid w:val="00C4438A"/>
    <w:rsid w:val="00C6249F"/>
    <w:rsid w:val="00C66F97"/>
    <w:rsid w:val="00C70388"/>
    <w:rsid w:val="00C746D8"/>
    <w:rsid w:val="00C767CF"/>
    <w:rsid w:val="00C76E9E"/>
    <w:rsid w:val="00C8797E"/>
    <w:rsid w:val="00C91FDA"/>
    <w:rsid w:val="00C97F31"/>
    <w:rsid w:val="00CB508A"/>
    <w:rsid w:val="00CB5E81"/>
    <w:rsid w:val="00CE2D84"/>
    <w:rsid w:val="00CE34EE"/>
    <w:rsid w:val="00CE6C91"/>
    <w:rsid w:val="00CE6E9A"/>
    <w:rsid w:val="00CF776B"/>
    <w:rsid w:val="00D200EE"/>
    <w:rsid w:val="00D31A00"/>
    <w:rsid w:val="00D33B35"/>
    <w:rsid w:val="00D4164C"/>
    <w:rsid w:val="00D60DBE"/>
    <w:rsid w:val="00D64A0F"/>
    <w:rsid w:val="00D71F9D"/>
    <w:rsid w:val="00D878B5"/>
    <w:rsid w:val="00DA7310"/>
    <w:rsid w:val="00DC36D1"/>
    <w:rsid w:val="00DC6E25"/>
    <w:rsid w:val="00DE5383"/>
    <w:rsid w:val="00DF4FFE"/>
    <w:rsid w:val="00E04270"/>
    <w:rsid w:val="00E0467F"/>
    <w:rsid w:val="00E0580D"/>
    <w:rsid w:val="00E0591C"/>
    <w:rsid w:val="00E1017F"/>
    <w:rsid w:val="00E10406"/>
    <w:rsid w:val="00E1544C"/>
    <w:rsid w:val="00E24F7B"/>
    <w:rsid w:val="00E26A68"/>
    <w:rsid w:val="00E36BAC"/>
    <w:rsid w:val="00E370F5"/>
    <w:rsid w:val="00E41541"/>
    <w:rsid w:val="00E43842"/>
    <w:rsid w:val="00E479D5"/>
    <w:rsid w:val="00E52437"/>
    <w:rsid w:val="00E67018"/>
    <w:rsid w:val="00E74AB1"/>
    <w:rsid w:val="00E847FC"/>
    <w:rsid w:val="00E94654"/>
    <w:rsid w:val="00E96210"/>
    <w:rsid w:val="00E97AA1"/>
    <w:rsid w:val="00EB153E"/>
    <w:rsid w:val="00EB689F"/>
    <w:rsid w:val="00EB71B7"/>
    <w:rsid w:val="00ED7C29"/>
    <w:rsid w:val="00EE5B16"/>
    <w:rsid w:val="00EF49DB"/>
    <w:rsid w:val="00EF59DA"/>
    <w:rsid w:val="00F05B42"/>
    <w:rsid w:val="00F23B7E"/>
    <w:rsid w:val="00F26E9E"/>
    <w:rsid w:val="00F35B4A"/>
    <w:rsid w:val="00F44B6E"/>
    <w:rsid w:val="00F546E6"/>
    <w:rsid w:val="00F81C49"/>
    <w:rsid w:val="00F82564"/>
    <w:rsid w:val="00F94B75"/>
    <w:rsid w:val="00FB4A0E"/>
    <w:rsid w:val="00FF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7EE796A-AC64-4DA9-AD95-C6473944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uiPriority w:val="99"/>
    <w:qFormat/>
    <w:rsid w:val="005B71A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6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26FE"/>
    <w:rPr>
      <w:rFonts w:ascii="Cambria" w:hAnsi="Cambria" w:cs="Times New Roman"/>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9026FE"/>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9026FE"/>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9026FE"/>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744BAC"/>
    <w:rPr>
      <w:rFonts w:ascii="Arial" w:hAnsi="Arial"/>
      <w:i/>
      <w:sz w:val="22"/>
    </w:rPr>
  </w:style>
  <w:style w:type="character" w:customStyle="1" w:styleId="BodyText2Char">
    <w:name w:val="Body Text 2 Char"/>
    <w:basedOn w:val="DefaultParagraphFont"/>
    <w:link w:val="BodyText2"/>
    <w:uiPriority w:val="99"/>
    <w:semiHidden/>
    <w:locked/>
    <w:rsid w:val="009026FE"/>
    <w:rPr>
      <w:rFonts w:cs="Times New Roman"/>
      <w:sz w:val="24"/>
      <w:szCs w:val="24"/>
    </w:rPr>
  </w:style>
  <w:style w:type="character" w:customStyle="1" w:styleId="legdslegp1no">
    <w:name w:val="legds legp1no"/>
    <w:basedOn w:val="DefaultParagraphFont"/>
    <w:uiPriority w:val="99"/>
    <w:rsid w:val="00683FE5"/>
    <w:rPr>
      <w:rFonts w:cs="Times New Roman"/>
    </w:rPr>
  </w:style>
  <w:style w:type="character" w:customStyle="1" w:styleId="legdslegp1grouptitlefirst">
    <w:name w:val="legds legp1grouptitlefirst"/>
    <w:basedOn w:val="DefaultParagraphFont"/>
    <w:uiPriority w:val="99"/>
    <w:rsid w:val="00683FE5"/>
    <w:rPr>
      <w:rFonts w:cs="Times New Roman"/>
    </w:rPr>
  </w:style>
  <w:style w:type="character" w:customStyle="1" w:styleId="legextentrestriction7">
    <w:name w:val="legextentrestriction7"/>
    <w:basedOn w:val="DefaultParagraphFont"/>
    <w:uiPriority w:val="99"/>
    <w:rsid w:val="00683FE5"/>
    <w:rPr>
      <w:rFonts w:cs="Times New Roman"/>
      <w:b/>
      <w:bCs/>
      <w:vanish/>
      <w:color w:val="FFFFFF"/>
      <w:sz w:val="22"/>
      <w:szCs w:val="22"/>
      <w:shd w:val="clear" w:color="auto" w:fill="660066"/>
    </w:rPr>
  </w:style>
  <w:style w:type="character" w:customStyle="1" w:styleId="legdsleglhslegp2no">
    <w:name w:val="legds leglhs legp2no"/>
    <w:basedOn w:val="DefaultParagraphFont"/>
    <w:uiPriority w:val="99"/>
    <w:rsid w:val="00683FE5"/>
    <w:rPr>
      <w:rFonts w:cs="Times New Roman"/>
    </w:rPr>
  </w:style>
  <w:style w:type="character" w:customStyle="1" w:styleId="legdslegrhslegp2text">
    <w:name w:val="legds legrhs legp2text"/>
    <w:basedOn w:val="DefaultParagraphFont"/>
    <w:uiPriority w:val="99"/>
    <w:rsid w:val="00683FE5"/>
    <w:rPr>
      <w:rFonts w:cs="Times New Roman"/>
    </w:rPr>
  </w:style>
  <w:style w:type="character" w:customStyle="1" w:styleId="legdsleglhslegp3no">
    <w:name w:val="legds leglhs legp3no"/>
    <w:basedOn w:val="DefaultParagraphFont"/>
    <w:uiPriority w:val="99"/>
    <w:rsid w:val="00683FE5"/>
    <w:rPr>
      <w:rFonts w:cs="Times New Roman"/>
    </w:rPr>
  </w:style>
  <w:style w:type="character" w:customStyle="1" w:styleId="legdslegrhslegp3text">
    <w:name w:val="legds legrhs legp3text"/>
    <w:basedOn w:val="DefaultParagraphFont"/>
    <w:uiPriority w:val="99"/>
    <w:rsid w:val="00683FE5"/>
    <w:rPr>
      <w:rFonts w:cs="Times New Roman"/>
    </w:rPr>
  </w:style>
  <w:style w:type="character" w:customStyle="1" w:styleId="legterm">
    <w:name w:val="legterm"/>
    <w:basedOn w:val="DefaultParagraphFont"/>
    <w:uiPriority w:val="99"/>
    <w:rsid w:val="00683FE5"/>
    <w:rPr>
      <w:rFonts w:cs="Times New Roman"/>
    </w:rPr>
  </w:style>
  <w:style w:type="paragraph" w:styleId="BalloonText">
    <w:name w:val="Balloon Text"/>
    <w:basedOn w:val="Normal"/>
    <w:link w:val="BalloonTextChar"/>
    <w:uiPriority w:val="99"/>
    <w:semiHidden/>
    <w:rsid w:val="00B9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6FE"/>
    <w:rPr>
      <w:rFonts w:cs="Times New Roman"/>
      <w:sz w:val="2"/>
    </w:rPr>
  </w:style>
  <w:style w:type="paragraph" w:styleId="PlainText">
    <w:name w:val="Plain Text"/>
    <w:basedOn w:val="Normal"/>
    <w:link w:val="PlainTextChar"/>
    <w:uiPriority w:val="99"/>
    <w:rsid w:val="00951FE2"/>
    <w:rPr>
      <w:rFonts w:ascii="Consolas" w:hAnsi="Consolas"/>
      <w:sz w:val="21"/>
      <w:szCs w:val="21"/>
      <w:lang w:eastAsia="en-US"/>
    </w:rPr>
  </w:style>
  <w:style w:type="character" w:customStyle="1" w:styleId="PlainTextChar">
    <w:name w:val="Plain Text Char"/>
    <w:basedOn w:val="DefaultParagraphFont"/>
    <w:link w:val="PlainText"/>
    <w:uiPriority w:val="99"/>
    <w:locked/>
    <w:rsid w:val="00951FE2"/>
    <w:rPr>
      <w:rFonts w:ascii="Consolas" w:hAnsi="Consolas" w:cs="Times New Roman"/>
      <w:sz w:val="21"/>
      <w:szCs w:val="21"/>
      <w:lang w:eastAsia="en-US"/>
    </w:rPr>
  </w:style>
  <w:style w:type="character" w:styleId="CommentReference">
    <w:name w:val="annotation reference"/>
    <w:basedOn w:val="DefaultParagraphFont"/>
    <w:uiPriority w:val="99"/>
    <w:semiHidden/>
    <w:rsid w:val="00B35366"/>
    <w:rPr>
      <w:rFonts w:cs="Times New Roman"/>
      <w:sz w:val="16"/>
      <w:szCs w:val="16"/>
    </w:rPr>
  </w:style>
  <w:style w:type="paragraph" w:styleId="CommentText">
    <w:name w:val="annotation text"/>
    <w:basedOn w:val="Normal"/>
    <w:link w:val="CommentTextChar"/>
    <w:uiPriority w:val="99"/>
    <w:semiHidden/>
    <w:rsid w:val="00B35366"/>
    <w:rPr>
      <w:sz w:val="20"/>
      <w:szCs w:val="20"/>
    </w:rPr>
  </w:style>
  <w:style w:type="character" w:customStyle="1" w:styleId="CommentTextChar">
    <w:name w:val="Comment Text Char"/>
    <w:basedOn w:val="DefaultParagraphFont"/>
    <w:link w:val="CommentText"/>
    <w:uiPriority w:val="99"/>
    <w:semiHidden/>
    <w:locked/>
    <w:rsid w:val="002B2D7D"/>
    <w:rPr>
      <w:rFonts w:cs="Times New Roman"/>
      <w:sz w:val="20"/>
      <w:szCs w:val="20"/>
    </w:rPr>
  </w:style>
  <w:style w:type="paragraph" w:styleId="CommentSubject">
    <w:name w:val="annotation subject"/>
    <w:basedOn w:val="CommentText"/>
    <w:next w:val="CommentText"/>
    <w:link w:val="CommentSubjectChar"/>
    <w:uiPriority w:val="99"/>
    <w:semiHidden/>
    <w:rsid w:val="00B35366"/>
    <w:rPr>
      <w:b/>
      <w:bCs/>
    </w:rPr>
  </w:style>
  <w:style w:type="character" w:customStyle="1" w:styleId="CommentSubjectChar">
    <w:name w:val="Comment Subject Char"/>
    <w:basedOn w:val="CommentTextChar"/>
    <w:link w:val="CommentSubject"/>
    <w:uiPriority w:val="99"/>
    <w:semiHidden/>
    <w:locked/>
    <w:rsid w:val="002B2D7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4305">
      <w:marLeft w:val="0"/>
      <w:marRight w:val="0"/>
      <w:marTop w:val="0"/>
      <w:marBottom w:val="0"/>
      <w:divBdr>
        <w:top w:val="none" w:sz="0" w:space="0" w:color="auto"/>
        <w:left w:val="none" w:sz="0" w:space="0" w:color="auto"/>
        <w:bottom w:val="none" w:sz="0" w:space="0" w:color="auto"/>
        <w:right w:val="none" w:sz="0" w:space="0" w:color="auto"/>
      </w:divBdr>
      <w:divsChild>
        <w:div w:id="1568954327">
          <w:marLeft w:val="0"/>
          <w:marRight w:val="0"/>
          <w:marTop w:val="0"/>
          <w:marBottom w:val="0"/>
          <w:divBdr>
            <w:top w:val="none" w:sz="0" w:space="0" w:color="auto"/>
            <w:left w:val="none" w:sz="0" w:space="0" w:color="auto"/>
            <w:bottom w:val="none" w:sz="0" w:space="0" w:color="auto"/>
            <w:right w:val="none" w:sz="0" w:space="0" w:color="auto"/>
          </w:divBdr>
          <w:divsChild>
            <w:div w:id="1568954309">
              <w:marLeft w:val="0"/>
              <w:marRight w:val="0"/>
              <w:marTop w:val="0"/>
              <w:marBottom w:val="0"/>
              <w:divBdr>
                <w:top w:val="single" w:sz="2" w:space="0" w:color="FFFFFF"/>
                <w:left w:val="single" w:sz="6" w:space="0" w:color="FFFFFF"/>
                <w:bottom w:val="single" w:sz="6" w:space="0" w:color="FFFFFF"/>
                <w:right w:val="single" w:sz="6" w:space="0" w:color="FFFFFF"/>
              </w:divBdr>
              <w:divsChild>
                <w:div w:id="1568954318">
                  <w:marLeft w:val="0"/>
                  <w:marRight w:val="0"/>
                  <w:marTop w:val="0"/>
                  <w:marBottom w:val="0"/>
                  <w:divBdr>
                    <w:top w:val="single" w:sz="6" w:space="1" w:color="D3D3D3"/>
                    <w:left w:val="none" w:sz="0" w:space="0" w:color="auto"/>
                    <w:bottom w:val="none" w:sz="0" w:space="0" w:color="auto"/>
                    <w:right w:val="none" w:sz="0" w:space="0" w:color="auto"/>
                  </w:divBdr>
                  <w:divsChild>
                    <w:div w:id="1568954320">
                      <w:marLeft w:val="0"/>
                      <w:marRight w:val="0"/>
                      <w:marTop w:val="0"/>
                      <w:marBottom w:val="0"/>
                      <w:divBdr>
                        <w:top w:val="none" w:sz="0" w:space="0" w:color="auto"/>
                        <w:left w:val="none" w:sz="0" w:space="0" w:color="auto"/>
                        <w:bottom w:val="none" w:sz="0" w:space="0" w:color="auto"/>
                        <w:right w:val="none" w:sz="0" w:space="0" w:color="auto"/>
                      </w:divBdr>
                      <w:divsChild>
                        <w:div w:id="15689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308">
      <w:marLeft w:val="0"/>
      <w:marRight w:val="0"/>
      <w:marTop w:val="0"/>
      <w:marBottom w:val="0"/>
      <w:divBdr>
        <w:top w:val="none" w:sz="0" w:space="0" w:color="auto"/>
        <w:left w:val="none" w:sz="0" w:space="0" w:color="auto"/>
        <w:bottom w:val="none" w:sz="0" w:space="0" w:color="auto"/>
        <w:right w:val="none" w:sz="0" w:space="0" w:color="auto"/>
      </w:divBdr>
      <w:divsChild>
        <w:div w:id="1568954310">
          <w:marLeft w:val="0"/>
          <w:marRight w:val="0"/>
          <w:marTop w:val="0"/>
          <w:marBottom w:val="0"/>
          <w:divBdr>
            <w:top w:val="none" w:sz="0" w:space="0" w:color="auto"/>
            <w:left w:val="none" w:sz="0" w:space="0" w:color="auto"/>
            <w:bottom w:val="none" w:sz="0" w:space="0" w:color="auto"/>
            <w:right w:val="none" w:sz="0" w:space="0" w:color="auto"/>
          </w:divBdr>
          <w:divsChild>
            <w:div w:id="1568954307">
              <w:marLeft w:val="0"/>
              <w:marRight w:val="0"/>
              <w:marTop w:val="0"/>
              <w:marBottom w:val="0"/>
              <w:divBdr>
                <w:top w:val="none" w:sz="0" w:space="0" w:color="auto"/>
                <w:left w:val="none" w:sz="0" w:space="0" w:color="auto"/>
                <w:bottom w:val="none" w:sz="0" w:space="0" w:color="auto"/>
                <w:right w:val="none" w:sz="0" w:space="0" w:color="auto"/>
              </w:divBdr>
              <w:divsChild>
                <w:div w:id="1568954319">
                  <w:marLeft w:val="0"/>
                  <w:marRight w:val="0"/>
                  <w:marTop w:val="0"/>
                  <w:marBottom w:val="0"/>
                  <w:divBdr>
                    <w:top w:val="none" w:sz="0" w:space="0" w:color="auto"/>
                    <w:left w:val="none" w:sz="0" w:space="0" w:color="auto"/>
                    <w:bottom w:val="none" w:sz="0" w:space="0" w:color="auto"/>
                    <w:right w:val="none" w:sz="0" w:space="0" w:color="auto"/>
                  </w:divBdr>
                  <w:divsChild>
                    <w:div w:id="15689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4311">
      <w:marLeft w:val="0"/>
      <w:marRight w:val="0"/>
      <w:marTop w:val="0"/>
      <w:marBottom w:val="0"/>
      <w:divBdr>
        <w:top w:val="none" w:sz="0" w:space="0" w:color="auto"/>
        <w:left w:val="none" w:sz="0" w:space="0" w:color="auto"/>
        <w:bottom w:val="none" w:sz="0" w:space="0" w:color="auto"/>
        <w:right w:val="none" w:sz="0" w:space="0" w:color="auto"/>
      </w:divBdr>
      <w:divsChild>
        <w:div w:id="1568954326">
          <w:marLeft w:val="0"/>
          <w:marRight w:val="0"/>
          <w:marTop w:val="0"/>
          <w:marBottom w:val="0"/>
          <w:divBdr>
            <w:top w:val="none" w:sz="0" w:space="0" w:color="auto"/>
            <w:left w:val="none" w:sz="0" w:space="0" w:color="auto"/>
            <w:bottom w:val="none" w:sz="0" w:space="0" w:color="auto"/>
            <w:right w:val="none" w:sz="0" w:space="0" w:color="auto"/>
          </w:divBdr>
          <w:divsChild>
            <w:div w:id="1568954306">
              <w:marLeft w:val="0"/>
              <w:marRight w:val="0"/>
              <w:marTop w:val="0"/>
              <w:marBottom w:val="0"/>
              <w:divBdr>
                <w:top w:val="none" w:sz="0" w:space="0" w:color="auto"/>
                <w:left w:val="none" w:sz="0" w:space="0" w:color="auto"/>
                <w:bottom w:val="none" w:sz="0" w:space="0" w:color="auto"/>
                <w:right w:val="none" w:sz="0" w:space="0" w:color="auto"/>
              </w:divBdr>
              <w:divsChild>
                <w:div w:id="15689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4312">
      <w:marLeft w:val="0"/>
      <w:marRight w:val="0"/>
      <w:marTop w:val="0"/>
      <w:marBottom w:val="0"/>
      <w:divBdr>
        <w:top w:val="none" w:sz="0" w:space="0" w:color="auto"/>
        <w:left w:val="none" w:sz="0" w:space="0" w:color="auto"/>
        <w:bottom w:val="none" w:sz="0" w:space="0" w:color="auto"/>
        <w:right w:val="none" w:sz="0" w:space="0" w:color="auto"/>
      </w:divBdr>
      <w:divsChild>
        <w:div w:id="1568954314">
          <w:marLeft w:val="0"/>
          <w:marRight w:val="0"/>
          <w:marTop w:val="0"/>
          <w:marBottom w:val="0"/>
          <w:divBdr>
            <w:top w:val="none" w:sz="0" w:space="0" w:color="auto"/>
            <w:left w:val="none" w:sz="0" w:space="0" w:color="auto"/>
            <w:bottom w:val="none" w:sz="0" w:space="0" w:color="auto"/>
            <w:right w:val="none" w:sz="0" w:space="0" w:color="auto"/>
          </w:divBdr>
          <w:divsChild>
            <w:div w:id="1568954322">
              <w:marLeft w:val="0"/>
              <w:marRight w:val="0"/>
              <w:marTop w:val="0"/>
              <w:marBottom w:val="0"/>
              <w:divBdr>
                <w:top w:val="none" w:sz="0" w:space="0" w:color="auto"/>
                <w:left w:val="none" w:sz="0" w:space="0" w:color="auto"/>
                <w:bottom w:val="none" w:sz="0" w:space="0" w:color="auto"/>
                <w:right w:val="none" w:sz="0" w:space="0" w:color="auto"/>
              </w:divBdr>
              <w:divsChild>
                <w:div w:id="15689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4315">
      <w:marLeft w:val="0"/>
      <w:marRight w:val="0"/>
      <w:marTop w:val="0"/>
      <w:marBottom w:val="0"/>
      <w:divBdr>
        <w:top w:val="none" w:sz="0" w:space="0" w:color="auto"/>
        <w:left w:val="none" w:sz="0" w:space="0" w:color="auto"/>
        <w:bottom w:val="none" w:sz="0" w:space="0" w:color="auto"/>
        <w:right w:val="none" w:sz="0" w:space="0" w:color="auto"/>
      </w:divBdr>
      <w:divsChild>
        <w:div w:id="1568954321">
          <w:marLeft w:val="0"/>
          <w:marRight w:val="0"/>
          <w:marTop w:val="0"/>
          <w:marBottom w:val="0"/>
          <w:divBdr>
            <w:top w:val="none" w:sz="0" w:space="0" w:color="auto"/>
            <w:left w:val="none" w:sz="0" w:space="0" w:color="auto"/>
            <w:bottom w:val="none" w:sz="0" w:space="0" w:color="auto"/>
            <w:right w:val="none" w:sz="0" w:space="0" w:color="auto"/>
          </w:divBdr>
          <w:divsChild>
            <w:div w:id="1568954317">
              <w:marLeft w:val="0"/>
              <w:marRight w:val="0"/>
              <w:marTop w:val="0"/>
              <w:marBottom w:val="0"/>
              <w:divBdr>
                <w:top w:val="none" w:sz="0" w:space="0" w:color="auto"/>
                <w:left w:val="none" w:sz="0" w:space="0" w:color="auto"/>
                <w:bottom w:val="none" w:sz="0" w:space="0" w:color="auto"/>
                <w:right w:val="none" w:sz="0" w:space="0" w:color="auto"/>
              </w:divBdr>
              <w:divsChild>
                <w:div w:id="15689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4323">
      <w:marLeft w:val="0"/>
      <w:marRight w:val="0"/>
      <w:marTop w:val="0"/>
      <w:marBottom w:val="0"/>
      <w:divBdr>
        <w:top w:val="none" w:sz="0" w:space="0" w:color="auto"/>
        <w:left w:val="none" w:sz="0" w:space="0" w:color="auto"/>
        <w:bottom w:val="none" w:sz="0" w:space="0" w:color="auto"/>
        <w:right w:val="none" w:sz="0" w:space="0" w:color="auto"/>
      </w:divBdr>
    </w:div>
    <w:div w:id="1568954329">
      <w:marLeft w:val="0"/>
      <w:marRight w:val="0"/>
      <w:marTop w:val="0"/>
      <w:marBottom w:val="0"/>
      <w:divBdr>
        <w:top w:val="none" w:sz="0" w:space="0" w:color="auto"/>
        <w:left w:val="none" w:sz="0" w:space="0" w:color="auto"/>
        <w:bottom w:val="none" w:sz="0" w:space="0" w:color="auto"/>
        <w:right w:val="none" w:sz="0" w:space="0" w:color="auto"/>
      </w:divBdr>
    </w:div>
    <w:div w:id="156895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cont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Release</vt:lpstr>
    </vt:vector>
  </TitlesOfParts>
  <Company>Ministry of Justice</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Release</dc:title>
  <dc:subject>Rates of retirement pay for 10 adult male Category C prisons</dc:subject>
  <dc:creator>MoJ</dc:creator>
  <cp:keywords/>
  <dc:description>Rate of retiremet pay for 10 adult male category C prisons</dc:description>
  <cp:lastModifiedBy>Susan Bariotakis</cp:lastModifiedBy>
  <cp:revision>2</cp:revision>
  <cp:lastPrinted>2013-08-30T13:35:00Z</cp:lastPrinted>
  <dcterms:created xsi:type="dcterms:W3CDTF">2013-10-09T09:21:00Z</dcterms:created>
  <dcterms:modified xsi:type="dcterms:W3CDTF">2013-10-09T09:21:00Z</dcterms:modified>
</cp:coreProperties>
</file>