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59" w:type="dxa"/>
        <w:tblInd w:w="-1214" w:type="dxa"/>
        <w:tblLayout w:type="fixed"/>
        <w:tblCellMar>
          <w:left w:w="0" w:type="dxa"/>
          <w:right w:w="0" w:type="dxa"/>
        </w:tblCellMar>
        <w:tblLook w:val="0000" w:firstRow="0" w:lastRow="0" w:firstColumn="0" w:lastColumn="0" w:noHBand="0" w:noVBand="0"/>
      </w:tblPr>
      <w:tblGrid>
        <w:gridCol w:w="1214"/>
        <w:gridCol w:w="6120"/>
        <w:gridCol w:w="180"/>
        <w:gridCol w:w="3145"/>
      </w:tblGrid>
      <w:tr w:rsidR="00BE5977" w:rsidRPr="00DD5BE3" w:rsidTr="00CF776B">
        <w:trPr>
          <w:cantSplit/>
          <w:trHeight w:val="1361"/>
        </w:trPr>
        <w:tc>
          <w:tcPr>
            <w:tcW w:w="7334" w:type="dxa"/>
            <w:gridSpan w:val="2"/>
            <w:tcBorders>
              <w:top w:val="nil"/>
            </w:tcBorders>
          </w:tcPr>
          <w:p w:rsidR="00BE5977" w:rsidRPr="00C8797E" w:rsidRDefault="00BE5977" w:rsidP="00CF776B">
            <w:pPr>
              <w:rPr>
                <w:rFonts w:ascii="Arial" w:hAnsi="Arial"/>
                <w:color w:val="000000"/>
              </w:rPr>
            </w:pPr>
            <w:bookmarkStart w:id="0" w:name="_GoBack"/>
            <w:bookmarkEnd w:id="0"/>
            <w:r w:rsidRPr="00C8797E">
              <w:rPr>
                <w:rFonts w:ascii="Arial" w:hAnsi="Arial"/>
                <w:color w:val="000000"/>
                <w:sz w:val="22"/>
              </w:rPr>
              <w:t xml:space="preserve">   </w:t>
            </w:r>
            <w:r w:rsidR="00E2738D">
              <w:rPr>
                <w:rFonts w:ascii="Arial" w:hAnsi="Arial"/>
                <w:noProof/>
              </w:rPr>
              <w:drawing>
                <wp:inline distT="0" distB="0" distL="0" distR="0">
                  <wp:extent cx="1971675" cy="590550"/>
                  <wp:effectExtent l="0" t="0" r="9525" b="0"/>
                  <wp:docPr id="1" name="Picture 1" descr="MoJ_mono_H_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mono_H_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590550"/>
                          </a:xfrm>
                          <a:prstGeom prst="rect">
                            <a:avLst/>
                          </a:prstGeom>
                          <a:noFill/>
                          <a:ln>
                            <a:noFill/>
                          </a:ln>
                        </pic:spPr>
                      </pic:pic>
                    </a:graphicData>
                  </a:graphic>
                </wp:inline>
              </w:drawing>
            </w:r>
          </w:p>
        </w:tc>
        <w:tc>
          <w:tcPr>
            <w:tcW w:w="180" w:type="dxa"/>
          </w:tcPr>
          <w:p w:rsidR="00BE5977" w:rsidRPr="00C8797E" w:rsidRDefault="00BE5977" w:rsidP="00CF776B">
            <w:pPr>
              <w:pStyle w:val="MOJnormal"/>
              <w:rPr>
                <w:color w:val="000000"/>
                <w:sz w:val="22"/>
              </w:rPr>
            </w:pPr>
          </w:p>
        </w:tc>
        <w:tc>
          <w:tcPr>
            <w:tcW w:w="3145" w:type="dxa"/>
            <w:vMerge w:val="restart"/>
            <w:tcBorders>
              <w:top w:val="nil"/>
            </w:tcBorders>
          </w:tcPr>
          <w:p w:rsidR="00BE5977" w:rsidRDefault="00BE5977" w:rsidP="00CF776B">
            <w:pPr>
              <w:tabs>
                <w:tab w:val="left" w:pos="170"/>
              </w:tabs>
              <w:rPr>
                <w:rFonts w:ascii="Arial" w:hAnsi="Arial"/>
                <w:i/>
                <w:color w:val="0000FF"/>
                <w:lang w:val="pt-BR"/>
              </w:rPr>
            </w:pPr>
          </w:p>
          <w:p w:rsidR="00BE5977" w:rsidRPr="00DD5BE3" w:rsidRDefault="00BE5977" w:rsidP="00CF776B">
            <w:pPr>
              <w:tabs>
                <w:tab w:val="left" w:pos="170"/>
              </w:tabs>
              <w:rPr>
                <w:rFonts w:ascii="Arial" w:hAnsi="Arial"/>
                <w:i/>
                <w:color w:val="0000FF"/>
                <w:lang w:val="pt-BR"/>
              </w:rPr>
            </w:pPr>
          </w:p>
          <w:p w:rsidR="00BE5977" w:rsidRPr="00DD5BE3" w:rsidRDefault="00BE5977" w:rsidP="00CF776B">
            <w:pPr>
              <w:tabs>
                <w:tab w:val="left" w:pos="170"/>
              </w:tabs>
              <w:rPr>
                <w:rFonts w:ascii="Arial" w:hAnsi="Arial"/>
                <w:b/>
                <w:sz w:val="20"/>
                <w:szCs w:val="20"/>
                <w:lang w:val="pt-BR"/>
              </w:rPr>
            </w:pPr>
            <w:r w:rsidRPr="00DD5BE3">
              <w:rPr>
                <w:rFonts w:ascii="Arial" w:hAnsi="Arial"/>
                <w:b/>
                <w:sz w:val="20"/>
                <w:szCs w:val="20"/>
                <w:lang w:val="pt-BR"/>
              </w:rPr>
              <w:t>www.justice.gov.uk</w:t>
            </w:r>
          </w:p>
        </w:tc>
      </w:tr>
      <w:tr w:rsidR="00BE5977" w:rsidRPr="001B3F9E" w:rsidTr="00CF776B">
        <w:trPr>
          <w:cantSplit/>
          <w:trHeight w:val="1259"/>
        </w:trPr>
        <w:tc>
          <w:tcPr>
            <w:tcW w:w="1214" w:type="dxa"/>
          </w:tcPr>
          <w:p w:rsidR="00BE5977" w:rsidRPr="001B3F9E" w:rsidRDefault="00BE5977" w:rsidP="00CF776B">
            <w:pPr>
              <w:pStyle w:val="MOJtext-otheraddress"/>
              <w:rPr>
                <w:sz w:val="22"/>
                <w:lang w:val="pt-BR"/>
              </w:rPr>
            </w:pPr>
          </w:p>
        </w:tc>
        <w:tc>
          <w:tcPr>
            <w:tcW w:w="6120" w:type="dxa"/>
          </w:tcPr>
          <w:p w:rsidR="00BE5977" w:rsidRPr="004A3ED3" w:rsidRDefault="00BE5977" w:rsidP="001D6C20">
            <w:pPr>
              <w:spacing w:line="280" w:lineRule="atLeast"/>
              <w:rPr>
                <w:rFonts w:ascii="Arial" w:hAnsi="Arial"/>
              </w:rPr>
            </w:pPr>
          </w:p>
        </w:tc>
        <w:tc>
          <w:tcPr>
            <w:tcW w:w="180" w:type="dxa"/>
          </w:tcPr>
          <w:p w:rsidR="00BE5977" w:rsidRPr="001B3F9E" w:rsidRDefault="00BE5977" w:rsidP="00CF776B">
            <w:pPr>
              <w:pStyle w:val="MOJnormal"/>
              <w:rPr>
                <w:sz w:val="22"/>
              </w:rPr>
            </w:pPr>
          </w:p>
        </w:tc>
        <w:tc>
          <w:tcPr>
            <w:tcW w:w="3145" w:type="dxa"/>
            <w:vMerge/>
          </w:tcPr>
          <w:p w:rsidR="00BE5977" w:rsidRPr="001B3F9E" w:rsidRDefault="00BE5977" w:rsidP="00CF776B">
            <w:pPr>
              <w:pStyle w:val="MOJtext-otheraddress"/>
              <w:rPr>
                <w:sz w:val="22"/>
              </w:rPr>
            </w:pPr>
          </w:p>
        </w:tc>
      </w:tr>
      <w:tr w:rsidR="00BE5977" w:rsidRPr="001B3F9E" w:rsidTr="00CF776B">
        <w:trPr>
          <w:cantSplit/>
          <w:trHeight w:val="73"/>
        </w:trPr>
        <w:tc>
          <w:tcPr>
            <w:tcW w:w="1214" w:type="dxa"/>
          </w:tcPr>
          <w:p w:rsidR="00BE5977" w:rsidRPr="001B3F9E" w:rsidRDefault="00BE5977" w:rsidP="00CF776B">
            <w:pPr>
              <w:pStyle w:val="MOJnormal"/>
              <w:rPr>
                <w:sz w:val="22"/>
              </w:rPr>
            </w:pPr>
          </w:p>
        </w:tc>
        <w:tc>
          <w:tcPr>
            <w:tcW w:w="6120" w:type="dxa"/>
          </w:tcPr>
          <w:p w:rsidR="00BE5977" w:rsidRDefault="00BE5977" w:rsidP="00083ADF">
            <w:pPr>
              <w:spacing w:line="280" w:lineRule="atLeast"/>
              <w:rPr>
                <w:rFonts w:ascii="Arial" w:hAnsi="Arial"/>
                <w:b/>
              </w:rPr>
            </w:pPr>
          </w:p>
          <w:p w:rsidR="00BE5977" w:rsidRPr="001B3F9E" w:rsidRDefault="00BE5977" w:rsidP="00083ADF">
            <w:pPr>
              <w:spacing w:line="280" w:lineRule="atLeast"/>
              <w:rPr>
                <w:rFonts w:ascii="Arial" w:hAnsi="Arial"/>
                <w:i/>
              </w:rPr>
            </w:pPr>
            <w:r w:rsidRPr="001B3F9E">
              <w:rPr>
                <w:rFonts w:ascii="Arial" w:hAnsi="Arial"/>
                <w:b/>
              </w:rPr>
              <w:t>Our Reference:</w:t>
            </w:r>
            <w:r w:rsidRPr="001B3F9E">
              <w:rPr>
                <w:rFonts w:ascii="Arial" w:hAnsi="Arial"/>
                <w:sz w:val="22"/>
              </w:rPr>
              <w:t xml:space="preserve"> </w:t>
            </w:r>
            <w:r>
              <w:rPr>
                <w:rFonts w:ascii="Arial" w:hAnsi="Arial"/>
                <w:sz w:val="22"/>
              </w:rPr>
              <w:t>83950</w:t>
            </w:r>
          </w:p>
        </w:tc>
        <w:tc>
          <w:tcPr>
            <w:tcW w:w="180" w:type="dxa"/>
          </w:tcPr>
          <w:p w:rsidR="00BE5977" w:rsidRPr="001B3F9E" w:rsidRDefault="00BE5977" w:rsidP="00CF776B">
            <w:pPr>
              <w:spacing w:line="280" w:lineRule="atLeast"/>
              <w:rPr>
                <w:rFonts w:ascii="Arial" w:hAnsi="Arial"/>
              </w:rPr>
            </w:pPr>
            <w:r w:rsidRPr="001B3F9E">
              <w:rPr>
                <w:rFonts w:ascii="Arial" w:hAnsi="Arial"/>
                <w:sz w:val="22"/>
              </w:rPr>
              <w:tab/>
            </w:r>
          </w:p>
        </w:tc>
        <w:tc>
          <w:tcPr>
            <w:tcW w:w="3145" w:type="dxa"/>
          </w:tcPr>
          <w:p w:rsidR="00BE5977" w:rsidRDefault="00BE5977" w:rsidP="00CF776B">
            <w:pPr>
              <w:pStyle w:val="MOJnormal"/>
              <w:rPr>
                <w:sz w:val="22"/>
              </w:rPr>
            </w:pPr>
          </w:p>
          <w:p w:rsidR="00BE5977" w:rsidRPr="001B3F9E" w:rsidRDefault="00BE5977" w:rsidP="00CF776B">
            <w:pPr>
              <w:pStyle w:val="MOJnormal"/>
              <w:rPr>
                <w:sz w:val="22"/>
              </w:rPr>
            </w:pPr>
            <w:r>
              <w:rPr>
                <w:sz w:val="22"/>
              </w:rPr>
              <w:t xml:space="preserve"> July 2013</w:t>
            </w:r>
          </w:p>
        </w:tc>
      </w:tr>
    </w:tbl>
    <w:p w:rsidR="00BE5977" w:rsidRPr="001B3F9E" w:rsidRDefault="00BE5977"/>
    <w:p w:rsidR="00BE5977" w:rsidRPr="001B3F9E" w:rsidRDefault="00BE5977"/>
    <w:p w:rsidR="00BE5977" w:rsidRPr="001B3F9E" w:rsidRDefault="00BE5977" w:rsidP="0081625B">
      <w:pPr>
        <w:jc w:val="center"/>
        <w:rPr>
          <w:rFonts w:ascii="Arial" w:hAnsi="Arial" w:cs="Arial"/>
          <w:b/>
          <w:sz w:val="22"/>
          <w:szCs w:val="22"/>
        </w:rPr>
      </w:pPr>
      <w:r w:rsidRPr="001B3F9E">
        <w:rPr>
          <w:rFonts w:ascii="Arial" w:hAnsi="Arial" w:cs="Arial"/>
          <w:b/>
          <w:sz w:val="22"/>
          <w:szCs w:val="22"/>
        </w:rPr>
        <w:t xml:space="preserve">Freedom of Information Request </w:t>
      </w:r>
    </w:p>
    <w:p w:rsidR="00BE5977" w:rsidRPr="001B3F9E" w:rsidRDefault="00BE5977" w:rsidP="0081625B">
      <w:pPr>
        <w:rPr>
          <w:rFonts w:ascii="Arial" w:hAnsi="Arial" w:cs="Arial"/>
          <w:sz w:val="22"/>
          <w:szCs w:val="22"/>
        </w:rPr>
      </w:pPr>
    </w:p>
    <w:p w:rsidR="00BE5977" w:rsidRPr="001B3F9E" w:rsidRDefault="00BE5977" w:rsidP="0081625B">
      <w:pPr>
        <w:rPr>
          <w:rFonts w:ascii="Arial" w:hAnsi="Arial" w:cs="Arial"/>
          <w:sz w:val="22"/>
          <w:szCs w:val="22"/>
        </w:rPr>
      </w:pPr>
    </w:p>
    <w:p w:rsidR="00BE5977" w:rsidRDefault="00BE5977" w:rsidP="00ED7C29">
      <w:pPr>
        <w:autoSpaceDE w:val="0"/>
        <w:autoSpaceDN w:val="0"/>
        <w:adjustRightInd w:val="0"/>
        <w:rPr>
          <w:rFonts w:ascii="Arial" w:hAnsi="Arial" w:cs="Arial"/>
          <w:sz w:val="22"/>
          <w:szCs w:val="22"/>
        </w:rPr>
      </w:pPr>
      <w:r>
        <w:rPr>
          <w:rFonts w:ascii="Arial" w:hAnsi="Arial" w:cs="Arial"/>
          <w:sz w:val="22"/>
          <w:szCs w:val="22"/>
        </w:rPr>
        <w:t>You asked for the following information from the Legal Aid Agency (LAA), an executive agency of the Ministry of Justice (MoJ):</w:t>
      </w:r>
    </w:p>
    <w:p w:rsidR="00BE5977" w:rsidRDefault="00BE5977" w:rsidP="00ED7C29">
      <w:pPr>
        <w:autoSpaceDE w:val="0"/>
        <w:autoSpaceDN w:val="0"/>
        <w:adjustRightInd w:val="0"/>
        <w:rPr>
          <w:rFonts w:ascii="Arial" w:hAnsi="Arial" w:cs="Arial"/>
          <w:sz w:val="22"/>
          <w:szCs w:val="22"/>
        </w:rPr>
      </w:pPr>
    </w:p>
    <w:p w:rsidR="00BE5977" w:rsidRDefault="00BE5977" w:rsidP="004A3ED3">
      <w:pPr>
        <w:pStyle w:val="ListParagraph"/>
        <w:numPr>
          <w:ilvl w:val="0"/>
          <w:numId w:val="6"/>
        </w:numPr>
        <w:autoSpaceDE w:val="0"/>
        <w:autoSpaceDN w:val="0"/>
        <w:adjustRightInd w:val="0"/>
        <w:rPr>
          <w:rFonts w:ascii="Arial" w:hAnsi="Arial" w:cs="Arial"/>
          <w:b/>
          <w:i/>
          <w:sz w:val="22"/>
          <w:szCs w:val="22"/>
        </w:rPr>
      </w:pPr>
      <w:r>
        <w:rPr>
          <w:rFonts w:ascii="Arial" w:hAnsi="Arial" w:cs="Arial"/>
          <w:b/>
          <w:i/>
          <w:sz w:val="22"/>
          <w:szCs w:val="22"/>
        </w:rPr>
        <w:t>The total cost in 2011-12 of legal advice and assistance given to persons in the police station;</w:t>
      </w:r>
    </w:p>
    <w:p w:rsidR="00BE5977" w:rsidRDefault="00BE5977" w:rsidP="004A3ED3">
      <w:pPr>
        <w:pStyle w:val="ListParagraph"/>
        <w:numPr>
          <w:ilvl w:val="0"/>
          <w:numId w:val="6"/>
        </w:numPr>
        <w:autoSpaceDE w:val="0"/>
        <w:autoSpaceDN w:val="0"/>
        <w:adjustRightInd w:val="0"/>
        <w:rPr>
          <w:rFonts w:ascii="Arial" w:hAnsi="Arial" w:cs="Arial"/>
          <w:b/>
          <w:i/>
          <w:sz w:val="22"/>
          <w:szCs w:val="22"/>
        </w:rPr>
      </w:pPr>
      <w:r>
        <w:rPr>
          <w:rFonts w:ascii="Arial" w:hAnsi="Arial" w:cs="Arial"/>
          <w:b/>
          <w:i/>
          <w:sz w:val="22"/>
          <w:szCs w:val="22"/>
        </w:rPr>
        <w:t>The total number of duty solicitors and of accredited representatives.</w:t>
      </w:r>
    </w:p>
    <w:p w:rsidR="00BE5977" w:rsidRDefault="00BE5977" w:rsidP="004A3ED3">
      <w:pPr>
        <w:autoSpaceDE w:val="0"/>
        <w:autoSpaceDN w:val="0"/>
        <w:adjustRightInd w:val="0"/>
        <w:rPr>
          <w:rFonts w:ascii="Arial" w:hAnsi="Arial" w:cs="Arial"/>
          <w:b/>
          <w:i/>
          <w:sz w:val="22"/>
          <w:szCs w:val="22"/>
        </w:rPr>
      </w:pPr>
    </w:p>
    <w:p w:rsidR="00BE5977" w:rsidRDefault="00BE5977" w:rsidP="004A3ED3">
      <w:pPr>
        <w:autoSpaceDE w:val="0"/>
        <w:autoSpaceDN w:val="0"/>
        <w:adjustRightInd w:val="0"/>
        <w:rPr>
          <w:rFonts w:ascii="Arial" w:hAnsi="Arial" w:cs="Arial"/>
          <w:sz w:val="22"/>
          <w:szCs w:val="22"/>
        </w:rPr>
      </w:pPr>
      <w:r>
        <w:rPr>
          <w:rFonts w:ascii="Arial" w:hAnsi="Arial" w:cs="Arial"/>
          <w:sz w:val="22"/>
          <w:szCs w:val="22"/>
        </w:rPr>
        <w:t>Your request has been handled under the Freedom of Information Act (FOIA) 2000.</w:t>
      </w:r>
    </w:p>
    <w:p w:rsidR="00BE5977" w:rsidRDefault="00BE5977" w:rsidP="004A3ED3">
      <w:pPr>
        <w:autoSpaceDE w:val="0"/>
        <w:autoSpaceDN w:val="0"/>
        <w:adjustRightInd w:val="0"/>
        <w:rPr>
          <w:rFonts w:ascii="Arial" w:hAnsi="Arial" w:cs="Arial"/>
          <w:sz w:val="22"/>
          <w:szCs w:val="22"/>
        </w:rPr>
      </w:pPr>
    </w:p>
    <w:p w:rsidR="00BE5977" w:rsidRDefault="00BE5977" w:rsidP="004A3ED3">
      <w:pPr>
        <w:autoSpaceDE w:val="0"/>
        <w:autoSpaceDN w:val="0"/>
        <w:adjustRightInd w:val="0"/>
        <w:rPr>
          <w:rFonts w:ascii="Arial" w:hAnsi="Arial" w:cs="Arial"/>
          <w:sz w:val="22"/>
          <w:szCs w:val="22"/>
        </w:rPr>
      </w:pPr>
      <w:r>
        <w:rPr>
          <w:rFonts w:ascii="Arial" w:hAnsi="Arial" w:cs="Arial"/>
          <w:sz w:val="22"/>
          <w:szCs w:val="22"/>
        </w:rPr>
        <w:t xml:space="preserve">I can confirm that the department holds some of the information that you have asked for. </w:t>
      </w:r>
    </w:p>
    <w:p w:rsidR="00BE5977" w:rsidRDefault="00BE5977" w:rsidP="004A3ED3">
      <w:pPr>
        <w:autoSpaceDE w:val="0"/>
        <w:autoSpaceDN w:val="0"/>
        <w:adjustRightInd w:val="0"/>
        <w:rPr>
          <w:rFonts w:ascii="Arial" w:hAnsi="Arial" w:cs="Arial"/>
          <w:sz w:val="22"/>
          <w:szCs w:val="22"/>
        </w:rPr>
      </w:pPr>
    </w:p>
    <w:p w:rsidR="00BE5977" w:rsidRDefault="00BE5977" w:rsidP="004A3ED3">
      <w:pPr>
        <w:autoSpaceDE w:val="0"/>
        <w:autoSpaceDN w:val="0"/>
        <w:adjustRightInd w:val="0"/>
        <w:rPr>
          <w:rFonts w:ascii="Arial" w:hAnsi="Arial" w:cs="Arial"/>
          <w:sz w:val="22"/>
          <w:szCs w:val="22"/>
        </w:rPr>
      </w:pPr>
      <w:r>
        <w:rPr>
          <w:rFonts w:ascii="Arial" w:hAnsi="Arial" w:cs="Arial"/>
          <w:sz w:val="22"/>
          <w:szCs w:val="22"/>
        </w:rPr>
        <w:t>In relation to your first question, this information is exempt from disclosure under section 21 of the FOIA because it is already reasonably accessible to you. I am, however, pleased to inform you that you can access it in tables CDS1 and CDS2 of the Legal Services Commission’s (now Legal Aid Agency) Statistical Information Pack. You can view this report on the Commission’s archived web pages via the following link:</w:t>
      </w:r>
    </w:p>
    <w:p w:rsidR="00BE5977" w:rsidRDefault="00BE5977" w:rsidP="004A3ED3">
      <w:pPr>
        <w:autoSpaceDE w:val="0"/>
        <w:autoSpaceDN w:val="0"/>
        <w:adjustRightInd w:val="0"/>
        <w:rPr>
          <w:rFonts w:ascii="Arial" w:hAnsi="Arial" w:cs="Arial"/>
          <w:sz w:val="22"/>
          <w:szCs w:val="22"/>
        </w:rPr>
      </w:pPr>
    </w:p>
    <w:p w:rsidR="00BE5977" w:rsidRDefault="00E2738D" w:rsidP="004A3ED3">
      <w:pPr>
        <w:autoSpaceDE w:val="0"/>
        <w:autoSpaceDN w:val="0"/>
        <w:adjustRightInd w:val="0"/>
        <w:rPr>
          <w:rFonts w:ascii="Arial" w:hAnsi="Arial" w:cs="Arial"/>
          <w:sz w:val="22"/>
          <w:szCs w:val="22"/>
        </w:rPr>
      </w:pPr>
      <w:hyperlink r:id="rId8" w:anchor="stats" w:history="1">
        <w:r w:rsidR="00BE5977" w:rsidRPr="00EB14A6">
          <w:rPr>
            <w:rStyle w:val="Hyperlink"/>
            <w:rFonts w:ascii="Arial" w:hAnsi="Arial" w:cs="Arial"/>
            <w:sz w:val="22"/>
            <w:szCs w:val="22"/>
          </w:rPr>
          <w:t>http://webarchive.nationalarchives.gov.uk/20121002232050/http://www.legalservices.gov.uk/aboutus/how/strategic_publications.asp#stats</w:t>
        </w:r>
      </w:hyperlink>
      <w:r w:rsidR="00BE5977">
        <w:rPr>
          <w:rFonts w:ascii="Arial" w:hAnsi="Arial" w:cs="Arial"/>
          <w:sz w:val="22"/>
          <w:szCs w:val="22"/>
        </w:rPr>
        <w:t xml:space="preserve">. </w:t>
      </w:r>
    </w:p>
    <w:p w:rsidR="00BE5977" w:rsidRDefault="00BE5977" w:rsidP="004A3ED3">
      <w:pPr>
        <w:autoSpaceDE w:val="0"/>
        <w:autoSpaceDN w:val="0"/>
        <w:adjustRightInd w:val="0"/>
        <w:rPr>
          <w:rFonts w:ascii="Arial" w:hAnsi="Arial" w:cs="Arial"/>
          <w:sz w:val="22"/>
          <w:szCs w:val="22"/>
        </w:rPr>
      </w:pPr>
    </w:p>
    <w:p w:rsidR="00BE5977" w:rsidRDefault="00BE5977" w:rsidP="004A3ED3">
      <w:pPr>
        <w:autoSpaceDE w:val="0"/>
        <w:autoSpaceDN w:val="0"/>
        <w:adjustRightInd w:val="0"/>
        <w:rPr>
          <w:rFonts w:ascii="Arial" w:hAnsi="Arial" w:cs="Arial"/>
          <w:sz w:val="22"/>
          <w:szCs w:val="22"/>
        </w:rPr>
      </w:pPr>
      <w:r>
        <w:rPr>
          <w:rFonts w:ascii="Arial" w:hAnsi="Arial" w:cs="Arial"/>
          <w:sz w:val="22"/>
          <w:szCs w:val="22"/>
        </w:rPr>
        <w:t>The pack is shown under the Documents section.</w:t>
      </w:r>
    </w:p>
    <w:p w:rsidR="00BE5977" w:rsidRDefault="00BE5977" w:rsidP="004A3ED3">
      <w:pPr>
        <w:autoSpaceDE w:val="0"/>
        <w:autoSpaceDN w:val="0"/>
        <w:adjustRightInd w:val="0"/>
        <w:rPr>
          <w:rFonts w:ascii="Arial" w:hAnsi="Arial" w:cs="Arial"/>
          <w:sz w:val="22"/>
          <w:szCs w:val="22"/>
        </w:rPr>
      </w:pPr>
    </w:p>
    <w:p w:rsidR="00BE5977" w:rsidRDefault="00BE5977" w:rsidP="004A3ED3">
      <w:pPr>
        <w:autoSpaceDE w:val="0"/>
        <w:autoSpaceDN w:val="0"/>
        <w:adjustRightInd w:val="0"/>
        <w:rPr>
          <w:rFonts w:ascii="Arial" w:hAnsi="Arial" w:cs="Arial"/>
          <w:sz w:val="22"/>
          <w:szCs w:val="22"/>
        </w:rPr>
      </w:pPr>
      <w:r>
        <w:rPr>
          <w:rFonts w:ascii="Arial" w:hAnsi="Arial" w:cs="Arial"/>
          <w:sz w:val="22"/>
          <w:szCs w:val="22"/>
        </w:rPr>
        <w:t xml:space="preserve">You may wish to note that further, more recent, reports can be accessed via the MoJ website: </w:t>
      </w:r>
      <w:hyperlink r:id="rId9" w:history="1">
        <w:r w:rsidRPr="00EB14A6">
          <w:rPr>
            <w:rStyle w:val="Hyperlink"/>
            <w:rFonts w:ascii="Arial" w:hAnsi="Arial" w:cs="Arial"/>
            <w:sz w:val="22"/>
            <w:szCs w:val="22"/>
          </w:rPr>
          <w:t>http://www.justice.gov.uk/publications/corporate-reports/legal-services-commission</w:t>
        </w:r>
      </w:hyperlink>
      <w:r>
        <w:rPr>
          <w:rFonts w:ascii="Arial" w:hAnsi="Arial" w:cs="Arial"/>
          <w:sz w:val="22"/>
          <w:szCs w:val="22"/>
        </w:rPr>
        <w:t xml:space="preserve">. </w:t>
      </w:r>
    </w:p>
    <w:p w:rsidR="00BE5977" w:rsidRDefault="00BE5977" w:rsidP="004A3ED3">
      <w:pPr>
        <w:autoSpaceDE w:val="0"/>
        <w:autoSpaceDN w:val="0"/>
        <w:adjustRightInd w:val="0"/>
        <w:rPr>
          <w:rFonts w:ascii="Arial" w:hAnsi="Arial" w:cs="Arial"/>
          <w:sz w:val="22"/>
          <w:szCs w:val="22"/>
        </w:rPr>
      </w:pPr>
    </w:p>
    <w:p w:rsidR="00BE5977" w:rsidRDefault="00BE5977" w:rsidP="00426C0D">
      <w:pPr>
        <w:autoSpaceDE w:val="0"/>
        <w:autoSpaceDN w:val="0"/>
        <w:adjustRightInd w:val="0"/>
        <w:rPr>
          <w:rFonts w:ascii="Arial" w:hAnsi="Arial" w:cs="Arial"/>
          <w:sz w:val="22"/>
          <w:szCs w:val="22"/>
        </w:rPr>
      </w:pPr>
      <w:r>
        <w:rPr>
          <w:rFonts w:ascii="Arial" w:hAnsi="Arial" w:cs="Arial"/>
          <w:sz w:val="22"/>
          <w:szCs w:val="22"/>
        </w:rPr>
        <w:t>In relation to your second question please note that as you specified 2011-12 in your first question, we have interpreted that this is the same year for which you wish to obtain duty solicitor and accredited representative figures. If this is an incorrect interpretation please submit a further request and provide us with more information, noting the following.</w:t>
      </w:r>
    </w:p>
    <w:p w:rsidR="00BE5977" w:rsidRDefault="00BE5977" w:rsidP="00426C0D">
      <w:pPr>
        <w:autoSpaceDE w:val="0"/>
        <w:autoSpaceDN w:val="0"/>
        <w:adjustRightInd w:val="0"/>
        <w:rPr>
          <w:rFonts w:ascii="Arial" w:hAnsi="Arial" w:cs="Arial"/>
          <w:sz w:val="22"/>
          <w:szCs w:val="22"/>
        </w:rPr>
      </w:pPr>
    </w:p>
    <w:p w:rsidR="00BE5977" w:rsidRDefault="00BE5977" w:rsidP="00426C0D">
      <w:pPr>
        <w:autoSpaceDE w:val="0"/>
        <w:autoSpaceDN w:val="0"/>
        <w:adjustRightInd w:val="0"/>
        <w:rPr>
          <w:rFonts w:ascii="Arial" w:hAnsi="Arial" w:cs="Arial"/>
          <w:sz w:val="22"/>
          <w:szCs w:val="22"/>
        </w:rPr>
      </w:pPr>
      <w:r>
        <w:rPr>
          <w:rFonts w:ascii="Arial" w:hAnsi="Arial" w:cs="Arial"/>
          <w:sz w:val="22"/>
          <w:szCs w:val="22"/>
        </w:rPr>
        <w:t xml:space="preserve">The LAA holds information relating to </w:t>
      </w:r>
      <w:r w:rsidRPr="00B12A97">
        <w:rPr>
          <w:rFonts w:ascii="Arial" w:hAnsi="Arial" w:cs="Arial"/>
          <w:i/>
          <w:sz w:val="22"/>
          <w:szCs w:val="22"/>
        </w:rPr>
        <w:t>current</w:t>
      </w:r>
      <w:r>
        <w:rPr>
          <w:rFonts w:ascii="Arial" w:hAnsi="Arial" w:cs="Arial"/>
          <w:sz w:val="22"/>
          <w:szCs w:val="22"/>
        </w:rPr>
        <w:t xml:space="preserve"> duty solicitor and accredited representative numbers, according to those registered on our databases. However, because these numbers can change on a daily basis (such as, for example, due to people leaving or joining the scheme) we do not have figures to represent a whole </w:t>
      </w:r>
      <w:r>
        <w:rPr>
          <w:rFonts w:ascii="Arial" w:hAnsi="Arial" w:cs="Arial"/>
          <w:sz w:val="22"/>
          <w:szCs w:val="22"/>
        </w:rPr>
        <w:lastRenderedPageBreak/>
        <w:t>financial year, i.e. we could not say “in 2011-12 there were XX duty solicitors and XX accredited representatives”.</w:t>
      </w:r>
    </w:p>
    <w:p w:rsidR="00BE5977" w:rsidRDefault="00BE5977" w:rsidP="00426C0D">
      <w:pPr>
        <w:autoSpaceDE w:val="0"/>
        <w:autoSpaceDN w:val="0"/>
        <w:adjustRightInd w:val="0"/>
        <w:rPr>
          <w:rFonts w:ascii="Arial" w:hAnsi="Arial" w:cs="Arial"/>
          <w:sz w:val="22"/>
          <w:szCs w:val="22"/>
        </w:rPr>
      </w:pPr>
    </w:p>
    <w:p w:rsidR="00BE5977" w:rsidRDefault="00BE5977" w:rsidP="00426C0D">
      <w:pPr>
        <w:autoSpaceDE w:val="0"/>
        <w:autoSpaceDN w:val="0"/>
        <w:adjustRightInd w:val="0"/>
        <w:rPr>
          <w:rFonts w:ascii="Arial" w:hAnsi="Arial" w:cs="Arial"/>
          <w:sz w:val="22"/>
          <w:szCs w:val="22"/>
        </w:rPr>
      </w:pPr>
      <w:r>
        <w:rPr>
          <w:rFonts w:ascii="Arial" w:hAnsi="Arial" w:cs="Arial"/>
          <w:sz w:val="22"/>
          <w:szCs w:val="22"/>
        </w:rPr>
        <w:t>Due to there having been ‘snapshots’ taken of the databases holding information on duty solicitors and accredited representatives, we are able to provide you with figures according to our systems as of a certain date. As we believe it will be the most useful, we are providing figures as close to year-end as possible.</w:t>
      </w:r>
    </w:p>
    <w:p w:rsidR="00BE5977" w:rsidRDefault="00BE5977" w:rsidP="00426C0D">
      <w:pPr>
        <w:autoSpaceDE w:val="0"/>
        <w:autoSpaceDN w:val="0"/>
        <w:adjustRightInd w:val="0"/>
        <w:rPr>
          <w:rFonts w:ascii="Arial" w:hAnsi="Arial" w:cs="Arial"/>
          <w:sz w:val="22"/>
          <w:szCs w:val="22"/>
        </w:rPr>
      </w:pPr>
    </w:p>
    <w:p w:rsidR="00BE5977" w:rsidRDefault="00BE5977" w:rsidP="00426C0D">
      <w:pPr>
        <w:autoSpaceDE w:val="0"/>
        <w:autoSpaceDN w:val="0"/>
        <w:adjustRightInd w:val="0"/>
        <w:rPr>
          <w:rFonts w:ascii="Arial" w:hAnsi="Arial" w:cs="Arial"/>
          <w:sz w:val="22"/>
          <w:szCs w:val="22"/>
        </w:rPr>
      </w:pPr>
      <w:r>
        <w:rPr>
          <w:rFonts w:ascii="Arial" w:hAnsi="Arial" w:cs="Arial"/>
          <w:sz w:val="22"/>
          <w:szCs w:val="22"/>
        </w:rPr>
        <w:t>As there are two separate databases involved and archived versions were not stored simultaneously, I have indicated the dates of each snapshot.</w:t>
      </w:r>
    </w:p>
    <w:p w:rsidR="00BE5977" w:rsidRDefault="00BE5977" w:rsidP="00426C0D">
      <w:pPr>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4261"/>
      </w:tblGrid>
      <w:tr w:rsidR="00BE5977" w:rsidTr="00967D6D">
        <w:tc>
          <w:tcPr>
            <w:tcW w:w="4261" w:type="dxa"/>
          </w:tcPr>
          <w:p w:rsidR="00BE5977" w:rsidRPr="00967D6D" w:rsidRDefault="00BE5977" w:rsidP="00967D6D">
            <w:pPr>
              <w:autoSpaceDE w:val="0"/>
              <w:autoSpaceDN w:val="0"/>
              <w:adjustRightInd w:val="0"/>
              <w:rPr>
                <w:rFonts w:ascii="Arial" w:hAnsi="Arial" w:cs="Arial"/>
              </w:rPr>
            </w:pPr>
            <w:r w:rsidRPr="00967D6D">
              <w:rPr>
                <w:rFonts w:ascii="Arial" w:hAnsi="Arial" w:cs="Arial"/>
                <w:sz w:val="22"/>
                <w:szCs w:val="22"/>
              </w:rPr>
              <w:t>Duty solicitors (as of 01/02/2012)</w:t>
            </w:r>
          </w:p>
        </w:tc>
        <w:tc>
          <w:tcPr>
            <w:tcW w:w="4261" w:type="dxa"/>
          </w:tcPr>
          <w:p w:rsidR="00BE5977" w:rsidRPr="00967D6D" w:rsidRDefault="00BE5977" w:rsidP="00967D6D">
            <w:pPr>
              <w:autoSpaceDE w:val="0"/>
              <w:autoSpaceDN w:val="0"/>
              <w:adjustRightInd w:val="0"/>
              <w:rPr>
                <w:rFonts w:ascii="Arial" w:hAnsi="Arial" w:cs="Arial"/>
              </w:rPr>
            </w:pPr>
            <w:r w:rsidRPr="00967D6D">
              <w:rPr>
                <w:rFonts w:ascii="Arial" w:hAnsi="Arial" w:cs="Arial"/>
                <w:sz w:val="22"/>
                <w:szCs w:val="22"/>
              </w:rPr>
              <w:t>6,384</w:t>
            </w:r>
          </w:p>
        </w:tc>
      </w:tr>
      <w:tr w:rsidR="00BE5977" w:rsidTr="00967D6D">
        <w:tc>
          <w:tcPr>
            <w:tcW w:w="4261" w:type="dxa"/>
          </w:tcPr>
          <w:p w:rsidR="00BE5977" w:rsidRPr="00967D6D" w:rsidRDefault="00BE5977" w:rsidP="00967D6D">
            <w:pPr>
              <w:autoSpaceDE w:val="0"/>
              <w:autoSpaceDN w:val="0"/>
              <w:adjustRightInd w:val="0"/>
              <w:rPr>
                <w:rFonts w:ascii="Arial" w:hAnsi="Arial" w:cs="Arial"/>
              </w:rPr>
            </w:pPr>
            <w:r w:rsidRPr="00967D6D">
              <w:rPr>
                <w:rFonts w:ascii="Arial" w:hAnsi="Arial" w:cs="Arial"/>
                <w:sz w:val="22"/>
                <w:szCs w:val="22"/>
              </w:rPr>
              <w:t>Accredited representatives (as of 26/03/12)</w:t>
            </w:r>
          </w:p>
        </w:tc>
        <w:tc>
          <w:tcPr>
            <w:tcW w:w="4261" w:type="dxa"/>
          </w:tcPr>
          <w:p w:rsidR="00BE5977" w:rsidRPr="00967D6D" w:rsidRDefault="00BE5977" w:rsidP="00967D6D">
            <w:pPr>
              <w:autoSpaceDE w:val="0"/>
              <w:autoSpaceDN w:val="0"/>
              <w:adjustRightInd w:val="0"/>
              <w:rPr>
                <w:rFonts w:ascii="Arial" w:hAnsi="Arial" w:cs="Arial"/>
              </w:rPr>
            </w:pPr>
            <w:r w:rsidRPr="00967D6D">
              <w:rPr>
                <w:rFonts w:ascii="Arial" w:hAnsi="Arial" w:cs="Arial"/>
                <w:sz w:val="22"/>
                <w:szCs w:val="22"/>
              </w:rPr>
              <w:t>3,533</w:t>
            </w:r>
          </w:p>
        </w:tc>
      </w:tr>
    </w:tbl>
    <w:p w:rsidR="00BE5977" w:rsidRDefault="00BE5977" w:rsidP="00426C0D">
      <w:pPr>
        <w:autoSpaceDE w:val="0"/>
        <w:autoSpaceDN w:val="0"/>
        <w:adjustRightInd w:val="0"/>
        <w:rPr>
          <w:rFonts w:ascii="Arial" w:hAnsi="Arial" w:cs="Arial"/>
          <w:sz w:val="22"/>
          <w:szCs w:val="22"/>
        </w:rPr>
      </w:pPr>
    </w:p>
    <w:p w:rsidR="00BE5977" w:rsidRPr="001B3F9E" w:rsidRDefault="00BE5977" w:rsidP="00ED7C29">
      <w:pPr>
        <w:rPr>
          <w:rFonts w:ascii="Arial" w:hAnsi="Arial" w:cs="Arial"/>
          <w:sz w:val="22"/>
          <w:szCs w:val="22"/>
        </w:rPr>
      </w:pPr>
    </w:p>
    <w:sectPr w:rsidR="00BE5977" w:rsidRPr="001B3F9E" w:rsidSect="002179DD">
      <w:footerReference w:type="default" r:id="rId10"/>
      <w:pgSz w:w="11906" w:h="16838"/>
      <w:pgMar w:top="1440" w:right="1800" w:bottom="71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977" w:rsidRDefault="00BE5977">
      <w:r>
        <w:separator/>
      </w:r>
    </w:p>
  </w:endnote>
  <w:endnote w:type="continuationSeparator" w:id="0">
    <w:p w:rsidR="00BE5977" w:rsidRDefault="00BE5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977" w:rsidRPr="002179DD" w:rsidRDefault="00BE5977"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977" w:rsidRDefault="00BE5977">
      <w:r>
        <w:separator/>
      </w:r>
    </w:p>
  </w:footnote>
  <w:footnote w:type="continuationSeparator" w:id="0">
    <w:p w:rsidR="00BE5977" w:rsidRDefault="00BE59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627827"/>
    <w:multiLevelType w:val="hybridMultilevel"/>
    <w:tmpl w:val="4EC40AF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43C1B"/>
    <w:rsid w:val="00045EFF"/>
    <w:rsid w:val="00083ADF"/>
    <w:rsid w:val="000900D8"/>
    <w:rsid w:val="000A2BCA"/>
    <w:rsid w:val="000A6EA5"/>
    <w:rsid w:val="000C154E"/>
    <w:rsid w:val="00134977"/>
    <w:rsid w:val="00150A41"/>
    <w:rsid w:val="00152332"/>
    <w:rsid w:val="001763E9"/>
    <w:rsid w:val="001A6C9B"/>
    <w:rsid w:val="001B3F9E"/>
    <w:rsid w:val="001C27E9"/>
    <w:rsid w:val="001D01A8"/>
    <w:rsid w:val="001D3B65"/>
    <w:rsid w:val="001D4680"/>
    <w:rsid w:val="001D6C20"/>
    <w:rsid w:val="00205C78"/>
    <w:rsid w:val="002179DD"/>
    <w:rsid w:val="0022089E"/>
    <w:rsid w:val="002F7C9B"/>
    <w:rsid w:val="00313239"/>
    <w:rsid w:val="00377547"/>
    <w:rsid w:val="003C0068"/>
    <w:rsid w:val="003E029A"/>
    <w:rsid w:val="003F6C63"/>
    <w:rsid w:val="004253BB"/>
    <w:rsid w:val="00426691"/>
    <w:rsid w:val="00426C0D"/>
    <w:rsid w:val="0043092E"/>
    <w:rsid w:val="004332BC"/>
    <w:rsid w:val="004650DB"/>
    <w:rsid w:val="004A3ED3"/>
    <w:rsid w:val="004E1E12"/>
    <w:rsid w:val="004F19F8"/>
    <w:rsid w:val="004F3BC8"/>
    <w:rsid w:val="005202DD"/>
    <w:rsid w:val="005243B4"/>
    <w:rsid w:val="005B3FBF"/>
    <w:rsid w:val="005B7296"/>
    <w:rsid w:val="005C2AFE"/>
    <w:rsid w:val="005D0A14"/>
    <w:rsid w:val="005F1BAF"/>
    <w:rsid w:val="005F3181"/>
    <w:rsid w:val="006201B1"/>
    <w:rsid w:val="006269C1"/>
    <w:rsid w:val="0065756A"/>
    <w:rsid w:val="0067156E"/>
    <w:rsid w:val="0067161C"/>
    <w:rsid w:val="00672C95"/>
    <w:rsid w:val="00683FE5"/>
    <w:rsid w:val="006A721C"/>
    <w:rsid w:val="006C0CAD"/>
    <w:rsid w:val="006C5F8A"/>
    <w:rsid w:val="006D58B4"/>
    <w:rsid w:val="00707F63"/>
    <w:rsid w:val="007546D3"/>
    <w:rsid w:val="007566A5"/>
    <w:rsid w:val="007D00CC"/>
    <w:rsid w:val="007F2CB3"/>
    <w:rsid w:val="00811AB4"/>
    <w:rsid w:val="0081625B"/>
    <w:rsid w:val="00837883"/>
    <w:rsid w:val="00877DFC"/>
    <w:rsid w:val="008E42A5"/>
    <w:rsid w:val="008F0D64"/>
    <w:rsid w:val="008F360B"/>
    <w:rsid w:val="009047D9"/>
    <w:rsid w:val="00957F59"/>
    <w:rsid w:val="00967D6D"/>
    <w:rsid w:val="009B624A"/>
    <w:rsid w:val="009D1C90"/>
    <w:rsid w:val="009E501C"/>
    <w:rsid w:val="00A05242"/>
    <w:rsid w:val="00A4070B"/>
    <w:rsid w:val="00A9652D"/>
    <w:rsid w:val="00AA3A3A"/>
    <w:rsid w:val="00AB3DC4"/>
    <w:rsid w:val="00AC0C75"/>
    <w:rsid w:val="00AD715C"/>
    <w:rsid w:val="00AF6F11"/>
    <w:rsid w:val="00B00A36"/>
    <w:rsid w:val="00B1005D"/>
    <w:rsid w:val="00B125D6"/>
    <w:rsid w:val="00B12A97"/>
    <w:rsid w:val="00B1632E"/>
    <w:rsid w:val="00B27CC9"/>
    <w:rsid w:val="00B55A9E"/>
    <w:rsid w:val="00B67C4B"/>
    <w:rsid w:val="00B75523"/>
    <w:rsid w:val="00BE4E2B"/>
    <w:rsid w:val="00BE5977"/>
    <w:rsid w:val="00BF247F"/>
    <w:rsid w:val="00C27387"/>
    <w:rsid w:val="00C47068"/>
    <w:rsid w:val="00C76B1B"/>
    <w:rsid w:val="00C8797E"/>
    <w:rsid w:val="00C97F31"/>
    <w:rsid w:val="00CF02EF"/>
    <w:rsid w:val="00CF6E2E"/>
    <w:rsid w:val="00CF776B"/>
    <w:rsid w:val="00D31A00"/>
    <w:rsid w:val="00D71F9D"/>
    <w:rsid w:val="00DA0BBA"/>
    <w:rsid w:val="00DD596F"/>
    <w:rsid w:val="00DD5BE3"/>
    <w:rsid w:val="00DF4E06"/>
    <w:rsid w:val="00DF4FFE"/>
    <w:rsid w:val="00E0591C"/>
    <w:rsid w:val="00E1544C"/>
    <w:rsid w:val="00E2738D"/>
    <w:rsid w:val="00E36BAC"/>
    <w:rsid w:val="00E66668"/>
    <w:rsid w:val="00E67738"/>
    <w:rsid w:val="00E75AD9"/>
    <w:rsid w:val="00EB14A6"/>
    <w:rsid w:val="00ED7C29"/>
    <w:rsid w:val="00F35B4A"/>
    <w:rsid w:val="00F865A1"/>
    <w:rsid w:val="00F96287"/>
    <w:rsid w:val="00FA764E"/>
    <w:rsid w:val="00FD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0AC575B-D5AC-4116-BB9F-A62BDD9D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D596F"/>
    <w:rPr>
      <w:rFonts w:cs="Times New Roman"/>
      <w:b/>
      <w:bCs/>
      <w:sz w:val="36"/>
      <w:szCs w:val="36"/>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rsid w:val="006574D7"/>
    <w:rPr>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rsid w:val="006574D7"/>
    <w:rPr>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rsid w:val="006574D7"/>
    <w:rPr>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DD5BE3"/>
    <w:rPr>
      <w:rFonts w:ascii="Tahoma" w:hAnsi="Tahoma" w:cs="Tahoma"/>
      <w:sz w:val="16"/>
      <w:szCs w:val="16"/>
    </w:rPr>
  </w:style>
  <w:style w:type="character" w:customStyle="1" w:styleId="BalloonTextChar">
    <w:name w:val="Balloon Text Char"/>
    <w:basedOn w:val="DefaultParagraphFont"/>
    <w:link w:val="BalloonText"/>
    <w:uiPriority w:val="99"/>
    <w:semiHidden/>
    <w:rsid w:val="006574D7"/>
    <w:rPr>
      <w:sz w:val="0"/>
      <w:szCs w:val="0"/>
    </w:rPr>
  </w:style>
  <w:style w:type="paragraph" w:styleId="ListParagraph">
    <w:name w:val="List Paragraph"/>
    <w:basedOn w:val="Normal"/>
    <w:uiPriority w:val="99"/>
    <w:qFormat/>
    <w:rsid w:val="004A3ED3"/>
    <w:pPr>
      <w:ind w:left="720"/>
      <w:contextualSpacing/>
    </w:pPr>
  </w:style>
  <w:style w:type="character" w:customStyle="1" w:styleId="legdslegp1no">
    <w:name w:val="legds legp1no"/>
    <w:basedOn w:val="DefaultParagraphFont"/>
    <w:uiPriority w:val="99"/>
    <w:rsid w:val="009047D9"/>
    <w:rPr>
      <w:rFonts w:cs="Times New Roman"/>
    </w:rPr>
  </w:style>
  <w:style w:type="character" w:customStyle="1" w:styleId="legdslegp1grouptitlefirst">
    <w:name w:val="legds legp1grouptitlefirst"/>
    <w:basedOn w:val="DefaultParagraphFont"/>
    <w:uiPriority w:val="99"/>
    <w:rsid w:val="009047D9"/>
    <w:rPr>
      <w:rFonts w:cs="Times New Roman"/>
    </w:rPr>
  </w:style>
  <w:style w:type="character" w:customStyle="1" w:styleId="legdsleglhslegp2no">
    <w:name w:val="legds leglhs legp2no"/>
    <w:basedOn w:val="DefaultParagraphFont"/>
    <w:uiPriority w:val="99"/>
    <w:rsid w:val="009047D9"/>
    <w:rPr>
      <w:rFonts w:cs="Times New Roman"/>
    </w:rPr>
  </w:style>
  <w:style w:type="character" w:customStyle="1" w:styleId="legdslegrhslegp2text">
    <w:name w:val="legds legrhs legp2text"/>
    <w:basedOn w:val="DefaultParagraphFont"/>
    <w:uiPriority w:val="99"/>
    <w:rsid w:val="009047D9"/>
    <w:rPr>
      <w:rFonts w:cs="Times New Roman"/>
    </w:rPr>
  </w:style>
  <w:style w:type="character" w:customStyle="1" w:styleId="legdsleglhslegp3no">
    <w:name w:val="legds leglhs legp3no"/>
    <w:basedOn w:val="DefaultParagraphFont"/>
    <w:uiPriority w:val="99"/>
    <w:rsid w:val="009047D9"/>
    <w:rPr>
      <w:rFonts w:cs="Times New Roman"/>
    </w:rPr>
  </w:style>
  <w:style w:type="character" w:customStyle="1" w:styleId="legdslegrhslegp3text">
    <w:name w:val="legds legrhs legp3text"/>
    <w:basedOn w:val="DefaultParagraphFont"/>
    <w:uiPriority w:val="99"/>
    <w:rsid w:val="009047D9"/>
    <w:rPr>
      <w:rFonts w:cs="Times New Roman"/>
    </w:rPr>
  </w:style>
  <w:style w:type="table" w:styleId="TableGrid">
    <w:name w:val="Table Grid"/>
    <w:basedOn w:val="TableNormal"/>
    <w:uiPriority w:val="99"/>
    <w:rsid w:val="0013497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256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rchive.nationalarchives.gov.uk/20121002232050/http://www.legalservices.gov.uk/aboutus/how/strategic_publications.asp"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justice.gov.uk/publications/corporate-reports/legal-services-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Total cost in 2011-12 of legal advice and assistance given to person in police station and total number of duty solicitors</vt:lpstr>
    </vt:vector>
  </TitlesOfParts>
  <Company>Ministry of Justice</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Total cost in 2011-12 of legal advice and assistance given to person in police station and total number of duty solicitors</dc:title>
  <dc:subject>FOI Response</dc:subject>
  <dc:creator>MoJ</dc:creator>
  <cp:keywords>Legal Aid Agency, police, station, duty solicitors, accredited representatives</cp:keywords>
  <dc:description/>
  <cp:lastModifiedBy>Elizabeth Popoola</cp:lastModifiedBy>
  <cp:revision>2</cp:revision>
  <dcterms:created xsi:type="dcterms:W3CDTF">2013-10-04T15:05:00Z</dcterms:created>
  <dcterms:modified xsi:type="dcterms:W3CDTF">2013-10-04T15:05:00Z</dcterms:modified>
</cp:coreProperties>
</file>