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1" w:type="dxa"/>
        <w:tblInd w:w="-360" w:type="dxa"/>
        <w:tblLayout w:type="fixed"/>
        <w:tblCellMar>
          <w:left w:w="0" w:type="dxa"/>
          <w:right w:w="0" w:type="dxa"/>
        </w:tblCellMar>
        <w:tblLook w:val="0000"/>
      </w:tblPr>
      <w:tblGrid>
        <w:gridCol w:w="425"/>
        <w:gridCol w:w="295"/>
        <w:gridCol w:w="2266"/>
        <w:gridCol w:w="2399"/>
        <w:gridCol w:w="720"/>
        <w:gridCol w:w="2266"/>
      </w:tblGrid>
      <w:tr w:rsidR="008030D9" w:rsidRPr="00CE7106" w:rsidTr="000B0EE2">
        <w:trPr>
          <w:cantSplit/>
          <w:trHeight w:val="1361"/>
        </w:trPr>
        <w:tc>
          <w:tcPr>
            <w:tcW w:w="5385" w:type="dxa"/>
            <w:gridSpan w:val="4"/>
            <w:tcBorders>
              <w:top w:val="nil"/>
            </w:tcBorders>
          </w:tcPr>
          <w:p w:rsidR="008030D9" w:rsidRPr="00C8797E" w:rsidRDefault="008030D9" w:rsidP="00CF776B">
            <w:pPr>
              <w:rPr>
                <w:rFonts w:ascii="Arial" w:hAnsi="Arial"/>
                <w:color w:val="000000"/>
              </w:rPr>
            </w:pPr>
            <w:r w:rsidRPr="00C8797E">
              <w:rPr>
                <w:rFonts w:ascii="Arial" w:hAnsi="Arial"/>
                <w:color w:val="000000"/>
                <w:sz w:val="22"/>
              </w:rPr>
              <w:t xml:space="preserve">   </w:t>
            </w:r>
            <w:r w:rsidRPr="006E5656">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5.75pt;visibility:visible">
                  <v:imagedata r:id="rId7" o:title=""/>
                </v:shape>
              </w:pict>
            </w:r>
          </w:p>
        </w:tc>
        <w:tc>
          <w:tcPr>
            <w:tcW w:w="720" w:type="dxa"/>
          </w:tcPr>
          <w:p w:rsidR="008030D9" w:rsidRPr="00C8797E" w:rsidRDefault="008030D9" w:rsidP="00CF776B">
            <w:pPr>
              <w:pStyle w:val="MOJnormal"/>
              <w:rPr>
                <w:color w:val="000000"/>
                <w:sz w:val="22"/>
              </w:rPr>
            </w:pPr>
          </w:p>
        </w:tc>
        <w:tc>
          <w:tcPr>
            <w:tcW w:w="2266" w:type="dxa"/>
            <w:tcBorders>
              <w:top w:val="nil"/>
            </w:tcBorders>
          </w:tcPr>
          <w:p w:rsidR="008030D9" w:rsidRPr="00CE7106" w:rsidRDefault="008030D9" w:rsidP="00CF776B">
            <w:pPr>
              <w:tabs>
                <w:tab w:val="left" w:pos="170"/>
              </w:tabs>
              <w:rPr>
                <w:rFonts w:ascii="Arial" w:hAnsi="Arial"/>
                <w:i/>
                <w:color w:val="0000FF"/>
                <w:lang w:val="pt-BR"/>
              </w:rPr>
            </w:pPr>
          </w:p>
          <w:p w:rsidR="008030D9" w:rsidRDefault="008030D9" w:rsidP="00CF776B">
            <w:pPr>
              <w:tabs>
                <w:tab w:val="left" w:pos="170"/>
              </w:tabs>
              <w:rPr>
                <w:rFonts w:ascii="Arial" w:hAnsi="Arial"/>
                <w:b/>
                <w:sz w:val="20"/>
                <w:szCs w:val="20"/>
                <w:lang w:val="pt-BR"/>
              </w:rPr>
            </w:pPr>
            <w:hyperlink r:id="rId8" w:history="1">
              <w:r w:rsidRPr="00F1238C">
                <w:rPr>
                  <w:rStyle w:val="Hyperlink"/>
                  <w:rFonts w:ascii="Arial" w:hAnsi="Arial"/>
                  <w:b/>
                  <w:sz w:val="20"/>
                  <w:szCs w:val="20"/>
                  <w:lang w:val="pt-BR"/>
                </w:rPr>
                <w:t>www.justice.gov.uk</w:t>
              </w:r>
            </w:hyperlink>
          </w:p>
          <w:p w:rsidR="008030D9" w:rsidRPr="00CE7106" w:rsidRDefault="008030D9" w:rsidP="00CF776B">
            <w:pPr>
              <w:tabs>
                <w:tab w:val="left" w:pos="170"/>
              </w:tabs>
              <w:rPr>
                <w:rFonts w:ascii="Arial" w:hAnsi="Arial"/>
                <w:b/>
                <w:sz w:val="20"/>
                <w:szCs w:val="20"/>
                <w:lang w:val="pt-BR"/>
              </w:rPr>
            </w:pPr>
          </w:p>
        </w:tc>
      </w:tr>
      <w:tr w:rsidR="008030D9" w:rsidTr="000B0EE2">
        <w:trPr>
          <w:gridAfter w:val="3"/>
          <w:wAfter w:w="5385" w:type="dxa"/>
          <w:cantSplit/>
          <w:trHeight w:val="1259"/>
        </w:trPr>
        <w:tc>
          <w:tcPr>
            <w:tcW w:w="720" w:type="dxa"/>
            <w:gridSpan w:val="2"/>
          </w:tcPr>
          <w:p w:rsidR="008030D9" w:rsidRPr="00C8797E" w:rsidRDefault="008030D9" w:rsidP="00CF776B">
            <w:pPr>
              <w:pStyle w:val="MOJnormal"/>
              <w:rPr>
                <w:color w:val="000000"/>
                <w:sz w:val="22"/>
              </w:rPr>
            </w:pPr>
          </w:p>
        </w:tc>
        <w:tc>
          <w:tcPr>
            <w:tcW w:w="2266" w:type="dxa"/>
          </w:tcPr>
          <w:p w:rsidR="008030D9" w:rsidRPr="00C8797E" w:rsidRDefault="008030D9" w:rsidP="00CF776B">
            <w:pPr>
              <w:pStyle w:val="MOJtext-otheraddress"/>
              <w:rPr>
                <w:color w:val="000000"/>
                <w:sz w:val="22"/>
              </w:rPr>
            </w:pPr>
          </w:p>
        </w:tc>
      </w:tr>
      <w:tr w:rsidR="008030D9" w:rsidTr="000B0EE2">
        <w:trPr>
          <w:cantSplit/>
          <w:trHeight w:val="73"/>
        </w:trPr>
        <w:tc>
          <w:tcPr>
            <w:tcW w:w="425" w:type="dxa"/>
          </w:tcPr>
          <w:p w:rsidR="008030D9" w:rsidRPr="00C8797E" w:rsidRDefault="008030D9" w:rsidP="00CF776B">
            <w:pPr>
              <w:pStyle w:val="MOJnormal"/>
              <w:rPr>
                <w:color w:val="000000"/>
                <w:sz w:val="22"/>
              </w:rPr>
            </w:pPr>
          </w:p>
        </w:tc>
        <w:tc>
          <w:tcPr>
            <w:tcW w:w="4960" w:type="dxa"/>
            <w:gridSpan w:val="3"/>
          </w:tcPr>
          <w:p w:rsidR="008030D9" w:rsidRPr="00801114" w:rsidRDefault="008030D9" w:rsidP="00801114">
            <w:pPr>
              <w:spacing w:line="280" w:lineRule="atLeast"/>
              <w:rPr>
                <w:rFonts w:ascii="Arial" w:hAnsi="Arial"/>
                <w:i/>
                <w:color w:val="000000"/>
              </w:rPr>
            </w:pPr>
            <w:r w:rsidRPr="00924204">
              <w:rPr>
                <w:rFonts w:ascii="Arial" w:hAnsi="Arial"/>
                <w:b/>
                <w:color w:val="000000"/>
              </w:rPr>
              <w:t>Our Reference</w:t>
            </w:r>
            <w:r>
              <w:rPr>
                <w:rFonts w:ascii="Arial" w:hAnsi="Arial"/>
                <w:b/>
                <w:color w:val="000000"/>
              </w:rPr>
              <w:t xml:space="preserve">: </w:t>
            </w:r>
            <w:r>
              <w:rPr>
                <w:rFonts w:ascii="Arial" w:hAnsi="Arial"/>
                <w:color w:val="000000"/>
              </w:rPr>
              <w:t>FOI/82804</w:t>
            </w:r>
          </w:p>
        </w:tc>
        <w:tc>
          <w:tcPr>
            <w:tcW w:w="720" w:type="dxa"/>
          </w:tcPr>
          <w:p w:rsidR="008030D9" w:rsidRPr="00924204" w:rsidRDefault="008030D9" w:rsidP="00CF776B">
            <w:pPr>
              <w:spacing w:line="280" w:lineRule="atLeast"/>
              <w:rPr>
                <w:rFonts w:ascii="Arial" w:hAnsi="Arial"/>
              </w:rPr>
            </w:pPr>
            <w:r w:rsidRPr="00924204">
              <w:rPr>
                <w:rFonts w:ascii="Arial" w:hAnsi="Arial"/>
                <w:sz w:val="22"/>
              </w:rPr>
              <w:tab/>
            </w:r>
          </w:p>
        </w:tc>
        <w:tc>
          <w:tcPr>
            <w:tcW w:w="2266" w:type="dxa"/>
          </w:tcPr>
          <w:p w:rsidR="008030D9" w:rsidRPr="003F0BBA" w:rsidRDefault="008030D9" w:rsidP="00CF776B">
            <w:pPr>
              <w:pStyle w:val="MOJnormal"/>
              <w:rPr>
                <w:sz w:val="22"/>
              </w:rPr>
            </w:pPr>
            <w:r>
              <w:rPr>
                <w:sz w:val="22"/>
              </w:rPr>
              <w:t xml:space="preserve"> June 2013</w:t>
            </w:r>
          </w:p>
        </w:tc>
      </w:tr>
    </w:tbl>
    <w:p w:rsidR="008030D9" w:rsidRDefault="008030D9"/>
    <w:p w:rsidR="008030D9" w:rsidRDefault="008030D9"/>
    <w:p w:rsidR="008030D9" w:rsidRDefault="008030D9"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8030D9" w:rsidRPr="00801114" w:rsidRDefault="008030D9" w:rsidP="0081625B">
      <w:pPr>
        <w:rPr>
          <w:rFonts w:ascii="Arial" w:hAnsi="Arial" w:cs="Arial"/>
          <w:sz w:val="22"/>
          <w:szCs w:val="22"/>
        </w:rPr>
      </w:pPr>
    </w:p>
    <w:p w:rsidR="008030D9" w:rsidRPr="00801114" w:rsidRDefault="008030D9" w:rsidP="0081625B">
      <w:pPr>
        <w:rPr>
          <w:rFonts w:ascii="Arial" w:hAnsi="Arial" w:cs="Arial"/>
          <w:sz w:val="22"/>
          <w:szCs w:val="22"/>
        </w:rPr>
      </w:pPr>
    </w:p>
    <w:p w:rsidR="008030D9" w:rsidRDefault="008030D9" w:rsidP="0081625B">
      <w:pPr>
        <w:rPr>
          <w:rFonts w:ascii="Arial" w:hAnsi="Arial" w:cs="Arial"/>
          <w:sz w:val="22"/>
          <w:szCs w:val="22"/>
        </w:rPr>
      </w:pPr>
      <w:r>
        <w:rPr>
          <w:rFonts w:ascii="Arial" w:hAnsi="Arial" w:cs="Arial"/>
          <w:sz w:val="22"/>
          <w:szCs w:val="22"/>
        </w:rPr>
        <w:t>Y</w:t>
      </w:r>
      <w:r w:rsidRPr="00801114">
        <w:rPr>
          <w:rFonts w:ascii="Arial" w:hAnsi="Arial" w:cs="Arial"/>
          <w:sz w:val="22"/>
          <w:szCs w:val="22"/>
        </w:rPr>
        <w:t xml:space="preserve">ou </w:t>
      </w:r>
      <w:r>
        <w:rPr>
          <w:rFonts w:ascii="Arial" w:hAnsi="Arial" w:cs="Arial"/>
          <w:sz w:val="22"/>
          <w:szCs w:val="22"/>
        </w:rPr>
        <w:t>made a request for</w:t>
      </w:r>
      <w:r w:rsidRPr="00801114">
        <w:rPr>
          <w:rFonts w:ascii="Arial" w:hAnsi="Arial" w:cs="Arial"/>
          <w:sz w:val="22"/>
          <w:szCs w:val="22"/>
        </w:rPr>
        <w:t xml:space="preserve"> information fro</w:t>
      </w:r>
      <w:r>
        <w:rPr>
          <w:rFonts w:ascii="Arial" w:hAnsi="Arial" w:cs="Arial"/>
          <w:sz w:val="22"/>
          <w:szCs w:val="22"/>
        </w:rPr>
        <w:t xml:space="preserve">m the Ministry of Justice (MoJ) in relation to </w:t>
      </w:r>
    </w:p>
    <w:p w:rsidR="008030D9" w:rsidRDefault="008030D9" w:rsidP="0081625B">
      <w:pPr>
        <w:rPr>
          <w:rFonts w:ascii="Arial" w:hAnsi="Arial" w:cs="Arial"/>
          <w:sz w:val="22"/>
          <w:szCs w:val="22"/>
        </w:rPr>
      </w:pPr>
    </w:p>
    <w:p w:rsidR="008030D9" w:rsidRPr="000B0EE2" w:rsidRDefault="008030D9" w:rsidP="000B0EE2">
      <w:pPr>
        <w:jc w:val="center"/>
        <w:rPr>
          <w:rFonts w:ascii="Arial" w:hAnsi="Arial" w:cs="Arial"/>
          <w:b/>
          <w:i/>
          <w:sz w:val="22"/>
          <w:szCs w:val="22"/>
        </w:rPr>
      </w:pPr>
      <w:r w:rsidRPr="000B0EE2">
        <w:rPr>
          <w:rFonts w:ascii="Arial" w:hAnsi="Arial" w:cs="Arial"/>
          <w:b/>
          <w:i/>
          <w:sz w:val="22"/>
          <w:szCs w:val="22"/>
        </w:rPr>
        <w:t>“Transforming legal aid: delivering a more credible and efficient system.”</w:t>
      </w:r>
      <w:r w:rsidRPr="000B0EE2">
        <w:rPr>
          <w:rStyle w:val="FootnoteReference"/>
          <w:rFonts w:ascii="Arial" w:hAnsi="Arial" w:cs="Arial"/>
          <w:b/>
          <w:i/>
          <w:sz w:val="22"/>
          <w:szCs w:val="22"/>
        </w:rPr>
        <w:footnoteReference w:id="1"/>
      </w:r>
    </w:p>
    <w:p w:rsidR="008030D9" w:rsidRDefault="008030D9" w:rsidP="0081625B">
      <w:pPr>
        <w:rPr>
          <w:rFonts w:ascii="Arial" w:hAnsi="Arial" w:cs="Arial"/>
          <w:sz w:val="22"/>
          <w:szCs w:val="22"/>
        </w:rPr>
      </w:pPr>
    </w:p>
    <w:p w:rsidR="008030D9" w:rsidRDefault="008030D9" w:rsidP="0081625B">
      <w:pPr>
        <w:rPr>
          <w:rFonts w:ascii="Arial" w:hAnsi="Arial" w:cs="Arial"/>
          <w:sz w:val="22"/>
          <w:szCs w:val="22"/>
        </w:rPr>
      </w:pPr>
      <w:r>
        <w:rPr>
          <w:rFonts w:ascii="Arial" w:hAnsi="Arial" w:cs="Arial"/>
          <w:sz w:val="22"/>
          <w:szCs w:val="22"/>
        </w:rPr>
        <w:t>Your request has been handled under the Freedom of Information Act 2000 (FOIA). Please accept my sincere apologies in the delay in providing you with this response, which is set out below.</w:t>
      </w:r>
    </w:p>
    <w:p w:rsidR="008030D9" w:rsidRDefault="008030D9" w:rsidP="0081625B">
      <w:pPr>
        <w:rPr>
          <w:rFonts w:ascii="Arial" w:hAnsi="Arial" w:cs="Arial"/>
          <w:sz w:val="22"/>
          <w:szCs w:val="22"/>
        </w:rPr>
      </w:pPr>
    </w:p>
    <w:p w:rsidR="008030D9" w:rsidRPr="00A26728" w:rsidRDefault="008030D9" w:rsidP="00B60C11">
      <w:pPr>
        <w:rPr>
          <w:rFonts w:ascii="Arial" w:hAnsi="Arial" w:cs="Arial"/>
          <w:b/>
          <w:bCs/>
          <w:sz w:val="22"/>
          <w:szCs w:val="22"/>
          <w:u w:val="single"/>
        </w:rPr>
      </w:pPr>
      <w:r w:rsidRPr="00A26728">
        <w:rPr>
          <w:rFonts w:ascii="Arial" w:hAnsi="Arial" w:cs="Arial"/>
          <w:b/>
          <w:bCs/>
          <w:sz w:val="22"/>
          <w:szCs w:val="22"/>
          <w:u w:val="single"/>
        </w:rPr>
        <w:t>Questions for MOJ</w:t>
      </w:r>
    </w:p>
    <w:p w:rsidR="008030D9" w:rsidRPr="00A26728" w:rsidRDefault="008030D9" w:rsidP="00B60C11">
      <w:pPr>
        <w:rPr>
          <w:rFonts w:ascii="Arial" w:hAnsi="Arial" w:cs="Arial"/>
          <w:b/>
          <w:bCs/>
          <w:sz w:val="22"/>
          <w:szCs w:val="22"/>
        </w:rPr>
      </w:pPr>
    </w:p>
    <w:p w:rsidR="008030D9" w:rsidRPr="00A26728" w:rsidRDefault="008030D9" w:rsidP="00B60C11">
      <w:pPr>
        <w:numPr>
          <w:ilvl w:val="0"/>
          <w:numId w:val="10"/>
        </w:numPr>
        <w:rPr>
          <w:rFonts w:ascii="Arial" w:hAnsi="Arial" w:cs="Arial"/>
          <w:b/>
          <w:bCs/>
          <w:sz w:val="22"/>
          <w:szCs w:val="22"/>
        </w:rPr>
      </w:pPr>
      <w:r w:rsidRPr="00A26728">
        <w:rPr>
          <w:rFonts w:ascii="Arial" w:hAnsi="Arial" w:cs="Arial"/>
          <w:b/>
          <w:bCs/>
          <w:sz w:val="22"/>
          <w:szCs w:val="22"/>
        </w:rPr>
        <w:t xml:space="preserve">do the figures for magistrates court cases include , CDS7 cases, do they include experts fees, do they include court duty claims, do they include vec fees? </w:t>
      </w:r>
    </w:p>
    <w:p w:rsidR="008030D9" w:rsidRDefault="008030D9" w:rsidP="00B60C11">
      <w:pPr>
        <w:rPr>
          <w:rFonts w:ascii="Arial" w:hAnsi="Arial" w:cs="Arial"/>
          <w:b/>
          <w:bCs/>
          <w:color w:val="FF0000"/>
          <w:sz w:val="22"/>
          <w:szCs w:val="22"/>
        </w:rPr>
      </w:pPr>
    </w:p>
    <w:p w:rsidR="008030D9" w:rsidRDefault="008030D9" w:rsidP="00801114">
      <w:pPr>
        <w:rPr>
          <w:rFonts w:ascii="Arial" w:hAnsi="Arial" w:cs="Arial"/>
          <w:sz w:val="22"/>
          <w:szCs w:val="22"/>
        </w:rPr>
      </w:pPr>
      <w:r>
        <w:rPr>
          <w:rFonts w:ascii="Arial" w:hAnsi="Arial" w:cs="Arial"/>
          <w:sz w:val="22"/>
          <w:szCs w:val="22"/>
        </w:rPr>
        <w:t xml:space="preserve">Please be advised that the FOIA </w:t>
      </w:r>
      <w:r w:rsidRPr="00801114">
        <w:rPr>
          <w:rFonts w:ascii="Arial" w:hAnsi="Arial" w:cs="Arial"/>
          <w:sz w:val="22"/>
          <w:szCs w:val="22"/>
        </w:rPr>
        <w:t xml:space="preserve">requires Departments to disclose (subject to applicable exemptions) recorded information only and as such the MoJ is not required to provide advice or opinion. </w:t>
      </w:r>
      <w:r>
        <w:rPr>
          <w:rFonts w:ascii="Arial" w:hAnsi="Arial" w:cs="Arial"/>
          <w:sz w:val="22"/>
          <w:szCs w:val="22"/>
        </w:rPr>
        <w:t xml:space="preserve">Outside of the scope of the FOIA however, I can confirm that the figures within the ‘Transforming legal aid’ paper, for magistrate’s court cases, </w:t>
      </w:r>
      <w:r w:rsidRPr="003F0BBA">
        <w:rPr>
          <w:rFonts w:ascii="Arial" w:hAnsi="Arial" w:cs="Arial"/>
          <w:sz w:val="22"/>
          <w:szCs w:val="22"/>
        </w:rPr>
        <w:t>include</w:t>
      </w:r>
      <w:r>
        <w:rPr>
          <w:rFonts w:ascii="Arial" w:hAnsi="Arial" w:cs="Arial"/>
          <w:sz w:val="22"/>
          <w:szCs w:val="22"/>
        </w:rPr>
        <w:t xml:space="preserve"> CDS7 cases. They exclude expert fees. They </w:t>
      </w:r>
      <w:r w:rsidRPr="00AC4D46">
        <w:rPr>
          <w:rFonts w:ascii="Arial" w:hAnsi="Arial" w:cs="Arial"/>
          <w:bCs/>
          <w:sz w:val="22"/>
          <w:szCs w:val="22"/>
        </w:rPr>
        <w:t>include court duty claims</w:t>
      </w:r>
      <w:r>
        <w:rPr>
          <w:rFonts w:ascii="Arial" w:hAnsi="Arial" w:cs="Arial"/>
          <w:sz w:val="22"/>
          <w:szCs w:val="22"/>
        </w:rPr>
        <w:t xml:space="preserve">. </w:t>
      </w:r>
    </w:p>
    <w:p w:rsidR="008030D9" w:rsidRDefault="008030D9" w:rsidP="00B60C11">
      <w:pPr>
        <w:rPr>
          <w:rFonts w:ascii="Arial" w:hAnsi="Arial" w:cs="Arial"/>
          <w:sz w:val="22"/>
          <w:szCs w:val="22"/>
        </w:rPr>
      </w:pPr>
    </w:p>
    <w:p w:rsidR="008030D9" w:rsidRPr="00B60C11" w:rsidRDefault="008030D9" w:rsidP="00B60C11">
      <w:pPr>
        <w:rPr>
          <w:rFonts w:ascii="Arial" w:hAnsi="Arial" w:cs="Arial"/>
          <w:sz w:val="22"/>
          <w:szCs w:val="22"/>
        </w:rPr>
      </w:pPr>
      <w:r>
        <w:rPr>
          <w:rFonts w:ascii="Arial" w:hAnsi="Arial" w:cs="Arial"/>
          <w:sz w:val="22"/>
          <w:szCs w:val="22"/>
        </w:rPr>
        <w:t xml:space="preserve">I have interpreted ‘vec’ fees as legal aid fees relating to cases heard to ‘video enabled court’ cases. I am afraid that there is no way within our systems to identify whether cases were heard via such means, and as such I cannot answer this question. </w:t>
      </w:r>
      <w:r w:rsidRPr="00B60C11">
        <w:rPr>
          <w:rFonts w:ascii="Arial" w:hAnsi="Arial" w:cs="Arial"/>
          <w:sz w:val="22"/>
          <w:szCs w:val="22"/>
        </w:rPr>
        <w:t>On our Crown Court system there is a flag which identifies video usage but the data from it is not felt to be accurate or for publication.</w:t>
      </w:r>
      <w:r>
        <w:rPr>
          <w:rFonts w:ascii="Arial" w:hAnsi="Arial" w:cs="Arial"/>
          <w:sz w:val="22"/>
          <w:szCs w:val="22"/>
        </w:rPr>
        <w:t xml:space="preserve"> </w:t>
      </w:r>
      <w:r w:rsidRPr="00B60C11">
        <w:rPr>
          <w:rFonts w:ascii="Arial" w:hAnsi="Arial" w:cs="Arial"/>
          <w:sz w:val="22"/>
          <w:szCs w:val="22"/>
        </w:rPr>
        <w:t xml:space="preserve">On our Magistrates system there is no definite marker which </w:t>
      </w:r>
      <w:r>
        <w:rPr>
          <w:rFonts w:ascii="Arial" w:hAnsi="Arial" w:cs="Arial"/>
          <w:sz w:val="22"/>
          <w:szCs w:val="22"/>
        </w:rPr>
        <w:t xml:space="preserve">could be </w:t>
      </w:r>
      <w:r w:rsidRPr="00B60C11">
        <w:rPr>
          <w:rFonts w:ascii="Arial" w:hAnsi="Arial" w:cs="Arial"/>
          <w:sz w:val="22"/>
          <w:szCs w:val="22"/>
        </w:rPr>
        <w:t xml:space="preserve">used </w:t>
      </w:r>
      <w:r>
        <w:rPr>
          <w:rFonts w:ascii="Arial" w:hAnsi="Arial" w:cs="Arial"/>
          <w:sz w:val="22"/>
          <w:szCs w:val="22"/>
        </w:rPr>
        <w:t xml:space="preserve">to identify </w:t>
      </w:r>
      <w:r w:rsidRPr="00B60C11">
        <w:rPr>
          <w:rFonts w:ascii="Arial" w:hAnsi="Arial" w:cs="Arial"/>
          <w:sz w:val="22"/>
          <w:szCs w:val="22"/>
        </w:rPr>
        <w:t>these cases</w:t>
      </w:r>
      <w:r>
        <w:rPr>
          <w:rFonts w:ascii="Arial" w:hAnsi="Arial" w:cs="Arial"/>
          <w:sz w:val="22"/>
          <w:szCs w:val="22"/>
        </w:rPr>
        <w:t xml:space="preserve">. </w:t>
      </w:r>
    </w:p>
    <w:p w:rsidR="008030D9" w:rsidRPr="00AC4D46" w:rsidRDefault="008030D9" w:rsidP="00B60C11">
      <w:pPr>
        <w:rPr>
          <w:rFonts w:ascii="Arial" w:hAnsi="Arial" w:cs="Arial"/>
          <w:b/>
          <w:bCs/>
          <w:sz w:val="22"/>
          <w:szCs w:val="22"/>
        </w:rPr>
      </w:pPr>
    </w:p>
    <w:p w:rsidR="008030D9" w:rsidRPr="00AC4D46" w:rsidRDefault="008030D9" w:rsidP="00B60C11">
      <w:pPr>
        <w:numPr>
          <w:ilvl w:val="0"/>
          <w:numId w:val="10"/>
        </w:numPr>
        <w:rPr>
          <w:rFonts w:ascii="Arial" w:hAnsi="Arial" w:cs="Arial"/>
          <w:b/>
          <w:bCs/>
          <w:sz w:val="22"/>
          <w:szCs w:val="22"/>
        </w:rPr>
      </w:pPr>
      <w:r w:rsidRPr="00AC4D46">
        <w:rPr>
          <w:rFonts w:ascii="Arial" w:hAnsi="Arial" w:cs="Arial"/>
          <w:b/>
          <w:bCs/>
          <w:sz w:val="22"/>
          <w:szCs w:val="22"/>
        </w:rPr>
        <w:t xml:space="preserve">do the figures for crown court fees include expert fees? </w:t>
      </w:r>
    </w:p>
    <w:p w:rsidR="008030D9" w:rsidRDefault="008030D9" w:rsidP="00AC4D46">
      <w:pPr>
        <w:ind w:left="720"/>
        <w:rPr>
          <w:rFonts w:ascii="Arial" w:hAnsi="Arial" w:cs="Arial"/>
          <w:b/>
          <w:bCs/>
          <w:color w:val="FF0000"/>
          <w:sz w:val="22"/>
          <w:szCs w:val="22"/>
        </w:rPr>
      </w:pPr>
    </w:p>
    <w:p w:rsidR="008030D9" w:rsidRDefault="008030D9" w:rsidP="00AC4D46">
      <w:pPr>
        <w:rPr>
          <w:rFonts w:ascii="Arial" w:hAnsi="Arial" w:cs="Arial"/>
          <w:sz w:val="22"/>
          <w:szCs w:val="22"/>
        </w:rPr>
      </w:pPr>
      <w:r>
        <w:rPr>
          <w:rFonts w:ascii="Arial" w:hAnsi="Arial" w:cs="Arial"/>
          <w:sz w:val="22"/>
          <w:szCs w:val="22"/>
        </w:rPr>
        <w:t>Outside of the scope of the FOIA, I can confirm that t</w:t>
      </w:r>
      <w:r w:rsidRPr="00AC4D46">
        <w:rPr>
          <w:rFonts w:ascii="Arial" w:hAnsi="Arial" w:cs="Arial"/>
          <w:bCs/>
          <w:sz w:val="22"/>
          <w:szCs w:val="22"/>
        </w:rPr>
        <w:t xml:space="preserve">he figures for </w:t>
      </w:r>
      <w:r w:rsidRPr="00AC4D46">
        <w:rPr>
          <w:rFonts w:ascii="Arial" w:hAnsi="Arial" w:cs="Arial"/>
          <w:sz w:val="22"/>
          <w:szCs w:val="22"/>
        </w:rPr>
        <w:t>crown court fees exclude expert fees.</w:t>
      </w:r>
    </w:p>
    <w:p w:rsidR="008030D9" w:rsidRPr="00AC4D46" w:rsidRDefault="008030D9" w:rsidP="00AC4D46">
      <w:pPr>
        <w:rPr>
          <w:rFonts w:ascii="Arial" w:hAnsi="Arial" w:cs="Arial"/>
          <w:sz w:val="22"/>
          <w:szCs w:val="22"/>
        </w:rPr>
      </w:pPr>
    </w:p>
    <w:p w:rsidR="008030D9" w:rsidRDefault="008030D9" w:rsidP="00AC4D46">
      <w:pPr>
        <w:rPr>
          <w:rFonts w:ascii="Arial" w:hAnsi="Arial" w:cs="Arial"/>
          <w:b/>
          <w:sz w:val="22"/>
          <w:szCs w:val="22"/>
          <w:u w:val="single"/>
        </w:rPr>
      </w:pPr>
    </w:p>
    <w:p w:rsidR="008030D9" w:rsidRDefault="008030D9" w:rsidP="00AC4D46">
      <w:pPr>
        <w:rPr>
          <w:rFonts w:ascii="Arial" w:hAnsi="Arial" w:cs="Arial"/>
          <w:b/>
          <w:sz w:val="22"/>
          <w:szCs w:val="22"/>
          <w:u w:val="single"/>
        </w:rPr>
      </w:pPr>
    </w:p>
    <w:p w:rsidR="008030D9" w:rsidRDefault="008030D9" w:rsidP="00AC4D46">
      <w:pPr>
        <w:rPr>
          <w:rFonts w:ascii="Arial" w:hAnsi="Arial" w:cs="Arial"/>
          <w:b/>
          <w:sz w:val="22"/>
          <w:szCs w:val="22"/>
          <w:u w:val="single"/>
        </w:rPr>
      </w:pPr>
    </w:p>
    <w:p w:rsidR="008030D9" w:rsidRPr="006A5439" w:rsidRDefault="008030D9" w:rsidP="00AC4D46">
      <w:pPr>
        <w:rPr>
          <w:rFonts w:ascii="Arial" w:hAnsi="Arial" w:cs="Arial"/>
          <w:b/>
          <w:sz w:val="22"/>
          <w:szCs w:val="22"/>
          <w:u w:val="single"/>
        </w:rPr>
      </w:pPr>
      <w:r w:rsidRPr="006A5439">
        <w:rPr>
          <w:rFonts w:ascii="Arial" w:hAnsi="Arial" w:cs="Arial"/>
          <w:b/>
          <w:sz w:val="22"/>
          <w:szCs w:val="22"/>
          <w:u w:val="single"/>
        </w:rPr>
        <w:t xml:space="preserve">Information from LAA </w:t>
      </w:r>
    </w:p>
    <w:p w:rsidR="008030D9" w:rsidRPr="00AC4D46" w:rsidRDefault="008030D9" w:rsidP="00AC4D46">
      <w:pPr>
        <w:rPr>
          <w:rFonts w:ascii="Arial" w:hAnsi="Arial" w:cs="Arial"/>
          <w:bCs/>
          <w:color w:val="FF0000"/>
          <w:sz w:val="22"/>
          <w:szCs w:val="22"/>
        </w:rPr>
      </w:pPr>
    </w:p>
    <w:p w:rsidR="008030D9" w:rsidRPr="00AC4D46" w:rsidRDefault="008030D9" w:rsidP="00AC4D46">
      <w:pPr>
        <w:numPr>
          <w:ilvl w:val="0"/>
          <w:numId w:val="10"/>
        </w:numPr>
        <w:rPr>
          <w:rFonts w:ascii="Arial" w:hAnsi="Arial" w:cs="Arial"/>
          <w:b/>
          <w:bCs/>
          <w:sz w:val="22"/>
          <w:szCs w:val="22"/>
        </w:rPr>
      </w:pPr>
      <w:r w:rsidRPr="00AC4D46">
        <w:rPr>
          <w:rFonts w:ascii="Arial" w:hAnsi="Arial" w:cs="Arial"/>
          <w:b/>
          <w:bCs/>
          <w:sz w:val="22"/>
          <w:szCs w:val="22"/>
        </w:rPr>
        <w:t xml:space="preserve">For </w:t>
      </w:r>
      <w:smartTag w:uri="urn:schemas-microsoft-com:office:smarttags" w:element="City">
        <w:smartTag w:uri="urn:schemas-microsoft-com:office:smarttags" w:element="place">
          <w:r w:rsidRPr="00AC4D46">
            <w:rPr>
              <w:rFonts w:ascii="Arial" w:hAnsi="Arial" w:cs="Arial"/>
              <w:b/>
              <w:bCs/>
              <w:sz w:val="22"/>
              <w:szCs w:val="22"/>
            </w:rPr>
            <w:t>Cheshire</w:t>
          </w:r>
        </w:smartTag>
      </w:smartTag>
      <w:r w:rsidRPr="00AC4D46">
        <w:rPr>
          <w:rFonts w:ascii="Arial" w:hAnsi="Arial" w:cs="Arial"/>
          <w:b/>
          <w:bCs/>
          <w:sz w:val="22"/>
          <w:szCs w:val="22"/>
        </w:rPr>
        <w:t xml:space="preserve"> only : total claim value of police station work &amp; claim volume between October 2010 and September 2011. </w:t>
      </w:r>
    </w:p>
    <w:p w:rsidR="008030D9" w:rsidRPr="00AC4D46" w:rsidRDefault="008030D9" w:rsidP="00AC4D46">
      <w:pPr>
        <w:ind w:left="720"/>
        <w:rPr>
          <w:rFonts w:ascii="Arial" w:hAnsi="Arial" w:cs="Arial"/>
          <w:b/>
          <w:bCs/>
          <w:sz w:val="22"/>
          <w:szCs w:val="22"/>
        </w:rPr>
      </w:pPr>
      <w:r w:rsidRPr="00AC4D46">
        <w:rPr>
          <w:rFonts w:ascii="Arial" w:hAnsi="Arial" w:cs="Arial"/>
          <w:b/>
          <w:bCs/>
          <w:sz w:val="22"/>
          <w:szCs w:val="22"/>
        </w:rPr>
        <w:t xml:space="preserve">And same from October 2011 to September 2012. </w:t>
      </w:r>
    </w:p>
    <w:p w:rsidR="008030D9" w:rsidRDefault="008030D9" w:rsidP="00AC4D46">
      <w:pPr>
        <w:ind w:left="720"/>
        <w:rPr>
          <w:rFonts w:ascii="Arial" w:hAnsi="Arial" w:cs="Arial"/>
          <w:b/>
          <w:bCs/>
          <w:sz w:val="22"/>
          <w:szCs w:val="22"/>
        </w:rPr>
      </w:pPr>
      <w:r w:rsidRPr="00AC4D46">
        <w:rPr>
          <w:rFonts w:ascii="Arial" w:hAnsi="Arial" w:cs="Arial"/>
          <w:b/>
          <w:bCs/>
          <w:sz w:val="22"/>
          <w:szCs w:val="22"/>
        </w:rPr>
        <w:t xml:space="preserve">And from October 2012 to date. </w:t>
      </w:r>
    </w:p>
    <w:p w:rsidR="008030D9" w:rsidRDefault="008030D9" w:rsidP="00AC4D46">
      <w:pPr>
        <w:ind w:left="720"/>
        <w:rPr>
          <w:rFonts w:ascii="Arial" w:hAnsi="Arial" w:cs="Arial"/>
          <w:b/>
          <w:bCs/>
          <w:sz w:val="22"/>
          <w:szCs w:val="22"/>
        </w:rPr>
      </w:pPr>
    </w:p>
    <w:p w:rsidR="008030D9" w:rsidRDefault="008030D9" w:rsidP="00A26728">
      <w:pPr>
        <w:rPr>
          <w:rFonts w:ascii="Arial" w:hAnsi="Arial" w:cs="Arial"/>
          <w:bCs/>
          <w:sz w:val="22"/>
          <w:szCs w:val="22"/>
        </w:rPr>
      </w:pPr>
      <w:r>
        <w:rPr>
          <w:rFonts w:ascii="Arial" w:hAnsi="Arial" w:cs="Arial"/>
          <w:bCs/>
          <w:sz w:val="22"/>
          <w:szCs w:val="22"/>
        </w:rPr>
        <w:t>I am pleased to confirm that the MoJ holds this information which is contained within the table below:</w:t>
      </w:r>
    </w:p>
    <w:p w:rsidR="008030D9" w:rsidRPr="00A26728" w:rsidRDefault="008030D9" w:rsidP="00A26728">
      <w:pPr>
        <w:rPr>
          <w:rFonts w:ascii="Arial" w:hAnsi="Arial" w:cs="Arial"/>
          <w:bCs/>
          <w:sz w:val="22"/>
          <w:szCs w:val="22"/>
        </w:rPr>
      </w:pPr>
    </w:p>
    <w:tbl>
      <w:tblPr>
        <w:tblW w:w="6180" w:type="dxa"/>
        <w:tblInd w:w="612" w:type="dxa"/>
        <w:tblCellMar>
          <w:left w:w="0" w:type="dxa"/>
          <w:right w:w="0" w:type="dxa"/>
        </w:tblCellMar>
        <w:tblLook w:val="00A0"/>
      </w:tblPr>
      <w:tblGrid>
        <w:gridCol w:w="2420"/>
        <w:gridCol w:w="1880"/>
        <w:gridCol w:w="1880"/>
      </w:tblGrid>
      <w:tr w:rsidR="008030D9" w:rsidRPr="00801114" w:rsidTr="00A26728">
        <w:trPr>
          <w:trHeight w:val="315"/>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Police Station Claims</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Period</w:t>
            </w:r>
          </w:p>
        </w:tc>
        <w:tc>
          <w:tcPr>
            <w:tcW w:w="1880" w:type="dxa"/>
            <w:noWrap/>
            <w:tcMar>
              <w:top w:w="0" w:type="dxa"/>
              <w:left w:w="108" w:type="dxa"/>
              <w:bottom w:w="0" w:type="dxa"/>
              <w:right w:w="108" w:type="dxa"/>
            </w:tcMar>
            <w:vAlign w:val="bottom"/>
          </w:tcPr>
          <w:p w:rsidR="008030D9" w:rsidRPr="00801114" w:rsidRDefault="008030D9" w:rsidP="00801114">
            <w:pPr>
              <w:jc w:val="right"/>
              <w:rPr>
                <w:rFonts w:ascii="Arial" w:hAnsi="Arial" w:cs="Arial"/>
                <w:b/>
                <w:bCs/>
                <w:color w:val="000000"/>
              </w:rPr>
            </w:pPr>
            <w:r w:rsidRPr="00801114">
              <w:rPr>
                <w:rFonts w:ascii="Arial" w:hAnsi="Arial" w:cs="Arial"/>
                <w:b/>
                <w:bCs/>
                <w:color w:val="000000"/>
                <w:sz w:val="22"/>
                <w:szCs w:val="22"/>
              </w:rPr>
              <w:t>Volume of claims</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Value of Claims</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10 - Sep 11</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12,546</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£2,757,322.25</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11 - Sep 12</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10,877</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£2,440,129.60</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12 to date</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6,010</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£1,346,336.49</w:t>
            </w:r>
          </w:p>
        </w:tc>
      </w:tr>
      <w:tr w:rsidR="008030D9" w:rsidRPr="00801114" w:rsidTr="00A26728">
        <w:trPr>
          <w:trHeight w:val="300"/>
        </w:trPr>
        <w:tc>
          <w:tcPr>
            <w:tcW w:w="242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 </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29,433</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£6,543,788.34</w:t>
            </w:r>
          </w:p>
        </w:tc>
      </w:tr>
      <w:tr w:rsidR="008030D9" w:rsidRPr="00801114" w:rsidTr="00A26728">
        <w:trPr>
          <w:trHeight w:val="300"/>
        </w:trPr>
        <w:tc>
          <w:tcPr>
            <w:tcW w:w="242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p>
        </w:tc>
      </w:tr>
    </w:tbl>
    <w:p w:rsidR="008030D9" w:rsidRDefault="008030D9" w:rsidP="00AC4D46">
      <w:pPr>
        <w:numPr>
          <w:ilvl w:val="0"/>
          <w:numId w:val="10"/>
        </w:numPr>
        <w:rPr>
          <w:rFonts w:ascii="Arial" w:hAnsi="Arial" w:cs="Arial"/>
          <w:b/>
          <w:bCs/>
          <w:sz w:val="22"/>
          <w:szCs w:val="22"/>
        </w:rPr>
      </w:pPr>
      <w:r w:rsidRPr="00AC4D46">
        <w:rPr>
          <w:rFonts w:ascii="Arial" w:hAnsi="Arial" w:cs="Arial"/>
          <w:b/>
          <w:bCs/>
          <w:sz w:val="22"/>
          <w:szCs w:val="22"/>
        </w:rPr>
        <w:t xml:space="preserve">For </w:t>
      </w:r>
      <w:smartTag w:uri="urn:schemas-microsoft-com:office:smarttags" w:element="City">
        <w:smartTag w:uri="urn:schemas-microsoft-com:office:smarttags" w:element="place">
          <w:r w:rsidRPr="00AC4D46">
            <w:rPr>
              <w:rFonts w:ascii="Arial" w:hAnsi="Arial" w:cs="Arial"/>
              <w:b/>
              <w:bCs/>
              <w:sz w:val="22"/>
              <w:szCs w:val="22"/>
            </w:rPr>
            <w:t>Cheshire</w:t>
          </w:r>
        </w:smartTag>
      </w:smartTag>
      <w:r w:rsidRPr="00AC4D46">
        <w:rPr>
          <w:rFonts w:ascii="Arial" w:hAnsi="Arial" w:cs="Arial"/>
          <w:b/>
          <w:bCs/>
          <w:sz w:val="22"/>
          <w:szCs w:val="22"/>
        </w:rPr>
        <w:t xml:space="preserve"> only: total claim value and volume of vec fees for same period.</w:t>
      </w:r>
    </w:p>
    <w:p w:rsidR="008030D9" w:rsidRDefault="008030D9" w:rsidP="00A26728">
      <w:pPr>
        <w:ind w:left="720"/>
        <w:rPr>
          <w:rFonts w:ascii="Arial" w:hAnsi="Arial" w:cs="Arial"/>
          <w:b/>
          <w:bCs/>
          <w:sz w:val="22"/>
          <w:szCs w:val="22"/>
        </w:rPr>
      </w:pPr>
    </w:p>
    <w:p w:rsidR="008030D9" w:rsidRDefault="008030D9" w:rsidP="00A26728">
      <w:pPr>
        <w:rPr>
          <w:rFonts w:ascii="Arial" w:hAnsi="Arial" w:cs="Arial"/>
          <w:bCs/>
          <w:sz w:val="22"/>
          <w:szCs w:val="22"/>
        </w:rPr>
      </w:pPr>
      <w:r>
        <w:rPr>
          <w:rFonts w:ascii="Arial" w:hAnsi="Arial" w:cs="Arial"/>
          <w:bCs/>
          <w:sz w:val="22"/>
          <w:szCs w:val="22"/>
        </w:rPr>
        <w:t xml:space="preserve">I regret to inform you that, for the reasons outlined in my answer to question 1, the MoJ does not hold this information. </w:t>
      </w:r>
    </w:p>
    <w:p w:rsidR="008030D9" w:rsidRPr="00A26728" w:rsidRDefault="008030D9" w:rsidP="00A26728">
      <w:pPr>
        <w:rPr>
          <w:rFonts w:ascii="Arial" w:hAnsi="Arial" w:cs="Arial"/>
          <w:bCs/>
          <w:sz w:val="22"/>
          <w:szCs w:val="22"/>
        </w:rPr>
      </w:pPr>
    </w:p>
    <w:p w:rsidR="008030D9" w:rsidRDefault="008030D9" w:rsidP="00A26728">
      <w:pPr>
        <w:autoSpaceDE w:val="0"/>
        <w:autoSpaceDN w:val="0"/>
        <w:adjustRightInd w:val="0"/>
        <w:rPr>
          <w:rFonts w:ascii="Arial" w:hAnsi="Arial" w:cs="Arial"/>
          <w:sz w:val="22"/>
          <w:szCs w:val="22"/>
        </w:rPr>
      </w:pPr>
      <w:r w:rsidRPr="00A26728">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8030D9" w:rsidRPr="005114FB" w:rsidRDefault="008030D9" w:rsidP="00A26728">
      <w:pPr>
        <w:pStyle w:val="Default"/>
        <w:rPr>
          <w:rFonts w:ascii="Verdana" w:hAnsi="Verdana" w:cs="Verdana"/>
          <w:sz w:val="22"/>
          <w:szCs w:val="22"/>
        </w:rPr>
      </w:pPr>
      <w:r w:rsidRPr="005114FB">
        <w:rPr>
          <w:sz w:val="22"/>
          <w:szCs w:val="22"/>
        </w:rPr>
        <w:t xml:space="preserve">You can find out more about information held for the purposes of the Act by reading some guidance points we consider when processing a request for information, attached at the end of this letter. </w:t>
      </w:r>
    </w:p>
    <w:p w:rsidR="008030D9" w:rsidRPr="005114FB" w:rsidRDefault="008030D9" w:rsidP="00A26728">
      <w:pPr>
        <w:autoSpaceDE w:val="0"/>
        <w:autoSpaceDN w:val="0"/>
        <w:adjustRightInd w:val="0"/>
        <w:rPr>
          <w:rFonts w:ascii="Arial" w:hAnsi="Arial" w:cs="Arial"/>
          <w:sz w:val="22"/>
          <w:szCs w:val="22"/>
        </w:rPr>
      </w:pPr>
    </w:p>
    <w:p w:rsidR="008030D9" w:rsidRPr="00AC4D46" w:rsidRDefault="008030D9" w:rsidP="00AC4D46">
      <w:pPr>
        <w:ind w:left="720"/>
        <w:rPr>
          <w:rFonts w:ascii="Arial" w:hAnsi="Arial" w:cs="Arial"/>
          <w:b/>
          <w:bCs/>
          <w:sz w:val="22"/>
          <w:szCs w:val="22"/>
        </w:rPr>
      </w:pPr>
    </w:p>
    <w:p w:rsidR="008030D9" w:rsidRPr="00AC4D46" w:rsidRDefault="008030D9" w:rsidP="00AC4D46">
      <w:pPr>
        <w:numPr>
          <w:ilvl w:val="0"/>
          <w:numId w:val="10"/>
        </w:numPr>
        <w:rPr>
          <w:rFonts w:ascii="Arial" w:hAnsi="Arial" w:cs="Arial"/>
          <w:b/>
          <w:sz w:val="22"/>
          <w:szCs w:val="22"/>
        </w:rPr>
      </w:pPr>
      <w:r w:rsidRPr="00AC4D46">
        <w:rPr>
          <w:rFonts w:ascii="Arial" w:hAnsi="Arial" w:cs="Arial"/>
          <w:b/>
          <w:sz w:val="22"/>
          <w:szCs w:val="22"/>
        </w:rPr>
        <w:t xml:space="preserve">For </w:t>
      </w:r>
      <w:smartTag w:uri="urn:schemas-microsoft-com:office:smarttags" w:element="City">
        <w:smartTag w:uri="urn:schemas-microsoft-com:office:smarttags" w:element="place">
          <w:r w:rsidRPr="00AC4D46">
            <w:rPr>
              <w:rFonts w:ascii="Arial" w:hAnsi="Arial" w:cs="Arial"/>
              <w:b/>
              <w:sz w:val="22"/>
              <w:szCs w:val="22"/>
            </w:rPr>
            <w:t>Cheshire</w:t>
          </w:r>
        </w:smartTag>
      </w:smartTag>
      <w:r w:rsidRPr="00AC4D46">
        <w:rPr>
          <w:rFonts w:ascii="Arial" w:hAnsi="Arial" w:cs="Arial"/>
          <w:b/>
          <w:sz w:val="22"/>
          <w:szCs w:val="22"/>
        </w:rPr>
        <w:t xml:space="preserve"> only: total claim value and volume for cds6 claims between October 2010 &amp; September 2011.</w:t>
      </w:r>
    </w:p>
    <w:p w:rsidR="008030D9" w:rsidRPr="00AC4D46" w:rsidRDefault="008030D9" w:rsidP="00AC4D46">
      <w:pPr>
        <w:ind w:left="360" w:firstLine="360"/>
        <w:rPr>
          <w:rFonts w:ascii="Arial" w:hAnsi="Arial" w:cs="Arial"/>
          <w:b/>
          <w:sz w:val="22"/>
          <w:szCs w:val="22"/>
        </w:rPr>
      </w:pPr>
      <w:r w:rsidRPr="00AC4D46">
        <w:rPr>
          <w:rFonts w:ascii="Arial" w:hAnsi="Arial" w:cs="Arial"/>
          <w:b/>
          <w:sz w:val="22"/>
          <w:szCs w:val="22"/>
        </w:rPr>
        <w:t>And same from October 2011 to September 2012</w:t>
      </w:r>
    </w:p>
    <w:p w:rsidR="008030D9" w:rsidRDefault="008030D9" w:rsidP="00AC4D46">
      <w:pPr>
        <w:ind w:left="720"/>
        <w:rPr>
          <w:rFonts w:ascii="Arial" w:hAnsi="Arial" w:cs="Arial"/>
          <w:b/>
          <w:sz w:val="22"/>
          <w:szCs w:val="22"/>
        </w:rPr>
      </w:pPr>
      <w:r w:rsidRPr="00AC4D46">
        <w:rPr>
          <w:rFonts w:ascii="Arial" w:hAnsi="Arial" w:cs="Arial"/>
          <w:b/>
          <w:sz w:val="22"/>
          <w:szCs w:val="22"/>
        </w:rPr>
        <w:t xml:space="preserve">And from October 2012 to date. </w:t>
      </w:r>
    </w:p>
    <w:p w:rsidR="008030D9" w:rsidRDefault="008030D9" w:rsidP="00AC4D46">
      <w:pPr>
        <w:ind w:left="720"/>
        <w:rPr>
          <w:rFonts w:ascii="Arial" w:hAnsi="Arial" w:cs="Arial"/>
          <w:b/>
          <w:sz w:val="22"/>
          <w:szCs w:val="22"/>
        </w:rPr>
      </w:pPr>
    </w:p>
    <w:p w:rsidR="008030D9" w:rsidRDefault="008030D9" w:rsidP="00801114">
      <w:pPr>
        <w:rPr>
          <w:rFonts w:ascii="Arial" w:hAnsi="Arial" w:cs="Arial"/>
          <w:bCs/>
          <w:sz w:val="22"/>
          <w:szCs w:val="22"/>
        </w:rPr>
      </w:pPr>
      <w:r>
        <w:rPr>
          <w:rFonts w:ascii="Arial" w:hAnsi="Arial" w:cs="Arial"/>
          <w:bCs/>
          <w:sz w:val="22"/>
          <w:szCs w:val="22"/>
        </w:rPr>
        <w:t>I am pleased to confirm that the MoJ holds this information which is contained within the table below:</w:t>
      </w:r>
    </w:p>
    <w:p w:rsidR="008030D9" w:rsidRDefault="008030D9" w:rsidP="00AC4D46">
      <w:pPr>
        <w:ind w:left="720"/>
        <w:rPr>
          <w:rFonts w:ascii="Arial" w:hAnsi="Arial" w:cs="Arial"/>
          <w:b/>
          <w:sz w:val="22"/>
          <w:szCs w:val="22"/>
        </w:rPr>
      </w:pPr>
    </w:p>
    <w:tbl>
      <w:tblPr>
        <w:tblW w:w="6180" w:type="dxa"/>
        <w:tblInd w:w="612" w:type="dxa"/>
        <w:tblCellMar>
          <w:left w:w="0" w:type="dxa"/>
          <w:right w:w="0" w:type="dxa"/>
        </w:tblCellMar>
        <w:tblLook w:val="00A0"/>
      </w:tblPr>
      <w:tblGrid>
        <w:gridCol w:w="2420"/>
        <w:gridCol w:w="1880"/>
        <w:gridCol w:w="1880"/>
      </w:tblGrid>
      <w:tr w:rsidR="008030D9" w:rsidRPr="00801114" w:rsidTr="00A26728">
        <w:trPr>
          <w:trHeight w:val="315"/>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CDS6</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Period</w:t>
            </w:r>
          </w:p>
        </w:tc>
        <w:tc>
          <w:tcPr>
            <w:tcW w:w="1880" w:type="dxa"/>
            <w:noWrap/>
            <w:tcMar>
              <w:top w:w="0" w:type="dxa"/>
              <w:left w:w="108" w:type="dxa"/>
              <w:bottom w:w="0" w:type="dxa"/>
              <w:right w:w="108" w:type="dxa"/>
            </w:tcMar>
            <w:vAlign w:val="bottom"/>
          </w:tcPr>
          <w:p w:rsidR="008030D9" w:rsidRPr="00801114" w:rsidRDefault="008030D9" w:rsidP="00801114">
            <w:pPr>
              <w:jc w:val="right"/>
              <w:rPr>
                <w:rFonts w:ascii="Arial" w:hAnsi="Arial" w:cs="Arial"/>
                <w:b/>
                <w:bCs/>
                <w:color w:val="000000"/>
              </w:rPr>
            </w:pPr>
            <w:r w:rsidRPr="00801114">
              <w:rPr>
                <w:rFonts w:ascii="Arial" w:hAnsi="Arial" w:cs="Arial"/>
                <w:b/>
                <w:bCs/>
                <w:color w:val="000000"/>
                <w:sz w:val="22"/>
                <w:szCs w:val="22"/>
              </w:rPr>
              <w:t>Volume of claims</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Value of Claims</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10 - Sep 11</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23,512</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£6,342,918.16</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11 - Sep 12</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20,250</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£5,721,419.05</w:t>
            </w:r>
          </w:p>
        </w:tc>
      </w:tr>
      <w:tr w:rsidR="008030D9" w:rsidRPr="00801114" w:rsidTr="00A26728">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12 to date</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10,987</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£3,188,829.70</w:t>
            </w:r>
          </w:p>
        </w:tc>
      </w:tr>
      <w:tr w:rsidR="008030D9" w:rsidRPr="00801114" w:rsidTr="00A26728">
        <w:trPr>
          <w:trHeight w:val="300"/>
        </w:trPr>
        <w:tc>
          <w:tcPr>
            <w:tcW w:w="242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 </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54,749</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£15,253,166.91</w:t>
            </w:r>
          </w:p>
        </w:tc>
      </w:tr>
      <w:tr w:rsidR="008030D9" w:rsidRPr="00A26728" w:rsidTr="00A26728">
        <w:trPr>
          <w:trHeight w:val="300"/>
        </w:trPr>
        <w:tc>
          <w:tcPr>
            <w:tcW w:w="2420" w:type="dxa"/>
            <w:tcBorders>
              <w:top w:val="single" w:sz="8" w:space="0" w:color="auto"/>
              <w:left w:val="nil"/>
              <w:bottom w:val="nil"/>
              <w:right w:val="nil"/>
            </w:tcBorders>
            <w:noWrap/>
            <w:tcMar>
              <w:top w:w="0" w:type="dxa"/>
              <w:left w:w="108" w:type="dxa"/>
              <w:bottom w:w="0" w:type="dxa"/>
              <w:right w:w="108" w:type="dxa"/>
            </w:tcMar>
            <w:vAlign w:val="bottom"/>
          </w:tcPr>
          <w:p w:rsidR="008030D9" w:rsidRPr="00A26728" w:rsidRDefault="008030D9">
            <w:pPr>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A26728" w:rsidRDefault="008030D9">
            <w:pPr>
              <w:jc w:val="right"/>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A26728" w:rsidRDefault="008030D9">
            <w:pPr>
              <w:jc w:val="right"/>
              <w:rPr>
                <w:rFonts w:ascii="Arial" w:hAnsi="Arial" w:cs="Arial"/>
                <w:b/>
                <w:bCs/>
                <w:color w:val="000000"/>
              </w:rPr>
            </w:pPr>
          </w:p>
        </w:tc>
      </w:tr>
    </w:tbl>
    <w:p w:rsidR="008030D9" w:rsidRPr="00AC4D46" w:rsidRDefault="008030D9" w:rsidP="00AC4D46">
      <w:pPr>
        <w:numPr>
          <w:ilvl w:val="0"/>
          <w:numId w:val="10"/>
        </w:numPr>
        <w:rPr>
          <w:rFonts w:ascii="Arial" w:hAnsi="Arial" w:cs="Arial"/>
          <w:b/>
          <w:sz w:val="22"/>
          <w:szCs w:val="22"/>
        </w:rPr>
      </w:pPr>
      <w:r w:rsidRPr="00AC4D46">
        <w:rPr>
          <w:rFonts w:ascii="Arial" w:hAnsi="Arial" w:cs="Arial"/>
          <w:b/>
          <w:sz w:val="22"/>
          <w:szCs w:val="22"/>
        </w:rPr>
        <w:t xml:space="preserve">For </w:t>
      </w:r>
      <w:smartTag w:uri="urn:schemas-microsoft-com:office:smarttags" w:element="City">
        <w:smartTag w:uri="urn:schemas-microsoft-com:office:smarttags" w:element="place">
          <w:r w:rsidRPr="00AC4D46">
            <w:rPr>
              <w:rFonts w:ascii="Arial" w:hAnsi="Arial" w:cs="Arial"/>
              <w:b/>
              <w:sz w:val="22"/>
              <w:szCs w:val="22"/>
            </w:rPr>
            <w:t>Cheshire</w:t>
          </w:r>
        </w:smartTag>
      </w:smartTag>
      <w:r w:rsidRPr="00AC4D46">
        <w:rPr>
          <w:rFonts w:ascii="Arial" w:hAnsi="Arial" w:cs="Arial"/>
          <w:b/>
          <w:sz w:val="22"/>
          <w:szCs w:val="22"/>
        </w:rPr>
        <w:t xml:space="preserve"> only: total claim vale and volume for cds7 claim between October 2010 &amp; September 2011</w:t>
      </w:r>
    </w:p>
    <w:p w:rsidR="008030D9" w:rsidRPr="00AC4D46" w:rsidRDefault="008030D9" w:rsidP="00AC4D46">
      <w:pPr>
        <w:ind w:left="720"/>
        <w:rPr>
          <w:rFonts w:ascii="Arial" w:hAnsi="Arial" w:cs="Arial"/>
          <w:b/>
          <w:sz w:val="22"/>
          <w:szCs w:val="22"/>
        </w:rPr>
      </w:pPr>
      <w:r w:rsidRPr="00AC4D46">
        <w:rPr>
          <w:rFonts w:ascii="Arial" w:hAnsi="Arial" w:cs="Arial"/>
          <w:b/>
          <w:sz w:val="22"/>
          <w:szCs w:val="22"/>
        </w:rPr>
        <w:t>And same from October 2011 to September 2012</w:t>
      </w:r>
    </w:p>
    <w:p w:rsidR="008030D9" w:rsidRPr="00AC4D46" w:rsidRDefault="008030D9" w:rsidP="00AC4D46">
      <w:pPr>
        <w:ind w:left="720"/>
        <w:rPr>
          <w:rFonts w:ascii="Arial" w:hAnsi="Arial" w:cs="Arial"/>
          <w:b/>
          <w:sz w:val="22"/>
          <w:szCs w:val="22"/>
        </w:rPr>
      </w:pPr>
      <w:r w:rsidRPr="00AC4D46">
        <w:rPr>
          <w:rFonts w:ascii="Arial" w:hAnsi="Arial" w:cs="Arial"/>
          <w:b/>
          <w:sz w:val="22"/>
          <w:szCs w:val="22"/>
        </w:rPr>
        <w:t>And from October 2012 to date.  </w:t>
      </w:r>
    </w:p>
    <w:p w:rsidR="008030D9" w:rsidRDefault="008030D9" w:rsidP="00AC4D46">
      <w:pPr>
        <w:ind w:left="720"/>
        <w:rPr>
          <w:rFonts w:ascii="Arial" w:hAnsi="Arial" w:cs="Arial"/>
          <w:b/>
          <w:bCs/>
          <w:color w:val="FF0000"/>
          <w:sz w:val="22"/>
          <w:szCs w:val="22"/>
        </w:rPr>
      </w:pPr>
    </w:p>
    <w:p w:rsidR="008030D9" w:rsidRDefault="008030D9" w:rsidP="00801114">
      <w:pPr>
        <w:rPr>
          <w:rFonts w:ascii="Arial" w:hAnsi="Arial" w:cs="Arial"/>
          <w:bCs/>
          <w:sz w:val="22"/>
          <w:szCs w:val="22"/>
        </w:rPr>
      </w:pPr>
      <w:r>
        <w:rPr>
          <w:rFonts w:ascii="Arial" w:hAnsi="Arial" w:cs="Arial"/>
          <w:bCs/>
          <w:sz w:val="22"/>
          <w:szCs w:val="22"/>
        </w:rPr>
        <w:t>I am pleased to confirm that the MoJ holds this information which is contained within the table below:</w:t>
      </w:r>
    </w:p>
    <w:p w:rsidR="008030D9" w:rsidRDefault="008030D9" w:rsidP="00AC4D46">
      <w:pPr>
        <w:ind w:left="720"/>
        <w:rPr>
          <w:rFonts w:ascii="Arial" w:hAnsi="Arial" w:cs="Arial"/>
          <w:b/>
          <w:bCs/>
          <w:color w:val="FF0000"/>
          <w:sz w:val="22"/>
          <w:szCs w:val="22"/>
        </w:rPr>
      </w:pPr>
    </w:p>
    <w:tbl>
      <w:tblPr>
        <w:tblW w:w="6180" w:type="dxa"/>
        <w:tblInd w:w="612" w:type="dxa"/>
        <w:tblCellMar>
          <w:left w:w="0" w:type="dxa"/>
          <w:right w:w="0" w:type="dxa"/>
        </w:tblCellMar>
        <w:tblLook w:val="00A0"/>
      </w:tblPr>
      <w:tblGrid>
        <w:gridCol w:w="2420"/>
        <w:gridCol w:w="1880"/>
        <w:gridCol w:w="1880"/>
      </w:tblGrid>
      <w:tr w:rsidR="008030D9" w:rsidRPr="00801114" w:rsidTr="00801114">
        <w:trPr>
          <w:trHeight w:val="315"/>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CDS7</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801114">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c>
          <w:tcPr>
            <w:tcW w:w="1880" w:type="dxa"/>
            <w:noWrap/>
            <w:tcMar>
              <w:top w:w="0" w:type="dxa"/>
              <w:left w:w="108" w:type="dxa"/>
              <w:bottom w:w="0" w:type="dxa"/>
              <w:right w:w="108" w:type="dxa"/>
            </w:tcMar>
            <w:vAlign w:val="bottom"/>
          </w:tcPr>
          <w:p w:rsidR="008030D9" w:rsidRPr="00801114" w:rsidRDefault="008030D9">
            <w:pPr>
              <w:rPr>
                <w:rFonts w:ascii="Arial" w:hAnsi="Arial" w:cs="Arial"/>
              </w:rPr>
            </w:pPr>
          </w:p>
        </w:tc>
      </w:tr>
      <w:tr w:rsidR="008030D9" w:rsidRPr="00801114" w:rsidTr="00801114">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Period</w:t>
            </w:r>
          </w:p>
        </w:tc>
        <w:tc>
          <w:tcPr>
            <w:tcW w:w="1880" w:type="dxa"/>
            <w:noWrap/>
            <w:tcMar>
              <w:top w:w="0" w:type="dxa"/>
              <w:left w:w="108" w:type="dxa"/>
              <w:bottom w:w="0" w:type="dxa"/>
              <w:right w:w="108" w:type="dxa"/>
            </w:tcMar>
            <w:vAlign w:val="bottom"/>
          </w:tcPr>
          <w:p w:rsidR="008030D9" w:rsidRPr="00801114" w:rsidRDefault="008030D9" w:rsidP="00801114">
            <w:pPr>
              <w:jc w:val="right"/>
              <w:rPr>
                <w:rFonts w:ascii="Arial" w:hAnsi="Arial" w:cs="Arial"/>
                <w:b/>
                <w:bCs/>
                <w:color w:val="000000"/>
              </w:rPr>
            </w:pPr>
            <w:r w:rsidRPr="00801114">
              <w:rPr>
                <w:rFonts w:ascii="Arial" w:hAnsi="Arial" w:cs="Arial"/>
                <w:b/>
                <w:bCs/>
                <w:color w:val="000000"/>
                <w:sz w:val="22"/>
                <w:szCs w:val="22"/>
              </w:rPr>
              <w:t>Volume of claims</w:t>
            </w:r>
          </w:p>
        </w:tc>
        <w:tc>
          <w:tcPr>
            <w:tcW w:w="1880" w:type="dxa"/>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Value of Claims</w:t>
            </w:r>
          </w:p>
        </w:tc>
      </w:tr>
      <w:tr w:rsidR="008030D9" w:rsidRPr="00801114" w:rsidTr="00801114">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10 - Sep 11</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206</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£360,743.83</w:t>
            </w:r>
          </w:p>
        </w:tc>
      </w:tr>
      <w:tr w:rsidR="008030D9" w:rsidRPr="00801114" w:rsidTr="00801114">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11 - Sep 12</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131</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£216,023.93</w:t>
            </w:r>
          </w:p>
        </w:tc>
      </w:tr>
      <w:tr w:rsidR="008030D9" w:rsidRPr="00801114" w:rsidTr="00801114">
        <w:trPr>
          <w:trHeight w:val="300"/>
        </w:trPr>
        <w:tc>
          <w:tcPr>
            <w:tcW w:w="2420" w:type="dxa"/>
            <w:noWrap/>
            <w:tcMar>
              <w:top w:w="0" w:type="dxa"/>
              <w:left w:w="108" w:type="dxa"/>
              <w:bottom w:w="0" w:type="dxa"/>
              <w:right w:w="108" w:type="dxa"/>
            </w:tcMar>
            <w:vAlign w:val="bottom"/>
          </w:tcPr>
          <w:p w:rsidR="008030D9" w:rsidRPr="00801114" w:rsidRDefault="008030D9">
            <w:pPr>
              <w:rPr>
                <w:rFonts w:ascii="Arial" w:hAnsi="Arial" w:cs="Arial"/>
                <w:color w:val="000000"/>
              </w:rPr>
            </w:pPr>
            <w:r w:rsidRPr="00801114">
              <w:rPr>
                <w:rFonts w:ascii="Arial" w:hAnsi="Arial" w:cs="Arial"/>
                <w:color w:val="000000"/>
                <w:sz w:val="22"/>
                <w:szCs w:val="22"/>
              </w:rPr>
              <w:t>Oct 12 to date</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80</w:t>
            </w:r>
          </w:p>
        </w:tc>
        <w:tc>
          <w:tcPr>
            <w:tcW w:w="1880" w:type="dxa"/>
            <w:noWrap/>
            <w:tcMar>
              <w:top w:w="0" w:type="dxa"/>
              <w:left w:w="108" w:type="dxa"/>
              <w:bottom w:w="0" w:type="dxa"/>
              <w:right w:w="108" w:type="dxa"/>
            </w:tcMar>
            <w:vAlign w:val="bottom"/>
          </w:tcPr>
          <w:p w:rsidR="008030D9" w:rsidRPr="00801114" w:rsidRDefault="008030D9">
            <w:pPr>
              <w:jc w:val="right"/>
              <w:rPr>
                <w:rFonts w:ascii="Arial" w:hAnsi="Arial" w:cs="Arial"/>
                <w:color w:val="000000"/>
              </w:rPr>
            </w:pPr>
            <w:r w:rsidRPr="00801114">
              <w:rPr>
                <w:rFonts w:ascii="Arial" w:hAnsi="Arial" w:cs="Arial"/>
                <w:color w:val="000000"/>
                <w:sz w:val="22"/>
                <w:szCs w:val="22"/>
              </w:rPr>
              <w:t>£124,641.42</w:t>
            </w:r>
          </w:p>
        </w:tc>
      </w:tr>
      <w:tr w:rsidR="008030D9" w:rsidRPr="00801114" w:rsidTr="00801114">
        <w:trPr>
          <w:trHeight w:val="300"/>
        </w:trPr>
        <w:tc>
          <w:tcPr>
            <w:tcW w:w="242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rPr>
                <w:rFonts w:ascii="Arial" w:hAnsi="Arial" w:cs="Arial"/>
                <w:b/>
                <w:bCs/>
                <w:color w:val="000000"/>
              </w:rPr>
            </w:pPr>
            <w:r w:rsidRPr="00801114">
              <w:rPr>
                <w:rFonts w:ascii="Arial" w:hAnsi="Arial" w:cs="Arial"/>
                <w:b/>
                <w:bCs/>
                <w:color w:val="000000"/>
                <w:sz w:val="22"/>
                <w:szCs w:val="22"/>
              </w:rPr>
              <w:t> </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417</w:t>
            </w:r>
          </w:p>
        </w:tc>
        <w:tc>
          <w:tcPr>
            <w:tcW w:w="1880"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r w:rsidRPr="00801114">
              <w:rPr>
                <w:rFonts w:ascii="Arial" w:hAnsi="Arial" w:cs="Arial"/>
                <w:b/>
                <w:bCs/>
                <w:color w:val="000000"/>
                <w:sz w:val="22"/>
                <w:szCs w:val="22"/>
              </w:rPr>
              <w:t>£701,409.18</w:t>
            </w:r>
          </w:p>
        </w:tc>
      </w:tr>
      <w:tr w:rsidR="008030D9" w:rsidRPr="00801114" w:rsidTr="00801114">
        <w:trPr>
          <w:trHeight w:val="300"/>
        </w:trPr>
        <w:tc>
          <w:tcPr>
            <w:tcW w:w="242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p>
        </w:tc>
        <w:tc>
          <w:tcPr>
            <w:tcW w:w="1880" w:type="dxa"/>
            <w:tcBorders>
              <w:top w:val="single" w:sz="8" w:space="0" w:color="auto"/>
              <w:left w:val="nil"/>
              <w:bottom w:val="nil"/>
              <w:right w:val="nil"/>
            </w:tcBorders>
            <w:noWrap/>
            <w:tcMar>
              <w:top w:w="0" w:type="dxa"/>
              <w:left w:w="108" w:type="dxa"/>
              <w:bottom w:w="0" w:type="dxa"/>
              <w:right w:w="108" w:type="dxa"/>
            </w:tcMar>
            <w:vAlign w:val="bottom"/>
          </w:tcPr>
          <w:p w:rsidR="008030D9" w:rsidRPr="00801114" w:rsidRDefault="008030D9">
            <w:pPr>
              <w:jc w:val="right"/>
              <w:rPr>
                <w:rFonts w:ascii="Arial" w:hAnsi="Arial" w:cs="Arial"/>
                <w:b/>
                <w:bCs/>
                <w:color w:val="000000"/>
              </w:rPr>
            </w:pPr>
          </w:p>
        </w:tc>
      </w:tr>
    </w:tbl>
    <w:p w:rsidR="008030D9" w:rsidRDefault="008030D9" w:rsidP="00ED7C29">
      <w:pPr>
        <w:autoSpaceDE w:val="0"/>
        <w:autoSpaceDN w:val="0"/>
        <w:adjustRightInd w:val="0"/>
        <w:rPr>
          <w:rFonts w:ascii="Arial" w:hAnsi="Arial" w:cs="Arial"/>
          <w:color w:val="0000FF"/>
          <w:sz w:val="22"/>
          <w:szCs w:val="22"/>
        </w:rPr>
      </w:pPr>
    </w:p>
    <w:p w:rsidR="008030D9" w:rsidRPr="005B71A3" w:rsidRDefault="008030D9" w:rsidP="000B0EE2">
      <w:pPr>
        <w:spacing w:before="100" w:beforeAutospacing="1" w:after="100" w:afterAutospacing="1"/>
        <w:ind w:left="360"/>
        <w:rPr>
          <w:rFonts w:ascii="Arial" w:hAnsi="Arial" w:cs="Arial"/>
          <w:sz w:val="22"/>
          <w:szCs w:val="22"/>
        </w:rPr>
      </w:pPr>
    </w:p>
    <w:sectPr w:rsidR="008030D9" w:rsidRPr="005B71A3"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D9" w:rsidRDefault="008030D9">
      <w:r>
        <w:separator/>
      </w:r>
    </w:p>
  </w:endnote>
  <w:endnote w:type="continuationSeparator" w:id="0">
    <w:p w:rsidR="008030D9" w:rsidRDefault="00803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D9" w:rsidRPr="002179DD" w:rsidRDefault="008030D9" w:rsidP="002179DD">
    <w:pPr>
      <w:pStyle w:val="Footer"/>
      <w:jc w:val="cen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D9" w:rsidRDefault="008030D9">
      <w:r>
        <w:separator/>
      </w:r>
    </w:p>
  </w:footnote>
  <w:footnote w:type="continuationSeparator" w:id="0">
    <w:p w:rsidR="008030D9" w:rsidRDefault="008030D9">
      <w:r>
        <w:continuationSeparator/>
      </w:r>
    </w:p>
  </w:footnote>
  <w:footnote w:id="1">
    <w:p w:rsidR="008030D9" w:rsidRDefault="008030D9" w:rsidP="006A5439">
      <w:pPr>
        <w:pStyle w:val="FootnoteText"/>
      </w:pPr>
      <w:r>
        <w:rPr>
          <w:rStyle w:val="FootnoteReference"/>
        </w:rPr>
        <w:footnoteRef/>
      </w:r>
      <w:r>
        <w:t xml:space="preserve"> Available at </w:t>
      </w:r>
      <w:hyperlink r:id="rId1" w:history="1">
        <w:r w:rsidRPr="006A5439">
          <w:rPr>
            <w:rStyle w:val="Hyperlink"/>
          </w:rPr>
          <w:t>https://consult.justice.gov.uk/digital-communications/transforming-legal-aid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D20F0"/>
    <w:multiLevelType w:val="hybridMultilevel"/>
    <w:tmpl w:val="C3147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3A00DB"/>
    <w:multiLevelType w:val="hybridMultilevel"/>
    <w:tmpl w:val="08A4BD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A6057"/>
    <w:multiLevelType w:val="multilevel"/>
    <w:tmpl w:val="7E7614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4365A"/>
    <w:multiLevelType w:val="multilevel"/>
    <w:tmpl w:val="B37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4"/>
  </w:num>
  <w:num w:numId="5">
    <w:abstractNumId w:val="0"/>
  </w:num>
  <w:num w:numId="6">
    <w:abstractNumId w:val="10"/>
  </w:num>
  <w:num w:numId="7">
    <w:abstractNumId w:val="5"/>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107C5"/>
    <w:rsid w:val="0001094E"/>
    <w:rsid w:val="00010E79"/>
    <w:rsid w:val="00024D3B"/>
    <w:rsid w:val="000427CE"/>
    <w:rsid w:val="00043C1B"/>
    <w:rsid w:val="000538B7"/>
    <w:rsid w:val="00067292"/>
    <w:rsid w:val="00084CCE"/>
    <w:rsid w:val="000900D8"/>
    <w:rsid w:val="000A2BCA"/>
    <w:rsid w:val="000B0EE2"/>
    <w:rsid w:val="000B4197"/>
    <w:rsid w:val="000C5396"/>
    <w:rsid w:val="000D003A"/>
    <w:rsid w:val="00100ED1"/>
    <w:rsid w:val="00131AC2"/>
    <w:rsid w:val="00150A41"/>
    <w:rsid w:val="00175AD3"/>
    <w:rsid w:val="001A6C9B"/>
    <w:rsid w:val="001C27E9"/>
    <w:rsid w:val="001D01A8"/>
    <w:rsid w:val="001E02CB"/>
    <w:rsid w:val="001E43E6"/>
    <w:rsid w:val="002179DD"/>
    <w:rsid w:val="0022089E"/>
    <w:rsid w:val="00223AFD"/>
    <w:rsid w:val="00254BC4"/>
    <w:rsid w:val="00275C18"/>
    <w:rsid w:val="002F1759"/>
    <w:rsid w:val="0035240C"/>
    <w:rsid w:val="00377547"/>
    <w:rsid w:val="003A7271"/>
    <w:rsid w:val="003F0BBA"/>
    <w:rsid w:val="003F6C63"/>
    <w:rsid w:val="004026E6"/>
    <w:rsid w:val="00423B35"/>
    <w:rsid w:val="004253BB"/>
    <w:rsid w:val="0043092E"/>
    <w:rsid w:val="004411A3"/>
    <w:rsid w:val="00476C3E"/>
    <w:rsid w:val="004B18E3"/>
    <w:rsid w:val="004E1E12"/>
    <w:rsid w:val="004F3940"/>
    <w:rsid w:val="005114FB"/>
    <w:rsid w:val="005202DD"/>
    <w:rsid w:val="0055088F"/>
    <w:rsid w:val="00553EED"/>
    <w:rsid w:val="00555352"/>
    <w:rsid w:val="00571750"/>
    <w:rsid w:val="00585DDB"/>
    <w:rsid w:val="005A0CD8"/>
    <w:rsid w:val="005B71A3"/>
    <w:rsid w:val="005B7296"/>
    <w:rsid w:val="005C2AFE"/>
    <w:rsid w:val="005D0A14"/>
    <w:rsid w:val="005F43D2"/>
    <w:rsid w:val="006201B1"/>
    <w:rsid w:val="006269C1"/>
    <w:rsid w:val="006274FF"/>
    <w:rsid w:val="00672767"/>
    <w:rsid w:val="00672C95"/>
    <w:rsid w:val="006A0DBB"/>
    <w:rsid w:val="006A5439"/>
    <w:rsid w:val="006C5F8A"/>
    <w:rsid w:val="006C5FC3"/>
    <w:rsid w:val="006D3B7F"/>
    <w:rsid w:val="006E5656"/>
    <w:rsid w:val="00707F63"/>
    <w:rsid w:val="00725408"/>
    <w:rsid w:val="00730A3A"/>
    <w:rsid w:val="007546D3"/>
    <w:rsid w:val="00757374"/>
    <w:rsid w:val="007734D1"/>
    <w:rsid w:val="007817F6"/>
    <w:rsid w:val="00795E18"/>
    <w:rsid w:val="007F2CB3"/>
    <w:rsid w:val="00801114"/>
    <w:rsid w:val="008030D9"/>
    <w:rsid w:val="0081625B"/>
    <w:rsid w:val="00837883"/>
    <w:rsid w:val="00873CCB"/>
    <w:rsid w:val="00891414"/>
    <w:rsid w:val="008E7EA9"/>
    <w:rsid w:val="00905307"/>
    <w:rsid w:val="00905F6B"/>
    <w:rsid w:val="00921BD2"/>
    <w:rsid w:val="00924204"/>
    <w:rsid w:val="009476A6"/>
    <w:rsid w:val="009B624A"/>
    <w:rsid w:val="009C3847"/>
    <w:rsid w:val="009E501C"/>
    <w:rsid w:val="00A068C5"/>
    <w:rsid w:val="00A20FC5"/>
    <w:rsid w:val="00A26728"/>
    <w:rsid w:val="00A4070B"/>
    <w:rsid w:val="00A57446"/>
    <w:rsid w:val="00A64A8E"/>
    <w:rsid w:val="00A66233"/>
    <w:rsid w:val="00AA3A3A"/>
    <w:rsid w:val="00AB3DC4"/>
    <w:rsid w:val="00AC4D46"/>
    <w:rsid w:val="00AF6F11"/>
    <w:rsid w:val="00B16A60"/>
    <w:rsid w:val="00B27CC9"/>
    <w:rsid w:val="00B3394A"/>
    <w:rsid w:val="00B55A9E"/>
    <w:rsid w:val="00B60C11"/>
    <w:rsid w:val="00B658A6"/>
    <w:rsid w:val="00B67E0B"/>
    <w:rsid w:val="00B82B56"/>
    <w:rsid w:val="00BA1865"/>
    <w:rsid w:val="00BD57C3"/>
    <w:rsid w:val="00BF247F"/>
    <w:rsid w:val="00BF3923"/>
    <w:rsid w:val="00C03441"/>
    <w:rsid w:val="00C27387"/>
    <w:rsid w:val="00C45D89"/>
    <w:rsid w:val="00C619D8"/>
    <w:rsid w:val="00C8797E"/>
    <w:rsid w:val="00C90636"/>
    <w:rsid w:val="00C97F31"/>
    <w:rsid w:val="00CE34EE"/>
    <w:rsid w:val="00CE7106"/>
    <w:rsid w:val="00CF3E92"/>
    <w:rsid w:val="00CF776B"/>
    <w:rsid w:val="00D07032"/>
    <w:rsid w:val="00D310C6"/>
    <w:rsid w:val="00D31A00"/>
    <w:rsid w:val="00D4052C"/>
    <w:rsid w:val="00D5572F"/>
    <w:rsid w:val="00D570F2"/>
    <w:rsid w:val="00D71F9D"/>
    <w:rsid w:val="00D91C26"/>
    <w:rsid w:val="00DD1540"/>
    <w:rsid w:val="00DF4FFE"/>
    <w:rsid w:val="00DF5D6D"/>
    <w:rsid w:val="00E031F7"/>
    <w:rsid w:val="00E0591C"/>
    <w:rsid w:val="00E1544C"/>
    <w:rsid w:val="00E22ABE"/>
    <w:rsid w:val="00E36BAC"/>
    <w:rsid w:val="00E67018"/>
    <w:rsid w:val="00EA393A"/>
    <w:rsid w:val="00EA5F14"/>
    <w:rsid w:val="00ED7C29"/>
    <w:rsid w:val="00EE38B2"/>
    <w:rsid w:val="00EE5B16"/>
    <w:rsid w:val="00F05B42"/>
    <w:rsid w:val="00F1238C"/>
    <w:rsid w:val="00F35B4A"/>
    <w:rsid w:val="00F546E6"/>
    <w:rsid w:val="00F83B68"/>
    <w:rsid w:val="00F949F0"/>
    <w:rsid w:val="00FA0C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1">
    <w:name w:val="heading 1"/>
    <w:basedOn w:val="Normal"/>
    <w:next w:val="Normal"/>
    <w:link w:val="Heading1Char"/>
    <w:uiPriority w:val="99"/>
    <w:qFormat/>
    <w:rsid w:val="005B71A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6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E5656"/>
    <w:rPr>
      <w:rFonts w:ascii="Cambria" w:hAnsi="Cambria" w:cs="Times New Roman"/>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6E5656"/>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6E5656"/>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6E5656"/>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22A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656"/>
    <w:rPr>
      <w:rFonts w:cs="Times New Roman"/>
      <w:sz w:val="2"/>
    </w:rPr>
  </w:style>
  <w:style w:type="paragraph" w:styleId="ListParagraph">
    <w:name w:val="List Paragraph"/>
    <w:basedOn w:val="Normal"/>
    <w:uiPriority w:val="99"/>
    <w:qFormat/>
    <w:rsid w:val="00A26728"/>
    <w:pPr>
      <w:ind w:left="720"/>
      <w:contextualSpacing/>
    </w:pPr>
  </w:style>
</w:styles>
</file>

<file path=word/webSettings.xml><?xml version="1.0" encoding="utf-8"?>
<w:webSettings xmlns:r="http://schemas.openxmlformats.org/officeDocument/2006/relationships" xmlns:w="http://schemas.openxmlformats.org/wordprocessingml/2006/main">
  <w:divs>
    <w:div w:id="273371438">
      <w:marLeft w:val="0"/>
      <w:marRight w:val="0"/>
      <w:marTop w:val="0"/>
      <w:marBottom w:val="0"/>
      <w:divBdr>
        <w:top w:val="none" w:sz="0" w:space="0" w:color="auto"/>
        <w:left w:val="none" w:sz="0" w:space="0" w:color="auto"/>
        <w:bottom w:val="none" w:sz="0" w:space="0" w:color="auto"/>
        <w:right w:val="none" w:sz="0" w:space="0" w:color="auto"/>
      </w:divBdr>
    </w:div>
    <w:div w:id="273371439">
      <w:marLeft w:val="0"/>
      <w:marRight w:val="0"/>
      <w:marTop w:val="0"/>
      <w:marBottom w:val="0"/>
      <w:divBdr>
        <w:top w:val="none" w:sz="0" w:space="0" w:color="auto"/>
        <w:left w:val="none" w:sz="0" w:space="0" w:color="auto"/>
        <w:bottom w:val="none" w:sz="0" w:space="0" w:color="auto"/>
        <w:right w:val="none" w:sz="0" w:space="0" w:color="auto"/>
      </w:divBdr>
    </w:div>
    <w:div w:id="273371440">
      <w:marLeft w:val="0"/>
      <w:marRight w:val="0"/>
      <w:marTop w:val="0"/>
      <w:marBottom w:val="0"/>
      <w:divBdr>
        <w:top w:val="none" w:sz="0" w:space="0" w:color="auto"/>
        <w:left w:val="none" w:sz="0" w:space="0" w:color="auto"/>
        <w:bottom w:val="none" w:sz="0" w:space="0" w:color="auto"/>
        <w:right w:val="none" w:sz="0" w:space="0" w:color="auto"/>
      </w:divBdr>
    </w:div>
    <w:div w:id="273371441">
      <w:marLeft w:val="0"/>
      <w:marRight w:val="0"/>
      <w:marTop w:val="0"/>
      <w:marBottom w:val="0"/>
      <w:divBdr>
        <w:top w:val="none" w:sz="0" w:space="0" w:color="auto"/>
        <w:left w:val="none" w:sz="0" w:space="0" w:color="auto"/>
        <w:bottom w:val="none" w:sz="0" w:space="0" w:color="auto"/>
        <w:right w:val="none" w:sz="0" w:space="0" w:color="auto"/>
      </w:divBdr>
    </w:div>
    <w:div w:id="273371442">
      <w:marLeft w:val="0"/>
      <w:marRight w:val="0"/>
      <w:marTop w:val="0"/>
      <w:marBottom w:val="0"/>
      <w:divBdr>
        <w:top w:val="none" w:sz="0" w:space="0" w:color="auto"/>
        <w:left w:val="none" w:sz="0" w:space="0" w:color="auto"/>
        <w:bottom w:val="none" w:sz="0" w:space="0" w:color="auto"/>
        <w:right w:val="none" w:sz="0" w:space="0" w:color="auto"/>
      </w:divBdr>
    </w:div>
    <w:div w:id="273371443">
      <w:marLeft w:val="0"/>
      <w:marRight w:val="0"/>
      <w:marTop w:val="0"/>
      <w:marBottom w:val="0"/>
      <w:divBdr>
        <w:top w:val="none" w:sz="0" w:space="0" w:color="auto"/>
        <w:left w:val="none" w:sz="0" w:space="0" w:color="auto"/>
        <w:bottom w:val="none" w:sz="0" w:space="0" w:color="auto"/>
        <w:right w:val="none" w:sz="0" w:space="0" w:color="auto"/>
      </w:divBdr>
    </w:div>
    <w:div w:id="273371444">
      <w:marLeft w:val="0"/>
      <w:marRight w:val="0"/>
      <w:marTop w:val="0"/>
      <w:marBottom w:val="0"/>
      <w:divBdr>
        <w:top w:val="none" w:sz="0" w:space="0" w:color="auto"/>
        <w:left w:val="none" w:sz="0" w:space="0" w:color="auto"/>
        <w:bottom w:val="none" w:sz="0" w:space="0" w:color="auto"/>
        <w:right w:val="none" w:sz="0" w:space="0" w:color="auto"/>
      </w:divBdr>
    </w:div>
    <w:div w:id="273371445">
      <w:marLeft w:val="0"/>
      <w:marRight w:val="0"/>
      <w:marTop w:val="0"/>
      <w:marBottom w:val="0"/>
      <w:divBdr>
        <w:top w:val="none" w:sz="0" w:space="0" w:color="auto"/>
        <w:left w:val="none" w:sz="0" w:space="0" w:color="auto"/>
        <w:bottom w:val="none" w:sz="0" w:space="0" w:color="auto"/>
        <w:right w:val="none" w:sz="0" w:space="0" w:color="auto"/>
      </w:divBdr>
    </w:div>
    <w:div w:id="273371446">
      <w:marLeft w:val="0"/>
      <w:marRight w:val="0"/>
      <w:marTop w:val="0"/>
      <w:marBottom w:val="0"/>
      <w:divBdr>
        <w:top w:val="none" w:sz="0" w:space="0" w:color="auto"/>
        <w:left w:val="none" w:sz="0" w:space="0" w:color="auto"/>
        <w:bottom w:val="none" w:sz="0" w:space="0" w:color="auto"/>
        <w:right w:val="none" w:sz="0" w:space="0" w:color="auto"/>
      </w:divBdr>
    </w:div>
    <w:div w:id="273371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justice.gov.uk/digital-communications/transforming-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590</Words>
  <Characters>3365</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legal aid: delivering a more credible and efficient system</dc:title>
  <dc:subject/>
  <dc:creator>MoJ</dc:creator>
  <cp:keywords>FOI, DNH, Data request, legal aid, LAA, system </cp:keywords>
  <dc:description/>
  <cp:lastModifiedBy>Sbariotakis</cp:lastModifiedBy>
  <cp:revision>4</cp:revision>
  <cp:lastPrinted>2013-06-14T19:00:00Z</cp:lastPrinted>
  <dcterms:created xsi:type="dcterms:W3CDTF">2013-09-20T11:49:00Z</dcterms:created>
  <dcterms:modified xsi:type="dcterms:W3CDTF">2013-09-26T09:46:00Z</dcterms:modified>
</cp:coreProperties>
</file>