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36" w:rsidRDefault="00A33836" w:rsidP="00A33836">
      <w:pPr>
        <w:spacing w:after="0"/>
        <w:ind w:left="-284"/>
        <w:rPr>
          <w:rFonts w:ascii="Helvetica-Bold" w:hAnsi="Helvetica-Bold" w:cs="Helvetica-Bold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616A9" wp14:editId="4FB006C8">
            <wp:simplePos x="0" y="0"/>
            <wp:positionH relativeFrom="column">
              <wp:posOffset>4034155</wp:posOffset>
            </wp:positionH>
            <wp:positionV relativeFrom="paragraph">
              <wp:posOffset>195580</wp:posOffset>
            </wp:positionV>
            <wp:extent cx="1938020" cy="112839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E6B01" wp14:editId="212BBF49">
            <wp:simplePos x="0" y="0"/>
            <wp:positionH relativeFrom="column">
              <wp:posOffset>2926715</wp:posOffset>
            </wp:positionH>
            <wp:positionV relativeFrom="paragraph">
              <wp:posOffset>55245</wp:posOffset>
            </wp:positionV>
            <wp:extent cx="1346835" cy="14420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954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922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36" w:rsidRDefault="00A33836" w:rsidP="00A33836">
      <w:pPr>
        <w:spacing w:after="0"/>
        <w:rPr>
          <w:rFonts w:ascii="Helvetica-Bold" w:hAnsi="Helvetica-Bold" w:cs="Helvetica-Bold"/>
          <w:bCs/>
        </w:rPr>
      </w:pPr>
    </w:p>
    <w:p w:rsidR="00A33836" w:rsidRPr="00A33836" w:rsidRDefault="00A33836" w:rsidP="00841DF2">
      <w:pPr>
        <w:pStyle w:val="Heading1"/>
        <w:rPr>
          <w:sz w:val="36"/>
          <w:szCs w:val="36"/>
        </w:rPr>
      </w:pPr>
      <w:bookmarkStart w:id="0" w:name="_Toc362428654"/>
      <w:r w:rsidRPr="00A33836">
        <w:rPr>
          <w:sz w:val="36"/>
          <w:szCs w:val="36"/>
        </w:rPr>
        <w:t>Consultation Response Form</w:t>
      </w:r>
      <w:bookmarkEnd w:id="0"/>
    </w:p>
    <w:p w:rsidR="00A33836" w:rsidRPr="008A1656" w:rsidRDefault="00A33836" w:rsidP="00A33836">
      <w:pPr>
        <w:spacing w:after="0"/>
        <w:rPr>
          <w:rFonts w:ascii="Helvetica-Bold" w:hAnsi="Helvetica-Bold" w:cs="Helvetica-Bold"/>
          <w:bCs/>
        </w:rPr>
      </w:pPr>
      <w:r w:rsidRPr="008A1656">
        <w:rPr>
          <w:rFonts w:ascii="Helvetica-Bold" w:hAnsi="Helvetica-Bold" w:cs="Helvetica-Bold"/>
          <w:bCs/>
        </w:rPr>
        <w:t xml:space="preserve">Please use the tables below as a template to respond to the consultation. It will help us to record and take account of your views. Where possible, please could you provide evidence to support your answers and </w:t>
      </w:r>
      <w:proofErr w:type="gramStart"/>
      <w:r w:rsidRPr="008A1656">
        <w:rPr>
          <w:rFonts w:ascii="Helvetica-Bold" w:hAnsi="Helvetica-Bold" w:cs="Helvetica-Bold"/>
          <w:bCs/>
        </w:rPr>
        <w:t>comments.</w:t>
      </w:r>
      <w:proofErr w:type="gramEnd"/>
    </w:p>
    <w:p w:rsidR="00A33836" w:rsidRDefault="00A33836" w:rsidP="00A33836">
      <w:pPr>
        <w:spacing w:after="0"/>
        <w:rPr>
          <w:rFonts w:ascii="Helvetica-Bold" w:hAnsi="Helvetica-Bold" w:cs="Helvetica-Bold"/>
          <w:b/>
          <w:bCs/>
          <w:color w:val="FFFFFF"/>
        </w:rPr>
      </w:pPr>
      <w:r>
        <w:rPr>
          <w:rFonts w:ascii="Helvetica-Bold" w:hAnsi="Helvetica-Bold" w:cs="Helvetica-Bold"/>
          <w:b/>
          <w:bCs/>
          <w:color w:val="FFFFFF"/>
        </w:rPr>
        <w:t>Please Return by 31July 2012 to:</w:t>
      </w:r>
    </w:p>
    <w:tbl>
      <w:tblPr>
        <w:tblW w:w="5000" w:type="pct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160"/>
        <w:gridCol w:w="1189"/>
        <w:gridCol w:w="2746"/>
        <w:gridCol w:w="2748"/>
      </w:tblGrid>
      <w:tr w:rsidR="00A33836" w:rsidRPr="008B5E14" w:rsidTr="00AB00A8">
        <w:tc>
          <w:tcPr>
            <w:tcW w:w="5000" w:type="pct"/>
            <w:gridSpan w:val="5"/>
            <w:shd w:val="clear" w:color="auto" w:fill="009EE3"/>
            <w:tcMar>
              <w:top w:w="113" w:type="dxa"/>
              <w:bottom w:w="113" w:type="dxa"/>
            </w:tcMar>
          </w:tcPr>
          <w:p w:rsidR="00A33836" w:rsidRDefault="00A33836" w:rsidP="00AB00A8">
            <w:pPr>
              <w:pStyle w:val="ConsulatationQuestionWhite"/>
              <w:rPr>
                <w:rStyle w:val="PantoneWhite"/>
                <w:sz w:val="20"/>
                <w:szCs w:val="20"/>
              </w:rPr>
            </w:pPr>
            <w:r>
              <w:rPr>
                <w:rStyle w:val="PantoneWhite"/>
                <w:sz w:val="20"/>
                <w:szCs w:val="20"/>
              </w:rPr>
              <w:t>Consultation</w:t>
            </w:r>
          </w:p>
        </w:tc>
      </w:tr>
      <w:tr w:rsidR="00A33836" w:rsidTr="00AB00A8">
        <w:trPr>
          <w:trHeight w:val="483"/>
        </w:trPr>
        <w:tc>
          <w:tcPr>
            <w:tcW w:w="5000" w:type="pct"/>
            <w:gridSpan w:val="5"/>
            <w:shd w:val="clear" w:color="auto" w:fill="CCECF9"/>
            <w:tcMar>
              <w:top w:w="113" w:type="dxa"/>
              <w:bottom w:w="113" w:type="dxa"/>
            </w:tcMar>
          </w:tcPr>
          <w:p w:rsidR="00A33836" w:rsidRPr="008F7F33" w:rsidRDefault="00A33836" w:rsidP="00AB00A8">
            <w:pPr>
              <w:pStyle w:val="TableText"/>
              <w:rPr>
                <w:b w:val="0"/>
                <w:color w:val="auto"/>
                <w:sz w:val="20"/>
                <w:szCs w:val="20"/>
              </w:rPr>
            </w:pPr>
            <w:r w:rsidRPr="008F7F33">
              <w:rPr>
                <w:rFonts w:ascii="Helvetica-Bold" w:hAnsi="Helvetica-Bold" w:cs="Helvetica-Bold"/>
                <w:b w:val="0"/>
                <w:bCs/>
                <w:color w:val="auto"/>
                <w:sz w:val="20"/>
                <w:szCs w:val="20"/>
              </w:rPr>
              <w:t>Amendments to UK greenhouse gas emissions trading scheme and national emissions inventory regulations</w:t>
            </w:r>
          </w:p>
        </w:tc>
      </w:tr>
      <w:tr w:rsidR="00A33836" w:rsidRPr="008B5E14" w:rsidTr="00AB00A8">
        <w:tc>
          <w:tcPr>
            <w:tcW w:w="5000" w:type="pct"/>
            <w:gridSpan w:val="5"/>
            <w:shd w:val="clear" w:color="auto" w:fill="009EE3"/>
            <w:tcMar>
              <w:top w:w="113" w:type="dxa"/>
              <w:bottom w:w="113" w:type="dxa"/>
            </w:tcMar>
          </w:tcPr>
          <w:p w:rsidR="00A33836" w:rsidRPr="008B5E14" w:rsidRDefault="00A33836" w:rsidP="00896E81">
            <w:pPr>
              <w:pStyle w:val="ConsulatationQuestionWhite"/>
              <w:rPr>
                <w:rStyle w:val="PantoneWhite"/>
                <w:rFonts w:ascii="Arial" w:hAnsi="Arial"/>
                <w:sz w:val="20"/>
                <w:szCs w:val="20"/>
              </w:rPr>
            </w:pPr>
            <w:r>
              <w:rPr>
                <w:rStyle w:val="PantoneWhite"/>
                <w:sz w:val="20"/>
                <w:szCs w:val="20"/>
              </w:rPr>
              <w:t>Please R</w:t>
            </w:r>
            <w:r w:rsidRPr="008B5E14">
              <w:rPr>
                <w:rStyle w:val="PantoneWhite"/>
                <w:sz w:val="20"/>
                <w:szCs w:val="20"/>
              </w:rPr>
              <w:t xml:space="preserve">eturn </w:t>
            </w:r>
            <w:r w:rsidRPr="00896E81">
              <w:rPr>
                <w:rStyle w:val="PantoneWhite"/>
                <w:color w:val="FFFFFF" w:themeColor="background1"/>
                <w:sz w:val="20"/>
                <w:szCs w:val="20"/>
              </w:rPr>
              <w:t xml:space="preserve">by </w:t>
            </w:r>
            <w:r w:rsidR="00896E81" w:rsidRPr="00896E81">
              <w:rPr>
                <w:rStyle w:val="PantoneWhite"/>
                <w:color w:val="FFFFFF" w:themeColor="background1"/>
                <w:sz w:val="20"/>
                <w:szCs w:val="20"/>
              </w:rPr>
              <w:t xml:space="preserve">19 </w:t>
            </w:r>
            <w:r w:rsidRPr="00896E81">
              <w:rPr>
                <w:rStyle w:val="PantoneWhite"/>
                <w:color w:val="FFFFFF" w:themeColor="background1"/>
                <w:sz w:val="20"/>
                <w:szCs w:val="20"/>
              </w:rPr>
              <w:t xml:space="preserve">September </w:t>
            </w:r>
            <w:r w:rsidRPr="00F94659">
              <w:rPr>
                <w:rStyle w:val="PantoneWhite"/>
                <w:color w:val="FFFFFF" w:themeColor="background1"/>
                <w:sz w:val="20"/>
                <w:szCs w:val="20"/>
              </w:rPr>
              <w:t>2013</w:t>
            </w:r>
          </w:p>
        </w:tc>
      </w:tr>
      <w:tr w:rsidR="00A33836" w:rsidTr="00AB00A8">
        <w:trPr>
          <w:trHeight w:val="1073"/>
        </w:trPr>
        <w:tc>
          <w:tcPr>
            <w:tcW w:w="5000" w:type="pct"/>
            <w:gridSpan w:val="5"/>
            <w:shd w:val="clear" w:color="auto" w:fill="CCECF9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EU ETS Team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Department of Energy and Climate Change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Area 1A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3-8 Whitehall Place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London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SW1A 2AW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20"/>
                <w:szCs w:val="20"/>
              </w:rPr>
            </w:pPr>
            <w:r w:rsidRPr="008B5E14">
              <w:rPr>
                <w:rFonts w:ascii="Helvetica" w:hAnsi="Helvetica" w:cs="Helvetica"/>
                <w:sz w:val="20"/>
                <w:szCs w:val="20"/>
              </w:rPr>
              <w:t>You can also submit this form by email:</w:t>
            </w:r>
          </w:p>
          <w:p w:rsidR="00A33836" w:rsidRPr="008B5E14" w:rsidRDefault="00896E81" w:rsidP="00AB00A8">
            <w:pPr>
              <w:spacing w:after="0"/>
              <w:ind w:left="113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hyperlink r:id="rId9" w:history="1">
              <w:r w:rsidRPr="00F5494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euets.consultation@decc.gsi.gov.uk</w:t>
              </w:r>
            </w:hyperlink>
            <w:r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</w:p>
          <w:p w:rsidR="00A33836" w:rsidRPr="00F17DBC" w:rsidRDefault="00A33836" w:rsidP="00AB00A8">
            <w:pPr>
              <w:pStyle w:val="TableText"/>
              <w:rPr>
                <w:b w:val="0"/>
              </w:rPr>
            </w:pPr>
          </w:p>
        </w:tc>
      </w:tr>
      <w:tr w:rsidR="00A33836" w:rsidRPr="008B5E14" w:rsidTr="00AB00A8">
        <w:tc>
          <w:tcPr>
            <w:tcW w:w="5000" w:type="pct"/>
            <w:gridSpan w:val="5"/>
            <w:shd w:val="clear" w:color="auto" w:fill="009EE3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pStyle w:val="ConsulatationQuestionWhite"/>
              <w:rPr>
                <w:rStyle w:val="PantoneWhite"/>
                <w:rFonts w:ascii="Arial" w:hAnsi="Arial"/>
                <w:sz w:val="20"/>
                <w:szCs w:val="20"/>
              </w:rPr>
            </w:pPr>
            <w:r w:rsidRPr="008B5E14">
              <w:rPr>
                <w:rStyle w:val="PantoneWhite"/>
                <w:sz w:val="20"/>
                <w:szCs w:val="20"/>
              </w:rPr>
              <w:t xml:space="preserve">Respondent from Northern Ireland, Scotland and Wales please copy responses to: </w:t>
            </w:r>
          </w:p>
        </w:tc>
      </w:tr>
      <w:tr w:rsidR="00A33836" w:rsidTr="00AB00A8">
        <w:trPr>
          <w:trHeight w:val="1073"/>
        </w:trPr>
        <w:tc>
          <w:tcPr>
            <w:tcW w:w="1963" w:type="pct"/>
            <w:gridSpan w:val="3"/>
            <w:shd w:val="clear" w:color="auto" w:fill="CCECF9"/>
            <w:tcMar>
              <w:top w:w="113" w:type="dxa"/>
              <w:bottom w:w="113" w:type="dxa"/>
            </w:tcMar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8B5E14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Northern Ireland: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Christopher McWilliams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Environmental Policy Division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Department of the Environment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6th Floor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8B5E14">
              <w:rPr>
                <w:rFonts w:ascii="Helvetica" w:hAnsi="Helvetica" w:cs="Helvetica"/>
                <w:sz w:val="18"/>
                <w:szCs w:val="18"/>
              </w:rPr>
              <w:t>Goodwood</w:t>
            </w:r>
            <w:proofErr w:type="spellEnd"/>
            <w:r w:rsidRPr="008B5E14">
              <w:rPr>
                <w:rFonts w:ascii="Helvetica" w:hAnsi="Helvetica" w:cs="Helvetica"/>
                <w:sz w:val="18"/>
                <w:szCs w:val="18"/>
              </w:rPr>
              <w:t xml:space="preserve"> House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44-48 May Street</w:t>
            </w: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Belfast BT1 4NN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  <w:p w:rsidR="00A33836" w:rsidRPr="008B5E14" w:rsidRDefault="00896E81" w:rsidP="00AB00A8">
            <w:pPr>
              <w:spacing w:after="0"/>
              <w:ind w:left="113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hyperlink r:id="rId10" w:history="1">
              <w:r w:rsidRPr="00F54949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chris.mcwilliams@doeni.gov.uk</w:t>
              </w:r>
            </w:hyperlink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CCECF9"/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8B5E14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Scotland: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Climate Change Division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Scottish Government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1G Dockside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Victoria Quay</w:t>
            </w: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 w:rsidRPr="008B5E14">
              <w:rPr>
                <w:rFonts w:ascii="Helvetica" w:hAnsi="Helvetica" w:cs="Helvetica"/>
                <w:sz w:val="18"/>
                <w:szCs w:val="18"/>
              </w:rPr>
              <w:t>Edinburgh EH6 6QQ</w:t>
            </w: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  <w:p w:rsidR="00A33836" w:rsidRPr="008B5E14" w:rsidRDefault="00896E81" w:rsidP="00AB00A8">
            <w:pPr>
              <w:spacing w:after="0"/>
              <w:ind w:left="113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hyperlink r:id="rId11" w:history="1">
              <w:r w:rsidRPr="00F54949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euets@scotland.gsi.gov.uk</w:t>
              </w:r>
            </w:hyperlink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19" w:type="pct"/>
            <w:shd w:val="clear" w:color="auto" w:fill="CCECF9"/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Wales</w:t>
            </w:r>
            <w:r w:rsidRPr="008B5E14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: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Climate </w:t>
            </w:r>
            <w:r w:rsidRPr="008B5E14">
              <w:rPr>
                <w:rFonts w:ascii="Helvetica" w:hAnsi="Helvetica" w:cs="Helvetica"/>
                <w:sz w:val="18"/>
                <w:szCs w:val="18"/>
              </w:rPr>
              <w:t xml:space="preserve">Change </w:t>
            </w:r>
            <w:r>
              <w:rPr>
                <w:rFonts w:ascii="Helvetica" w:hAnsi="Helvetica" w:cs="Helvetica"/>
                <w:sz w:val="18"/>
                <w:szCs w:val="18"/>
              </w:rPr>
              <w:t>Branch</w:t>
            </w: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Climate Change and Natural Resources Management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Welsh G</w:t>
            </w:r>
            <w:r w:rsidRPr="008B5E14">
              <w:rPr>
                <w:rFonts w:ascii="Helvetica" w:hAnsi="Helvetica" w:cs="Helvetica"/>
                <w:sz w:val="18"/>
                <w:szCs w:val="18"/>
              </w:rPr>
              <w:t>overnment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Cathays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Park</w:t>
            </w: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Cardiff, CF10</w:t>
            </w:r>
            <w:r w:rsidRPr="008B5E1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3NQ</w:t>
            </w:r>
          </w:p>
          <w:p w:rsidR="00A33836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  <w:p w:rsidR="00A33836" w:rsidRPr="008B5E14" w:rsidRDefault="00896E81" w:rsidP="00AB00A8">
            <w:pPr>
              <w:spacing w:after="0"/>
              <w:ind w:left="113"/>
              <w:rPr>
                <w:rFonts w:ascii="Helvetica" w:hAnsi="Helvetica" w:cs="Helvetica"/>
                <w:color w:val="0000FF"/>
                <w:sz w:val="18"/>
                <w:szCs w:val="18"/>
              </w:rPr>
            </w:pPr>
            <w:hyperlink r:id="rId12" w:history="1">
              <w:r w:rsidRPr="00F54949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Climate-change@Wales.gsi.gov.uk</w:t>
              </w:r>
            </w:hyperlink>
            <w:r>
              <w:rPr>
                <w:rFonts w:ascii="Helvetica" w:hAnsi="Helvetica" w:cs="Helvetica"/>
                <w:color w:val="0000FF"/>
                <w:sz w:val="18"/>
                <w:szCs w:val="18"/>
              </w:rPr>
              <w:t xml:space="preserve"> </w:t>
            </w:r>
          </w:p>
          <w:p w:rsidR="00A33836" w:rsidRPr="008B5E14" w:rsidRDefault="00A33836" w:rsidP="00AB00A8">
            <w:pPr>
              <w:spacing w:after="0"/>
              <w:ind w:left="113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33836" w:rsidRPr="008B5E14" w:rsidTr="00AB00A8">
        <w:tc>
          <w:tcPr>
            <w:tcW w:w="5000" w:type="pct"/>
            <w:gridSpan w:val="5"/>
            <w:shd w:val="clear" w:color="auto" w:fill="009EE3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pStyle w:val="ConsulatationQuestionWhite"/>
              <w:rPr>
                <w:rStyle w:val="PantoneWhite"/>
                <w:rFonts w:ascii="Arial" w:hAnsi="Arial"/>
                <w:sz w:val="20"/>
                <w:szCs w:val="20"/>
              </w:rPr>
            </w:pPr>
            <w:r>
              <w:rPr>
                <w:rStyle w:val="PantoneWhite"/>
                <w:sz w:val="20"/>
                <w:szCs w:val="20"/>
              </w:rPr>
              <w:t>Respondent Details</w:t>
            </w:r>
          </w:p>
        </w:tc>
      </w:tr>
      <w:tr w:rsidR="00A33836" w:rsidTr="00AB00A8">
        <w:trPr>
          <w:trHeight w:val="490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1073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419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457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Town/City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468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434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435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742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Default="00896E81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Would you like this response</w:t>
            </w:r>
            <w:r w:rsidR="00A33836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to remain confidential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Tr="00AB00A8">
        <w:trPr>
          <w:trHeight w:val="1073"/>
        </w:trPr>
        <w:tc>
          <w:tcPr>
            <w:tcW w:w="1306" w:type="pct"/>
            <w:gridSpan w:val="2"/>
            <w:shd w:val="clear" w:color="auto" w:fill="CCECF9"/>
            <w:tcMar>
              <w:top w:w="113" w:type="dxa"/>
              <w:bottom w:w="113" w:type="dxa"/>
            </w:tcMar>
          </w:tcPr>
          <w:p w:rsidR="00A33836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If yes please state your reason (this will help should we receive a request for information)</w:t>
            </w:r>
          </w:p>
        </w:tc>
        <w:tc>
          <w:tcPr>
            <w:tcW w:w="3694" w:type="pct"/>
            <w:gridSpan w:val="3"/>
            <w:shd w:val="clear" w:color="auto" w:fill="CCECF9"/>
          </w:tcPr>
          <w:p w:rsidR="00A33836" w:rsidRPr="008B5E14" w:rsidRDefault="00A33836" w:rsidP="00AB00A8">
            <w:pPr>
              <w:spacing w:after="0"/>
              <w:ind w:left="113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</w:tc>
      </w:tr>
      <w:tr w:rsidR="00A33836" w:rsidRPr="004520ED" w:rsidTr="00AB00A8">
        <w:tc>
          <w:tcPr>
            <w:tcW w:w="5000" w:type="pct"/>
            <w:gridSpan w:val="5"/>
            <w:shd w:val="clear" w:color="auto" w:fill="009EE3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ConsulatationQuestionWhite"/>
              <w:rPr>
                <w:rStyle w:val="PantoneWhite"/>
                <w:rFonts w:ascii="Arial" w:hAnsi="Arial"/>
                <w:sz w:val="20"/>
                <w:szCs w:val="20"/>
              </w:rPr>
            </w:pPr>
            <w:r w:rsidRPr="004520ED">
              <w:rPr>
                <w:rStyle w:val="PantoneWhite"/>
                <w:rFonts w:ascii="Arial" w:hAnsi="Arial"/>
                <w:sz w:val="20"/>
                <w:szCs w:val="20"/>
              </w:rPr>
              <w:t>Consultation Question</w:t>
            </w: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  <w:highlight w:val="yellow"/>
              </w:rPr>
            </w:pPr>
            <w:r w:rsidRPr="004520ED">
              <w:rPr>
                <w:sz w:val="20"/>
                <w:szCs w:val="20"/>
              </w:rPr>
              <w:t>1.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 you agree that the proposed amendments to Regulation 52: a) provide for a default civil penalty equal to the economic benefit gained from operating without a permit, with an additional percentage determined through Ministerial Direction; and b) make it clear that regulators are able to exercise discretion to waive or reduce penalties where they consider it appropriate to do so?</w:t>
            </w:r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  <w:highlight w:val="yellow"/>
              </w:rPr>
            </w:pPr>
            <w:r w:rsidRPr="004520ED">
              <w:rPr>
                <w:sz w:val="20"/>
                <w:szCs w:val="20"/>
              </w:rPr>
              <w:t>2.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 you agree with our proposed approach to extend the €20 tCO</w:t>
            </w:r>
            <w:r w:rsidRPr="004520ED">
              <w:rPr>
                <w:rFonts w:ascii="Arial Bold" w:hAnsi="Arial Bold"/>
                <w:sz w:val="20"/>
                <w:szCs w:val="20"/>
                <w:vertAlign w:val="subscript"/>
              </w:rPr>
              <w:t>2</w:t>
            </w:r>
            <w:r w:rsidRPr="004520ED">
              <w:rPr>
                <w:sz w:val="20"/>
                <w:szCs w:val="20"/>
              </w:rPr>
              <w:t xml:space="preserve"> penalty regime already in place for Phase III to operators that self-rectify under-reporting of emissions in previous years, and that the regulations as drafted give legal effect to it?</w:t>
            </w:r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  <w:highlight w:val="yellow"/>
              </w:rPr>
            </w:pPr>
            <w:r w:rsidRPr="004520ED">
              <w:rPr>
                <w:sz w:val="20"/>
                <w:szCs w:val="20"/>
              </w:rPr>
              <w:t>3.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Does the proposed drafting clarify that Regulators have the powers to reduce and waive civil penalties for breaches of the 2005 and Aviation Regulations in Phase III?</w:t>
            </w:r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 you agree that the powers of entry and inspection are unnecessary and that removing such powers will help to reduce the regulatory burden on businesses?</w:t>
            </w:r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5.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 you agree with our proposed approach to removing criminal penalties and establishing a regime comprising of civil penalties only?</w:t>
            </w:r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6.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 you consider that the First-tier Tribunal is the appropriate body to hear and determine appeals against decisions to issue a civil penalty for failure to provide inventory information?</w:t>
            </w:r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  <w:tr w:rsidR="00A33836" w:rsidRPr="004520ED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jc w:val="center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7.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>Do you consider that the General Regulatory Chamber Rules of the First-tier Tribunal will suit the handling of these appeals against decisions by the Secretary of State? If not, why not?</w:t>
            </w:r>
          </w:p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 w:rsidRPr="004520ED">
              <w:rPr>
                <w:sz w:val="20"/>
                <w:szCs w:val="20"/>
              </w:rPr>
              <w:t xml:space="preserve">The General Regulatory Chamber Rules may be found at: </w:t>
            </w:r>
            <w:hyperlink r:id="rId13" w:history="1">
              <w:r w:rsidRPr="004520ED">
                <w:rPr>
                  <w:rStyle w:val="Hyperlink"/>
                  <w:iCs/>
                  <w:sz w:val="20"/>
                  <w:szCs w:val="20"/>
                </w:rPr>
                <w:t>http://www.justice.gov.uk/guidance/courts-and-tribunals/tribunals/rules.htm</w:t>
              </w:r>
            </w:hyperlink>
            <w:bookmarkStart w:id="1" w:name="_GoBack"/>
            <w:bookmarkEnd w:id="1"/>
          </w:p>
        </w:tc>
      </w:tr>
      <w:tr w:rsidR="00A33836" w:rsidRPr="00385649" w:rsidTr="00AB00A8">
        <w:trPr>
          <w:trHeight w:val="1073"/>
        </w:trPr>
        <w:tc>
          <w:tcPr>
            <w:tcW w:w="665" w:type="pct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4335" w:type="pct"/>
            <w:gridSpan w:val="4"/>
            <w:shd w:val="clear" w:color="auto" w:fill="CCECF9"/>
            <w:tcMar>
              <w:top w:w="113" w:type="dxa"/>
              <w:bottom w:w="113" w:type="dxa"/>
            </w:tcMar>
          </w:tcPr>
          <w:p w:rsidR="00A33836" w:rsidRPr="004520ED" w:rsidRDefault="00A33836" w:rsidP="00AB00A8">
            <w:pPr>
              <w:pStyle w:val="TableText"/>
              <w:rPr>
                <w:sz w:val="20"/>
                <w:szCs w:val="20"/>
              </w:rPr>
            </w:pPr>
          </w:p>
        </w:tc>
      </w:tr>
    </w:tbl>
    <w:p w:rsidR="00435C85" w:rsidRDefault="00896E81"/>
    <w:sectPr w:rsidR="00435C85" w:rsidSect="00A3383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6"/>
    <w:rsid w:val="000F373E"/>
    <w:rsid w:val="00841DF2"/>
    <w:rsid w:val="00896E81"/>
    <w:rsid w:val="0099600B"/>
    <w:rsid w:val="00A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36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836"/>
    <w:pPr>
      <w:keepNext/>
      <w:spacing w:after="324"/>
      <w:outlineLvl w:val="0"/>
    </w:pPr>
    <w:rPr>
      <w:rFonts w:ascii="Arial Bold" w:hAnsi="Arial Bold"/>
      <w:b/>
      <w:bCs/>
      <w:color w:val="009EE3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A33836"/>
    <w:pPr>
      <w:spacing w:after="80"/>
      <w:ind w:left="113" w:right="113"/>
    </w:pPr>
    <w:rPr>
      <w:b/>
    </w:rPr>
  </w:style>
  <w:style w:type="character" w:customStyle="1" w:styleId="PantoneWhite">
    <w:name w:val="Pantone White"/>
    <w:uiPriority w:val="99"/>
    <w:rsid w:val="00A33836"/>
    <w:rPr>
      <w:color w:val="FFFFFF"/>
    </w:rPr>
  </w:style>
  <w:style w:type="paragraph" w:customStyle="1" w:styleId="ConsulatationQuestionWhite">
    <w:name w:val="Consulatation Question White"/>
    <w:basedOn w:val="Normal"/>
    <w:uiPriority w:val="99"/>
    <w:rsid w:val="00A33836"/>
    <w:pPr>
      <w:spacing w:after="0"/>
      <w:ind w:left="113" w:right="113"/>
    </w:pPr>
    <w:rPr>
      <w:rFonts w:ascii="Arial Bold" w:hAnsi="Arial Bold"/>
      <w:b/>
      <w:color w:val="FFFFFF"/>
    </w:rPr>
  </w:style>
  <w:style w:type="character" w:styleId="Hyperlink">
    <w:name w:val="Hyperlink"/>
    <w:basedOn w:val="DefaultParagraphFont"/>
    <w:uiPriority w:val="99"/>
    <w:rsid w:val="00A338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36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33836"/>
    <w:rPr>
      <w:rFonts w:ascii="Arial Bold" w:eastAsia="Times New Roman" w:hAnsi="Arial Bold" w:cs="Arial"/>
      <w:b/>
      <w:bCs/>
      <w:color w:val="009EE3"/>
      <w:kern w:val="32"/>
      <w:sz w:val="44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36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836"/>
    <w:pPr>
      <w:keepNext/>
      <w:spacing w:after="324"/>
      <w:outlineLvl w:val="0"/>
    </w:pPr>
    <w:rPr>
      <w:rFonts w:ascii="Arial Bold" w:hAnsi="Arial Bold"/>
      <w:b/>
      <w:bCs/>
      <w:color w:val="009EE3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A33836"/>
    <w:pPr>
      <w:spacing w:after="80"/>
      <w:ind w:left="113" w:right="113"/>
    </w:pPr>
    <w:rPr>
      <w:b/>
    </w:rPr>
  </w:style>
  <w:style w:type="character" w:customStyle="1" w:styleId="PantoneWhite">
    <w:name w:val="Pantone White"/>
    <w:uiPriority w:val="99"/>
    <w:rsid w:val="00A33836"/>
    <w:rPr>
      <w:color w:val="FFFFFF"/>
    </w:rPr>
  </w:style>
  <w:style w:type="paragraph" w:customStyle="1" w:styleId="ConsulatationQuestionWhite">
    <w:name w:val="Consulatation Question White"/>
    <w:basedOn w:val="Normal"/>
    <w:uiPriority w:val="99"/>
    <w:rsid w:val="00A33836"/>
    <w:pPr>
      <w:spacing w:after="0"/>
      <w:ind w:left="113" w:right="113"/>
    </w:pPr>
    <w:rPr>
      <w:rFonts w:ascii="Arial Bold" w:hAnsi="Arial Bold"/>
      <w:b/>
      <w:color w:val="FFFFFF"/>
    </w:rPr>
  </w:style>
  <w:style w:type="character" w:styleId="Hyperlink">
    <w:name w:val="Hyperlink"/>
    <w:basedOn w:val="DefaultParagraphFont"/>
    <w:uiPriority w:val="99"/>
    <w:rsid w:val="00A338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36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A33836"/>
    <w:rPr>
      <w:rFonts w:ascii="Arial Bold" w:eastAsia="Times New Roman" w:hAnsi="Arial Bold" w:cs="Arial"/>
      <w:b/>
      <w:bCs/>
      <w:color w:val="009EE3"/>
      <w:kern w:val="32"/>
      <w:sz w:val="4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justice.gov.uk/guidance/courts-and-tribunals/tribunals/rul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limate-change@Wales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uets@scotland.gsi.gov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hris.mcwilliams@doen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ets.consultation@decc.gsi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233C215C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Zarri Michele (Heat &amp; Industry)</dc:creator>
  <cp:lastModifiedBy>McKie Ben (Heat &amp; Industry)</cp:lastModifiedBy>
  <cp:revision>2</cp:revision>
  <dcterms:created xsi:type="dcterms:W3CDTF">2013-08-07T09:01:00Z</dcterms:created>
  <dcterms:modified xsi:type="dcterms:W3CDTF">2013-08-07T09:01:00Z</dcterms:modified>
</cp:coreProperties>
</file>