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2CA" w:rsidRPr="00AB4D4E" w:rsidRDefault="000B42CA" w:rsidP="00B938E5">
      <w:pPr>
        <w:rPr>
          <w:rFonts w:cs="Times New Roman"/>
          <w:b/>
          <w:bCs/>
          <w:sz w:val="22"/>
          <w:szCs w:val="22"/>
          <w:u w:val="single"/>
        </w:rPr>
      </w:pPr>
      <w:bookmarkStart w:id="0" w:name="_GoBack"/>
      <w:bookmarkEnd w:id="0"/>
      <w:r w:rsidRPr="00AB4D4E">
        <w:rPr>
          <w:b/>
          <w:bCs/>
          <w:sz w:val="22"/>
          <w:szCs w:val="22"/>
          <w:u w:val="single"/>
        </w:rPr>
        <w:t xml:space="preserve">Data included in the PHOF update publication – </w:t>
      </w:r>
      <w:r w:rsidR="008870EC">
        <w:rPr>
          <w:b/>
          <w:bCs/>
          <w:sz w:val="22"/>
          <w:szCs w:val="22"/>
          <w:u w:val="single"/>
        </w:rPr>
        <w:t>Tuesday 6</w:t>
      </w:r>
      <w:r>
        <w:rPr>
          <w:b/>
          <w:bCs/>
          <w:sz w:val="22"/>
          <w:szCs w:val="22"/>
          <w:u w:val="single"/>
        </w:rPr>
        <w:t xml:space="preserve"> </w:t>
      </w:r>
      <w:r w:rsidR="008870EC">
        <w:rPr>
          <w:b/>
          <w:bCs/>
          <w:sz w:val="22"/>
          <w:szCs w:val="22"/>
          <w:u w:val="single"/>
        </w:rPr>
        <w:t xml:space="preserve">August </w:t>
      </w:r>
      <w:r w:rsidRPr="00AB4D4E">
        <w:rPr>
          <w:b/>
          <w:bCs/>
          <w:sz w:val="22"/>
          <w:szCs w:val="22"/>
          <w:u w:val="single"/>
        </w:rPr>
        <w:t>2013</w:t>
      </w:r>
    </w:p>
    <w:p w:rsidR="000B42CA" w:rsidRPr="00AB4D4E" w:rsidRDefault="000B42CA" w:rsidP="00B938E5">
      <w:pPr>
        <w:rPr>
          <w:rFonts w:cs="Times New Roman"/>
          <w:sz w:val="22"/>
          <w:szCs w:val="22"/>
        </w:rPr>
      </w:pPr>
    </w:p>
    <w:p w:rsidR="000B42CA" w:rsidRPr="00AB4D4E" w:rsidRDefault="000B42CA" w:rsidP="00B938E5">
      <w:pPr>
        <w:rPr>
          <w:rStyle w:val="Hyperlink"/>
          <w:color w:val="000000"/>
          <w:sz w:val="22"/>
          <w:szCs w:val="22"/>
          <w:u w:val="none"/>
        </w:rPr>
      </w:pPr>
      <w:r w:rsidRPr="00AB4D4E">
        <w:rPr>
          <w:sz w:val="22"/>
          <w:szCs w:val="22"/>
        </w:rPr>
        <w:t xml:space="preserve">Data for the indicators listed below has been added to the PHOF data tool </w:t>
      </w:r>
      <w:r w:rsidRPr="00AB4D4E">
        <w:rPr>
          <w:rStyle w:val="Hyperlink"/>
          <w:color w:val="000000"/>
          <w:sz w:val="22"/>
          <w:szCs w:val="22"/>
          <w:u w:val="none"/>
        </w:rPr>
        <w:t xml:space="preserve">at England and Upper Tier Local Authority level as part of the </w:t>
      </w:r>
      <w:r w:rsidR="008870EC">
        <w:rPr>
          <w:rStyle w:val="Hyperlink"/>
          <w:color w:val="000000"/>
          <w:sz w:val="22"/>
          <w:szCs w:val="22"/>
          <w:u w:val="none"/>
        </w:rPr>
        <w:t xml:space="preserve">August </w:t>
      </w:r>
      <w:r w:rsidRPr="00AB4D4E">
        <w:rPr>
          <w:rStyle w:val="Hyperlink"/>
          <w:color w:val="000000"/>
          <w:sz w:val="22"/>
          <w:szCs w:val="22"/>
          <w:u w:val="none"/>
        </w:rPr>
        <w:t>update - see</w:t>
      </w:r>
      <w:r w:rsidRPr="00AB4D4E">
        <w:rPr>
          <w:sz w:val="22"/>
          <w:szCs w:val="22"/>
        </w:rPr>
        <w:t xml:space="preserve"> </w:t>
      </w:r>
      <w:hyperlink r:id="rId5" w:history="1">
        <w:r w:rsidRPr="00AB4D4E">
          <w:rPr>
            <w:rStyle w:val="Hyperlink"/>
            <w:sz w:val="22"/>
            <w:szCs w:val="22"/>
          </w:rPr>
          <w:t>www.phoutcomes.info</w:t>
        </w:r>
      </w:hyperlink>
      <w:r w:rsidRPr="00AB4D4E">
        <w:rPr>
          <w:rStyle w:val="Hyperlink"/>
          <w:color w:val="000000"/>
          <w:sz w:val="22"/>
          <w:szCs w:val="22"/>
          <w:u w:val="none"/>
        </w:rPr>
        <w:t>.</w:t>
      </w:r>
    </w:p>
    <w:p w:rsidR="000B42CA" w:rsidRPr="00AB4D4E" w:rsidRDefault="000B42CA" w:rsidP="00B938E5">
      <w:pPr>
        <w:rPr>
          <w:rStyle w:val="Hyperlink"/>
          <w:rFonts w:cs="Times New Roman"/>
          <w:color w:val="000000"/>
          <w:sz w:val="22"/>
          <w:szCs w:val="22"/>
          <w:u w:val="none"/>
        </w:rPr>
      </w:pPr>
    </w:p>
    <w:p w:rsidR="000B42CA" w:rsidRPr="00AB4D4E" w:rsidRDefault="000B42CA" w:rsidP="00B938E5">
      <w:pPr>
        <w:rPr>
          <w:rFonts w:cs="Times New Roman"/>
          <w:i/>
          <w:iCs/>
          <w:color w:val="000000"/>
          <w:sz w:val="22"/>
          <w:szCs w:val="22"/>
        </w:rPr>
      </w:pPr>
      <w:r w:rsidRPr="00AB4D4E">
        <w:rPr>
          <w:rStyle w:val="Hyperlink"/>
          <w:i/>
          <w:iCs/>
          <w:color w:val="000000"/>
          <w:sz w:val="22"/>
          <w:szCs w:val="22"/>
          <w:u w:val="none"/>
        </w:rPr>
        <w:t xml:space="preserve">Note: Data in this release is a mixture of baseline data and </w:t>
      </w:r>
      <w:r w:rsidR="008870EC">
        <w:rPr>
          <w:rStyle w:val="Hyperlink"/>
          <w:i/>
          <w:iCs/>
          <w:color w:val="000000"/>
          <w:sz w:val="22"/>
          <w:szCs w:val="22"/>
          <w:u w:val="none"/>
        </w:rPr>
        <w:t xml:space="preserve">various updates to data as required </w:t>
      </w:r>
      <w:r w:rsidRPr="00AB4D4E">
        <w:rPr>
          <w:rStyle w:val="Hyperlink"/>
          <w:i/>
          <w:iCs/>
          <w:color w:val="000000"/>
          <w:sz w:val="22"/>
          <w:szCs w:val="22"/>
          <w:u w:val="none"/>
        </w:rPr>
        <w:t>(where baselines have already been published but more recent</w:t>
      </w:r>
      <w:r w:rsidR="008870EC">
        <w:rPr>
          <w:rStyle w:val="Hyperlink"/>
          <w:i/>
          <w:iCs/>
          <w:color w:val="000000"/>
          <w:sz w:val="22"/>
          <w:szCs w:val="22"/>
          <w:u w:val="none"/>
        </w:rPr>
        <w:t>/updated</w:t>
      </w:r>
      <w:r w:rsidRPr="00AB4D4E">
        <w:rPr>
          <w:rStyle w:val="Hyperlink"/>
          <w:i/>
          <w:iCs/>
          <w:color w:val="000000"/>
          <w:sz w:val="22"/>
          <w:szCs w:val="22"/>
          <w:u w:val="none"/>
        </w:rPr>
        <w:t xml:space="preserve"> data is available) - details below</w:t>
      </w:r>
      <w:r w:rsidR="008870EC">
        <w:rPr>
          <w:rStyle w:val="Hyperlink"/>
          <w:i/>
          <w:iCs/>
          <w:color w:val="000000"/>
          <w:sz w:val="22"/>
          <w:szCs w:val="22"/>
          <w:u w:val="none"/>
        </w:rPr>
        <w:t xml:space="preserve"> are provided below</w:t>
      </w:r>
      <w:r w:rsidRPr="00AB4D4E">
        <w:rPr>
          <w:rStyle w:val="Hyperlink"/>
          <w:i/>
          <w:iCs/>
          <w:color w:val="000000"/>
          <w:sz w:val="22"/>
          <w:szCs w:val="22"/>
          <w:u w:val="none"/>
        </w:rPr>
        <w:t>.</w:t>
      </w:r>
    </w:p>
    <w:p w:rsidR="000B42CA" w:rsidRPr="00AB4D4E" w:rsidRDefault="000B42CA">
      <w:pPr>
        <w:rPr>
          <w:rFonts w:cs="Times New Roman"/>
          <w:sz w:val="22"/>
          <w:szCs w:val="22"/>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3119"/>
        <w:gridCol w:w="1134"/>
        <w:gridCol w:w="3118"/>
        <w:gridCol w:w="1843"/>
      </w:tblGrid>
      <w:tr w:rsidR="00AE335A" w:rsidRPr="00AB4D4E" w:rsidTr="00AE335A">
        <w:trPr>
          <w:tblHeader/>
        </w:trPr>
        <w:tc>
          <w:tcPr>
            <w:tcW w:w="993" w:type="dxa"/>
          </w:tcPr>
          <w:p w:rsidR="00AE335A" w:rsidRPr="00AB4D4E" w:rsidRDefault="00AE335A" w:rsidP="00412798">
            <w:pPr>
              <w:rPr>
                <w:rFonts w:cs="Times New Roman"/>
                <w:b/>
                <w:bCs/>
              </w:rPr>
            </w:pPr>
          </w:p>
        </w:tc>
        <w:tc>
          <w:tcPr>
            <w:tcW w:w="3119" w:type="dxa"/>
          </w:tcPr>
          <w:p w:rsidR="00AE335A" w:rsidRPr="00AB4D4E" w:rsidRDefault="00AE335A" w:rsidP="00412798">
            <w:pPr>
              <w:rPr>
                <w:rFonts w:cs="Times New Roman"/>
                <w:b/>
                <w:bCs/>
              </w:rPr>
            </w:pPr>
            <w:r w:rsidRPr="00AB4D4E">
              <w:rPr>
                <w:b/>
                <w:bCs/>
                <w:sz w:val="22"/>
                <w:szCs w:val="22"/>
              </w:rPr>
              <w:t>Short title / sub-indicator descriptions</w:t>
            </w:r>
          </w:p>
        </w:tc>
        <w:tc>
          <w:tcPr>
            <w:tcW w:w="1134" w:type="dxa"/>
          </w:tcPr>
          <w:p w:rsidR="00AE335A" w:rsidRPr="00AB4D4E" w:rsidRDefault="00AE335A" w:rsidP="00412798">
            <w:pPr>
              <w:rPr>
                <w:rFonts w:cs="Times New Roman"/>
                <w:b/>
                <w:bCs/>
              </w:rPr>
            </w:pPr>
            <w:r w:rsidRPr="00AB4D4E">
              <w:rPr>
                <w:b/>
                <w:bCs/>
                <w:sz w:val="22"/>
                <w:szCs w:val="22"/>
              </w:rPr>
              <w:t>Time period</w:t>
            </w:r>
          </w:p>
        </w:tc>
        <w:tc>
          <w:tcPr>
            <w:tcW w:w="3118" w:type="dxa"/>
          </w:tcPr>
          <w:p w:rsidR="00AE335A" w:rsidRPr="00AB4D4E" w:rsidRDefault="00AE335A" w:rsidP="00412798">
            <w:pPr>
              <w:rPr>
                <w:rFonts w:cs="Times New Roman"/>
                <w:b/>
                <w:bCs/>
              </w:rPr>
            </w:pPr>
            <w:r w:rsidRPr="00AB4D4E">
              <w:rPr>
                <w:b/>
                <w:bCs/>
                <w:sz w:val="22"/>
                <w:szCs w:val="22"/>
              </w:rPr>
              <w:t>Baseline or updated data?</w:t>
            </w:r>
          </w:p>
        </w:tc>
        <w:tc>
          <w:tcPr>
            <w:tcW w:w="1843" w:type="dxa"/>
          </w:tcPr>
          <w:p w:rsidR="00AE335A" w:rsidRPr="00AB4D4E" w:rsidRDefault="00750653" w:rsidP="00412798">
            <w:pPr>
              <w:rPr>
                <w:b/>
                <w:bCs/>
                <w:sz w:val="22"/>
                <w:szCs w:val="22"/>
              </w:rPr>
            </w:pPr>
            <w:r>
              <w:rPr>
                <w:b/>
                <w:bCs/>
                <w:sz w:val="22"/>
                <w:szCs w:val="22"/>
              </w:rPr>
              <w:t>Already in public domain~</w:t>
            </w:r>
            <w:r w:rsidR="00AE335A">
              <w:rPr>
                <w:b/>
                <w:bCs/>
                <w:sz w:val="22"/>
                <w:szCs w:val="22"/>
              </w:rPr>
              <w:t>?</w:t>
            </w:r>
          </w:p>
        </w:tc>
      </w:tr>
      <w:tr w:rsidR="00AE335A" w:rsidRPr="00AB4D4E" w:rsidTr="00AE335A">
        <w:tc>
          <w:tcPr>
            <w:tcW w:w="993" w:type="dxa"/>
          </w:tcPr>
          <w:p w:rsidR="00AE335A" w:rsidRPr="008D1ACA" w:rsidRDefault="00AE335A" w:rsidP="00412798">
            <w:pPr>
              <w:rPr>
                <w:b/>
                <w:bCs/>
                <w:sz w:val="22"/>
                <w:szCs w:val="22"/>
              </w:rPr>
            </w:pPr>
            <w:r w:rsidRPr="008D1ACA">
              <w:rPr>
                <w:b/>
                <w:bCs/>
                <w:sz w:val="22"/>
                <w:szCs w:val="22"/>
              </w:rPr>
              <w:t>1.03</w:t>
            </w:r>
          </w:p>
        </w:tc>
        <w:tc>
          <w:tcPr>
            <w:tcW w:w="3119" w:type="dxa"/>
          </w:tcPr>
          <w:p w:rsidR="00AE335A" w:rsidRPr="008D1ACA" w:rsidRDefault="00AE335A" w:rsidP="00412798">
            <w:pPr>
              <w:rPr>
                <w:b/>
                <w:bCs/>
                <w:sz w:val="22"/>
                <w:szCs w:val="22"/>
              </w:rPr>
            </w:pPr>
            <w:r w:rsidRPr="008D1ACA">
              <w:rPr>
                <w:b/>
                <w:bCs/>
                <w:sz w:val="22"/>
                <w:szCs w:val="22"/>
              </w:rPr>
              <w:t>Pupil Absence</w:t>
            </w:r>
          </w:p>
        </w:tc>
        <w:tc>
          <w:tcPr>
            <w:tcW w:w="1134" w:type="dxa"/>
          </w:tcPr>
          <w:p w:rsidR="00AE335A" w:rsidRPr="008D1ACA" w:rsidRDefault="00AE335A" w:rsidP="00412798">
            <w:pPr>
              <w:rPr>
                <w:b/>
                <w:bCs/>
                <w:sz w:val="22"/>
                <w:szCs w:val="22"/>
              </w:rPr>
            </w:pPr>
          </w:p>
        </w:tc>
        <w:tc>
          <w:tcPr>
            <w:tcW w:w="3118" w:type="dxa"/>
          </w:tcPr>
          <w:p w:rsidR="00AE335A" w:rsidRPr="008D1ACA" w:rsidRDefault="00AE335A" w:rsidP="00412798">
            <w:pPr>
              <w:rPr>
                <w:b/>
                <w:bCs/>
                <w:sz w:val="22"/>
                <w:szCs w:val="22"/>
              </w:rPr>
            </w:pPr>
          </w:p>
        </w:tc>
        <w:tc>
          <w:tcPr>
            <w:tcW w:w="1843" w:type="dxa"/>
          </w:tcPr>
          <w:p w:rsidR="00AE335A" w:rsidRPr="008D1ACA" w:rsidRDefault="00AE335A" w:rsidP="00412798">
            <w:pPr>
              <w:rPr>
                <w:b/>
                <w:bCs/>
                <w:sz w:val="22"/>
                <w:szCs w:val="22"/>
              </w:rPr>
            </w:pPr>
          </w:p>
        </w:tc>
      </w:tr>
      <w:tr w:rsidR="00AE335A" w:rsidRPr="00AB4D4E" w:rsidTr="00AE335A">
        <w:tc>
          <w:tcPr>
            <w:tcW w:w="993" w:type="dxa"/>
          </w:tcPr>
          <w:p w:rsidR="00AE335A" w:rsidRPr="008D1ACA" w:rsidRDefault="00AE335A" w:rsidP="00412798">
            <w:pPr>
              <w:rPr>
                <w:sz w:val="22"/>
                <w:szCs w:val="22"/>
              </w:rPr>
            </w:pPr>
            <w:r w:rsidRPr="008D1ACA">
              <w:rPr>
                <w:sz w:val="22"/>
                <w:szCs w:val="22"/>
              </w:rPr>
              <w:t>1.03</w:t>
            </w:r>
          </w:p>
        </w:tc>
        <w:tc>
          <w:tcPr>
            <w:tcW w:w="3119" w:type="dxa"/>
          </w:tcPr>
          <w:p w:rsidR="00AE335A" w:rsidRPr="008D1ACA" w:rsidRDefault="006A05FC" w:rsidP="00412798">
            <w:pPr>
              <w:rPr>
                <w:sz w:val="22"/>
                <w:szCs w:val="22"/>
              </w:rPr>
            </w:pPr>
            <w:r w:rsidRPr="008D1ACA">
              <w:rPr>
                <w:sz w:val="22"/>
                <w:szCs w:val="22"/>
              </w:rPr>
              <w:t>Percentage of half days missed by pupils due to overall absence (including authorised and unauthorised absence)</w:t>
            </w:r>
          </w:p>
        </w:tc>
        <w:tc>
          <w:tcPr>
            <w:tcW w:w="1134" w:type="dxa"/>
          </w:tcPr>
          <w:p w:rsidR="00AE335A" w:rsidRPr="008D1ACA" w:rsidRDefault="003D3113" w:rsidP="00412798">
            <w:pPr>
              <w:rPr>
                <w:sz w:val="22"/>
                <w:szCs w:val="22"/>
              </w:rPr>
            </w:pPr>
            <w:r w:rsidRPr="008D1ACA">
              <w:rPr>
                <w:sz w:val="22"/>
                <w:szCs w:val="22"/>
              </w:rPr>
              <w:t>2011/12</w:t>
            </w:r>
          </w:p>
        </w:tc>
        <w:tc>
          <w:tcPr>
            <w:tcW w:w="3118" w:type="dxa"/>
          </w:tcPr>
          <w:p w:rsidR="00AE335A" w:rsidRPr="008D1ACA" w:rsidRDefault="003D3113" w:rsidP="00412798">
            <w:pPr>
              <w:rPr>
                <w:sz w:val="22"/>
                <w:szCs w:val="22"/>
              </w:rPr>
            </w:pPr>
            <w:r w:rsidRPr="008D1ACA">
              <w:rPr>
                <w:sz w:val="22"/>
                <w:szCs w:val="22"/>
              </w:rPr>
              <w:t>Updated data (baseline period – 2010/11)</w:t>
            </w:r>
          </w:p>
        </w:tc>
        <w:tc>
          <w:tcPr>
            <w:tcW w:w="1843" w:type="dxa"/>
          </w:tcPr>
          <w:p w:rsidR="00AE335A" w:rsidRPr="008D1ACA" w:rsidRDefault="007945F5" w:rsidP="00412798">
            <w:pPr>
              <w:rPr>
                <w:sz w:val="22"/>
                <w:szCs w:val="22"/>
              </w:rPr>
            </w:pPr>
            <w:r>
              <w:rPr>
                <w:sz w:val="22"/>
                <w:szCs w:val="22"/>
              </w:rPr>
              <w:t>Yes</w:t>
            </w:r>
          </w:p>
        </w:tc>
      </w:tr>
      <w:tr w:rsidR="00AE335A" w:rsidRPr="00AB4D4E" w:rsidTr="00AE335A">
        <w:tc>
          <w:tcPr>
            <w:tcW w:w="993" w:type="dxa"/>
          </w:tcPr>
          <w:p w:rsidR="00AE335A" w:rsidRPr="008D1ACA" w:rsidRDefault="00AE335A" w:rsidP="00412798">
            <w:pPr>
              <w:rPr>
                <w:b/>
                <w:bCs/>
                <w:sz w:val="22"/>
                <w:szCs w:val="22"/>
              </w:rPr>
            </w:pPr>
            <w:r w:rsidRPr="008D1ACA">
              <w:rPr>
                <w:b/>
                <w:bCs/>
                <w:sz w:val="22"/>
                <w:szCs w:val="22"/>
              </w:rPr>
              <w:t>1.04</w:t>
            </w:r>
          </w:p>
        </w:tc>
        <w:tc>
          <w:tcPr>
            <w:tcW w:w="3119" w:type="dxa"/>
          </w:tcPr>
          <w:p w:rsidR="00AE335A" w:rsidRPr="008D1ACA" w:rsidRDefault="00AE335A" w:rsidP="00CC6A78">
            <w:pPr>
              <w:rPr>
                <w:b/>
                <w:bCs/>
                <w:sz w:val="22"/>
                <w:szCs w:val="22"/>
              </w:rPr>
            </w:pPr>
            <w:r w:rsidRPr="008D1ACA">
              <w:rPr>
                <w:b/>
                <w:sz w:val="22"/>
                <w:szCs w:val="22"/>
              </w:rPr>
              <w:t xml:space="preserve">First Time Entrants to </w:t>
            </w:r>
            <w:r w:rsidR="00CC6A78" w:rsidRPr="008D1ACA">
              <w:rPr>
                <w:b/>
                <w:sz w:val="22"/>
                <w:szCs w:val="22"/>
              </w:rPr>
              <w:t>the youth justice system</w:t>
            </w:r>
          </w:p>
        </w:tc>
        <w:tc>
          <w:tcPr>
            <w:tcW w:w="1134" w:type="dxa"/>
          </w:tcPr>
          <w:p w:rsidR="00AE335A" w:rsidRPr="008D1ACA" w:rsidRDefault="00AE335A" w:rsidP="00412798">
            <w:pPr>
              <w:rPr>
                <w:b/>
                <w:bCs/>
                <w:sz w:val="22"/>
                <w:szCs w:val="22"/>
              </w:rPr>
            </w:pPr>
          </w:p>
        </w:tc>
        <w:tc>
          <w:tcPr>
            <w:tcW w:w="3118" w:type="dxa"/>
          </w:tcPr>
          <w:p w:rsidR="00AE335A" w:rsidRPr="008D1ACA" w:rsidRDefault="00AE335A" w:rsidP="00412798">
            <w:pPr>
              <w:rPr>
                <w:b/>
                <w:bCs/>
                <w:sz w:val="22"/>
                <w:szCs w:val="22"/>
              </w:rPr>
            </w:pPr>
          </w:p>
        </w:tc>
        <w:tc>
          <w:tcPr>
            <w:tcW w:w="1843" w:type="dxa"/>
          </w:tcPr>
          <w:p w:rsidR="00AE335A" w:rsidRPr="008D1ACA" w:rsidRDefault="00AE335A" w:rsidP="00412798">
            <w:pPr>
              <w:rPr>
                <w:b/>
                <w:bCs/>
                <w:sz w:val="22"/>
                <w:szCs w:val="22"/>
              </w:rPr>
            </w:pPr>
          </w:p>
        </w:tc>
      </w:tr>
      <w:tr w:rsidR="00AE335A" w:rsidRPr="00AB4D4E" w:rsidTr="00AE335A">
        <w:tc>
          <w:tcPr>
            <w:tcW w:w="993" w:type="dxa"/>
          </w:tcPr>
          <w:p w:rsidR="00AE335A" w:rsidRPr="008D1ACA" w:rsidRDefault="00AE335A" w:rsidP="00412798">
            <w:pPr>
              <w:rPr>
                <w:sz w:val="22"/>
                <w:szCs w:val="22"/>
              </w:rPr>
            </w:pPr>
            <w:r w:rsidRPr="008D1ACA">
              <w:rPr>
                <w:sz w:val="22"/>
                <w:szCs w:val="22"/>
              </w:rPr>
              <w:t>1.04i</w:t>
            </w:r>
          </w:p>
        </w:tc>
        <w:tc>
          <w:tcPr>
            <w:tcW w:w="3119" w:type="dxa"/>
          </w:tcPr>
          <w:p w:rsidR="00AE335A" w:rsidRPr="008D1ACA" w:rsidRDefault="00CC6A78" w:rsidP="00412798">
            <w:pPr>
              <w:rPr>
                <w:sz w:val="22"/>
                <w:szCs w:val="22"/>
              </w:rPr>
            </w:pPr>
            <w:r w:rsidRPr="008D1ACA">
              <w:rPr>
                <w:sz w:val="22"/>
                <w:szCs w:val="22"/>
              </w:rPr>
              <w:t>Rate of 10-17 year olds receiving their first reprimand, warning or conviction per 100,000 population</w:t>
            </w:r>
          </w:p>
        </w:tc>
        <w:tc>
          <w:tcPr>
            <w:tcW w:w="1134" w:type="dxa"/>
          </w:tcPr>
          <w:p w:rsidR="00AE335A" w:rsidRPr="008D1ACA" w:rsidRDefault="00CC6A78" w:rsidP="00412798">
            <w:pPr>
              <w:rPr>
                <w:sz w:val="22"/>
                <w:szCs w:val="22"/>
              </w:rPr>
            </w:pPr>
            <w:r w:rsidRPr="008D1ACA">
              <w:rPr>
                <w:sz w:val="22"/>
                <w:szCs w:val="22"/>
              </w:rPr>
              <w:t>2012</w:t>
            </w:r>
          </w:p>
        </w:tc>
        <w:tc>
          <w:tcPr>
            <w:tcW w:w="3118" w:type="dxa"/>
          </w:tcPr>
          <w:p w:rsidR="00AE335A" w:rsidRPr="008D1ACA" w:rsidRDefault="00AE335A" w:rsidP="00CC6A78">
            <w:pPr>
              <w:rPr>
                <w:sz w:val="22"/>
                <w:szCs w:val="22"/>
              </w:rPr>
            </w:pPr>
            <w:r w:rsidRPr="008D1ACA">
              <w:rPr>
                <w:sz w:val="22"/>
                <w:szCs w:val="22"/>
              </w:rPr>
              <w:t>Update</w:t>
            </w:r>
            <w:r w:rsidR="00CC6A78" w:rsidRPr="008D1ACA">
              <w:rPr>
                <w:sz w:val="22"/>
                <w:szCs w:val="22"/>
              </w:rPr>
              <w:t xml:space="preserve">d data (baseline </w:t>
            </w:r>
            <w:r w:rsidR="00CC6A78" w:rsidRPr="00750653">
              <w:rPr>
                <w:sz w:val="22"/>
                <w:szCs w:val="22"/>
              </w:rPr>
              <w:t xml:space="preserve">period - 2010) and revisions to existing data based upon revised </w:t>
            </w:r>
            <w:r w:rsidR="008870EC" w:rsidRPr="00750653">
              <w:rPr>
                <w:sz w:val="22"/>
                <w:szCs w:val="22"/>
              </w:rPr>
              <w:t>population</w:t>
            </w:r>
            <w:r w:rsidR="00CC6A78" w:rsidRPr="00750653">
              <w:rPr>
                <w:sz w:val="22"/>
                <w:szCs w:val="22"/>
              </w:rPr>
              <w:t xml:space="preserve"> data from ONS</w:t>
            </w:r>
            <w:r w:rsidR="00750653" w:rsidRPr="00750653">
              <w:rPr>
                <w:sz w:val="22"/>
                <w:szCs w:val="22"/>
              </w:rPr>
              <w:t>**</w:t>
            </w:r>
          </w:p>
        </w:tc>
        <w:tc>
          <w:tcPr>
            <w:tcW w:w="1843" w:type="dxa"/>
          </w:tcPr>
          <w:p w:rsidR="00AE335A" w:rsidRPr="008D1ACA" w:rsidRDefault="007945F5" w:rsidP="00412798">
            <w:pPr>
              <w:rPr>
                <w:sz w:val="22"/>
                <w:szCs w:val="22"/>
              </w:rPr>
            </w:pPr>
            <w:r>
              <w:rPr>
                <w:sz w:val="22"/>
                <w:szCs w:val="22"/>
              </w:rPr>
              <w:t>Yes</w:t>
            </w:r>
          </w:p>
        </w:tc>
      </w:tr>
      <w:tr w:rsidR="00AE335A" w:rsidRPr="00AB4D4E" w:rsidTr="00AE335A">
        <w:tc>
          <w:tcPr>
            <w:tcW w:w="993" w:type="dxa"/>
          </w:tcPr>
          <w:p w:rsidR="00AE335A" w:rsidRPr="008D1ACA" w:rsidRDefault="00AE335A" w:rsidP="00412798">
            <w:pPr>
              <w:rPr>
                <w:b/>
                <w:sz w:val="22"/>
                <w:szCs w:val="22"/>
              </w:rPr>
            </w:pPr>
            <w:r w:rsidRPr="008D1ACA">
              <w:rPr>
                <w:b/>
                <w:sz w:val="22"/>
                <w:szCs w:val="22"/>
              </w:rPr>
              <w:t>1.05</w:t>
            </w:r>
          </w:p>
        </w:tc>
        <w:tc>
          <w:tcPr>
            <w:tcW w:w="3119" w:type="dxa"/>
          </w:tcPr>
          <w:p w:rsidR="00AE335A" w:rsidRPr="008D1ACA" w:rsidRDefault="00AE335A" w:rsidP="00412798">
            <w:pPr>
              <w:rPr>
                <w:b/>
                <w:sz w:val="22"/>
                <w:szCs w:val="22"/>
              </w:rPr>
            </w:pPr>
            <w:r w:rsidRPr="008D1ACA">
              <w:rPr>
                <w:b/>
                <w:sz w:val="22"/>
                <w:szCs w:val="22"/>
              </w:rPr>
              <w:t>16-18 year olds not in education, employment or training</w:t>
            </w:r>
          </w:p>
        </w:tc>
        <w:tc>
          <w:tcPr>
            <w:tcW w:w="1134" w:type="dxa"/>
          </w:tcPr>
          <w:p w:rsidR="00AE335A" w:rsidRPr="008D1ACA" w:rsidRDefault="00AE335A" w:rsidP="00412798">
            <w:pPr>
              <w:rPr>
                <w:b/>
                <w:sz w:val="22"/>
                <w:szCs w:val="22"/>
              </w:rPr>
            </w:pPr>
          </w:p>
        </w:tc>
        <w:tc>
          <w:tcPr>
            <w:tcW w:w="3118" w:type="dxa"/>
          </w:tcPr>
          <w:p w:rsidR="00AE335A" w:rsidRPr="008D1ACA" w:rsidRDefault="00AE335A" w:rsidP="00412798">
            <w:pPr>
              <w:rPr>
                <w:b/>
                <w:sz w:val="22"/>
                <w:szCs w:val="22"/>
              </w:rPr>
            </w:pPr>
          </w:p>
        </w:tc>
        <w:tc>
          <w:tcPr>
            <w:tcW w:w="1843" w:type="dxa"/>
          </w:tcPr>
          <w:p w:rsidR="00AE335A" w:rsidRPr="008D1ACA" w:rsidRDefault="00AE335A" w:rsidP="00412798">
            <w:pPr>
              <w:rPr>
                <w:b/>
                <w:sz w:val="22"/>
                <w:szCs w:val="22"/>
              </w:rPr>
            </w:pPr>
          </w:p>
        </w:tc>
      </w:tr>
      <w:tr w:rsidR="00AE335A" w:rsidRPr="00AB4D4E" w:rsidTr="00AE335A">
        <w:tc>
          <w:tcPr>
            <w:tcW w:w="993" w:type="dxa"/>
          </w:tcPr>
          <w:p w:rsidR="00AE335A" w:rsidRPr="008D1ACA" w:rsidRDefault="00AE335A" w:rsidP="00412798">
            <w:pPr>
              <w:rPr>
                <w:bCs/>
                <w:color w:val="000000"/>
                <w:sz w:val="22"/>
                <w:szCs w:val="22"/>
              </w:rPr>
            </w:pPr>
            <w:r w:rsidRPr="008D1ACA">
              <w:rPr>
                <w:bCs/>
                <w:color w:val="000000"/>
                <w:sz w:val="22"/>
                <w:szCs w:val="22"/>
              </w:rPr>
              <w:t>1.05</w:t>
            </w:r>
          </w:p>
        </w:tc>
        <w:tc>
          <w:tcPr>
            <w:tcW w:w="3119" w:type="dxa"/>
          </w:tcPr>
          <w:p w:rsidR="00AE335A" w:rsidRPr="008D1ACA" w:rsidRDefault="00CC6A78" w:rsidP="00412798">
            <w:pPr>
              <w:rPr>
                <w:bCs/>
                <w:color w:val="000000"/>
                <w:sz w:val="22"/>
                <w:szCs w:val="22"/>
              </w:rPr>
            </w:pPr>
            <w:r w:rsidRPr="008D1ACA">
              <w:rPr>
                <w:bCs/>
                <w:color w:val="000000"/>
                <w:sz w:val="22"/>
                <w:szCs w:val="22"/>
              </w:rPr>
              <w:t>Percentage of 16-18 year olds not in education, employment or training (NEET)</w:t>
            </w:r>
          </w:p>
        </w:tc>
        <w:tc>
          <w:tcPr>
            <w:tcW w:w="1134" w:type="dxa"/>
          </w:tcPr>
          <w:p w:rsidR="00AE335A" w:rsidRPr="008D1ACA" w:rsidRDefault="00CC6A78" w:rsidP="00412798">
            <w:pPr>
              <w:rPr>
                <w:bCs/>
                <w:color w:val="000000"/>
                <w:sz w:val="22"/>
                <w:szCs w:val="22"/>
              </w:rPr>
            </w:pPr>
            <w:r w:rsidRPr="008D1ACA">
              <w:rPr>
                <w:bCs/>
                <w:color w:val="000000"/>
                <w:sz w:val="22"/>
                <w:szCs w:val="22"/>
              </w:rPr>
              <w:t>2012</w:t>
            </w:r>
          </w:p>
        </w:tc>
        <w:tc>
          <w:tcPr>
            <w:tcW w:w="3118" w:type="dxa"/>
          </w:tcPr>
          <w:p w:rsidR="00AE335A" w:rsidRPr="008D1ACA" w:rsidRDefault="00AE335A" w:rsidP="00412798">
            <w:pPr>
              <w:rPr>
                <w:bCs/>
                <w:color w:val="000000"/>
                <w:sz w:val="22"/>
                <w:szCs w:val="22"/>
              </w:rPr>
            </w:pPr>
            <w:r w:rsidRPr="008D1ACA">
              <w:rPr>
                <w:bCs/>
                <w:color w:val="000000"/>
                <w:sz w:val="22"/>
                <w:szCs w:val="22"/>
              </w:rPr>
              <w:t>Update</w:t>
            </w:r>
            <w:r w:rsidR="00CC6A78" w:rsidRPr="008D1ACA">
              <w:rPr>
                <w:bCs/>
                <w:color w:val="000000"/>
                <w:sz w:val="22"/>
                <w:szCs w:val="22"/>
              </w:rPr>
              <w:t>d data (baseline period – 2011)</w:t>
            </w:r>
          </w:p>
        </w:tc>
        <w:tc>
          <w:tcPr>
            <w:tcW w:w="1843" w:type="dxa"/>
          </w:tcPr>
          <w:p w:rsidR="00AE335A" w:rsidRPr="008D1ACA" w:rsidRDefault="007945F5" w:rsidP="00412798">
            <w:pPr>
              <w:rPr>
                <w:bCs/>
                <w:color w:val="000000"/>
                <w:sz w:val="22"/>
                <w:szCs w:val="22"/>
              </w:rPr>
            </w:pPr>
            <w:r>
              <w:rPr>
                <w:bCs/>
                <w:color w:val="000000"/>
                <w:sz w:val="22"/>
                <w:szCs w:val="22"/>
              </w:rPr>
              <w:t>Yes</w:t>
            </w:r>
          </w:p>
        </w:tc>
      </w:tr>
      <w:tr w:rsidR="008870EC" w:rsidRPr="00AB4D4E" w:rsidTr="00AE335A">
        <w:tc>
          <w:tcPr>
            <w:tcW w:w="993" w:type="dxa"/>
          </w:tcPr>
          <w:p w:rsidR="008870EC" w:rsidRPr="008D1ACA" w:rsidRDefault="008870EC" w:rsidP="00BA59E4">
            <w:pPr>
              <w:rPr>
                <w:b/>
                <w:sz w:val="22"/>
                <w:szCs w:val="22"/>
              </w:rPr>
            </w:pPr>
            <w:r w:rsidRPr="008D1ACA">
              <w:rPr>
                <w:b/>
                <w:sz w:val="22"/>
                <w:szCs w:val="22"/>
              </w:rPr>
              <w:t>1.08</w:t>
            </w:r>
          </w:p>
        </w:tc>
        <w:tc>
          <w:tcPr>
            <w:tcW w:w="3119" w:type="dxa"/>
          </w:tcPr>
          <w:p w:rsidR="008870EC" w:rsidRPr="008D1ACA" w:rsidRDefault="00CC6A78" w:rsidP="00BA59E4">
            <w:pPr>
              <w:rPr>
                <w:b/>
                <w:sz w:val="22"/>
                <w:szCs w:val="22"/>
              </w:rPr>
            </w:pPr>
            <w:r w:rsidRPr="008D1ACA">
              <w:rPr>
                <w:b/>
                <w:sz w:val="22"/>
                <w:szCs w:val="22"/>
              </w:rPr>
              <w:t>Employment for those with long-term conditions including adults with a learning disability or who are in contact with secondary mental health services</w:t>
            </w:r>
          </w:p>
        </w:tc>
        <w:tc>
          <w:tcPr>
            <w:tcW w:w="1134" w:type="dxa"/>
          </w:tcPr>
          <w:p w:rsidR="008870EC" w:rsidRPr="008D1ACA" w:rsidRDefault="008870EC" w:rsidP="00BA59E4">
            <w:pPr>
              <w:rPr>
                <w:sz w:val="22"/>
                <w:szCs w:val="22"/>
              </w:rPr>
            </w:pPr>
          </w:p>
        </w:tc>
        <w:tc>
          <w:tcPr>
            <w:tcW w:w="3118" w:type="dxa"/>
          </w:tcPr>
          <w:p w:rsidR="008870EC" w:rsidRPr="008D1ACA" w:rsidRDefault="008870EC" w:rsidP="00BA59E4">
            <w:pPr>
              <w:rPr>
                <w:sz w:val="22"/>
                <w:szCs w:val="22"/>
              </w:rPr>
            </w:pPr>
          </w:p>
        </w:tc>
        <w:tc>
          <w:tcPr>
            <w:tcW w:w="1843" w:type="dxa"/>
          </w:tcPr>
          <w:p w:rsidR="008870EC" w:rsidRPr="008D1ACA" w:rsidRDefault="008870EC" w:rsidP="00BA59E4">
            <w:pPr>
              <w:rPr>
                <w:sz w:val="22"/>
                <w:szCs w:val="22"/>
              </w:rPr>
            </w:pPr>
          </w:p>
        </w:tc>
      </w:tr>
      <w:tr w:rsidR="008870EC" w:rsidRPr="00AB4D4E" w:rsidTr="00AE335A">
        <w:trPr>
          <w:trHeight w:val="84"/>
        </w:trPr>
        <w:tc>
          <w:tcPr>
            <w:tcW w:w="993" w:type="dxa"/>
          </w:tcPr>
          <w:p w:rsidR="008870EC" w:rsidRPr="008D1ACA" w:rsidRDefault="008870EC" w:rsidP="00BA59E4">
            <w:pPr>
              <w:rPr>
                <w:sz w:val="22"/>
                <w:szCs w:val="22"/>
              </w:rPr>
            </w:pPr>
            <w:r w:rsidRPr="008D1ACA">
              <w:rPr>
                <w:sz w:val="22"/>
                <w:szCs w:val="22"/>
              </w:rPr>
              <w:t>1.08i</w:t>
            </w:r>
          </w:p>
        </w:tc>
        <w:tc>
          <w:tcPr>
            <w:tcW w:w="3119" w:type="dxa"/>
          </w:tcPr>
          <w:p w:rsidR="008870EC" w:rsidRPr="008D1ACA" w:rsidRDefault="00CC6A78" w:rsidP="00CC6A78">
            <w:pPr>
              <w:rPr>
                <w:sz w:val="22"/>
                <w:szCs w:val="22"/>
              </w:rPr>
            </w:pPr>
            <w:r w:rsidRPr="008D1ACA">
              <w:rPr>
                <w:sz w:val="22"/>
                <w:szCs w:val="22"/>
              </w:rPr>
              <w:t>Percentage of respondents in the LFS who have a long term condition who are classed as employed using the International Labour Organisation definition of employment, compared to the percentage of all respondents classed as employed</w:t>
            </w:r>
          </w:p>
        </w:tc>
        <w:tc>
          <w:tcPr>
            <w:tcW w:w="1134" w:type="dxa"/>
          </w:tcPr>
          <w:p w:rsidR="008870EC" w:rsidRPr="008D1ACA" w:rsidRDefault="008D1ACA" w:rsidP="00BA59E4">
            <w:pPr>
              <w:rPr>
                <w:sz w:val="22"/>
                <w:szCs w:val="22"/>
              </w:rPr>
            </w:pPr>
            <w:r>
              <w:rPr>
                <w:sz w:val="22"/>
                <w:szCs w:val="22"/>
              </w:rPr>
              <w:t>2012</w:t>
            </w:r>
          </w:p>
        </w:tc>
        <w:tc>
          <w:tcPr>
            <w:tcW w:w="3118" w:type="dxa"/>
          </w:tcPr>
          <w:p w:rsidR="008870EC" w:rsidRPr="008D1ACA" w:rsidRDefault="008870EC" w:rsidP="00BA59E4">
            <w:pPr>
              <w:rPr>
                <w:sz w:val="22"/>
                <w:szCs w:val="22"/>
              </w:rPr>
            </w:pPr>
            <w:r w:rsidRPr="008D1ACA">
              <w:rPr>
                <w:sz w:val="22"/>
                <w:szCs w:val="22"/>
              </w:rPr>
              <w:t>New Baseline</w:t>
            </w:r>
            <w:r w:rsidR="005D438C">
              <w:rPr>
                <w:sz w:val="22"/>
                <w:szCs w:val="22"/>
              </w:rPr>
              <w:t>*</w:t>
            </w:r>
          </w:p>
        </w:tc>
        <w:tc>
          <w:tcPr>
            <w:tcW w:w="1843" w:type="dxa"/>
          </w:tcPr>
          <w:p w:rsidR="008870EC" w:rsidRPr="008D1ACA" w:rsidRDefault="007945F5" w:rsidP="00BA59E4">
            <w:pPr>
              <w:rPr>
                <w:sz w:val="22"/>
                <w:szCs w:val="22"/>
              </w:rPr>
            </w:pPr>
            <w:r>
              <w:rPr>
                <w:sz w:val="22"/>
                <w:szCs w:val="22"/>
              </w:rPr>
              <w:t>No</w:t>
            </w:r>
          </w:p>
        </w:tc>
      </w:tr>
      <w:tr w:rsidR="008870EC" w:rsidRPr="00AB4D4E" w:rsidTr="00AE335A">
        <w:tc>
          <w:tcPr>
            <w:tcW w:w="993" w:type="dxa"/>
          </w:tcPr>
          <w:p w:rsidR="008870EC" w:rsidRPr="008D1ACA" w:rsidRDefault="008870EC" w:rsidP="00BA59E4">
            <w:pPr>
              <w:rPr>
                <w:b/>
                <w:bCs/>
                <w:sz w:val="22"/>
                <w:szCs w:val="22"/>
              </w:rPr>
            </w:pPr>
            <w:r w:rsidRPr="008D1ACA">
              <w:rPr>
                <w:sz w:val="22"/>
                <w:szCs w:val="22"/>
              </w:rPr>
              <w:t>1.08ii</w:t>
            </w:r>
          </w:p>
        </w:tc>
        <w:tc>
          <w:tcPr>
            <w:tcW w:w="3119" w:type="dxa"/>
          </w:tcPr>
          <w:p w:rsidR="008870EC" w:rsidRPr="008D1ACA" w:rsidRDefault="00CC6A78" w:rsidP="00BA59E4">
            <w:pPr>
              <w:rPr>
                <w:bCs/>
                <w:sz w:val="22"/>
                <w:szCs w:val="22"/>
              </w:rPr>
            </w:pPr>
            <w:r w:rsidRPr="008D1ACA">
              <w:rPr>
                <w:bCs/>
                <w:sz w:val="22"/>
                <w:szCs w:val="22"/>
              </w:rPr>
              <w:t xml:space="preserve">Percentage of adults with a learning disability in paid employment, compared to the percentage of all respondents to the LFS </w:t>
            </w:r>
            <w:r w:rsidRPr="008D1ACA">
              <w:rPr>
                <w:bCs/>
                <w:sz w:val="22"/>
                <w:szCs w:val="22"/>
              </w:rPr>
              <w:lastRenderedPageBreak/>
              <w:t>classed as employed</w:t>
            </w:r>
          </w:p>
        </w:tc>
        <w:tc>
          <w:tcPr>
            <w:tcW w:w="1134" w:type="dxa"/>
          </w:tcPr>
          <w:p w:rsidR="008870EC" w:rsidRPr="008D1ACA" w:rsidRDefault="008D1ACA" w:rsidP="00BA59E4">
            <w:pPr>
              <w:rPr>
                <w:sz w:val="22"/>
                <w:szCs w:val="22"/>
              </w:rPr>
            </w:pPr>
            <w:r>
              <w:rPr>
                <w:sz w:val="22"/>
                <w:szCs w:val="22"/>
              </w:rPr>
              <w:lastRenderedPageBreak/>
              <w:t>2011/12</w:t>
            </w:r>
          </w:p>
        </w:tc>
        <w:tc>
          <w:tcPr>
            <w:tcW w:w="3118" w:type="dxa"/>
          </w:tcPr>
          <w:p w:rsidR="008870EC" w:rsidRPr="008D1ACA" w:rsidRDefault="008870EC" w:rsidP="00BA59E4">
            <w:pPr>
              <w:rPr>
                <w:sz w:val="22"/>
                <w:szCs w:val="22"/>
              </w:rPr>
            </w:pPr>
            <w:r w:rsidRPr="008D1ACA">
              <w:rPr>
                <w:sz w:val="22"/>
                <w:szCs w:val="22"/>
              </w:rPr>
              <w:t>New Baseline</w:t>
            </w:r>
            <w:r w:rsidR="005D438C">
              <w:rPr>
                <w:sz w:val="22"/>
                <w:szCs w:val="22"/>
              </w:rPr>
              <w:t>*</w:t>
            </w:r>
          </w:p>
        </w:tc>
        <w:tc>
          <w:tcPr>
            <w:tcW w:w="1843" w:type="dxa"/>
          </w:tcPr>
          <w:p w:rsidR="008870EC" w:rsidRPr="008D1ACA" w:rsidRDefault="007945F5" w:rsidP="00BA59E4">
            <w:pPr>
              <w:rPr>
                <w:sz w:val="22"/>
                <w:szCs w:val="22"/>
              </w:rPr>
            </w:pPr>
            <w:r>
              <w:rPr>
                <w:sz w:val="22"/>
                <w:szCs w:val="22"/>
              </w:rPr>
              <w:t>No</w:t>
            </w:r>
          </w:p>
        </w:tc>
      </w:tr>
      <w:tr w:rsidR="008870EC" w:rsidRPr="00AB4D4E" w:rsidTr="00AE335A">
        <w:tc>
          <w:tcPr>
            <w:tcW w:w="993" w:type="dxa"/>
          </w:tcPr>
          <w:p w:rsidR="008870EC" w:rsidRPr="008D1ACA" w:rsidRDefault="008870EC" w:rsidP="00BA59E4">
            <w:pPr>
              <w:rPr>
                <w:b/>
                <w:sz w:val="22"/>
                <w:szCs w:val="22"/>
              </w:rPr>
            </w:pPr>
            <w:r w:rsidRPr="008D1ACA">
              <w:rPr>
                <w:b/>
                <w:sz w:val="22"/>
                <w:szCs w:val="22"/>
              </w:rPr>
              <w:lastRenderedPageBreak/>
              <w:t>1.09</w:t>
            </w:r>
          </w:p>
        </w:tc>
        <w:tc>
          <w:tcPr>
            <w:tcW w:w="3119" w:type="dxa"/>
          </w:tcPr>
          <w:p w:rsidR="008870EC" w:rsidRPr="008D1ACA" w:rsidRDefault="00CC6A78" w:rsidP="00BA59E4">
            <w:pPr>
              <w:rPr>
                <w:b/>
                <w:sz w:val="22"/>
                <w:szCs w:val="22"/>
              </w:rPr>
            </w:pPr>
            <w:r w:rsidRPr="008D1ACA">
              <w:rPr>
                <w:b/>
                <w:sz w:val="22"/>
                <w:szCs w:val="22"/>
              </w:rPr>
              <w:t>Sickness absence rate</w:t>
            </w:r>
          </w:p>
        </w:tc>
        <w:tc>
          <w:tcPr>
            <w:tcW w:w="1134" w:type="dxa"/>
          </w:tcPr>
          <w:p w:rsidR="008870EC" w:rsidRPr="008D1ACA" w:rsidRDefault="008870EC" w:rsidP="00BA59E4">
            <w:pPr>
              <w:rPr>
                <w:sz w:val="22"/>
                <w:szCs w:val="22"/>
              </w:rPr>
            </w:pPr>
          </w:p>
        </w:tc>
        <w:tc>
          <w:tcPr>
            <w:tcW w:w="3118" w:type="dxa"/>
          </w:tcPr>
          <w:p w:rsidR="008870EC" w:rsidRPr="008D1ACA" w:rsidRDefault="008870EC" w:rsidP="00BA59E4">
            <w:pPr>
              <w:rPr>
                <w:sz w:val="22"/>
                <w:szCs w:val="22"/>
              </w:rPr>
            </w:pPr>
          </w:p>
        </w:tc>
        <w:tc>
          <w:tcPr>
            <w:tcW w:w="1843" w:type="dxa"/>
          </w:tcPr>
          <w:p w:rsidR="008870EC" w:rsidRPr="008D1ACA" w:rsidRDefault="008870EC" w:rsidP="00BA59E4">
            <w:pPr>
              <w:rPr>
                <w:sz w:val="22"/>
                <w:szCs w:val="22"/>
              </w:rPr>
            </w:pPr>
          </w:p>
        </w:tc>
      </w:tr>
      <w:tr w:rsidR="008870EC" w:rsidRPr="0080263B" w:rsidTr="00AE335A">
        <w:tc>
          <w:tcPr>
            <w:tcW w:w="993" w:type="dxa"/>
          </w:tcPr>
          <w:p w:rsidR="008870EC" w:rsidRPr="008D1ACA" w:rsidRDefault="008870EC" w:rsidP="00BA59E4">
            <w:pPr>
              <w:rPr>
                <w:b/>
                <w:bCs/>
                <w:sz w:val="22"/>
                <w:szCs w:val="22"/>
              </w:rPr>
            </w:pPr>
            <w:r w:rsidRPr="008D1ACA">
              <w:rPr>
                <w:sz w:val="22"/>
                <w:szCs w:val="22"/>
              </w:rPr>
              <w:t>1.09i</w:t>
            </w:r>
          </w:p>
        </w:tc>
        <w:tc>
          <w:tcPr>
            <w:tcW w:w="3119" w:type="dxa"/>
          </w:tcPr>
          <w:p w:rsidR="008870EC" w:rsidRPr="008D1ACA" w:rsidRDefault="00CC6A78" w:rsidP="00BA59E4">
            <w:pPr>
              <w:rPr>
                <w:sz w:val="22"/>
                <w:szCs w:val="22"/>
              </w:rPr>
            </w:pPr>
            <w:r w:rsidRPr="008D1ACA">
              <w:rPr>
                <w:sz w:val="22"/>
                <w:szCs w:val="22"/>
              </w:rPr>
              <w:t>Percentage</w:t>
            </w:r>
            <w:r w:rsidR="008870EC" w:rsidRPr="008D1ACA">
              <w:rPr>
                <w:sz w:val="22"/>
                <w:szCs w:val="22"/>
              </w:rPr>
              <w:t xml:space="preserve"> of employees who had at least one day off sick in the previous week </w:t>
            </w:r>
          </w:p>
        </w:tc>
        <w:tc>
          <w:tcPr>
            <w:tcW w:w="1134" w:type="dxa"/>
          </w:tcPr>
          <w:p w:rsidR="008870EC" w:rsidRPr="008D1ACA" w:rsidRDefault="008D1ACA" w:rsidP="00BA59E4">
            <w:pPr>
              <w:rPr>
                <w:sz w:val="22"/>
                <w:szCs w:val="22"/>
              </w:rPr>
            </w:pPr>
            <w:r>
              <w:rPr>
                <w:sz w:val="22"/>
                <w:szCs w:val="22"/>
              </w:rPr>
              <w:t>2009-11</w:t>
            </w:r>
          </w:p>
        </w:tc>
        <w:tc>
          <w:tcPr>
            <w:tcW w:w="3118" w:type="dxa"/>
          </w:tcPr>
          <w:p w:rsidR="008870EC" w:rsidRPr="008D1ACA" w:rsidRDefault="008870EC" w:rsidP="00BA59E4">
            <w:pPr>
              <w:rPr>
                <w:sz w:val="22"/>
                <w:szCs w:val="22"/>
              </w:rPr>
            </w:pPr>
            <w:r w:rsidRPr="008D1ACA">
              <w:rPr>
                <w:sz w:val="22"/>
                <w:szCs w:val="22"/>
              </w:rPr>
              <w:t>New Baseline</w:t>
            </w:r>
            <w:r w:rsidR="005D438C">
              <w:rPr>
                <w:sz w:val="22"/>
                <w:szCs w:val="22"/>
              </w:rPr>
              <w:t>*</w:t>
            </w:r>
          </w:p>
        </w:tc>
        <w:tc>
          <w:tcPr>
            <w:tcW w:w="1843" w:type="dxa"/>
          </w:tcPr>
          <w:p w:rsidR="008870EC" w:rsidRPr="008D1ACA" w:rsidRDefault="007945F5" w:rsidP="00BA59E4">
            <w:pPr>
              <w:rPr>
                <w:sz w:val="22"/>
                <w:szCs w:val="22"/>
              </w:rPr>
            </w:pPr>
            <w:r>
              <w:rPr>
                <w:sz w:val="22"/>
                <w:szCs w:val="22"/>
              </w:rPr>
              <w:t>No</w:t>
            </w:r>
          </w:p>
        </w:tc>
      </w:tr>
      <w:tr w:rsidR="008870EC" w:rsidRPr="0080263B" w:rsidTr="00AE335A">
        <w:tc>
          <w:tcPr>
            <w:tcW w:w="993" w:type="dxa"/>
          </w:tcPr>
          <w:p w:rsidR="008870EC" w:rsidRPr="008D1ACA" w:rsidRDefault="008870EC" w:rsidP="00BA59E4">
            <w:pPr>
              <w:rPr>
                <w:sz w:val="22"/>
                <w:szCs w:val="22"/>
              </w:rPr>
            </w:pPr>
            <w:r w:rsidRPr="008D1ACA">
              <w:rPr>
                <w:sz w:val="22"/>
                <w:szCs w:val="22"/>
              </w:rPr>
              <w:t>1.09ii</w:t>
            </w:r>
          </w:p>
        </w:tc>
        <w:tc>
          <w:tcPr>
            <w:tcW w:w="3119" w:type="dxa"/>
          </w:tcPr>
          <w:p w:rsidR="008870EC" w:rsidRPr="008D1ACA" w:rsidRDefault="00581D84" w:rsidP="00BA59E4">
            <w:pPr>
              <w:rPr>
                <w:sz w:val="22"/>
                <w:szCs w:val="22"/>
              </w:rPr>
            </w:pPr>
            <w:r>
              <w:rPr>
                <w:sz w:val="22"/>
                <w:szCs w:val="22"/>
              </w:rPr>
              <w:t>Percentage</w:t>
            </w:r>
            <w:r w:rsidR="008870EC" w:rsidRPr="008D1ACA">
              <w:rPr>
                <w:sz w:val="22"/>
                <w:szCs w:val="22"/>
              </w:rPr>
              <w:t xml:space="preserve"> of working days lost due to sickness absence</w:t>
            </w:r>
          </w:p>
        </w:tc>
        <w:tc>
          <w:tcPr>
            <w:tcW w:w="1134" w:type="dxa"/>
          </w:tcPr>
          <w:p w:rsidR="008870EC" w:rsidRPr="008D1ACA" w:rsidRDefault="008D1ACA" w:rsidP="00BA59E4">
            <w:pPr>
              <w:rPr>
                <w:sz w:val="22"/>
                <w:szCs w:val="22"/>
              </w:rPr>
            </w:pPr>
            <w:r>
              <w:rPr>
                <w:sz w:val="22"/>
                <w:szCs w:val="22"/>
              </w:rPr>
              <w:t>2009-11</w:t>
            </w:r>
          </w:p>
        </w:tc>
        <w:tc>
          <w:tcPr>
            <w:tcW w:w="3118" w:type="dxa"/>
          </w:tcPr>
          <w:p w:rsidR="008870EC" w:rsidRPr="008D1ACA" w:rsidRDefault="008870EC" w:rsidP="005D438C">
            <w:pPr>
              <w:rPr>
                <w:sz w:val="22"/>
                <w:szCs w:val="22"/>
              </w:rPr>
            </w:pPr>
            <w:r w:rsidRPr="008D1ACA">
              <w:rPr>
                <w:sz w:val="22"/>
                <w:szCs w:val="22"/>
              </w:rPr>
              <w:t>New Baseline</w:t>
            </w:r>
            <w:r w:rsidR="005D438C">
              <w:rPr>
                <w:sz w:val="22"/>
                <w:szCs w:val="22"/>
              </w:rPr>
              <w:t>*</w:t>
            </w:r>
          </w:p>
        </w:tc>
        <w:tc>
          <w:tcPr>
            <w:tcW w:w="1843" w:type="dxa"/>
          </w:tcPr>
          <w:p w:rsidR="008870EC" w:rsidRPr="008D1ACA" w:rsidRDefault="007945F5" w:rsidP="00BA59E4">
            <w:pPr>
              <w:rPr>
                <w:sz w:val="22"/>
                <w:szCs w:val="22"/>
              </w:rPr>
            </w:pPr>
            <w:r>
              <w:rPr>
                <w:sz w:val="22"/>
                <w:szCs w:val="22"/>
              </w:rPr>
              <w:t>No</w:t>
            </w:r>
          </w:p>
        </w:tc>
      </w:tr>
      <w:tr w:rsidR="008870EC" w:rsidRPr="0080263B" w:rsidTr="00AE335A">
        <w:tc>
          <w:tcPr>
            <w:tcW w:w="993" w:type="dxa"/>
          </w:tcPr>
          <w:p w:rsidR="008870EC" w:rsidRPr="008D1ACA" w:rsidRDefault="008870EC" w:rsidP="00BA59E4">
            <w:pPr>
              <w:rPr>
                <w:b/>
                <w:bCs/>
                <w:sz w:val="22"/>
                <w:szCs w:val="22"/>
              </w:rPr>
            </w:pPr>
            <w:r w:rsidRPr="008D1ACA">
              <w:rPr>
                <w:b/>
                <w:bCs/>
                <w:sz w:val="22"/>
                <w:szCs w:val="22"/>
              </w:rPr>
              <w:t>1.10</w:t>
            </w:r>
          </w:p>
        </w:tc>
        <w:tc>
          <w:tcPr>
            <w:tcW w:w="3119" w:type="dxa"/>
          </w:tcPr>
          <w:p w:rsidR="008870EC" w:rsidRPr="008D1ACA" w:rsidRDefault="00CC6A78" w:rsidP="00BA59E4">
            <w:pPr>
              <w:rPr>
                <w:b/>
                <w:sz w:val="22"/>
                <w:szCs w:val="22"/>
              </w:rPr>
            </w:pPr>
            <w:r w:rsidRPr="008D1ACA">
              <w:rPr>
                <w:b/>
                <w:sz w:val="22"/>
                <w:szCs w:val="22"/>
              </w:rPr>
              <w:t>Killed and seriously injured casualties on England’s roads</w:t>
            </w:r>
          </w:p>
        </w:tc>
        <w:tc>
          <w:tcPr>
            <w:tcW w:w="1134" w:type="dxa"/>
          </w:tcPr>
          <w:p w:rsidR="008870EC" w:rsidRPr="008D1ACA" w:rsidRDefault="008870EC" w:rsidP="00BA59E4">
            <w:pPr>
              <w:rPr>
                <w:sz w:val="22"/>
                <w:szCs w:val="22"/>
              </w:rPr>
            </w:pPr>
          </w:p>
        </w:tc>
        <w:tc>
          <w:tcPr>
            <w:tcW w:w="3118" w:type="dxa"/>
          </w:tcPr>
          <w:p w:rsidR="008870EC" w:rsidRPr="008D1ACA" w:rsidRDefault="008870EC" w:rsidP="00BA59E4">
            <w:pPr>
              <w:rPr>
                <w:sz w:val="22"/>
                <w:szCs w:val="22"/>
              </w:rPr>
            </w:pPr>
          </w:p>
        </w:tc>
        <w:tc>
          <w:tcPr>
            <w:tcW w:w="1843" w:type="dxa"/>
          </w:tcPr>
          <w:p w:rsidR="008870EC" w:rsidRPr="008D1ACA" w:rsidRDefault="008870EC" w:rsidP="00BA59E4">
            <w:pPr>
              <w:rPr>
                <w:sz w:val="22"/>
                <w:szCs w:val="22"/>
              </w:rPr>
            </w:pPr>
          </w:p>
        </w:tc>
      </w:tr>
      <w:tr w:rsidR="008870EC" w:rsidRPr="0080263B" w:rsidTr="00AE335A">
        <w:trPr>
          <w:trHeight w:val="269"/>
        </w:trPr>
        <w:tc>
          <w:tcPr>
            <w:tcW w:w="993" w:type="dxa"/>
          </w:tcPr>
          <w:p w:rsidR="008870EC" w:rsidRPr="008D1ACA" w:rsidRDefault="008870EC" w:rsidP="00BA59E4">
            <w:pPr>
              <w:rPr>
                <w:bCs/>
                <w:sz w:val="22"/>
                <w:szCs w:val="22"/>
              </w:rPr>
            </w:pPr>
            <w:r w:rsidRPr="008D1ACA">
              <w:rPr>
                <w:bCs/>
                <w:sz w:val="22"/>
                <w:szCs w:val="22"/>
              </w:rPr>
              <w:t>1.10</w:t>
            </w:r>
          </w:p>
        </w:tc>
        <w:tc>
          <w:tcPr>
            <w:tcW w:w="3119" w:type="dxa"/>
          </w:tcPr>
          <w:p w:rsidR="008870EC" w:rsidRPr="008D1ACA" w:rsidRDefault="00D74F55" w:rsidP="00CC6A78">
            <w:pPr>
              <w:rPr>
                <w:sz w:val="22"/>
                <w:szCs w:val="22"/>
              </w:rPr>
            </w:pPr>
            <w:r w:rsidRPr="008D1ACA">
              <w:rPr>
                <w:sz w:val="22"/>
                <w:szCs w:val="22"/>
              </w:rPr>
              <w:t>Number of people reported killed or seriously injured on the roads, all ages, per 100,000 resident population</w:t>
            </w:r>
          </w:p>
        </w:tc>
        <w:tc>
          <w:tcPr>
            <w:tcW w:w="1134" w:type="dxa"/>
          </w:tcPr>
          <w:p w:rsidR="008870EC" w:rsidRPr="008D1ACA" w:rsidRDefault="00D74F55" w:rsidP="00BA59E4">
            <w:pPr>
              <w:rPr>
                <w:sz w:val="22"/>
                <w:szCs w:val="22"/>
              </w:rPr>
            </w:pPr>
            <w:r w:rsidRPr="008D1ACA">
              <w:rPr>
                <w:sz w:val="22"/>
                <w:szCs w:val="22"/>
              </w:rPr>
              <w:t>NA</w:t>
            </w:r>
          </w:p>
        </w:tc>
        <w:tc>
          <w:tcPr>
            <w:tcW w:w="3118" w:type="dxa"/>
          </w:tcPr>
          <w:p w:rsidR="008870EC" w:rsidRPr="008D1ACA" w:rsidRDefault="00D74F55" w:rsidP="00BA59E4">
            <w:pPr>
              <w:rPr>
                <w:sz w:val="22"/>
                <w:szCs w:val="22"/>
              </w:rPr>
            </w:pPr>
            <w:r w:rsidRPr="00581D84">
              <w:rPr>
                <w:sz w:val="22"/>
                <w:szCs w:val="22"/>
              </w:rPr>
              <w:t>Revisions to existing data based upon revised population data from ONS</w:t>
            </w:r>
            <w:r w:rsidR="00750653">
              <w:rPr>
                <w:sz w:val="22"/>
                <w:szCs w:val="22"/>
              </w:rPr>
              <w:t>**</w:t>
            </w:r>
          </w:p>
        </w:tc>
        <w:tc>
          <w:tcPr>
            <w:tcW w:w="1843" w:type="dxa"/>
          </w:tcPr>
          <w:p w:rsidR="008870EC" w:rsidRPr="008D1ACA" w:rsidRDefault="007945F5" w:rsidP="00BA59E4">
            <w:pPr>
              <w:rPr>
                <w:sz w:val="22"/>
                <w:szCs w:val="22"/>
              </w:rPr>
            </w:pPr>
            <w:r>
              <w:rPr>
                <w:sz w:val="22"/>
                <w:szCs w:val="22"/>
              </w:rPr>
              <w:t>Yes</w:t>
            </w:r>
          </w:p>
        </w:tc>
      </w:tr>
      <w:tr w:rsidR="008870EC" w:rsidRPr="0080263B" w:rsidTr="00AE335A">
        <w:trPr>
          <w:trHeight w:val="772"/>
        </w:trPr>
        <w:tc>
          <w:tcPr>
            <w:tcW w:w="993" w:type="dxa"/>
          </w:tcPr>
          <w:p w:rsidR="008870EC" w:rsidRPr="008D1ACA" w:rsidRDefault="008870EC" w:rsidP="00BA59E4">
            <w:pPr>
              <w:rPr>
                <w:b/>
                <w:color w:val="000000"/>
                <w:sz w:val="22"/>
                <w:szCs w:val="22"/>
              </w:rPr>
            </w:pPr>
            <w:r w:rsidRPr="008D1ACA">
              <w:rPr>
                <w:b/>
                <w:color w:val="000000"/>
                <w:sz w:val="22"/>
                <w:szCs w:val="22"/>
              </w:rPr>
              <w:t>1.14</w:t>
            </w:r>
          </w:p>
        </w:tc>
        <w:tc>
          <w:tcPr>
            <w:tcW w:w="3119" w:type="dxa"/>
          </w:tcPr>
          <w:p w:rsidR="008870EC" w:rsidRPr="008D1ACA" w:rsidRDefault="00D74F55" w:rsidP="00BA59E4">
            <w:pPr>
              <w:rPr>
                <w:b/>
                <w:color w:val="000000"/>
                <w:sz w:val="22"/>
                <w:szCs w:val="22"/>
              </w:rPr>
            </w:pPr>
            <w:r w:rsidRPr="008D1ACA">
              <w:rPr>
                <w:b/>
                <w:color w:val="000000"/>
                <w:sz w:val="22"/>
                <w:szCs w:val="22"/>
              </w:rPr>
              <w:t>The percentage of the population affected by noise</w:t>
            </w:r>
          </w:p>
        </w:tc>
        <w:tc>
          <w:tcPr>
            <w:tcW w:w="1134" w:type="dxa"/>
          </w:tcPr>
          <w:p w:rsidR="008870EC" w:rsidRPr="008D1ACA" w:rsidRDefault="008870EC" w:rsidP="00BA59E4">
            <w:pPr>
              <w:rPr>
                <w:b/>
                <w:color w:val="000000"/>
                <w:sz w:val="22"/>
                <w:szCs w:val="22"/>
              </w:rPr>
            </w:pPr>
          </w:p>
        </w:tc>
        <w:tc>
          <w:tcPr>
            <w:tcW w:w="3118" w:type="dxa"/>
          </w:tcPr>
          <w:p w:rsidR="008870EC" w:rsidRPr="008D1ACA" w:rsidRDefault="008870EC" w:rsidP="00BA59E4">
            <w:pPr>
              <w:rPr>
                <w:b/>
                <w:color w:val="000000"/>
                <w:sz w:val="22"/>
                <w:szCs w:val="22"/>
              </w:rPr>
            </w:pPr>
          </w:p>
        </w:tc>
        <w:tc>
          <w:tcPr>
            <w:tcW w:w="1843" w:type="dxa"/>
          </w:tcPr>
          <w:p w:rsidR="008870EC" w:rsidRPr="008D1ACA" w:rsidRDefault="008870EC" w:rsidP="00BA59E4">
            <w:pPr>
              <w:rPr>
                <w:b/>
                <w:sz w:val="22"/>
                <w:szCs w:val="22"/>
              </w:rPr>
            </w:pPr>
          </w:p>
        </w:tc>
      </w:tr>
      <w:tr w:rsidR="008870EC" w:rsidRPr="0080263B" w:rsidTr="00AE335A">
        <w:trPr>
          <w:trHeight w:val="772"/>
        </w:trPr>
        <w:tc>
          <w:tcPr>
            <w:tcW w:w="993" w:type="dxa"/>
          </w:tcPr>
          <w:p w:rsidR="008870EC" w:rsidRPr="008D1ACA" w:rsidRDefault="008870EC" w:rsidP="00BA59E4">
            <w:pPr>
              <w:rPr>
                <w:sz w:val="22"/>
                <w:szCs w:val="22"/>
              </w:rPr>
            </w:pPr>
            <w:r w:rsidRPr="008D1ACA">
              <w:rPr>
                <w:sz w:val="22"/>
                <w:szCs w:val="22"/>
              </w:rPr>
              <w:t>1.14i</w:t>
            </w:r>
          </w:p>
        </w:tc>
        <w:tc>
          <w:tcPr>
            <w:tcW w:w="3119" w:type="dxa"/>
          </w:tcPr>
          <w:p w:rsidR="008870EC" w:rsidRPr="008D1ACA" w:rsidRDefault="00D74F55" w:rsidP="00BA59E4">
            <w:pPr>
              <w:rPr>
                <w:sz w:val="22"/>
                <w:szCs w:val="22"/>
              </w:rPr>
            </w:pPr>
            <w:r w:rsidRPr="008D1ACA">
              <w:rPr>
                <w:sz w:val="22"/>
                <w:szCs w:val="22"/>
              </w:rPr>
              <w:t>Number of complaints per year per local authority about noise per thousand population (according to statistics collected by CIEH)</w:t>
            </w:r>
          </w:p>
        </w:tc>
        <w:tc>
          <w:tcPr>
            <w:tcW w:w="1134" w:type="dxa"/>
          </w:tcPr>
          <w:p w:rsidR="008870EC" w:rsidRPr="008D1ACA" w:rsidRDefault="00D74F55" w:rsidP="00BA59E4">
            <w:pPr>
              <w:rPr>
                <w:sz w:val="22"/>
                <w:szCs w:val="22"/>
              </w:rPr>
            </w:pPr>
            <w:r w:rsidRPr="008D1ACA">
              <w:rPr>
                <w:sz w:val="22"/>
                <w:szCs w:val="22"/>
              </w:rPr>
              <w:t>2011/12</w:t>
            </w:r>
          </w:p>
        </w:tc>
        <w:tc>
          <w:tcPr>
            <w:tcW w:w="3118" w:type="dxa"/>
          </w:tcPr>
          <w:p w:rsidR="008870EC" w:rsidRPr="008D1ACA" w:rsidRDefault="00D74F55" w:rsidP="00D74F55">
            <w:pPr>
              <w:rPr>
                <w:b/>
                <w:bCs/>
                <w:sz w:val="22"/>
                <w:szCs w:val="22"/>
              </w:rPr>
            </w:pPr>
            <w:r w:rsidRPr="008D1ACA">
              <w:rPr>
                <w:sz w:val="22"/>
                <w:szCs w:val="22"/>
              </w:rPr>
              <w:t xml:space="preserve">Updated data (baseline </w:t>
            </w:r>
            <w:r w:rsidRPr="00581D84">
              <w:rPr>
                <w:sz w:val="22"/>
                <w:szCs w:val="22"/>
              </w:rPr>
              <w:t>period – 2010/11) and revisions to existing data based upon revised population data from ONS</w:t>
            </w:r>
            <w:r w:rsidR="00750653">
              <w:rPr>
                <w:sz w:val="22"/>
                <w:szCs w:val="22"/>
              </w:rPr>
              <w:t>**</w:t>
            </w:r>
          </w:p>
        </w:tc>
        <w:tc>
          <w:tcPr>
            <w:tcW w:w="1843" w:type="dxa"/>
          </w:tcPr>
          <w:p w:rsidR="008870EC" w:rsidRPr="008D1ACA" w:rsidRDefault="007945F5" w:rsidP="00BA59E4">
            <w:pPr>
              <w:rPr>
                <w:sz w:val="22"/>
                <w:szCs w:val="22"/>
              </w:rPr>
            </w:pPr>
            <w:r>
              <w:rPr>
                <w:sz w:val="22"/>
                <w:szCs w:val="22"/>
              </w:rPr>
              <w:t>Yes</w:t>
            </w:r>
          </w:p>
        </w:tc>
      </w:tr>
      <w:tr w:rsidR="008870EC" w:rsidRPr="0080263B" w:rsidTr="00AE335A">
        <w:trPr>
          <w:trHeight w:val="772"/>
        </w:trPr>
        <w:tc>
          <w:tcPr>
            <w:tcW w:w="993" w:type="dxa"/>
          </w:tcPr>
          <w:p w:rsidR="008870EC" w:rsidRPr="008D1ACA" w:rsidRDefault="008870EC" w:rsidP="00BA59E4">
            <w:pPr>
              <w:rPr>
                <w:b/>
                <w:bCs/>
                <w:sz w:val="22"/>
                <w:szCs w:val="22"/>
              </w:rPr>
            </w:pPr>
            <w:r w:rsidRPr="008D1ACA">
              <w:rPr>
                <w:b/>
                <w:bCs/>
                <w:sz w:val="22"/>
                <w:szCs w:val="22"/>
              </w:rPr>
              <w:t>1.18</w:t>
            </w:r>
          </w:p>
        </w:tc>
        <w:tc>
          <w:tcPr>
            <w:tcW w:w="3119" w:type="dxa"/>
          </w:tcPr>
          <w:p w:rsidR="008870EC" w:rsidRPr="008D1ACA" w:rsidRDefault="008870EC" w:rsidP="00BA59E4">
            <w:pPr>
              <w:rPr>
                <w:b/>
                <w:sz w:val="22"/>
                <w:szCs w:val="22"/>
              </w:rPr>
            </w:pPr>
            <w:r w:rsidRPr="008D1ACA">
              <w:rPr>
                <w:b/>
                <w:sz w:val="22"/>
                <w:szCs w:val="22"/>
              </w:rPr>
              <w:t xml:space="preserve">Social isolation </w:t>
            </w:r>
            <w:r w:rsidR="00D74F55" w:rsidRPr="008D1ACA">
              <w:rPr>
                <w:b/>
                <w:sz w:val="22"/>
                <w:szCs w:val="22"/>
              </w:rPr>
              <w:t>(placeholder)</w:t>
            </w:r>
          </w:p>
          <w:p w:rsidR="008870EC" w:rsidRPr="008D1ACA" w:rsidRDefault="008870EC" w:rsidP="00BA59E4">
            <w:pPr>
              <w:rPr>
                <w:b/>
                <w:bCs/>
                <w:sz w:val="22"/>
                <w:szCs w:val="22"/>
              </w:rPr>
            </w:pPr>
          </w:p>
        </w:tc>
        <w:tc>
          <w:tcPr>
            <w:tcW w:w="1134" w:type="dxa"/>
          </w:tcPr>
          <w:p w:rsidR="008870EC" w:rsidRPr="008D1ACA" w:rsidRDefault="008870EC" w:rsidP="00BA59E4">
            <w:pPr>
              <w:rPr>
                <w:sz w:val="22"/>
                <w:szCs w:val="22"/>
              </w:rPr>
            </w:pPr>
          </w:p>
        </w:tc>
        <w:tc>
          <w:tcPr>
            <w:tcW w:w="3118" w:type="dxa"/>
          </w:tcPr>
          <w:p w:rsidR="008870EC" w:rsidRPr="008D1ACA" w:rsidRDefault="008870EC" w:rsidP="00BA59E4">
            <w:pPr>
              <w:rPr>
                <w:sz w:val="22"/>
                <w:szCs w:val="22"/>
              </w:rPr>
            </w:pPr>
          </w:p>
        </w:tc>
        <w:tc>
          <w:tcPr>
            <w:tcW w:w="1843" w:type="dxa"/>
          </w:tcPr>
          <w:p w:rsidR="008870EC" w:rsidRPr="008D1ACA" w:rsidRDefault="008870EC" w:rsidP="00BA59E4">
            <w:pPr>
              <w:rPr>
                <w:sz w:val="22"/>
                <w:szCs w:val="22"/>
              </w:rPr>
            </w:pPr>
          </w:p>
        </w:tc>
      </w:tr>
      <w:tr w:rsidR="008870EC" w:rsidRPr="0080263B" w:rsidTr="00AE335A">
        <w:trPr>
          <w:trHeight w:val="772"/>
        </w:trPr>
        <w:tc>
          <w:tcPr>
            <w:tcW w:w="993" w:type="dxa"/>
          </w:tcPr>
          <w:p w:rsidR="008870EC" w:rsidRPr="008D1ACA" w:rsidRDefault="008870EC" w:rsidP="00BA59E4">
            <w:pPr>
              <w:rPr>
                <w:sz w:val="22"/>
                <w:szCs w:val="22"/>
              </w:rPr>
            </w:pPr>
            <w:r w:rsidRPr="008D1ACA">
              <w:rPr>
                <w:sz w:val="22"/>
                <w:szCs w:val="22"/>
              </w:rPr>
              <w:t>1.18</w:t>
            </w:r>
          </w:p>
        </w:tc>
        <w:tc>
          <w:tcPr>
            <w:tcW w:w="3119" w:type="dxa"/>
          </w:tcPr>
          <w:p w:rsidR="008870EC" w:rsidRPr="005D438C" w:rsidRDefault="005D438C" w:rsidP="005D438C">
            <w:pPr>
              <w:rPr>
                <w:sz w:val="22"/>
                <w:szCs w:val="22"/>
              </w:rPr>
            </w:pPr>
            <w:r w:rsidRPr="005D438C">
              <w:rPr>
                <w:sz w:val="22"/>
                <w:szCs w:val="22"/>
              </w:rPr>
              <w:t xml:space="preserve">Social Isolation interim measure: Percentage of respondents who </w:t>
            </w:r>
            <w:r w:rsidRPr="005D438C">
              <w:rPr>
                <w:color w:val="000000"/>
                <w:sz w:val="22"/>
                <w:szCs w:val="22"/>
              </w:rPr>
              <w:t>have as much social contact as they want with people they like</w:t>
            </w:r>
          </w:p>
        </w:tc>
        <w:tc>
          <w:tcPr>
            <w:tcW w:w="1134" w:type="dxa"/>
          </w:tcPr>
          <w:p w:rsidR="008870EC" w:rsidRPr="008D1ACA" w:rsidRDefault="005D438C" w:rsidP="00BA59E4">
            <w:pPr>
              <w:rPr>
                <w:sz w:val="22"/>
                <w:szCs w:val="22"/>
              </w:rPr>
            </w:pPr>
            <w:r>
              <w:rPr>
                <w:sz w:val="22"/>
                <w:szCs w:val="22"/>
              </w:rPr>
              <w:t>2010/11</w:t>
            </w:r>
            <w:r w:rsidR="007945F5">
              <w:rPr>
                <w:sz w:val="22"/>
                <w:szCs w:val="22"/>
              </w:rPr>
              <w:t xml:space="preserve"> &amp; 2011/12</w:t>
            </w:r>
          </w:p>
        </w:tc>
        <w:tc>
          <w:tcPr>
            <w:tcW w:w="3118" w:type="dxa"/>
          </w:tcPr>
          <w:p w:rsidR="008870EC" w:rsidRPr="008D1ACA" w:rsidRDefault="008870EC" w:rsidP="00BA59E4">
            <w:pPr>
              <w:rPr>
                <w:sz w:val="22"/>
                <w:szCs w:val="22"/>
              </w:rPr>
            </w:pPr>
            <w:r w:rsidRPr="008D1ACA">
              <w:rPr>
                <w:sz w:val="22"/>
                <w:szCs w:val="22"/>
              </w:rPr>
              <w:t>New Baseline</w:t>
            </w:r>
            <w:r w:rsidR="00581D84">
              <w:rPr>
                <w:sz w:val="22"/>
                <w:szCs w:val="22"/>
              </w:rPr>
              <w:t>**</w:t>
            </w:r>
            <w:r w:rsidR="00750653">
              <w:rPr>
                <w:sz w:val="22"/>
                <w:szCs w:val="22"/>
              </w:rPr>
              <w:t>*</w:t>
            </w:r>
          </w:p>
        </w:tc>
        <w:tc>
          <w:tcPr>
            <w:tcW w:w="1843" w:type="dxa"/>
          </w:tcPr>
          <w:p w:rsidR="008870EC" w:rsidRPr="008D1ACA" w:rsidRDefault="007945F5" w:rsidP="00BA59E4">
            <w:pPr>
              <w:rPr>
                <w:sz w:val="22"/>
                <w:szCs w:val="22"/>
              </w:rPr>
            </w:pPr>
            <w:r>
              <w:rPr>
                <w:sz w:val="22"/>
                <w:szCs w:val="22"/>
              </w:rPr>
              <w:t>Yes</w:t>
            </w:r>
          </w:p>
        </w:tc>
      </w:tr>
      <w:tr w:rsidR="00D74F55" w:rsidRPr="0080263B" w:rsidTr="00AE335A">
        <w:trPr>
          <w:trHeight w:val="386"/>
        </w:trPr>
        <w:tc>
          <w:tcPr>
            <w:tcW w:w="993" w:type="dxa"/>
          </w:tcPr>
          <w:p w:rsidR="00D74F55" w:rsidRPr="008D1ACA" w:rsidRDefault="00D74F55" w:rsidP="00BA59E4">
            <w:pPr>
              <w:rPr>
                <w:b/>
                <w:sz w:val="22"/>
                <w:szCs w:val="22"/>
              </w:rPr>
            </w:pPr>
            <w:r w:rsidRPr="008D1ACA">
              <w:rPr>
                <w:b/>
                <w:sz w:val="22"/>
                <w:szCs w:val="22"/>
              </w:rPr>
              <w:t>2.04</w:t>
            </w:r>
          </w:p>
        </w:tc>
        <w:tc>
          <w:tcPr>
            <w:tcW w:w="3119" w:type="dxa"/>
          </w:tcPr>
          <w:p w:rsidR="00D74F55" w:rsidRPr="008D1ACA" w:rsidRDefault="00D74F55" w:rsidP="00BA59E4">
            <w:pPr>
              <w:rPr>
                <w:b/>
                <w:sz w:val="22"/>
                <w:szCs w:val="22"/>
              </w:rPr>
            </w:pPr>
            <w:r w:rsidRPr="008D1ACA">
              <w:rPr>
                <w:b/>
                <w:sz w:val="22"/>
                <w:szCs w:val="22"/>
              </w:rPr>
              <w:t>Under 18 conceptions</w:t>
            </w:r>
          </w:p>
        </w:tc>
        <w:tc>
          <w:tcPr>
            <w:tcW w:w="1134" w:type="dxa"/>
          </w:tcPr>
          <w:p w:rsidR="00D74F55" w:rsidRPr="008D1ACA" w:rsidRDefault="00D74F55" w:rsidP="00BA59E4">
            <w:pPr>
              <w:rPr>
                <w:sz w:val="22"/>
                <w:szCs w:val="22"/>
              </w:rPr>
            </w:pPr>
          </w:p>
        </w:tc>
        <w:tc>
          <w:tcPr>
            <w:tcW w:w="3118" w:type="dxa"/>
          </w:tcPr>
          <w:p w:rsidR="00D74F55" w:rsidRPr="008D1ACA" w:rsidRDefault="00D74F55" w:rsidP="00BA59E4">
            <w:pPr>
              <w:rPr>
                <w:sz w:val="22"/>
                <w:szCs w:val="22"/>
              </w:rPr>
            </w:pPr>
          </w:p>
        </w:tc>
        <w:tc>
          <w:tcPr>
            <w:tcW w:w="1843" w:type="dxa"/>
          </w:tcPr>
          <w:p w:rsidR="00D74F55" w:rsidRPr="008D1ACA" w:rsidRDefault="00D74F55" w:rsidP="00BA59E4">
            <w:pPr>
              <w:rPr>
                <w:sz w:val="22"/>
                <w:szCs w:val="22"/>
              </w:rPr>
            </w:pPr>
          </w:p>
        </w:tc>
      </w:tr>
      <w:tr w:rsidR="005D438C" w:rsidRPr="0080263B" w:rsidTr="00AE335A">
        <w:trPr>
          <w:trHeight w:val="386"/>
        </w:trPr>
        <w:tc>
          <w:tcPr>
            <w:tcW w:w="993" w:type="dxa"/>
          </w:tcPr>
          <w:p w:rsidR="005D438C" w:rsidRPr="008D1ACA" w:rsidRDefault="005D438C" w:rsidP="00BA59E4">
            <w:pPr>
              <w:rPr>
                <w:sz w:val="22"/>
                <w:szCs w:val="22"/>
              </w:rPr>
            </w:pPr>
            <w:r w:rsidRPr="008D1ACA">
              <w:rPr>
                <w:sz w:val="22"/>
                <w:szCs w:val="22"/>
              </w:rPr>
              <w:t>2.04</w:t>
            </w:r>
          </w:p>
        </w:tc>
        <w:tc>
          <w:tcPr>
            <w:tcW w:w="3119" w:type="dxa"/>
          </w:tcPr>
          <w:p w:rsidR="005D438C" w:rsidRPr="008D1ACA" w:rsidRDefault="005D438C" w:rsidP="00BA59E4">
            <w:pPr>
              <w:rPr>
                <w:sz w:val="22"/>
                <w:szCs w:val="22"/>
              </w:rPr>
            </w:pPr>
            <w:r w:rsidRPr="008D1ACA">
              <w:rPr>
                <w:sz w:val="22"/>
                <w:szCs w:val="22"/>
              </w:rPr>
              <w:t>Under 18 conception rate per 1,000 population</w:t>
            </w:r>
          </w:p>
        </w:tc>
        <w:tc>
          <w:tcPr>
            <w:tcW w:w="1134" w:type="dxa"/>
          </w:tcPr>
          <w:p w:rsidR="005D438C" w:rsidRPr="008D1ACA" w:rsidRDefault="00752D18" w:rsidP="00752D18">
            <w:pPr>
              <w:rPr>
                <w:sz w:val="22"/>
                <w:szCs w:val="22"/>
              </w:rPr>
            </w:pPr>
            <w:r>
              <w:rPr>
                <w:sz w:val="22"/>
                <w:szCs w:val="22"/>
              </w:rPr>
              <w:t>1998 - 2009</w:t>
            </w:r>
          </w:p>
        </w:tc>
        <w:tc>
          <w:tcPr>
            <w:tcW w:w="3118" w:type="dxa"/>
          </w:tcPr>
          <w:p w:rsidR="005D438C" w:rsidRPr="008D1ACA" w:rsidRDefault="005D438C" w:rsidP="00BA59E4">
            <w:pPr>
              <w:rPr>
                <w:sz w:val="22"/>
                <w:szCs w:val="22"/>
              </w:rPr>
            </w:pPr>
            <w:r w:rsidRPr="008D1ACA">
              <w:rPr>
                <w:sz w:val="22"/>
                <w:szCs w:val="22"/>
              </w:rPr>
              <w:t>Additional trend data provided that pre-dates PHOF baseline</w:t>
            </w:r>
          </w:p>
        </w:tc>
        <w:tc>
          <w:tcPr>
            <w:tcW w:w="1843" w:type="dxa"/>
          </w:tcPr>
          <w:p w:rsidR="005D438C" w:rsidRPr="008D1ACA" w:rsidRDefault="00752D18" w:rsidP="00BA59E4">
            <w:pPr>
              <w:rPr>
                <w:sz w:val="22"/>
                <w:szCs w:val="22"/>
              </w:rPr>
            </w:pPr>
            <w:r>
              <w:rPr>
                <w:sz w:val="22"/>
                <w:szCs w:val="22"/>
              </w:rPr>
              <w:t>Yes</w:t>
            </w:r>
          </w:p>
        </w:tc>
      </w:tr>
      <w:tr w:rsidR="005D438C" w:rsidRPr="0080263B" w:rsidTr="00AE335A">
        <w:trPr>
          <w:trHeight w:val="386"/>
        </w:trPr>
        <w:tc>
          <w:tcPr>
            <w:tcW w:w="993" w:type="dxa"/>
          </w:tcPr>
          <w:p w:rsidR="005D438C" w:rsidRPr="008D1ACA" w:rsidRDefault="005D438C" w:rsidP="00BA59E4">
            <w:pPr>
              <w:rPr>
                <w:b/>
                <w:sz w:val="22"/>
                <w:szCs w:val="22"/>
              </w:rPr>
            </w:pPr>
            <w:r w:rsidRPr="008D1ACA">
              <w:rPr>
                <w:b/>
                <w:sz w:val="22"/>
                <w:szCs w:val="22"/>
              </w:rPr>
              <w:t>2.06</w:t>
            </w:r>
          </w:p>
        </w:tc>
        <w:tc>
          <w:tcPr>
            <w:tcW w:w="3119" w:type="dxa"/>
          </w:tcPr>
          <w:p w:rsidR="005D438C" w:rsidRPr="008D1ACA" w:rsidRDefault="005D438C" w:rsidP="00BA59E4">
            <w:pPr>
              <w:rPr>
                <w:b/>
                <w:sz w:val="22"/>
                <w:szCs w:val="22"/>
              </w:rPr>
            </w:pPr>
            <w:r w:rsidRPr="008D1ACA">
              <w:rPr>
                <w:b/>
                <w:sz w:val="22"/>
                <w:szCs w:val="22"/>
              </w:rPr>
              <w:t>Excess weight in 4-5 and 10-11 year olds</w:t>
            </w:r>
          </w:p>
        </w:tc>
        <w:tc>
          <w:tcPr>
            <w:tcW w:w="1134" w:type="dxa"/>
          </w:tcPr>
          <w:p w:rsidR="005D438C" w:rsidRPr="008D1ACA" w:rsidRDefault="005D438C" w:rsidP="00BA59E4">
            <w:pPr>
              <w:rPr>
                <w:b/>
                <w:sz w:val="22"/>
                <w:szCs w:val="22"/>
              </w:rPr>
            </w:pPr>
          </w:p>
        </w:tc>
        <w:tc>
          <w:tcPr>
            <w:tcW w:w="3118" w:type="dxa"/>
          </w:tcPr>
          <w:p w:rsidR="005D438C" w:rsidRPr="008D1ACA" w:rsidRDefault="005D438C" w:rsidP="00BA59E4">
            <w:pPr>
              <w:rPr>
                <w:b/>
                <w:sz w:val="22"/>
                <w:szCs w:val="22"/>
              </w:rPr>
            </w:pPr>
          </w:p>
        </w:tc>
        <w:tc>
          <w:tcPr>
            <w:tcW w:w="1843" w:type="dxa"/>
          </w:tcPr>
          <w:p w:rsidR="005D438C" w:rsidRPr="008D1ACA" w:rsidRDefault="005D438C" w:rsidP="00BA59E4">
            <w:pPr>
              <w:rPr>
                <w:b/>
                <w:sz w:val="22"/>
                <w:szCs w:val="22"/>
              </w:rPr>
            </w:pPr>
          </w:p>
        </w:tc>
      </w:tr>
      <w:tr w:rsidR="005D438C" w:rsidRPr="0080263B" w:rsidTr="00AE335A">
        <w:trPr>
          <w:trHeight w:val="386"/>
        </w:trPr>
        <w:tc>
          <w:tcPr>
            <w:tcW w:w="993" w:type="dxa"/>
          </w:tcPr>
          <w:p w:rsidR="005D438C" w:rsidRPr="008D1ACA" w:rsidRDefault="005D438C" w:rsidP="00BA59E4">
            <w:pPr>
              <w:rPr>
                <w:sz w:val="22"/>
                <w:szCs w:val="22"/>
              </w:rPr>
            </w:pPr>
            <w:r w:rsidRPr="008D1ACA">
              <w:rPr>
                <w:sz w:val="22"/>
                <w:szCs w:val="22"/>
              </w:rPr>
              <w:t>2.06i</w:t>
            </w:r>
          </w:p>
        </w:tc>
        <w:tc>
          <w:tcPr>
            <w:tcW w:w="3119" w:type="dxa"/>
          </w:tcPr>
          <w:p w:rsidR="005D438C" w:rsidRPr="008D1ACA" w:rsidRDefault="005D438C" w:rsidP="009B131C">
            <w:pPr>
              <w:rPr>
                <w:sz w:val="22"/>
                <w:szCs w:val="22"/>
              </w:rPr>
            </w:pPr>
            <w:r w:rsidRPr="008D1ACA">
              <w:rPr>
                <w:sz w:val="22"/>
                <w:szCs w:val="22"/>
              </w:rPr>
              <w:t>Percentage of children aged 4-5 classified as overweight or obese</w:t>
            </w:r>
          </w:p>
        </w:tc>
        <w:tc>
          <w:tcPr>
            <w:tcW w:w="1134" w:type="dxa"/>
          </w:tcPr>
          <w:p w:rsidR="005D438C" w:rsidRPr="008D1ACA" w:rsidRDefault="00752D18" w:rsidP="00BA59E4">
            <w:pPr>
              <w:rPr>
                <w:sz w:val="22"/>
                <w:szCs w:val="22"/>
              </w:rPr>
            </w:pPr>
            <w:r>
              <w:rPr>
                <w:sz w:val="22"/>
                <w:szCs w:val="22"/>
              </w:rPr>
              <w:t>2006/07 – 2009/10</w:t>
            </w:r>
          </w:p>
        </w:tc>
        <w:tc>
          <w:tcPr>
            <w:tcW w:w="3118" w:type="dxa"/>
          </w:tcPr>
          <w:p w:rsidR="005D438C" w:rsidRPr="008D1ACA" w:rsidRDefault="005D438C" w:rsidP="00BA59E4">
            <w:pPr>
              <w:rPr>
                <w:sz w:val="22"/>
                <w:szCs w:val="22"/>
              </w:rPr>
            </w:pPr>
            <w:r w:rsidRPr="008D1ACA">
              <w:rPr>
                <w:sz w:val="22"/>
                <w:szCs w:val="22"/>
              </w:rPr>
              <w:t>Additional trend data provided that pre-dates PHOF baseline</w:t>
            </w:r>
          </w:p>
        </w:tc>
        <w:tc>
          <w:tcPr>
            <w:tcW w:w="1843" w:type="dxa"/>
          </w:tcPr>
          <w:p w:rsidR="005D438C" w:rsidRPr="008D1ACA" w:rsidRDefault="00752D18" w:rsidP="00BA59E4">
            <w:pPr>
              <w:rPr>
                <w:sz w:val="22"/>
                <w:szCs w:val="22"/>
              </w:rPr>
            </w:pPr>
            <w:r>
              <w:rPr>
                <w:sz w:val="22"/>
                <w:szCs w:val="22"/>
              </w:rPr>
              <w:t>Yes</w:t>
            </w:r>
          </w:p>
        </w:tc>
      </w:tr>
      <w:tr w:rsidR="005D438C" w:rsidRPr="0080263B" w:rsidTr="00AE335A">
        <w:trPr>
          <w:trHeight w:val="386"/>
        </w:trPr>
        <w:tc>
          <w:tcPr>
            <w:tcW w:w="993" w:type="dxa"/>
          </w:tcPr>
          <w:p w:rsidR="005D438C" w:rsidRPr="008D1ACA" w:rsidRDefault="005D438C" w:rsidP="00BA59E4">
            <w:pPr>
              <w:rPr>
                <w:sz w:val="22"/>
                <w:szCs w:val="22"/>
              </w:rPr>
            </w:pPr>
            <w:r w:rsidRPr="008D1ACA">
              <w:rPr>
                <w:sz w:val="22"/>
                <w:szCs w:val="22"/>
              </w:rPr>
              <w:t>2.06ii</w:t>
            </w:r>
          </w:p>
        </w:tc>
        <w:tc>
          <w:tcPr>
            <w:tcW w:w="3119" w:type="dxa"/>
          </w:tcPr>
          <w:p w:rsidR="005D438C" w:rsidRPr="008D1ACA" w:rsidRDefault="005D438C" w:rsidP="009B131C">
            <w:pPr>
              <w:rPr>
                <w:sz w:val="22"/>
                <w:szCs w:val="22"/>
              </w:rPr>
            </w:pPr>
            <w:r w:rsidRPr="008D1ACA">
              <w:rPr>
                <w:sz w:val="22"/>
                <w:szCs w:val="22"/>
              </w:rPr>
              <w:t>Percentage of children aged 10-11 classified as overweight or obese</w:t>
            </w:r>
          </w:p>
        </w:tc>
        <w:tc>
          <w:tcPr>
            <w:tcW w:w="1134" w:type="dxa"/>
          </w:tcPr>
          <w:p w:rsidR="005D438C" w:rsidRPr="008D1ACA" w:rsidRDefault="00752D18" w:rsidP="00BA59E4">
            <w:pPr>
              <w:rPr>
                <w:sz w:val="22"/>
                <w:szCs w:val="22"/>
              </w:rPr>
            </w:pPr>
            <w:r>
              <w:rPr>
                <w:sz w:val="22"/>
                <w:szCs w:val="22"/>
              </w:rPr>
              <w:t>2006/07 – 2009/10</w:t>
            </w:r>
          </w:p>
        </w:tc>
        <w:tc>
          <w:tcPr>
            <w:tcW w:w="3118" w:type="dxa"/>
          </w:tcPr>
          <w:p w:rsidR="005D438C" w:rsidRPr="008D1ACA" w:rsidRDefault="005D438C" w:rsidP="00BA59E4">
            <w:pPr>
              <w:rPr>
                <w:sz w:val="22"/>
                <w:szCs w:val="22"/>
              </w:rPr>
            </w:pPr>
            <w:r w:rsidRPr="008D1ACA">
              <w:rPr>
                <w:sz w:val="22"/>
                <w:szCs w:val="22"/>
              </w:rPr>
              <w:t>Additional trend data provided that pre-dates PHOF baseline</w:t>
            </w:r>
          </w:p>
        </w:tc>
        <w:tc>
          <w:tcPr>
            <w:tcW w:w="1843" w:type="dxa"/>
          </w:tcPr>
          <w:p w:rsidR="005D438C" w:rsidRPr="008D1ACA" w:rsidRDefault="00752D18" w:rsidP="00BA59E4">
            <w:pPr>
              <w:rPr>
                <w:sz w:val="22"/>
                <w:szCs w:val="22"/>
              </w:rPr>
            </w:pPr>
            <w:r>
              <w:rPr>
                <w:sz w:val="22"/>
                <w:szCs w:val="22"/>
              </w:rPr>
              <w:t>Yes</w:t>
            </w:r>
          </w:p>
        </w:tc>
      </w:tr>
      <w:tr w:rsidR="005D438C" w:rsidRPr="0080263B" w:rsidTr="00AE335A">
        <w:trPr>
          <w:trHeight w:val="386"/>
        </w:trPr>
        <w:tc>
          <w:tcPr>
            <w:tcW w:w="993" w:type="dxa"/>
          </w:tcPr>
          <w:p w:rsidR="005D438C" w:rsidRPr="008D1ACA" w:rsidRDefault="005D438C" w:rsidP="00BA59E4">
            <w:pPr>
              <w:rPr>
                <w:b/>
                <w:sz w:val="22"/>
                <w:szCs w:val="22"/>
              </w:rPr>
            </w:pPr>
            <w:r w:rsidRPr="008D1ACA">
              <w:rPr>
                <w:b/>
                <w:sz w:val="22"/>
                <w:szCs w:val="22"/>
              </w:rPr>
              <w:t>2.07</w:t>
            </w:r>
          </w:p>
        </w:tc>
        <w:tc>
          <w:tcPr>
            <w:tcW w:w="3119" w:type="dxa"/>
          </w:tcPr>
          <w:p w:rsidR="005D438C" w:rsidRPr="008D1ACA" w:rsidRDefault="005D438C" w:rsidP="009B131C">
            <w:pPr>
              <w:rPr>
                <w:b/>
                <w:sz w:val="22"/>
                <w:szCs w:val="22"/>
              </w:rPr>
            </w:pPr>
            <w:bookmarkStart w:id="1" w:name="_Toc339544604"/>
            <w:r w:rsidRPr="008D1ACA">
              <w:rPr>
                <w:b/>
                <w:bCs/>
                <w:sz w:val="22"/>
                <w:szCs w:val="22"/>
              </w:rPr>
              <w:t xml:space="preserve">2.7 Hospital admissions caused by unintentional and deliberate injuries in </w:t>
            </w:r>
            <w:bookmarkEnd w:id="1"/>
            <w:r w:rsidRPr="008D1ACA">
              <w:rPr>
                <w:b/>
                <w:bCs/>
                <w:sz w:val="22"/>
                <w:szCs w:val="22"/>
              </w:rPr>
              <w:t>children and young people aged 0-14 and 15-24 years</w:t>
            </w:r>
          </w:p>
        </w:tc>
        <w:tc>
          <w:tcPr>
            <w:tcW w:w="1134" w:type="dxa"/>
          </w:tcPr>
          <w:p w:rsidR="005D438C" w:rsidRPr="008D1ACA" w:rsidRDefault="005D438C" w:rsidP="00BA59E4">
            <w:pPr>
              <w:rPr>
                <w:sz w:val="22"/>
                <w:szCs w:val="22"/>
              </w:rPr>
            </w:pPr>
          </w:p>
        </w:tc>
        <w:tc>
          <w:tcPr>
            <w:tcW w:w="3118" w:type="dxa"/>
          </w:tcPr>
          <w:p w:rsidR="005D438C" w:rsidRPr="008D1ACA" w:rsidRDefault="005D438C" w:rsidP="00BA59E4">
            <w:pPr>
              <w:rPr>
                <w:sz w:val="22"/>
                <w:szCs w:val="22"/>
              </w:rPr>
            </w:pPr>
          </w:p>
        </w:tc>
        <w:tc>
          <w:tcPr>
            <w:tcW w:w="1843" w:type="dxa"/>
          </w:tcPr>
          <w:p w:rsidR="005D438C" w:rsidRPr="008D1ACA" w:rsidRDefault="005D438C" w:rsidP="00BA59E4">
            <w:pPr>
              <w:rPr>
                <w:sz w:val="22"/>
                <w:szCs w:val="22"/>
              </w:rPr>
            </w:pPr>
          </w:p>
        </w:tc>
      </w:tr>
      <w:tr w:rsidR="005D438C" w:rsidRPr="0080263B" w:rsidTr="00AE335A">
        <w:trPr>
          <w:trHeight w:val="772"/>
        </w:trPr>
        <w:tc>
          <w:tcPr>
            <w:tcW w:w="993" w:type="dxa"/>
          </w:tcPr>
          <w:p w:rsidR="005D438C" w:rsidRPr="008D1ACA" w:rsidRDefault="005D438C" w:rsidP="00BA59E4">
            <w:pPr>
              <w:rPr>
                <w:sz w:val="22"/>
                <w:szCs w:val="22"/>
              </w:rPr>
            </w:pPr>
            <w:r w:rsidRPr="008D1ACA">
              <w:rPr>
                <w:sz w:val="22"/>
                <w:szCs w:val="22"/>
              </w:rPr>
              <w:t>2.07i</w:t>
            </w:r>
          </w:p>
        </w:tc>
        <w:tc>
          <w:tcPr>
            <w:tcW w:w="3119" w:type="dxa"/>
          </w:tcPr>
          <w:p w:rsidR="005D438C" w:rsidRPr="005D438C" w:rsidRDefault="005D438C" w:rsidP="00BA59E4">
            <w:pPr>
              <w:rPr>
                <w:bCs/>
                <w:sz w:val="22"/>
                <w:szCs w:val="22"/>
              </w:rPr>
            </w:pPr>
            <w:r w:rsidRPr="005D438C">
              <w:rPr>
                <w:bCs/>
                <w:sz w:val="22"/>
                <w:szCs w:val="22"/>
              </w:rPr>
              <w:t xml:space="preserve">Crude rate of hospital emergency admissions caused by unintentional and </w:t>
            </w:r>
            <w:r w:rsidRPr="005D438C">
              <w:rPr>
                <w:bCs/>
                <w:sz w:val="22"/>
                <w:szCs w:val="22"/>
              </w:rPr>
              <w:lastRenderedPageBreak/>
              <w:t>deliberate injuries in children and young people aged 0-14 years, per 10,000 resident population</w:t>
            </w:r>
          </w:p>
        </w:tc>
        <w:tc>
          <w:tcPr>
            <w:tcW w:w="1134" w:type="dxa"/>
          </w:tcPr>
          <w:p w:rsidR="005D438C" w:rsidRPr="008D1ACA" w:rsidRDefault="005D438C" w:rsidP="00BA59E4">
            <w:pPr>
              <w:rPr>
                <w:sz w:val="22"/>
                <w:szCs w:val="22"/>
              </w:rPr>
            </w:pPr>
            <w:r>
              <w:rPr>
                <w:sz w:val="22"/>
                <w:szCs w:val="22"/>
              </w:rPr>
              <w:lastRenderedPageBreak/>
              <w:t>2010/11</w:t>
            </w:r>
            <w:r w:rsidR="00750653">
              <w:rPr>
                <w:sz w:val="22"/>
                <w:szCs w:val="22"/>
              </w:rPr>
              <w:t xml:space="preserve"> &amp;</w:t>
            </w:r>
            <w:r w:rsidR="00752D18">
              <w:rPr>
                <w:sz w:val="22"/>
                <w:szCs w:val="22"/>
              </w:rPr>
              <w:t xml:space="preserve"> 2011/12</w:t>
            </w:r>
          </w:p>
        </w:tc>
        <w:tc>
          <w:tcPr>
            <w:tcW w:w="3118" w:type="dxa"/>
          </w:tcPr>
          <w:p w:rsidR="005D438C" w:rsidRPr="008D1ACA" w:rsidRDefault="005D438C" w:rsidP="00BA59E4">
            <w:pPr>
              <w:rPr>
                <w:sz w:val="22"/>
                <w:szCs w:val="22"/>
              </w:rPr>
            </w:pPr>
            <w:r w:rsidRPr="008D1ACA">
              <w:rPr>
                <w:sz w:val="22"/>
                <w:szCs w:val="22"/>
              </w:rPr>
              <w:t>New Baseline</w:t>
            </w:r>
            <w:r w:rsidR="00750653">
              <w:rPr>
                <w:sz w:val="22"/>
                <w:szCs w:val="22"/>
              </w:rPr>
              <w:t xml:space="preserve"> and updated data*</w:t>
            </w:r>
          </w:p>
        </w:tc>
        <w:tc>
          <w:tcPr>
            <w:tcW w:w="1843" w:type="dxa"/>
          </w:tcPr>
          <w:p w:rsidR="005D438C" w:rsidRPr="008D1ACA" w:rsidRDefault="003D6F69" w:rsidP="00BA59E4">
            <w:pPr>
              <w:rPr>
                <w:sz w:val="22"/>
                <w:szCs w:val="22"/>
              </w:rPr>
            </w:pPr>
            <w:r>
              <w:rPr>
                <w:sz w:val="22"/>
                <w:szCs w:val="22"/>
              </w:rPr>
              <w:t>No</w:t>
            </w:r>
          </w:p>
        </w:tc>
      </w:tr>
      <w:tr w:rsidR="005D438C" w:rsidRPr="0080263B" w:rsidTr="00AE335A">
        <w:trPr>
          <w:trHeight w:val="544"/>
        </w:trPr>
        <w:tc>
          <w:tcPr>
            <w:tcW w:w="993" w:type="dxa"/>
          </w:tcPr>
          <w:p w:rsidR="005D438C" w:rsidRPr="008D1ACA" w:rsidRDefault="005D438C" w:rsidP="00BA59E4">
            <w:pPr>
              <w:rPr>
                <w:bCs/>
                <w:sz w:val="22"/>
                <w:szCs w:val="22"/>
              </w:rPr>
            </w:pPr>
            <w:r w:rsidRPr="008D1ACA">
              <w:rPr>
                <w:bCs/>
                <w:sz w:val="22"/>
                <w:szCs w:val="22"/>
              </w:rPr>
              <w:lastRenderedPageBreak/>
              <w:t>2.07ii</w:t>
            </w:r>
          </w:p>
        </w:tc>
        <w:tc>
          <w:tcPr>
            <w:tcW w:w="3119" w:type="dxa"/>
          </w:tcPr>
          <w:p w:rsidR="005D438C" w:rsidRPr="005D438C" w:rsidRDefault="005D438C" w:rsidP="00BA59E4">
            <w:pPr>
              <w:rPr>
                <w:bCs/>
                <w:sz w:val="22"/>
                <w:szCs w:val="22"/>
              </w:rPr>
            </w:pPr>
            <w:r w:rsidRPr="005D438C">
              <w:rPr>
                <w:bCs/>
                <w:sz w:val="22"/>
                <w:szCs w:val="22"/>
              </w:rPr>
              <w:t>Crude rate of hospital emergency admissions caused by unintentional and deliberate injuries in children and young people aged 15-24 years, per 10,000 resident population</w:t>
            </w:r>
          </w:p>
        </w:tc>
        <w:tc>
          <w:tcPr>
            <w:tcW w:w="1134" w:type="dxa"/>
          </w:tcPr>
          <w:p w:rsidR="005D438C" w:rsidRPr="008D1ACA" w:rsidRDefault="005D438C" w:rsidP="00BA59E4">
            <w:pPr>
              <w:rPr>
                <w:sz w:val="22"/>
                <w:szCs w:val="22"/>
              </w:rPr>
            </w:pPr>
            <w:r>
              <w:rPr>
                <w:sz w:val="22"/>
                <w:szCs w:val="22"/>
              </w:rPr>
              <w:t>2010/11</w:t>
            </w:r>
            <w:r w:rsidR="00752D18">
              <w:rPr>
                <w:sz w:val="22"/>
                <w:szCs w:val="22"/>
              </w:rPr>
              <w:t xml:space="preserve"> – 2011/12</w:t>
            </w:r>
          </w:p>
        </w:tc>
        <w:tc>
          <w:tcPr>
            <w:tcW w:w="3118" w:type="dxa"/>
          </w:tcPr>
          <w:p w:rsidR="005D438C" w:rsidRPr="008D1ACA" w:rsidRDefault="005D438C" w:rsidP="00BA59E4">
            <w:pPr>
              <w:rPr>
                <w:sz w:val="22"/>
                <w:szCs w:val="22"/>
              </w:rPr>
            </w:pPr>
            <w:r w:rsidRPr="008D1ACA">
              <w:rPr>
                <w:sz w:val="22"/>
                <w:szCs w:val="22"/>
              </w:rPr>
              <w:t>New Baseline</w:t>
            </w:r>
            <w:r w:rsidR="00750653">
              <w:rPr>
                <w:sz w:val="22"/>
                <w:szCs w:val="22"/>
              </w:rPr>
              <w:t xml:space="preserve"> and updated data*</w:t>
            </w:r>
          </w:p>
        </w:tc>
        <w:tc>
          <w:tcPr>
            <w:tcW w:w="1843" w:type="dxa"/>
          </w:tcPr>
          <w:p w:rsidR="005D438C" w:rsidRPr="008D1ACA" w:rsidRDefault="003D6F69" w:rsidP="00BA59E4">
            <w:pPr>
              <w:rPr>
                <w:sz w:val="22"/>
                <w:szCs w:val="22"/>
              </w:rPr>
            </w:pPr>
            <w:r>
              <w:rPr>
                <w:sz w:val="22"/>
                <w:szCs w:val="22"/>
              </w:rPr>
              <w:t>No</w:t>
            </w:r>
          </w:p>
        </w:tc>
      </w:tr>
      <w:tr w:rsidR="005D438C" w:rsidRPr="0080263B" w:rsidTr="00AE335A">
        <w:trPr>
          <w:trHeight w:val="544"/>
        </w:trPr>
        <w:tc>
          <w:tcPr>
            <w:tcW w:w="993" w:type="dxa"/>
          </w:tcPr>
          <w:p w:rsidR="005D438C" w:rsidRPr="008D1ACA" w:rsidRDefault="005D438C" w:rsidP="00BA59E4">
            <w:pPr>
              <w:rPr>
                <w:b/>
                <w:bCs/>
                <w:sz w:val="22"/>
                <w:szCs w:val="22"/>
              </w:rPr>
            </w:pPr>
            <w:r w:rsidRPr="008D1ACA">
              <w:rPr>
                <w:b/>
                <w:bCs/>
                <w:sz w:val="22"/>
                <w:szCs w:val="22"/>
              </w:rPr>
              <w:t>2.13</w:t>
            </w:r>
          </w:p>
        </w:tc>
        <w:tc>
          <w:tcPr>
            <w:tcW w:w="3119" w:type="dxa"/>
          </w:tcPr>
          <w:p w:rsidR="005D438C" w:rsidRPr="008D1ACA" w:rsidRDefault="005D438C" w:rsidP="00BA59E4">
            <w:pPr>
              <w:rPr>
                <w:b/>
                <w:bCs/>
                <w:sz w:val="22"/>
                <w:szCs w:val="22"/>
              </w:rPr>
            </w:pPr>
            <w:r w:rsidRPr="008D1ACA">
              <w:rPr>
                <w:b/>
                <w:bCs/>
                <w:sz w:val="22"/>
                <w:szCs w:val="22"/>
              </w:rPr>
              <w:t>Proportion of physically active and inactive adults</w:t>
            </w:r>
          </w:p>
        </w:tc>
        <w:tc>
          <w:tcPr>
            <w:tcW w:w="1134" w:type="dxa"/>
          </w:tcPr>
          <w:p w:rsidR="005D438C" w:rsidRPr="008D1ACA" w:rsidRDefault="005D438C" w:rsidP="00BA59E4">
            <w:pPr>
              <w:rPr>
                <w:sz w:val="22"/>
                <w:szCs w:val="22"/>
              </w:rPr>
            </w:pPr>
          </w:p>
        </w:tc>
        <w:tc>
          <w:tcPr>
            <w:tcW w:w="3118" w:type="dxa"/>
          </w:tcPr>
          <w:p w:rsidR="005D438C" w:rsidRPr="008D1ACA" w:rsidRDefault="005D438C" w:rsidP="00BA59E4">
            <w:pPr>
              <w:rPr>
                <w:sz w:val="22"/>
                <w:szCs w:val="22"/>
              </w:rPr>
            </w:pPr>
          </w:p>
        </w:tc>
        <w:tc>
          <w:tcPr>
            <w:tcW w:w="1843" w:type="dxa"/>
          </w:tcPr>
          <w:p w:rsidR="005D438C" w:rsidRPr="008D1ACA" w:rsidRDefault="005D438C" w:rsidP="00BA59E4">
            <w:pPr>
              <w:rPr>
                <w:sz w:val="22"/>
                <w:szCs w:val="22"/>
              </w:rPr>
            </w:pPr>
          </w:p>
        </w:tc>
      </w:tr>
      <w:tr w:rsidR="005D438C" w:rsidRPr="0080263B" w:rsidTr="00AE335A">
        <w:trPr>
          <w:trHeight w:val="772"/>
        </w:trPr>
        <w:tc>
          <w:tcPr>
            <w:tcW w:w="993" w:type="dxa"/>
          </w:tcPr>
          <w:p w:rsidR="005D438C" w:rsidRPr="008D1ACA" w:rsidRDefault="005D438C" w:rsidP="00BA59E4">
            <w:pPr>
              <w:rPr>
                <w:sz w:val="22"/>
                <w:szCs w:val="22"/>
              </w:rPr>
            </w:pPr>
            <w:r w:rsidRPr="008D1ACA">
              <w:rPr>
                <w:sz w:val="22"/>
                <w:szCs w:val="22"/>
              </w:rPr>
              <w:t>2.13i</w:t>
            </w:r>
          </w:p>
        </w:tc>
        <w:tc>
          <w:tcPr>
            <w:tcW w:w="3119" w:type="dxa"/>
          </w:tcPr>
          <w:p w:rsidR="005D438C" w:rsidRPr="008D1ACA" w:rsidRDefault="005D438C" w:rsidP="00BA59E4">
            <w:pPr>
              <w:rPr>
                <w:sz w:val="22"/>
                <w:szCs w:val="22"/>
              </w:rPr>
            </w:pPr>
            <w:r w:rsidRPr="008D1ACA">
              <w:rPr>
                <w:sz w:val="22"/>
                <w:szCs w:val="22"/>
              </w:rPr>
              <w:t>Proportion of adults achieving at least 150 minutes of physical activity per week in accordance with UK CMO recommended guidelines on physical activity</w:t>
            </w:r>
          </w:p>
        </w:tc>
        <w:tc>
          <w:tcPr>
            <w:tcW w:w="1134" w:type="dxa"/>
          </w:tcPr>
          <w:p w:rsidR="005D438C" w:rsidRPr="008D1ACA" w:rsidRDefault="005D438C" w:rsidP="00BA59E4">
            <w:pPr>
              <w:rPr>
                <w:sz w:val="22"/>
                <w:szCs w:val="22"/>
              </w:rPr>
            </w:pPr>
            <w:r>
              <w:rPr>
                <w:sz w:val="22"/>
                <w:szCs w:val="22"/>
              </w:rPr>
              <w:t>2012</w:t>
            </w:r>
          </w:p>
        </w:tc>
        <w:tc>
          <w:tcPr>
            <w:tcW w:w="3118" w:type="dxa"/>
          </w:tcPr>
          <w:p w:rsidR="005D438C" w:rsidRPr="008D1ACA" w:rsidRDefault="005D438C" w:rsidP="00BA59E4">
            <w:pPr>
              <w:rPr>
                <w:sz w:val="22"/>
                <w:szCs w:val="22"/>
              </w:rPr>
            </w:pPr>
            <w:r w:rsidRPr="008D1ACA">
              <w:rPr>
                <w:sz w:val="22"/>
                <w:szCs w:val="22"/>
              </w:rPr>
              <w:t>New Baseline</w:t>
            </w:r>
          </w:p>
        </w:tc>
        <w:tc>
          <w:tcPr>
            <w:tcW w:w="1843" w:type="dxa"/>
          </w:tcPr>
          <w:p w:rsidR="005D438C" w:rsidRPr="008D1ACA" w:rsidRDefault="003D6F69" w:rsidP="00BA59E4">
            <w:pPr>
              <w:rPr>
                <w:sz w:val="22"/>
                <w:szCs w:val="22"/>
              </w:rPr>
            </w:pPr>
            <w:r>
              <w:rPr>
                <w:sz w:val="22"/>
                <w:szCs w:val="22"/>
              </w:rPr>
              <w:t>Yes</w:t>
            </w:r>
          </w:p>
        </w:tc>
      </w:tr>
      <w:tr w:rsidR="005D438C" w:rsidRPr="0080263B" w:rsidTr="00AE335A">
        <w:trPr>
          <w:trHeight w:val="597"/>
        </w:trPr>
        <w:tc>
          <w:tcPr>
            <w:tcW w:w="993" w:type="dxa"/>
          </w:tcPr>
          <w:p w:rsidR="005D438C" w:rsidRPr="008D1ACA" w:rsidRDefault="005D438C" w:rsidP="00BA59E4">
            <w:pPr>
              <w:rPr>
                <w:bCs/>
                <w:sz w:val="22"/>
                <w:szCs w:val="22"/>
              </w:rPr>
            </w:pPr>
            <w:r w:rsidRPr="008D1ACA">
              <w:rPr>
                <w:bCs/>
                <w:sz w:val="22"/>
                <w:szCs w:val="22"/>
              </w:rPr>
              <w:t>2.13ii</w:t>
            </w:r>
          </w:p>
        </w:tc>
        <w:tc>
          <w:tcPr>
            <w:tcW w:w="3119" w:type="dxa"/>
          </w:tcPr>
          <w:p w:rsidR="005D438C" w:rsidRPr="008D1ACA" w:rsidRDefault="005D438C" w:rsidP="00BA59E4">
            <w:pPr>
              <w:rPr>
                <w:sz w:val="22"/>
                <w:szCs w:val="22"/>
              </w:rPr>
            </w:pPr>
            <w:r w:rsidRPr="008D1ACA">
              <w:rPr>
                <w:sz w:val="22"/>
                <w:szCs w:val="22"/>
              </w:rPr>
              <w:t>% of adults classified as ‘inactive’</w:t>
            </w:r>
          </w:p>
        </w:tc>
        <w:tc>
          <w:tcPr>
            <w:tcW w:w="1134" w:type="dxa"/>
          </w:tcPr>
          <w:p w:rsidR="005D438C" w:rsidRPr="008D1ACA" w:rsidRDefault="005D438C" w:rsidP="00BA59E4">
            <w:pPr>
              <w:rPr>
                <w:sz w:val="22"/>
                <w:szCs w:val="22"/>
              </w:rPr>
            </w:pPr>
            <w:r>
              <w:rPr>
                <w:sz w:val="22"/>
                <w:szCs w:val="22"/>
              </w:rPr>
              <w:t>2012</w:t>
            </w:r>
          </w:p>
        </w:tc>
        <w:tc>
          <w:tcPr>
            <w:tcW w:w="3118" w:type="dxa"/>
          </w:tcPr>
          <w:p w:rsidR="005D438C" w:rsidRPr="008D1ACA" w:rsidRDefault="005D438C" w:rsidP="00BA59E4">
            <w:pPr>
              <w:rPr>
                <w:sz w:val="22"/>
                <w:szCs w:val="22"/>
              </w:rPr>
            </w:pPr>
            <w:r w:rsidRPr="008D1ACA">
              <w:rPr>
                <w:sz w:val="22"/>
                <w:szCs w:val="22"/>
              </w:rPr>
              <w:t>New Baseline</w:t>
            </w:r>
          </w:p>
        </w:tc>
        <w:tc>
          <w:tcPr>
            <w:tcW w:w="1843" w:type="dxa"/>
          </w:tcPr>
          <w:p w:rsidR="005D438C" w:rsidRPr="008D1ACA" w:rsidRDefault="003D6F69" w:rsidP="00BA59E4">
            <w:pPr>
              <w:rPr>
                <w:sz w:val="22"/>
                <w:szCs w:val="22"/>
              </w:rPr>
            </w:pPr>
            <w:r>
              <w:rPr>
                <w:sz w:val="22"/>
                <w:szCs w:val="22"/>
              </w:rPr>
              <w:t>Yes</w:t>
            </w:r>
          </w:p>
        </w:tc>
      </w:tr>
      <w:tr w:rsidR="005D438C" w:rsidRPr="0080263B" w:rsidTr="00AE335A">
        <w:trPr>
          <w:trHeight w:val="289"/>
        </w:trPr>
        <w:tc>
          <w:tcPr>
            <w:tcW w:w="993" w:type="dxa"/>
          </w:tcPr>
          <w:p w:rsidR="005D438C" w:rsidRPr="008D1ACA" w:rsidRDefault="005D438C" w:rsidP="00BA59E4">
            <w:pPr>
              <w:rPr>
                <w:b/>
                <w:bCs/>
                <w:sz w:val="22"/>
                <w:szCs w:val="22"/>
              </w:rPr>
            </w:pPr>
            <w:r w:rsidRPr="008D1ACA">
              <w:rPr>
                <w:b/>
                <w:bCs/>
                <w:sz w:val="22"/>
                <w:szCs w:val="22"/>
              </w:rPr>
              <w:t>2.22</w:t>
            </w:r>
          </w:p>
        </w:tc>
        <w:tc>
          <w:tcPr>
            <w:tcW w:w="3119" w:type="dxa"/>
          </w:tcPr>
          <w:p w:rsidR="005D438C" w:rsidRPr="008D1ACA" w:rsidRDefault="005D438C" w:rsidP="00BA59E4">
            <w:pPr>
              <w:rPr>
                <w:b/>
                <w:bCs/>
                <w:sz w:val="22"/>
                <w:szCs w:val="22"/>
              </w:rPr>
            </w:pPr>
            <w:r w:rsidRPr="008D1ACA">
              <w:rPr>
                <w:b/>
                <w:bCs/>
                <w:sz w:val="22"/>
                <w:szCs w:val="22"/>
              </w:rPr>
              <w:t>Take up of the NHS Health Check programme – by those eligible</w:t>
            </w:r>
          </w:p>
        </w:tc>
        <w:tc>
          <w:tcPr>
            <w:tcW w:w="1134" w:type="dxa"/>
          </w:tcPr>
          <w:p w:rsidR="005D438C" w:rsidRPr="008D1ACA" w:rsidRDefault="005D438C" w:rsidP="00BA59E4">
            <w:pPr>
              <w:rPr>
                <w:b/>
                <w:bCs/>
                <w:sz w:val="22"/>
                <w:szCs w:val="22"/>
              </w:rPr>
            </w:pPr>
          </w:p>
        </w:tc>
        <w:tc>
          <w:tcPr>
            <w:tcW w:w="3118" w:type="dxa"/>
          </w:tcPr>
          <w:p w:rsidR="005D438C" w:rsidRPr="008D1ACA" w:rsidRDefault="005D438C" w:rsidP="00BA59E4">
            <w:pPr>
              <w:rPr>
                <w:b/>
                <w:bCs/>
                <w:sz w:val="22"/>
                <w:szCs w:val="22"/>
              </w:rPr>
            </w:pPr>
          </w:p>
        </w:tc>
        <w:tc>
          <w:tcPr>
            <w:tcW w:w="1843" w:type="dxa"/>
          </w:tcPr>
          <w:p w:rsidR="005D438C" w:rsidRPr="008D1ACA" w:rsidRDefault="005D438C" w:rsidP="00BA59E4">
            <w:pPr>
              <w:rPr>
                <w:sz w:val="22"/>
                <w:szCs w:val="22"/>
              </w:rPr>
            </w:pPr>
          </w:p>
        </w:tc>
      </w:tr>
      <w:tr w:rsidR="005D438C" w:rsidRPr="0080263B" w:rsidTr="00AE335A">
        <w:trPr>
          <w:trHeight w:val="772"/>
        </w:trPr>
        <w:tc>
          <w:tcPr>
            <w:tcW w:w="993" w:type="dxa"/>
          </w:tcPr>
          <w:p w:rsidR="005D438C" w:rsidRPr="008D1ACA" w:rsidRDefault="005D438C" w:rsidP="00BA59E4">
            <w:pPr>
              <w:rPr>
                <w:sz w:val="22"/>
                <w:szCs w:val="22"/>
              </w:rPr>
            </w:pPr>
            <w:r w:rsidRPr="008D1ACA">
              <w:rPr>
                <w:sz w:val="22"/>
                <w:szCs w:val="22"/>
              </w:rPr>
              <w:t>2.22i</w:t>
            </w:r>
          </w:p>
        </w:tc>
        <w:tc>
          <w:tcPr>
            <w:tcW w:w="3119" w:type="dxa"/>
          </w:tcPr>
          <w:p w:rsidR="005D438C" w:rsidRPr="008D1ACA" w:rsidRDefault="005D438C" w:rsidP="00BA59E4">
            <w:pPr>
              <w:rPr>
                <w:sz w:val="22"/>
                <w:szCs w:val="22"/>
              </w:rPr>
            </w:pPr>
            <w:r w:rsidRPr="008D1ACA">
              <w:rPr>
                <w:sz w:val="22"/>
                <w:szCs w:val="22"/>
              </w:rPr>
              <w:t>Percentage of eligible population aged 40-74 offered an NHS Health Check in the financial year</w:t>
            </w:r>
          </w:p>
        </w:tc>
        <w:tc>
          <w:tcPr>
            <w:tcW w:w="1134" w:type="dxa"/>
          </w:tcPr>
          <w:p w:rsidR="005D438C" w:rsidRPr="008D1ACA" w:rsidRDefault="005D438C" w:rsidP="00BA59E4">
            <w:pPr>
              <w:rPr>
                <w:sz w:val="22"/>
                <w:szCs w:val="22"/>
              </w:rPr>
            </w:pPr>
            <w:r w:rsidRPr="008D1ACA">
              <w:rPr>
                <w:sz w:val="22"/>
                <w:szCs w:val="22"/>
              </w:rPr>
              <w:t>2012/13</w:t>
            </w:r>
          </w:p>
        </w:tc>
        <w:tc>
          <w:tcPr>
            <w:tcW w:w="3118" w:type="dxa"/>
          </w:tcPr>
          <w:p w:rsidR="005D438C" w:rsidRPr="008D1ACA" w:rsidRDefault="005D438C" w:rsidP="00BA59E4">
            <w:pPr>
              <w:rPr>
                <w:b/>
                <w:bCs/>
                <w:sz w:val="22"/>
                <w:szCs w:val="22"/>
              </w:rPr>
            </w:pPr>
            <w:r w:rsidRPr="008D1ACA">
              <w:rPr>
                <w:bCs/>
                <w:color w:val="000000"/>
                <w:sz w:val="22"/>
                <w:szCs w:val="22"/>
              </w:rPr>
              <w:t>Updated data (baseline period – 2011/12)</w:t>
            </w:r>
          </w:p>
        </w:tc>
        <w:tc>
          <w:tcPr>
            <w:tcW w:w="1843" w:type="dxa"/>
          </w:tcPr>
          <w:p w:rsidR="005D438C" w:rsidRPr="008D1ACA" w:rsidRDefault="007D251A" w:rsidP="00BA59E4">
            <w:pPr>
              <w:rPr>
                <w:sz w:val="22"/>
                <w:szCs w:val="22"/>
              </w:rPr>
            </w:pPr>
            <w:r>
              <w:rPr>
                <w:sz w:val="22"/>
                <w:szCs w:val="22"/>
              </w:rPr>
              <w:t>Yes</w:t>
            </w:r>
          </w:p>
        </w:tc>
      </w:tr>
      <w:tr w:rsidR="005D438C" w:rsidRPr="0080263B" w:rsidTr="00AE335A">
        <w:trPr>
          <w:trHeight w:val="347"/>
        </w:trPr>
        <w:tc>
          <w:tcPr>
            <w:tcW w:w="993" w:type="dxa"/>
          </w:tcPr>
          <w:p w:rsidR="005D438C" w:rsidRPr="008D1ACA" w:rsidRDefault="005D438C" w:rsidP="00BA59E4">
            <w:pPr>
              <w:rPr>
                <w:bCs/>
                <w:sz w:val="22"/>
                <w:szCs w:val="22"/>
              </w:rPr>
            </w:pPr>
            <w:r w:rsidRPr="008D1ACA">
              <w:rPr>
                <w:bCs/>
                <w:sz w:val="22"/>
                <w:szCs w:val="22"/>
              </w:rPr>
              <w:t>2.22ii</w:t>
            </w:r>
          </w:p>
        </w:tc>
        <w:tc>
          <w:tcPr>
            <w:tcW w:w="3119" w:type="dxa"/>
          </w:tcPr>
          <w:p w:rsidR="005D438C" w:rsidRPr="008D1ACA" w:rsidRDefault="005D438C" w:rsidP="00BA59E4">
            <w:pPr>
              <w:rPr>
                <w:bCs/>
                <w:sz w:val="22"/>
                <w:szCs w:val="22"/>
              </w:rPr>
            </w:pPr>
            <w:r w:rsidRPr="008D1ACA">
              <w:rPr>
                <w:bCs/>
                <w:sz w:val="22"/>
                <w:szCs w:val="22"/>
              </w:rPr>
              <w:t>Percentage of eligible population aged 40-74 offered an NHS Health Check who received an NHS Health Check in the financial year</w:t>
            </w:r>
          </w:p>
        </w:tc>
        <w:tc>
          <w:tcPr>
            <w:tcW w:w="1134" w:type="dxa"/>
          </w:tcPr>
          <w:p w:rsidR="005D438C" w:rsidRPr="008D1ACA" w:rsidRDefault="005D438C" w:rsidP="00BA59E4">
            <w:pPr>
              <w:rPr>
                <w:sz w:val="22"/>
                <w:szCs w:val="22"/>
              </w:rPr>
            </w:pPr>
            <w:r w:rsidRPr="008D1ACA">
              <w:rPr>
                <w:sz w:val="22"/>
                <w:szCs w:val="22"/>
              </w:rPr>
              <w:t>2012/13</w:t>
            </w:r>
          </w:p>
        </w:tc>
        <w:tc>
          <w:tcPr>
            <w:tcW w:w="3118" w:type="dxa"/>
          </w:tcPr>
          <w:p w:rsidR="005D438C" w:rsidRPr="008D1ACA" w:rsidRDefault="005D438C" w:rsidP="00BA59E4">
            <w:pPr>
              <w:rPr>
                <w:sz w:val="22"/>
                <w:szCs w:val="22"/>
              </w:rPr>
            </w:pPr>
            <w:r w:rsidRPr="008D1ACA">
              <w:rPr>
                <w:bCs/>
                <w:color w:val="000000"/>
                <w:sz w:val="22"/>
                <w:szCs w:val="22"/>
              </w:rPr>
              <w:t>Updated data (baseline period – 2011/12)</w:t>
            </w:r>
          </w:p>
        </w:tc>
        <w:tc>
          <w:tcPr>
            <w:tcW w:w="1843" w:type="dxa"/>
          </w:tcPr>
          <w:p w:rsidR="005D438C" w:rsidRPr="008D1ACA" w:rsidRDefault="007D251A" w:rsidP="00BA59E4">
            <w:pPr>
              <w:rPr>
                <w:sz w:val="22"/>
                <w:szCs w:val="22"/>
              </w:rPr>
            </w:pPr>
            <w:r>
              <w:rPr>
                <w:sz w:val="22"/>
                <w:szCs w:val="22"/>
              </w:rPr>
              <w:t>Yes</w:t>
            </w:r>
          </w:p>
        </w:tc>
      </w:tr>
      <w:tr w:rsidR="005D438C" w:rsidRPr="0080263B" w:rsidTr="00AE335A">
        <w:trPr>
          <w:trHeight w:val="772"/>
        </w:trPr>
        <w:tc>
          <w:tcPr>
            <w:tcW w:w="993" w:type="dxa"/>
          </w:tcPr>
          <w:p w:rsidR="005D438C" w:rsidRPr="008D1ACA" w:rsidRDefault="005D438C" w:rsidP="00BA59E4">
            <w:pPr>
              <w:rPr>
                <w:b/>
                <w:sz w:val="22"/>
                <w:szCs w:val="22"/>
              </w:rPr>
            </w:pPr>
            <w:r w:rsidRPr="008D1ACA">
              <w:rPr>
                <w:b/>
                <w:sz w:val="22"/>
                <w:szCs w:val="22"/>
              </w:rPr>
              <w:t>3.02</w:t>
            </w:r>
          </w:p>
        </w:tc>
        <w:tc>
          <w:tcPr>
            <w:tcW w:w="3119" w:type="dxa"/>
          </w:tcPr>
          <w:p w:rsidR="005D438C" w:rsidRPr="008D1ACA" w:rsidRDefault="005D438C" w:rsidP="00BA59E4">
            <w:pPr>
              <w:rPr>
                <w:sz w:val="22"/>
                <w:szCs w:val="22"/>
              </w:rPr>
            </w:pPr>
            <w:r w:rsidRPr="008D1ACA">
              <w:rPr>
                <w:b/>
                <w:color w:val="000000"/>
                <w:sz w:val="22"/>
                <w:szCs w:val="22"/>
              </w:rPr>
              <w:t>Chlamydia diagnoses (15-24 year olds)</w:t>
            </w:r>
          </w:p>
        </w:tc>
        <w:tc>
          <w:tcPr>
            <w:tcW w:w="1134" w:type="dxa"/>
          </w:tcPr>
          <w:p w:rsidR="005D438C" w:rsidRPr="008D1ACA" w:rsidRDefault="005D438C" w:rsidP="00BA59E4">
            <w:pPr>
              <w:rPr>
                <w:sz w:val="22"/>
                <w:szCs w:val="22"/>
              </w:rPr>
            </w:pPr>
          </w:p>
        </w:tc>
        <w:tc>
          <w:tcPr>
            <w:tcW w:w="3118" w:type="dxa"/>
          </w:tcPr>
          <w:p w:rsidR="005D438C" w:rsidRPr="008D1ACA" w:rsidRDefault="005D438C" w:rsidP="00BA59E4">
            <w:pPr>
              <w:rPr>
                <w:sz w:val="22"/>
                <w:szCs w:val="22"/>
              </w:rPr>
            </w:pPr>
          </w:p>
        </w:tc>
        <w:tc>
          <w:tcPr>
            <w:tcW w:w="1843" w:type="dxa"/>
          </w:tcPr>
          <w:p w:rsidR="005D438C" w:rsidRPr="008D1ACA" w:rsidRDefault="005D438C" w:rsidP="00BA59E4">
            <w:pPr>
              <w:rPr>
                <w:sz w:val="22"/>
                <w:szCs w:val="22"/>
              </w:rPr>
            </w:pPr>
          </w:p>
        </w:tc>
      </w:tr>
      <w:tr w:rsidR="005D438C" w:rsidRPr="0080263B" w:rsidTr="00AE335A">
        <w:trPr>
          <w:trHeight w:val="772"/>
        </w:trPr>
        <w:tc>
          <w:tcPr>
            <w:tcW w:w="993" w:type="dxa"/>
          </w:tcPr>
          <w:p w:rsidR="005D438C" w:rsidRPr="008D1ACA" w:rsidRDefault="005D438C" w:rsidP="00BA59E4">
            <w:pPr>
              <w:rPr>
                <w:sz w:val="22"/>
                <w:szCs w:val="22"/>
              </w:rPr>
            </w:pPr>
            <w:r w:rsidRPr="008D1ACA">
              <w:rPr>
                <w:sz w:val="22"/>
                <w:szCs w:val="22"/>
              </w:rPr>
              <w:t>3.02ii</w:t>
            </w:r>
          </w:p>
        </w:tc>
        <w:tc>
          <w:tcPr>
            <w:tcW w:w="3119" w:type="dxa"/>
          </w:tcPr>
          <w:p w:rsidR="005D438C" w:rsidRPr="00581D84" w:rsidRDefault="005D438C" w:rsidP="00764F8B">
            <w:pPr>
              <w:rPr>
                <w:sz w:val="22"/>
                <w:szCs w:val="22"/>
              </w:rPr>
            </w:pPr>
            <w:r w:rsidRPr="00581D84">
              <w:rPr>
                <w:sz w:val="22"/>
                <w:szCs w:val="22"/>
              </w:rPr>
              <w:t>Crude rate of chlamydia diagnoses per 100,000 young adults aged 15-24</w:t>
            </w:r>
          </w:p>
        </w:tc>
        <w:tc>
          <w:tcPr>
            <w:tcW w:w="1134" w:type="dxa"/>
          </w:tcPr>
          <w:p w:rsidR="005D438C" w:rsidRPr="008D1ACA" w:rsidRDefault="005D438C" w:rsidP="00BA59E4">
            <w:pPr>
              <w:rPr>
                <w:sz w:val="22"/>
                <w:szCs w:val="22"/>
              </w:rPr>
            </w:pPr>
            <w:r w:rsidRPr="008D1ACA">
              <w:rPr>
                <w:sz w:val="22"/>
                <w:szCs w:val="22"/>
              </w:rPr>
              <w:t>2012</w:t>
            </w:r>
          </w:p>
        </w:tc>
        <w:tc>
          <w:tcPr>
            <w:tcW w:w="3118" w:type="dxa"/>
          </w:tcPr>
          <w:p w:rsidR="005D438C" w:rsidRPr="008D1ACA" w:rsidRDefault="005D438C" w:rsidP="00BA59E4">
            <w:pPr>
              <w:rPr>
                <w:sz w:val="22"/>
                <w:szCs w:val="22"/>
              </w:rPr>
            </w:pPr>
            <w:r w:rsidRPr="008D1ACA">
              <w:rPr>
                <w:sz w:val="22"/>
                <w:szCs w:val="22"/>
              </w:rPr>
              <w:t>New Baseline (replaces</w:t>
            </w:r>
            <w:r w:rsidR="00581D84">
              <w:rPr>
                <w:sz w:val="22"/>
                <w:szCs w:val="22"/>
              </w:rPr>
              <w:t xml:space="preserve"> indicator</w:t>
            </w:r>
            <w:r w:rsidRPr="008D1ACA">
              <w:rPr>
                <w:sz w:val="22"/>
                <w:szCs w:val="22"/>
              </w:rPr>
              <w:t xml:space="preserve"> 3.02i)**</w:t>
            </w:r>
            <w:r w:rsidR="00581D84">
              <w:rPr>
                <w:sz w:val="22"/>
                <w:szCs w:val="22"/>
              </w:rPr>
              <w:t>*</w:t>
            </w:r>
            <w:r w:rsidR="00750653">
              <w:rPr>
                <w:sz w:val="22"/>
                <w:szCs w:val="22"/>
              </w:rPr>
              <w:t>*</w:t>
            </w:r>
          </w:p>
        </w:tc>
        <w:tc>
          <w:tcPr>
            <w:tcW w:w="1843" w:type="dxa"/>
          </w:tcPr>
          <w:p w:rsidR="005D438C" w:rsidRPr="008D1ACA" w:rsidRDefault="007D251A" w:rsidP="00BA59E4">
            <w:pPr>
              <w:rPr>
                <w:sz w:val="22"/>
                <w:szCs w:val="22"/>
              </w:rPr>
            </w:pPr>
            <w:r>
              <w:rPr>
                <w:sz w:val="22"/>
                <w:szCs w:val="22"/>
              </w:rPr>
              <w:t>Yes</w:t>
            </w:r>
          </w:p>
        </w:tc>
      </w:tr>
      <w:tr w:rsidR="005D438C" w:rsidRPr="0080263B" w:rsidTr="00AE335A">
        <w:trPr>
          <w:trHeight w:val="772"/>
        </w:trPr>
        <w:tc>
          <w:tcPr>
            <w:tcW w:w="993" w:type="dxa"/>
          </w:tcPr>
          <w:p w:rsidR="005D438C" w:rsidRPr="008D1ACA" w:rsidRDefault="005D438C" w:rsidP="00BA59E4">
            <w:pPr>
              <w:rPr>
                <w:b/>
                <w:sz w:val="22"/>
                <w:szCs w:val="22"/>
              </w:rPr>
            </w:pPr>
            <w:r w:rsidRPr="008D1ACA">
              <w:rPr>
                <w:b/>
                <w:sz w:val="22"/>
                <w:szCs w:val="22"/>
              </w:rPr>
              <w:t>4.01</w:t>
            </w:r>
          </w:p>
        </w:tc>
        <w:tc>
          <w:tcPr>
            <w:tcW w:w="3119" w:type="dxa"/>
          </w:tcPr>
          <w:p w:rsidR="005D438C" w:rsidRPr="008D1ACA" w:rsidRDefault="005D438C" w:rsidP="00BA59E4">
            <w:pPr>
              <w:rPr>
                <w:b/>
                <w:sz w:val="22"/>
                <w:szCs w:val="22"/>
              </w:rPr>
            </w:pPr>
            <w:r w:rsidRPr="008D1ACA">
              <w:rPr>
                <w:b/>
                <w:sz w:val="22"/>
                <w:szCs w:val="22"/>
              </w:rPr>
              <w:t>Infant Mortality</w:t>
            </w:r>
          </w:p>
        </w:tc>
        <w:tc>
          <w:tcPr>
            <w:tcW w:w="1134" w:type="dxa"/>
          </w:tcPr>
          <w:p w:rsidR="005D438C" w:rsidRPr="008D1ACA" w:rsidRDefault="005D438C" w:rsidP="00BA59E4">
            <w:pPr>
              <w:rPr>
                <w:sz w:val="22"/>
                <w:szCs w:val="22"/>
              </w:rPr>
            </w:pPr>
          </w:p>
        </w:tc>
        <w:tc>
          <w:tcPr>
            <w:tcW w:w="3118" w:type="dxa"/>
          </w:tcPr>
          <w:p w:rsidR="005D438C" w:rsidRPr="008D1ACA" w:rsidRDefault="005D438C" w:rsidP="00BA59E4">
            <w:pPr>
              <w:rPr>
                <w:sz w:val="22"/>
                <w:szCs w:val="22"/>
              </w:rPr>
            </w:pPr>
          </w:p>
        </w:tc>
        <w:tc>
          <w:tcPr>
            <w:tcW w:w="1843" w:type="dxa"/>
          </w:tcPr>
          <w:p w:rsidR="005D438C" w:rsidRPr="008D1ACA" w:rsidRDefault="005D438C" w:rsidP="00BA59E4">
            <w:pPr>
              <w:rPr>
                <w:sz w:val="22"/>
                <w:szCs w:val="22"/>
              </w:rPr>
            </w:pPr>
          </w:p>
        </w:tc>
      </w:tr>
      <w:tr w:rsidR="005D438C" w:rsidRPr="0080263B" w:rsidTr="00AE335A">
        <w:trPr>
          <w:trHeight w:val="772"/>
        </w:trPr>
        <w:tc>
          <w:tcPr>
            <w:tcW w:w="993" w:type="dxa"/>
          </w:tcPr>
          <w:p w:rsidR="005D438C" w:rsidRPr="008D1ACA" w:rsidRDefault="005D438C" w:rsidP="00BA59E4">
            <w:pPr>
              <w:rPr>
                <w:sz w:val="22"/>
                <w:szCs w:val="22"/>
              </w:rPr>
            </w:pPr>
            <w:r w:rsidRPr="008D1ACA">
              <w:rPr>
                <w:sz w:val="22"/>
                <w:szCs w:val="22"/>
              </w:rPr>
              <w:t>4.01</w:t>
            </w:r>
          </w:p>
        </w:tc>
        <w:tc>
          <w:tcPr>
            <w:tcW w:w="3119" w:type="dxa"/>
          </w:tcPr>
          <w:p w:rsidR="005D438C" w:rsidRPr="008D1ACA" w:rsidRDefault="005D438C" w:rsidP="00BA59E4">
            <w:pPr>
              <w:rPr>
                <w:sz w:val="22"/>
                <w:szCs w:val="22"/>
              </w:rPr>
            </w:pPr>
            <w:r w:rsidRPr="008D1ACA">
              <w:rPr>
                <w:sz w:val="22"/>
                <w:szCs w:val="22"/>
              </w:rPr>
              <w:t>Crude rate of infant deaths (persons aged less than 1 year) per 1,000 live births</w:t>
            </w:r>
          </w:p>
        </w:tc>
        <w:tc>
          <w:tcPr>
            <w:tcW w:w="1134" w:type="dxa"/>
          </w:tcPr>
          <w:p w:rsidR="005D438C" w:rsidRPr="008D1ACA" w:rsidRDefault="005D438C" w:rsidP="00BA59E4">
            <w:pPr>
              <w:rPr>
                <w:sz w:val="22"/>
                <w:szCs w:val="22"/>
              </w:rPr>
            </w:pPr>
            <w:r w:rsidRPr="008D1ACA">
              <w:rPr>
                <w:sz w:val="22"/>
                <w:szCs w:val="22"/>
              </w:rPr>
              <w:t>2009-11</w:t>
            </w:r>
          </w:p>
        </w:tc>
        <w:tc>
          <w:tcPr>
            <w:tcW w:w="3118" w:type="dxa"/>
          </w:tcPr>
          <w:p w:rsidR="005D438C" w:rsidRPr="008D1ACA" w:rsidRDefault="005D438C" w:rsidP="00BA59E4">
            <w:pPr>
              <w:rPr>
                <w:sz w:val="22"/>
                <w:szCs w:val="22"/>
              </w:rPr>
            </w:pPr>
            <w:r w:rsidRPr="008D1ACA">
              <w:rPr>
                <w:sz w:val="22"/>
                <w:szCs w:val="22"/>
              </w:rPr>
              <w:t>New Baseline</w:t>
            </w:r>
          </w:p>
        </w:tc>
        <w:tc>
          <w:tcPr>
            <w:tcW w:w="1843" w:type="dxa"/>
          </w:tcPr>
          <w:p w:rsidR="005D438C" w:rsidRPr="008D1ACA" w:rsidRDefault="007D251A" w:rsidP="00BA59E4">
            <w:pPr>
              <w:rPr>
                <w:sz w:val="22"/>
                <w:szCs w:val="22"/>
              </w:rPr>
            </w:pPr>
            <w:r>
              <w:rPr>
                <w:sz w:val="22"/>
                <w:szCs w:val="22"/>
              </w:rPr>
              <w:t>No</w:t>
            </w:r>
          </w:p>
        </w:tc>
      </w:tr>
      <w:tr w:rsidR="005D438C" w:rsidRPr="0080263B" w:rsidTr="00AE335A">
        <w:trPr>
          <w:trHeight w:val="772"/>
        </w:trPr>
        <w:tc>
          <w:tcPr>
            <w:tcW w:w="993" w:type="dxa"/>
          </w:tcPr>
          <w:p w:rsidR="005D438C" w:rsidRPr="008D1ACA" w:rsidRDefault="005D438C" w:rsidP="00BA59E4">
            <w:pPr>
              <w:rPr>
                <w:b/>
                <w:sz w:val="22"/>
                <w:szCs w:val="22"/>
              </w:rPr>
            </w:pPr>
            <w:r w:rsidRPr="008D1ACA">
              <w:rPr>
                <w:b/>
                <w:sz w:val="22"/>
                <w:szCs w:val="22"/>
              </w:rPr>
              <w:t>4.12</w:t>
            </w:r>
          </w:p>
        </w:tc>
        <w:tc>
          <w:tcPr>
            <w:tcW w:w="3119" w:type="dxa"/>
          </w:tcPr>
          <w:p w:rsidR="005D438C" w:rsidRPr="008D1ACA" w:rsidRDefault="005D438C" w:rsidP="00764F8B">
            <w:pPr>
              <w:rPr>
                <w:b/>
                <w:sz w:val="22"/>
                <w:szCs w:val="22"/>
              </w:rPr>
            </w:pPr>
            <w:r w:rsidRPr="008D1ACA">
              <w:rPr>
                <w:b/>
                <w:sz w:val="22"/>
                <w:szCs w:val="22"/>
              </w:rPr>
              <w:t>Preventable sight loss</w:t>
            </w:r>
          </w:p>
        </w:tc>
        <w:tc>
          <w:tcPr>
            <w:tcW w:w="1134" w:type="dxa"/>
          </w:tcPr>
          <w:p w:rsidR="005D438C" w:rsidRPr="008D1ACA" w:rsidRDefault="005D438C" w:rsidP="00BA59E4">
            <w:pPr>
              <w:rPr>
                <w:b/>
                <w:sz w:val="22"/>
                <w:szCs w:val="22"/>
              </w:rPr>
            </w:pPr>
          </w:p>
        </w:tc>
        <w:tc>
          <w:tcPr>
            <w:tcW w:w="3118" w:type="dxa"/>
          </w:tcPr>
          <w:p w:rsidR="005D438C" w:rsidRPr="008D1ACA" w:rsidRDefault="005D438C" w:rsidP="00BA59E4">
            <w:pPr>
              <w:rPr>
                <w:b/>
                <w:sz w:val="22"/>
                <w:szCs w:val="22"/>
              </w:rPr>
            </w:pPr>
          </w:p>
        </w:tc>
        <w:tc>
          <w:tcPr>
            <w:tcW w:w="1843" w:type="dxa"/>
          </w:tcPr>
          <w:p w:rsidR="005D438C" w:rsidRPr="008D1ACA" w:rsidRDefault="005D438C" w:rsidP="006A27AA">
            <w:pPr>
              <w:rPr>
                <w:sz w:val="22"/>
                <w:szCs w:val="22"/>
              </w:rPr>
            </w:pPr>
          </w:p>
        </w:tc>
      </w:tr>
      <w:tr w:rsidR="005D438C" w:rsidRPr="0080263B" w:rsidTr="00AE335A">
        <w:trPr>
          <w:trHeight w:val="772"/>
        </w:trPr>
        <w:tc>
          <w:tcPr>
            <w:tcW w:w="993" w:type="dxa"/>
          </w:tcPr>
          <w:p w:rsidR="005D438C" w:rsidRPr="008D1ACA" w:rsidRDefault="005D438C" w:rsidP="00BA59E4">
            <w:pPr>
              <w:rPr>
                <w:color w:val="000000"/>
                <w:sz w:val="22"/>
                <w:szCs w:val="22"/>
              </w:rPr>
            </w:pPr>
            <w:r w:rsidRPr="008D1ACA">
              <w:rPr>
                <w:color w:val="000000"/>
                <w:sz w:val="22"/>
                <w:szCs w:val="22"/>
              </w:rPr>
              <w:lastRenderedPageBreak/>
              <w:t>4.12i</w:t>
            </w:r>
          </w:p>
        </w:tc>
        <w:tc>
          <w:tcPr>
            <w:tcW w:w="3119" w:type="dxa"/>
          </w:tcPr>
          <w:p w:rsidR="005D438C" w:rsidRPr="008D1ACA" w:rsidRDefault="005D438C" w:rsidP="007B4718">
            <w:pPr>
              <w:rPr>
                <w:sz w:val="22"/>
                <w:szCs w:val="22"/>
              </w:rPr>
            </w:pPr>
            <w:r w:rsidRPr="008D1ACA">
              <w:rPr>
                <w:sz w:val="22"/>
                <w:szCs w:val="22"/>
              </w:rPr>
              <w:t>Crude rate of sight loss due to Age Related Macular Degeneration (AMD) in persons aged 65 and over per 100,000 population</w:t>
            </w:r>
          </w:p>
        </w:tc>
        <w:tc>
          <w:tcPr>
            <w:tcW w:w="1134" w:type="dxa"/>
          </w:tcPr>
          <w:p w:rsidR="005D438C" w:rsidRPr="008D1ACA" w:rsidRDefault="005D438C" w:rsidP="00BA59E4">
            <w:pPr>
              <w:rPr>
                <w:color w:val="000000"/>
                <w:sz w:val="22"/>
                <w:szCs w:val="22"/>
              </w:rPr>
            </w:pPr>
            <w:r w:rsidRPr="008D1ACA">
              <w:rPr>
                <w:color w:val="000000"/>
                <w:sz w:val="22"/>
                <w:szCs w:val="22"/>
              </w:rPr>
              <w:t>2011/12</w:t>
            </w:r>
          </w:p>
        </w:tc>
        <w:tc>
          <w:tcPr>
            <w:tcW w:w="3118" w:type="dxa"/>
          </w:tcPr>
          <w:p w:rsidR="005D438C" w:rsidRPr="00581D84" w:rsidRDefault="005D438C">
            <w:pPr>
              <w:rPr>
                <w:sz w:val="22"/>
                <w:szCs w:val="22"/>
              </w:rPr>
            </w:pPr>
            <w:r w:rsidRPr="00581D84">
              <w:rPr>
                <w:sz w:val="22"/>
                <w:szCs w:val="22"/>
              </w:rPr>
              <w:t>Updated data (baseline period – 2010/11) and revisions to existing data based upon revised population data from ONS</w:t>
            </w:r>
            <w:r w:rsidR="00750653">
              <w:rPr>
                <w:sz w:val="22"/>
                <w:szCs w:val="22"/>
              </w:rPr>
              <w:t>**</w:t>
            </w:r>
          </w:p>
        </w:tc>
        <w:tc>
          <w:tcPr>
            <w:tcW w:w="1843" w:type="dxa"/>
          </w:tcPr>
          <w:p w:rsidR="005D438C" w:rsidRPr="008D1ACA" w:rsidRDefault="001865ED" w:rsidP="006A27AA">
            <w:pPr>
              <w:rPr>
                <w:sz w:val="22"/>
                <w:szCs w:val="22"/>
              </w:rPr>
            </w:pPr>
            <w:r>
              <w:rPr>
                <w:sz w:val="22"/>
                <w:szCs w:val="22"/>
              </w:rPr>
              <w:t>No</w:t>
            </w:r>
          </w:p>
        </w:tc>
      </w:tr>
      <w:tr w:rsidR="005D438C" w:rsidRPr="0080263B" w:rsidTr="00AE335A">
        <w:trPr>
          <w:trHeight w:val="772"/>
        </w:trPr>
        <w:tc>
          <w:tcPr>
            <w:tcW w:w="993" w:type="dxa"/>
          </w:tcPr>
          <w:p w:rsidR="005D438C" w:rsidRPr="008D1ACA" w:rsidRDefault="005D438C" w:rsidP="00BA59E4">
            <w:pPr>
              <w:rPr>
                <w:bCs/>
                <w:color w:val="000000"/>
                <w:sz w:val="22"/>
                <w:szCs w:val="22"/>
              </w:rPr>
            </w:pPr>
            <w:r w:rsidRPr="008D1ACA">
              <w:rPr>
                <w:bCs/>
                <w:color w:val="000000"/>
                <w:sz w:val="22"/>
                <w:szCs w:val="22"/>
              </w:rPr>
              <w:t>4.12ii</w:t>
            </w:r>
          </w:p>
        </w:tc>
        <w:tc>
          <w:tcPr>
            <w:tcW w:w="3119" w:type="dxa"/>
          </w:tcPr>
          <w:p w:rsidR="005D438C" w:rsidRPr="008D1ACA" w:rsidRDefault="005D438C" w:rsidP="007B4718">
            <w:pPr>
              <w:rPr>
                <w:sz w:val="22"/>
                <w:szCs w:val="22"/>
              </w:rPr>
            </w:pPr>
            <w:r w:rsidRPr="008D1ACA">
              <w:rPr>
                <w:sz w:val="22"/>
                <w:szCs w:val="22"/>
              </w:rPr>
              <w:t>Crude rate of sight loss due to glaucoma in persons aged 40 and over per 100,000 population</w:t>
            </w:r>
          </w:p>
        </w:tc>
        <w:tc>
          <w:tcPr>
            <w:tcW w:w="1134" w:type="dxa"/>
          </w:tcPr>
          <w:p w:rsidR="005D438C" w:rsidRPr="008D1ACA" w:rsidRDefault="005D438C" w:rsidP="00BA59E4">
            <w:pPr>
              <w:rPr>
                <w:b/>
                <w:bCs/>
                <w:color w:val="000000"/>
                <w:sz w:val="22"/>
                <w:szCs w:val="22"/>
              </w:rPr>
            </w:pPr>
            <w:r w:rsidRPr="008D1ACA">
              <w:rPr>
                <w:color w:val="000000"/>
                <w:sz w:val="22"/>
                <w:szCs w:val="22"/>
              </w:rPr>
              <w:t>2011/12</w:t>
            </w:r>
          </w:p>
        </w:tc>
        <w:tc>
          <w:tcPr>
            <w:tcW w:w="3118" w:type="dxa"/>
          </w:tcPr>
          <w:p w:rsidR="005D438C" w:rsidRPr="00581D84" w:rsidRDefault="005D438C">
            <w:pPr>
              <w:rPr>
                <w:sz w:val="22"/>
                <w:szCs w:val="22"/>
              </w:rPr>
            </w:pPr>
            <w:r w:rsidRPr="00581D84">
              <w:rPr>
                <w:sz w:val="22"/>
                <w:szCs w:val="22"/>
              </w:rPr>
              <w:t>Updated data (baseline period – 2010/11) and revisions to existing data based upon revised population data from ONS</w:t>
            </w:r>
            <w:r w:rsidR="00750653">
              <w:rPr>
                <w:sz w:val="22"/>
                <w:szCs w:val="22"/>
              </w:rPr>
              <w:t>**</w:t>
            </w:r>
          </w:p>
        </w:tc>
        <w:tc>
          <w:tcPr>
            <w:tcW w:w="1843" w:type="dxa"/>
          </w:tcPr>
          <w:p w:rsidR="005D438C" w:rsidRPr="008D1ACA" w:rsidRDefault="001865ED" w:rsidP="006A27AA">
            <w:pPr>
              <w:rPr>
                <w:sz w:val="22"/>
                <w:szCs w:val="22"/>
              </w:rPr>
            </w:pPr>
            <w:r>
              <w:rPr>
                <w:sz w:val="22"/>
                <w:szCs w:val="22"/>
              </w:rPr>
              <w:t>No</w:t>
            </w:r>
          </w:p>
        </w:tc>
      </w:tr>
      <w:tr w:rsidR="005D438C" w:rsidRPr="0080263B" w:rsidTr="00AE335A">
        <w:trPr>
          <w:trHeight w:val="772"/>
        </w:trPr>
        <w:tc>
          <w:tcPr>
            <w:tcW w:w="993" w:type="dxa"/>
          </w:tcPr>
          <w:p w:rsidR="005D438C" w:rsidRPr="008D1ACA" w:rsidRDefault="005D438C" w:rsidP="00BA59E4">
            <w:pPr>
              <w:rPr>
                <w:sz w:val="22"/>
                <w:szCs w:val="22"/>
              </w:rPr>
            </w:pPr>
            <w:r w:rsidRPr="008D1ACA">
              <w:rPr>
                <w:sz w:val="22"/>
                <w:szCs w:val="22"/>
              </w:rPr>
              <w:t>4.12iii</w:t>
            </w:r>
          </w:p>
        </w:tc>
        <w:tc>
          <w:tcPr>
            <w:tcW w:w="3119" w:type="dxa"/>
          </w:tcPr>
          <w:p w:rsidR="005D438C" w:rsidRPr="008D1ACA" w:rsidRDefault="005D438C" w:rsidP="007B4718">
            <w:pPr>
              <w:rPr>
                <w:sz w:val="22"/>
                <w:szCs w:val="22"/>
              </w:rPr>
            </w:pPr>
            <w:r w:rsidRPr="008D1ACA">
              <w:rPr>
                <w:sz w:val="22"/>
                <w:szCs w:val="22"/>
              </w:rPr>
              <w:t>Crude rate of sight loss due to Diabetic Eye Disease in persons aged 12 and over per 100,000 population</w:t>
            </w:r>
          </w:p>
        </w:tc>
        <w:tc>
          <w:tcPr>
            <w:tcW w:w="1134" w:type="dxa"/>
          </w:tcPr>
          <w:p w:rsidR="005D438C" w:rsidRPr="008D1ACA" w:rsidRDefault="005D438C" w:rsidP="00BA59E4">
            <w:pPr>
              <w:rPr>
                <w:sz w:val="22"/>
                <w:szCs w:val="22"/>
              </w:rPr>
            </w:pPr>
            <w:r w:rsidRPr="008D1ACA">
              <w:rPr>
                <w:color w:val="000000"/>
                <w:sz w:val="22"/>
                <w:szCs w:val="22"/>
              </w:rPr>
              <w:t>2011/12</w:t>
            </w:r>
          </w:p>
        </w:tc>
        <w:tc>
          <w:tcPr>
            <w:tcW w:w="3118" w:type="dxa"/>
          </w:tcPr>
          <w:p w:rsidR="005D438C" w:rsidRPr="00581D84" w:rsidRDefault="005D438C">
            <w:pPr>
              <w:rPr>
                <w:sz w:val="22"/>
                <w:szCs w:val="22"/>
              </w:rPr>
            </w:pPr>
            <w:r w:rsidRPr="00581D84">
              <w:rPr>
                <w:sz w:val="22"/>
                <w:szCs w:val="22"/>
              </w:rPr>
              <w:t>Updated data (baseline period – 2010/11) and revisions to existing data based upon revised population data from ONS</w:t>
            </w:r>
            <w:r w:rsidR="00750653">
              <w:rPr>
                <w:sz w:val="22"/>
                <w:szCs w:val="22"/>
              </w:rPr>
              <w:t>**</w:t>
            </w:r>
          </w:p>
        </w:tc>
        <w:tc>
          <w:tcPr>
            <w:tcW w:w="1843" w:type="dxa"/>
          </w:tcPr>
          <w:p w:rsidR="005D438C" w:rsidRPr="008D1ACA" w:rsidRDefault="001865ED" w:rsidP="006A27AA">
            <w:pPr>
              <w:rPr>
                <w:sz w:val="22"/>
                <w:szCs w:val="22"/>
              </w:rPr>
            </w:pPr>
            <w:r>
              <w:rPr>
                <w:sz w:val="22"/>
                <w:szCs w:val="22"/>
              </w:rPr>
              <w:t>No</w:t>
            </w:r>
          </w:p>
        </w:tc>
      </w:tr>
      <w:tr w:rsidR="005D438C" w:rsidRPr="0080263B" w:rsidTr="00AE335A">
        <w:trPr>
          <w:trHeight w:val="772"/>
        </w:trPr>
        <w:tc>
          <w:tcPr>
            <w:tcW w:w="993" w:type="dxa"/>
          </w:tcPr>
          <w:p w:rsidR="005D438C" w:rsidRPr="008D1ACA" w:rsidRDefault="005D438C" w:rsidP="00BA59E4">
            <w:pPr>
              <w:rPr>
                <w:bCs/>
                <w:sz w:val="22"/>
                <w:szCs w:val="22"/>
              </w:rPr>
            </w:pPr>
            <w:r w:rsidRPr="008D1ACA">
              <w:rPr>
                <w:bCs/>
                <w:sz w:val="22"/>
                <w:szCs w:val="22"/>
              </w:rPr>
              <w:t>4.12iv</w:t>
            </w:r>
          </w:p>
        </w:tc>
        <w:tc>
          <w:tcPr>
            <w:tcW w:w="3119" w:type="dxa"/>
          </w:tcPr>
          <w:p w:rsidR="005D438C" w:rsidRPr="008D1ACA" w:rsidRDefault="005D438C" w:rsidP="007B4718">
            <w:pPr>
              <w:rPr>
                <w:sz w:val="22"/>
                <w:szCs w:val="22"/>
              </w:rPr>
            </w:pPr>
            <w:r w:rsidRPr="008D1ACA">
              <w:rPr>
                <w:sz w:val="22"/>
                <w:szCs w:val="22"/>
              </w:rPr>
              <w:t>Crude rate of sight loss certifications per 100,000 population</w:t>
            </w:r>
          </w:p>
        </w:tc>
        <w:tc>
          <w:tcPr>
            <w:tcW w:w="1134" w:type="dxa"/>
          </w:tcPr>
          <w:p w:rsidR="005D438C" w:rsidRPr="008D1ACA" w:rsidRDefault="005D438C" w:rsidP="00BA59E4">
            <w:pPr>
              <w:rPr>
                <w:b/>
                <w:bCs/>
                <w:sz w:val="22"/>
                <w:szCs w:val="22"/>
              </w:rPr>
            </w:pPr>
            <w:r w:rsidRPr="008D1ACA">
              <w:rPr>
                <w:color w:val="000000"/>
                <w:sz w:val="22"/>
                <w:szCs w:val="22"/>
              </w:rPr>
              <w:t>2011/12</w:t>
            </w:r>
          </w:p>
        </w:tc>
        <w:tc>
          <w:tcPr>
            <w:tcW w:w="3118" w:type="dxa"/>
          </w:tcPr>
          <w:p w:rsidR="005D438C" w:rsidRPr="00581D84" w:rsidRDefault="005D438C">
            <w:pPr>
              <w:rPr>
                <w:sz w:val="22"/>
                <w:szCs w:val="22"/>
              </w:rPr>
            </w:pPr>
            <w:r w:rsidRPr="00581D84">
              <w:rPr>
                <w:sz w:val="22"/>
                <w:szCs w:val="22"/>
              </w:rPr>
              <w:t>Updated data (baseline period – 2010/11) and revisions to existing data based upon revised population data from ONS</w:t>
            </w:r>
            <w:r w:rsidR="00750653">
              <w:rPr>
                <w:sz w:val="22"/>
                <w:szCs w:val="22"/>
              </w:rPr>
              <w:t>**</w:t>
            </w:r>
          </w:p>
        </w:tc>
        <w:tc>
          <w:tcPr>
            <w:tcW w:w="1843" w:type="dxa"/>
          </w:tcPr>
          <w:p w:rsidR="005D438C" w:rsidRPr="008D1ACA" w:rsidRDefault="001865ED" w:rsidP="006A27AA">
            <w:pPr>
              <w:rPr>
                <w:sz w:val="22"/>
                <w:szCs w:val="22"/>
              </w:rPr>
            </w:pPr>
            <w:r>
              <w:rPr>
                <w:sz w:val="22"/>
                <w:szCs w:val="22"/>
              </w:rPr>
              <w:t>No</w:t>
            </w:r>
          </w:p>
        </w:tc>
      </w:tr>
    </w:tbl>
    <w:p w:rsidR="000B42CA" w:rsidRDefault="000B42CA">
      <w:pPr>
        <w:rPr>
          <w:rFonts w:cs="Times New Roman"/>
          <w:sz w:val="22"/>
          <w:szCs w:val="22"/>
        </w:rPr>
      </w:pPr>
    </w:p>
    <w:p w:rsidR="005D438C" w:rsidRDefault="005D438C" w:rsidP="00054EBE">
      <w:pPr>
        <w:rPr>
          <w:sz w:val="22"/>
          <w:szCs w:val="22"/>
        </w:rPr>
      </w:pPr>
    </w:p>
    <w:p w:rsidR="00581D84" w:rsidRDefault="005D438C" w:rsidP="00054EBE">
      <w:pPr>
        <w:rPr>
          <w:sz w:val="22"/>
          <w:szCs w:val="22"/>
        </w:rPr>
      </w:pPr>
      <w:r>
        <w:rPr>
          <w:sz w:val="22"/>
          <w:szCs w:val="22"/>
        </w:rPr>
        <w:t>*Note</w:t>
      </w:r>
      <w:r w:rsidR="00581D84">
        <w:rPr>
          <w:sz w:val="22"/>
          <w:szCs w:val="22"/>
        </w:rPr>
        <w:t>:</w:t>
      </w:r>
      <w:r>
        <w:rPr>
          <w:sz w:val="22"/>
          <w:szCs w:val="22"/>
        </w:rPr>
        <w:t xml:space="preserve"> </w:t>
      </w:r>
      <w:r w:rsidR="00581D84">
        <w:rPr>
          <w:sz w:val="22"/>
          <w:szCs w:val="22"/>
        </w:rPr>
        <w:t xml:space="preserve">Two interim policy updates have been published since the original </w:t>
      </w:r>
      <w:r w:rsidR="00581D84" w:rsidRPr="00054EBE">
        <w:rPr>
          <w:sz w:val="22"/>
          <w:szCs w:val="22"/>
        </w:rPr>
        <w:t>‘Summary technical specifications of Public Health indicators’ (Part 2)</w:t>
      </w:r>
      <w:r w:rsidR="00581D84">
        <w:rPr>
          <w:sz w:val="22"/>
          <w:szCs w:val="22"/>
        </w:rPr>
        <w:t xml:space="preserve"> was produced in November 2012. The latest update</w:t>
      </w:r>
      <w:r w:rsidR="001865ED">
        <w:rPr>
          <w:sz w:val="22"/>
          <w:szCs w:val="22"/>
        </w:rPr>
        <w:t>, combining all changes to date,</w:t>
      </w:r>
      <w:r w:rsidR="00581D84">
        <w:rPr>
          <w:sz w:val="22"/>
          <w:szCs w:val="22"/>
        </w:rPr>
        <w:t xml:space="preserve"> was published on 26</w:t>
      </w:r>
      <w:r w:rsidR="00581D84" w:rsidRPr="00581D84">
        <w:rPr>
          <w:sz w:val="22"/>
          <w:szCs w:val="22"/>
          <w:vertAlign w:val="superscript"/>
        </w:rPr>
        <w:t>th</w:t>
      </w:r>
      <w:r w:rsidR="00581D84">
        <w:rPr>
          <w:sz w:val="22"/>
          <w:szCs w:val="22"/>
        </w:rPr>
        <w:t xml:space="preserve"> July and affects indicators included in this data release</w:t>
      </w:r>
      <w:r w:rsidR="001865ED">
        <w:rPr>
          <w:sz w:val="22"/>
          <w:szCs w:val="22"/>
        </w:rPr>
        <w:t>. Specifically changes affect indicators 1.08, 1.09, 1.18, 2.07 and 3.02 and so these should be kept in mind when viewing the data. To view these policy changes please see the PHOF policy page:</w:t>
      </w:r>
    </w:p>
    <w:p w:rsidR="001865ED" w:rsidRDefault="001865ED" w:rsidP="00054EBE">
      <w:pPr>
        <w:rPr>
          <w:sz w:val="22"/>
          <w:szCs w:val="22"/>
        </w:rPr>
      </w:pPr>
    </w:p>
    <w:p w:rsidR="001865ED" w:rsidRPr="00054EBE" w:rsidRDefault="00556AC1" w:rsidP="001865ED">
      <w:pPr>
        <w:rPr>
          <w:rFonts w:cs="Times New Roman"/>
          <w:sz w:val="22"/>
          <w:szCs w:val="22"/>
        </w:rPr>
      </w:pPr>
      <w:hyperlink r:id="rId6" w:history="1">
        <w:r w:rsidR="001865ED" w:rsidRPr="00054EBE">
          <w:rPr>
            <w:rStyle w:val="Hyperlink"/>
            <w:sz w:val="22"/>
            <w:szCs w:val="22"/>
          </w:rPr>
          <w:t>https://www.gov.uk/government/publications/healthy-lives-healthy-people-improving-outcomes-and-supporting-transparency</w:t>
        </w:r>
      </w:hyperlink>
    </w:p>
    <w:p w:rsidR="001865ED" w:rsidRDefault="001865ED" w:rsidP="00054EBE">
      <w:pPr>
        <w:rPr>
          <w:sz w:val="22"/>
          <w:szCs w:val="22"/>
        </w:rPr>
      </w:pPr>
    </w:p>
    <w:p w:rsidR="00750653" w:rsidRPr="00750653" w:rsidRDefault="00750653" w:rsidP="00750653">
      <w:pPr>
        <w:rPr>
          <w:sz w:val="22"/>
          <w:szCs w:val="22"/>
        </w:rPr>
      </w:pPr>
      <w:r w:rsidRPr="00750653">
        <w:rPr>
          <w:sz w:val="22"/>
          <w:szCs w:val="22"/>
        </w:rPr>
        <w:t>**Note: The baseline period for th</w:t>
      </w:r>
      <w:r>
        <w:rPr>
          <w:sz w:val="22"/>
          <w:szCs w:val="22"/>
        </w:rPr>
        <w:t>ese</w:t>
      </w:r>
      <w:r w:rsidRPr="00750653">
        <w:rPr>
          <w:sz w:val="22"/>
          <w:szCs w:val="22"/>
        </w:rPr>
        <w:t xml:space="preserve"> indicator</w:t>
      </w:r>
      <w:r>
        <w:rPr>
          <w:sz w:val="22"/>
          <w:szCs w:val="22"/>
        </w:rPr>
        <w:t>s</w:t>
      </w:r>
      <w:r w:rsidRPr="00750653">
        <w:rPr>
          <w:sz w:val="22"/>
          <w:szCs w:val="22"/>
        </w:rPr>
        <w:t xml:space="preserve"> ha</w:t>
      </w:r>
      <w:r>
        <w:rPr>
          <w:sz w:val="22"/>
          <w:szCs w:val="22"/>
        </w:rPr>
        <w:t>s</w:t>
      </w:r>
      <w:r w:rsidRPr="00750653">
        <w:rPr>
          <w:sz w:val="22"/>
          <w:szCs w:val="22"/>
        </w:rPr>
        <w:t xml:space="preserve"> not </w:t>
      </w:r>
      <w:r>
        <w:rPr>
          <w:sz w:val="22"/>
          <w:szCs w:val="22"/>
        </w:rPr>
        <w:t xml:space="preserve">been </w:t>
      </w:r>
      <w:r w:rsidRPr="00750653">
        <w:rPr>
          <w:sz w:val="22"/>
          <w:szCs w:val="22"/>
        </w:rPr>
        <w:t>changed, but the data have been revised in line with the rebased population estimates following the 2011 Census.</w:t>
      </w:r>
    </w:p>
    <w:p w:rsidR="00750653" w:rsidRDefault="00750653" w:rsidP="00054EBE">
      <w:pPr>
        <w:rPr>
          <w:sz w:val="22"/>
          <w:szCs w:val="22"/>
        </w:rPr>
      </w:pPr>
    </w:p>
    <w:p w:rsidR="00581D84" w:rsidRDefault="00581D84" w:rsidP="00054EBE">
      <w:pPr>
        <w:rPr>
          <w:color w:val="000000"/>
          <w:sz w:val="22"/>
          <w:szCs w:val="22"/>
        </w:rPr>
      </w:pPr>
      <w:r>
        <w:rPr>
          <w:sz w:val="22"/>
          <w:szCs w:val="22"/>
        </w:rPr>
        <w:t>**</w:t>
      </w:r>
      <w:r w:rsidR="00750653">
        <w:rPr>
          <w:sz w:val="22"/>
          <w:szCs w:val="22"/>
        </w:rPr>
        <w:t>*</w:t>
      </w:r>
      <w:r>
        <w:rPr>
          <w:sz w:val="22"/>
          <w:szCs w:val="22"/>
        </w:rPr>
        <w:t>Note (1.18): This indicator is still in development</w:t>
      </w:r>
      <w:r w:rsidR="001865ED">
        <w:rPr>
          <w:sz w:val="22"/>
          <w:szCs w:val="22"/>
        </w:rPr>
        <w:t xml:space="preserve"> (for details, please view update as above)</w:t>
      </w:r>
      <w:r>
        <w:rPr>
          <w:sz w:val="22"/>
          <w:szCs w:val="22"/>
        </w:rPr>
        <w:t xml:space="preserve">. As an interim solution sub-indicators will be published providing data </w:t>
      </w:r>
      <w:r w:rsidRPr="00581D84">
        <w:rPr>
          <w:sz w:val="22"/>
          <w:szCs w:val="22"/>
        </w:rPr>
        <w:t xml:space="preserve">from the </w:t>
      </w:r>
      <w:r w:rsidRPr="00581D84">
        <w:rPr>
          <w:color w:val="000000"/>
          <w:sz w:val="22"/>
          <w:szCs w:val="22"/>
        </w:rPr>
        <w:t xml:space="preserve">Adult Social Care Survey and </w:t>
      </w:r>
      <w:r>
        <w:rPr>
          <w:color w:val="000000"/>
          <w:sz w:val="22"/>
          <w:szCs w:val="22"/>
        </w:rPr>
        <w:t xml:space="preserve">the </w:t>
      </w:r>
      <w:r w:rsidRPr="00581D84">
        <w:rPr>
          <w:color w:val="000000"/>
          <w:sz w:val="22"/>
          <w:szCs w:val="22"/>
        </w:rPr>
        <w:t>Carers Survey</w:t>
      </w:r>
      <w:r>
        <w:rPr>
          <w:color w:val="000000"/>
          <w:sz w:val="22"/>
          <w:szCs w:val="22"/>
        </w:rPr>
        <w:t xml:space="preserve">. In this publication data from the Adult Social Care Users survey has been made available. Data from the Carers Survey will be published in a later </w:t>
      </w:r>
      <w:r w:rsidR="001865ED">
        <w:rPr>
          <w:color w:val="000000"/>
          <w:sz w:val="22"/>
          <w:szCs w:val="22"/>
        </w:rPr>
        <w:t>release</w:t>
      </w:r>
      <w:r>
        <w:rPr>
          <w:color w:val="000000"/>
          <w:sz w:val="22"/>
          <w:szCs w:val="22"/>
        </w:rPr>
        <w:t xml:space="preserve">. </w:t>
      </w:r>
    </w:p>
    <w:p w:rsidR="00581D84" w:rsidRDefault="00581D84" w:rsidP="00054EBE">
      <w:pPr>
        <w:rPr>
          <w:sz w:val="22"/>
          <w:szCs w:val="22"/>
        </w:rPr>
      </w:pPr>
    </w:p>
    <w:p w:rsidR="00581D84" w:rsidRDefault="00581D84" w:rsidP="00054EBE">
      <w:pPr>
        <w:rPr>
          <w:sz w:val="22"/>
          <w:szCs w:val="22"/>
        </w:rPr>
      </w:pPr>
      <w:r>
        <w:rPr>
          <w:sz w:val="22"/>
          <w:szCs w:val="22"/>
        </w:rPr>
        <w:t>***</w:t>
      </w:r>
      <w:r w:rsidR="00750653">
        <w:rPr>
          <w:sz w:val="22"/>
          <w:szCs w:val="22"/>
        </w:rPr>
        <w:t>*</w:t>
      </w:r>
      <w:r>
        <w:rPr>
          <w:sz w:val="22"/>
          <w:szCs w:val="22"/>
        </w:rPr>
        <w:t>Note (3.02): This indicator has changed</w:t>
      </w:r>
      <w:r w:rsidR="001865ED">
        <w:rPr>
          <w:sz w:val="22"/>
          <w:szCs w:val="22"/>
        </w:rPr>
        <w:t xml:space="preserve"> (for details, please view update as above). Due to changes to the data source, data from 2012 onwards will not be comparable to 2010 and 2011 that are already published in PHOF. As such the 2010 and 2011 data will be maintained in a frozen indicator (3.02i) and all future data (2012 onwards) will be published within a new sub-indicator, 3.02ii.</w:t>
      </w:r>
    </w:p>
    <w:p w:rsidR="00581D84" w:rsidRDefault="00581D84" w:rsidP="00054EBE">
      <w:pPr>
        <w:rPr>
          <w:sz w:val="22"/>
          <w:szCs w:val="22"/>
        </w:rPr>
      </w:pPr>
    </w:p>
    <w:p w:rsidR="000B42CA" w:rsidRPr="00054EBE" w:rsidRDefault="00750653">
      <w:pPr>
        <w:rPr>
          <w:rFonts w:cs="Times New Roman"/>
          <w:sz w:val="22"/>
          <w:szCs w:val="22"/>
        </w:rPr>
      </w:pPr>
      <w:r>
        <w:rPr>
          <w:rFonts w:cs="Times New Roman"/>
          <w:sz w:val="22"/>
          <w:szCs w:val="22"/>
        </w:rPr>
        <w:t>~</w:t>
      </w:r>
      <w:r w:rsidR="007D251A">
        <w:rPr>
          <w:rFonts w:cs="Times New Roman"/>
          <w:sz w:val="22"/>
          <w:szCs w:val="22"/>
        </w:rPr>
        <w:t xml:space="preserve">Note: More details on the indicators and their sources can be found in the definitions tab of each indicator in the Public Health Outcomes Framework </w:t>
      </w:r>
      <w:r>
        <w:rPr>
          <w:rFonts w:cs="Times New Roman"/>
          <w:sz w:val="22"/>
          <w:szCs w:val="22"/>
        </w:rPr>
        <w:t xml:space="preserve">data </w:t>
      </w:r>
      <w:r w:rsidR="007D251A">
        <w:rPr>
          <w:rFonts w:cs="Times New Roman"/>
          <w:sz w:val="22"/>
          <w:szCs w:val="22"/>
        </w:rPr>
        <w:t>tool (</w:t>
      </w:r>
      <w:hyperlink r:id="rId7" w:history="1">
        <w:r w:rsidR="007D251A" w:rsidRPr="00750653">
          <w:rPr>
            <w:rStyle w:val="Hyperlink"/>
            <w:rFonts w:cs="Times New Roman"/>
            <w:sz w:val="22"/>
            <w:szCs w:val="22"/>
          </w:rPr>
          <w:t>www.phoutcomes.info</w:t>
        </w:r>
      </w:hyperlink>
      <w:r w:rsidR="007D251A">
        <w:rPr>
          <w:rFonts w:cs="Times New Roman"/>
          <w:sz w:val="22"/>
          <w:szCs w:val="22"/>
        </w:rPr>
        <w:t>).</w:t>
      </w:r>
    </w:p>
    <w:sectPr w:rsidR="000B42CA" w:rsidRPr="00054EBE" w:rsidSect="00995E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yntax">
    <w:altName w:val="Syntax"/>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601"/>
    <w:rsid w:val="00054EBE"/>
    <w:rsid w:val="00077601"/>
    <w:rsid w:val="00081707"/>
    <w:rsid w:val="000B42CA"/>
    <w:rsid w:val="000C508B"/>
    <w:rsid w:val="001033F7"/>
    <w:rsid w:val="00130891"/>
    <w:rsid w:val="00135AF0"/>
    <w:rsid w:val="00186412"/>
    <w:rsid w:val="001865ED"/>
    <w:rsid w:val="001B29EA"/>
    <w:rsid w:val="001D2091"/>
    <w:rsid w:val="002D0A5E"/>
    <w:rsid w:val="0033749F"/>
    <w:rsid w:val="003521A4"/>
    <w:rsid w:val="003738DB"/>
    <w:rsid w:val="0037709A"/>
    <w:rsid w:val="003A3DEA"/>
    <w:rsid w:val="003B7F10"/>
    <w:rsid w:val="003D3113"/>
    <w:rsid w:val="003D6F69"/>
    <w:rsid w:val="003E30A3"/>
    <w:rsid w:val="003F23E3"/>
    <w:rsid w:val="00412798"/>
    <w:rsid w:val="00424153"/>
    <w:rsid w:val="00457A3E"/>
    <w:rsid w:val="0046505A"/>
    <w:rsid w:val="004F4D5C"/>
    <w:rsid w:val="004F4DC3"/>
    <w:rsid w:val="005156CD"/>
    <w:rsid w:val="005173F1"/>
    <w:rsid w:val="00556AC1"/>
    <w:rsid w:val="00562D9E"/>
    <w:rsid w:val="00564797"/>
    <w:rsid w:val="00570479"/>
    <w:rsid w:val="00581D84"/>
    <w:rsid w:val="005A6CD0"/>
    <w:rsid w:val="005D438C"/>
    <w:rsid w:val="005D483C"/>
    <w:rsid w:val="005D54A4"/>
    <w:rsid w:val="00626C95"/>
    <w:rsid w:val="00632B19"/>
    <w:rsid w:val="0069698C"/>
    <w:rsid w:val="006A05FC"/>
    <w:rsid w:val="006A213D"/>
    <w:rsid w:val="006A27AA"/>
    <w:rsid w:val="006C4AE7"/>
    <w:rsid w:val="006D5213"/>
    <w:rsid w:val="0070080A"/>
    <w:rsid w:val="007232EB"/>
    <w:rsid w:val="00750653"/>
    <w:rsid w:val="00752D18"/>
    <w:rsid w:val="00764F8B"/>
    <w:rsid w:val="007945F5"/>
    <w:rsid w:val="007B4718"/>
    <w:rsid w:val="007C3B58"/>
    <w:rsid w:val="007D148F"/>
    <w:rsid w:val="007D251A"/>
    <w:rsid w:val="007F2DDA"/>
    <w:rsid w:val="0080263B"/>
    <w:rsid w:val="00826BE6"/>
    <w:rsid w:val="00861DD8"/>
    <w:rsid w:val="008870EC"/>
    <w:rsid w:val="008B4CC0"/>
    <w:rsid w:val="008C1AC5"/>
    <w:rsid w:val="008D114A"/>
    <w:rsid w:val="008D1ACA"/>
    <w:rsid w:val="008F6DF1"/>
    <w:rsid w:val="00956FB6"/>
    <w:rsid w:val="00995E9F"/>
    <w:rsid w:val="009B131C"/>
    <w:rsid w:val="009C06CC"/>
    <w:rsid w:val="00A0637D"/>
    <w:rsid w:val="00A61BB8"/>
    <w:rsid w:val="00A97E13"/>
    <w:rsid w:val="00AA66DE"/>
    <w:rsid w:val="00AB03AD"/>
    <w:rsid w:val="00AB49A0"/>
    <w:rsid w:val="00AB4D4E"/>
    <w:rsid w:val="00AE335A"/>
    <w:rsid w:val="00B3068B"/>
    <w:rsid w:val="00B3309D"/>
    <w:rsid w:val="00B4498A"/>
    <w:rsid w:val="00B602C0"/>
    <w:rsid w:val="00B73022"/>
    <w:rsid w:val="00B938E5"/>
    <w:rsid w:val="00BF4F28"/>
    <w:rsid w:val="00C26B53"/>
    <w:rsid w:val="00C63334"/>
    <w:rsid w:val="00C904F9"/>
    <w:rsid w:val="00CC6A78"/>
    <w:rsid w:val="00CD2B42"/>
    <w:rsid w:val="00D016A6"/>
    <w:rsid w:val="00D107BD"/>
    <w:rsid w:val="00D74F55"/>
    <w:rsid w:val="00DD6F55"/>
    <w:rsid w:val="00DE5A40"/>
    <w:rsid w:val="00E06785"/>
    <w:rsid w:val="00E15BDA"/>
    <w:rsid w:val="00E52FD8"/>
    <w:rsid w:val="00E62BBE"/>
    <w:rsid w:val="00E7019F"/>
    <w:rsid w:val="00F269E9"/>
    <w:rsid w:val="00F320FF"/>
    <w:rsid w:val="00FA3914"/>
    <w:rsid w:val="00FF0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01"/>
    <w:rPr>
      <w:rFonts w:ascii="Arial" w:eastAsia="Times New Roman" w:hAnsi="Arial" w:cs="Arial"/>
      <w:sz w:val="24"/>
      <w:szCs w:val="24"/>
    </w:rPr>
  </w:style>
  <w:style w:type="paragraph" w:styleId="Heading3">
    <w:name w:val="heading 3"/>
    <w:basedOn w:val="Normal"/>
    <w:link w:val="Heading3Char"/>
    <w:uiPriority w:val="99"/>
    <w:qFormat/>
    <w:rsid w:val="00054EBE"/>
    <w:pPr>
      <w:spacing w:before="100" w:beforeAutospacing="1" w:after="100" w:afterAutospacing="1"/>
      <w:outlineLvl w:val="2"/>
    </w:pPr>
    <w:rPr>
      <w:rFonts w:ascii="Times New Roman" w:eastAsia="Calibri"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060D"/>
    <w:rPr>
      <w:rFonts w:asciiTheme="majorHAnsi" w:eastAsiaTheme="majorEastAsia" w:hAnsiTheme="majorHAnsi" w:cstheme="majorBidi"/>
      <w:b/>
      <w:bCs/>
      <w:sz w:val="26"/>
      <w:szCs w:val="26"/>
    </w:rPr>
  </w:style>
  <w:style w:type="table" w:styleId="TableGrid">
    <w:name w:val="Table Grid"/>
    <w:basedOn w:val="TableNormal"/>
    <w:uiPriority w:val="99"/>
    <w:rsid w:val="0007760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938E5"/>
    <w:rPr>
      <w:color w:val="0000FF"/>
      <w:u w:val="single"/>
    </w:rPr>
  </w:style>
  <w:style w:type="paragraph" w:customStyle="1" w:styleId="Pa6">
    <w:name w:val="Pa6"/>
    <w:basedOn w:val="Normal"/>
    <w:next w:val="Normal"/>
    <w:uiPriority w:val="99"/>
    <w:rsid w:val="007232EB"/>
    <w:pPr>
      <w:autoSpaceDE w:val="0"/>
      <w:autoSpaceDN w:val="0"/>
      <w:adjustRightInd w:val="0"/>
      <w:spacing w:line="241" w:lineRule="atLeast"/>
    </w:pPr>
    <w:rPr>
      <w:rFonts w:ascii="Syntax" w:eastAsia="Calibri" w:hAnsi="Syntax" w:cs="Syntax"/>
    </w:rPr>
  </w:style>
  <w:style w:type="character" w:styleId="CommentReference">
    <w:name w:val="annotation reference"/>
    <w:basedOn w:val="DefaultParagraphFont"/>
    <w:uiPriority w:val="99"/>
    <w:semiHidden/>
    <w:unhideWhenUsed/>
    <w:rsid w:val="00CC6A78"/>
    <w:rPr>
      <w:sz w:val="16"/>
      <w:szCs w:val="16"/>
    </w:rPr>
  </w:style>
  <w:style w:type="paragraph" w:styleId="CommentText">
    <w:name w:val="annotation text"/>
    <w:basedOn w:val="Normal"/>
    <w:link w:val="CommentTextChar"/>
    <w:uiPriority w:val="99"/>
    <w:semiHidden/>
    <w:unhideWhenUsed/>
    <w:rsid w:val="00CC6A78"/>
    <w:rPr>
      <w:sz w:val="20"/>
      <w:szCs w:val="20"/>
    </w:rPr>
  </w:style>
  <w:style w:type="character" w:customStyle="1" w:styleId="CommentTextChar">
    <w:name w:val="Comment Text Char"/>
    <w:basedOn w:val="DefaultParagraphFont"/>
    <w:link w:val="CommentText"/>
    <w:uiPriority w:val="99"/>
    <w:semiHidden/>
    <w:rsid w:val="00CC6A78"/>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C6A78"/>
    <w:rPr>
      <w:b/>
      <w:bCs/>
    </w:rPr>
  </w:style>
  <w:style w:type="character" w:customStyle="1" w:styleId="CommentSubjectChar">
    <w:name w:val="Comment Subject Char"/>
    <w:basedOn w:val="CommentTextChar"/>
    <w:link w:val="CommentSubject"/>
    <w:uiPriority w:val="99"/>
    <w:semiHidden/>
    <w:rsid w:val="00CC6A78"/>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CC6A78"/>
    <w:rPr>
      <w:rFonts w:ascii="Tahoma" w:hAnsi="Tahoma" w:cs="Tahoma"/>
      <w:sz w:val="16"/>
      <w:szCs w:val="16"/>
    </w:rPr>
  </w:style>
  <w:style w:type="character" w:customStyle="1" w:styleId="BalloonTextChar">
    <w:name w:val="Balloon Text Char"/>
    <w:basedOn w:val="DefaultParagraphFont"/>
    <w:link w:val="BalloonText"/>
    <w:uiPriority w:val="99"/>
    <w:semiHidden/>
    <w:rsid w:val="00CC6A7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865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01"/>
    <w:rPr>
      <w:rFonts w:ascii="Arial" w:eastAsia="Times New Roman" w:hAnsi="Arial" w:cs="Arial"/>
      <w:sz w:val="24"/>
      <w:szCs w:val="24"/>
    </w:rPr>
  </w:style>
  <w:style w:type="paragraph" w:styleId="Heading3">
    <w:name w:val="heading 3"/>
    <w:basedOn w:val="Normal"/>
    <w:link w:val="Heading3Char"/>
    <w:uiPriority w:val="99"/>
    <w:qFormat/>
    <w:rsid w:val="00054EBE"/>
    <w:pPr>
      <w:spacing w:before="100" w:beforeAutospacing="1" w:after="100" w:afterAutospacing="1"/>
      <w:outlineLvl w:val="2"/>
    </w:pPr>
    <w:rPr>
      <w:rFonts w:ascii="Times New Roman" w:eastAsia="Calibri"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060D"/>
    <w:rPr>
      <w:rFonts w:asciiTheme="majorHAnsi" w:eastAsiaTheme="majorEastAsia" w:hAnsiTheme="majorHAnsi" w:cstheme="majorBidi"/>
      <w:b/>
      <w:bCs/>
      <w:sz w:val="26"/>
      <w:szCs w:val="26"/>
    </w:rPr>
  </w:style>
  <w:style w:type="table" w:styleId="TableGrid">
    <w:name w:val="Table Grid"/>
    <w:basedOn w:val="TableNormal"/>
    <w:uiPriority w:val="99"/>
    <w:rsid w:val="0007760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938E5"/>
    <w:rPr>
      <w:color w:val="0000FF"/>
      <w:u w:val="single"/>
    </w:rPr>
  </w:style>
  <w:style w:type="paragraph" w:customStyle="1" w:styleId="Pa6">
    <w:name w:val="Pa6"/>
    <w:basedOn w:val="Normal"/>
    <w:next w:val="Normal"/>
    <w:uiPriority w:val="99"/>
    <w:rsid w:val="007232EB"/>
    <w:pPr>
      <w:autoSpaceDE w:val="0"/>
      <w:autoSpaceDN w:val="0"/>
      <w:adjustRightInd w:val="0"/>
      <w:spacing w:line="241" w:lineRule="atLeast"/>
    </w:pPr>
    <w:rPr>
      <w:rFonts w:ascii="Syntax" w:eastAsia="Calibri" w:hAnsi="Syntax" w:cs="Syntax"/>
    </w:rPr>
  </w:style>
  <w:style w:type="character" w:styleId="CommentReference">
    <w:name w:val="annotation reference"/>
    <w:basedOn w:val="DefaultParagraphFont"/>
    <w:uiPriority w:val="99"/>
    <w:semiHidden/>
    <w:unhideWhenUsed/>
    <w:rsid w:val="00CC6A78"/>
    <w:rPr>
      <w:sz w:val="16"/>
      <w:szCs w:val="16"/>
    </w:rPr>
  </w:style>
  <w:style w:type="paragraph" w:styleId="CommentText">
    <w:name w:val="annotation text"/>
    <w:basedOn w:val="Normal"/>
    <w:link w:val="CommentTextChar"/>
    <w:uiPriority w:val="99"/>
    <w:semiHidden/>
    <w:unhideWhenUsed/>
    <w:rsid w:val="00CC6A78"/>
    <w:rPr>
      <w:sz w:val="20"/>
      <w:szCs w:val="20"/>
    </w:rPr>
  </w:style>
  <w:style w:type="character" w:customStyle="1" w:styleId="CommentTextChar">
    <w:name w:val="Comment Text Char"/>
    <w:basedOn w:val="DefaultParagraphFont"/>
    <w:link w:val="CommentText"/>
    <w:uiPriority w:val="99"/>
    <w:semiHidden/>
    <w:rsid w:val="00CC6A78"/>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C6A78"/>
    <w:rPr>
      <w:b/>
      <w:bCs/>
    </w:rPr>
  </w:style>
  <w:style w:type="character" w:customStyle="1" w:styleId="CommentSubjectChar">
    <w:name w:val="Comment Subject Char"/>
    <w:basedOn w:val="CommentTextChar"/>
    <w:link w:val="CommentSubject"/>
    <w:uiPriority w:val="99"/>
    <w:semiHidden/>
    <w:rsid w:val="00CC6A78"/>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CC6A78"/>
    <w:rPr>
      <w:rFonts w:ascii="Tahoma" w:hAnsi="Tahoma" w:cs="Tahoma"/>
      <w:sz w:val="16"/>
      <w:szCs w:val="16"/>
    </w:rPr>
  </w:style>
  <w:style w:type="character" w:customStyle="1" w:styleId="BalloonTextChar">
    <w:name w:val="Balloon Text Char"/>
    <w:basedOn w:val="DefaultParagraphFont"/>
    <w:link w:val="BalloonText"/>
    <w:uiPriority w:val="99"/>
    <w:semiHidden/>
    <w:rsid w:val="00CC6A7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865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002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cbarfoot\AppData\Local\Microsoft\Windows\Temporary%20Internet%20Files\Content.Outlook\PLRBJAAA\www.phoutcomes.inf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v.uk/government/publications/healthy-lives-healthy-people-improving-outcomes-and-supporting-transparency" TargetMode="External"/><Relationship Id="rId5" Type="http://schemas.openxmlformats.org/officeDocument/2006/relationships/hyperlink" Target="file:///\\dh.ois.net\dhdatadfs\London\SKH\NW013\Chmu\Current%20work\Public%20Health%20Outcomes%20Framework\Development%20work%20-%20to%20Autumn%202012\Autumn%202012%20publication\www.phoutcomes.inf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Data included in the PHOF update publication – Tuesday 5 February 2013</vt:lpstr>
    </vt:vector>
  </TitlesOfParts>
  <Company>DH</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included in the PHOF update publication – Tuesday 5 February 2013</dc:title>
  <dc:creator>Clare Jones</dc:creator>
  <cp:lastModifiedBy>Sheila.nicdao</cp:lastModifiedBy>
  <cp:revision>2</cp:revision>
  <dcterms:created xsi:type="dcterms:W3CDTF">2013-08-06T16:33:00Z</dcterms:created>
  <dcterms:modified xsi:type="dcterms:W3CDTF">2013-08-06T16:33:00Z</dcterms:modified>
</cp:coreProperties>
</file>