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95" w:rsidRDefault="00D37DCE" w:rsidP="00D37DCE">
      <w:pPr>
        <w:jc w:val="center"/>
        <w:rPr>
          <w:rFonts w:ascii="Humnst777 Lt BT" w:hAnsi="Humnst777 Lt BT"/>
          <w:b/>
          <w:sz w:val="24"/>
          <w:szCs w:val="24"/>
        </w:rPr>
      </w:pPr>
      <w:r w:rsidRPr="00D37DCE">
        <w:rPr>
          <w:rFonts w:ascii="Humnst777 Lt BT" w:hAnsi="Humnst777 Lt BT"/>
          <w:b/>
          <w:sz w:val="24"/>
          <w:szCs w:val="24"/>
        </w:rPr>
        <w:t>Introduction to Total Expenditure on Services</w:t>
      </w:r>
      <w:r>
        <w:rPr>
          <w:rFonts w:ascii="Humnst777 Lt BT" w:hAnsi="Humnst777 Lt BT"/>
          <w:b/>
          <w:sz w:val="24"/>
          <w:szCs w:val="24"/>
        </w:rPr>
        <w:t xml:space="preserve"> (TES)</w:t>
      </w:r>
    </w:p>
    <w:p w:rsidR="00D37DCE" w:rsidRPr="00D37DCE" w:rsidRDefault="00D37DCE" w:rsidP="00D37DCE">
      <w:pPr>
        <w:jc w:val="center"/>
        <w:rPr>
          <w:rFonts w:ascii="Humnst777 Lt BT" w:hAnsi="Humnst777 Lt BT"/>
          <w:b/>
          <w:sz w:val="24"/>
          <w:szCs w:val="24"/>
        </w:rPr>
      </w:pPr>
    </w:p>
    <w:p w:rsidR="00D37DCE" w:rsidRDefault="00D37DCE" w:rsidP="00D37DCE">
      <w:pPr>
        <w:spacing w:after="0"/>
        <w:rPr>
          <w:rFonts w:ascii="Humnst777 Lt BT" w:hAnsi="Humnst777 Lt BT"/>
          <w:b/>
        </w:rPr>
      </w:pPr>
      <w:r>
        <w:rPr>
          <w:rFonts w:ascii="Humnst777 Lt BT" w:hAnsi="Humnst777 Lt BT"/>
          <w:b/>
        </w:rPr>
        <w:t>What is TES?</w:t>
      </w:r>
    </w:p>
    <w:p w:rsidR="00D37DCE" w:rsidRDefault="00D37DCE" w:rsidP="00D37DCE">
      <w:pPr>
        <w:pStyle w:val="Default"/>
        <w:spacing w:line="276" w:lineRule="auto"/>
        <w:rPr>
          <w:rFonts w:ascii="Humnst777 Lt BT" w:hAnsi="Humnst777 Lt BT"/>
          <w:sz w:val="22"/>
          <w:szCs w:val="22"/>
        </w:rPr>
      </w:pPr>
      <w:r w:rsidRPr="00D37DCE">
        <w:rPr>
          <w:rFonts w:ascii="Humnst777 Lt BT" w:hAnsi="Humnst777 Lt BT"/>
          <w:sz w:val="22"/>
          <w:szCs w:val="22"/>
        </w:rPr>
        <w:t>TES broadly represents the total current and capital expenditure of the public sector, and so is similar to the National Accounts measure of Total Managed Expenditure (TME). The departmental contribution to TES is given by a subset of spending within their budgets – as defined below. For the avoidance of doubt, TES is the spending required to deliver services, not just the purchasing of services.</w:t>
      </w:r>
    </w:p>
    <w:p w:rsidR="00D37DCE" w:rsidRDefault="00D37DCE" w:rsidP="00D37DCE">
      <w:pPr>
        <w:pStyle w:val="Default"/>
        <w:spacing w:line="276" w:lineRule="auto"/>
        <w:rPr>
          <w:rFonts w:ascii="Humnst777 Lt BT" w:hAnsi="Humnst777 Lt BT"/>
          <w:sz w:val="22"/>
          <w:szCs w:val="22"/>
        </w:rPr>
      </w:pPr>
    </w:p>
    <w:p w:rsidR="00D37DCE" w:rsidRPr="00D37DCE" w:rsidRDefault="00D37DCE" w:rsidP="00D37DCE">
      <w:pPr>
        <w:pStyle w:val="Default"/>
        <w:spacing w:line="276" w:lineRule="auto"/>
        <w:rPr>
          <w:rFonts w:ascii="Humnst777 Lt BT" w:hAnsi="Humnst777 Lt BT"/>
          <w:b/>
          <w:sz w:val="22"/>
          <w:szCs w:val="22"/>
        </w:rPr>
      </w:pPr>
      <w:r w:rsidRPr="00D37DCE">
        <w:rPr>
          <w:rFonts w:ascii="Humnst777 Lt BT" w:hAnsi="Humnst777 Lt BT"/>
          <w:b/>
          <w:sz w:val="22"/>
          <w:szCs w:val="22"/>
        </w:rPr>
        <w:t>What is TES used for?</w:t>
      </w:r>
    </w:p>
    <w:p w:rsidR="00D37DCE" w:rsidRDefault="00D37DCE" w:rsidP="00D37DCE">
      <w:pPr>
        <w:autoSpaceDE w:val="0"/>
        <w:autoSpaceDN w:val="0"/>
        <w:adjustRightInd w:val="0"/>
        <w:spacing w:after="0"/>
        <w:jc w:val="both"/>
        <w:rPr>
          <w:rFonts w:ascii="Humnst777 Lt BT" w:hAnsi="Humnst777 Lt BT" w:cs="CIJPNM+Arial"/>
          <w:color w:val="000000"/>
        </w:rPr>
      </w:pPr>
      <w:r w:rsidRPr="00D37DCE">
        <w:rPr>
          <w:rFonts w:ascii="Humnst777 Lt BT" w:hAnsi="Humnst777 Lt BT" w:cs="CIJPNM+Arial"/>
          <w:color w:val="000000"/>
        </w:rPr>
        <w:t>Total Expenditure on Services (TES) is used by HM Treasury as the basis for the reporting of functional, economic cat</w:t>
      </w:r>
      <w:r>
        <w:rPr>
          <w:rFonts w:ascii="Humnst777 Lt BT" w:hAnsi="Humnst777 Lt BT" w:cs="CIJPNM+Arial"/>
          <w:color w:val="000000"/>
        </w:rPr>
        <w:t>egory and territorial spending.</w:t>
      </w:r>
    </w:p>
    <w:p w:rsidR="00D37DCE" w:rsidRPr="00D37DCE" w:rsidRDefault="00D37DCE" w:rsidP="00D37DCE">
      <w:pPr>
        <w:autoSpaceDE w:val="0"/>
        <w:autoSpaceDN w:val="0"/>
        <w:adjustRightInd w:val="0"/>
        <w:spacing w:after="0"/>
        <w:jc w:val="both"/>
        <w:rPr>
          <w:rFonts w:ascii="Humnst777 Lt BT" w:hAnsi="Humnst777 Lt BT" w:cs="CIJPNM+Arial"/>
          <w:color w:val="000000"/>
        </w:rPr>
      </w:pPr>
    </w:p>
    <w:p w:rsidR="00D37DCE" w:rsidRDefault="00D37DCE" w:rsidP="00D37DCE">
      <w:pPr>
        <w:spacing w:after="0"/>
        <w:rPr>
          <w:rFonts w:ascii="Humnst777 Lt BT" w:hAnsi="Humnst777 Lt BT" w:cs="CIJPNM+Arial"/>
          <w:color w:val="000000"/>
        </w:rPr>
      </w:pPr>
      <w:r w:rsidRPr="00D37DCE">
        <w:rPr>
          <w:rFonts w:ascii="Humnst777 Lt BT" w:hAnsi="Humnst777 Lt BT" w:cs="CIJPNM+Arial"/>
          <w:color w:val="000000"/>
        </w:rPr>
        <w:t xml:space="preserve">Public Expenditure Statistical Analyses (PESA) is the main document that publishes these data. Tables in Chapters 4, 5, 6, </w:t>
      </w:r>
      <w:r w:rsidR="000E1132">
        <w:rPr>
          <w:rFonts w:ascii="Humnst777 Lt BT" w:hAnsi="Humnst777 Lt BT" w:cs="CIJPNM+Arial"/>
          <w:color w:val="000000"/>
        </w:rPr>
        <w:t xml:space="preserve">7 </w:t>
      </w:r>
      <w:r w:rsidRPr="00D37DCE">
        <w:rPr>
          <w:rFonts w:ascii="Humnst777 Lt BT" w:hAnsi="Humnst777 Lt BT" w:cs="CIJPNM+Arial"/>
          <w:color w:val="000000"/>
        </w:rPr>
        <w:t xml:space="preserve">and </w:t>
      </w:r>
      <w:r w:rsidR="000E1132">
        <w:rPr>
          <w:rFonts w:ascii="Humnst777 Lt BT" w:hAnsi="Humnst777 Lt BT" w:cs="CIJPNM+Arial"/>
          <w:color w:val="000000"/>
        </w:rPr>
        <w:t>8</w:t>
      </w:r>
      <w:r w:rsidRPr="00D37DCE">
        <w:rPr>
          <w:rFonts w:ascii="Humnst777 Lt BT" w:hAnsi="Humnst777 Lt BT" w:cs="CIJPNM+Arial"/>
          <w:color w:val="000000"/>
        </w:rPr>
        <w:t xml:space="preserve">, showing public expenditure disaggregated by function and/or economic category, and tables in Chapters 9 and 10, showing public expenditure by country and region, are all based on TES, or a </w:t>
      </w:r>
      <w:proofErr w:type="spellStart"/>
      <w:r w:rsidRPr="00D37DCE">
        <w:rPr>
          <w:rFonts w:ascii="Humnst777 Lt BT" w:hAnsi="Humnst777 Lt BT" w:cs="CIJPNM+Arial"/>
          <w:color w:val="000000"/>
        </w:rPr>
        <w:t>sectoral</w:t>
      </w:r>
      <w:proofErr w:type="spellEnd"/>
      <w:r w:rsidRPr="00D37DCE">
        <w:rPr>
          <w:rFonts w:ascii="Humnst777 Lt BT" w:hAnsi="Humnst777 Lt BT" w:cs="CIJPNM+Arial"/>
          <w:color w:val="000000"/>
        </w:rPr>
        <w:t xml:space="preserve"> element of it. As well as the PESA publication, some of the functional spending tables are updated </w:t>
      </w:r>
      <w:r>
        <w:rPr>
          <w:rFonts w:ascii="Humnst777 Lt BT" w:hAnsi="Humnst777 Lt BT" w:cs="CIJPNM+Arial"/>
          <w:color w:val="000000"/>
        </w:rPr>
        <w:t>in the quarterly Public Spending Statistics (PSS) releases</w:t>
      </w:r>
      <w:r w:rsidRPr="00D37DCE">
        <w:rPr>
          <w:rFonts w:ascii="Humnst777 Lt BT" w:hAnsi="Humnst777 Lt BT" w:cs="CIJPNM+Arial"/>
          <w:color w:val="000000"/>
        </w:rPr>
        <w:t>.</w:t>
      </w:r>
    </w:p>
    <w:p w:rsidR="00D37DCE" w:rsidRDefault="00D37DCE" w:rsidP="00D37DCE">
      <w:pPr>
        <w:spacing w:after="0"/>
        <w:rPr>
          <w:rFonts w:ascii="Humnst777 Lt BT" w:hAnsi="Humnst777 Lt BT" w:cs="CIJPNM+Arial"/>
          <w:color w:val="000000"/>
        </w:rPr>
      </w:pPr>
    </w:p>
    <w:p w:rsidR="00D37DCE" w:rsidRDefault="00D37DCE" w:rsidP="00D37DCE">
      <w:pPr>
        <w:spacing w:after="0"/>
        <w:rPr>
          <w:rFonts w:ascii="Humnst777 Lt BT" w:hAnsi="Humnst777 Lt BT" w:cs="CIJPNM+Arial"/>
          <w:b/>
          <w:color w:val="000000"/>
        </w:rPr>
      </w:pPr>
      <w:r>
        <w:rPr>
          <w:rFonts w:ascii="Humnst777 Lt BT" w:hAnsi="Humnst777 Lt BT" w:cs="CIJPNM+Arial"/>
          <w:b/>
          <w:color w:val="000000"/>
        </w:rPr>
        <w:t>How departments contribute towards TES</w:t>
      </w:r>
    </w:p>
    <w:p w:rsidR="00D37DCE" w:rsidRDefault="00D37DCE" w:rsidP="00D37DCE">
      <w:pPr>
        <w:spacing w:after="0"/>
        <w:rPr>
          <w:rFonts w:ascii="Humnst777 Lt BT" w:hAnsi="Humnst777 Lt BT"/>
        </w:rPr>
      </w:pPr>
      <w:r w:rsidRPr="00D37DCE">
        <w:rPr>
          <w:rFonts w:ascii="Humnst777 Lt BT" w:hAnsi="Humnst777 Lt BT"/>
        </w:rPr>
        <w:t>Expenditure on services can be built up from departmental budgets (resource DEL, capital DEL and departmental AME).  Essentially, (most) transfers to other parts of the public sector are removed, as are transactions that do not score as spending in the National Accounts.  Spending by local government and public corporations is then added.</w:t>
      </w:r>
    </w:p>
    <w:p w:rsidR="000E1132" w:rsidRDefault="000E1132" w:rsidP="00D37DCE">
      <w:pPr>
        <w:spacing w:after="0"/>
        <w:rPr>
          <w:rFonts w:ascii="Humnst777 Lt BT" w:hAnsi="Humnst777 Lt BT"/>
        </w:rPr>
      </w:pPr>
    </w:p>
    <w:p w:rsidR="000E1132" w:rsidRDefault="000E1132" w:rsidP="00D37DCE">
      <w:pPr>
        <w:spacing w:after="0"/>
        <w:rPr>
          <w:rFonts w:ascii="Humnst777 Lt BT" w:hAnsi="Humnst777 Lt BT" w:cs="CIJPNM+Arial"/>
          <w:color w:val="000000"/>
        </w:rPr>
      </w:pPr>
      <w:r>
        <w:rPr>
          <w:rFonts w:ascii="Humnst777 Lt BT" w:hAnsi="Humnst777 Lt BT" w:cs="CIJPNM+Arial"/>
          <w:color w:val="000000"/>
        </w:rPr>
        <w:t>The table below shows the derivation of expenditure on services from departments’ budgets.</w:t>
      </w:r>
    </w:p>
    <w:p w:rsidR="000E1132" w:rsidRDefault="000E1132" w:rsidP="00D37DCE">
      <w:pPr>
        <w:spacing w:after="0"/>
        <w:rPr>
          <w:rFonts w:ascii="Humnst777 Lt BT" w:hAnsi="Humnst777 Lt BT" w:cs="CIJPNM+Arial"/>
          <w:color w:val="000000"/>
        </w:rPr>
      </w:pPr>
    </w:p>
    <w:p w:rsidR="000E1132" w:rsidRDefault="000E1132" w:rsidP="00D37DCE">
      <w:pPr>
        <w:spacing w:after="0"/>
        <w:rPr>
          <w:rFonts w:ascii="Humnst777 Lt BT" w:hAnsi="Humnst777 Lt BT" w:cs="CIJPNM+Arial"/>
          <w:color w:val="000000"/>
        </w:rPr>
      </w:pPr>
    </w:p>
    <w:tbl>
      <w:tblPr>
        <w:tblW w:w="9070" w:type="dxa"/>
        <w:tblInd w:w="57" w:type="dxa"/>
        <w:tblBorders>
          <w:top w:val="single" w:sz="8" w:space="0" w:color="0182AC"/>
          <w:left w:val="single" w:sz="8" w:space="0" w:color="0182AC"/>
          <w:bottom w:val="single" w:sz="8" w:space="0" w:color="0182AC"/>
          <w:right w:val="single" w:sz="8" w:space="0" w:color="0182AC"/>
        </w:tblBorders>
        <w:tblLayout w:type="fixed"/>
        <w:tblCellMar>
          <w:top w:w="57" w:type="dxa"/>
          <w:left w:w="57" w:type="dxa"/>
          <w:bottom w:w="57" w:type="dxa"/>
          <w:right w:w="57" w:type="dxa"/>
        </w:tblCellMar>
        <w:tblLook w:val="0000"/>
      </w:tblPr>
      <w:tblGrid>
        <w:gridCol w:w="900"/>
        <w:gridCol w:w="8170"/>
      </w:tblGrid>
      <w:tr w:rsidR="000E1132" w:rsidRPr="00250E17" w:rsidTr="00780F02">
        <w:trPr>
          <w:cantSplit/>
        </w:trPr>
        <w:tc>
          <w:tcPr>
            <w:tcW w:w="9070" w:type="dxa"/>
            <w:gridSpan w:val="2"/>
            <w:tcBorders>
              <w:top w:val="single" w:sz="8" w:space="0" w:color="0182AC"/>
              <w:bottom w:val="nil"/>
            </w:tcBorders>
            <w:shd w:val="clear" w:color="auto" w:fill="EAF2FB"/>
          </w:tcPr>
          <w:p w:rsidR="000E1132" w:rsidRPr="000E1132" w:rsidRDefault="000E1132" w:rsidP="00780F02">
            <w:pPr>
              <w:pStyle w:val="AnnexBodyText"/>
              <w:numPr>
                <w:ilvl w:val="0"/>
                <w:numId w:val="0"/>
              </w:numPr>
              <w:jc w:val="both"/>
              <w:rPr>
                <w:szCs w:val="22"/>
              </w:rPr>
            </w:pPr>
            <w:r w:rsidRPr="000E1132">
              <w:rPr>
                <w:szCs w:val="22"/>
              </w:rPr>
              <w:t>Departmental budgets (resource Departmental Expenditure Limits + capital Departmental Expenditure Limits + departmental Annually Managed Expenditure)</w:t>
            </w:r>
          </w:p>
        </w:tc>
      </w:tr>
      <w:tr w:rsidR="000E1132" w:rsidRPr="00250E17" w:rsidTr="00780F02">
        <w:trPr>
          <w:cantSplit/>
        </w:trPr>
        <w:tc>
          <w:tcPr>
            <w:tcW w:w="900" w:type="dxa"/>
            <w:tcBorders>
              <w:top w:val="nil"/>
            </w:tcBorders>
          </w:tcPr>
          <w:p w:rsidR="000E1132" w:rsidRPr="00250E17" w:rsidRDefault="000E1132" w:rsidP="00780F02">
            <w:pPr>
              <w:pStyle w:val="TableText"/>
            </w:pPr>
            <w:r w:rsidRPr="00250E17">
              <w:t>Less</w:t>
            </w:r>
          </w:p>
        </w:tc>
        <w:tc>
          <w:tcPr>
            <w:tcW w:w="8170" w:type="dxa"/>
            <w:tcBorders>
              <w:top w:val="nil"/>
            </w:tcBorders>
          </w:tcPr>
          <w:p w:rsidR="000E1132" w:rsidRPr="000E1132" w:rsidRDefault="000E1132" w:rsidP="00780F02">
            <w:pPr>
              <w:pStyle w:val="TableText"/>
              <w:rPr>
                <w:sz w:val="22"/>
                <w:szCs w:val="22"/>
              </w:rPr>
            </w:pPr>
            <w:r w:rsidRPr="000E1132">
              <w:rPr>
                <w:sz w:val="22"/>
                <w:szCs w:val="22"/>
              </w:rPr>
              <w:t>grants to local government;</w:t>
            </w:r>
          </w:p>
        </w:tc>
      </w:tr>
      <w:tr w:rsidR="000E1132" w:rsidRPr="00250E17" w:rsidTr="00780F02">
        <w:trPr>
          <w:cantSplit/>
        </w:trPr>
        <w:tc>
          <w:tcPr>
            <w:tcW w:w="900" w:type="dxa"/>
          </w:tcPr>
          <w:p w:rsidR="000E1132" w:rsidRPr="00250E17" w:rsidRDefault="000E1132" w:rsidP="00780F02">
            <w:pPr>
              <w:pStyle w:val="TableText"/>
            </w:pPr>
          </w:p>
        </w:tc>
        <w:tc>
          <w:tcPr>
            <w:tcW w:w="8170" w:type="dxa"/>
          </w:tcPr>
          <w:p w:rsidR="000E1132" w:rsidRPr="000E1132" w:rsidRDefault="000E1132" w:rsidP="00780F02">
            <w:pPr>
              <w:pStyle w:val="TableText"/>
              <w:rPr>
                <w:sz w:val="22"/>
                <w:szCs w:val="22"/>
              </w:rPr>
            </w:pPr>
            <w:r w:rsidRPr="000E1132">
              <w:rPr>
                <w:sz w:val="22"/>
                <w:szCs w:val="22"/>
              </w:rPr>
              <w:t>capital grants to public corporations;</w:t>
            </w:r>
          </w:p>
        </w:tc>
      </w:tr>
      <w:tr w:rsidR="000E1132" w:rsidRPr="00250E17" w:rsidTr="00780F02">
        <w:trPr>
          <w:cantSplit/>
        </w:trPr>
        <w:tc>
          <w:tcPr>
            <w:tcW w:w="900" w:type="dxa"/>
          </w:tcPr>
          <w:p w:rsidR="000E1132" w:rsidRPr="00250E17" w:rsidRDefault="000E1132" w:rsidP="00780F02">
            <w:pPr>
              <w:pStyle w:val="TableText"/>
            </w:pPr>
          </w:p>
        </w:tc>
        <w:tc>
          <w:tcPr>
            <w:tcW w:w="8170" w:type="dxa"/>
          </w:tcPr>
          <w:p w:rsidR="000E1132" w:rsidRPr="000E1132" w:rsidRDefault="000E1132" w:rsidP="00780F02">
            <w:pPr>
              <w:pStyle w:val="TableText"/>
              <w:rPr>
                <w:sz w:val="22"/>
                <w:szCs w:val="22"/>
              </w:rPr>
            </w:pPr>
            <w:r w:rsidRPr="000E1132">
              <w:rPr>
                <w:sz w:val="22"/>
                <w:szCs w:val="22"/>
              </w:rPr>
              <w:t>depreciation;</w:t>
            </w:r>
          </w:p>
        </w:tc>
      </w:tr>
      <w:tr w:rsidR="000E1132" w:rsidRPr="00250E17" w:rsidTr="00780F02">
        <w:trPr>
          <w:cantSplit/>
        </w:trPr>
        <w:tc>
          <w:tcPr>
            <w:tcW w:w="900" w:type="dxa"/>
          </w:tcPr>
          <w:p w:rsidR="000E1132" w:rsidRPr="00250E17" w:rsidRDefault="000E1132" w:rsidP="00780F02">
            <w:pPr>
              <w:pStyle w:val="TableText"/>
            </w:pPr>
          </w:p>
        </w:tc>
        <w:tc>
          <w:tcPr>
            <w:tcW w:w="8170" w:type="dxa"/>
          </w:tcPr>
          <w:p w:rsidR="000E1132" w:rsidRPr="000E1132" w:rsidRDefault="000E1132" w:rsidP="00780F02">
            <w:pPr>
              <w:pStyle w:val="TableText"/>
              <w:rPr>
                <w:sz w:val="22"/>
                <w:szCs w:val="22"/>
              </w:rPr>
            </w:pPr>
            <w:r w:rsidRPr="000E1132">
              <w:rPr>
                <w:sz w:val="22"/>
                <w:szCs w:val="22"/>
              </w:rPr>
              <w:t>provisions;</w:t>
            </w:r>
          </w:p>
        </w:tc>
      </w:tr>
      <w:tr w:rsidR="000E1132" w:rsidRPr="00250E17" w:rsidTr="00780F02">
        <w:trPr>
          <w:cantSplit/>
        </w:trPr>
        <w:tc>
          <w:tcPr>
            <w:tcW w:w="900" w:type="dxa"/>
          </w:tcPr>
          <w:p w:rsidR="000E1132" w:rsidRPr="00250E17" w:rsidRDefault="000E1132" w:rsidP="00780F02">
            <w:pPr>
              <w:pStyle w:val="TableText"/>
            </w:pPr>
          </w:p>
        </w:tc>
        <w:tc>
          <w:tcPr>
            <w:tcW w:w="8170" w:type="dxa"/>
          </w:tcPr>
          <w:p w:rsidR="000E1132" w:rsidRPr="000E1132" w:rsidRDefault="000E1132" w:rsidP="00780F02">
            <w:pPr>
              <w:pStyle w:val="TableText"/>
              <w:rPr>
                <w:sz w:val="22"/>
                <w:szCs w:val="22"/>
              </w:rPr>
            </w:pPr>
            <w:r w:rsidRPr="000E1132">
              <w:rPr>
                <w:sz w:val="22"/>
                <w:szCs w:val="22"/>
              </w:rPr>
              <w:t>spending classified as financial transactions in the National Accounts;</w:t>
            </w:r>
          </w:p>
        </w:tc>
      </w:tr>
      <w:tr w:rsidR="000E1132" w:rsidRPr="00250E17" w:rsidTr="00780F02">
        <w:trPr>
          <w:cantSplit/>
        </w:trPr>
        <w:tc>
          <w:tcPr>
            <w:tcW w:w="900" w:type="dxa"/>
          </w:tcPr>
          <w:p w:rsidR="000E1132" w:rsidRPr="00250E17" w:rsidRDefault="000E1132" w:rsidP="00780F02">
            <w:pPr>
              <w:pStyle w:val="TableText"/>
            </w:pPr>
          </w:p>
        </w:tc>
        <w:tc>
          <w:tcPr>
            <w:tcW w:w="8170" w:type="dxa"/>
          </w:tcPr>
          <w:p w:rsidR="000E1132" w:rsidRPr="000E1132" w:rsidRDefault="000E1132" w:rsidP="00780F02">
            <w:pPr>
              <w:pStyle w:val="TableText"/>
              <w:rPr>
                <w:sz w:val="22"/>
                <w:szCs w:val="22"/>
              </w:rPr>
            </w:pPr>
            <w:r w:rsidRPr="000E1132">
              <w:rPr>
                <w:sz w:val="22"/>
                <w:szCs w:val="22"/>
              </w:rPr>
              <w:t>interest and dividends;</w:t>
            </w:r>
          </w:p>
        </w:tc>
      </w:tr>
      <w:tr w:rsidR="000E1132" w:rsidRPr="00250E17" w:rsidTr="00780F02">
        <w:trPr>
          <w:cantSplit/>
        </w:trPr>
        <w:tc>
          <w:tcPr>
            <w:tcW w:w="900" w:type="dxa"/>
          </w:tcPr>
          <w:p w:rsidR="000E1132" w:rsidRPr="00250E17" w:rsidRDefault="000E1132" w:rsidP="00780F02">
            <w:pPr>
              <w:pStyle w:val="TableText"/>
            </w:pPr>
          </w:p>
        </w:tc>
        <w:tc>
          <w:tcPr>
            <w:tcW w:w="8170" w:type="dxa"/>
          </w:tcPr>
          <w:p w:rsidR="000E1132" w:rsidRPr="000E1132" w:rsidRDefault="000E1132" w:rsidP="00780F02">
            <w:pPr>
              <w:pStyle w:val="TableText"/>
              <w:rPr>
                <w:sz w:val="22"/>
                <w:szCs w:val="22"/>
              </w:rPr>
            </w:pPr>
            <w:r w:rsidRPr="000E1132">
              <w:rPr>
                <w:sz w:val="22"/>
                <w:szCs w:val="22"/>
              </w:rPr>
              <w:t>items classified as revenue in the National Accounts which are netted off spending in budgets;</w:t>
            </w:r>
          </w:p>
        </w:tc>
      </w:tr>
      <w:tr w:rsidR="000E1132" w:rsidRPr="00250E17" w:rsidTr="00780F02">
        <w:trPr>
          <w:cantSplit/>
        </w:trPr>
        <w:tc>
          <w:tcPr>
            <w:tcW w:w="900" w:type="dxa"/>
          </w:tcPr>
          <w:p w:rsidR="000E1132" w:rsidRPr="00250E17" w:rsidRDefault="000E1132" w:rsidP="00780F02">
            <w:pPr>
              <w:pStyle w:val="TableText"/>
            </w:pPr>
          </w:p>
        </w:tc>
        <w:tc>
          <w:tcPr>
            <w:tcW w:w="8170" w:type="dxa"/>
          </w:tcPr>
          <w:p w:rsidR="000E1132" w:rsidRPr="000E1132" w:rsidRDefault="000E1132" w:rsidP="00780F02">
            <w:pPr>
              <w:pStyle w:val="TableText"/>
              <w:rPr>
                <w:sz w:val="22"/>
                <w:szCs w:val="22"/>
              </w:rPr>
            </w:pPr>
            <w:r w:rsidRPr="000E1132">
              <w:rPr>
                <w:sz w:val="22"/>
                <w:szCs w:val="22"/>
              </w:rPr>
              <w:t>EU receipts;</w:t>
            </w:r>
          </w:p>
        </w:tc>
      </w:tr>
      <w:tr w:rsidR="000E1132" w:rsidRPr="00250E17" w:rsidTr="00780F02">
        <w:trPr>
          <w:cantSplit/>
        </w:trPr>
        <w:tc>
          <w:tcPr>
            <w:tcW w:w="900" w:type="dxa"/>
          </w:tcPr>
          <w:p w:rsidR="000E1132" w:rsidRPr="00250E17" w:rsidRDefault="000E1132" w:rsidP="00780F02">
            <w:pPr>
              <w:pStyle w:val="TableText"/>
            </w:pPr>
          </w:p>
        </w:tc>
        <w:tc>
          <w:tcPr>
            <w:tcW w:w="8170" w:type="dxa"/>
          </w:tcPr>
          <w:p w:rsidR="000E1132" w:rsidRPr="000E1132" w:rsidRDefault="000E1132" w:rsidP="00780F02">
            <w:pPr>
              <w:pStyle w:val="TableText"/>
              <w:rPr>
                <w:sz w:val="22"/>
                <w:szCs w:val="22"/>
              </w:rPr>
            </w:pPr>
            <w:r w:rsidRPr="000E1132">
              <w:rPr>
                <w:sz w:val="22"/>
                <w:szCs w:val="22"/>
              </w:rPr>
              <w:t>other items that are not classified as spending in National Accounts (e.g. transfers between central government departments); and</w:t>
            </w:r>
          </w:p>
        </w:tc>
      </w:tr>
      <w:tr w:rsidR="000E1132" w:rsidRPr="00250E17" w:rsidTr="00780F02">
        <w:trPr>
          <w:cantSplit/>
        </w:trPr>
        <w:tc>
          <w:tcPr>
            <w:tcW w:w="900" w:type="dxa"/>
          </w:tcPr>
          <w:p w:rsidR="000E1132" w:rsidRPr="00250E17" w:rsidRDefault="000E1132" w:rsidP="00780F02">
            <w:pPr>
              <w:pStyle w:val="TableText"/>
            </w:pPr>
          </w:p>
        </w:tc>
        <w:tc>
          <w:tcPr>
            <w:tcW w:w="8170" w:type="dxa"/>
          </w:tcPr>
          <w:p w:rsidR="000E1132" w:rsidRPr="000E1132" w:rsidRDefault="000E1132" w:rsidP="00780F02">
            <w:pPr>
              <w:pStyle w:val="TableText"/>
              <w:rPr>
                <w:sz w:val="22"/>
                <w:szCs w:val="22"/>
              </w:rPr>
            </w:pPr>
            <w:proofErr w:type="gramStart"/>
            <w:r w:rsidRPr="000E1132">
              <w:rPr>
                <w:sz w:val="22"/>
                <w:szCs w:val="22"/>
              </w:rPr>
              <w:t>most</w:t>
            </w:r>
            <w:proofErr w:type="gramEnd"/>
            <w:r w:rsidRPr="000E1132">
              <w:rPr>
                <w:sz w:val="22"/>
                <w:szCs w:val="22"/>
              </w:rPr>
              <w:t xml:space="preserve"> intra-public sector transfers, the main exceptions being subsidies to public corporations and trading bodies.</w:t>
            </w:r>
          </w:p>
        </w:tc>
      </w:tr>
      <w:tr w:rsidR="000E1132" w:rsidRPr="00250E17" w:rsidTr="00780F02">
        <w:trPr>
          <w:cantSplit/>
        </w:trPr>
        <w:tc>
          <w:tcPr>
            <w:tcW w:w="900" w:type="dxa"/>
          </w:tcPr>
          <w:p w:rsidR="000E1132" w:rsidRPr="000E1132" w:rsidRDefault="000E1132" w:rsidP="00780F02">
            <w:pPr>
              <w:pStyle w:val="TableText"/>
              <w:rPr>
                <w:sz w:val="22"/>
                <w:szCs w:val="22"/>
              </w:rPr>
            </w:pPr>
            <w:r w:rsidRPr="000E1132">
              <w:rPr>
                <w:sz w:val="22"/>
                <w:szCs w:val="22"/>
              </w:rPr>
              <w:t>Plus</w:t>
            </w:r>
            <w:r w:rsidRPr="000E1132">
              <w:rPr>
                <w:sz w:val="22"/>
                <w:szCs w:val="22"/>
              </w:rPr>
              <w:tab/>
            </w:r>
          </w:p>
        </w:tc>
        <w:tc>
          <w:tcPr>
            <w:tcW w:w="8170" w:type="dxa"/>
          </w:tcPr>
          <w:p w:rsidR="000E1132" w:rsidRPr="000E1132" w:rsidRDefault="000E1132" w:rsidP="00780F02">
            <w:pPr>
              <w:pStyle w:val="TableText"/>
              <w:rPr>
                <w:sz w:val="22"/>
                <w:szCs w:val="22"/>
              </w:rPr>
            </w:pPr>
            <w:r w:rsidRPr="000E1132">
              <w:rPr>
                <w:sz w:val="22"/>
                <w:szCs w:val="22"/>
              </w:rPr>
              <w:t>local government current and capital expenditure;</w:t>
            </w:r>
          </w:p>
        </w:tc>
      </w:tr>
      <w:tr w:rsidR="000E1132" w:rsidRPr="00250E17" w:rsidTr="00780F02">
        <w:trPr>
          <w:cantSplit/>
        </w:trPr>
        <w:tc>
          <w:tcPr>
            <w:tcW w:w="900" w:type="dxa"/>
          </w:tcPr>
          <w:p w:rsidR="000E1132" w:rsidRPr="00250E17" w:rsidRDefault="000E1132" w:rsidP="00780F02">
            <w:pPr>
              <w:pStyle w:val="TableText"/>
            </w:pPr>
          </w:p>
        </w:tc>
        <w:tc>
          <w:tcPr>
            <w:tcW w:w="8170" w:type="dxa"/>
          </w:tcPr>
          <w:p w:rsidR="000E1132" w:rsidRPr="000E1132" w:rsidRDefault="000E1132" w:rsidP="00780F02">
            <w:pPr>
              <w:pStyle w:val="TableText"/>
              <w:rPr>
                <w:sz w:val="22"/>
                <w:szCs w:val="22"/>
              </w:rPr>
            </w:pPr>
            <w:r w:rsidRPr="000E1132">
              <w:rPr>
                <w:sz w:val="22"/>
                <w:szCs w:val="22"/>
              </w:rPr>
              <w:t>Northern Ireland locally financed expenditure;</w:t>
            </w:r>
          </w:p>
        </w:tc>
      </w:tr>
      <w:tr w:rsidR="000E1132" w:rsidRPr="00250E17" w:rsidTr="00780F02">
        <w:trPr>
          <w:cantSplit/>
        </w:trPr>
        <w:tc>
          <w:tcPr>
            <w:tcW w:w="900" w:type="dxa"/>
          </w:tcPr>
          <w:p w:rsidR="000E1132" w:rsidRPr="00250E17" w:rsidRDefault="000E1132" w:rsidP="00780F02">
            <w:pPr>
              <w:pStyle w:val="TableText"/>
            </w:pPr>
          </w:p>
        </w:tc>
        <w:tc>
          <w:tcPr>
            <w:tcW w:w="8170" w:type="dxa"/>
          </w:tcPr>
          <w:p w:rsidR="000E1132" w:rsidRPr="000E1132" w:rsidRDefault="000E1132" w:rsidP="00780F02">
            <w:pPr>
              <w:pStyle w:val="TableText"/>
              <w:rPr>
                <w:sz w:val="22"/>
                <w:szCs w:val="22"/>
              </w:rPr>
            </w:pPr>
            <w:r w:rsidRPr="000E1132">
              <w:rPr>
                <w:sz w:val="22"/>
                <w:szCs w:val="22"/>
              </w:rPr>
              <w:t>public corporations’ capital expenditure;</w:t>
            </w:r>
          </w:p>
        </w:tc>
      </w:tr>
      <w:tr w:rsidR="000E1132" w:rsidRPr="00250E17" w:rsidTr="00780F02">
        <w:trPr>
          <w:cantSplit/>
        </w:trPr>
        <w:tc>
          <w:tcPr>
            <w:tcW w:w="900" w:type="dxa"/>
          </w:tcPr>
          <w:p w:rsidR="000E1132" w:rsidRPr="00250E17" w:rsidRDefault="000E1132" w:rsidP="00780F02">
            <w:pPr>
              <w:pStyle w:val="TableText"/>
            </w:pPr>
          </w:p>
        </w:tc>
        <w:tc>
          <w:tcPr>
            <w:tcW w:w="8170" w:type="dxa"/>
          </w:tcPr>
          <w:p w:rsidR="000E1132" w:rsidRPr="000E1132" w:rsidRDefault="000E1132" w:rsidP="00780F02">
            <w:pPr>
              <w:pStyle w:val="TableText"/>
              <w:rPr>
                <w:sz w:val="22"/>
                <w:szCs w:val="22"/>
              </w:rPr>
            </w:pPr>
            <w:r w:rsidRPr="000E1132">
              <w:rPr>
                <w:sz w:val="22"/>
                <w:szCs w:val="22"/>
              </w:rPr>
              <w:t>public sector debt interest; and</w:t>
            </w:r>
          </w:p>
        </w:tc>
      </w:tr>
      <w:tr w:rsidR="000E1132" w:rsidRPr="00250E17" w:rsidTr="00780F02">
        <w:trPr>
          <w:cantSplit/>
        </w:trPr>
        <w:tc>
          <w:tcPr>
            <w:tcW w:w="900" w:type="dxa"/>
          </w:tcPr>
          <w:p w:rsidR="000E1132" w:rsidRPr="00250E17" w:rsidRDefault="000E1132" w:rsidP="00780F02">
            <w:pPr>
              <w:pStyle w:val="TableText"/>
            </w:pPr>
          </w:p>
        </w:tc>
        <w:tc>
          <w:tcPr>
            <w:tcW w:w="8170" w:type="dxa"/>
          </w:tcPr>
          <w:p w:rsidR="000E1132" w:rsidRPr="000E1132" w:rsidRDefault="000E1132" w:rsidP="00780F02">
            <w:pPr>
              <w:pStyle w:val="TableText"/>
              <w:rPr>
                <w:sz w:val="22"/>
                <w:szCs w:val="22"/>
              </w:rPr>
            </w:pPr>
            <w:r w:rsidRPr="000E1132">
              <w:rPr>
                <w:sz w:val="22"/>
                <w:szCs w:val="22"/>
              </w:rPr>
              <w:t>EU transactions.</w:t>
            </w:r>
          </w:p>
        </w:tc>
      </w:tr>
    </w:tbl>
    <w:p w:rsidR="000E1132" w:rsidRPr="00D37DCE" w:rsidRDefault="000E1132" w:rsidP="00D37DCE">
      <w:pPr>
        <w:spacing w:after="0"/>
        <w:rPr>
          <w:rFonts w:ascii="Humnst777 Lt BT" w:hAnsi="Humnst777 Lt BT" w:cs="CIJPNM+Arial"/>
          <w:color w:val="000000"/>
        </w:rPr>
      </w:pPr>
    </w:p>
    <w:p w:rsidR="00D37DCE" w:rsidRPr="00D37DCE" w:rsidRDefault="00D37DCE" w:rsidP="00D37DCE">
      <w:pPr>
        <w:spacing w:after="0"/>
        <w:rPr>
          <w:rFonts w:ascii="Humnst777 Lt BT" w:hAnsi="Humnst777 Lt BT"/>
        </w:rPr>
      </w:pPr>
    </w:p>
    <w:sectPr w:rsidR="00D37DCE" w:rsidRPr="00D37DCE" w:rsidSect="003E3E9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DCE" w:rsidRDefault="00D37DCE" w:rsidP="00D37DCE">
      <w:pPr>
        <w:spacing w:after="0" w:line="240" w:lineRule="auto"/>
      </w:pPr>
      <w:r>
        <w:separator/>
      </w:r>
    </w:p>
  </w:endnote>
  <w:endnote w:type="continuationSeparator" w:id="0">
    <w:p w:rsidR="00D37DCE" w:rsidRDefault="00D37DCE" w:rsidP="00D37D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umnst777 Lt BT">
    <w:panose1 w:val="020B0402030504020204"/>
    <w:charset w:val="00"/>
    <w:family w:val="swiss"/>
    <w:pitch w:val="variable"/>
    <w:sig w:usb0="800000AF" w:usb1="1000204A" w:usb2="00000000" w:usb3="00000000" w:csb0="00000011" w:csb1="00000000"/>
  </w:font>
  <w:font w:name="Humnst777 BT">
    <w:panose1 w:val="020B0603030504020204"/>
    <w:charset w:val="00"/>
    <w:family w:val="swiss"/>
    <w:pitch w:val="variable"/>
    <w:sig w:usb0="800000AF" w:usb1="1000204A" w:usb2="00000000" w:usb3="00000000" w:csb0="00000011" w:csb1="00000000"/>
  </w:font>
  <w:font w:name="Calibri">
    <w:panose1 w:val="020F0502020204030204"/>
    <w:charset w:val="00"/>
    <w:family w:val="swiss"/>
    <w:pitch w:val="variable"/>
    <w:sig w:usb0="A00002EF" w:usb1="4000207B" w:usb2="00000000" w:usb3="00000000" w:csb0="0000009F" w:csb1="00000000"/>
  </w:font>
  <w:font w:name="CIJPNM+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DCE" w:rsidRDefault="00D37DCE" w:rsidP="00D37DCE">
    <w:pPr>
      <w:pStyle w:val="Footer"/>
      <w:jc w:val="center"/>
    </w:pPr>
    <w:r>
      <w:fldChar w:fldCharType="begin"/>
    </w:r>
    <w:r w:rsidRPr="00D37DCE">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DCE" w:rsidRDefault="00D37DCE" w:rsidP="00D37DCE">
    <w:pPr>
      <w:pStyle w:val="Footer"/>
      <w:jc w:val="center"/>
    </w:pPr>
    <w:r>
      <w:fldChar w:fldCharType="begin"/>
    </w:r>
    <w:r w:rsidRPr="00D37DCE">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DCE" w:rsidRDefault="00D37DCE" w:rsidP="00D37DCE">
    <w:pPr>
      <w:pStyle w:val="Footer"/>
      <w:jc w:val="center"/>
    </w:pPr>
    <w:r>
      <w:fldChar w:fldCharType="begin"/>
    </w:r>
    <w:r w:rsidRPr="00D37DCE">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DCE" w:rsidRDefault="00D37DCE" w:rsidP="00D37DCE">
      <w:pPr>
        <w:spacing w:after="0" w:line="240" w:lineRule="auto"/>
      </w:pPr>
      <w:r>
        <w:separator/>
      </w:r>
    </w:p>
  </w:footnote>
  <w:footnote w:type="continuationSeparator" w:id="0">
    <w:p w:rsidR="00D37DCE" w:rsidRDefault="00D37DCE" w:rsidP="00D37D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DCE" w:rsidRDefault="00D37DCE" w:rsidP="00D37DCE">
    <w:pPr>
      <w:pStyle w:val="Header"/>
      <w:jc w:val="center"/>
    </w:pPr>
    <w:r>
      <w:fldChar w:fldCharType="begin"/>
    </w:r>
    <w:r w:rsidRPr="00D37DCE">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DCE" w:rsidRDefault="00D37DCE" w:rsidP="00D37DCE">
    <w:pPr>
      <w:pStyle w:val="Header"/>
      <w:jc w:val="center"/>
    </w:pPr>
    <w:r>
      <w:fldChar w:fldCharType="begin"/>
    </w:r>
    <w:r w:rsidRPr="00D37DCE">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DCE" w:rsidRDefault="00D37DCE" w:rsidP="00D37DCE">
    <w:pPr>
      <w:pStyle w:val="Header"/>
      <w:jc w:val="center"/>
    </w:pPr>
    <w:r>
      <w:fldChar w:fldCharType="begin"/>
    </w:r>
    <w:r w:rsidRPr="00D37DCE">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C4E28"/>
    <w:multiLevelType w:val="multilevel"/>
    <w:tmpl w:val="4A005F98"/>
    <w:name w:val="AnnexNum"/>
    <w:lvl w:ilvl="0">
      <w:start w:val="1"/>
      <w:numFmt w:val="upperLetter"/>
      <w:lvlRestart w:val="0"/>
      <w:pStyle w:val="AnnexBodyText"/>
      <w:suff w:val="nothing"/>
      <w:lvlText w:val="%1"/>
      <w:lvlJc w:val="left"/>
      <w:pPr>
        <w:ind w:left="360" w:hanging="360"/>
      </w:pPr>
      <w:rPr>
        <w:rFonts w:hint="default"/>
      </w:rPr>
    </w:lvl>
    <w:lvl w:ilvl="1">
      <w:start w:val="1"/>
      <w:numFmt w:val="decimal"/>
      <w:pStyle w:val="AnnexBodyText"/>
      <w:suff w:val="space"/>
      <w:lvlText w:val="%1.%2"/>
      <w:lvlJc w:val="left"/>
      <w:pPr>
        <w:ind w:left="0" w:firstLine="0"/>
      </w:pPr>
      <w:rPr>
        <w:rFonts w:ascii="Humnst777 Lt BT" w:hAnsi="Humnst777 Lt BT" w:hint="default"/>
        <w:b/>
        <w:i w:val="0"/>
        <w:color w:val="19518F"/>
        <w:sz w:val="22"/>
      </w:rPr>
    </w:lvl>
    <w:lvl w:ilvl="2">
      <w:start w:val="1"/>
      <w:numFmt w:val="decimal"/>
      <w:pStyle w:val="AnnexBodyText2"/>
      <w:suff w:val="space"/>
      <w:lvlText w:val="%1.%2.%3"/>
      <w:lvlJc w:val="left"/>
      <w:pPr>
        <w:ind w:left="0" w:firstLine="0"/>
      </w:pPr>
      <w:rPr>
        <w:rFonts w:ascii="Humnst777 Lt BT" w:hAnsi="Humnst777 Lt BT" w:hint="default"/>
        <w:b/>
        <w:i w:val="0"/>
        <w:color w:val="19518F"/>
        <w:sz w:val="22"/>
      </w:rPr>
    </w:lvl>
    <w:lvl w:ilvl="3">
      <w:start w:val="1"/>
      <w:numFmt w:val="decimal"/>
      <w:lvlRestart w:val="1"/>
      <w:pStyle w:val="AnnexBoxHeading"/>
      <w:suff w:val="space"/>
      <w:lvlText w:val="Box %1.%4:"/>
      <w:lvlJc w:val="left"/>
      <w:pPr>
        <w:ind w:left="0" w:firstLine="0"/>
      </w:pPr>
      <w:rPr>
        <w:rFonts w:ascii="Humnst777 BT" w:hAnsi="Humnst777 BT" w:hint="default"/>
        <w:b/>
        <w:color w:val="19518F"/>
        <w:sz w:val="20"/>
      </w:rPr>
    </w:lvl>
    <w:lvl w:ilvl="4">
      <w:start w:val="1"/>
      <w:numFmt w:val="decimal"/>
      <w:lvlRestart w:val="1"/>
      <w:pStyle w:val="AnnexFigureHeading"/>
      <w:suff w:val="space"/>
      <w:lvlText w:val="Figure %1.%5:"/>
      <w:lvlJc w:val="left"/>
      <w:pPr>
        <w:ind w:left="0" w:firstLine="0"/>
      </w:pPr>
      <w:rPr>
        <w:rFonts w:ascii="Humnst777 BT" w:hAnsi="Humnst777 BT" w:hint="default"/>
        <w:b/>
        <w:color w:val="19518F"/>
        <w:sz w:val="20"/>
      </w:rPr>
    </w:lvl>
    <w:lvl w:ilvl="5">
      <w:start w:val="1"/>
      <w:numFmt w:val="decimal"/>
      <w:lvlRestart w:val="1"/>
      <w:pStyle w:val="AnnexTableHeading"/>
      <w:suff w:val="space"/>
      <w:lvlText w:val="Table %1.%6:"/>
      <w:lvlJc w:val="left"/>
      <w:pPr>
        <w:tabs>
          <w:tab w:val="num" w:pos="2160"/>
        </w:tabs>
        <w:ind w:left="0" w:firstLine="0"/>
      </w:pPr>
      <w:rPr>
        <w:rFonts w:ascii="Humnst777 BT" w:hAnsi="Humnst777 BT" w:hint="default"/>
        <w:b/>
        <w:color w:val="19518F"/>
        <w:sz w:val="20"/>
      </w:rPr>
    </w:lvl>
    <w:lvl w:ilvl="6">
      <w:start w:val="1"/>
      <w:numFmt w:val="decimal"/>
      <w:lvlRestart w:val="1"/>
      <w:pStyle w:val="AnnexChartHeading"/>
      <w:suff w:val="space"/>
      <w:lvlText w:val="Chart %1.%7:"/>
      <w:lvlJc w:val="left"/>
      <w:pPr>
        <w:tabs>
          <w:tab w:val="num" w:pos="2520"/>
        </w:tabs>
        <w:ind w:left="0" w:firstLine="0"/>
      </w:pPr>
      <w:rPr>
        <w:rFonts w:ascii="Humnst777 BT" w:hAnsi="Humnst777 BT" w:hint="default"/>
        <w:b/>
        <w:color w:val="19518F"/>
        <w:sz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59402BCE"/>
    <w:multiLevelType w:val="hybridMultilevel"/>
    <w:tmpl w:val="63E6F5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C601D9E"/>
    <w:multiLevelType w:val="hybridMultilevel"/>
    <w:tmpl w:val="BD200B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D37DCE"/>
    <w:rsid w:val="000E1132"/>
    <w:rsid w:val="003E3E95"/>
    <w:rsid w:val="00D37DCE"/>
  </w:rsids>
  <m:mathPr>
    <m:mathFont m:val="Cambria Math"/>
    <m:brkBin m:val="before"/>
    <m:brkBinSub m:val="--"/>
    <m:smallFrac m:val="off"/>
    <m:dispDef/>
    <m:lMargin m:val="0"/>
    <m:rMargin m:val="0"/>
    <m:defJc m:val="centerGroup"/>
    <m:wrapIndent m:val="1440"/>
    <m:intLim m:val="subSup"/>
    <m:naryLim m:val="undOvr"/>
  </m:mathPr>
  <w:attachedSchema w:val="http://www.boldonjames.com/SAFEofficeXML.xsd"/>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E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7D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7DCE"/>
  </w:style>
  <w:style w:type="paragraph" w:styleId="Footer">
    <w:name w:val="footer"/>
    <w:basedOn w:val="Normal"/>
    <w:link w:val="FooterChar"/>
    <w:uiPriority w:val="99"/>
    <w:semiHidden/>
    <w:unhideWhenUsed/>
    <w:rsid w:val="00D37DC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37DCE"/>
  </w:style>
  <w:style w:type="paragraph" w:styleId="ListParagraph">
    <w:name w:val="List Paragraph"/>
    <w:basedOn w:val="Normal"/>
    <w:uiPriority w:val="34"/>
    <w:qFormat/>
    <w:rsid w:val="00D37DCE"/>
    <w:pPr>
      <w:ind w:left="720"/>
      <w:contextualSpacing/>
    </w:pPr>
  </w:style>
  <w:style w:type="paragraph" w:customStyle="1" w:styleId="Default">
    <w:name w:val="Default"/>
    <w:rsid w:val="00D37DCE"/>
    <w:pPr>
      <w:autoSpaceDE w:val="0"/>
      <w:autoSpaceDN w:val="0"/>
      <w:adjustRightInd w:val="0"/>
      <w:spacing w:after="0" w:line="240" w:lineRule="auto"/>
    </w:pPr>
    <w:rPr>
      <w:rFonts w:ascii="CIJPNM+Arial" w:hAnsi="CIJPNM+Arial" w:cs="CIJPNM+Arial"/>
      <w:color w:val="000000"/>
      <w:sz w:val="24"/>
      <w:szCs w:val="24"/>
    </w:rPr>
  </w:style>
  <w:style w:type="paragraph" w:customStyle="1" w:styleId="TableText">
    <w:name w:val="Table Text"/>
    <w:rsid w:val="000E1132"/>
    <w:pPr>
      <w:spacing w:after="0" w:line="240" w:lineRule="atLeast"/>
    </w:pPr>
    <w:rPr>
      <w:rFonts w:ascii="Humnst777 Lt BT" w:eastAsia="Times New Roman" w:hAnsi="Humnst777 Lt BT" w:cs="Times New Roman"/>
      <w:sz w:val="20"/>
      <w:szCs w:val="24"/>
    </w:rPr>
  </w:style>
  <w:style w:type="paragraph" w:customStyle="1" w:styleId="AnnexBodyText">
    <w:name w:val="Annex Body Text"/>
    <w:basedOn w:val="BodyText"/>
    <w:rsid w:val="000E1132"/>
    <w:pPr>
      <w:numPr>
        <w:ilvl w:val="1"/>
        <w:numId w:val="3"/>
      </w:numPr>
      <w:spacing w:after="165" w:line="280" w:lineRule="atLeast"/>
    </w:pPr>
    <w:rPr>
      <w:rFonts w:ascii="Humnst777 Lt BT" w:eastAsia="Times New Roman" w:hAnsi="Humnst777 Lt BT" w:cs="Times New Roman"/>
      <w:szCs w:val="24"/>
    </w:rPr>
  </w:style>
  <w:style w:type="paragraph" w:customStyle="1" w:styleId="AnnexBodyText2">
    <w:name w:val="Annex Body Text 2"/>
    <w:basedOn w:val="AnnexBodyText"/>
    <w:rsid w:val="000E1132"/>
    <w:pPr>
      <w:numPr>
        <w:ilvl w:val="2"/>
      </w:numPr>
    </w:pPr>
  </w:style>
  <w:style w:type="paragraph" w:customStyle="1" w:styleId="AnnexBoxHeading">
    <w:name w:val="Annex Box Heading"/>
    <w:basedOn w:val="Normal"/>
    <w:next w:val="BodyText3"/>
    <w:rsid w:val="000E1132"/>
    <w:pPr>
      <w:keepNext/>
      <w:numPr>
        <w:ilvl w:val="3"/>
        <w:numId w:val="3"/>
      </w:numPr>
      <w:spacing w:after="165" w:line="260" w:lineRule="atLeast"/>
    </w:pPr>
    <w:rPr>
      <w:rFonts w:ascii="Humnst777 BT" w:eastAsia="Times New Roman" w:hAnsi="Humnst777 BT" w:cs="Times New Roman"/>
      <w:b/>
      <w:color w:val="19518F"/>
      <w:sz w:val="20"/>
      <w:szCs w:val="24"/>
    </w:rPr>
  </w:style>
  <w:style w:type="paragraph" w:customStyle="1" w:styleId="AnnexFigureHeading">
    <w:name w:val="Annex Figure Heading"/>
    <w:basedOn w:val="Normal"/>
    <w:next w:val="Normal"/>
    <w:rsid w:val="000E1132"/>
    <w:pPr>
      <w:keepNext/>
      <w:numPr>
        <w:ilvl w:val="4"/>
        <w:numId w:val="3"/>
      </w:numPr>
      <w:spacing w:after="57" w:line="240" w:lineRule="atLeast"/>
    </w:pPr>
    <w:rPr>
      <w:rFonts w:ascii="Humnst777 BT" w:eastAsia="Times New Roman" w:hAnsi="Humnst777 BT" w:cs="Times New Roman"/>
      <w:b/>
      <w:color w:val="19518F"/>
      <w:sz w:val="20"/>
      <w:szCs w:val="24"/>
    </w:rPr>
  </w:style>
  <w:style w:type="paragraph" w:customStyle="1" w:styleId="AnnexTableHeading">
    <w:name w:val="Annex Table Heading"/>
    <w:basedOn w:val="AnnexFigureHeading"/>
    <w:rsid w:val="000E1132"/>
    <w:pPr>
      <w:numPr>
        <w:ilvl w:val="5"/>
      </w:numPr>
    </w:pPr>
  </w:style>
  <w:style w:type="paragraph" w:customStyle="1" w:styleId="AnnexChartHeading">
    <w:name w:val="Annex Chart Heading"/>
    <w:basedOn w:val="AnnexFigureHeading"/>
    <w:rsid w:val="000E1132"/>
    <w:pPr>
      <w:numPr>
        <w:ilvl w:val="6"/>
      </w:numPr>
    </w:pPr>
  </w:style>
  <w:style w:type="paragraph" w:styleId="BodyText">
    <w:name w:val="Body Text"/>
    <w:basedOn w:val="Normal"/>
    <w:link w:val="BodyTextChar"/>
    <w:uiPriority w:val="99"/>
    <w:semiHidden/>
    <w:unhideWhenUsed/>
    <w:rsid w:val="000E1132"/>
    <w:pPr>
      <w:spacing w:after="120"/>
    </w:pPr>
  </w:style>
  <w:style w:type="character" w:customStyle="1" w:styleId="BodyTextChar">
    <w:name w:val="Body Text Char"/>
    <w:basedOn w:val="DefaultParagraphFont"/>
    <w:link w:val="BodyText"/>
    <w:uiPriority w:val="99"/>
    <w:semiHidden/>
    <w:rsid w:val="000E1132"/>
  </w:style>
  <w:style w:type="paragraph" w:styleId="BodyText3">
    <w:name w:val="Body Text 3"/>
    <w:basedOn w:val="Normal"/>
    <w:link w:val="BodyText3Char"/>
    <w:uiPriority w:val="99"/>
    <w:semiHidden/>
    <w:unhideWhenUsed/>
    <w:rsid w:val="000E1132"/>
    <w:pPr>
      <w:spacing w:after="120"/>
    </w:pPr>
    <w:rPr>
      <w:sz w:val="16"/>
      <w:szCs w:val="16"/>
    </w:rPr>
  </w:style>
  <w:style w:type="character" w:customStyle="1" w:styleId="BodyText3Char">
    <w:name w:val="Body Text 3 Char"/>
    <w:basedOn w:val="DefaultParagraphFont"/>
    <w:link w:val="BodyText3"/>
    <w:uiPriority w:val="99"/>
    <w:semiHidden/>
    <w:rsid w:val="000E1132"/>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carter</dc:creator>
  <cp:keywords/>
  <dc:description/>
  <cp:lastModifiedBy>matthew carter</cp:lastModifiedBy>
  <cp:revision>1</cp:revision>
  <dcterms:created xsi:type="dcterms:W3CDTF">2013-07-31T13:04:00Z</dcterms:created>
  <dcterms:modified xsi:type="dcterms:W3CDTF">2013-07-31T13:19:00Z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3de6a542-bb92-4d37-9bfd-1a00c3f3d8f4</vt:lpwstr>
  </property>
</Properties>
</file>