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7D" w:rsidRDefault="00CD4C7D">
      <w:pPr>
        <w:pStyle w:val="Title"/>
      </w:pPr>
      <w:r>
        <w:t>PES (201</w:t>
      </w:r>
      <w:r w:rsidR="00B226B9">
        <w:t>3</w:t>
      </w:r>
      <w:r>
        <w:t>) ANNEX C</w:t>
      </w:r>
    </w:p>
    <w:p w:rsidR="00CD4C7D" w:rsidRDefault="00CD4C7D">
      <w:pPr>
        <w:jc w:val="center"/>
        <w:rPr>
          <w:sz w:val="20"/>
        </w:rPr>
      </w:pPr>
      <w:r>
        <w:rPr>
          <w:rFonts w:ascii="MS Reference Sans Serif" w:hAnsi="MS Reference Sans Serif"/>
          <w:b/>
          <w:bCs/>
        </w:rPr>
        <w:t>TECHNICAL NOTES</w:t>
      </w:r>
    </w:p>
    <w:p w:rsidR="00CD4C7D" w:rsidRDefault="00CD4C7D">
      <w:pPr>
        <w:pStyle w:val="FootnoteText"/>
        <w:spacing w:line="360" w:lineRule="auto"/>
        <w:rPr>
          <w:rFonts w:ascii="MS Reference Sans Serif" w:hAnsi="MS Reference Sans Serif"/>
          <w:szCs w:val="24"/>
          <w:lang w:val="en-US"/>
        </w:rPr>
      </w:pPr>
    </w:p>
    <w:p w:rsidR="00CD4C7D" w:rsidRDefault="00CD4C7D">
      <w:pPr>
        <w:pStyle w:val="TOC1"/>
        <w:rPr>
          <w:rFonts w:ascii="Times New Roman" w:hAnsi="Times New Roman"/>
          <w:b w:val="0"/>
          <w:sz w:val="24"/>
        </w:rPr>
      </w:pPr>
      <w:r>
        <w:fldChar w:fldCharType="begin"/>
      </w:r>
      <w:r>
        <w:instrText xml:space="preserve"> TOC \o "1-2" \n \h \z </w:instrText>
      </w:r>
      <w:r>
        <w:fldChar w:fldCharType="separate"/>
      </w:r>
      <w:hyperlink w:anchor="_Toc245204028" w:history="1">
        <w:r>
          <w:rPr>
            <w:rStyle w:val="Hyperlink"/>
            <w:szCs w:val="20"/>
          </w:rPr>
          <w:t>1. Classification of spending as ‘identifiable’ or ‘non-identifiable</w:t>
        </w:r>
      </w:hyperlink>
    </w:p>
    <w:p w:rsidR="00CD4C7D" w:rsidRDefault="00CD4C7D">
      <w:pPr>
        <w:pStyle w:val="TOC1"/>
        <w:rPr>
          <w:rFonts w:ascii="Times New Roman" w:hAnsi="Times New Roman"/>
          <w:b w:val="0"/>
          <w:sz w:val="24"/>
        </w:rPr>
      </w:pPr>
      <w:hyperlink w:anchor="_Toc245204029" w:history="1">
        <w:r>
          <w:rPr>
            <w:rStyle w:val="Hyperlink"/>
            <w:szCs w:val="20"/>
          </w:rPr>
          <w:t>2. Individual versus Collective</w:t>
        </w:r>
      </w:hyperlink>
    </w:p>
    <w:p w:rsidR="00CD4C7D" w:rsidRDefault="00CD4C7D">
      <w:pPr>
        <w:pStyle w:val="TOC2"/>
        <w:tabs>
          <w:tab w:val="right" w:leader="dot" w:pos="9616"/>
        </w:tabs>
        <w:rPr>
          <w:rFonts w:ascii="Times New Roman" w:hAnsi="Times New Roman"/>
          <w:noProof/>
          <w:sz w:val="24"/>
        </w:rPr>
      </w:pPr>
      <w:hyperlink w:anchor="_Toc245204030" w:history="1">
        <w:r>
          <w:rPr>
            <w:rStyle w:val="Hyperlink"/>
            <w:noProof/>
            <w:szCs w:val="28"/>
          </w:rPr>
          <w:t>2.1 Transfers</w:t>
        </w:r>
      </w:hyperlink>
    </w:p>
    <w:p w:rsidR="00CD4C7D" w:rsidRDefault="00CD4C7D">
      <w:pPr>
        <w:pStyle w:val="TOC2"/>
        <w:tabs>
          <w:tab w:val="right" w:leader="dot" w:pos="9616"/>
        </w:tabs>
        <w:rPr>
          <w:rFonts w:ascii="Times New Roman" w:hAnsi="Times New Roman"/>
          <w:noProof/>
          <w:sz w:val="24"/>
        </w:rPr>
      </w:pPr>
      <w:hyperlink w:anchor="_Toc245204031" w:history="1">
        <w:r>
          <w:rPr>
            <w:rStyle w:val="Hyperlink"/>
            <w:noProof/>
            <w:szCs w:val="28"/>
          </w:rPr>
          <w:t>2.2 Other current spending</w:t>
        </w:r>
      </w:hyperlink>
    </w:p>
    <w:p w:rsidR="00CD4C7D" w:rsidRDefault="00CD4C7D">
      <w:pPr>
        <w:pStyle w:val="TOC2"/>
        <w:tabs>
          <w:tab w:val="right" w:leader="dot" w:pos="9616"/>
        </w:tabs>
        <w:spacing w:line="360" w:lineRule="auto"/>
        <w:rPr>
          <w:rFonts w:ascii="Times New Roman" w:hAnsi="Times New Roman"/>
          <w:noProof/>
          <w:sz w:val="24"/>
        </w:rPr>
      </w:pPr>
      <w:hyperlink w:anchor="_Toc245204032" w:history="1">
        <w:r>
          <w:rPr>
            <w:rStyle w:val="Hyperlink"/>
            <w:noProof/>
            <w:szCs w:val="28"/>
          </w:rPr>
          <w:t>2.3 Other capital spending</w:t>
        </w:r>
      </w:hyperlink>
    </w:p>
    <w:p w:rsidR="00CD4C7D" w:rsidRDefault="00CD4C7D">
      <w:pPr>
        <w:pStyle w:val="TOC1"/>
        <w:rPr>
          <w:rFonts w:ascii="Times New Roman" w:hAnsi="Times New Roman"/>
          <w:b w:val="0"/>
          <w:sz w:val="24"/>
        </w:rPr>
      </w:pPr>
      <w:hyperlink w:anchor="_Toc245204033" w:history="1">
        <w:r>
          <w:rPr>
            <w:rStyle w:val="Hyperlink"/>
            <w:szCs w:val="20"/>
          </w:rPr>
          <w:t>3. Summary</w:t>
        </w:r>
      </w:hyperlink>
    </w:p>
    <w:p w:rsidR="00CD4C7D" w:rsidRDefault="00CD4C7D">
      <w:pPr>
        <w:pStyle w:val="TOC1"/>
        <w:rPr>
          <w:rFonts w:ascii="Times New Roman" w:hAnsi="Times New Roman"/>
          <w:b w:val="0"/>
          <w:sz w:val="24"/>
        </w:rPr>
      </w:pPr>
      <w:hyperlink w:anchor="_Toc245204034" w:history="1">
        <w:r>
          <w:rPr>
            <w:rStyle w:val="Hyperlink"/>
            <w:szCs w:val="20"/>
          </w:rPr>
          <w:t xml:space="preserve">4. (NUTS1) </w:t>
        </w:r>
        <w:r w:rsidR="00292E1E">
          <w:rPr>
            <w:rStyle w:val="Hyperlink"/>
            <w:szCs w:val="20"/>
          </w:rPr>
          <w:t>R</w:t>
        </w:r>
        <w:r>
          <w:rPr>
            <w:rStyle w:val="Hyperlink"/>
            <w:szCs w:val="20"/>
          </w:rPr>
          <w:t>egions in the UK</w:t>
        </w:r>
      </w:hyperlink>
    </w:p>
    <w:p w:rsidR="00CD4C7D" w:rsidRDefault="00CD4C7D">
      <w:pPr>
        <w:pStyle w:val="TOC1"/>
      </w:pPr>
      <w:r>
        <w:fldChar w:fldCharType="end"/>
      </w:r>
    </w:p>
    <w:p w:rsidR="00CD4C7D" w:rsidRDefault="00CD4C7D">
      <w:pPr>
        <w:rPr>
          <w:lang w:val="en-US"/>
        </w:rPr>
      </w:pPr>
    </w:p>
    <w:p w:rsidR="00CD4C7D" w:rsidRDefault="00CD4C7D">
      <w:pPr>
        <w:pStyle w:val="Heading1"/>
      </w:pPr>
      <w:bookmarkStart w:id="0" w:name="_Toc245204028"/>
      <w:r>
        <w:t>1. Classification of spending as ‘identifiable’ or ‘non-identifiable</w:t>
      </w:r>
      <w:bookmarkEnd w:id="0"/>
    </w:p>
    <w:p w:rsidR="00CD4C7D" w:rsidRDefault="00CD4C7D">
      <w:pPr>
        <w:numPr>
          <w:ilvl w:val="0"/>
          <w:numId w:val="11"/>
        </w:numPr>
        <w:spacing w:line="360" w:lineRule="auto"/>
        <w:jc w:val="both"/>
        <w:rPr>
          <w:rFonts w:ascii="MS Reference Sans Serif" w:hAnsi="MS Reference Sans Serif" w:cs="Arial"/>
          <w:sz w:val="20"/>
          <w:lang w:val="en-US"/>
        </w:rPr>
      </w:pPr>
      <w:r>
        <w:rPr>
          <w:rFonts w:ascii="MS Reference Sans Serif" w:hAnsi="MS Reference Sans Serif" w:cs="Arial"/>
          <w:sz w:val="20"/>
          <w:lang w:val="en-US"/>
        </w:rPr>
        <w:t>For the purposes of the Country and Regional Analysis (CRA) exercise, all departmental expenditure on services is classified as “identifiable” (as for the benefit of a particular region) or “non-identifiable” (i.e. cannot be identified as for the benefit of a particular region).  This Annex sets out the principles that the Treasury will use for the 201</w:t>
      </w:r>
      <w:r w:rsidR="001E5521">
        <w:rPr>
          <w:rFonts w:ascii="MS Reference Sans Serif" w:hAnsi="MS Reference Sans Serif" w:cs="Arial"/>
          <w:sz w:val="20"/>
          <w:lang w:val="en-US"/>
        </w:rPr>
        <w:t>3</w:t>
      </w:r>
      <w:r>
        <w:rPr>
          <w:rFonts w:ascii="MS Reference Sans Serif" w:hAnsi="MS Reference Sans Serif" w:cs="Arial"/>
          <w:sz w:val="20"/>
          <w:lang w:val="en-US"/>
        </w:rPr>
        <w:t xml:space="preserve"> CRA data collection in classifying spending as identifiable or non-identifiable.   A flow chart below illustrates how this split is derived.</w:t>
      </w:r>
    </w:p>
    <w:p w:rsidR="00CD4C7D" w:rsidRDefault="00CD4C7D">
      <w:pPr>
        <w:spacing w:line="360" w:lineRule="auto"/>
        <w:jc w:val="both"/>
        <w:rPr>
          <w:rFonts w:ascii="MS Reference Sans Serif" w:hAnsi="MS Reference Sans Serif" w:cs="Arial"/>
          <w:sz w:val="20"/>
          <w:lang w:val="en-US"/>
        </w:rPr>
      </w:pPr>
    </w:p>
    <w:p w:rsidR="00CD4C7D" w:rsidRDefault="00CD4C7D">
      <w:pPr>
        <w:spacing w:line="360" w:lineRule="auto"/>
        <w:ind w:left="720"/>
        <w:jc w:val="both"/>
        <w:rPr>
          <w:rFonts w:ascii="MS Reference Sans Serif" w:hAnsi="MS Reference Sans Serif" w:cs="Arial"/>
          <w:sz w:val="20"/>
          <w:lang w:val="en-US"/>
        </w:rPr>
      </w:pPr>
    </w:p>
    <w:tbl>
      <w:tblPr>
        <w:tblW w:w="0" w:type="auto"/>
        <w:tblLook w:val="0000"/>
      </w:tblPr>
      <w:tblGrid>
        <w:gridCol w:w="5046"/>
        <w:gridCol w:w="4796"/>
      </w:tblGrid>
      <w:tr w:rsidR="00CD4C7D">
        <w:tblPrEx>
          <w:tblCellMar>
            <w:top w:w="0" w:type="dxa"/>
            <w:bottom w:w="0" w:type="dxa"/>
          </w:tblCellMar>
        </w:tblPrEx>
        <w:tc>
          <w:tcPr>
            <w:tcW w:w="4921" w:type="dxa"/>
          </w:tcPr>
          <w:p w:rsidR="00CD4C7D" w:rsidRDefault="00B226B9">
            <w:pPr>
              <w:spacing w:line="360" w:lineRule="auto"/>
              <w:jc w:val="both"/>
              <w:rPr>
                <w:rFonts w:ascii="MS Reference Sans Serif" w:hAnsi="MS Reference Sans Serif" w:cs="Arial"/>
                <w:sz w:val="20"/>
                <w:lang w:val="en-US"/>
              </w:rPr>
            </w:pPr>
            <w:r>
              <w:rPr>
                <w:rFonts w:ascii="MS Reference Sans Serif" w:hAnsi="MS Reference Sans Serif" w:cs="Arial"/>
                <w:noProof/>
                <w:sz w:val="20"/>
                <w:lang w:eastAsia="en-GB"/>
              </w:rPr>
              <w:drawing>
                <wp:inline distT="0" distB="0" distL="0" distR="0">
                  <wp:extent cx="3038475" cy="24669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3038475" cy="2466975"/>
                          </a:xfrm>
                          <a:prstGeom prst="rect">
                            <a:avLst/>
                          </a:prstGeom>
                          <a:noFill/>
                          <a:ln w="9525">
                            <a:noFill/>
                            <a:miter lim="800000"/>
                            <a:headEnd/>
                            <a:tailEnd/>
                          </a:ln>
                        </pic:spPr>
                      </pic:pic>
                    </a:graphicData>
                  </a:graphic>
                </wp:inline>
              </w:drawing>
            </w:r>
          </w:p>
        </w:tc>
        <w:tc>
          <w:tcPr>
            <w:tcW w:w="4921" w:type="dxa"/>
          </w:tcPr>
          <w:p w:rsidR="00CD4C7D" w:rsidRDefault="00B226B9">
            <w:pPr>
              <w:spacing w:line="360" w:lineRule="auto"/>
              <w:jc w:val="both"/>
              <w:rPr>
                <w:rFonts w:ascii="MS Reference Sans Serif" w:hAnsi="MS Reference Sans Serif" w:cs="Arial"/>
                <w:sz w:val="20"/>
                <w:lang w:val="en-US"/>
              </w:rPr>
            </w:pPr>
            <w:r>
              <w:rPr>
                <w:noProof/>
                <w:lang w:eastAsia="en-GB"/>
              </w:rPr>
              <w:drawing>
                <wp:inline distT="0" distB="0" distL="0" distR="0">
                  <wp:extent cx="2819400" cy="2466975"/>
                  <wp:effectExtent l="19050" t="0" r="0" b="0"/>
                  <wp:docPr id="10" name="Picture 10"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ide1"/>
                          <pic:cNvPicPr>
                            <a:picLocks noChangeAspect="1" noChangeArrowheads="1"/>
                          </pic:cNvPicPr>
                        </pic:nvPicPr>
                        <pic:blipFill>
                          <a:blip r:embed="rId8" cstate="print"/>
                          <a:srcRect/>
                          <a:stretch>
                            <a:fillRect/>
                          </a:stretch>
                        </pic:blipFill>
                        <pic:spPr bwMode="auto">
                          <a:xfrm>
                            <a:off x="0" y="0"/>
                            <a:ext cx="2819400" cy="2466975"/>
                          </a:xfrm>
                          <a:prstGeom prst="rect">
                            <a:avLst/>
                          </a:prstGeom>
                          <a:noFill/>
                          <a:ln w="9525">
                            <a:noFill/>
                            <a:miter lim="800000"/>
                            <a:headEnd/>
                            <a:tailEnd/>
                          </a:ln>
                        </pic:spPr>
                      </pic:pic>
                    </a:graphicData>
                  </a:graphic>
                </wp:inline>
              </w:drawing>
            </w:r>
          </w:p>
        </w:tc>
      </w:tr>
    </w:tbl>
    <w:p w:rsidR="00CD4C7D" w:rsidRDefault="00CD4C7D">
      <w:pPr>
        <w:spacing w:line="360" w:lineRule="auto"/>
        <w:jc w:val="both"/>
        <w:rPr>
          <w:rFonts w:ascii="MS Reference Sans Serif" w:hAnsi="MS Reference Sans Serif" w:cs="Arial"/>
          <w:sz w:val="20"/>
          <w:lang w:val="en-US"/>
        </w:rPr>
      </w:pPr>
    </w:p>
    <w:p w:rsidR="00CD4C7D" w:rsidRDefault="00CD4C7D">
      <w:pPr>
        <w:spacing w:line="360" w:lineRule="auto"/>
        <w:jc w:val="both"/>
        <w:rPr>
          <w:rFonts w:ascii="MS Reference Sans Serif" w:hAnsi="MS Reference Sans Serif" w:cs="Arial"/>
          <w:sz w:val="20"/>
          <w:lang w:val="en-US"/>
        </w:rPr>
      </w:pPr>
    </w:p>
    <w:p w:rsidR="00CD4C7D" w:rsidRDefault="00CD4C7D">
      <w:pPr>
        <w:spacing w:line="360" w:lineRule="auto"/>
        <w:jc w:val="both"/>
        <w:rPr>
          <w:rFonts w:ascii="MS Reference Sans Serif" w:hAnsi="MS Reference Sans Serif" w:cs="Arial"/>
          <w:sz w:val="20"/>
          <w:lang w:val="en-US"/>
        </w:rPr>
      </w:pPr>
    </w:p>
    <w:p w:rsidR="00CD4C7D" w:rsidRDefault="00CD4C7D">
      <w:pPr>
        <w:spacing w:line="360" w:lineRule="auto"/>
        <w:jc w:val="center"/>
        <w:rPr>
          <w:rFonts w:ascii="MS Reference Sans Serif" w:hAnsi="MS Reference Sans Serif" w:cs="Arial"/>
          <w:sz w:val="20"/>
          <w:lang w:val="en-US"/>
        </w:rPr>
      </w:pPr>
    </w:p>
    <w:p w:rsidR="00CD4C7D" w:rsidRDefault="00CD4C7D">
      <w:pPr>
        <w:pStyle w:val="Heading1"/>
      </w:pPr>
      <w:bookmarkStart w:id="1" w:name="_Toc245204029"/>
      <w:r>
        <w:lastRenderedPageBreak/>
        <w:t>2. Individual versus Collective</w:t>
      </w:r>
      <w:bookmarkEnd w:id="1"/>
      <w:r>
        <w:t xml:space="preserve"> </w:t>
      </w:r>
    </w:p>
    <w:p w:rsidR="00CD4C7D" w:rsidRDefault="00CD4C7D">
      <w:pPr>
        <w:pStyle w:val="Heading2"/>
        <w:spacing w:line="360" w:lineRule="auto"/>
        <w:rPr>
          <w:rFonts w:ascii="MS Reference Sans Serif" w:hAnsi="MS Reference Sans Serif"/>
          <w:sz w:val="20"/>
        </w:rPr>
      </w:pPr>
      <w:bookmarkStart w:id="2" w:name="_Toc245204030"/>
      <w:r>
        <w:rPr>
          <w:rFonts w:ascii="MS Reference Sans Serif" w:hAnsi="MS Reference Sans Serif"/>
          <w:sz w:val="20"/>
        </w:rPr>
        <w:t>2.1 Transfers</w:t>
      </w:r>
      <w:bookmarkEnd w:id="2"/>
    </w:p>
    <w:p w:rsidR="00CD4C7D" w:rsidRDefault="00CD4C7D">
      <w:pPr>
        <w:numPr>
          <w:ilvl w:val="0"/>
          <w:numId w:val="11"/>
        </w:numPr>
        <w:spacing w:after="180" w:line="360" w:lineRule="auto"/>
        <w:jc w:val="both"/>
        <w:rPr>
          <w:rFonts w:ascii="MS Reference Sans Serif" w:hAnsi="MS Reference Sans Serif" w:cs="Arial"/>
          <w:sz w:val="20"/>
          <w:lang w:val="en-US"/>
        </w:rPr>
      </w:pPr>
      <w:r>
        <w:rPr>
          <w:rFonts w:ascii="MS Reference Sans Serif" w:hAnsi="MS Reference Sans Serif" w:cs="Arial"/>
          <w:sz w:val="20"/>
          <w:lang w:val="en-US"/>
        </w:rPr>
        <w:t>All transfers (subsidies, current grants, capital grants) by all departments are identifiable and should be allocated by region of recipient. Current grants paid abroad should be classified to a 13</w:t>
      </w:r>
      <w:r>
        <w:rPr>
          <w:rFonts w:ascii="MS Reference Sans Serif" w:hAnsi="MS Reference Sans Serif" w:cs="Arial"/>
          <w:sz w:val="20"/>
          <w:vertAlign w:val="superscript"/>
          <w:lang w:val="en-US"/>
        </w:rPr>
        <w:t>th</w:t>
      </w:r>
      <w:r>
        <w:rPr>
          <w:rFonts w:ascii="MS Reference Sans Serif" w:hAnsi="MS Reference Sans Serif" w:cs="Arial"/>
          <w:sz w:val="20"/>
          <w:lang w:val="en-US"/>
        </w:rPr>
        <w:t xml:space="preserve"> region ‘outside UK’ with the exception of current grants paid abroad that are for the direct benefit of the UK. How to allocate this and other exceptions is discussed in detail in Annex B.  </w:t>
      </w:r>
    </w:p>
    <w:p w:rsidR="00CD4C7D" w:rsidRDefault="00CD4C7D">
      <w:pPr>
        <w:pStyle w:val="Heading2"/>
        <w:spacing w:line="360" w:lineRule="auto"/>
        <w:rPr>
          <w:rFonts w:ascii="MS Reference Sans Serif" w:hAnsi="MS Reference Sans Serif"/>
          <w:sz w:val="20"/>
        </w:rPr>
      </w:pPr>
      <w:bookmarkStart w:id="3" w:name="_Toc245204031"/>
      <w:r>
        <w:rPr>
          <w:rFonts w:ascii="MS Reference Sans Serif" w:hAnsi="MS Reference Sans Serif"/>
          <w:sz w:val="20"/>
        </w:rPr>
        <w:t>2.2 Other current spending</w:t>
      </w:r>
      <w:bookmarkEnd w:id="3"/>
    </w:p>
    <w:p w:rsidR="00CD4C7D" w:rsidRDefault="00CD4C7D">
      <w:pPr>
        <w:pStyle w:val="FootnoteText"/>
        <w:numPr>
          <w:ilvl w:val="0"/>
          <w:numId w:val="11"/>
        </w:numPr>
        <w:spacing w:after="240" w:line="360" w:lineRule="auto"/>
        <w:rPr>
          <w:rFonts w:ascii="MS Reference Sans Serif" w:hAnsi="MS Reference Sans Serif" w:cs="Arial"/>
          <w:szCs w:val="24"/>
          <w:lang w:val="en-US"/>
        </w:rPr>
      </w:pPr>
      <w:r>
        <w:rPr>
          <w:rFonts w:ascii="MS Reference Sans Serif" w:hAnsi="MS Reference Sans Serif" w:cs="Arial"/>
          <w:szCs w:val="24"/>
          <w:lang w:val="en-US"/>
        </w:rPr>
        <w:t>Other current spending (on goods and services, which includes employment costs) takes the form of spending on services that are either ‘services to individuals’, which are by definition identifiable, or ‘collective services’, which, where they are delivered nationally, are not identifiable as benefiting individual regions.  The distinction between services to individuals and collective services is set out in the European System of Accounts (ESA) 95, which sets the framework for the UK National Accounts.</w:t>
      </w:r>
    </w:p>
    <w:p w:rsidR="00CD4C7D" w:rsidRDefault="00CD4C7D">
      <w:pPr>
        <w:numPr>
          <w:ilvl w:val="0"/>
          <w:numId w:val="11"/>
        </w:numPr>
        <w:spacing w:after="60" w:line="360" w:lineRule="auto"/>
        <w:rPr>
          <w:rFonts w:ascii="MS Reference Sans Serif" w:hAnsi="MS Reference Sans Serif" w:cs="Arial"/>
          <w:sz w:val="20"/>
          <w:lang w:val="en-US"/>
        </w:rPr>
      </w:pPr>
      <w:r>
        <w:rPr>
          <w:rFonts w:ascii="MS Reference Sans Serif" w:hAnsi="MS Reference Sans Serif" w:cs="Arial"/>
          <w:sz w:val="20"/>
          <w:lang w:val="en-US"/>
        </w:rPr>
        <w:t>ESA 95 (paragraph 3.85) states that, for goods and services provided by government, the borderline between individual versus collective goods and services is drawn on the basis of the Classifications of the Functions of Government (COFOG).  Expenditure on goods and services under the following COFOG functions is treated as services to individuals:</w:t>
      </w:r>
    </w:p>
    <w:p w:rsidR="00CD4C7D" w:rsidRDefault="00CD4C7D">
      <w:pPr>
        <w:pStyle w:val="NormalWeb"/>
        <w:numPr>
          <w:ilvl w:val="0"/>
          <w:numId w:val="24"/>
        </w:numPr>
        <w:spacing w:before="0" w:beforeAutospacing="0" w:after="0" w:afterAutospacing="0" w:line="360" w:lineRule="auto"/>
        <w:rPr>
          <w:rFonts w:ascii="MS Reference Sans Serif" w:hAnsi="MS Reference Sans Serif" w:cs="Arial"/>
          <w:sz w:val="20"/>
        </w:rPr>
      </w:pPr>
      <w:r>
        <w:rPr>
          <w:rFonts w:ascii="MS Reference Sans Serif" w:hAnsi="MS Reference Sans Serif" w:cs="Arial"/>
          <w:sz w:val="20"/>
        </w:rPr>
        <w:t>education;</w:t>
      </w:r>
    </w:p>
    <w:p w:rsidR="00CD4C7D" w:rsidRDefault="00CD4C7D">
      <w:pPr>
        <w:numPr>
          <w:ilvl w:val="0"/>
          <w:numId w:val="24"/>
        </w:numPr>
        <w:spacing w:line="360" w:lineRule="auto"/>
        <w:rPr>
          <w:rFonts w:ascii="MS Reference Sans Serif" w:hAnsi="MS Reference Sans Serif" w:cs="Arial"/>
          <w:sz w:val="20"/>
          <w:lang w:val="en-US"/>
        </w:rPr>
      </w:pPr>
      <w:r>
        <w:rPr>
          <w:rFonts w:ascii="MS Reference Sans Serif" w:hAnsi="MS Reference Sans Serif" w:cs="Arial"/>
          <w:sz w:val="20"/>
          <w:lang w:val="en-US"/>
        </w:rPr>
        <w:t>health;</w:t>
      </w:r>
    </w:p>
    <w:p w:rsidR="00CD4C7D" w:rsidRDefault="00CD4C7D">
      <w:pPr>
        <w:numPr>
          <w:ilvl w:val="0"/>
          <w:numId w:val="24"/>
        </w:numPr>
        <w:spacing w:line="360" w:lineRule="auto"/>
        <w:rPr>
          <w:rFonts w:ascii="MS Reference Sans Serif" w:hAnsi="MS Reference Sans Serif" w:cs="Arial"/>
          <w:sz w:val="20"/>
          <w:lang w:val="en-US"/>
        </w:rPr>
      </w:pPr>
      <w:r>
        <w:rPr>
          <w:rFonts w:ascii="MS Reference Sans Serif" w:hAnsi="MS Reference Sans Serif" w:cs="Arial"/>
          <w:sz w:val="20"/>
          <w:lang w:val="en-US"/>
        </w:rPr>
        <w:t>social security and welfare;</w:t>
      </w:r>
    </w:p>
    <w:p w:rsidR="00CD4C7D" w:rsidRDefault="00CD4C7D">
      <w:pPr>
        <w:numPr>
          <w:ilvl w:val="0"/>
          <w:numId w:val="24"/>
        </w:numPr>
        <w:spacing w:line="360" w:lineRule="auto"/>
        <w:rPr>
          <w:rFonts w:ascii="MS Reference Sans Serif" w:hAnsi="MS Reference Sans Serif" w:cs="Arial"/>
          <w:sz w:val="20"/>
          <w:lang w:val="en-US"/>
        </w:rPr>
      </w:pPr>
      <w:r>
        <w:rPr>
          <w:rFonts w:ascii="MS Reference Sans Serif" w:hAnsi="MS Reference Sans Serif" w:cs="Arial"/>
          <w:sz w:val="20"/>
          <w:lang w:val="en-US"/>
        </w:rPr>
        <w:t>sport and recreation;</w:t>
      </w:r>
    </w:p>
    <w:p w:rsidR="00CD4C7D" w:rsidRDefault="00CD4C7D">
      <w:pPr>
        <w:numPr>
          <w:ilvl w:val="0"/>
          <w:numId w:val="24"/>
        </w:numPr>
        <w:spacing w:line="360" w:lineRule="auto"/>
        <w:rPr>
          <w:rFonts w:ascii="MS Reference Sans Serif" w:hAnsi="MS Reference Sans Serif" w:cs="Arial"/>
          <w:sz w:val="20"/>
          <w:lang w:val="en-US"/>
        </w:rPr>
      </w:pPr>
      <w:r>
        <w:rPr>
          <w:rFonts w:ascii="MS Reference Sans Serif" w:hAnsi="MS Reference Sans Serif" w:cs="Arial"/>
          <w:sz w:val="20"/>
          <w:lang w:val="en-US"/>
        </w:rPr>
        <w:t>culture;</w:t>
      </w:r>
    </w:p>
    <w:p w:rsidR="00CD4C7D" w:rsidRDefault="00CD4C7D">
      <w:pPr>
        <w:numPr>
          <w:ilvl w:val="0"/>
          <w:numId w:val="24"/>
        </w:numPr>
        <w:spacing w:line="360" w:lineRule="auto"/>
        <w:rPr>
          <w:rFonts w:ascii="MS Reference Sans Serif" w:hAnsi="MS Reference Sans Serif" w:cs="Arial"/>
          <w:sz w:val="20"/>
          <w:lang w:val="en-US"/>
        </w:rPr>
      </w:pPr>
      <w:r>
        <w:rPr>
          <w:rFonts w:ascii="MS Reference Sans Serif" w:hAnsi="MS Reference Sans Serif" w:cs="Arial"/>
          <w:sz w:val="20"/>
          <w:lang w:val="en-US"/>
        </w:rPr>
        <w:t>provision of housing;</w:t>
      </w:r>
    </w:p>
    <w:p w:rsidR="00CD4C7D" w:rsidRDefault="00CD4C7D">
      <w:pPr>
        <w:numPr>
          <w:ilvl w:val="0"/>
          <w:numId w:val="24"/>
        </w:numPr>
        <w:spacing w:line="360" w:lineRule="auto"/>
        <w:rPr>
          <w:rFonts w:ascii="MS Reference Sans Serif" w:hAnsi="MS Reference Sans Serif" w:cs="Arial"/>
          <w:sz w:val="20"/>
          <w:lang w:val="en-US"/>
        </w:rPr>
      </w:pPr>
      <w:r>
        <w:rPr>
          <w:rFonts w:ascii="MS Reference Sans Serif" w:hAnsi="MS Reference Sans Serif" w:cs="Arial"/>
          <w:sz w:val="20"/>
          <w:lang w:val="en-US"/>
        </w:rPr>
        <w:t>collection of household waste; and</w:t>
      </w:r>
    </w:p>
    <w:p w:rsidR="00CD4C7D" w:rsidRDefault="00CD4C7D">
      <w:pPr>
        <w:numPr>
          <w:ilvl w:val="0"/>
          <w:numId w:val="24"/>
        </w:numPr>
        <w:spacing w:after="240" w:line="360" w:lineRule="auto"/>
        <w:rPr>
          <w:rFonts w:ascii="MS Reference Sans Serif" w:hAnsi="MS Reference Sans Serif" w:cs="Arial"/>
          <w:sz w:val="20"/>
          <w:lang w:val="en-US"/>
        </w:rPr>
      </w:pPr>
      <w:r>
        <w:rPr>
          <w:rFonts w:ascii="MS Reference Sans Serif" w:hAnsi="MS Reference Sans Serif" w:cs="Arial"/>
          <w:sz w:val="20"/>
          <w:lang w:val="en-US"/>
        </w:rPr>
        <w:t>operation of the transport system (public transport).</w:t>
      </w:r>
    </w:p>
    <w:p w:rsidR="00CD4C7D" w:rsidRDefault="00CD4C7D">
      <w:pPr>
        <w:numPr>
          <w:ilvl w:val="0"/>
          <w:numId w:val="11"/>
        </w:numPr>
        <w:spacing w:after="120" w:line="360" w:lineRule="auto"/>
        <w:rPr>
          <w:rFonts w:ascii="MS Reference Sans Serif" w:hAnsi="MS Reference Sans Serif" w:cs="Arial"/>
          <w:sz w:val="20"/>
          <w:lang w:val="en-US"/>
        </w:rPr>
      </w:pPr>
      <w:r>
        <w:rPr>
          <w:rFonts w:ascii="MS Reference Sans Serif" w:hAnsi="MS Reference Sans Serif" w:cs="Arial"/>
          <w:sz w:val="20"/>
          <w:lang w:val="en-US"/>
        </w:rPr>
        <w:t xml:space="preserve">Spending under other COFOG functions is generally treated as collective services. </w:t>
      </w:r>
    </w:p>
    <w:p w:rsidR="00CD4C7D" w:rsidRDefault="00CD4C7D">
      <w:pPr>
        <w:numPr>
          <w:ilvl w:val="0"/>
          <w:numId w:val="11"/>
        </w:numPr>
        <w:spacing w:after="60" w:line="360" w:lineRule="auto"/>
        <w:rPr>
          <w:rFonts w:ascii="MS Reference Sans Serif" w:hAnsi="MS Reference Sans Serif" w:cs="Arial"/>
          <w:sz w:val="20"/>
          <w:lang w:val="en-US"/>
        </w:rPr>
      </w:pPr>
      <w:r>
        <w:rPr>
          <w:rFonts w:ascii="MS Reference Sans Serif" w:hAnsi="MS Reference Sans Serif" w:cs="Arial"/>
          <w:sz w:val="20"/>
          <w:lang w:val="en-US"/>
        </w:rPr>
        <w:t>Where collective services are delivered nationally, then they are non-identifiable. National collective services include:</w:t>
      </w:r>
    </w:p>
    <w:p w:rsidR="00CD4C7D" w:rsidRDefault="00CD4C7D">
      <w:pPr>
        <w:numPr>
          <w:ilvl w:val="0"/>
          <w:numId w:val="25"/>
        </w:numPr>
        <w:spacing w:line="360" w:lineRule="auto"/>
        <w:rPr>
          <w:rFonts w:ascii="MS Reference Sans Serif" w:hAnsi="MS Reference Sans Serif" w:cs="Arial"/>
          <w:sz w:val="20"/>
          <w:lang w:val="en-US"/>
        </w:rPr>
      </w:pPr>
      <w:r>
        <w:rPr>
          <w:rFonts w:ascii="MS Reference Sans Serif" w:hAnsi="MS Reference Sans Serif" w:cs="Arial"/>
          <w:sz w:val="20"/>
          <w:lang w:val="en-US"/>
        </w:rPr>
        <w:t>management and regulation of society;</w:t>
      </w:r>
    </w:p>
    <w:p w:rsidR="00CD4C7D" w:rsidRDefault="00CD4C7D">
      <w:pPr>
        <w:numPr>
          <w:ilvl w:val="0"/>
          <w:numId w:val="25"/>
        </w:numPr>
        <w:spacing w:line="360" w:lineRule="auto"/>
        <w:rPr>
          <w:rFonts w:ascii="MS Reference Sans Serif" w:hAnsi="MS Reference Sans Serif" w:cs="Arial"/>
          <w:sz w:val="20"/>
          <w:lang w:val="en-US"/>
        </w:rPr>
      </w:pPr>
      <w:r>
        <w:rPr>
          <w:rFonts w:ascii="MS Reference Sans Serif" w:hAnsi="MS Reference Sans Serif" w:cs="Arial"/>
          <w:sz w:val="20"/>
          <w:lang w:val="en-US"/>
        </w:rPr>
        <w:t xml:space="preserve">provision of security and </w:t>
      </w:r>
      <w:r>
        <w:rPr>
          <w:rFonts w:ascii="MS Reference Sans Serif" w:hAnsi="MS Reference Sans Serif" w:cs="Arial"/>
          <w:sz w:val="20"/>
        </w:rPr>
        <w:t>defence;</w:t>
      </w:r>
    </w:p>
    <w:p w:rsidR="00CD4C7D" w:rsidRDefault="00CD4C7D">
      <w:pPr>
        <w:numPr>
          <w:ilvl w:val="0"/>
          <w:numId w:val="25"/>
        </w:numPr>
        <w:spacing w:line="360" w:lineRule="auto"/>
        <w:rPr>
          <w:rFonts w:ascii="MS Reference Sans Serif" w:hAnsi="MS Reference Sans Serif" w:cs="Arial"/>
          <w:sz w:val="20"/>
          <w:lang w:val="en-US"/>
        </w:rPr>
      </w:pPr>
      <w:r>
        <w:rPr>
          <w:rFonts w:ascii="MS Reference Sans Serif" w:hAnsi="MS Reference Sans Serif" w:cs="Arial"/>
          <w:sz w:val="20"/>
          <w:lang w:val="en-US"/>
        </w:rPr>
        <w:t>economic development; and</w:t>
      </w:r>
    </w:p>
    <w:p w:rsidR="00CD4C7D" w:rsidRDefault="00CD4C7D">
      <w:pPr>
        <w:numPr>
          <w:ilvl w:val="0"/>
          <w:numId w:val="25"/>
        </w:numPr>
        <w:spacing w:after="240" w:line="360" w:lineRule="auto"/>
        <w:rPr>
          <w:rFonts w:ascii="MS Reference Sans Serif" w:hAnsi="MS Reference Sans Serif" w:cs="Arial"/>
          <w:sz w:val="20"/>
          <w:lang w:val="en-US"/>
        </w:rPr>
      </w:pPr>
      <w:r>
        <w:rPr>
          <w:rFonts w:ascii="MS Reference Sans Serif" w:hAnsi="MS Reference Sans Serif" w:cs="Arial"/>
          <w:sz w:val="20"/>
          <w:lang w:val="en-US"/>
        </w:rPr>
        <w:t>tax collection.</w:t>
      </w:r>
    </w:p>
    <w:p w:rsidR="00CD4C7D" w:rsidRDefault="00CD4C7D">
      <w:pPr>
        <w:numPr>
          <w:ilvl w:val="0"/>
          <w:numId w:val="11"/>
        </w:numPr>
        <w:spacing w:after="60" w:line="360" w:lineRule="auto"/>
        <w:rPr>
          <w:rFonts w:ascii="MS Reference Sans Serif" w:hAnsi="MS Reference Sans Serif" w:cs="Arial"/>
          <w:sz w:val="20"/>
          <w:lang w:val="en-US"/>
        </w:rPr>
      </w:pPr>
      <w:r>
        <w:rPr>
          <w:rFonts w:ascii="MS Reference Sans Serif" w:hAnsi="MS Reference Sans Serif" w:cs="Arial"/>
          <w:sz w:val="20"/>
          <w:lang w:val="en-US"/>
        </w:rPr>
        <w:t xml:space="preserve">However, where collective services are delivered locally (within a region), and consumed for the most part locally (by the population of that region), then the Treasury proposes to treat </w:t>
      </w:r>
      <w:r>
        <w:rPr>
          <w:rFonts w:ascii="MS Reference Sans Serif" w:hAnsi="MS Reference Sans Serif" w:cs="Arial"/>
          <w:sz w:val="20"/>
          <w:lang w:val="en-US"/>
        </w:rPr>
        <w:lastRenderedPageBreak/>
        <w:t>such local collective services as identifiable, since they clearly benefit the region in which the service is consumed.  Examples of such local collective services which are consumed locally and are therefore treated as identifiable include:</w:t>
      </w:r>
    </w:p>
    <w:p w:rsidR="00CD4C7D" w:rsidRDefault="00CD4C7D">
      <w:pPr>
        <w:pStyle w:val="NormalWeb"/>
        <w:numPr>
          <w:ilvl w:val="0"/>
          <w:numId w:val="23"/>
        </w:numPr>
        <w:spacing w:before="0" w:beforeAutospacing="0" w:after="0" w:afterAutospacing="0" w:line="360" w:lineRule="auto"/>
        <w:rPr>
          <w:rFonts w:ascii="MS Reference Sans Serif" w:hAnsi="MS Reference Sans Serif" w:cs="Arial"/>
          <w:sz w:val="20"/>
        </w:rPr>
      </w:pPr>
      <w:r>
        <w:rPr>
          <w:rFonts w:ascii="MS Reference Sans Serif" w:hAnsi="MS Reference Sans Serif" w:cs="Arial"/>
          <w:sz w:val="20"/>
        </w:rPr>
        <w:t>all local authority spending;</w:t>
      </w:r>
    </w:p>
    <w:p w:rsidR="00CD4C7D" w:rsidRDefault="00CD4C7D">
      <w:pPr>
        <w:numPr>
          <w:ilvl w:val="0"/>
          <w:numId w:val="23"/>
        </w:numPr>
        <w:spacing w:line="360" w:lineRule="auto"/>
        <w:rPr>
          <w:rFonts w:ascii="MS Reference Sans Serif" w:hAnsi="MS Reference Sans Serif" w:cs="Arial"/>
          <w:sz w:val="20"/>
          <w:lang w:val="en-US"/>
        </w:rPr>
      </w:pPr>
      <w:r>
        <w:rPr>
          <w:rFonts w:ascii="MS Reference Sans Serif" w:hAnsi="MS Reference Sans Serif" w:cs="Arial"/>
          <w:sz w:val="20"/>
          <w:lang w:val="en-US"/>
        </w:rPr>
        <w:t>central government spending on Regional Development Agencies;</w:t>
      </w:r>
    </w:p>
    <w:p w:rsidR="00CD4C7D" w:rsidRDefault="00CD4C7D">
      <w:pPr>
        <w:numPr>
          <w:ilvl w:val="0"/>
          <w:numId w:val="23"/>
        </w:numPr>
        <w:spacing w:line="360" w:lineRule="auto"/>
        <w:rPr>
          <w:rFonts w:ascii="MS Reference Sans Serif" w:hAnsi="MS Reference Sans Serif" w:cs="Arial"/>
          <w:sz w:val="20"/>
          <w:lang w:val="en-US"/>
        </w:rPr>
      </w:pPr>
      <w:r>
        <w:rPr>
          <w:rFonts w:ascii="MS Reference Sans Serif" w:hAnsi="MS Reference Sans Serif" w:cs="Arial"/>
          <w:sz w:val="20"/>
          <w:lang w:val="en-US"/>
        </w:rPr>
        <w:t>central government spending on police and local courts; and</w:t>
      </w:r>
    </w:p>
    <w:p w:rsidR="00CD4C7D" w:rsidRDefault="00CD4C7D">
      <w:pPr>
        <w:numPr>
          <w:ilvl w:val="0"/>
          <w:numId w:val="23"/>
        </w:numPr>
        <w:spacing w:after="240" w:line="360" w:lineRule="auto"/>
        <w:rPr>
          <w:rFonts w:ascii="MS Reference Sans Serif" w:hAnsi="MS Reference Sans Serif" w:cs="Arial"/>
          <w:sz w:val="20"/>
          <w:lang w:val="en-US"/>
        </w:rPr>
      </w:pPr>
      <w:r>
        <w:rPr>
          <w:rFonts w:ascii="MS Reference Sans Serif" w:hAnsi="MS Reference Sans Serif" w:cs="Arial"/>
          <w:sz w:val="20"/>
          <w:lang w:val="en-US"/>
        </w:rPr>
        <w:t>overseas aid (delivered and consumed outside the UK).</w:t>
      </w:r>
    </w:p>
    <w:p w:rsidR="00CD4C7D" w:rsidRDefault="00CD4C7D">
      <w:pPr>
        <w:numPr>
          <w:ilvl w:val="0"/>
          <w:numId w:val="11"/>
        </w:numPr>
        <w:spacing w:line="360" w:lineRule="auto"/>
        <w:jc w:val="both"/>
        <w:rPr>
          <w:rFonts w:ascii="MS Reference Sans Serif" w:hAnsi="MS Reference Sans Serif" w:cs="Arial"/>
          <w:sz w:val="20"/>
          <w:lang w:val="en-US"/>
        </w:rPr>
      </w:pPr>
      <w:r>
        <w:rPr>
          <w:rFonts w:ascii="MS Reference Sans Serif" w:hAnsi="MS Reference Sans Serif" w:cs="Arial"/>
          <w:sz w:val="20"/>
          <w:lang w:val="en-US"/>
        </w:rPr>
        <w:t>Additionally, the Treasury identifies collective services expenditure as identifiable where there is equivalent spending in the Devolved Administrations.  Previously a small amount of this was treated as non-identifiable.  Examples of such collective services are:</w:t>
      </w:r>
    </w:p>
    <w:p w:rsidR="00CD4C7D" w:rsidRDefault="00CD4C7D">
      <w:pPr>
        <w:numPr>
          <w:ilvl w:val="0"/>
          <w:numId w:val="26"/>
        </w:numPr>
        <w:spacing w:line="360" w:lineRule="auto"/>
        <w:jc w:val="both"/>
        <w:rPr>
          <w:rFonts w:ascii="MS Reference Sans Serif" w:hAnsi="MS Reference Sans Serif" w:cs="Arial"/>
          <w:sz w:val="20"/>
          <w:lang w:val="en-US"/>
        </w:rPr>
      </w:pPr>
      <w:r>
        <w:rPr>
          <w:rFonts w:ascii="MS Reference Sans Serif" w:hAnsi="MS Reference Sans Serif" w:cs="Arial"/>
          <w:sz w:val="20"/>
          <w:lang w:val="en-US"/>
        </w:rPr>
        <w:t>spending on high courts; and</w:t>
      </w:r>
    </w:p>
    <w:p w:rsidR="00CD4C7D" w:rsidRDefault="00CD4C7D">
      <w:pPr>
        <w:numPr>
          <w:ilvl w:val="0"/>
          <w:numId w:val="26"/>
        </w:numPr>
        <w:spacing w:line="360" w:lineRule="auto"/>
        <w:jc w:val="both"/>
        <w:rPr>
          <w:rFonts w:ascii="MS Reference Sans Serif" w:hAnsi="MS Reference Sans Serif" w:cs="Arial"/>
          <w:sz w:val="20"/>
          <w:lang w:val="en-US"/>
        </w:rPr>
      </w:pPr>
      <w:r>
        <w:rPr>
          <w:rFonts w:ascii="MS Reference Sans Serif" w:hAnsi="MS Reference Sans Serif" w:cs="Arial"/>
          <w:sz w:val="20"/>
          <w:lang w:val="en-US"/>
        </w:rPr>
        <w:t>spending on prisons.</w:t>
      </w:r>
    </w:p>
    <w:p w:rsidR="00CD4C7D" w:rsidRDefault="00CD4C7D">
      <w:pPr>
        <w:spacing w:line="360" w:lineRule="auto"/>
        <w:rPr>
          <w:rFonts w:ascii="MS Reference Sans Serif" w:hAnsi="MS Reference Sans Serif" w:cs="Arial"/>
          <w:sz w:val="20"/>
          <w:lang w:val="en-US"/>
        </w:rPr>
      </w:pPr>
    </w:p>
    <w:p w:rsidR="00CD4C7D" w:rsidRDefault="00CD4C7D">
      <w:pPr>
        <w:numPr>
          <w:ilvl w:val="0"/>
          <w:numId w:val="11"/>
        </w:numPr>
        <w:spacing w:line="360" w:lineRule="auto"/>
        <w:rPr>
          <w:rFonts w:ascii="MS Reference Sans Serif" w:hAnsi="MS Reference Sans Serif" w:cs="Arial"/>
          <w:sz w:val="20"/>
          <w:lang w:val="en-US"/>
        </w:rPr>
      </w:pPr>
      <w:r>
        <w:rPr>
          <w:rFonts w:ascii="MS Reference Sans Serif" w:hAnsi="MS Reference Sans Serif" w:cs="Arial"/>
          <w:sz w:val="20"/>
          <w:lang w:val="en-US"/>
        </w:rPr>
        <w:t xml:space="preserve"> Examples of collective services that are delivered locally but which are not consumed locally, and which are therefore treated as non-identifiable include:</w:t>
      </w:r>
    </w:p>
    <w:p w:rsidR="00CD4C7D" w:rsidRDefault="00CD4C7D">
      <w:pPr>
        <w:numPr>
          <w:ilvl w:val="0"/>
          <w:numId w:val="27"/>
        </w:numPr>
        <w:spacing w:line="360" w:lineRule="auto"/>
        <w:jc w:val="both"/>
        <w:rPr>
          <w:rFonts w:ascii="MS Reference Sans Serif" w:hAnsi="MS Reference Sans Serif" w:cs="Arial"/>
          <w:sz w:val="20"/>
          <w:lang w:val="en-US"/>
        </w:rPr>
      </w:pPr>
      <w:r>
        <w:rPr>
          <w:rFonts w:ascii="MS Reference Sans Serif" w:hAnsi="MS Reference Sans Serif" w:cs="Arial"/>
          <w:sz w:val="20"/>
          <w:lang w:val="en-US"/>
        </w:rPr>
        <w:t>spending on immigration and nationality; and</w:t>
      </w:r>
    </w:p>
    <w:p w:rsidR="00CD4C7D" w:rsidRDefault="00CD4C7D">
      <w:pPr>
        <w:numPr>
          <w:ilvl w:val="0"/>
          <w:numId w:val="27"/>
        </w:numPr>
        <w:spacing w:line="360" w:lineRule="auto"/>
        <w:jc w:val="both"/>
        <w:rPr>
          <w:rFonts w:ascii="MS Reference Sans Serif" w:hAnsi="MS Reference Sans Serif" w:cs="Arial"/>
          <w:sz w:val="20"/>
          <w:lang w:val="en-US"/>
        </w:rPr>
      </w:pPr>
      <w:r>
        <w:rPr>
          <w:rFonts w:ascii="MS Reference Sans Serif" w:hAnsi="MS Reference Sans Serif" w:cs="Arial"/>
          <w:sz w:val="20"/>
          <w:lang w:val="en-US"/>
        </w:rPr>
        <w:t>spending on the maritime and coastguard agency.</w:t>
      </w:r>
    </w:p>
    <w:p w:rsidR="00CD4C7D" w:rsidRDefault="00CD4C7D">
      <w:pPr>
        <w:spacing w:line="360" w:lineRule="auto"/>
        <w:rPr>
          <w:rFonts w:ascii="MS Reference Sans Serif" w:hAnsi="MS Reference Sans Serif" w:cs="Arial"/>
          <w:sz w:val="20"/>
          <w:lang w:val="en-US"/>
        </w:rPr>
      </w:pPr>
    </w:p>
    <w:p w:rsidR="00CD4C7D" w:rsidRDefault="00CD4C7D">
      <w:pPr>
        <w:numPr>
          <w:ilvl w:val="0"/>
          <w:numId w:val="11"/>
        </w:numPr>
        <w:spacing w:after="240" w:line="360" w:lineRule="auto"/>
        <w:rPr>
          <w:rFonts w:ascii="MS Reference Sans Serif" w:hAnsi="MS Reference Sans Serif" w:cs="Arial"/>
          <w:sz w:val="20"/>
          <w:lang w:val="en-US"/>
        </w:rPr>
      </w:pPr>
      <w:r>
        <w:rPr>
          <w:rFonts w:ascii="MS Reference Sans Serif" w:hAnsi="MS Reference Sans Serif" w:cs="Arial"/>
          <w:sz w:val="20"/>
          <w:lang w:val="en-US"/>
        </w:rPr>
        <w:t xml:space="preserve"> The Treasury proposes that spending on administration and corporate services, including policy formulation, should be classified in the same way as the service it supports.  So, for instance, administration and corporate services spending on social security and welfare would be treated as identifiable, and distributed pro-rata to the regional distribution of the delivery of social security and welfare.  But administration and corporate service spending on tax collection would be treated as non-identifiable.</w:t>
      </w:r>
    </w:p>
    <w:p w:rsidR="00CD4C7D" w:rsidRDefault="00CD4C7D">
      <w:pPr>
        <w:pStyle w:val="Heading2"/>
        <w:spacing w:line="360" w:lineRule="auto"/>
        <w:rPr>
          <w:rFonts w:ascii="MS Reference Sans Serif" w:hAnsi="MS Reference Sans Serif"/>
          <w:sz w:val="20"/>
        </w:rPr>
      </w:pPr>
      <w:bookmarkStart w:id="4" w:name="_Toc245204032"/>
      <w:r>
        <w:rPr>
          <w:rFonts w:ascii="MS Reference Sans Serif" w:hAnsi="MS Reference Sans Serif"/>
          <w:sz w:val="20"/>
        </w:rPr>
        <w:t>2.3 Other capital spending</w:t>
      </w:r>
      <w:bookmarkEnd w:id="4"/>
      <w:r>
        <w:rPr>
          <w:rFonts w:ascii="MS Reference Sans Serif" w:hAnsi="MS Reference Sans Serif"/>
          <w:sz w:val="20"/>
        </w:rPr>
        <w:t xml:space="preserve"> </w:t>
      </w:r>
    </w:p>
    <w:p w:rsidR="00CD4C7D" w:rsidRDefault="00CD4C7D">
      <w:pPr>
        <w:pStyle w:val="NormalWeb"/>
        <w:numPr>
          <w:ilvl w:val="0"/>
          <w:numId w:val="11"/>
        </w:numPr>
        <w:spacing w:before="0" w:beforeAutospacing="0" w:after="240" w:afterAutospacing="0" w:line="360" w:lineRule="auto"/>
        <w:rPr>
          <w:rFonts w:ascii="MS Reference Sans Serif" w:hAnsi="MS Reference Sans Serif" w:cs="Arial"/>
          <w:sz w:val="20"/>
        </w:rPr>
      </w:pPr>
      <w:r>
        <w:rPr>
          <w:rFonts w:ascii="MS Reference Sans Serif" w:hAnsi="MS Reference Sans Serif" w:cs="Arial"/>
          <w:sz w:val="20"/>
        </w:rPr>
        <w:t xml:space="preserve">Capital spending (other than capital grants, which are transfer payments) includes purchases of capital assets, net of asset sales, and a small amount of stock building.  The Treasury proposes that capital spending should be classified in the same way as the service it supports.  This means that capital spending in support of collective services delivered nationally will be classified as non-identifiable, in the same way that current spending on these services is classified.  </w:t>
      </w:r>
    </w:p>
    <w:p w:rsidR="00CD4C7D" w:rsidRDefault="00CD4C7D">
      <w:pPr>
        <w:pStyle w:val="Heading1"/>
      </w:pPr>
      <w:r>
        <w:br w:type="page"/>
      </w:r>
      <w:bookmarkStart w:id="5" w:name="_Toc245204033"/>
      <w:r>
        <w:lastRenderedPageBreak/>
        <w:t>3. Summary</w:t>
      </w:r>
      <w:bookmarkEnd w:id="5"/>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6"/>
        <w:gridCol w:w="3774"/>
        <w:gridCol w:w="3442"/>
      </w:tblGrid>
      <w:tr w:rsidR="00CD4C7D">
        <w:tblPrEx>
          <w:tblCellMar>
            <w:top w:w="0" w:type="dxa"/>
            <w:bottom w:w="0" w:type="dxa"/>
          </w:tblCellMar>
        </w:tblPrEx>
        <w:trPr>
          <w:trHeight w:val="283"/>
        </w:trPr>
        <w:tc>
          <w:tcPr>
            <w:tcW w:w="2627" w:type="dxa"/>
            <w:shd w:val="clear" w:color="auto" w:fill="F3F3F3"/>
          </w:tcPr>
          <w:p w:rsidR="00CD4C7D" w:rsidRDefault="00CD4C7D">
            <w:pPr>
              <w:spacing w:after="120"/>
              <w:rPr>
                <w:rFonts w:ascii="MS Reference Sans Serif" w:hAnsi="MS Reference Sans Serif" w:cs="Arial"/>
                <w:sz w:val="18"/>
                <w:lang w:val="en-US"/>
              </w:rPr>
            </w:pPr>
          </w:p>
        </w:tc>
        <w:tc>
          <w:tcPr>
            <w:tcW w:w="3776" w:type="dxa"/>
            <w:shd w:val="clear" w:color="auto" w:fill="F3F3F3"/>
          </w:tcPr>
          <w:p w:rsidR="00CD4C7D" w:rsidRDefault="00CD4C7D">
            <w:pPr>
              <w:spacing w:after="60"/>
              <w:rPr>
                <w:rFonts w:ascii="MS Reference Sans Serif" w:hAnsi="MS Reference Sans Serif" w:cs="Arial"/>
                <w:b/>
                <w:bCs/>
                <w:sz w:val="18"/>
                <w:lang w:val="en-US"/>
              </w:rPr>
            </w:pPr>
            <w:r>
              <w:rPr>
                <w:rFonts w:ascii="MS Reference Sans Serif" w:hAnsi="MS Reference Sans Serif" w:cs="Arial"/>
                <w:b/>
                <w:bCs/>
                <w:sz w:val="18"/>
                <w:lang w:val="en-US"/>
              </w:rPr>
              <w:t>Identifiable</w:t>
            </w:r>
          </w:p>
        </w:tc>
        <w:tc>
          <w:tcPr>
            <w:tcW w:w="3443" w:type="dxa"/>
            <w:shd w:val="clear" w:color="auto" w:fill="F3F3F3"/>
          </w:tcPr>
          <w:p w:rsidR="00CD4C7D" w:rsidRDefault="00CD4C7D">
            <w:pPr>
              <w:spacing w:after="60"/>
              <w:rPr>
                <w:rFonts w:ascii="MS Reference Sans Serif" w:hAnsi="MS Reference Sans Serif" w:cs="Arial"/>
                <w:b/>
                <w:bCs/>
                <w:sz w:val="18"/>
                <w:lang w:val="en-US"/>
              </w:rPr>
            </w:pPr>
            <w:r>
              <w:rPr>
                <w:rFonts w:ascii="MS Reference Sans Serif" w:hAnsi="MS Reference Sans Serif" w:cs="Arial"/>
                <w:b/>
                <w:bCs/>
                <w:sz w:val="18"/>
                <w:lang w:val="en-US"/>
              </w:rPr>
              <w:t>Non-identifiable</w:t>
            </w:r>
          </w:p>
        </w:tc>
      </w:tr>
      <w:tr w:rsidR="00CD4C7D">
        <w:tblPrEx>
          <w:tblCellMar>
            <w:top w:w="0" w:type="dxa"/>
            <w:bottom w:w="0" w:type="dxa"/>
          </w:tblCellMar>
        </w:tblPrEx>
        <w:tc>
          <w:tcPr>
            <w:tcW w:w="2627" w:type="dxa"/>
            <w:shd w:val="clear" w:color="auto" w:fill="F3F3F3"/>
          </w:tcPr>
          <w:p w:rsidR="00CD4C7D" w:rsidRDefault="00CD4C7D">
            <w:pPr>
              <w:spacing w:after="120"/>
              <w:rPr>
                <w:rFonts w:ascii="MS Reference Sans Serif" w:hAnsi="MS Reference Sans Serif" w:cs="Arial"/>
                <w:sz w:val="18"/>
                <w:lang w:val="en-US"/>
              </w:rPr>
            </w:pPr>
            <w:r>
              <w:rPr>
                <w:rFonts w:ascii="MS Reference Sans Serif" w:hAnsi="MS Reference Sans Serif" w:cs="Arial"/>
                <w:b/>
                <w:bCs/>
                <w:sz w:val="18"/>
                <w:lang w:val="en-US"/>
              </w:rPr>
              <w:t>Transfer payments</w:t>
            </w:r>
            <w:r>
              <w:rPr>
                <w:rFonts w:ascii="MS Reference Sans Serif" w:hAnsi="MS Reference Sans Serif" w:cs="Arial"/>
                <w:sz w:val="18"/>
                <w:lang w:val="en-US"/>
              </w:rPr>
              <w:t xml:space="preserve"> (subsidies, current grants and capital grants)</w:t>
            </w:r>
          </w:p>
        </w:tc>
        <w:tc>
          <w:tcPr>
            <w:tcW w:w="3776" w:type="dxa"/>
          </w:tcPr>
          <w:p w:rsidR="00CD4C7D" w:rsidRDefault="00CD4C7D">
            <w:pPr>
              <w:spacing w:after="120"/>
              <w:rPr>
                <w:rFonts w:ascii="MS Reference Sans Serif" w:hAnsi="MS Reference Sans Serif" w:cs="Arial"/>
                <w:sz w:val="18"/>
                <w:lang w:val="en-US"/>
              </w:rPr>
            </w:pPr>
            <w:r>
              <w:rPr>
                <w:rFonts w:ascii="MS Reference Sans Serif" w:hAnsi="MS Reference Sans Serif" w:cs="Arial"/>
                <w:sz w:val="18"/>
                <w:lang w:val="en-US"/>
              </w:rPr>
              <w:t>All transfer payments except some current transfers abroad.</w:t>
            </w:r>
          </w:p>
        </w:tc>
        <w:tc>
          <w:tcPr>
            <w:tcW w:w="3443" w:type="dxa"/>
          </w:tcPr>
          <w:p w:rsidR="00CD4C7D" w:rsidRDefault="00CD4C7D">
            <w:pPr>
              <w:spacing w:after="120"/>
              <w:rPr>
                <w:rFonts w:ascii="MS Reference Sans Serif" w:hAnsi="MS Reference Sans Serif" w:cs="Arial"/>
                <w:sz w:val="18"/>
                <w:lang w:val="en-US"/>
              </w:rPr>
            </w:pPr>
            <w:r>
              <w:rPr>
                <w:rFonts w:ascii="MS Reference Sans Serif" w:hAnsi="MS Reference Sans Serif" w:cs="Arial"/>
                <w:sz w:val="18"/>
                <w:lang w:val="en-US"/>
              </w:rPr>
              <w:t xml:space="preserve">Some </w:t>
            </w:r>
            <w:r>
              <w:rPr>
                <w:rFonts w:ascii="MS Reference Sans Serif" w:hAnsi="MS Reference Sans Serif" w:cs="Arial"/>
                <w:i/>
                <w:iCs/>
                <w:sz w:val="18"/>
                <w:lang w:val="en-US"/>
              </w:rPr>
              <w:t>current transfers abroad</w:t>
            </w:r>
            <w:r>
              <w:rPr>
                <w:rFonts w:ascii="MS Reference Sans Serif" w:hAnsi="MS Reference Sans Serif" w:cs="Arial"/>
                <w:sz w:val="18"/>
                <w:lang w:val="en-US"/>
              </w:rPr>
              <w:t xml:space="preserve"> that are for the </w:t>
            </w:r>
            <w:r>
              <w:rPr>
                <w:rFonts w:ascii="MS Reference Sans Serif" w:hAnsi="MS Reference Sans Serif" w:cs="Arial"/>
                <w:sz w:val="18"/>
                <w:u w:val="single"/>
                <w:lang w:val="en-US"/>
              </w:rPr>
              <w:t>direct</w:t>
            </w:r>
            <w:r>
              <w:rPr>
                <w:rFonts w:ascii="MS Reference Sans Serif" w:hAnsi="MS Reference Sans Serif" w:cs="Arial"/>
                <w:sz w:val="18"/>
                <w:lang w:val="en-US"/>
              </w:rPr>
              <w:t xml:space="preserve"> benefit of the UK.</w:t>
            </w:r>
          </w:p>
        </w:tc>
      </w:tr>
      <w:tr w:rsidR="00CD4C7D">
        <w:tblPrEx>
          <w:tblCellMar>
            <w:top w:w="0" w:type="dxa"/>
            <w:bottom w:w="0" w:type="dxa"/>
          </w:tblCellMar>
        </w:tblPrEx>
        <w:trPr>
          <w:cantSplit/>
          <w:trHeight w:val="70"/>
        </w:trPr>
        <w:tc>
          <w:tcPr>
            <w:tcW w:w="2627" w:type="dxa"/>
            <w:vMerge w:val="restart"/>
            <w:shd w:val="clear" w:color="auto" w:fill="F3F3F3"/>
          </w:tcPr>
          <w:p w:rsidR="00CD4C7D" w:rsidRDefault="00CD4C7D">
            <w:pPr>
              <w:pStyle w:val="BodyText"/>
              <w:rPr>
                <w:sz w:val="18"/>
              </w:rPr>
            </w:pPr>
            <w:r>
              <w:rPr>
                <w:sz w:val="18"/>
              </w:rPr>
              <w:t>Other current expenditure</w:t>
            </w:r>
          </w:p>
          <w:p w:rsidR="00CD4C7D" w:rsidRDefault="00CD4C7D">
            <w:pPr>
              <w:pStyle w:val="FootnoteText"/>
              <w:spacing w:after="120"/>
              <w:rPr>
                <w:rFonts w:ascii="MS Reference Sans Serif" w:hAnsi="MS Reference Sans Serif" w:cs="Arial"/>
                <w:sz w:val="18"/>
                <w:szCs w:val="24"/>
                <w:lang w:val="en-US"/>
              </w:rPr>
            </w:pPr>
            <w:r>
              <w:rPr>
                <w:rFonts w:ascii="MS Reference Sans Serif" w:hAnsi="MS Reference Sans Serif" w:cs="Arial"/>
                <w:sz w:val="18"/>
                <w:szCs w:val="24"/>
                <w:lang w:val="en-US"/>
              </w:rPr>
              <w:t>(spending on goods and services, including employment)</w:t>
            </w:r>
          </w:p>
        </w:tc>
        <w:tc>
          <w:tcPr>
            <w:tcW w:w="3776" w:type="dxa"/>
          </w:tcPr>
          <w:p w:rsidR="00CD4C7D" w:rsidRDefault="00CD4C7D">
            <w:pPr>
              <w:spacing w:after="60"/>
              <w:rPr>
                <w:rFonts w:ascii="MS Reference Sans Serif" w:hAnsi="MS Reference Sans Serif" w:cs="Arial"/>
                <w:sz w:val="18"/>
                <w:lang w:val="en-US"/>
              </w:rPr>
            </w:pPr>
            <w:r>
              <w:rPr>
                <w:rFonts w:ascii="MS Reference Sans Serif" w:hAnsi="MS Reference Sans Serif" w:cs="Arial"/>
                <w:i/>
                <w:iCs/>
                <w:sz w:val="18"/>
                <w:lang w:val="en-US"/>
              </w:rPr>
              <w:t>Services to individuals</w:t>
            </w:r>
            <w:r>
              <w:rPr>
                <w:rFonts w:ascii="MS Reference Sans Serif" w:hAnsi="MS Reference Sans Serif" w:cs="Arial"/>
                <w:sz w:val="18"/>
                <w:lang w:val="en-US"/>
              </w:rPr>
              <w:t xml:space="preserve">. </w:t>
            </w:r>
          </w:p>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Includes certain COFOG categories:</w:t>
            </w:r>
          </w:p>
          <w:p w:rsidR="00CD4C7D" w:rsidRDefault="00CD4C7D">
            <w:pPr>
              <w:numPr>
                <w:ilvl w:val="0"/>
                <w:numId w:val="4"/>
              </w:numPr>
              <w:tabs>
                <w:tab w:val="clear" w:pos="720"/>
              </w:tabs>
              <w:ind w:left="496"/>
              <w:rPr>
                <w:rFonts w:ascii="MS Reference Sans Serif" w:hAnsi="MS Reference Sans Serif" w:cs="Arial"/>
                <w:sz w:val="18"/>
                <w:lang w:val="en-US"/>
              </w:rPr>
            </w:pPr>
            <w:r>
              <w:rPr>
                <w:rFonts w:ascii="MS Reference Sans Serif" w:hAnsi="MS Reference Sans Serif" w:cs="Arial"/>
                <w:sz w:val="18"/>
                <w:lang w:val="en-US"/>
              </w:rPr>
              <w:t>Education</w:t>
            </w:r>
          </w:p>
          <w:p w:rsidR="00CD4C7D" w:rsidRDefault="00CD4C7D">
            <w:pPr>
              <w:numPr>
                <w:ilvl w:val="0"/>
                <w:numId w:val="4"/>
              </w:numPr>
              <w:tabs>
                <w:tab w:val="clear" w:pos="720"/>
              </w:tabs>
              <w:ind w:left="496"/>
              <w:rPr>
                <w:rFonts w:ascii="MS Reference Sans Serif" w:hAnsi="MS Reference Sans Serif" w:cs="Arial"/>
                <w:sz w:val="18"/>
                <w:lang w:val="en-US"/>
              </w:rPr>
            </w:pPr>
            <w:r>
              <w:rPr>
                <w:rFonts w:ascii="MS Reference Sans Serif" w:hAnsi="MS Reference Sans Serif" w:cs="Arial"/>
                <w:sz w:val="18"/>
                <w:lang w:val="en-US"/>
              </w:rPr>
              <w:t>Health</w:t>
            </w:r>
          </w:p>
          <w:p w:rsidR="00CD4C7D" w:rsidRDefault="00CD4C7D">
            <w:pPr>
              <w:numPr>
                <w:ilvl w:val="0"/>
                <w:numId w:val="4"/>
              </w:numPr>
              <w:tabs>
                <w:tab w:val="clear" w:pos="720"/>
              </w:tabs>
              <w:ind w:left="496"/>
              <w:rPr>
                <w:rFonts w:ascii="MS Reference Sans Serif" w:hAnsi="MS Reference Sans Serif" w:cs="Arial"/>
                <w:sz w:val="18"/>
                <w:lang w:val="en-US"/>
              </w:rPr>
            </w:pPr>
            <w:r>
              <w:rPr>
                <w:rFonts w:ascii="MS Reference Sans Serif" w:hAnsi="MS Reference Sans Serif" w:cs="Arial"/>
                <w:sz w:val="18"/>
                <w:lang w:val="en-US"/>
              </w:rPr>
              <w:t>Social security and welfare</w:t>
            </w:r>
          </w:p>
          <w:p w:rsidR="00CD4C7D" w:rsidRDefault="00CD4C7D">
            <w:pPr>
              <w:numPr>
                <w:ilvl w:val="0"/>
                <w:numId w:val="4"/>
              </w:numPr>
              <w:tabs>
                <w:tab w:val="clear" w:pos="720"/>
              </w:tabs>
              <w:ind w:left="496"/>
              <w:rPr>
                <w:rFonts w:ascii="MS Reference Sans Serif" w:hAnsi="MS Reference Sans Serif" w:cs="Arial"/>
                <w:sz w:val="18"/>
                <w:lang w:val="en-US"/>
              </w:rPr>
            </w:pPr>
            <w:r>
              <w:rPr>
                <w:rFonts w:ascii="MS Reference Sans Serif" w:hAnsi="MS Reference Sans Serif" w:cs="Arial"/>
                <w:sz w:val="18"/>
                <w:lang w:val="en-US"/>
              </w:rPr>
              <w:t>Sport and recreation</w:t>
            </w:r>
          </w:p>
          <w:p w:rsidR="00CD4C7D" w:rsidRDefault="00CD4C7D">
            <w:pPr>
              <w:numPr>
                <w:ilvl w:val="0"/>
                <w:numId w:val="4"/>
              </w:numPr>
              <w:tabs>
                <w:tab w:val="clear" w:pos="720"/>
              </w:tabs>
              <w:ind w:left="496"/>
              <w:rPr>
                <w:rFonts w:ascii="MS Reference Sans Serif" w:hAnsi="MS Reference Sans Serif" w:cs="Arial"/>
                <w:sz w:val="18"/>
                <w:lang w:val="en-US"/>
              </w:rPr>
            </w:pPr>
            <w:r>
              <w:rPr>
                <w:rFonts w:ascii="MS Reference Sans Serif" w:hAnsi="MS Reference Sans Serif" w:cs="Arial"/>
                <w:sz w:val="18"/>
                <w:lang w:val="en-US"/>
              </w:rPr>
              <w:t>Culture</w:t>
            </w:r>
          </w:p>
          <w:p w:rsidR="00CD4C7D" w:rsidRDefault="00CD4C7D">
            <w:pPr>
              <w:numPr>
                <w:ilvl w:val="0"/>
                <w:numId w:val="4"/>
              </w:numPr>
              <w:tabs>
                <w:tab w:val="clear" w:pos="720"/>
              </w:tabs>
              <w:ind w:left="496"/>
              <w:rPr>
                <w:rFonts w:ascii="MS Reference Sans Serif" w:hAnsi="MS Reference Sans Serif" w:cs="Arial"/>
                <w:sz w:val="18"/>
                <w:lang w:val="en-US"/>
              </w:rPr>
            </w:pPr>
            <w:r>
              <w:rPr>
                <w:rFonts w:ascii="MS Reference Sans Serif" w:hAnsi="MS Reference Sans Serif" w:cs="Arial"/>
                <w:sz w:val="18"/>
                <w:lang w:val="en-US"/>
              </w:rPr>
              <w:t>Housing</w:t>
            </w:r>
          </w:p>
          <w:p w:rsidR="00CD4C7D" w:rsidRDefault="00CD4C7D">
            <w:pPr>
              <w:numPr>
                <w:ilvl w:val="0"/>
                <w:numId w:val="4"/>
              </w:numPr>
              <w:tabs>
                <w:tab w:val="clear" w:pos="720"/>
              </w:tabs>
              <w:ind w:left="493" w:hanging="357"/>
              <w:rPr>
                <w:rFonts w:ascii="MS Reference Sans Serif" w:hAnsi="MS Reference Sans Serif" w:cs="Arial"/>
                <w:sz w:val="18"/>
                <w:lang w:val="en-US"/>
              </w:rPr>
            </w:pPr>
            <w:r>
              <w:rPr>
                <w:rFonts w:ascii="MS Reference Sans Serif" w:hAnsi="MS Reference Sans Serif" w:cs="Arial"/>
                <w:sz w:val="18"/>
                <w:lang w:val="en-US"/>
              </w:rPr>
              <w:t>Household waste collection</w:t>
            </w:r>
          </w:p>
          <w:p w:rsidR="00CD4C7D" w:rsidRDefault="00CD4C7D">
            <w:pPr>
              <w:numPr>
                <w:ilvl w:val="0"/>
                <w:numId w:val="4"/>
              </w:numPr>
              <w:tabs>
                <w:tab w:val="clear" w:pos="720"/>
              </w:tabs>
              <w:ind w:left="493" w:hanging="357"/>
              <w:rPr>
                <w:rFonts w:ascii="MS Reference Sans Serif" w:hAnsi="MS Reference Sans Serif" w:cs="Arial"/>
                <w:sz w:val="18"/>
                <w:lang w:val="en-US"/>
              </w:rPr>
            </w:pPr>
            <w:r>
              <w:rPr>
                <w:rFonts w:ascii="MS Reference Sans Serif" w:hAnsi="MS Reference Sans Serif" w:cs="Arial"/>
                <w:sz w:val="18"/>
                <w:lang w:val="en-US"/>
              </w:rPr>
              <w:t>Public transport</w:t>
            </w:r>
          </w:p>
        </w:tc>
        <w:tc>
          <w:tcPr>
            <w:tcW w:w="3443" w:type="dxa"/>
          </w:tcPr>
          <w:p w:rsidR="00CD4C7D" w:rsidRDefault="00CD4C7D">
            <w:pPr>
              <w:spacing w:after="60"/>
              <w:rPr>
                <w:rFonts w:ascii="MS Reference Sans Serif" w:hAnsi="MS Reference Sans Serif" w:cs="Arial"/>
                <w:sz w:val="18"/>
                <w:lang w:val="en-US"/>
              </w:rPr>
            </w:pPr>
            <w:r>
              <w:rPr>
                <w:rFonts w:ascii="MS Reference Sans Serif" w:hAnsi="MS Reference Sans Serif" w:cs="Arial"/>
                <w:i/>
                <w:iCs/>
                <w:sz w:val="18"/>
                <w:lang w:val="en-US"/>
              </w:rPr>
              <w:t>National collective services</w:t>
            </w:r>
            <w:r>
              <w:rPr>
                <w:rFonts w:ascii="MS Reference Sans Serif" w:hAnsi="MS Reference Sans Serif" w:cs="Arial"/>
                <w:sz w:val="18"/>
                <w:lang w:val="en-US"/>
              </w:rPr>
              <w:t xml:space="preserve">. </w:t>
            </w:r>
          </w:p>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 xml:space="preserve">Includes certain COFOG categories: </w:t>
            </w:r>
          </w:p>
          <w:p w:rsidR="00CD4C7D" w:rsidRDefault="00CD4C7D">
            <w:pPr>
              <w:numPr>
                <w:ilvl w:val="0"/>
                <w:numId w:val="9"/>
              </w:numPr>
              <w:tabs>
                <w:tab w:val="clear" w:pos="1440"/>
              </w:tabs>
              <w:ind w:left="431" w:hanging="357"/>
              <w:rPr>
                <w:rFonts w:ascii="MS Reference Sans Serif" w:hAnsi="MS Reference Sans Serif" w:cs="Arial"/>
                <w:sz w:val="18"/>
                <w:lang w:val="en-US"/>
              </w:rPr>
            </w:pPr>
            <w:r>
              <w:rPr>
                <w:rFonts w:ascii="MS Reference Sans Serif" w:hAnsi="MS Reference Sans Serif" w:cs="Arial"/>
                <w:sz w:val="18"/>
                <w:lang w:val="en-US"/>
              </w:rPr>
              <w:t>management and regulation of society</w:t>
            </w:r>
          </w:p>
          <w:p w:rsidR="00CD4C7D" w:rsidRDefault="00CD4C7D">
            <w:pPr>
              <w:numPr>
                <w:ilvl w:val="0"/>
                <w:numId w:val="9"/>
              </w:numPr>
              <w:tabs>
                <w:tab w:val="clear" w:pos="1440"/>
              </w:tabs>
              <w:ind w:left="431" w:hanging="357"/>
              <w:rPr>
                <w:rFonts w:ascii="MS Reference Sans Serif" w:hAnsi="MS Reference Sans Serif" w:cs="Arial"/>
                <w:sz w:val="18"/>
                <w:lang w:val="en-US"/>
              </w:rPr>
            </w:pPr>
            <w:r>
              <w:rPr>
                <w:rFonts w:ascii="MS Reference Sans Serif" w:hAnsi="MS Reference Sans Serif" w:cs="Arial"/>
                <w:sz w:val="18"/>
                <w:lang w:val="en-US"/>
              </w:rPr>
              <w:t>security and defence</w:t>
            </w:r>
          </w:p>
          <w:p w:rsidR="00CD4C7D" w:rsidRDefault="00CD4C7D">
            <w:pPr>
              <w:numPr>
                <w:ilvl w:val="0"/>
                <w:numId w:val="9"/>
              </w:numPr>
              <w:tabs>
                <w:tab w:val="clear" w:pos="1440"/>
              </w:tabs>
              <w:ind w:left="431" w:hanging="357"/>
              <w:rPr>
                <w:rFonts w:ascii="MS Reference Sans Serif" w:hAnsi="MS Reference Sans Serif" w:cs="Arial"/>
                <w:sz w:val="18"/>
                <w:lang w:val="en-US"/>
              </w:rPr>
            </w:pPr>
            <w:r>
              <w:rPr>
                <w:rFonts w:ascii="MS Reference Sans Serif" w:hAnsi="MS Reference Sans Serif" w:cs="Arial"/>
                <w:sz w:val="18"/>
                <w:lang w:val="en-US"/>
              </w:rPr>
              <w:t>economic development</w:t>
            </w:r>
          </w:p>
          <w:p w:rsidR="00CD4C7D" w:rsidRDefault="00CD4C7D">
            <w:pPr>
              <w:numPr>
                <w:ilvl w:val="0"/>
                <w:numId w:val="9"/>
              </w:numPr>
              <w:tabs>
                <w:tab w:val="clear" w:pos="1440"/>
              </w:tabs>
              <w:ind w:left="431" w:hanging="357"/>
              <w:rPr>
                <w:rFonts w:ascii="MS Reference Sans Serif" w:hAnsi="MS Reference Sans Serif" w:cs="Arial"/>
                <w:sz w:val="18"/>
                <w:lang w:val="en-US"/>
              </w:rPr>
            </w:pPr>
            <w:r>
              <w:rPr>
                <w:rFonts w:ascii="MS Reference Sans Serif" w:hAnsi="MS Reference Sans Serif" w:cs="Arial"/>
                <w:sz w:val="18"/>
                <w:lang w:val="en-US"/>
              </w:rPr>
              <w:t>tax collection</w:t>
            </w:r>
          </w:p>
        </w:tc>
      </w:tr>
      <w:tr w:rsidR="00CD4C7D">
        <w:tblPrEx>
          <w:tblCellMar>
            <w:top w:w="0" w:type="dxa"/>
            <w:bottom w:w="0" w:type="dxa"/>
          </w:tblCellMar>
        </w:tblPrEx>
        <w:trPr>
          <w:cantSplit/>
        </w:trPr>
        <w:tc>
          <w:tcPr>
            <w:tcW w:w="2627" w:type="dxa"/>
            <w:vMerge/>
            <w:shd w:val="clear" w:color="auto" w:fill="F3F3F3"/>
          </w:tcPr>
          <w:p w:rsidR="00CD4C7D" w:rsidRDefault="00CD4C7D">
            <w:pPr>
              <w:spacing w:after="120"/>
              <w:rPr>
                <w:rFonts w:ascii="MS Reference Sans Serif" w:hAnsi="MS Reference Sans Serif" w:cs="Arial"/>
                <w:sz w:val="18"/>
                <w:lang w:val="en-US"/>
              </w:rPr>
            </w:pPr>
          </w:p>
        </w:tc>
        <w:tc>
          <w:tcPr>
            <w:tcW w:w="3776" w:type="dxa"/>
          </w:tcPr>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 xml:space="preserve">Collective services delivered locally </w:t>
            </w:r>
            <w:r>
              <w:rPr>
                <w:rFonts w:ascii="MS Reference Sans Serif" w:hAnsi="MS Reference Sans Serif" w:cs="Arial"/>
                <w:b/>
                <w:bCs/>
                <w:i/>
                <w:iCs/>
                <w:sz w:val="18"/>
                <w:lang w:val="en-US"/>
              </w:rPr>
              <w:t>and</w:t>
            </w:r>
            <w:r>
              <w:rPr>
                <w:rFonts w:ascii="MS Reference Sans Serif" w:hAnsi="MS Reference Sans Serif" w:cs="Arial"/>
                <w:sz w:val="18"/>
                <w:lang w:val="en-US"/>
              </w:rPr>
              <w:t xml:space="preserve"> consumed locally, within regions. e.g.: </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LA spending</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CG spending on RDAs</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CG spending on police, local courts</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Overseas aid</w:t>
            </w:r>
          </w:p>
        </w:tc>
        <w:tc>
          <w:tcPr>
            <w:tcW w:w="3443" w:type="dxa"/>
            <w:vMerge w:val="restart"/>
          </w:tcPr>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 xml:space="preserve">Collective services delivered locally </w:t>
            </w:r>
            <w:r>
              <w:rPr>
                <w:rFonts w:ascii="MS Reference Sans Serif" w:hAnsi="MS Reference Sans Serif" w:cs="Arial"/>
                <w:b/>
                <w:bCs/>
                <w:i/>
                <w:iCs/>
                <w:sz w:val="18"/>
                <w:lang w:val="en-US"/>
              </w:rPr>
              <w:t>but not</w:t>
            </w:r>
            <w:r>
              <w:rPr>
                <w:rFonts w:ascii="MS Reference Sans Serif" w:hAnsi="MS Reference Sans Serif" w:cs="Arial"/>
                <w:sz w:val="18"/>
                <w:lang w:val="en-US"/>
              </w:rPr>
              <w:t xml:space="preserve"> consumed locally, within regions. e.g.:</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spending on Immigration and Nationality</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spending on the Maritime and Coastguard Agency</w:t>
            </w:r>
          </w:p>
          <w:p w:rsidR="00CD4C7D" w:rsidRDefault="00CD4C7D">
            <w:pPr>
              <w:rPr>
                <w:rFonts w:ascii="MS Reference Sans Serif" w:hAnsi="MS Reference Sans Serif" w:cs="Arial"/>
                <w:sz w:val="18"/>
                <w:lang w:val="en-US"/>
              </w:rPr>
            </w:pPr>
          </w:p>
          <w:p w:rsidR="00CD4C7D" w:rsidRDefault="00CD4C7D">
            <w:pPr>
              <w:ind w:left="72"/>
              <w:rPr>
                <w:rFonts w:ascii="MS Reference Sans Serif" w:hAnsi="MS Reference Sans Serif" w:cs="Arial"/>
                <w:sz w:val="18"/>
                <w:lang w:val="en-US"/>
              </w:rPr>
            </w:pPr>
          </w:p>
          <w:p w:rsidR="00CD4C7D" w:rsidRDefault="00CD4C7D">
            <w:pPr>
              <w:ind w:left="72"/>
              <w:rPr>
                <w:rFonts w:ascii="MS Reference Sans Serif" w:hAnsi="MS Reference Sans Serif" w:cs="Arial"/>
                <w:sz w:val="18"/>
                <w:lang w:val="en-US"/>
              </w:rPr>
            </w:pPr>
          </w:p>
        </w:tc>
      </w:tr>
      <w:tr w:rsidR="00CD4C7D">
        <w:tblPrEx>
          <w:tblCellMar>
            <w:top w:w="0" w:type="dxa"/>
            <w:bottom w:w="0" w:type="dxa"/>
          </w:tblCellMar>
        </w:tblPrEx>
        <w:trPr>
          <w:cantSplit/>
        </w:trPr>
        <w:tc>
          <w:tcPr>
            <w:tcW w:w="2627" w:type="dxa"/>
            <w:vMerge/>
            <w:shd w:val="clear" w:color="auto" w:fill="F3F3F3"/>
          </w:tcPr>
          <w:p w:rsidR="00CD4C7D" w:rsidRDefault="00CD4C7D">
            <w:pPr>
              <w:spacing w:after="120"/>
              <w:rPr>
                <w:rFonts w:ascii="MS Reference Sans Serif" w:hAnsi="MS Reference Sans Serif" w:cs="Arial"/>
                <w:sz w:val="18"/>
                <w:lang w:val="en-US"/>
              </w:rPr>
            </w:pPr>
          </w:p>
        </w:tc>
        <w:tc>
          <w:tcPr>
            <w:tcW w:w="3776" w:type="dxa"/>
          </w:tcPr>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Collective services delivered locally and consumed locally, within regions where there is equivalent spending by the Devolved Administrations</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Spending on high courts</w:t>
            </w:r>
          </w:p>
          <w:p w:rsidR="00CD4C7D" w:rsidRDefault="00CD4C7D">
            <w:pPr>
              <w:numPr>
                <w:ilvl w:val="1"/>
                <w:numId w:val="3"/>
              </w:numPr>
              <w:tabs>
                <w:tab w:val="clear" w:pos="1440"/>
                <w:tab w:val="num" w:pos="432"/>
              </w:tabs>
              <w:ind w:left="432"/>
              <w:rPr>
                <w:rFonts w:ascii="MS Reference Sans Serif" w:hAnsi="MS Reference Sans Serif" w:cs="Arial"/>
                <w:sz w:val="18"/>
                <w:lang w:val="en-US"/>
              </w:rPr>
            </w:pPr>
            <w:r>
              <w:rPr>
                <w:rFonts w:ascii="MS Reference Sans Serif" w:hAnsi="MS Reference Sans Serif" w:cs="Arial"/>
                <w:sz w:val="18"/>
                <w:lang w:val="en-US"/>
              </w:rPr>
              <w:t>Spending on prisons</w:t>
            </w:r>
          </w:p>
          <w:p w:rsidR="00CD4C7D" w:rsidRDefault="00CD4C7D">
            <w:pPr>
              <w:rPr>
                <w:rFonts w:ascii="MS Reference Sans Serif" w:hAnsi="MS Reference Sans Serif" w:cs="Arial"/>
                <w:sz w:val="18"/>
                <w:lang w:val="en-US"/>
              </w:rPr>
            </w:pPr>
          </w:p>
        </w:tc>
        <w:tc>
          <w:tcPr>
            <w:tcW w:w="3443" w:type="dxa"/>
            <w:vMerge/>
          </w:tcPr>
          <w:p w:rsidR="00CD4C7D" w:rsidRDefault="00CD4C7D">
            <w:pPr>
              <w:rPr>
                <w:rFonts w:ascii="MS Reference Sans Serif" w:hAnsi="MS Reference Sans Serif" w:cs="Arial"/>
                <w:sz w:val="18"/>
                <w:lang w:val="en-US"/>
              </w:rPr>
            </w:pPr>
          </w:p>
        </w:tc>
      </w:tr>
      <w:tr w:rsidR="00CD4C7D">
        <w:tblPrEx>
          <w:tblCellMar>
            <w:top w:w="0" w:type="dxa"/>
            <w:bottom w:w="0" w:type="dxa"/>
          </w:tblCellMar>
        </w:tblPrEx>
        <w:trPr>
          <w:cantSplit/>
        </w:trPr>
        <w:tc>
          <w:tcPr>
            <w:tcW w:w="2627" w:type="dxa"/>
            <w:vMerge/>
            <w:shd w:val="clear" w:color="auto" w:fill="F3F3F3"/>
          </w:tcPr>
          <w:p w:rsidR="00CD4C7D" w:rsidRDefault="00CD4C7D">
            <w:pPr>
              <w:rPr>
                <w:rFonts w:ascii="MS Reference Sans Serif" w:hAnsi="MS Reference Sans Serif" w:cs="Arial"/>
                <w:sz w:val="18"/>
                <w:lang w:val="en-US"/>
              </w:rPr>
            </w:pPr>
          </w:p>
        </w:tc>
        <w:tc>
          <w:tcPr>
            <w:tcW w:w="7219" w:type="dxa"/>
            <w:gridSpan w:val="2"/>
          </w:tcPr>
          <w:p w:rsidR="00CD4C7D" w:rsidRDefault="00CD4C7D">
            <w:pPr>
              <w:rPr>
                <w:rFonts w:ascii="MS Reference Sans Serif" w:hAnsi="MS Reference Sans Serif" w:cs="Arial"/>
                <w:sz w:val="18"/>
                <w:lang w:val="en-US"/>
              </w:rPr>
            </w:pPr>
            <w:r>
              <w:rPr>
                <w:rFonts w:ascii="MS Reference Sans Serif" w:hAnsi="MS Reference Sans Serif" w:cs="Arial"/>
                <w:i/>
                <w:iCs/>
                <w:sz w:val="18"/>
                <w:lang w:val="en-US"/>
              </w:rPr>
              <w:t>Admin and corporate services</w:t>
            </w:r>
            <w:r>
              <w:rPr>
                <w:rFonts w:ascii="MS Reference Sans Serif" w:hAnsi="MS Reference Sans Serif" w:cs="Arial"/>
                <w:sz w:val="18"/>
                <w:lang w:val="en-US"/>
              </w:rPr>
              <w:t xml:space="preserve"> are classified as identifiable or non-identifiable in the same way as the service they support</w:t>
            </w:r>
          </w:p>
        </w:tc>
      </w:tr>
      <w:tr w:rsidR="00CD4C7D">
        <w:tblPrEx>
          <w:tblCellMar>
            <w:top w:w="0" w:type="dxa"/>
            <w:bottom w:w="0" w:type="dxa"/>
          </w:tblCellMar>
        </w:tblPrEx>
        <w:trPr>
          <w:cantSplit/>
        </w:trPr>
        <w:tc>
          <w:tcPr>
            <w:tcW w:w="2627" w:type="dxa"/>
            <w:shd w:val="clear" w:color="auto" w:fill="F3F3F3"/>
          </w:tcPr>
          <w:p w:rsidR="00CD4C7D" w:rsidRDefault="00CD4C7D">
            <w:pPr>
              <w:rPr>
                <w:rFonts w:ascii="MS Reference Sans Serif" w:hAnsi="MS Reference Sans Serif" w:cs="Arial"/>
                <w:sz w:val="18"/>
                <w:lang w:val="en-US"/>
              </w:rPr>
            </w:pPr>
            <w:r>
              <w:rPr>
                <w:rFonts w:ascii="MS Reference Sans Serif" w:hAnsi="MS Reference Sans Serif" w:cs="Arial"/>
                <w:b/>
                <w:bCs/>
                <w:sz w:val="18"/>
                <w:lang w:val="en-US"/>
              </w:rPr>
              <w:t>Other capital spending</w:t>
            </w:r>
            <w:r>
              <w:rPr>
                <w:rFonts w:ascii="MS Reference Sans Serif" w:hAnsi="MS Reference Sans Serif" w:cs="Arial"/>
                <w:sz w:val="18"/>
                <w:lang w:val="en-US"/>
              </w:rPr>
              <w:t xml:space="preserve"> (purchase of assets, </w:t>
            </w:r>
          </w:p>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net of sales of assets, and stock building) other than capital grants</w:t>
            </w:r>
          </w:p>
        </w:tc>
        <w:tc>
          <w:tcPr>
            <w:tcW w:w="7219" w:type="dxa"/>
            <w:gridSpan w:val="2"/>
          </w:tcPr>
          <w:p w:rsidR="00CD4C7D" w:rsidRDefault="00CD4C7D">
            <w:pPr>
              <w:rPr>
                <w:rFonts w:ascii="MS Reference Sans Serif" w:hAnsi="MS Reference Sans Serif" w:cs="Arial"/>
                <w:sz w:val="18"/>
                <w:lang w:val="en-US"/>
              </w:rPr>
            </w:pPr>
            <w:r>
              <w:rPr>
                <w:rFonts w:ascii="MS Reference Sans Serif" w:hAnsi="MS Reference Sans Serif" w:cs="Arial"/>
                <w:sz w:val="18"/>
                <w:lang w:val="en-US"/>
              </w:rPr>
              <w:t xml:space="preserve">Classified as identifiable or non-identifiable in the same way as the associated current expenditure </w:t>
            </w:r>
          </w:p>
        </w:tc>
      </w:tr>
    </w:tbl>
    <w:p w:rsidR="00CD4C7D" w:rsidRDefault="00CD4C7D">
      <w:pPr>
        <w:pStyle w:val="FootnoteText"/>
        <w:spacing w:after="120" w:line="360" w:lineRule="auto"/>
        <w:rPr>
          <w:rFonts w:ascii="MS Reference Sans Serif" w:hAnsi="MS Reference Sans Serif" w:cs="Arial"/>
          <w:szCs w:val="24"/>
          <w:lang w:val="en-US"/>
        </w:rPr>
      </w:pPr>
    </w:p>
    <w:p w:rsidR="00CD4C7D" w:rsidRDefault="00CD4C7D">
      <w:pPr>
        <w:pStyle w:val="Heading1"/>
      </w:pPr>
      <w:bookmarkStart w:id="6" w:name="_Toc244920056"/>
      <w:r>
        <w:br w:type="page"/>
      </w:r>
      <w:bookmarkStart w:id="7" w:name="_Toc245204034"/>
      <w:r>
        <w:lastRenderedPageBreak/>
        <w:t xml:space="preserve">4. (NUTS1) </w:t>
      </w:r>
      <w:r w:rsidR="00292E1E">
        <w:t>R</w:t>
      </w:r>
      <w:r>
        <w:t>egions in the UK</w:t>
      </w:r>
      <w:bookmarkEnd w:id="6"/>
      <w:bookmarkEnd w:id="7"/>
    </w:p>
    <w:p w:rsidR="00CD4C7D" w:rsidRDefault="00CD4C7D">
      <w:pPr>
        <w:pStyle w:val="NormalWeb"/>
        <w:spacing w:before="0" w:beforeAutospacing="0" w:after="180" w:afterAutospacing="0" w:line="360" w:lineRule="auto"/>
        <w:rPr>
          <w:rFonts w:ascii="MS Reference Sans Serif" w:hAnsi="MS Reference Sans Serif" w:cs="Arial"/>
          <w:sz w:val="20"/>
          <w:lang w:val="en-GB"/>
        </w:rPr>
      </w:pPr>
      <w:r>
        <w:rPr>
          <w:rFonts w:ascii="MS Reference Sans Serif" w:hAnsi="MS Reference Sans Serif" w:cs="Arial"/>
          <w:sz w:val="20"/>
        </w:rPr>
        <w:t xml:space="preserve">Below is a list of counties included in each </w:t>
      </w:r>
      <w:r w:rsidR="00292E1E">
        <w:rPr>
          <w:rFonts w:ascii="MS Reference Sans Serif" w:hAnsi="MS Reference Sans Serif" w:cs="Arial"/>
          <w:sz w:val="20"/>
        </w:rPr>
        <w:t xml:space="preserve">of the (NUTS1) former government office </w:t>
      </w:r>
      <w:r>
        <w:rPr>
          <w:rFonts w:ascii="MS Reference Sans Serif" w:hAnsi="MS Reference Sans Serif" w:cs="Arial"/>
          <w:sz w:val="20"/>
        </w:rPr>
        <w:t>region</w:t>
      </w:r>
      <w:r w:rsidR="00292E1E">
        <w:rPr>
          <w:rFonts w:ascii="MS Reference Sans Serif" w:hAnsi="MS Reference Sans Serif" w:cs="Arial"/>
          <w:sz w:val="20"/>
        </w:rPr>
        <w:t>s- now known as ‘Regions’</w:t>
      </w:r>
      <w:r>
        <w:rPr>
          <w:rFonts w:ascii="MS Reference Sans Serif" w:hAnsi="MS Reference Sans Serif" w:cs="Arial"/>
          <w:sz w:val="20"/>
        </w:rPr>
        <w:t xml:space="preserve">.  Unitary counties are generally under their ‘parent’ county, rather than shown separately.   </w:t>
      </w:r>
    </w:p>
    <w:p w:rsidR="00CD4C7D" w:rsidRDefault="00CD4C7D">
      <w:pPr>
        <w:pStyle w:val="NormalWeb"/>
        <w:spacing w:before="0" w:beforeAutospacing="0" w:after="180" w:afterAutospacing="0" w:line="360" w:lineRule="auto"/>
        <w:rPr>
          <w:rFonts w:ascii="MS Reference Sans Serif" w:hAnsi="MS Reference Sans Serif" w:cs="Arial"/>
          <w:sz w:val="20"/>
          <w:lang w:val="en-GB"/>
        </w:rPr>
      </w:pPr>
      <w:r>
        <w:rPr>
          <w:rFonts w:ascii="MS Reference Sans Serif" w:hAnsi="MS Reference Sans Serif" w:cs="Arial"/>
          <w:sz w:val="20"/>
          <w:lang w:val="en-GB"/>
        </w:rPr>
        <w:t xml:space="preserve">A map showing details of the coverage of the 12 NUTS1 regions is available at: </w:t>
      </w:r>
      <w:hyperlink r:id="rId9" w:history="1">
        <w:r w:rsidR="00292E1E">
          <w:rPr>
            <w:rStyle w:val="Hyperlink"/>
            <w:rFonts w:ascii="MS Reference Sans Serif" w:hAnsi="MS Reference Sans Serif" w:cs="Arial"/>
            <w:sz w:val="20"/>
          </w:rPr>
          <w:t>http://www.ons.gov.uk/ons/guide-method/geography/beginner-s-guide/maps/regions-and-their-constituent-counties---unitary-authorities-as-at-2011.pdf</w:t>
        </w:r>
      </w:hyperlink>
    </w:p>
    <w:p w:rsidR="00CD4C7D" w:rsidRDefault="00CD4C7D">
      <w:pPr>
        <w:pStyle w:val="NormalWeb"/>
        <w:spacing w:before="0" w:beforeAutospacing="0" w:after="180" w:afterAutospacing="0" w:line="360" w:lineRule="auto"/>
        <w:rPr>
          <w:rFonts w:ascii="MS Reference Sans Serif" w:hAnsi="MS Reference Sans Serif" w:cs="Arial"/>
          <w:sz w:val="20"/>
          <w:lang w:val="en-GB"/>
        </w:rPr>
      </w:pPr>
      <w:r>
        <w:rPr>
          <w:rFonts w:ascii="MS Reference Sans Serif" w:hAnsi="MS Reference Sans Serif" w:cs="Arial"/>
          <w:sz w:val="20"/>
          <w:lang w:val="en-GB"/>
        </w:rPr>
        <w:t xml:space="preserve">Full details of the composition of each region in terms of counties, unitary authorities and metropolitan and London Boroughs is available at: </w:t>
      </w:r>
      <w:hyperlink r:id="rId10" w:history="1">
        <w:r w:rsidR="002A7CE3">
          <w:rPr>
            <w:rStyle w:val="Hyperlink"/>
            <w:rFonts w:ascii="MS Reference Sans Serif" w:hAnsi="MS Reference Sans Serif" w:cs="Arial"/>
            <w:sz w:val="20"/>
            <w:lang w:val="en-GB"/>
          </w:rPr>
          <w:t>http://www.ons.gov.uk/ons/guide-method/geography/beginner-s-guide/administrative/index.html</w:t>
        </w:r>
      </w:hyperlink>
    </w:p>
    <w:p w:rsidR="00CD4C7D" w:rsidRDefault="00CD4C7D">
      <w:pPr>
        <w:pStyle w:val="FootnoteText"/>
        <w:rPr>
          <w:rFonts w:ascii="MS Reference Sans Serif" w:hAnsi="MS Reference Sans Serif"/>
          <w:szCs w:val="24"/>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5148"/>
        <w:gridCol w:w="4694"/>
      </w:tblGrid>
      <w:tr w:rsidR="00CD4C7D">
        <w:tblPrEx>
          <w:tblCellMar>
            <w:top w:w="0" w:type="dxa"/>
            <w:bottom w:w="0" w:type="dxa"/>
          </w:tblCellMar>
        </w:tblPrEx>
        <w:tc>
          <w:tcPr>
            <w:tcW w:w="5148" w:type="dxa"/>
          </w:tcPr>
          <w:p w:rsidR="00CD4C7D" w:rsidRDefault="00CD4C7D">
            <w:pPr>
              <w:rPr>
                <w:rFonts w:ascii="MS Reference Sans Serif" w:hAnsi="MS Reference Sans Serif"/>
                <w:b/>
                <w:bCs/>
                <w:sz w:val="20"/>
              </w:rPr>
            </w:pPr>
            <w:r>
              <w:rPr>
                <w:rFonts w:ascii="MS Reference Sans Serif" w:hAnsi="MS Reference Sans Serif"/>
                <w:b/>
                <w:bCs/>
                <w:sz w:val="20"/>
              </w:rPr>
              <w:t>Scotland</w:t>
            </w:r>
          </w:p>
        </w:tc>
        <w:tc>
          <w:tcPr>
            <w:tcW w:w="4694" w:type="dxa"/>
          </w:tcPr>
          <w:p w:rsidR="00CD4C7D" w:rsidRDefault="00CD4C7D" w:rsidP="00721320">
            <w:pPr>
              <w:pStyle w:val="Heading3"/>
              <w:rPr>
                <w:rFonts w:ascii="MS Reference Sans Serif" w:hAnsi="MS Reference Sans Serif"/>
                <w:sz w:val="20"/>
              </w:rPr>
            </w:pPr>
            <w:r>
              <w:rPr>
                <w:rFonts w:ascii="MS Reference Sans Serif" w:hAnsi="MS Reference Sans Serif"/>
                <w:color w:val="auto"/>
                <w:sz w:val="20"/>
              </w:rPr>
              <w:t>East</w:t>
            </w:r>
            <w:r w:rsidR="00292E1E">
              <w:rPr>
                <w:rFonts w:ascii="MS Reference Sans Serif" w:hAnsi="MS Reference Sans Serif"/>
                <w:color w:val="auto"/>
                <w:sz w:val="20"/>
              </w:rPr>
              <w:t xml:space="preserve"> of England</w:t>
            </w:r>
          </w:p>
        </w:tc>
      </w:tr>
      <w:tr w:rsidR="00CD4C7D">
        <w:tblPrEx>
          <w:tblCellMar>
            <w:top w:w="0" w:type="dxa"/>
            <w:bottom w:w="0" w:type="dxa"/>
          </w:tblCellMar>
        </w:tblPrEx>
        <w:tc>
          <w:tcPr>
            <w:tcW w:w="5148" w:type="dxa"/>
          </w:tcPr>
          <w:p w:rsidR="00CD4C7D" w:rsidRDefault="00CD4C7D">
            <w:pPr>
              <w:rPr>
                <w:rFonts w:ascii="MS Reference Sans Serif" w:hAnsi="MS Reference Sans Serif"/>
                <w:b/>
                <w:bCs/>
                <w:sz w:val="20"/>
              </w:rPr>
            </w:pPr>
            <w:r>
              <w:rPr>
                <w:rFonts w:ascii="MS Reference Sans Serif" w:hAnsi="MS Reference Sans Serif"/>
                <w:b/>
                <w:bCs/>
                <w:sz w:val="20"/>
              </w:rPr>
              <w:t xml:space="preserve">Wales </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Cambridgeshire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b/>
                <w:bCs/>
                <w:sz w:val="20"/>
              </w:rPr>
              <w:t>Northern Ireland</w:t>
            </w:r>
            <w:r>
              <w:rPr>
                <w:rFonts w:ascii="MS Reference Sans Serif" w:hAnsi="MS Reference Sans Serif"/>
                <w:sz w:val="20"/>
              </w:rPr>
              <w:t xml:space="preserve"> </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Norfolk</w:t>
            </w:r>
          </w:p>
        </w:tc>
      </w:tr>
      <w:tr w:rsidR="00CD4C7D">
        <w:tblPrEx>
          <w:tblCellMar>
            <w:top w:w="0" w:type="dxa"/>
            <w:bottom w:w="0" w:type="dxa"/>
          </w:tblCellMar>
        </w:tblPrEx>
        <w:tc>
          <w:tcPr>
            <w:tcW w:w="5148" w:type="dxa"/>
          </w:tcPr>
          <w:p w:rsidR="00CD4C7D" w:rsidRDefault="00CD4C7D">
            <w:pPr>
              <w:rPr>
                <w:rFonts w:ascii="MS Reference Sans Serif" w:hAnsi="MS Reference Sans Serif"/>
                <w:b/>
                <w:bCs/>
                <w:sz w:val="20"/>
              </w:rPr>
            </w:pPr>
          </w:p>
        </w:tc>
        <w:tc>
          <w:tcPr>
            <w:tcW w:w="4694" w:type="dxa"/>
          </w:tcPr>
          <w:p w:rsidR="00CD4C7D" w:rsidRDefault="00CD4C7D">
            <w:pPr>
              <w:rPr>
                <w:rFonts w:ascii="MS Reference Sans Serif" w:hAnsi="MS Reference Sans Serif"/>
                <w:sz w:val="20"/>
              </w:rPr>
            </w:pPr>
            <w:r>
              <w:rPr>
                <w:rFonts w:ascii="MS Reference Sans Serif" w:hAnsi="MS Reference Sans Serif"/>
                <w:sz w:val="20"/>
              </w:rPr>
              <w:t>Suffolk</w:t>
            </w:r>
          </w:p>
        </w:tc>
      </w:tr>
      <w:tr w:rsidR="00CD4C7D">
        <w:tblPrEx>
          <w:tblCellMar>
            <w:top w:w="0" w:type="dxa"/>
            <w:bottom w:w="0" w:type="dxa"/>
          </w:tblCellMar>
        </w:tblPrEx>
        <w:tc>
          <w:tcPr>
            <w:tcW w:w="5148"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North East</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Bedfordshire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Northumberland</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Hertfordshire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Tyne &amp; Wear</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Essex</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Durham</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 xml:space="preserve">Tees Valley </w:t>
            </w:r>
          </w:p>
        </w:tc>
        <w:tc>
          <w:tcPr>
            <w:tcW w:w="4694"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London</w:t>
            </w:r>
          </w:p>
        </w:tc>
      </w:tr>
      <w:tr w:rsidR="00CD4C7D">
        <w:tblPrEx>
          <w:tblCellMar>
            <w:top w:w="0" w:type="dxa"/>
            <w:bottom w:w="0" w:type="dxa"/>
          </w:tblCellMar>
        </w:tblPrEx>
        <w:tc>
          <w:tcPr>
            <w:tcW w:w="5148" w:type="dxa"/>
          </w:tcPr>
          <w:p w:rsidR="00CD4C7D" w:rsidRDefault="00CD4C7D">
            <w:pPr>
              <w:pStyle w:val="FootnoteText"/>
              <w:rPr>
                <w:rFonts w:ascii="MS Reference Sans Serif" w:hAnsi="MS Reference Sans Serif"/>
              </w:rPr>
            </w:pPr>
          </w:p>
        </w:tc>
        <w:tc>
          <w:tcPr>
            <w:tcW w:w="4694" w:type="dxa"/>
          </w:tcPr>
          <w:p w:rsidR="00CD4C7D" w:rsidRDefault="00CD4C7D">
            <w:pPr>
              <w:pStyle w:val="FootnoteText"/>
              <w:rPr>
                <w:rFonts w:ascii="MS Reference Sans Serif" w:hAnsi="MS Reference Sans Serif"/>
              </w:rPr>
            </w:pPr>
            <w:r>
              <w:rPr>
                <w:rFonts w:ascii="MS Reference Sans Serif" w:hAnsi="MS Reference Sans Serif"/>
                <w:szCs w:val="24"/>
              </w:rPr>
              <w:t>Greater London</w:t>
            </w:r>
          </w:p>
        </w:tc>
      </w:tr>
      <w:tr w:rsidR="00CD4C7D">
        <w:tblPrEx>
          <w:tblCellMar>
            <w:top w:w="0" w:type="dxa"/>
            <w:bottom w:w="0" w:type="dxa"/>
          </w:tblCellMar>
        </w:tblPrEx>
        <w:tc>
          <w:tcPr>
            <w:tcW w:w="5148"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 xml:space="preserve">North West </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Cumbria</w:t>
            </w:r>
          </w:p>
        </w:tc>
        <w:tc>
          <w:tcPr>
            <w:tcW w:w="4694"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South East</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Lancashire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Berkshire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Merseyside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Buckinghamshire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Greater Manchester</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Oxfordshire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Cheshire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Hampshire &amp; Isle of Wight</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p>
        </w:tc>
        <w:tc>
          <w:tcPr>
            <w:tcW w:w="4694" w:type="dxa"/>
          </w:tcPr>
          <w:p w:rsidR="00CD4C7D" w:rsidRDefault="00CD4C7D">
            <w:pPr>
              <w:rPr>
                <w:rFonts w:ascii="MS Reference Sans Serif" w:hAnsi="MS Reference Sans Serif"/>
                <w:sz w:val="20"/>
              </w:rPr>
            </w:pPr>
            <w:r>
              <w:rPr>
                <w:rFonts w:ascii="MS Reference Sans Serif" w:hAnsi="MS Reference Sans Serif"/>
                <w:sz w:val="20"/>
              </w:rPr>
              <w:t>Surrey</w:t>
            </w:r>
          </w:p>
        </w:tc>
      </w:tr>
      <w:tr w:rsidR="00CD4C7D">
        <w:tblPrEx>
          <w:tblCellMar>
            <w:top w:w="0" w:type="dxa"/>
            <w:bottom w:w="0" w:type="dxa"/>
          </w:tblCellMar>
        </w:tblPrEx>
        <w:tc>
          <w:tcPr>
            <w:tcW w:w="5148" w:type="dxa"/>
          </w:tcPr>
          <w:p w:rsidR="00CD4C7D" w:rsidRDefault="00CD4C7D" w:rsidP="00861E98">
            <w:pPr>
              <w:pStyle w:val="Heading3"/>
              <w:rPr>
                <w:rFonts w:ascii="MS Reference Sans Serif" w:hAnsi="MS Reference Sans Serif"/>
                <w:sz w:val="20"/>
              </w:rPr>
            </w:pPr>
            <w:r>
              <w:rPr>
                <w:rFonts w:ascii="MS Reference Sans Serif" w:hAnsi="MS Reference Sans Serif"/>
                <w:color w:val="auto"/>
                <w:sz w:val="20"/>
              </w:rPr>
              <w:t xml:space="preserve">Yorkshire </w:t>
            </w:r>
            <w:r w:rsidR="00861E98">
              <w:rPr>
                <w:rFonts w:ascii="MS Reference Sans Serif" w:hAnsi="MS Reference Sans Serif"/>
                <w:color w:val="auto"/>
                <w:sz w:val="20"/>
              </w:rPr>
              <w:t>and</w:t>
            </w:r>
            <w:r w:rsidR="00861E98">
              <w:rPr>
                <w:rFonts w:ascii="MS Reference Sans Serif" w:hAnsi="MS Reference Sans Serif"/>
                <w:color w:val="auto"/>
                <w:sz w:val="20"/>
              </w:rPr>
              <w:t xml:space="preserve"> </w:t>
            </w:r>
            <w:r>
              <w:rPr>
                <w:rFonts w:ascii="MS Reference Sans Serif" w:hAnsi="MS Reference Sans Serif"/>
                <w:color w:val="auto"/>
                <w:sz w:val="20"/>
              </w:rPr>
              <w:t>the Humber</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West Sussex</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North Yorkshire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East Sussex</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West Yorkshire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Kent</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South Yorkshire</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East Riding &amp; North Lincolnshire (The Humber)</w:t>
            </w:r>
          </w:p>
        </w:tc>
        <w:tc>
          <w:tcPr>
            <w:tcW w:w="4694"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South West</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p>
        </w:tc>
        <w:tc>
          <w:tcPr>
            <w:tcW w:w="4694" w:type="dxa"/>
          </w:tcPr>
          <w:p w:rsidR="00CD4C7D" w:rsidRDefault="00CD4C7D">
            <w:pPr>
              <w:rPr>
                <w:rFonts w:ascii="MS Reference Sans Serif" w:hAnsi="MS Reference Sans Serif"/>
                <w:sz w:val="20"/>
              </w:rPr>
            </w:pPr>
            <w:r>
              <w:rPr>
                <w:rFonts w:ascii="MS Reference Sans Serif" w:hAnsi="MS Reference Sans Serif"/>
                <w:sz w:val="20"/>
              </w:rPr>
              <w:t>Gloucestershire</w:t>
            </w:r>
          </w:p>
        </w:tc>
      </w:tr>
      <w:tr w:rsidR="00CD4C7D">
        <w:tblPrEx>
          <w:tblCellMar>
            <w:top w:w="0" w:type="dxa"/>
            <w:bottom w:w="0" w:type="dxa"/>
          </w:tblCellMar>
        </w:tblPrEx>
        <w:tc>
          <w:tcPr>
            <w:tcW w:w="5148"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East Midlands</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Bristol/Bath area</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Derbyshire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Somerset</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Nottinghamshire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Wiltshire</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Leicestershire &amp; Rutland</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Dorset</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Lincolnshire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Devon</w:t>
            </w: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Northamptonshire</w:t>
            </w:r>
          </w:p>
        </w:tc>
        <w:tc>
          <w:tcPr>
            <w:tcW w:w="4694" w:type="dxa"/>
          </w:tcPr>
          <w:p w:rsidR="00CD4C7D" w:rsidRDefault="00CD4C7D">
            <w:pPr>
              <w:rPr>
                <w:rFonts w:ascii="MS Reference Sans Serif" w:hAnsi="MS Reference Sans Serif"/>
                <w:sz w:val="20"/>
              </w:rPr>
            </w:pPr>
            <w:r>
              <w:rPr>
                <w:rFonts w:ascii="MS Reference Sans Serif" w:hAnsi="MS Reference Sans Serif"/>
                <w:sz w:val="20"/>
              </w:rPr>
              <w:t>Cornwall &amp; Isles of Scilly</w:t>
            </w:r>
          </w:p>
        </w:tc>
      </w:tr>
      <w:tr w:rsidR="00CD4C7D">
        <w:tblPrEx>
          <w:tblCellMar>
            <w:top w:w="0" w:type="dxa"/>
            <w:bottom w:w="0" w:type="dxa"/>
          </w:tblCellMar>
        </w:tblPrEx>
        <w:tc>
          <w:tcPr>
            <w:tcW w:w="5148" w:type="dxa"/>
          </w:tcPr>
          <w:p w:rsidR="00CD4C7D" w:rsidRDefault="00CD4C7D">
            <w:pPr>
              <w:pStyle w:val="Heading3"/>
              <w:rPr>
                <w:rFonts w:ascii="MS Reference Sans Serif" w:hAnsi="MS Reference Sans Serif"/>
                <w:sz w:val="20"/>
              </w:rPr>
            </w:pPr>
          </w:p>
        </w:tc>
        <w:tc>
          <w:tcPr>
            <w:tcW w:w="4694" w:type="dxa"/>
          </w:tcPr>
          <w:p w:rsidR="00CD4C7D" w:rsidRDefault="00CD4C7D">
            <w:pPr>
              <w:pStyle w:val="Heading3"/>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pStyle w:val="Heading3"/>
              <w:rPr>
                <w:rFonts w:ascii="MS Reference Sans Serif" w:hAnsi="MS Reference Sans Serif"/>
                <w:sz w:val="20"/>
              </w:rPr>
            </w:pPr>
            <w:r>
              <w:rPr>
                <w:rFonts w:ascii="MS Reference Sans Serif" w:hAnsi="MS Reference Sans Serif"/>
                <w:color w:val="auto"/>
                <w:sz w:val="20"/>
              </w:rPr>
              <w:t>West Midlands</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Herefordshire</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Worcestershire</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Shropshire</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Staffordshire</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West Midlands</w:t>
            </w:r>
          </w:p>
        </w:tc>
        <w:tc>
          <w:tcPr>
            <w:tcW w:w="4694" w:type="dxa"/>
          </w:tcPr>
          <w:p w:rsidR="00CD4C7D" w:rsidRDefault="00CD4C7D">
            <w:pPr>
              <w:rPr>
                <w:rFonts w:ascii="MS Reference Sans Serif" w:hAnsi="MS Reference Sans Serif"/>
                <w:sz w:val="20"/>
              </w:rPr>
            </w:pPr>
          </w:p>
        </w:tc>
      </w:tr>
      <w:tr w:rsidR="00CD4C7D">
        <w:tblPrEx>
          <w:tblCellMar>
            <w:top w:w="0" w:type="dxa"/>
            <w:bottom w:w="0" w:type="dxa"/>
          </w:tblCellMar>
        </w:tblPrEx>
        <w:tc>
          <w:tcPr>
            <w:tcW w:w="5148" w:type="dxa"/>
          </w:tcPr>
          <w:p w:rsidR="00CD4C7D" w:rsidRDefault="00CD4C7D">
            <w:pPr>
              <w:rPr>
                <w:rFonts w:ascii="MS Reference Sans Serif" w:hAnsi="MS Reference Sans Serif"/>
                <w:sz w:val="20"/>
              </w:rPr>
            </w:pPr>
            <w:r>
              <w:rPr>
                <w:rFonts w:ascii="MS Reference Sans Serif" w:hAnsi="MS Reference Sans Serif"/>
                <w:sz w:val="20"/>
              </w:rPr>
              <w:t>Warwickshire</w:t>
            </w:r>
          </w:p>
        </w:tc>
        <w:tc>
          <w:tcPr>
            <w:tcW w:w="4694" w:type="dxa"/>
          </w:tcPr>
          <w:p w:rsidR="00CD4C7D" w:rsidRDefault="00CD4C7D">
            <w:pPr>
              <w:rPr>
                <w:rFonts w:ascii="MS Reference Sans Serif" w:hAnsi="MS Reference Sans Serif"/>
                <w:sz w:val="20"/>
              </w:rPr>
            </w:pPr>
          </w:p>
        </w:tc>
      </w:tr>
    </w:tbl>
    <w:p w:rsidR="00CD4C7D" w:rsidRDefault="00CD4C7D">
      <w:pPr>
        <w:pStyle w:val="Heading1"/>
      </w:pPr>
    </w:p>
    <w:sectPr w:rsidR="00CD4C7D">
      <w:headerReference w:type="even" r:id="rId11"/>
      <w:headerReference w:type="default" r:id="rId12"/>
      <w:footerReference w:type="even" r:id="rId13"/>
      <w:footerReference w:type="default" r:id="rId14"/>
      <w:headerReference w:type="first" r:id="rId15"/>
      <w:footerReference w:type="first" r:id="rId16"/>
      <w:type w:val="nextColumn"/>
      <w:pgSz w:w="11906" w:h="16838" w:code="9"/>
      <w:pgMar w:top="1440" w:right="1140" w:bottom="1258" w:left="11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521" w:rsidRDefault="001E5521">
      <w:r>
        <w:separator/>
      </w:r>
    </w:p>
  </w:endnote>
  <w:endnote w:type="continuationSeparator" w:id="0">
    <w:p w:rsidR="001E5521" w:rsidRDefault="001E55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21" w:rsidRDefault="001E5521" w:rsidP="00861E98">
    <w:pPr>
      <w:pStyle w:val="Footer"/>
      <w:framePr w:wrap="around" w:vAnchor="text" w:hAnchor="margin" w:xAlign="right" w:y="1"/>
      <w:jc w:val="center"/>
      <w:rPr>
        <w:rStyle w:val="PageNumber"/>
      </w:rPr>
    </w:pPr>
    <w:r>
      <w:rPr>
        <w:rStyle w:val="PageNumber"/>
      </w:rPr>
      <w:fldChar w:fldCharType="begin"/>
    </w:r>
    <w:r w:rsidRPr="00BC1C99">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rsidR="001E5521" w:rsidRDefault="001E5521" w:rsidP="00861E98">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21" w:rsidRDefault="001E5521" w:rsidP="00861E98">
    <w:pPr>
      <w:pStyle w:val="Footer"/>
      <w:framePr w:wrap="around" w:vAnchor="text" w:hAnchor="margin" w:xAlign="right" w:y="1"/>
      <w:jc w:val="center"/>
      <w:rPr>
        <w:rStyle w:val="PageNumber"/>
      </w:rPr>
    </w:pPr>
    <w:r>
      <w:rPr>
        <w:rStyle w:val="PageNumber"/>
      </w:rPr>
      <w:fldChar w:fldCharType="begin"/>
    </w:r>
    <w:r w:rsidRPr="00BC1C99">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1E5521" w:rsidRDefault="001E5521" w:rsidP="00861E9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226B9">
      <w:rPr>
        <w:rStyle w:val="PageNumber"/>
        <w:noProof/>
      </w:rPr>
      <w:t>1</w:t>
    </w:r>
    <w:r>
      <w:rPr>
        <w:rStyle w:val="PageNumber"/>
      </w:rPr>
      <w:fldChar w:fldCharType="end"/>
    </w:r>
  </w:p>
  <w:p w:rsidR="001E5521" w:rsidRDefault="001E5521" w:rsidP="00861E98">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21" w:rsidRDefault="001E5521" w:rsidP="00861E98">
    <w:pPr>
      <w:pStyle w:val="Footer"/>
      <w:jc w:val="center"/>
    </w:pPr>
    <w:r>
      <w:fldChar w:fldCharType="begin"/>
    </w:r>
    <w:r w:rsidRPr="00BC1C9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521" w:rsidRDefault="001E5521">
      <w:r>
        <w:separator/>
      </w:r>
    </w:p>
  </w:footnote>
  <w:footnote w:type="continuationSeparator" w:id="0">
    <w:p w:rsidR="001E5521" w:rsidRDefault="001E5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21" w:rsidRDefault="001E5521" w:rsidP="00861E98">
    <w:pPr>
      <w:pStyle w:val="Header"/>
      <w:jc w:val="center"/>
    </w:pPr>
    <w:r>
      <w:fldChar w:fldCharType="begin"/>
    </w:r>
    <w:r w:rsidRPr="00BC1C9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21" w:rsidRDefault="001E5521" w:rsidP="00861E98">
    <w:pPr>
      <w:pStyle w:val="Header"/>
      <w:jc w:val="center"/>
    </w:pPr>
    <w:r>
      <w:fldChar w:fldCharType="begin"/>
    </w:r>
    <w:r w:rsidRPr="00BC1C9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21" w:rsidRDefault="001E5521" w:rsidP="00861E98">
    <w:pPr>
      <w:pStyle w:val="Header"/>
      <w:jc w:val="center"/>
    </w:pPr>
    <w:r>
      <w:fldChar w:fldCharType="begin"/>
    </w:r>
    <w:r w:rsidRPr="00BC1C99">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D87"/>
    <w:multiLevelType w:val="hybridMultilevel"/>
    <w:tmpl w:val="3E300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C6BE3"/>
    <w:multiLevelType w:val="hybridMultilevel"/>
    <w:tmpl w:val="40B26CFA"/>
    <w:lvl w:ilvl="0" w:tplc="505A00A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A53C1"/>
    <w:multiLevelType w:val="hybridMultilevel"/>
    <w:tmpl w:val="D770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186FDB"/>
    <w:multiLevelType w:val="hybridMultilevel"/>
    <w:tmpl w:val="E542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95016"/>
    <w:multiLevelType w:val="hybridMultilevel"/>
    <w:tmpl w:val="8B54891A"/>
    <w:lvl w:ilvl="0" w:tplc="37041994">
      <w:start w:val="1"/>
      <w:numFmt w:val="bullet"/>
      <w:lvlText w:val="─"/>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DE152E"/>
    <w:multiLevelType w:val="hybridMultilevel"/>
    <w:tmpl w:val="8B54891A"/>
    <w:lvl w:ilvl="0" w:tplc="0409000F">
      <w:start w:val="1"/>
      <w:numFmt w:val="decimal"/>
      <w:lvlText w:val="%1."/>
      <w:lvlJc w:val="left"/>
      <w:pPr>
        <w:tabs>
          <w:tab w:val="num" w:pos="720"/>
        </w:tabs>
        <w:ind w:left="720" w:hanging="360"/>
      </w:p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F87EF5"/>
    <w:multiLevelType w:val="hybridMultilevel"/>
    <w:tmpl w:val="A8DA3EF8"/>
    <w:lvl w:ilvl="0" w:tplc="6904302C">
      <w:start w:val="1"/>
      <w:numFmt w:val="bullet"/>
      <w:lvlText w:val=""/>
      <w:lvlJc w:val="left"/>
      <w:pPr>
        <w:tabs>
          <w:tab w:val="num" w:pos="780"/>
        </w:tabs>
        <w:ind w:left="780" w:hanging="66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E5684"/>
    <w:multiLevelType w:val="hybridMultilevel"/>
    <w:tmpl w:val="9336E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D7457D"/>
    <w:multiLevelType w:val="hybridMultilevel"/>
    <w:tmpl w:val="1D9E7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2B7ED8"/>
    <w:multiLevelType w:val="hybridMultilevel"/>
    <w:tmpl w:val="0630AF66"/>
    <w:lvl w:ilvl="0" w:tplc="37041994">
      <w:start w:val="1"/>
      <w:numFmt w:val="bullet"/>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717"/>
        </w:tabs>
        <w:ind w:left="717" w:hanging="360"/>
      </w:pPr>
      <w:rPr>
        <w:rFonts w:ascii="Courier New" w:hAnsi="Courier New" w:hint="default"/>
      </w:rPr>
    </w:lvl>
    <w:lvl w:ilvl="2" w:tplc="04090005" w:tentative="1">
      <w:start w:val="1"/>
      <w:numFmt w:val="bullet"/>
      <w:lvlText w:val=""/>
      <w:lvlJc w:val="left"/>
      <w:pPr>
        <w:tabs>
          <w:tab w:val="num" w:pos="1437"/>
        </w:tabs>
        <w:ind w:left="1437" w:hanging="360"/>
      </w:pPr>
      <w:rPr>
        <w:rFonts w:ascii="Wingdings" w:hAnsi="Wingdings" w:hint="default"/>
      </w:rPr>
    </w:lvl>
    <w:lvl w:ilvl="3" w:tplc="04090001" w:tentative="1">
      <w:start w:val="1"/>
      <w:numFmt w:val="bullet"/>
      <w:lvlText w:val=""/>
      <w:lvlJc w:val="left"/>
      <w:pPr>
        <w:tabs>
          <w:tab w:val="num" w:pos="2157"/>
        </w:tabs>
        <w:ind w:left="2157" w:hanging="360"/>
      </w:pPr>
      <w:rPr>
        <w:rFonts w:ascii="Symbol" w:hAnsi="Symbol" w:hint="default"/>
      </w:rPr>
    </w:lvl>
    <w:lvl w:ilvl="4" w:tplc="04090003" w:tentative="1">
      <w:start w:val="1"/>
      <w:numFmt w:val="bullet"/>
      <w:lvlText w:val="o"/>
      <w:lvlJc w:val="left"/>
      <w:pPr>
        <w:tabs>
          <w:tab w:val="num" w:pos="2877"/>
        </w:tabs>
        <w:ind w:left="2877" w:hanging="360"/>
      </w:pPr>
      <w:rPr>
        <w:rFonts w:ascii="Courier New" w:hAnsi="Courier New" w:hint="default"/>
      </w:rPr>
    </w:lvl>
    <w:lvl w:ilvl="5" w:tplc="04090005" w:tentative="1">
      <w:start w:val="1"/>
      <w:numFmt w:val="bullet"/>
      <w:lvlText w:val=""/>
      <w:lvlJc w:val="left"/>
      <w:pPr>
        <w:tabs>
          <w:tab w:val="num" w:pos="3597"/>
        </w:tabs>
        <w:ind w:left="3597" w:hanging="360"/>
      </w:pPr>
      <w:rPr>
        <w:rFonts w:ascii="Wingdings" w:hAnsi="Wingdings" w:hint="default"/>
      </w:rPr>
    </w:lvl>
    <w:lvl w:ilvl="6" w:tplc="04090001" w:tentative="1">
      <w:start w:val="1"/>
      <w:numFmt w:val="bullet"/>
      <w:lvlText w:val=""/>
      <w:lvlJc w:val="left"/>
      <w:pPr>
        <w:tabs>
          <w:tab w:val="num" w:pos="4317"/>
        </w:tabs>
        <w:ind w:left="4317" w:hanging="360"/>
      </w:pPr>
      <w:rPr>
        <w:rFonts w:ascii="Symbol" w:hAnsi="Symbol" w:hint="default"/>
      </w:rPr>
    </w:lvl>
    <w:lvl w:ilvl="7" w:tplc="04090003" w:tentative="1">
      <w:start w:val="1"/>
      <w:numFmt w:val="bullet"/>
      <w:lvlText w:val="o"/>
      <w:lvlJc w:val="left"/>
      <w:pPr>
        <w:tabs>
          <w:tab w:val="num" w:pos="5037"/>
        </w:tabs>
        <w:ind w:left="5037" w:hanging="360"/>
      </w:pPr>
      <w:rPr>
        <w:rFonts w:ascii="Courier New" w:hAnsi="Courier New" w:hint="default"/>
      </w:rPr>
    </w:lvl>
    <w:lvl w:ilvl="8" w:tplc="04090005" w:tentative="1">
      <w:start w:val="1"/>
      <w:numFmt w:val="bullet"/>
      <w:lvlText w:val=""/>
      <w:lvlJc w:val="left"/>
      <w:pPr>
        <w:tabs>
          <w:tab w:val="num" w:pos="5757"/>
        </w:tabs>
        <w:ind w:left="5757" w:hanging="360"/>
      </w:pPr>
      <w:rPr>
        <w:rFonts w:ascii="Wingdings" w:hAnsi="Wingdings" w:hint="default"/>
      </w:rPr>
    </w:lvl>
  </w:abstractNum>
  <w:abstractNum w:abstractNumId="10">
    <w:nsid w:val="347A76E8"/>
    <w:multiLevelType w:val="hybridMultilevel"/>
    <w:tmpl w:val="0630AF66"/>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2D2AD7"/>
    <w:multiLevelType w:val="hybridMultilevel"/>
    <w:tmpl w:val="8B54891A"/>
    <w:lvl w:ilvl="0" w:tplc="37041994">
      <w:start w:val="1"/>
      <w:numFmt w:val="bullet"/>
      <w:lvlText w:val="─"/>
      <w:lvlJc w:val="left"/>
      <w:pPr>
        <w:tabs>
          <w:tab w:val="num" w:pos="720"/>
        </w:tabs>
        <w:ind w:left="720" w:hanging="360"/>
      </w:pPr>
      <w:rPr>
        <w:rFonts w:ascii="Times New Roman" w:hAnsi="Times New Roman" w:cs="Times New Roman"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30ADA"/>
    <w:multiLevelType w:val="hybridMultilevel"/>
    <w:tmpl w:val="DCF6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C43652"/>
    <w:multiLevelType w:val="hybridMultilevel"/>
    <w:tmpl w:val="5F2C7EFE"/>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D54234"/>
    <w:multiLevelType w:val="hybridMultilevel"/>
    <w:tmpl w:val="BFA6EB4C"/>
    <w:lvl w:ilvl="0" w:tplc="04090001">
      <w:start w:val="1"/>
      <w:numFmt w:val="bullet"/>
      <w:lvlText w:val=""/>
      <w:lvlJc w:val="left"/>
      <w:pPr>
        <w:tabs>
          <w:tab w:val="num" w:pos="420"/>
        </w:tabs>
        <w:ind w:left="420" w:hanging="360"/>
      </w:pPr>
      <w:rPr>
        <w:rFonts w:ascii="Symbol" w:hAnsi="Symbol" w:hint="default"/>
      </w:rPr>
    </w:lvl>
    <w:lvl w:ilvl="1" w:tplc="79D07E20">
      <w:start w:val="1"/>
      <w:numFmt w:val="decimal"/>
      <w:lvlText w:val="%2."/>
      <w:lvlJc w:val="left"/>
      <w:pPr>
        <w:tabs>
          <w:tab w:val="num" w:pos="1440"/>
        </w:tabs>
        <w:ind w:left="1080" w:firstLine="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3F4296"/>
    <w:multiLevelType w:val="hybridMultilevel"/>
    <w:tmpl w:val="7DCA4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B12DE5"/>
    <w:multiLevelType w:val="hybridMultilevel"/>
    <w:tmpl w:val="CA1C16EC"/>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901A17"/>
    <w:multiLevelType w:val="hybridMultilevel"/>
    <w:tmpl w:val="29702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173397"/>
    <w:multiLevelType w:val="hybridMultilevel"/>
    <w:tmpl w:val="A8DA3EF8"/>
    <w:lvl w:ilvl="0" w:tplc="6904302C">
      <w:start w:val="1"/>
      <w:numFmt w:val="bullet"/>
      <w:lvlText w:val=""/>
      <w:lvlJc w:val="left"/>
      <w:pPr>
        <w:tabs>
          <w:tab w:val="num" w:pos="780"/>
        </w:tabs>
        <w:ind w:left="780" w:hanging="667"/>
      </w:pPr>
      <w:rPr>
        <w:rFonts w:ascii="Symbol" w:hAnsi="Symbol" w:cs="Times New Roman"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BF6FC3"/>
    <w:multiLevelType w:val="hybridMultilevel"/>
    <w:tmpl w:val="99FE1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1B17F1"/>
    <w:multiLevelType w:val="hybridMultilevel"/>
    <w:tmpl w:val="735AC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8C2FC4"/>
    <w:multiLevelType w:val="hybridMultilevel"/>
    <w:tmpl w:val="648E3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D313C4"/>
    <w:multiLevelType w:val="hybridMultilevel"/>
    <w:tmpl w:val="0874A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C6018B"/>
    <w:multiLevelType w:val="hybridMultilevel"/>
    <w:tmpl w:val="A20AD2D0"/>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35476A"/>
    <w:multiLevelType w:val="hybridMultilevel"/>
    <w:tmpl w:val="8B54891A"/>
    <w:lvl w:ilvl="0" w:tplc="37041994">
      <w:start w:val="1"/>
      <w:numFmt w:val="bullet"/>
      <w:lvlText w:val="─"/>
      <w:lvlJc w:val="left"/>
      <w:pPr>
        <w:tabs>
          <w:tab w:val="num" w:pos="720"/>
        </w:tabs>
        <w:ind w:left="720" w:hanging="360"/>
      </w:pPr>
      <w:rPr>
        <w:rFonts w:ascii="Times New Roman" w:hAnsi="Times New Roman" w:cs="Times New Roman" w:hint="default"/>
      </w:rPr>
    </w:lvl>
    <w:lvl w:ilvl="1" w:tplc="3704199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05700C"/>
    <w:multiLevelType w:val="hybridMultilevel"/>
    <w:tmpl w:val="A6047F20"/>
    <w:lvl w:ilvl="0" w:tplc="37041994">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8C6778"/>
    <w:multiLevelType w:val="hybridMultilevel"/>
    <w:tmpl w:val="455A1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5"/>
  </w:num>
  <w:num w:numId="4">
    <w:abstractNumId w:val="4"/>
  </w:num>
  <w:num w:numId="5">
    <w:abstractNumId w:val="11"/>
  </w:num>
  <w:num w:numId="6">
    <w:abstractNumId w:val="10"/>
  </w:num>
  <w:num w:numId="7">
    <w:abstractNumId w:val="16"/>
  </w:num>
  <w:num w:numId="8">
    <w:abstractNumId w:val="23"/>
  </w:num>
  <w:num w:numId="9">
    <w:abstractNumId w:val="25"/>
  </w:num>
  <w:num w:numId="10">
    <w:abstractNumId w:val="13"/>
  </w:num>
  <w:num w:numId="11">
    <w:abstractNumId w:val="1"/>
  </w:num>
  <w:num w:numId="12">
    <w:abstractNumId w:val="9"/>
  </w:num>
  <w:num w:numId="13">
    <w:abstractNumId w:val="24"/>
  </w:num>
  <w:num w:numId="14">
    <w:abstractNumId w:val="14"/>
  </w:num>
  <w:num w:numId="15">
    <w:abstractNumId w:val="26"/>
  </w:num>
  <w:num w:numId="16">
    <w:abstractNumId w:val="19"/>
  </w:num>
  <w:num w:numId="17">
    <w:abstractNumId w:val="7"/>
  </w:num>
  <w:num w:numId="18">
    <w:abstractNumId w:val="17"/>
  </w:num>
  <w:num w:numId="19">
    <w:abstractNumId w:val="3"/>
  </w:num>
  <w:num w:numId="20">
    <w:abstractNumId w:val="22"/>
  </w:num>
  <w:num w:numId="21">
    <w:abstractNumId w:val="12"/>
  </w:num>
  <w:num w:numId="22">
    <w:abstractNumId w:val="0"/>
  </w:num>
  <w:num w:numId="23">
    <w:abstractNumId w:val="21"/>
  </w:num>
  <w:num w:numId="24">
    <w:abstractNumId w:val="2"/>
  </w:num>
  <w:num w:numId="25">
    <w:abstractNumId w:val="20"/>
  </w:num>
  <w:num w:numId="26">
    <w:abstractNumId w:val="8"/>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noPunctuationKerning/>
  <w:characterSpacingControl w:val="doNotCompress"/>
  <w:hdrShapeDefaults>
    <o:shapedefaults v:ext="edit" spidmax="3074">
      <o:colormenu v:ext="edit" fillcolor="black" strokecolor="black"/>
    </o:shapedefaults>
  </w:hdrShapeDefaults>
  <w:footnotePr>
    <w:footnote w:id="-1"/>
    <w:footnote w:id="0"/>
  </w:footnotePr>
  <w:endnotePr>
    <w:endnote w:id="-1"/>
    <w:endnote w:id="0"/>
  </w:endnotePr>
  <w:compat/>
  <w:rsids>
    <w:rsidRoot w:val="00861E98"/>
    <w:rsid w:val="001E5521"/>
    <w:rsid w:val="00273CD7"/>
    <w:rsid w:val="00292E1E"/>
    <w:rsid w:val="002A6286"/>
    <w:rsid w:val="002A7CE3"/>
    <w:rsid w:val="002B0460"/>
    <w:rsid w:val="00721320"/>
    <w:rsid w:val="00817949"/>
    <w:rsid w:val="00861E98"/>
    <w:rsid w:val="00A320CE"/>
    <w:rsid w:val="00B226B9"/>
    <w:rsid w:val="00BC1C99"/>
    <w:rsid w:val="00CC2133"/>
    <w:rsid w:val="00CD4C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ack"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240" w:line="360" w:lineRule="auto"/>
      <w:outlineLvl w:val="0"/>
    </w:pPr>
    <w:rPr>
      <w:rFonts w:ascii="MS Reference Sans Serif" w:hAnsi="MS Reference Sans Serif" w:cs="Arial"/>
      <w:b/>
      <w:bCs/>
      <w:sz w:val="20"/>
      <w:lang w:val="en-US"/>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color w:val="FFFFFF"/>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spacing w:before="120" w:after="120"/>
      <w:jc w:val="center"/>
      <w:outlineLvl w:val="4"/>
    </w:pPr>
    <w:rPr>
      <w:rFonts w:ascii="MS Reference Sans Serif" w:hAnsi="MS Reference Sans Serif"/>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paragraph" w:styleId="BodyTextIndent">
    <w:name w:val="Body Text Indent"/>
    <w:basedOn w:val="Normal"/>
    <w:semiHidden/>
    <w:pPr>
      <w:spacing w:before="100" w:beforeAutospacing="1" w:after="100" w:afterAutospacing="1"/>
    </w:pPr>
    <w:rPr>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lang w:val="en-US"/>
    </w:rPr>
  </w:style>
  <w:style w:type="paragraph" w:styleId="BodyText3">
    <w:name w:val="Body Text 3"/>
    <w:basedOn w:val="Normal"/>
    <w:semiHidden/>
    <w:rPr>
      <w:b/>
      <w:bCs/>
    </w:rPr>
  </w:style>
  <w:style w:type="paragraph" w:styleId="BodyText">
    <w:name w:val="Body Text"/>
    <w:basedOn w:val="Normal"/>
    <w:semiHidden/>
    <w:rPr>
      <w:rFonts w:ascii="MS Reference Sans Serif" w:hAnsi="MS Reference Sans Serif" w:cs="Arial"/>
      <w:b/>
      <w:bCs/>
      <w:sz w:val="20"/>
      <w:lang w:val="en-US"/>
    </w:rPr>
  </w:style>
  <w:style w:type="paragraph" w:styleId="BodyText2">
    <w:name w:val="Body Text 2"/>
    <w:basedOn w:val="Normal"/>
    <w:semiHidden/>
    <w:pPr>
      <w:jc w:val="center"/>
    </w:pPr>
  </w:style>
  <w:style w:type="paragraph" w:styleId="TOC2">
    <w:name w:val="toc 2"/>
    <w:basedOn w:val="Normal"/>
    <w:next w:val="Normal"/>
    <w:autoRedefine/>
    <w:semiHidden/>
    <w:pPr>
      <w:ind w:left="240"/>
    </w:pPr>
    <w:rPr>
      <w:rFonts w:ascii="MS Reference Sans Serif" w:hAnsi="MS Reference Sans Serif"/>
      <w:sz w:val="20"/>
    </w:rPr>
  </w:style>
  <w:style w:type="paragraph" w:styleId="TOC1">
    <w:name w:val="toc 1"/>
    <w:basedOn w:val="Normal"/>
    <w:next w:val="Normal"/>
    <w:autoRedefine/>
    <w:semiHidden/>
    <w:pPr>
      <w:tabs>
        <w:tab w:val="right" w:leader="dot" w:pos="9620"/>
      </w:tabs>
      <w:spacing w:line="360" w:lineRule="auto"/>
    </w:pPr>
    <w:rPr>
      <w:rFonts w:ascii="MS Reference Sans Serif" w:hAnsi="MS Reference Sans Serif"/>
      <w:b/>
      <w:noProof/>
      <w:sz w:val="20"/>
      <w:lang w:val="en-U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jc w:val="center"/>
    </w:pPr>
    <w:rPr>
      <w:rFonts w:ascii="MS Reference Sans Serif" w:hAnsi="MS Reference Sans Serif"/>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861E98"/>
    <w:pPr>
      <w:tabs>
        <w:tab w:val="center" w:pos="4513"/>
        <w:tab w:val="right" w:pos="9026"/>
      </w:tabs>
    </w:pPr>
  </w:style>
  <w:style w:type="character" w:customStyle="1" w:styleId="HeaderChar">
    <w:name w:val="Header Char"/>
    <w:basedOn w:val="DefaultParagraphFont"/>
    <w:link w:val="Header"/>
    <w:uiPriority w:val="99"/>
    <w:semiHidden/>
    <w:rsid w:val="00861E98"/>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ns.gov.uk/ons/guide-method/geography/beginner-s-guide/administrative/index.html" TargetMode="External"/><Relationship Id="rId4" Type="http://schemas.openxmlformats.org/officeDocument/2006/relationships/webSettings" Target="webSettings.xml"/><Relationship Id="rId9" Type="http://schemas.openxmlformats.org/officeDocument/2006/relationships/hyperlink" Target="http://www.ons.gov.uk/ons/guide-method/geography/beginner-s-guide/maps/regions-and-their-constituent-counties---unitary-authorities-as-at-201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new Annex C</vt:lpstr>
    </vt:vector>
  </TitlesOfParts>
  <Company>HM Treasury</Company>
  <LinksUpToDate>false</LinksUpToDate>
  <CharactersWithSpaces>8498</CharactersWithSpaces>
  <SharedDoc>false</SharedDoc>
  <HLinks>
    <vt:vector size="54" baseType="variant">
      <vt:variant>
        <vt:i4>2490407</vt:i4>
      </vt:variant>
      <vt:variant>
        <vt:i4>27</vt:i4>
      </vt:variant>
      <vt:variant>
        <vt:i4>0</vt:i4>
      </vt:variant>
      <vt:variant>
        <vt:i4>5</vt:i4>
      </vt:variant>
      <vt:variant>
        <vt:lpwstr>http://www.ons.gov.uk/ons/guide-method/geography/beginner-s-guide/administrative/index.html</vt:lpwstr>
      </vt:variant>
      <vt:variant>
        <vt:lpwstr/>
      </vt:variant>
      <vt:variant>
        <vt:i4>7536675</vt:i4>
      </vt:variant>
      <vt:variant>
        <vt:i4>24</vt:i4>
      </vt:variant>
      <vt:variant>
        <vt:i4>0</vt:i4>
      </vt:variant>
      <vt:variant>
        <vt:i4>5</vt:i4>
      </vt:variant>
      <vt:variant>
        <vt:lpwstr>http://www.ons.gov.uk/ons/guide-method/geography/beginner-s-guide/maps/regions-and-their-constituent-counties---unitary-authorities-as-at-2011.pdf</vt:lpwstr>
      </vt:variant>
      <vt:variant>
        <vt:lpwstr/>
      </vt:variant>
      <vt:variant>
        <vt:i4>1441847</vt:i4>
      </vt:variant>
      <vt:variant>
        <vt:i4>20</vt:i4>
      </vt:variant>
      <vt:variant>
        <vt:i4>0</vt:i4>
      </vt:variant>
      <vt:variant>
        <vt:i4>5</vt:i4>
      </vt:variant>
      <vt:variant>
        <vt:lpwstr/>
      </vt:variant>
      <vt:variant>
        <vt:lpwstr>_Toc245204034</vt:lpwstr>
      </vt:variant>
      <vt:variant>
        <vt:i4>1441847</vt:i4>
      </vt:variant>
      <vt:variant>
        <vt:i4>17</vt:i4>
      </vt:variant>
      <vt:variant>
        <vt:i4>0</vt:i4>
      </vt:variant>
      <vt:variant>
        <vt:i4>5</vt:i4>
      </vt:variant>
      <vt:variant>
        <vt:lpwstr/>
      </vt:variant>
      <vt:variant>
        <vt:lpwstr>_Toc245204033</vt:lpwstr>
      </vt:variant>
      <vt:variant>
        <vt:i4>1441847</vt:i4>
      </vt:variant>
      <vt:variant>
        <vt:i4>14</vt:i4>
      </vt:variant>
      <vt:variant>
        <vt:i4>0</vt:i4>
      </vt:variant>
      <vt:variant>
        <vt:i4>5</vt:i4>
      </vt:variant>
      <vt:variant>
        <vt:lpwstr/>
      </vt:variant>
      <vt:variant>
        <vt:lpwstr>_Toc245204032</vt:lpwstr>
      </vt:variant>
      <vt:variant>
        <vt:i4>1441847</vt:i4>
      </vt:variant>
      <vt:variant>
        <vt:i4>11</vt:i4>
      </vt:variant>
      <vt:variant>
        <vt:i4>0</vt:i4>
      </vt:variant>
      <vt:variant>
        <vt:i4>5</vt:i4>
      </vt:variant>
      <vt:variant>
        <vt:lpwstr/>
      </vt:variant>
      <vt:variant>
        <vt:lpwstr>_Toc245204031</vt:lpwstr>
      </vt:variant>
      <vt:variant>
        <vt:i4>1441847</vt:i4>
      </vt:variant>
      <vt:variant>
        <vt:i4>8</vt:i4>
      </vt:variant>
      <vt:variant>
        <vt:i4>0</vt:i4>
      </vt:variant>
      <vt:variant>
        <vt:i4>5</vt:i4>
      </vt:variant>
      <vt:variant>
        <vt:lpwstr/>
      </vt:variant>
      <vt:variant>
        <vt:lpwstr>_Toc245204030</vt:lpwstr>
      </vt:variant>
      <vt:variant>
        <vt:i4>1507383</vt:i4>
      </vt:variant>
      <vt:variant>
        <vt:i4>5</vt:i4>
      </vt:variant>
      <vt:variant>
        <vt:i4>0</vt:i4>
      </vt:variant>
      <vt:variant>
        <vt:i4>5</vt:i4>
      </vt:variant>
      <vt:variant>
        <vt:lpwstr/>
      </vt:variant>
      <vt:variant>
        <vt:lpwstr>_Toc245204029</vt:lpwstr>
      </vt:variant>
      <vt:variant>
        <vt:i4>1507383</vt:i4>
      </vt:variant>
      <vt:variant>
        <vt:i4>2</vt:i4>
      </vt:variant>
      <vt:variant>
        <vt:i4>0</vt:i4>
      </vt:variant>
      <vt:variant>
        <vt:i4>5</vt:i4>
      </vt:variant>
      <vt:variant>
        <vt:lpwstr/>
      </vt:variant>
      <vt:variant>
        <vt:lpwstr>_Toc245204028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Annex C</dc:title>
  <dc:subject/>
  <dc:creator>Martin Phillips</dc:creator>
  <cp:keywords/>
  <dc:description/>
  <cp:lastModifiedBy>matthew carter</cp:lastModifiedBy>
  <cp:revision>2</cp:revision>
  <cp:lastPrinted>2013-07-31T09:59:00Z</cp:lastPrinted>
  <dcterms:created xsi:type="dcterms:W3CDTF">2013-07-31T12:50:00Z</dcterms:created>
  <dcterms:modified xsi:type="dcterms:W3CDTF">2013-07-31T12:50:00Z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2c948fb9-ca25-4b3e-b6e5-7cf3a495c503</vt:lpwstr>
  </property>
</Properties>
</file>